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46942099"/>
        <w:docPartObj>
          <w:docPartGallery w:val="Cover Pages"/>
          <w:docPartUnique/>
        </w:docPartObj>
      </w:sdtPr>
      <w:sdtEndPr>
        <w:rPr>
          <w:rStyle w:val="Strong"/>
          <w:rFonts w:ascii="Georgia" w:hAnsi="Georgia"/>
          <w:b/>
          <w:bCs/>
          <w:color w:val="500778"/>
          <w:sz w:val="48"/>
          <w:szCs w:val="48"/>
        </w:rPr>
      </w:sdtEndPr>
      <w:sdtContent>
        <w:p w14:paraId="0D3B7950" w14:textId="7C608138" w:rsidR="003C24D1" w:rsidRPr="00657B0A" w:rsidRDefault="003C24D1" w:rsidP="003C24D1">
          <w:pPr>
            <w:pStyle w:val="NoSpacing"/>
            <w:spacing w:before="240" w:after="560" w:line="216" w:lineRule="auto"/>
            <w:ind w:left="-993" w:right="-472"/>
            <w:rPr>
              <w:rFonts w:ascii="Georgia" w:hAnsi="Georgia"/>
              <w:color w:val="000000" w:themeColor="text1"/>
              <w:sz w:val="72"/>
              <w:szCs w:val="72"/>
            </w:rPr>
          </w:pPr>
        </w:p>
        <w:p w14:paraId="79579A0C" w14:textId="74D0BEE0" w:rsidR="002D38A8" w:rsidRPr="00B50802" w:rsidRDefault="002E6CF7" w:rsidP="003C24D1">
          <w:pPr>
            <w:ind w:left="-993"/>
            <w:rPr>
              <w:rStyle w:val="Strong"/>
              <w:rFonts w:ascii="Georgia" w:hAnsi="Georgia"/>
              <w:b w:val="0"/>
              <w:color w:val="500778"/>
              <w:sz w:val="48"/>
              <w:szCs w:val="48"/>
            </w:rPr>
          </w:pPr>
        </w:p>
      </w:sdtContent>
    </w:sdt>
    <w:p w14:paraId="7A55AB48" w14:textId="77777777" w:rsidR="00CB6405" w:rsidRPr="00B50802" w:rsidRDefault="00CB6405">
      <w:pPr>
        <w:rPr>
          <w:rStyle w:val="Strong"/>
          <w:rFonts w:ascii="Georgia" w:hAnsi="Georgia"/>
          <w:b w:val="0"/>
          <w:color w:val="500778"/>
          <w:sz w:val="48"/>
          <w:szCs w:val="48"/>
        </w:rPr>
      </w:pPr>
      <w:r w:rsidRPr="00B50802">
        <w:rPr>
          <w:rStyle w:val="Strong"/>
          <w:rFonts w:ascii="Georgia" w:hAnsi="Georgia"/>
          <w:b w:val="0"/>
          <w:color w:val="500778"/>
          <w:sz w:val="48"/>
          <w:szCs w:val="48"/>
        </w:rPr>
        <w:br w:type="page"/>
      </w:r>
    </w:p>
    <w:sdt>
      <w:sdtPr>
        <w:rPr>
          <w:rFonts w:ascii="Georgia" w:eastAsiaTheme="minorHAnsi" w:hAnsi="Georgia" w:cstheme="minorBidi"/>
          <w:b/>
          <w:bCs/>
          <w:noProof/>
          <w:spacing w:val="0"/>
          <w:sz w:val="22"/>
          <w:szCs w:val="22"/>
        </w:rPr>
        <w:id w:val="1874809934"/>
        <w:docPartObj>
          <w:docPartGallery w:val="Table of Contents"/>
          <w:docPartUnique/>
        </w:docPartObj>
      </w:sdtPr>
      <w:sdtEndPr>
        <w:rPr>
          <w:rFonts w:eastAsiaTheme="majorEastAsia" w:cstheme="majorBidi"/>
          <w:bCs w:val="0"/>
        </w:rPr>
      </w:sdtEndPr>
      <w:sdtContent>
        <w:p w14:paraId="4398D727" w14:textId="77777777" w:rsidR="00D538F1" w:rsidRPr="00B50802" w:rsidRDefault="00D538F1" w:rsidP="00B5201F">
          <w:pPr>
            <w:pStyle w:val="Title"/>
          </w:pPr>
          <w:r w:rsidRPr="00B50802">
            <w:t xml:space="preserve">Table of </w:t>
          </w:r>
          <w:r w:rsidR="00D4457C" w:rsidRPr="00B50802">
            <w:t>c</w:t>
          </w:r>
          <w:r w:rsidRPr="00B50802">
            <w:t>ontents</w:t>
          </w:r>
        </w:p>
        <w:p w14:paraId="415F6808" w14:textId="25E58100" w:rsidR="009F0296" w:rsidRDefault="00D538F1" w:rsidP="009F0296">
          <w:pPr>
            <w:pStyle w:val="TOC1"/>
            <w:ind w:left="142"/>
            <w:rPr>
              <w:rFonts w:asciiTheme="minorHAnsi" w:eastAsiaTheme="minorEastAsia" w:hAnsiTheme="minorHAnsi" w:cstheme="minorBidi"/>
              <w:b w:val="0"/>
              <w:lang w:eastAsia="en-AU"/>
            </w:rPr>
          </w:pPr>
          <w:r w:rsidRPr="00B50802">
            <w:fldChar w:fldCharType="begin"/>
          </w:r>
          <w:r w:rsidRPr="00B50802">
            <w:instrText xml:space="preserve"> TOC \o "1-3" \h \z \u </w:instrText>
          </w:r>
          <w:r w:rsidRPr="00B50802">
            <w:fldChar w:fldCharType="separate"/>
          </w:r>
          <w:hyperlink w:anchor="_Toc142051856" w:history="1">
            <w:r w:rsidR="009F0296" w:rsidRPr="00C5185F">
              <w:rPr>
                <w:rStyle w:val="Hyperlink"/>
              </w:rPr>
              <w:t>Acknowledgements</w:t>
            </w:r>
            <w:r w:rsidR="009F0296">
              <w:rPr>
                <w:webHidden/>
              </w:rPr>
              <w:tab/>
            </w:r>
            <w:r w:rsidR="009F0296">
              <w:rPr>
                <w:webHidden/>
              </w:rPr>
              <w:fldChar w:fldCharType="begin"/>
            </w:r>
            <w:r w:rsidR="009F0296">
              <w:rPr>
                <w:webHidden/>
              </w:rPr>
              <w:instrText xml:space="preserve"> PAGEREF _Toc142051856 \h </w:instrText>
            </w:r>
            <w:r w:rsidR="009F0296">
              <w:rPr>
                <w:webHidden/>
              </w:rPr>
            </w:r>
            <w:r w:rsidR="009F0296">
              <w:rPr>
                <w:webHidden/>
              </w:rPr>
              <w:fldChar w:fldCharType="separate"/>
            </w:r>
            <w:r w:rsidR="00F6502A">
              <w:rPr>
                <w:webHidden/>
              </w:rPr>
              <w:t>4</w:t>
            </w:r>
            <w:r w:rsidR="009F0296">
              <w:rPr>
                <w:webHidden/>
              </w:rPr>
              <w:fldChar w:fldCharType="end"/>
            </w:r>
          </w:hyperlink>
        </w:p>
        <w:p w14:paraId="0426D8F2" w14:textId="6DE7B2CE" w:rsidR="009F0296" w:rsidRDefault="002E6CF7" w:rsidP="009F0296">
          <w:pPr>
            <w:pStyle w:val="TOC1"/>
            <w:ind w:left="142"/>
            <w:rPr>
              <w:rFonts w:asciiTheme="minorHAnsi" w:eastAsiaTheme="minorEastAsia" w:hAnsiTheme="minorHAnsi" w:cstheme="minorBidi"/>
              <w:b w:val="0"/>
              <w:lang w:eastAsia="en-AU"/>
            </w:rPr>
          </w:pPr>
          <w:hyperlink w:anchor="_Toc142051857" w:history="1">
            <w:r w:rsidR="009F0296" w:rsidRPr="00C5185F">
              <w:rPr>
                <w:rStyle w:val="Hyperlink"/>
              </w:rPr>
              <w:t>Minister’s foreword</w:t>
            </w:r>
            <w:r w:rsidR="009F0296">
              <w:rPr>
                <w:webHidden/>
              </w:rPr>
              <w:tab/>
            </w:r>
            <w:r w:rsidR="009F0296">
              <w:rPr>
                <w:webHidden/>
              </w:rPr>
              <w:fldChar w:fldCharType="begin"/>
            </w:r>
            <w:r w:rsidR="009F0296">
              <w:rPr>
                <w:webHidden/>
              </w:rPr>
              <w:instrText xml:space="preserve"> PAGEREF _Toc142051857 \h </w:instrText>
            </w:r>
            <w:r w:rsidR="009F0296">
              <w:rPr>
                <w:webHidden/>
              </w:rPr>
            </w:r>
            <w:r w:rsidR="009F0296">
              <w:rPr>
                <w:webHidden/>
              </w:rPr>
              <w:fldChar w:fldCharType="separate"/>
            </w:r>
            <w:r w:rsidR="00F6502A">
              <w:rPr>
                <w:webHidden/>
              </w:rPr>
              <w:t>5</w:t>
            </w:r>
            <w:r w:rsidR="009F0296">
              <w:rPr>
                <w:webHidden/>
              </w:rPr>
              <w:fldChar w:fldCharType="end"/>
            </w:r>
          </w:hyperlink>
        </w:p>
        <w:p w14:paraId="615D6DD1" w14:textId="240B5AC7" w:rsidR="009F0296" w:rsidRDefault="002E6CF7" w:rsidP="009F0296">
          <w:pPr>
            <w:pStyle w:val="TOC1"/>
            <w:ind w:left="142"/>
            <w:rPr>
              <w:rFonts w:asciiTheme="minorHAnsi" w:eastAsiaTheme="minorEastAsia" w:hAnsiTheme="minorHAnsi" w:cstheme="minorBidi"/>
              <w:b w:val="0"/>
              <w:lang w:eastAsia="en-AU"/>
            </w:rPr>
          </w:pPr>
          <w:hyperlink w:anchor="_Toc142051858" w:history="1">
            <w:r w:rsidR="009F0296" w:rsidRPr="00C5185F">
              <w:rPr>
                <w:rStyle w:val="Hyperlink"/>
              </w:rPr>
              <w:t>Help and support</w:t>
            </w:r>
            <w:r w:rsidR="009F0296">
              <w:rPr>
                <w:webHidden/>
              </w:rPr>
              <w:tab/>
            </w:r>
            <w:r w:rsidR="009F0296">
              <w:rPr>
                <w:webHidden/>
              </w:rPr>
              <w:fldChar w:fldCharType="begin"/>
            </w:r>
            <w:r w:rsidR="009F0296">
              <w:rPr>
                <w:webHidden/>
              </w:rPr>
              <w:instrText xml:space="preserve"> PAGEREF _Toc142051858 \h </w:instrText>
            </w:r>
            <w:r w:rsidR="009F0296">
              <w:rPr>
                <w:webHidden/>
              </w:rPr>
            </w:r>
            <w:r w:rsidR="009F0296">
              <w:rPr>
                <w:webHidden/>
              </w:rPr>
              <w:fldChar w:fldCharType="separate"/>
            </w:r>
            <w:r w:rsidR="00F6502A">
              <w:rPr>
                <w:webHidden/>
              </w:rPr>
              <w:t>6</w:t>
            </w:r>
            <w:r w:rsidR="009F0296">
              <w:rPr>
                <w:webHidden/>
              </w:rPr>
              <w:fldChar w:fldCharType="end"/>
            </w:r>
          </w:hyperlink>
        </w:p>
        <w:p w14:paraId="584AC3B7" w14:textId="22735BAA" w:rsidR="009F0296" w:rsidRDefault="002E6CF7" w:rsidP="009F0296">
          <w:pPr>
            <w:pStyle w:val="TOC1"/>
            <w:ind w:left="142"/>
            <w:rPr>
              <w:rFonts w:asciiTheme="minorHAnsi" w:eastAsiaTheme="minorEastAsia" w:hAnsiTheme="minorHAnsi" w:cstheme="minorBidi"/>
              <w:b w:val="0"/>
              <w:lang w:eastAsia="en-AU"/>
            </w:rPr>
          </w:pPr>
          <w:hyperlink w:anchor="_Toc142051859" w:history="1">
            <w:r w:rsidR="009F0296" w:rsidRPr="00C5185F">
              <w:rPr>
                <w:rStyle w:val="Hyperlink"/>
              </w:rPr>
              <w:t>1. Purpose</w:t>
            </w:r>
            <w:r w:rsidR="009F0296">
              <w:rPr>
                <w:webHidden/>
              </w:rPr>
              <w:tab/>
            </w:r>
            <w:r w:rsidR="009F0296">
              <w:rPr>
                <w:webHidden/>
              </w:rPr>
              <w:fldChar w:fldCharType="begin"/>
            </w:r>
            <w:r w:rsidR="009F0296">
              <w:rPr>
                <w:webHidden/>
              </w:rPr>
              <w:instrText xml:space="preserve"> PAGEREF _Toc142051859 \h </w:instrText>
            </w:r>
            <w:r w:rsidR="009F0296">
              <w:rPr>
                <w:webHidden/>
              </w:rPr>
            </w:r>
            <w:r w:rsidR="009F0296">
              <w:rPr>
                <w:webHidden/>
              </w:rPr>
              <w:fldChar w:fldCharType="separate"/>
            </w:r>
            <w:r w:rsidR="00F6502A">
              <w:rPr>
                <w:webHidden/>
              </w:rPr>
              <w:t>9</w:t>
            </w:r>
            <w:r w:rsidR="009F0296">
              <w:rPr>
                <w:webHidden/>
              </w:rPr>
              <w:fldChar w:fldCharType="end"/>
            </w:r>
          </w:hyperlink>
        </w:p>
        <w:p w14:paraId="474326AF" w14:textId="42297004" w:rsidR="009F0296" w:rsidRDefault="002E6CF7" w:rsidP="009F0296">
          <w:pPr>
            <w:pStyle w:val="TOC2"/>
            <w:ind w:left="142"/>
            <w:rPr>
              <w:rFonts w:asciiTheme="minorHAnsi" w:eastAsiaTheme="minorEastAsia" w:hAnsiTheme="minorHAnsi"/>
              <w:noProof/>
              <w:lang w:eastAsia="en-AU"/>
            </w:rPr>
          </w:pPr>
          <w:hyperlink w:anchor="_Toc142051860" w:history="1">
            <w:r w:rsidR="009F0296" w:rsidRPr="00C5185F">
              <w:rPr>
                <w:rStyle w:val="Hyperlink"/>
                <w:noProof/>
              </w:rPr>
              <w:t>1.1 Towards a National Housing and Homelessness Plan</w:t>
            </w:r>
            <w:r w:rsidR="009F0296">
              <w:rPr>
                <w:noProof/>
                <w:webHidden/>
              </w:rPr>
              <w:tab/>
            </w:r>
            <w:r w:rsidR="009F0296">
              <w:rPr>
                <w:noProof/>
                <w:webHidden/>
              </w:rPr>
              <w:fldChar w:fldCharType="begin"/>
            </w:r>
            <w:r w:rsidR="009F0296">
              <w:rPr>
                <w:noProof/>
                <w:webHidden/>
              </w:rPr>
              <w:instrText xml:space="preserve"> PAGEREF _Toc142051860 \h </w:instrText>
            </w:r>
            <w:r w:rsidR="009F0296">
              <w:rPr>
                <w:noProof/>
                <w:webHidden/>
              </w:rPr>
            </w:r>
            <w:r w:rsidR="009F0296">
              <w:rPr>
                <w:noProof/>
                <w:webHidden/>
              </w:rPr>
              <w:fldChar w:fldCharType="separate"/>
            </w:r>
            <w:r w:rsidR="00F6502A">
              <w:rPr>
                <w:noProof/>
                <w:webHidden/>
              </w:rPr>
              <w:t>9</w:t>
            </w:r>
            <w:r w:rsidR="009F0296">
              <w:rPr>
                <w:noProof/>
                <w:webHidden/>
              </w:rPr>
              <w:fldChar w:fldCharType="end"/>
            </w:r>
          </w:hyperlink>
        </w:p>
        <w:p w14:paraId="762FF44B" w14:textId="07AA8CE8" w:rsidR="009F0296" w:rsidRDefault="002E6CF7" w:rsidP="009F0296">
          <w:pPr>
            <w:pStyle w:val="TOC2"/>
            <w:ind w:left="142"/>
            <w:rPr>
              <w:rFonts w:asciiTheme="minorHAnsi" w:eastAsiaTheme="minorEastAsia" w:hAnsiTheme="minorHAnsi"/>
              <w:noProof/>
              <w:lang w:eastAsia="en-AU"/>
            </w:rPr>
          </w:pPr>
          <w:hyperlink w:anchor="_Toc142051861" w:history="1">
            <w:r w:rsidR="009F0296" w:rsidRPr="00C5185F">
              <w:rPr>
                <w:rStyle w:val="Hyperlink"/>
                <w:noProof/>
              </w:rPr>
              <w:t>1.2 Uniting efforts under a national plan</w:t>
            </w:r>
            <w:r w:rsidR="009F0296">
              <w:rPr>
                <w:noProof/>
                <w:webHidden/>
              </w:rPr>
              <w:tab/>
            </w:r>
            <w:r w:rsidR="009F0296">
              <w:rPr>
                <w:noProof/>
                <w:webHidden/>
              </w:rPr>
              <w:fldChar w:fldCharType="begin"/>
            </w:r>
            <w:r w:rsidR="009F0296">
              <w:rPr>
                <w:noProof/>
                <w:webHidden/>
              </w:rPr>
              <w:instrText xml:space="preserve"> PAGEREF _Toc142051861 \h </w:instrText>
            </w:r>
            <w:r w:rsidR="009F0296">
              <w:rPr>
                <w:noProof/>
                <w:webHidden/>
              </w:rPr>
            </w:r>
            <w:r w:rsidR="009F0296">
              <w:rPr>
                <w:noProof/>
                <w:webHidden/>
              </w:rPr>
              <w:fldChar w:fldCharType="separate"/>
            </w:r>
            <w:r w:rsidR="00F6502A">
              <w:rPr>
                <w:noProof/>
                <w:webHidden/>
              </w:rPr>
              <w:t>9</w:t>
            </w:r>
            <w:r w:rsidR="009F0296">
              <w:rPr>
                <w:noProof/>
                <w:webHidden/>
              </w:rPr>
              <w:fldChar w:fldCharType="end"/>
            </w:r>
          </w:hyperlink>
        </w:p>
        <w:p w14:paraId="28BBD097" w14:textId="681F991D" w:rsidR="009F0296" w:rsidRDefault="002E6CF7" w:rsidP="009F0296">
          <w:pPr>
            <w:pStyle w:val="TOC2"/>
            <w:ind w:left="142"/>
            <w:rPr>
              <w:rFonts w:asciiTheme="minorHAnsi" w:eastAsiaTheme="minorEastAsia" w:hAnsiTheme="minorHAnsi"/>
              <w:noProof/>
              <w:lang w:eastAsia="en-AU"/>
            </w:rPr>
          </w:pPr>
          <w:hyperlink w:anchor="_Toc142051862" w:history="1">
            <w:r w:rsidR="009F0296" w:rsidRPr="00C5185F">
              <w:rPr>
                <w:rStyle w:val="Hyperlink"/>
                <w:noProof/>
              </w:rPr>
              <w:t>1.3 Why now?</w:t>
            </w:r>
            <w:r w:rsidR="009F0296">
              <w:rPr>
                <w:noProof/>
                <w:webHidden/>
              </w:rPr>
              <w:tab/>
            </w:r>
            <w:r w:rsidR="009F0296">
              <w:rPr>
                <w:noProof/>
                <w:webHidden/>
              </w:rPr>
              <w:fldChar w:fldCharType="begin"/>
            </w:r>
            <w:r w:rsidR="009F0296">
              <w:rPr>
                <w:noProof/>
                <w:webHidden/>
              </w:rPr>
              <w:instrText xml:space="preserve"> PAGEREF _Toc142051862 \h </w:instrText>
            </w:r>
            <w:r w:rsidR="009F0296">
              <w:rPr>
                <w:noProof/>
                <w:webHidden/>
              </w:rPr>
            </w:r>
            <w:r w:rsidR="009F0296">
              <w:rPr>
                <w:noProof/>
                <w:webHidden/>
              </w:rPr>
              <w:fldChar w:fldCharType="separate"/>
            </w:r>
            <w:r w:rsidR="00F6502A">
              <w:rPr>
                <w:noProof/>
                <w:webHidden/>
              </w:rPr>
              <w:t>11</w:t>
            </w:r>
            <w:r w:rsidR="009F0296">
              <w:rPr>
                <w:noProof/>
                <w:webHidden/>
              </w:rPr>
              <w:fldChar w:fldCharType="end"/>
            </w:r>
          </w:hyperlink>
        </w:p>
        <w:p w14:paraId="483E07B2" w14:textId="3CEE987E" w:rsidR="009F0296" w:rsidRDefault="002E6CF7" w:rsidP="009F0296">
          <w:pPr>
            <w:pStyle w:val="TOC2"/>
            <w:ind w:left="142"/>
            <w:rPr>
              <w:rFonts w:asciiTheme="minorHAnsi" w:eastAsiaTheme="minorEastAsia" w:hAnsiTheme="minorHAnsi"/>
              <w:noProof/>
              <w:lang w:eastAsia="en-AU"/>
            </w:rPr>
          </w:pPr>
          <w:hyperlink w:anchor="_Toc142051863" w:history="1">
            <w:r w:rsidR="009F0296" w:rsidRPr="00C5185F">
              <w:rPr>
                <w:rStyle w:val="Hyperlink"/>
                <w:noProof/>
              </w:rPr>
              <w:t>1.4 Have your say</w:t>
            </w:r>
            <w:r w:rsidR="009F0296">
              <w:rPr>
                <w:noProof/>
                <w:webHidden/>
              </w:rPr>
              <w:tab/>
            </w:r>
            <w:r w:rsidR="009F0296">
              <w:rPr>
                <w:noProof/>
                <w:webHidden/>
              </w:rPr>
              <w:fldChar w:fldCharType="begin"/>
            </w:r>
            <w:r w:rsidR="009F0296">
              <w:rPr>
                <w:noProof/>
                <w:webHidden/>
              </w:rPr>
              <w:instrText xml:space="preserve"> PAGEREF _Toc142051863 \h </w:instrText>
            </w:r>
            <w:r w:rsidR="009F0296">
              <w:rPr>
                <w:noProof/>
                <w:webHidden/>
              </w:rPr>
            </w:r>
            <w:r w:rsidR="009F0296">
              <w:rPr>
                <w:noProof/>
                <w:webHidden/>
              </w:rPr>
              <w:fldChar w:fldCharType="separate"/>
            </w:r>
            <w:r w:rsidR="00F6502A">
              <w:rPr>
                <w:noProof/>
                <w:webHidden/>
              </w:rPr>
              <w:t>14</w:t>
            </w:r>
            <w:r w:rsidR="009F0296">
              <w:rPr>
                <w:noProof/>
                <w:webHidden/>
              </w:rPr>
              <w:fldChar w:fldCharType="end"/>
            </w:r>
          </w:hyperlink>
        </w:p>
        <w:p w14:paraId="0EBA2583" w14:textId="0E5FBDB7" w:rsidR="009F0296" w:rsidRDefault="002E6CF7" w:rsidP="009F0296">
          <w:pPr>
            <w:pStyle w:val="TOC1"/>
            <w:ind w:left="142"/>
            <w:rPr>
              <w:rFonts w:asciiTheme="minorHAnsi" w:eastAsiaTheme="minorEastAsia" w:hAnsiTheme="minorHAnsi" w:cstheme="minorBidi"/>
              <w:b w:val="0"/>
              <w:lang w:eastAsia="en-AU"/>
            </w:rPr>
          </w:pPr>
          <w:hyperlink w:anchor="_Toc142051864" w:history="1">
            <w:r w:rsidR="009F0296" w:rsidRPr="00C5185F">
              <w:rPr>
                <w:rStyle w:val="Hyperlink"/>
              </w:rPr>
              <w:t>2. The Housing System</w:t>
            </w:r>
            <w:r w:rsidR="009F0296">
              <w:rPr>
                <w:webHidden/>
              </w:rPr>
              <w:tab/>
            </w:r>
            <w:r w:rsidR="009F0296">
              <w:rPr>
                <w:webHidden/>
              </w:rPr>
              <w:fldChar w:fldCharType="begin"/>
            </w:r>
            <w:r w:rsidR="009F0296">
              <w:rPr>
                <w:webHidden/>
              </w:rPr>
              <w:instrText xml:space="preserve"> PAGEREF _Toc142051864 \h </w:instrText>
            </w:r>
            <w:r w:rsidR="009F0296">
              <w:rPr>
                <w:webHidden/>
              </w:rPr>
            </w:r>
            <w:r w:rsidR="009F0296">
              <w:rPr>
                <w:webHidden/>
              </w:rPr>
              <w:fldChar w:fldCharType="separate"/>
            </w:r>
            <w:r w:rsidR="00F6502A">
              <w:rPr>
                <w:webHidden/>
              </w:rPr>
              <w:t>16</w:t>
            </w:r>
            <w:r w:rsidR="009F0296">
              <w:rPr>
                <w:webHidden/>
              </w:rPr>
              <w:fldChar w:fldCharType="end"/>
            </w:r>
          </w:hyperlink>
        </w:p>
        <w:p w14:paraId="163DD102" w14:textId="678EF69F" w:rsidR="009F0296" w:rsidRDefault="002E6CF7" w:rsidP="009F0296">
          <w:pPr>
            <w:pStyle w:val="TOC2"/>
            <w:ind w:left="142"/>
            <w:rPr>
              <w:rFonts w:asciiTheme="minorHAnsi" w:eastAsiaTheme="minorEastAsia" w:hAnsiTheme="minorHAnsi"/>
              <w:noProof/>
              <w:lang w:eastAsia="en-AU"/>
            </w:rPr>
          </w:pPr>
          <w:hyperlink w:anchor="_Toc142051865" w:history="1">
            <w:r w:rsidR="009F0296" w:rsidRPr="00C5185F">
              <w:rPr>
                <w:rStyle w:val="Hyperlink"/>
                <w:noProof/>
              </w:rPr>
              <w:t>2.1 The benefits of secure housing</w:t>
            </w:r>
            <w:r w:rsidR="009F0296">
              <w:rPr>
                <w:noProof/>
                <w:webHidden/>
              </w:rPr>
              <w:tab/>
            </w:r>
            <w:r w:rsidR="009F0296">
              <w:rPr>
                <w:noProof/>
                <w:webHidden/>
              </w:rPr>
              <w:fldChar w:fldCharType="begin"/>
            </w:r>
            <w:r w:rsidR="009F0296">
              <w:rPr>
                <w:noProof/>
                <w:webHidden/>
              </w:rPr>
              <w:instrText xml:space="preserve"> PAGEREF _Toc142051865 \h </w:instrText>
            </w:r>
            <w:r w:rsidR="009F0296">
              <w:rPr>
                <w:noProof/>
                <w:webHidden/>
              </w:rPr>
            </w:r>
            <w:r w:rsidR="009F0296">
              <w:rPr>
                <w:noProof/>
                <w:webHidden/>
              </w:rPr>
              <w:fldChar w:fldCharType="separate"/>
            </w:r>
            <w:r w:rsidR="00F6502A">
              <w:rPr>
                <w:noProof/>
                <w:webHidden/>
              </w:rPr>
              <w:t>16</w:t>
            </w:r>
            <w:r w:rsidR="009F0296">
              <w:rPr>
                <w:noProof/>
                <w:webHidden/>
              </w:rPr>
              <w:fldChar w:fldCharType="end"/>
            </w:r>
          </w:hyperlink>
        </w:p>
        <w:p w14:paraId="5C87F8F7" w14:textId="535A270F" w:rsidR="009F0296" w:rsidRDefault="002E6CF7" w:rsidP="009F0296">
          <w:pPr>
            <w:pStyle w:val="TOC2"/>
            <w:ind w:left="142"/>
            <w:rPr>
              <w:rFonts w:asciiTheme="minorHAnsi" w:eastAsiaTheme="minorEastAsia" w:hAnsiTheme="minorHAnsi"/>
              <w:noProof/>
              <w:lang w:eastAsia="en-AU"/>
            </w:rPr>
          </w:pPr>
          <w:hyperlink w:anchor="_Toc142051866" w:history="1">
            <w:r w:rsidR="009F0296" w:rsidRPr="00C5185F">
              <w:rPr>
                <w:rStyle w:val="Hyperlink"/>
                <w:noProof/>
              </w:rPr>
              <w:t>2.2 The housing and homelessness system: a snapshot</w:t>
            </w:r>
            <w:r w:rsidR="009F0296">
              <w:rPr>
                <w:noProof/>
                <w:webHidden/>
              </w:rPr>
              <w:tab/>
            </w:r>
            <w:r w:rsidR="009F0296">
              <w:rPr>
                <w:noProof/>
                <w:webHidden/>
              </w:rPr>
              <w:fldChar w:fldCharType="begin"/>
            </w:r>
            <w:r w:rsidR="009F0296">
              <w:rPr>
                <w:noProof/>
                <w:webHidden/>
              </w:rPr>
              <w:instrText xml:space="preserve"> PAGEREF _Toc142051866 \h </w:instrText>
            </w:r>
            <w:r w:rsidR="009F0296">
              <w:rPr>
                <w:noProof/>
                <w:webHidden/>
              </w:rPr>
            </w:r>
            <w:r w:rsidR="009F0296">
              <w:rPr>
                <w:noProof/>
                <w:webHidden/>
              </w:rPr>
              <w:fldChar w:fldCharType="separate"/>
            </w:r>
            <w:r w:rsidR="00F6502A">
              <w:rPr>
                <w:noProof/>
                <w:webHidden/>
              </w:rPr>
              <w:t>17</w:t>
            </w:r>
            <w:r w:rsidR="009F0296">
              <w:rPr>
                <w:noProof/>
                <w:webHidden/>
              </w:rPr>
              <w:fldChar w:fldCharType="end"/>
            </w:r>
          </w:hyperlink>
        </w:p>
        <w:p w14:paraId="67670142" w14:textId="460EA5DE" w:rsidR="009F0296" w:rsidRDefault="002E6CF7" w:rsidP="009F0296">
          <w:pPr>
            <w:pStyle w:val="TOC2"/>
            <w:ind w:left="142"/>
            <w:rPr>
              <w:rFonts w:asciiTheme="minorHAnsi" w:eastAsiaTheme="minorEastAsia" w:hAnsiTheme="minorHAnsi"/>
              <w:noProof/>
              <w:lang w:eastAsia="en-AU"/>
            </w:rPr>
          </w:pPr>
          <w:hyperlink w:anchor="_Toc142051867" w:history="1">
            <w:r w:rsidR="009F0296" w:rsidRPr="00C5185F">
              <w:rPr>
                <w:rStyle w:val="Hyperlink"/>
                <w:noProof/>
              </w:rPr>
              <w:t>2.3 What is the current approach of governments?</w:t>
            </w:r>
            <w:r w:rsidR="009F0296">
              <w:rPr>
                <w:noProof/>
                <w:webHidden/>
              </w:rPr>
              <w:tab/>
            </w:r>
            <w:r w:rsidR="009F0296">
              <w:rPr>
                <w:noProof/>
                <w:webHidden/>
              </w:rPr>
              <w:fldChar w:fldCharType="begin"/>
            </w:r>
            <w:r w:rsidR="009F0296">
              <w:rPr>
                <w:noProof/>
                <w:webHidden/>
              </w:rPr>
              <w:instrText xml:space="preserve"> PAGEREF _Toc142051867 \h </w:instrText>
            </w:r>
            <w:r w:rsidR="009F0296">
              <w:rPr>
                <w:noProof/>
                <w:webHidden/>
              </w:rPr>
            </w:r>
            <w:r w:rsidR="009F0296">
              <w:rPr>
                <w:noProof/>
                <w:webHidden/>
              </w:rPr>
              <w:fldChar w:fldCharType="separate"/>
            </w:r>
            <w:r w:rsidR="00F6502A">
              <w:rPr>
                <w:noProof/>
                <w:webHidden/>
              </w:rPr>
              <w:t>19</w:t>
            </w:r>
            <w:r w:rsidR="009F0296">
              <w:rPr>
                <w:noProof/>
                <w:webHidden/>
              </w:rPr>
              <w:fldChar w:fldCharType="end"/>
            </w:r>
          </w:hyperlink>
        </w:p>
        <w:p w14:paraId="75A81F88" w14:textId="3E0CD272" w:rsidR="009F0296" w:rsidRDefault="002E6CF7" w:rsidP="009F0296">
          <w:pPr>
            <w:pStyle w:val="TOC1"/>
            <w:ind w:left="142"/>
            <w:rPr>
              <w:rFonts w:asciiTheme="minorHAnsi" w:eastAsiaTheme="minorEastAsia" w:hAnsiTheme="minorHAnsi" w:cstheme="minorBidi"/>
              <w:b w:val="0"/>
              <w:lang w:eastAsia="en-AU"/>
            </w:rPr>
          </w:pPr>
          <w:hyperlink w:anchor="_Toc142051868" w:history="1">
            <w:r w:rsidR="009F0296" w:rsidRPr="00C5185F">
              <w:rPr>
                <w:rStyle w:val="Hyperlink"/>
              </w:rPr>
              <w:t>3. Focus areas</w:t>
            </w:r>
            <w:r w:rsidR="009F0296">
              <w:rPr>
                <w:webHidden/>
              </w:rPr>
              <w:tab/>
            </w:r>
            <w:r w:rsidR="009F0296">
              <w:rPr>
                <w:webHidden/>
              </w:rPr>
              <w:fldChar w:fldCharType="begin"/>
            </w:r>
            <w:r w:rsidR="009F0296">
              <w:rPr>
                <w:webHidden/>
              </w:rPr>
              <w:instrText xml:space="preserve"> PAGEREF _Toc142051868 \h </w:instrText>
            </w:r>
            <w:r w:rsidR="009F0296">
              <w:rPr>
                <w:webHidden/>
              </w:rPr>
            </w:r>
            <w:r w:rsidR="009F0296">
              <w:rPr>
                <w:webHidden/>
              </w:rPr>
              <w:fldChar w:fldCharType="separate"/>
            </w:r>
            <w:r w:rsidR="00F6502A">
              <w:rPr>
                <w:webHidden/>
              </w:rPr>
              <w:t>22</w:t>
            </w:r>
            <w:r w:rsidR="009F0296">
              <w:rPr>
                <w:webHidden/>
              </w:rPr>
              <w:fldChar w:fldCharType="end"/>
            </w:r>
          </w:hyperlink>
        </w:p>
        <w:p w14:paraId="4DCEAD73" w14:textId="44EFB440" w:rsidR="009F0296" w:rsidRDefault="002E6CF7" w:rsidP="009F0296">
          <w:pPr>
            <w:pStyle w:val="TOC2"/>
            <w:ind w:left="142"/>
            <w:rPr>
              <w:rFonts w:asciiTheme="minorHAnsi" w:eastAsiaTheme="minorEastAsia" w:hAnsiTheme="minorHAnsi"/>
              <w:noProof/>
              <w:lang w:eastAsia="en-AU"/>
            </w:rPr>
          </w:pPr>
          <w:hyperlink w:anchor="_Toc142051869" w:history="1">
            <w:r w:rsidR="009F0296" w:rsidRPr="00C5185F">
              <w:rPr>
                <w:rStyle w:val="Hyperlink"/>
                <w:noProof/>
              </w:rPr>
              <w:t>3.1 Homelessness</w:t>
            </w:r>
            <w:r w:rsidR="009F0296">
              <w:rPr>
                <w:noProof/>
                <w:webHidden/>
              </w:rPr>
              <w:tab/>
            </w:r>
            <w:r w:rsidR="009F0296">
              <w:rPr>
                <w:noProof/>
                <w:webHidden/>
              </w:rPr>
              <w:fldChar w:fldCharType="begin"/>
            </w:r>
            <w:r w:rsidR="009F0296">
              <w:rPr>
                <w:noProof/>
                <w:webHidden/>
              </w:rPr>
              <w:instrText xml:space="preserve"> PAGEREF _Toc142051869 \h </w:instrText>
            </w:r>
            <w:r w:rsidR="009F0296">
              <w:rPr>
                <w:noProof/>
                <w:webHidden/>
              </w:rPr>
            </w:r>
            <w:r w:rsidR="009F0296">
              <w:rPr>
                <w:noProof/>
                <w:webHidden/>
              </w:rPr>
              <w:fldChar w:fldCharType="separate"/>
            </w:r>
            <w:r w:rsidR="00F6502A">
              <w:rPr>
                <w:noProof/>
                <w:webHidden/>
              </w:rPr>
              <w:t>22</w:t>
            </w:r>
            <w:r w:rsidR="009F0296">
              <w:rPr>
                <w:noProof/>
                <w:webHidden/>
              </w:rPr>
              <w:fldChar w:fldCharType="end"/>
            </w:r>
          </w:hyperlink>
        </w:p>
        <w:p w14:paraId="0CE0F729" w14:textId="292CFB04" w:rsidR="009F0296" w:rsidRDefault="002E6CF7" w:rsidP="009F0296">
          <w:pPr>
            <w:pStyle w:val="TOC2"/>
            <w:ind w:left="142"/>
            <w:rPr>
              <w:rFonts w:asciiTheme="minorHAnsi" w:eastAsiaTheme="minorEastAsia" w:hAnsiTheme="minorHAnsi"/>
              <w:noProof/>
              <w:lang w:eastAsia="en-AU"/>
            </w:rPr>
          </w:pPr>
          <w:hyperlink w:anchor="_Toc142051870" w:history="1">
            <w:r w:rsidR="009F0296" w:rsidRPr="00C5185F">
              <w:rPr>
                <w:rStyle w:val="Hyperlink"/>
                <w:noProof/>
              </w:rPr>
              <w:t>3.2 Homelessness services</w:t>
            </w:r>
            <w:r w:rsidR="009F0296">
              <w:rPr>
                <w:noProof/>
                <w:webHidden/>
              </w:rPr>
              <w:tab/>
            </w:r>
            <w:r w:rsidR="009F0296">
              <w:rPr>
                <w:noProof/>
                <w:webHidden/>
              </w:rPr>
              <w:fldChar w:fldCharType="begin"/>
            </w:r>
            <w:r w:rsidR="009F0296">
              <w:rPr>
                <w:noProof/>
                <w:webHidden/>
              </w:rPr>
              <w:instrText xml:space="preserve"> PAGEREF _Toc142051870 \h </w:instrText>
            </w:r>
            <w:r w:rsidR="009F0296">
              <w:rPr>
                <w:noProof/>
                <w:webHidden/>
              </w:rPr>
            </w:r>
            <w:r w:rsidR="009F0296">
              <w:rPr>
                <w:noProof/>
                <w:webHidden/>
              </w:rPr>
              <w:fldChar w:fldCharType="separate"/>
            </w:r>
            <w:r w:rsidR="00F6502A">
              <w:rPr>
                <w:noProof/>
                <w:webHidden/>
              </w:rPr>
              <w:t>29</w:t>
            </w:r>
            <w:r w:rsidR="009F0296">
              <w:rPr>
                <w:noProof/>
                <w:webHidden/>
              </w:rPr>
              <w:fldChar w:fldCharType="end"/>
            </w:r>
          </w:hyperlink>
        </w:p>
        <w:p w14:paraId="2D76A654" w14:textId="385D1A94" w:rsidR="009F0296" w:rsidRDefault="002E6CF7" w:rsidP="009F0296">
          <w:pPr>
            <w:pStyle w:val="TOC2"/>
            <w:ind w:left="142"/>
            <w:rPr>
              <w:rFonts w:asciiTheme="minorHAnsi" w:eastAsiaTheme="minorEastAsia" w:hAnsiTheme="minorHAnsi"/>
              <w:noProof/>
              <w:lang w:eastAsia="en-AU"/>
            </w:rPr>
          </w:pPr>
          <w:hyperlink w:anchor="_Toc142051871" w:history="1">
            <w:r w:rsidR="009F0296" w:rsidRPr="00C5185F">
              <w:rPr>
                <w:rStyle w:val="Hyperlink"/>
                <w:noProof/>
              </w:rPr>
              <w:t>3.3 Aboriginal and Torres Strait Islander Housing</w:t>
            </w:r>
            <w:r w:rsidR="009F0296">
              <w:rPr>
                <w:noProof/>
                <w:webHidden/>
              </w:rPr>
              <w:tab/>
            </w:r>
            <w:r w:rsidR="009F0296">
              <w:rPr>
                <w:noProof/>
                <w:webHidden/>
              </w:rPr>
              <w:fldChar w:fldCharType="begin"/>
            </w:r>
            <w:r w:rsidR="009F0296">
              <w:rPr>
                <w:noProof/>
                <w:webHidden/>
              </w:rPr>
              <w:instrText xml:space="preserve"> PAGEREF _Toc142051871 \h </w:instrText>
            </w:r>
            <w:r w:rsidR="009F0296">
              <w:rPr>
                <w:noProof/>
                <w:webHidden/>
              </w:rPr>
            </w:r>
            <w:r w:rsidR="009F0296">
              <w:rPr>
                <w:noProof/>
                <w:webHidden/>
              </w:rPr>
              <w:fldChar w:fldCharType="separate"/>
            </w:r>
            <w:r w:rsidR="00F6502A">
              <w:rPr>
                <w:noProof/>
                <w:webHidden/>
              </w:rPr>
              <w:t>37</w:t>
            </w:r>
            <w:r w:rsidR="009F0296">
              <w:rPr>
                <w:noProof/>
                <w:webHidden/>
              </w:rPr>
              <w:fldChar w:fldCharType="end"/>
            </w:r>
          </w:hyperlink>
        </w:p>
        <w:p w14:paraId="3BD7B477" w14:textId="0E91B135" w:rsidR="009F0296" w:rsidRDefault="002E6CF7" w:rsidP="009F0296">
          <w:pPr>
            <w:pStyle w:val="TOC2"/>
            <w:ind w:left="142"/>
            <w:rPr>
              <w:rFonts w:asciiTheme="minorHAnsi" w:eastAsiaTheme="minorEastAsia" w:hAnsiTheme="minorHAnsi"/>
              <w:noProof/>
              <w:lang w:eastAsia="en-AU"/>
            </w:rPr>
          </w:pPr>
          <w:hyperlink w:anchor="_Toc142051872" w:history="1">
            <w:r w:rsidR="009F0296" w:rsidRPr="00C5185F">
              <w:rPr>
                <w:rStyle w:val="Hyperlink"/>
                <w:noProof/>
              </w:rPr>
              <w:t>3.4 Social housing</w:t>
            </w:r>
            <w:r w:rsidR="009F0296">
              <w:rPr>
                <w:noProof/>
                <w:webHidden/>
              </w:rPr>
              <w:tab/>
            </w:r>
            <w:r w:rsidR="009F0296">
              <w:rPr>
                <w:noProof/>
                <w:webHidden/>
              </w:rPr>
              <w:fldChar w:fldCharType="begin"/>
            </w:r>
            <w:r w:rsidR="009F0296">
              <w:rPr>
                <w:noProof/>
                <w:webHidden/>
              </w:rPr>
              <w:instrText xml:space="preserve"> PAGEREF _Toc142051872 \h </w:instrText>
            </w:r>
            <w:r w:rsidR="009F0296">
              <w:rPr>
                <w:noProof/>
                <w:webHidden/>
              </w:rPr>
            </w:r>
            <w:r w:rsidR="009F0296">
              <w:rPr>
                <w:noProof/>
                <w:webHidden/>
              </w:rPr>
              <w:fldChar w:fldCharType="separate"/>
            </w:r>
            <w:r w:rsidR="00F6502A">
              <w:rPr>
                <w:noProof/>
                <w:webHidden/>
              </w:rPr>
              <w:t>44</w:t>
            </w:r>
            <w:r w:rsidR="009F0296">
              <w:rPr>
                <w:noProof/>
                <w:webHidden/>
              </w:rPr>
              <w:fldChar w:fldCharType="end"/>
            </w:r>
          </w:hyperlink>
        </w:p>
        <w:p w14:paraId="5D330BCD" w14:textId="1064EC5E" w:rsidR="009F0296" w:rsidRDefault="002E6CF7" w:rsidP="009F0296">
          <w:pPr>
            <w:pStyle w:val="TOC2"/>
            <w:ind w:left="142"/>
            <w:rPr>
              <w:rFonts w:asciiTheme="minorHAnsi" w:eastAsiaTheme="minorEastAsia" w:hAnsiTheme="minorHAnsi"/>
              <w:noProof/>
              <w:lang w:eastAsia="en-AU"/>
            </w:rPr>
          </w:pPr>
          <w:hyperlink w:anchor="_Toc142051873" w:history="1">
            <w:r w:rsidR="009F0296" w:rsidRPr="00C5185F">
              <w:rPr>
                <w:rStyle w:val="Hyperlink"/>
                <w:noProof/>
              </w:rPr>
              <w:t>3.5 Housing costs, home ownership and the private rental market in Australia</w:t>
            </w:r>
            <w:r w:rsidR="009F0296">
              <w:rPr>
                <w:noProof/>
                <w:webHidden/>
              </w:rPr>
              <w:tab/>
            </w:r>
            <w:r w:rsidR="009F0296">
              <w:rPr>
                <w:noProof/>
                <w:webHidden/>
              </w:rPr>
              <w:fldChar w:fldCharType="begin"/>
            </w:r>
            <w:r w:rsidR="009F0296">
              <w:rPr>
                <w:noProof/>
                <w:webHidden/>
              </w:rPr>
              <w:instrText xml:space="preserve"> PAGEREF _Toc142051873 \h </w:instrText>
            </w:r>
            <w:r w:rsidR="009F0296">
              <w:rPr>
                <w:noProof/>
                <w:webHidden/>
              </w:rPr>
            </w:r>
            <w:r w:rsidR="009F0296">
              <w:rPr>
                <w:noProof/>
                <w:webHidden/>
              </w:rPr>
              <w:fldChar w:fldCharType="separate"/>
            </w:r>
            <w:r w:rsidR="00F6502A">
              <w:rPr>
                <w:noProof/>
                <w:webHidden/>
              </w:rPr>
              <w:t>59</w:t>
            </w:r>
            <w:r w:rsidR="009F0296">
              <w:rPr>
                <w:noProof/>
                <w:webHidden/>
              </w:rPr>
              <w:fldChar w:fldCharType="end"/>
            </w:r>
          </w:hyperlink>
        </w:p>
        <w:p w14:paraId="0A5897C2" w14:textId="65AD4016" w:rsidR="009F0296" w:rsidRDefault="002E6CF7" w:rsidP="009F0296">
          <w:pPr>
            <w:pStyle w:val="TOC2"/>
            <w:ind w:left="142"/>
            <w:rPr>
              <w:rFonts w:asciiTheme="minorHAnsi" w:eastAsiaTheme="minorEastAsia" w:hAnsiTheme="minorHAnsi"/>
              <w:noProof/>
              <w:lang w:eastAsia="en-AU"/>
            </w:rPr>
          </w:pPr>
          <w:hyperlink w:anchor="_Toc142051874" w:history="1">
            <w:r w:rsidR="009F0296" w:rsidRPr="00C5185F">
              <w:rPr>
                <w:rStyle w:val="Hyperlink"/>
                <w:noProof/>
              </w:rPr>
              <w:t>3.6 The importance of planning, zoning and development</w:t>
            </w:r>
            <w:r w:rsidR="009F0296">
              <w:rPr>
                <w:noProof/>
                <w:webHidden/>
              </w:rPr>
              <w:tab/>
            </w:r>
            <w:r w:rsidR="009F0296">
              <w:rPr>
                <w:noProof/>
                <w:webHidden/>
              </w:rPr>
              <w:fldChar w:fldCharType="begin"/>
            </w:r>
            <w:r w:rsidR="009F0296">
              <w:rPr>
                <w:noProof/>
                <w:webHidden/>
              </w:rPr>
              <w:instrText xml:space="preserve"> PAGEREF _Toc142051874 \h </w:instrText>
            </w:r>
            <w:r w:rsidR="009F0296">
              <w:rPr>
                <w:noProof/>
                <w:webHidden/>
              </w:rPr>
            </w:r>
            <w:r w:rsidR="009F0296">
              <w:rPr>
                <w:noProof/>
                <w:webHidden/>
              </w:rPr>
              <w:fldChar w:fldCharType="separate"/>
            </w:r>
            <w:r w:rsidR="00F6502A">
              <w:rPr>
                <w:noProof/>
                <w:webHidden/>
              </w:rPr>
              <w:t>71</w:t>
            </w:r>
            <w:r w:rsidR="009F0296">
              <w:rPr>
                <w:noProof/>
                <w:webHidden/>
              </w:rPr>
              <w:fldChar w:fldCharType="end"/>
            </w:r>
          </w:hyperlink>
        </w:p>
        <w:p w14:paraId="03C2B09E" w14:textId="539E64BD" w:rsidR="009F0296" w:rsidRDefault="002E6CF7" w:rsidP="009F0296">
          <w:pPr>
            <w:pStyle w:val="TOC2"/>
            <w:ind w:left="142"/>
            <w:rPr>
              <w:rFonts w:asciiTheme="minorHAnsi" w:eastAsiaTheme="minorEastAsia" w:hAnsiTheme="minorHAnsi"/>
              <w:noProof/>
              <w:lang w:eastAsia="en-AU"/>
            </w:rPr>
          </w:pPr>
          <w:hyperlink w:anchor="_Toc142051875" w:history="1">
            <w:r w:rsidR="009F0296" w:rsidRPr="00C5185F">
              <w:rPr>
                <w:rStyle w:val="Hyperlink"/>
                <w:noProof/>
              </w:rPr>
              <w:t>3.7 The impact of climate change and disasters on housing security, sustainability and health</w:t>
            </w:r>
            <w:r w:rsidR="009F0296">
              <w:rPr>
                <w:noProof/>
                <w:webHidden/>
              </w:rPr>
              <w:tab/>
            </w:r>
            <w:r w:rsidR="009F0296">
              <w:rPr>
                <w:noProof/>
                <w:webHidden/>
              </w:rPr>
              <w:fldChar w:fldCharType="begin"/>
            </w:r>
            <w:r w:rsidR="009F0296">
              <w:rPr>
                <w:noProof/>
                <w:webHidden/>
              </w:rPr>
              <w:instrText xml:space="preserve"> PAGEREF _Toc142051875 \h </w:instrText>
            </w:r>
            <w:r w:rsidR="009F0296">
              <w:rPr>
                <w:noProof/>
                <w:webHidden/>
              </w:rPr>
            </w:r>
            <w:r w:rsidR="009F0296">
              <w:rPr>
                <w:noProof/>
                <w:webHidden/>
              </w:rPr>
              <w:fldChar w:fldCharType="separate"/>
            </w:r>
            <w:r w:rsidR="00F6502A">
              <w:rPr>
                <w:noProof/>
                <w:webHidden/>
              </w:rPr>
              <w:t>77</w:t>
            </w:r>
            <w:r w:rsidR="009F0296">
              <w:rPr>
                <w:noProof/>
                <w:webHidden/>
              </w:rPr>
              <w:fldChar w:fldCharType="end"/>
            </w:r>
          </w:hyperlink>
        </w:p>
        <w:p w14:paraId="5EFE4748" w14:textId="4A432F5C" w:rsidR="009F0296" w:rsidRDefault="002E6CF7" w:rsidP="009F0296">
          <w:pPr>
            <w:pStyle w:val="TOC1"/>
            <w:ind w:left="142"/>
            <w:rPr>
              <w:rFonts w:asciiTheme="minorHAnsi" w:eastAsiaTheme="minorEastAsia" w:hAnsiTheme="minorHAnsi" w:cstheme="minorBidi"/>
              <w:b w:val="0"/>
              <w:lang w:eastAsia="en-AU"/>
            </w:rPr>
          </w:pPr>
          <w:hyperlink w:anchor="_Toc142051876" w:history="1">
            <w:r w:rsidR="009F0296" w:rsidRPr="00C5185F">
              <w:rPr>
                <w:rStyle w:val="Hyperlink"/>
              </w:rPr>
              <w:t>Your feedback is important</w:t>
            </w:r>
            <w:r w:rsidR="009F0296">
              <w:rPr>
                <w:webHidden/>
              </w:rPr>
              <w:tab/>
            </w:r>
            <w:r w:rsidR="009F0296">
              <w:rPr>
                <w:webHidden/>
              </w:rPr>
              <w:fldChar w:fldCharType="begin"/>
            </w:r>
            <w:r w:rsidR="009F0296">
              <w:rPr>
                <w:webHidden/>
              </w:rPr>
              <w:instrText xml:space="preserve"> PAGEREF _Toc142051876 \h </w:instrText>
            </w:r>
            <w:r w:rsidR="009F0296">
              <w:rPr>
                <w:webHidden/>
              </w:rPr>
            </w:r>
            <w:r w:rsidR="009F0296">
              <w:rPr>
                <w:webHidden/>
              </w:rPr>
              <w:fldChar w:fldCharType="separate"/>
            </w:r>
            <w:r w:rsidR="00F6502A">
              <w:rPr>
                <w:webHidden/>
              </w:rPr>
              <w:t>82</w:t>
            </w:r>
            <w:r w:rsidR="009F0296">
              <w:rPr>
                <w:webHidden/>
              </w:rPr>
              <w:fldChar w:fldCharType="end"/>
            </w:r>
          </w:hyperlink>
        </w:p>
        <w:p w14:paraId="2502F0C9" w14:textId="74ED32F0" w:rsidR="00DB4134" w:rsidRPr="00452AD2" w:rsidRDefault="00D538F1" w:rsidP="00D0474B">
          <w:pPr>
            <w:pStyle w:val="TOC1"/>
            <w:ind w:left="284"/>
            <w:rPr>
              <w:rFonts w:asciiTheme="minorHAnsi" w:eastAsiaTheme="minorEastAsia" w:hAnsiTheme="minorHAnsi" w:cstheme="minorBidi"/>
              <w:b w:val="0"/>
              <w:lang w:eastAsia="en-AU"/>
            </w:rPr>
          </w:pPr>
          <w:r w:rsidRPr="00B50802">
            <w:fldChar w:fldCharType="end"/>
          </w:r>
        </w:p>
      </w:sdtContent>
    </w:sdt>
    <w:p w14:paraId="7CDC07A9" w14:textId="77777777" w:rsidR="00D538F1" w:rsidRPr="00B50802" w:rsidRDefault="00D538F1">
      <w:pPr>
        <w:rPr>
          <w:rStyle w:val="Strong"/>
          <w:rFonts w:ascii="Georgia" w:hAnsi="Georgia"/>
          <w:b w:val="0"/>
          <w:color w:val="500778"/>
          <w:sz w:val="48"/>
          <w:szCs w:val="48"/>
        </w:rPr>
      </w:pPr>
      <w:r w:rsidRPr="00B50802">
        <w:rPr>
          <w:rStyle w:val="Strong"/>
          <w:rFonts w:ascii="Georgia" w:hAnsi="Georgia"/>
          <w:b w:val="0"/>
          <w:color w:val="500778"/>
          <w:sz w:val="48"/>
          <w:szCs w:val="48"/>
        </w:rPr>
        <w:br w:type="page"/>
      </w:r>
    </w:p>
    <w:p w14:paraId="0C4A695A" w14:textId="77777777" w:rsidR="000F6B86" w:rsidRDefault="000F6B86" w:rsidP="000F6B86">
      <w:pPr>
        <w:pStyle w:val="BodyText"/>
        <w:spacing w:before="8040" w:line="266" w:lineRule="auto"/>
        <w:ind w:right="96"/>
        <w:rPr>
          <w:rFonts w:ascii="Arial" w:hAnsi="Arial" w:cs="Arial"/>
          <w:b/>
          <w:sz w:val="22"/>
          <w:szCs w:val="22"/>
        </w:rPr>
      </w:pPr>
      <w:bookmarkStart w:id="0" w:name="_Toc129346009"/>
      <w:bookmarkStart w:id="1" w:name="_Toc129347796"/>
      <w:bookmarkStart w:id="2" w:name="_Toc129348488"/>
      <w:bookmarkStart w:id="3" w:name="_Toc129348579"/>
      <w:bookmarkStart w:id="4" w:name="_Toc129349407"/>
      <w:bookmarkStart w:id="5" w:name="_Toc129351666"/>
      <w:bookmarkStart w:id="6" w:name="_Toc129353370"/>
      <w:bookmarkStart w:id="7" w:name="_Toc129353944"/>
      <w:bookmarkStart w:id="8" w:name="_Toc129355730"/>
      <w:bookmarkStart w:id="9" w:name="_Toc129355774"/>
      <w:bookmarkStart w:id="10" w:name="_Toc129354142"/>
      <w:bookmarkStart w:id="11" w:name="_Toc129354244"/>
      <w:bookmarkStart w:id="12" w:name="_Toc129354412"/>
      <w:bookmarkStart w:id="13" w:name="_Toc129356724"/>
      <w:bookmarkStart w:id="14" w:name="_Toc129359505"/>
      <w:bookmarkStart w:id="15" w:name="_Toc129359595"/>
      <w:bookmarkStart w:id="16" w:name="_Toc129360245"/>
      <w:bookmarkStart w:id="17" w:name="_Toc129360490"/>
      <w:bookmarkStart w:id="18" w:name="_Toc129360817"/>
      <w:bookmarkStart w:id="19" w:name="_Toc132293082"/>
      <w:bookmarkStart w:id="20" w:name="_Toc132293434"/>
      <w:bookmarkStart w:id="21" w:name="_Toc132293459"/>
      <w:bookmarkStart w:id="22" w:name="_Toc132293548"/>
      <w:bookmarkStart w:id="23" w:name="_Toc132294162"/>
      <w:bookmarkStart w:id="24" w:name="_Toc132360615"/>
      <w:bookmarkStart w:id="25" w:name="_Toc132708327"/>
      <w:bookmarkStart w:id="26" w:name="_Toc133839361"/>
      <w:bookmarkStart w:id="27" w:name="_Toc133840266"/>
      <w:bookmarkStart w:id="28" w:name="_Toc135162284"/>
      <w:bookmarkStart w:id="29" w:name="_Toc126745756"/>
      <w:bookmarkStart w:id="30" w:name="_Toc126754037"/>
      <w:bookmarkStart w:id="31" w:name="_Toc126757175"/>
      <w:bookmarkStart w:id="32" w:name="_Toc126763225"/>
      <w:bookmarkStart w:id="33" w:name="_Toc126827622"/>
      <w:bookmarkStart w:id="34" w:name="_Toc126836974"/>
      <w:bookmarkStart w:id="35" w:name="_Toc126845279"/>
      <w:bookmarkStart w:id="36" w:name="_Toc126852052"/>
      <w:bookmarkStart w:id="37" w:name="_Toc126854340"/>
      <w:bookmarkStart w:id="38" w:name="_Toc126857741"/>
      <w:bookmarkStart w:id="39" w:name="_Toc126920555"/>
      <w:bookmarkStart w:id="40" w:name="_Toc126921155"/>
      <w:bookmarkStart w:id="41" w:name="_Toc126925088"/>
      <w:bookmarkStart w:id="42" w:name="_Toc126930647"/>
      <w:bookmarkStart w:id="43" w:name="_Toc126934932"/>
      <w:bookmarkStart w:id="44" w:name="_Toc126934951"/>
      <w:bookmarkStart w:id="45" w:name="_Toc127189062"/>
      <w:bookmarkStart w:id="46" w:name="_Toc127193494"/>
      <w:bookmarkStart w:id="47" w:name="_Toc127195488"/>
      <w:bookmarkStart w:id="48" w:name="_Toc127272802"/>
      <w:bookmarkStart w:id="49" w:name="_Toc127272833"/>
      <w:bookmarkStart w:id="50" w:name="_Toc127281194"/>
      <w:bookmarkStart w:id="51" w:name="_Toc127285160"/>
      <w:bookmarkStart w:id="52" w:name="_Toc127361794"/>
      <w:bookmarkStart w:id="53" w:name="_Toc127873452"/>
      <w:bookmarkStart w:id="54" w:name="_Toc127881128"/>
      <w:bookmarkStart w:id="55" w:name="_Toc127883113"/>
      <w:bookmarkStart w:id="56" w:name="_Toc127884708"/>
      <w:bookmarkStart w:id="57" w:name="_Toc127885773"/>
      <w:bookmarkStart w:id="58" w:name="_Toc127892092"/>
      <w:bookmarkStart w:id="59" w:name="_Toc127949764"/>
      <w:bookmarkStart w:id="60" w:name="_Toc127954288"/>
      <w:bookmarkStart w:id="61" w:name="_Toc127958427"/>
      <w:bookmarkStart w:id="62" w:name="_Toc127960307"/>
      <w:bookmarkStart w:id="63" w:name="_Toc127960413"/>
      <w:bookmarkStart w:id="64" w:name="_Toc127962399"/>
      <w:bookmarkStart w:id="65" w:name="_Toc127963078"/>
      <w:bookmarkStart w:id="66" w:name="_Toc127964077"/>
      <w:bookmarkStart w:id="67" w:name="_Toc127964531"/>
      <w:bookmarkStart w:id="68" w:name="_Toc127957694"/>
      <w:bookmarkStart w:id="69" w:name="_Toc127968784"/>
      <w:bookmarkStart w:id="70" w:name="_Toc127968813"/>
      <w:bookmarkStart w:id="71" w:name="_Toc127969676"/>
      <w:bookmarkStart w:id="72" w:name="_Toc127970394"/>
      <w:bookmarkStart w:id="73" w:name="_Toc127971956"/>
      <w:bookmarkStart w:id="74" w:name="_Toc127974268"/>
      <w:bookmarkStart w:id="75" w:name="_Toc127974790"/>
      <w:bookmarkStart w:id="76" w:name="_Toc127975945"/>
      <w:bookmarkStart w:id="77" w:name="_Toc127976376"/>
      <w:bookmarkStart w:id="78" w:name="_Toc127977469"/>
      <w:bookmarkStart w:id="79" w:name="_Toc127977516"/>
      <w:bookmarkStart w:id="80" w:name="_Toc127977844"/>
      <w:bookmarkStart w:id="81" w:name="_Toc127978613"/>
      <w:bookmarkStart w:id="82" w:name="_Toc127981632"/>
      <w:bookmarkStart w:id="83" w:name="_Toc127981296"/>
      <w:bookmarkStart w:id="84" w:name="_Toc127981909"/>
      <w:bookmarkStart w:id="85" w:name="_Toc127982813"/>
      <w:bookmarkStart w:id="86" w:name="_Toc127982854"/>
      <w:bookmarkStart w:id="87" w:name="_Toc128037608"/>
      <w:bookmarkStart w:id="88" w:name="_Toc128039377"/>
      <w:bookmarkStart w:id="89" w:name="_Toc128040523"/>
      <w:bookmarkStart w:id="90" w:name="_Toc128041545"/>
      <w:bookmarkStart w:id="91" w:name="_Toc128043350"/>
      <w:bookmarkStart w:id="92" w:name="_Toc128044742"/>
      <w:bookmarkStart w:id="93" w:name="_Toc128046325"/>
      <w:bookmarkStart w:id="94" w:name="_Toc128047210"/>
      <w:bookmarkStart w:id="95" w:name="_Toc128048237"/>
      <w:bookmarkStart w:id="96" w:name="_Toc128049409"/>
      <w:bookmarkStart w:id="97" w:name="_Toc128054946"/>
      <w:bookmarkStart w:id="98" w:name="_Toc128056339"/>
      <w:bookmarkStart w:id="99" w:name="_Toc128062091"/>
      <w:bookmarkStart w:id="100" w:name="_Toc128063229"/>
      <w:bookmarkStart w:id="101" w:name="_Toc128064564"/>
      <w:bookmarkStart w:id="102" w:name="_Toc128065137"/>
      <w:bookmarkStart w:id="103" w:name="_Toc128064928"/>
      <w:bookmarkStart w:id="104" w:name="_Toc128125895"/>
      <w:bookmarkStart w:id="105" w:name="_Toc128126137"/>
      <w:bookmarkStart w:id="106" w:name="_Toc127367672"/>
      <w:bookmarkStart w:id="107" w:name="_Toc127367744"/>
    </w:p>
    <w:p w14:paraId="222D9FE8" w14:textId="0431F9D7" w:rsidR="00B46A2D" w:rsidRPr="00B50802" w:rsidRDefault="00B46A2D" w:rsidP="000F6B86">
      <w:pPr>
        <w:pStyle w:val="BodyText"/>
        <w:spacing w:before="6960" w:line="266" w:lineRule="auto"/>
        <w:ind w:right="96"/>
        <w:rPr>
          <w:rFonts w:ascii="Arial" w:hAnsi="Arial" w:cs="Arial"/>
          <w:b/>
          <w:sz w:val="22"/>
          <w:szCs w:val="22"/>
        </w:rPr>
      </w:pPr>
      <w:r w:rsidRPr="00B50802">
        <w:rPr>
          <w:rFonts w:ascii="Arial" w:hAnsi="Arial" w:cs="Arial"/>
          <w:b/>
          <w:sz w:val="22"/>
          <w:szCs w:val="22"/>
        </w:rPr>
        <w:t xml:space="preserve">Copyright notice </w:t>
      </w:r>
      <w:r w:rsidRPr="00B50802">
        <w:rPr>
          <w:rFonts w:ascii="Arial" w:hAnsi="Arial" w:cs="Arial"/>
          <w:sz w:val="22"/>
          <w:szCs w:val="22"/>
        </w:rPr>
        <w:t>— 2023</w:t>
      </w:r>
    </w:p>
    <w:p w14:paraId="2D2A0BEF" w14:textId="78649E4A" w:rsidR="00B46A2D" w:rsidRPr="00B50802" w:rsidRDefault="000F6B86" w:rsidP="007E623C">
      <w:pPr>
        <w:pStyle w:val="BodyText"/>
        <w:spacing w:before="144" w:line="266" w:lineRule="auto"/>
        <w:ind w:right="95"/>
        <w:rPr>
          <w:rFonts w:ascii="Arial" w:hAnsi="Arial" w:cs="Arial"/>
          <w:sz w:val="22"/>
          <w:szCs w:val="22"/>
        </w:rPr>
      </w:pPr>
      <w:r w:rsidRPr="00B50802">
        <w:rPr>
          <w:rFonts w:ascii="Arial" w:hAnsi="Arial" w:cs="Arial"/>
          <w:b/>
          <w:noProof/>
          <w:sz w:val="22"/>
          <w:szCs w:val="22"/>
          <w:lang w:eastAsia="en-AU"/>
        </w:rPr>
        <w:drawing>
          <wp:inline distT="0" distB="0" distL="0" distR="0" wp14:anchorId="29AF593F" wp14:editId="2AEF6B36">
            <wp:extent cx="1003300" cy="346075"/>
            <wp:effectExtent l="0" t="0" r="6350" b="0"/>
            <wp:docPr id="266" name="Picture 266" descr="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300" cy="346075"/>
                    </a:xfrm>
                    <a:prstGeom prst="rect">
                      <a:avLst/>
                    </a:prstGeom>
                    <a:noFill/>
                    <a:ln>
                      <a:noFill/>
                    </a:ln>
                    <a:extLst/>
                  </pic:spPr>
                </pic:pic>
              </a:graphicData>
            </a:graphic>
          </wp:inline>
        </w:drawing>
      </w:r>
      <w:r w:rsidR="007E623C" w:rsidRPr="00B50802">
        <w:rPr>
          <w:rFonts w:ascii="Arial" w:hAnsi="Arial" w:cs="Arial"/>
          <w:sz w:val="22"/>
          <w:szCs w:val="22"/>
        </w:rPr>
        <w:br/>
      </w:r>
    </w:p>
    <w:p w14:paraId="4118968F" w14:textId="249D48A3" w:rsidR="00B46A2D" w:rsidRPr="00B50802" w:rsidRDefault="00B46A2D" w:rsidP="007E623C">
      <w:pPr>
        <w:pStyle w:val="BodyText"/>
        <w:spacing w:before="144" w:line="266" w:lineRule="auto"/>
        <w:ind w:right="95"/>
        <w:rPr>
          <w:rFonts w:ascii="Arial" w:hAnsi="Arial" w:cs="Arial"/>
          <w:sz w:val="22"/>
          <w:szCs w:val="22"/>
        </w:rPr>
      </w:pPr>
      <w:r w:rsidRPr="00B50802">
        <w:rPr>
          <w:rFonts w:ascii="Arial" w:hAnsi="Arial" w:cs="Arial"/>
          <w:sz w:val="22"/>
          <w:szCs w:val="22"/>
        </w:rPr>
        <w:t>This document</w:t>
      </w:r>
      <w:r w:rsidR="007E623C" w:rsidRPr="00B50802">
        <w:rPr>
          <w:rFonts w:ascii="Arial" w:hAnsi="Arial" w:cs="Arial"/>
          <w:sz w:val="22"/>
          <w:szCs w:val="22"/>
        </w:rPr>
        <w:t xml:space="preserve">, </w:t>
      </w:r>
      <w:r w:rsidR="007E623C" w:rsidRPr="00B50802">
        <w:rPr>
          <w:rFonts w:ascii="Arial" w:hAnsi="Arial" w:cs="Arial"/>
          <w:i/>
          <w:sz w:val="22"/>
          <w:szCs w:val="22"/>
        </w:rPr>
        <w:t>The National Housing and Homelessness Plan Issues Paper</w:t>
      </w:r>
      <w:r w:rsidR="007E623C" w:rsidRPr="00B50802">
        <w:rPr>
          <w:rFonts w:ascii="Arial" w:hAnsi="Arial" w:cs="Arial"/>
          <w:sz w:val="22"/>
          <w:szCs w:val="22"/>
        </w:rPr>
        <w:t>,</w:t>
      </w:r>
      <w:r w:rsidRPr="00B50802">
        <w:rPr>
          <w:rFonts w:ascii="Arial" w:hAnsi="Arial" w:cs="Arial"/>
          <w:sz w:val="22"/>
          <w:szCs w:val="22"/>
        </w:rPr>
        <w:t xml:space="preserve"> is licensed under the </w:t>
      </w:r>
      <w:hyperlink r:id="rId9" w:history="1">
        <w:r w:rsidRPr="00B50802">
          <w:rPr>
            <w:rStyle w:val="Hyperlink"/>
            <w:rFonts w:ascii="Arial" w:hAnsi="Arial" w:cs="Arial"/>
            <w:sz w:val="22"/>
            <w:szCs w:val="22"/>
          </w:rPr>
          <w:t>Creative Commons Attribution 4.0 International licence</w:t>
        </w:r>
      </w:hyperlink>
    </w:p>
    <w:p w14:paraId="6754B168" w14:textId="77777777" w:rsidR="00B46A2D" w:rsidRPr="00B50802" w:rsidRDefault="00B46A2D" w:rsidP="007E623C">
      <w:pPr>
        <w:pStyle w:val="BodyText"/>
        <w:spacing w:before="144" w:line="266" w:lineRule="auto"/>
        <w:ind w:right="95"/>
        <w:rPr>
          <w:rFonts w:ascii="Arial" w:hAnsi="Arial" w:cs="Arial"/>
          <w:sz w:val="22"/>
          <w:szCs w:val="22"/>
        </w:rPr>
      </w:pPr>
      <w:r w:rsidRPr="00B50802">
        <w:rPr>
          <w:rFonts w:ascii="Arial" w:hAnsi="Arial" w:cs="Arial"/>
          <w:b/>
          <w:sz w:val="22"/>
          <w:szCs w:val="22"/>
        </w:rPr>
        <w:t>Licence URL</w:t>
      </w:r>
      <w:r w:rsidRPr="00B50802">
        <w:rPr>
          <w:rFonts w:ascii="Arial" w:hAnsi="Arial" w:cs="Arial"/>
          <w:sz w:val="22"/>
          <w:szCs w:val="22"/>
        </w:rPr>
        <w:t xml:space="preserve">: </w:t>
      </w:r>
      <w:hyperlink r:id="rId10" w:history="1">
        <w:r w:rsidRPr="00B50802">
          <w:rPr>
            <w:rStyle w:val="Hyperlink"/>
            <w:rFonts w:ascii="Arial" w:hAnsi="Arial" w:cs="Arial"/>
            <w:sz w:val="22"/>
            <w:szCs w:val="22"/>
          </w:rPr>
          <w:t>https://creativecommons.org/licenses/by/4.0/legalcode</w:t>
        </w:r>
      </w:hyperlink>
    </w:p>
    <w:p w14:paraId="3726CB3B" w14:textId="5D7C1934" w:rsidR="00B46A2D" w:rsidRPr="00B50802" w:rsidRDefault="00B46A2D" w:rsidP="007E623C">
      <w:pPr>
        <w:pStyle w:val="BodyText"/>
        <w:spacing w:before="144" w:line="266" w:lineRule="auto"/>
        <w:ind w:right="95"/>
        <w:rPr>
          <w:rFonts w:ascii="Arial" w:hAnsi="Arial" w:cs="Arial"/>
          <w:sz w:val="22"/>
          <w:szCs w:val="22"/>
        </w:rPr>
      </w:pPr>
      <w:r w:rsidRPr="00B50802">
        <w:rPr>
          <w:rFonts w:ascii="Arial" w:hAnsi="Arial" w:cs="Arial"/>
          <w:b/>
          <w:sz w:val="22"/>
          <w:szCs w:val="22"/>
        </w:rPr>
        <w:t>Please attribute:</w:t>
      </w:r>
      <w:r w:rsidRPr="00B50802">
        <w:rPr>
          <w:rFonts w:ascii="Arial" w:hAnsi="Arial" w:cs="Arial"/>
          <w:sz w:val="22"/>
          <w:szCs w:val="22"/>
        </w:rPr>
        <w:t xml:space="preserve"> © Commonwealth of Australia (</w:t>
      </w:r>
      <w:hyperlink r:id="rId11" w:history="1">
        <w:r w:rsidRPr="00B50802">
          <w:rPr>
            <w:rStyle w:val="Hyperlink"/>
            <w:rFonts w:ascii="Arial" w:hAnsi="Arial" w:cs="Arial"/>
            <w:sz w:val="22"/>
            <w:szCs w:val="22"/>
          </w:rPr>
          <w:t>Department of Social Services</w:t>
        </w:r>
      </w:hyperlink>
      <w:r w:rsidRPr="00B50802">
        <w:rPr>
          <w:rFonts w:ascii="Arial" w:hAnsi="Arial" w:cs="Arial"/>
          <w:sz w:val="22"/>
          <w:szCs w:val="22"/>
        </w:rPr>
        <w:t xml:space="preserve">) </w:t>
      </w:r>
      <w:r w:rsidR="007E623C" w:rsidRPr="00B50802">
        <w:rPr>
          <w:rFonts w:ascii="Arial" w:hAnsi="Arial" w:cs="Arial"/>
          <w:sz w:val="22"/>
          <w:szCs w:val="22"/>
        </w:rPr>
        <w:t>2023</w:t>
      </w:r>
    </w:p>
    <w:p w14:paraId="664F7837" w14:textId="77777777" w:rsidR="00B46A2D" w:rsidRPr="007D4ADA" w:rsidRDefault="00B46A2D" w:rsidP="007D4ADA">
      <w:pPr>
        <w:pStyle w:val="Bullet"/>
        <w:rPr>
          <w:rFonts w:ascii="Arial" w:hAnsi="Arial" w:cs="Arial"/>
          <w:b/>
        </w:rPr>
      </w:pPr>
      <w:bookmarkStart w:id="108" w:name="_Toc141969812"/>
      <w:bookmarkStart w:id="109" w:name="_Toc141972435"/>
      <w:bookmarkStart w:id="110" w:name="_Toc141972648"/>
      <w:bookmarkStart w:id="111" w:name="_Toc141972922"/>
      <w:bookmarkStart w:id="112" w:name="_Toc142042482"/>
      <w:bookmarkStart w:id="113" w:name="_Toc142042691"/>
      <w:r w:rsidRPr="007D4ADA">
        <w:rPr>
          <w:rFonts w:ascii="Arial" w:hAnsi="Arial" w:cs="Arial"/>
          <w:b/>
        </w:rPr>
        <w:t>Notice:</w:t>
      </w:r>
      <w:bookmarkEnd w:id="108"/>
      <w:bookmarkEnd w:id="109"/>
      <w:bookmarkEnd w:id="110"/>
      <w:bookmarkEnd w:id="111"/>
      <w:bookmarkEnd w:id="112"/>
      <w:bookmarkEnd w:id="113"/>
    </w:p>
    <w:p w14:paraId="11C3B165" w14:textId="77777777" w:rsidR="00B46A2D" w:rsidRPr="00B50802" w:rsidRDefault="00B46A2D" w:rsidP="00F17FAF">
      <w:pPr>
        <w:pStyle w:val="ListParagraph"/>
        <w:widowControl w:val="0"/>
        <w:numPr>
          <w:ilvl w:val="0"/>
          <w:numId w:val="18"/>
        </w:numPr>
        <w:tabs>
          <w:tab w:val="left" w:pos="641"/>
        </w:tabs>
        <w:autoSpaceDE w:val="0"/>
        <w:autoSpaceDN w:val="0"/>
        <w:spacing w:before="4" w:after="0" w:line="256" w:lineRule="auto"/>
        <w:ind w:left="567" w:right="95" w:hanging="283"/>
        <w:contextualSpacing w:val="0"/>
        <w:jc w:val="both"/>
      </w:pPr>
      <w:r w:rsidRPr="00B50802">
        <w:t xml:space="preserve">If </w:t>
      </w:r>
      <w:r w:rsidRPr="00B50802">
        <w:rPr>
          <w:spacing w:val="2"/>
        </w:rPr>
        <w:t xml:space="preserve">you </w:t>
      </w:r>
      <w:r w:rsidRPr="00B50802">
        <w:rPr>
          <w:spacing w:val="3"/>
        </w:rPr>
        <w:t xml:space="preserve">create </w:t>
      </w:r>
      <w:r w:rsidRPr="00B50802">
        <w:t xml:space="preserve">a </w:t>
      </w:r>
      <w:r w:rsidRPr="00B50802">
        <w:rPr>
          <w:spacing w:val="3"/>
        </w:rPr>
        <w:t xml:space="preserve">derivative </w:t>
      </w:r>
      <w:r w:rsidRPr="00B50802">
        <w:t xml:space="preserve">of </w:t>
      </w:r>
      <w:r w:rsidRPr="00B50802">
        <w:rPr>
          <w:spacing w:val="3"/>
        </w:rPr>
        <w:t xml:space="preserve">this document, </w:t>
      </w:r>
      <w:r w:rsidRPr="00B50802">
        <w:rPr>
          <w:spacing w:val="2"/>
        </w:rPr>
        <w:t xml:space="preserve">the </w:t>
      </w:r>
      <w:r w:rsidRPr="00B50802">
        <w:rPr>
          <w:spacing w:val="3"/>
        </w:rPr>
        <w:t xml:space="preserve">Department </w:t>
      </w:r>
      <w:r w:rsidRPr="00B50802">
        <w:t xml:space="preserve">of </w:t>
      </w:r>
      <w:r w:rsidRPr="00B50802">
        <w:rPr>
          <w:spacing w:val="3"/>
        </w:rPr>
        <w:t xml:space="preserve">Social </w:t>
      </w:r>
      <w:r w:rsidRPr="00B50802">
        <w:t xml:space="preserve">Services requests </w:t>
      </w:r>
      <w:r w:rsidRPr="00B50802">
        <w:rPr>
          <w:spacing w:val="2"/>
        </w:rPr>
        <w:t xml:space="preserve">the </w:t>
      </w:r>
      <w:r w:rsidRPr="00B50802">
        <w:rPr>
          <w:spacing w:val="3"/>
        </w:rPr>
        <w:t xml:space="preserve">following notice </w:t>
      </w:r>
      <w:r w:rsidRPr="00B50802">
        <w:t xml:space="preserve">be </w:t>
      </w:r>
      <w:r w:rsidRPr="00B50802">
        <w:rPr>
          <w:spacing w:val="3"/>
        </w:rPr>
        <w:t xml:space="preserve">placed </w:t>
      </w:r>
      <w:r w:rsidRPr="00B50802">
        <w:t xml:space="preserve">on </w:t>
      </w:r>
      <w:r w:rsidRPr="00B50802">
        <w:rPr>
          <w:spacing w:val="3"/>
        </w:rPr>
        <w:t xml:space="preserve">your derivative: Based </w:t>
      </w:r>
      <w:r w:rsidRPr="00B50802">
        <w:t xml:space="preserve">on </w:t>
      </w:r>
      <w:r w:rsidRPr="00B50802">
        <w:rPr>
          <w:spacing w:val="3"/>
        </w:rPr>
        <w:t xml:space="preserve">Commonwealth </w:t>
      </w:r>
      <w:r w:rsidRPr="00B50802">
        <w:t xml:space="preserve">of Australia </w:t>
      </w:r>
      <w:r w:rsidRPr="00B50802">
        <w:rPr>
          <w:spacing w:val="3"/>
        </w:rPr>
        <w:t xml:space="preserve">(Department </w:t>
      </w:r>
      <w:r w:rsidRPr="00B50802">
        <w:t xml:space="preserve">of </w:t>
      </w:r>
      <w:r w:rsidRPr="00B50802">
        <w:rPr>
          <w:spacing w:val="3"/>
        </w:rPr>
        <w:t>Social Services)</w:t>
      </w:r>
      <w:r w:rsidRPr="00B50802">
        <w:rPr>
          <w:spacing w:val="29"/>
        </w:rPr>
        <w:t xml:space="preserve"> </w:t>
      </w:r>
      <w:r w:rsidRPr="00B50802">
        <w:t>data.</w:t>
      </w:r>
    </w:p>
    <w:p w14:paraId="1B793A3F" w14:textId="77777777" w:rsidR="00B46A2D" w:rsidRPr="00B50802" w:rsidRDefault="00B46A2D" w:rsidP="00F17FAF">
      <w:pPr>
        <w:pStyle w:val="ListParagraph"/>
        <w:widowControl w:val="0"/>
        <w:numPr>
          <w:ilvl w:val="0"/>
          <w:numId w:val="18"/>
        </w:numPr>
        <w:tabs>
          <w:tab w:val="left" w:pos="641"/>
        </w:tabs>
        <w:autoSpaceDE w:val="0"/>
        <w:autoSpaceDN w:val="0"/>
        <w:spacing w:before="1" w:after="0" w:line="256" w:lineRule="auto"/>
        <w:ind w:left="567" w:right="95" w:hanging="283"/>
        <w:contextualSpacing w:val="0"/>
      </w:pPr>
      <w:r w:rsidRPr="00B50802">
        <w:rPr>
          <w:spacing w:val="3"/>
        </w:rPr>
        <w:t xml:space="preserve">Inquiries regarding this licence </w:t>
      </w:r>
      <w:r w:rsidRPr="00B50802">
        <w:t xml:space="preserve">or </w:t>
      </w:r>
      <w:r w:rsidRPr="00B50802">
        <w:rPr>
          <w:spacing w:val="2"/>
        </w:rPr>
        <w:t xml:space="preserve">any </w:t>
      </w:r>
      <w:r w:rsidRPr="00B50802">
        <w:rPr>
          <w:spacing w:val="3"/>
        </w:rPr>
        <w:t xml:space="preserve">other </w:t>
      </w:r>
      <w:r w:rsidRPr="00B50802">
        <w:rPr>
          <w:spacing w:val="2"/>
        </w:rPr>
        <w:t xml:space="preserve">use </w:t>
      </w:r>
      <w:r w:rsidRPr="00B50802">
        <w:t xml:space="preserve">of </w:t>
      </w:r>
      <w:r w:rsidRPr="00B50802">
        <w:rPr>
          <w:spacing w:val="3"/>
        </w:rPr>
        <w:t xml:space="preserve">this document </w:t>
      </w:r>
      <w:r w:rsidRPr="00B50802">
        <w:t xml:space="preserve">are welcome. Please </w:t>
      </w:r>
      <w:r w:rsidRPr="00B50802">
        <w:rPr>
          <w:spacing w:val="3"/>
        </w:rPr>
        <w:t xml:space="preserve">contact: Branch Manager, Communication Services Branch, </w:t>
      </w:r>
      <w:r w:rsidRPr="00B50802">
        <w:t xml:space="preserve">Department of Social Services. </w:t>
      </w:r>
      <w:r w:rsidRPr="00B50802">
        <w:rPr>
          <w:spacing w:val="3"/>
        </w:rPr>
        <w:t xml:space="preserve">Phone: 1300 </w:t>
      </w:r>
      <w:r w:rsidRPr="00B50802">
        <w:rPr>
          <w:spacing w:val="2"/>
        </w:rPr>
        <w:t xml:space="preserve">653 </w:t>
      </w:r>
      <w:r w:rsidRPr="00B50802">
        <w:rPr>
          <w:spacing w:val="3"/>
        </w:rPr>
        <w:t xml:space="preserve">227. </w:t>
      </w:r>
      <w:r w:rsidRPr="00B50802">
        <w:t>Email:</w:t>
      </w:r>
      <w:r w:rsidRPr="00B50802">
        <w:rPr>
          <w:color w:val="0000FF"/>
          <w:spacing w:val="44"/>
        </w:rPr>
        <w:t xml:space="preserve"> </w:t>
      </w:r>
      <w:hyperlink r:id="rId12" w:history="1">
        <w:r w:rsidRPr="00B50802">
          <w:rPr>
            <w:rStyle w:val="Hyperlink"/>
          </w:rPr>
          <w:t>communications@dss.gov.au</w:t>
        </w:r>
      </w:hyperlink>
    </w:p>
    <w:p w14:paraId="14BC5277" w14:textId="77777777" w:rsidR="00B46A2D" w:rsidRPr="00B50802" w:rsidRDefault="00B46A2D" w:rsidP="007E623C">
      <w:pPr>
        <w:widowControl w:val="0"/>
        <w:tabs>
          <w:tab w:val="left" w:pos="641"/>
        </w:tabs>
        <w:autoSpaceDE w:val="0"/>
        <w:autoSpaceDN w:val="0"/>
        <w:spacing w:before="1" w:after="0" w:line="256" w:lineRule="auto"/>
        <w:ind w:right="95"/>
        <w:rPr>
          <w:rFonts w:cs="Arial"/>
        </w:rPr>
      </w:pPr>
    </w:p>
    <w:p w14:paraId="17B44EF6" w14:textId="77777777" w:rsidR="00B46A2D" w:rsidRPr="007D4ADA" w:rsidRDefault="00B46A2D" w:rsidP="007D4ADA">
      <w:pPr>
        <w:pStyle w:val="Bullet"/>
        <w:rPr>
          <w:rFonts w:ascii="Arial" w:hAnsi="Arial" w:cs="Arial"/>
          <w:b/>
        </w:rPr>
      </w:pPr>
      <w:bookmarkStart w:id="114" w:name="_Toc141969813"/>
      <w:bookmarkStart w:id="115" w:name="_Toc141972436"/>
      <w:bookmarkStart w:id="116" w:name="_Toc141972649"/>
      <w:bookmarkStart w:id="117" w:name="_Toc141972923"/>
      <w:bookmarkStart w:id="118" w:name="_Toc142042483"/>
      <w:bookmarkStart w:id="119" w:name="_Toc142042692"/>
      <w:r w:rsidRPr="007D4ADA">
        <w:rPr>
          <w:rFonts w:ascii="Arial" w:hAnsi="Arial" w:cs="Arial"/>
          <w:b/>
        </w:rPr>
        <w:t>Notice identifying other material or rights in this publication:</w:t>
      </w:r>
      <w:bookmarkEnd w:id="114"/>
      <w:bookmarkEnd w:id="115"/>
      <w:bookmarkEnd w:id="116"/>
      <w:bookmarkEnd w:id="117"/>
      <w:bookmarkEnd w:id="118"/>
      <w:bookmarkEnd w:id="119"/>
    </w:p>
    <w:p w14:paraId="7B4601E4" w14:textId="2647E3E1" w:rsidR="00B46A2D" w:rsidRPr="00B50802" w:rsidRDefault="00B46A2D" w:rsidP="00F17FAF">
      <w:pPr>
        <w:pStyle w:val="ListParagraph"/>
        <w:widowControl w:val="0"/>
        <w:numPr>
          <w:ilvl w:val="0"/>
          <w:numId w:val="19"/>
        </w:numPr>
        <w:tabs>
          <w:tab w:val="left" w:pos="641"/>
        </w:tabs>
        <w:autoSpaceDE w:val="0"/>
        <w:autoSpaceDN w:val="0"/>
        <w:spacing w:before="124" w:after="0" w:line="256" w:lineRule="auto"/>
        <w:ind w:right="95"/>
        <w:contextualSpacing w:val="0"/>
      </w:pPr>
      <w:r w:rsidRPr="00B50802">
        <w:rPr>
          <w:spacing w:val="3"/>
        </w:rPr>
        <w:t xml:space="preserve">Australian Commonwealth </w:t>
      </w:r>
      <w:r w:rsidRPr="00B50802">
        <w:t xml:space="preserve">Coat of Arms —  </w:t>
      </w:r>
      <w:r w:rsidRPr="00B50802">
        <w:rPr>
          <w:spacing w:val="2"/>
        </w:rPr>
        <w:t xml:space="preserve">not </w:t>
      </w:r>
      <w:r w:rsidRPr="00B50802">
        <w:rPr>
          <w:spacing w:val="3"/>
        </w:rPr>
        <w:t xml:space="preserve">Licensed under Creative </w:t>
      </w:r>
      <w:r w:rsidRPr="00B50802">
        <w:t>Commons, see</w:t>
      </w:r>
      <w:r w:rsidR="00814A81">
        <w:t xml:space="preserve"> </w:t>
      </w:r>
      <w:hyperlink r:id="rId13" w:history="1">
        <w:r w:rsidR="00814A81" w:rsidRPr="00217FF4">
          <w:rPr>
            <w:rStyle w:val="Hyperlink"/>
          </w:rPr>
          <w:t>https://www.pmc.gov.au/honours-and-symbols/commonwealth-coat-arms</w:t>
        </w:r>
      </w:hyperlink>
      <w:r w:rsidR="00814A81">
        <w:t xml:space="preserve"> </w:t>
      </w:r>
      <w:r w:rsidRPr="00B50802">
        <w:rPr>
          <w:color w:val="0000FF"/>
          <w:spacing w:val="8"/>
        </w:rPr>
        <w:t xml:space="preserve"> </w:t>
      </w:r>
    </w:p>
    <w:p w14:paraId="47C36F74" w14:textId="7A26CC8D" w:rsidR="000F6B86" w:rsidRDefault="00B46A2D" w:rsidP="00F17FAF">
      <w:pPr>
        <w:pStyle w:val="ListParagraph"/>
        <w:widowControl w:val="0"/>
        <w:numPr>
          <w:ilvl w:val="0"/>
          <w:numId w:val="19"/>
        </w:numPr>
        <w:tabs>
          <w:tab w:val="left" w:pos="641"/>
        </w:tabs>
        <w:autoSpaceDE w:val="0"/>
        <w:autoSpaceDN w:val="0"/>
        <w:spacing w:before="124" w:after="0" w:line="256" w:lineRule="auto"/>
        <w:ind w:left="567" w:right="95" w:hanging="283"/>
        <w:contextualSpacing w:val="0"/>
      </w:pPr>
      <w:r w:rsidRPr="00B50802">
        <w:rPr>
          <w:spacing w:val="3"/>
        </w:rPr>
        <w:t>Certain</w:t>
      </w:r>
      <w:r w:rsidRPr="00B50802">
        <w:rPr>
          <w:spacing w:val="9"/>
        </w:rPr>
        <w:t xml:space="preserve"> </w:t>
      </w:r>
      <w:r w:rsidRPr="00B50802">
        <w:rPr>
          <w:spacing w:val="3"/>
        </w:rPr>
        <w:t>images</w:t>
      </w:r>
      <w:r w:rsidRPr="00B50802">
        <w:rPr>
          <w:spacing w:val="10"/>
        </w:rPr>
        <w:t xml:space="preserve"> </w:t>
      </w:r>
      <w:r w:rsidRPr="00B50802">
        <w:rPr>
          <w:spacing w:val="2"/>
        </w:rPr>
        <w:t>and</w:t>
      </w:r>
      <w:r w:rsidRPr="00B50802">
        <w:rPr>
          <w:spacing w:val="9"/>
        </w:rPr>
        <w:t xml:space="preserve"> </w:t>
      </w:r>
      <w:r w:rsidRPr="00B50802">
        <w:rPr>
          <w:spacing w:val="3"/>
        </w:rPr>
        <w:t>photographs</w:t>
      </w:r>
      <w:r w:rsidRPr="00B50802">
        <w:rPr>
          <w:spacing w:val="8"/>
        </w:rPr>
        <w:t xml:space="preserve"> </w:t>
      </w:r>
      <w:r w:rsidRPr="00B50802">
        <w:rPr>
          <w:spacing w:val="2"/>
        </w:rPr>
        <w:t>(as</w:t>
      </w:r>
      <w:r w:rsidRPr="00B50802">
        <w:rPr>
          <w:spacing w:val="7"/>
        </w:rPr>
        <w:t xml:space="preserve"> </w:t>
      </w:r>
      <w:r w:rsidRPr="00B50802">
        <w:rPr>
          <w:spacing w:val="3"/>
        </w:rPr>
        <w:t>marked)</w:t>
      </w:r>
      <w:r w:rsidRPr="00B50802">
        <w:rPr>
          <w:spacing w:val="9"/>
        </w:rPr>
        <w:t xml:space="preserve"> </w:t>
      </w:r>
      <w:r w:rsidRPr="00B50802">
        <w:t>—</w:t>
      </w:r>
      <w:r w:rsidRPr="00B50802">
        <w:rPr>
          <w:spacing w:val="11"/>
        </w:rPr>
        <w:t xml:space="preserve"> </w:t>
      </w:r>
      <w:r w:rsidRPr="00B50802">
        <w:t>not</w:t>
      </w:r>
      <w:r w:rsidRPr="00B50802">
        <w:rPr>
          <w:spacing w:val="11"/>
        </w:rPr>
        <w:t xml:space="preserve"> </w:t>
      </w:r>
      <w:r w:rsidRPr="00B50802">
        <w:t>licensed</w:t>
      </w:r>
      <w:r w:rsidRPr="00B50802">
        <w:rPr>
          <w:spacing w:val="9"/>
        </w:rPr>
        <w:t xml:space="preserve"> </w:t>
      </w:r>
      <w:r w:rsidRPr="00B50802">
        <w:t>under</w:t>
      </w:r>
      <w:r w:rsidRPr="00B50802">
        <w:rPr>
          <w:spacing w:val="11"/>
        </w:rPr>
        <w:t xml:space="preserve"> </w:t>
      </w:r>
      <w:r w:rsidRPr="00B50802">
        <w:t>Creative</w:t>
      </w:r>
      <w:r w:rsidRPr="00B50802">
        <w:rPr>
          <w:spacing w:val="9"/>
        </w:rPr>
        <w:t xml:space="preserve"> </w:t>
      </w:r>
      <w:r w:rsidRPr="00B50802">
        <w:t>Commons</w:t>
      </w:r>
    </w:p>
    <w:p w14:paraId="2B83CB9B" w14:textId="7EA54362" w:rsidR="00B46A2D" w:rsidRPr="000F6B86" w:rsidRDefault="000F6B86" w:rsidP="000F6B86">
      <w:pPr>
        <w:rPr>
          <w:rFonts w:cs="Arial"/>
        </w:rPr>
      </w:pPr>
      <w:r>
        <w:br w:type="page"/>
      </w:r>
    </w:p>
    <w:p w14:paraId="201EEAE3" w14:textId="77777777" w:rsidR="00B16B82" w:rsidRPr="00B50802" w:rsidRDefault="00B16B82" w:rsidP="00811E03">
      <w:pPr>
        <w:pStyle w:val="Heading1"/>
        <w:rPr>
          <w:b/>
          <w:bCs/>
        </w:rPr>
      </w:pPr>
      <w:bookmarkStart w:id="120" w:name="_Toc141972437"/>
      <w:bookmarkStart w:id="121" w:name="_Toc141972650"/>
      <w:bookmarkStart w:id="122" w:name="_Toc141972924"/>
      <w:bookmarkStart w:id="123" w:name="_Toc142042484"/>
      <w:bookmarkStart w:id="124" w:name="_Toc142042693"/>
      <w:bookmarkStart w:id="125" w:name="_Toc142051856"/>
      <w:r w:rsidRPr="00B50802">
        <w:lastRenderedPageBreak/>
        <w:t>Acknowledgements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120"/>
      <w:bookmarkEnd w:id="121"/>
      <w:bookmarkEnd w:id="122"/>
      <w:bookmarkEnd w:id="123"/>
      <w:bookmarkEnd w:id="124"/>
      <w:bookmarkEnd w:id="125"/>
    </w:p>
    <w:p w14:paraId="5D25D01E" w14:textId="77777777" w:rsidR="00B16B82" w:rsidRPr="00B50802" w:rsidRDefault="00B16B82" w:rsidP="00B16B82">
      <w:r w:rsidRPr="00B50802">
        <w:t>We acknowledge and pay respects to all Aboriginal and Torres Strait Islander peoples across Australia, who are the Traditional Owners and Custodians of the land and waters and of the oldest continuous living culture on Earth. We pay respects to Elders past and present.</w:t>
      </w:r>
    </w:p>
    <w:p w14:paraId="0EADFDF2" w14:textId="77777777" w:rsidR="00B16B82" w:rsidRPr="00B50802" w:rsidRDefault="00B16B82" w:rsidP="007D4C7E">
      <w:r w:rsidRPr="00B50802">
        <w:t xml:space="preserve">We acknowledge the National Housing and Homelessness Plan will be developed and implemented on Aboriginal and Torres Strait Islander land. </w:t>
      </w:r>
      <w:r w:rsidR="007D4C7E" w:rsidRPr="00B50802">
        <w:t>We honour A</w:t>
      </w:r>
      <w:r w:rsidR="001B4A9E" w:rsidRPr="00B50802">
        <w:t>boriginal and Torres </w:t>
      </w:r>
      <w:r w:rsidR="007D4C7E" w:rsidRPr="00B50802">
        <w:t>Strait Islander peoples’ ongoing connection to sea, waterways and Country and respect their unique cultural and spiritual relationships to the land, waters and seas on which we live and work.</w:t>
      </w:r>
    </w:p>
    <w:p w14:paraId="43F3E7BC" w14:textId="77777777" w:rsidR="00B16B82" w:rsidRPr="00B50802" w:rsidRDefault="000F5B93">
      <w:r w:rsidRPr="00B50802">
        <w:t xml:space="preserve">We respectfully use the terms </w:t>
      </w:r>
      <w:r w:rsidR="00B16B82" w:rsidRPr="00B50802">
        <w:t xml:space="preserve">‘Aboriginal and Torres Strait Islander’ </w:t>
      </w:r>
      <w:r w:rsidRPr="00B50802">
        <w:t xml:space="preserve">and ‘Indigenous’ </w:t>
      </w:r>
      <w:r w:rsidR="00B16B82" w:rsidRPr="00B50802">
        <w:t>in this document to refer to Aboriginal People and Torres Strait Islanders of Australia and First Peoples. We acknowledge other cultural names may be preferred.</w:t>
      </w:r>
    </w:p>
    <w:p w14:paraId="7F0DE153" w14:textId="77777777" w:rsidR="0059059C" w:rsidRPr="00B50802" w:rsidRDefault="0059059C" w:rsidP="0059059C">
      <w:r w:rsidRPr="00B50802">
        <w:t xml:space="preserve">The Department of Social Services (DSS) would like to acknowledge the lived experiences of individuals and families impacted by homelessness and housing stress. </w:t>
      </w:r>
    </w:p>
    <w:p w14:paraId="528A18AC" w14:textId="77777777" w:rsidR="006408EC" w:rsidRPr="00B50802" w:rsidRDefault="0059059C" w:rsidP="0059059C">
      <w:r w:rsidRPr="00B50802">
        <w:t>DSS would also like to dedicate this Issues Paper to artist Rodney Mallee </w:t>
      </w:r>
      <w:r w:rsidR="00D4457C" w:rsidRPr="00B50802">
        <w:t xml:space="preserve">whose </w:t>
      </w:r>
      <w:r w:rsidRPr="00B50802">
        <w:t xml:space="preserve">artwork, titled </w:t>
      </w:r>
      <w:r w:rsidRPr="00B50802">
        <w:rPr>
          <w:i/>
        </w:rPr>
        <w:t>City Sunlight</w:t>
      </w:r>
      <w:r w:rsidRPr="00B50802">
        <w:t>, is featured on the cover of this paper.</w:t>
      </w:r>
      <w:r w:rsidR="00D4457C" w:rsidRPr="00B50802">
        <w:t xml:space="preserve"> </w:t>
      </w:r>
      <w:r w:rsidRPr="00B50802">
        <w:t xml:space="preserve">Rodney experienced </w:t>
      </w:r>
      <w:r w:rsidR="002F6A47" w:rsidRPr="00B50802">
        <w:t>chron</w:t>
      </w:r>
      <w:r w:rsidRPr="00B50802">
        <w:t>ic homelessness over eight years, relying on art as a means to escape and feel happy.</w:t>
      </w:r>
      <w:r w:rsidR="00D4457C" w:rsidRPr="00B50802">
        <w:t xml:space="preserve"> </w:t>
      </w:r>
    </w:p>
    <w:p w14:paraId="16E17181" w14:textId="77777777" w:rsidR="0059059C" w:rsidRPr="00B50802" w:rsidRDefault="0059059C" w:rsidP="0059059C">
      <w:r w:rsidRPr="00B50802">
        <w:t xml:space="preserve">Rodney has been supported to create and sell his art by </w:t>
      </w:r>
      <w:r w:rsidRPr="00B50802">
        <w:rPr>
          <w:i/>
        </w:rPr>
        <w:t>Open Canvas</w:t>
      </w:r>
      <w:r w:rsidRPr="00B50802">
        <w:t>.</w:t>
      </w:r>
      <w:r w:rsidR="006A2C29" w:rsidRPr="00B50802">
        <w:t xml:space="preserve"> </w:t>
      </w:r>
      <w:r w:rsidR="006A2C29" w:rsidRPr="00B50802">
        <w:rPr>
          <w:i/>
        </w:rPr>
        <w:t>Open Canvas</w:t>
      </w:r>
      <w:r w:rsidR="006A2C29" w:rsidRPr="00B50802">
        <w:t xml:space="preserve"> is a social </w:t>
      </w:r>
      <w:r w:rsidR="008A7683" w:rsidRPr="00B50802">
        <w:t>enterprise that</w:t>
      </w:r>
      <w:r w:rsidR="006A2C29" w:rsidRPr="00B50802">
        <w:t xml:space="preserve"> empowers artists from a range of backgrounds, including people who have lived experience of homelessness,</w:t>
      </w:r>
      <w:r w:rsidR="008A7683" w:rsidRPr="00B50802">
        <w:t xml:space="preserve"> people who have experienced substance abuse and addiction,</w:t>
      </w:r>
      <w:r w:rsidR="006A2C29" w:rsidRPr="00B50802">
        <w:t xml:space="preserve"> people on low incomes within supported and crisis accommodation, and </w:t>
      </w:r>
      <w:r w:rsidR="008A7683" w:rsidRPr="00B50802">
        <w:t>people</w:t>
      </w:r>
      <w:r w:rsidR="006A2C29" w:rsidRPr="00B50802">
        <w:t xml:space="preserve"> living with mental health issues and disability.</w:t>
      </w:r>
    </w:p>
    <w:p w14:paraId="61CC0E5E" w14:textId="7A1600DA" w:rsidR="0059059C" w:rsidRPr="00B50802" w:rsidRDefault="00BB6596" w:rsidP="0059059C">
      <w:r w:rsidRPr="00B50802">
        <w:rPr>
          <w:rFonts w:eastAsiaTheme="majorEastAsia" w:cs="Arial"/>
          <w:i/>
          <w:noProof/>
          <w:spacing w:val="13"/>
          <w:sz w:val="24"/>
          <w:szCs w:val="24"/>
          <w:lang w:eastAsia="en-AU"/>
        </w:rPr>
        <mc:AlternateContent>
          <mc:Choice Requires="wps">
            <w:drawing>
              <wp:anchor distT="0" distB="0" distL="114300" distR="114300" simplePos="0" relativeHeight="251658293" behindDoc="1" locked="0" layoutInCell="1" allowOverlap="1" wp14:anchorId="49972892" wp14:editId="26B809FF">
                <wp:simplePos x="0" y="0"/>
                <wp:positionH relativeFrom="margin">
                  <wp:align>right</wp:align>
                </wp:positionH>
                <wp:positionV relativeFrom="paragraph">
                  <wp:posOffset>615016</wp:posOffset>
                </wp:positionV>
                <wp:extent cx="5700515" cy="2729753"/>
                <wp:effectExtent l="19050" t="19050" r="14605" b="13970"/>
                <wp:wrapNone/>
                <wp:docPr id="241" name="Rectangle 241" descr="Decorative"/>
                <wp:cNvGraphicFramePr/>
                <a:graphic xmlns:a="http://schemas.openxmlformats.org/drawingml/2006/main">
                  <a:graphicData uri="http://schemas.microsoft.com/office/word/2010/wordprocessingShape">
                    <wps:wsp>
                      <wps:cNvSpPr/>
                      <wps:spPr>
                        <a:xfrm>
                          <a:off x="0" y="0"/>
                          <a:ext cx="5700515" cy="2729753"/>
                        </a:xfrm>
                        <a:prstGeom prst="rect">
                          <a:avLst/>
                        </a:prstGeom>
                        <a:solidFill>
                          <a:srgbClr val="E9F7F6"/>
                        </a:solidFill>
                        <a:ln w="38100">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FC01" id="Rectangle 241" o:spid="_x0000_s1026" alt="Decorative" style="position:absolute;margin-left:397.65pt;margin-top:48.45pt;width:448.85pt;height:214.95pt;z-index:-2516581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" fillcolor="#e9f7f6" strokecolor="#005a70" strokeweight="3pt">
                <w10:wrap anchorx="margin"/>
              </v:rect>
            </w:pict>
          </mc:Fallback>
        </mc:AlternateContent>
      </w:r>
      <w:r w:rsidR="0059059C" w:rsidRPr="00B50802">
        <w:t>DSS would also like to acknowledge and thank all the people and organisations who work tirelessly every day to support and respond to those who need it most.</w:t>
      </w:r>
      <w:r w:rsidR="00C8735A" w:rsidRPr="00B50802">
        <w:br/>
      </w:r>
    </w:p>
    <w:p w14:paraId="6C50284D" w14:textId="77777777" w:rsidR="00BD2EA2" w:rsidRPr="00552806" w:rsidRDefault="00BD2EA2" w:rsidP="00552806">
      <w:pPr>
        <w:pStyle w:val="Style1"/>
        <w:ind w:hanging="380"/>
        <w:rPr>
          <w:sz w:val="24"/>
        </w:rPr>
      </w:pPr>
      <w:bookmarkStart w:id="126" w:name="_Toc139464280"/>
      <w:bookmarkStart w:id="127" w:name="_Toc141969815"/>
      <w:bookmarkStart w:id="128" w:name="_Toc141972438"/>
      <w:bookmarkStart w:id="129" w:name="_Toc141972651"/>
      <w:bookmarkStart w:id="130" w:name="_Toc141972925"/>
      <w:bookmarkStart w:id="131" w:name="_Toc142042485"/>
      <w:bookmarkStart w:id="132" w:name="_Toc142042694"/>
      <w:r w:rsidRPr="00552806">
        <w:rPr>
          <w:sz w:val="24"/>
        </w:rPr>
        <w:t>How to engage with this Issues Paper</w:t>
      </w:r>
      <w:bookmarkEnd w:id="126"/>
      <w:bookmarkEnd w:id="127"/>
      <w:bookmarkEnd w:id="128"/>
      <w:bookmarkEnd w:id="129"/>
      <w:bookmarkEnd w:id="130"/>
      <w:bookmarkEnd w:id="131"/>
      <w:bookmarkEnd w:id="132"/>
    </w:p>
    <w:p w14:paraId="5A271159" w14:textId="08713D94" w:rsidR="00BD2EA2" w:rsidRPr="00B50802" w:rsidRDefault="00E213B7" w:rsidP="00DD45B5">
      <w:pPr>
        <w:ind w:left="2127" w:right="95"/>
        <w:rPr>
          <w:sz w:val="20"/>
        </w:rPr>
      </w:pPr>
      <w:r w:rsidRPr="00B50802">
        <w:rPr>
          <w:rFonts w:eastAsiaTheme="majorEastAsia" w:cs="Arial"/>
          <w:i/>
          <w:noProof/>
          <w:spacing w:val="13"/>
          <w:sz w:val="20"/>
          <w:szCs w:val="20"/>
          <w:lang w:eastAsia="en-AU"/>
        </w:rPr>
        <w:drawing>
          <wp:anchor distT="0" distB="0" distL="114300" distR="114300" simplePos="0" relativeHeight="251658292" behindDoc="0" locked="0" layoutInCell="1" allowOverlap="1" wp14:anchorId="58536FC0" wp14:editId="7D64406B">
            <wp:simplePos x="0" y="0"/>
            <wp:positionH relativeFrom="margin">
              <wp:posOffset>115004</wp:posOffset>
            </wp:positionH>
            <wp:positionV relativeFrom="paragraph">
              <wp:posOffset>136731</wp:posOffset>
            </wp:positionV>
            <wp:extent cx="1133475" cy="1097280"/>
            <wp:effectExtent l="0" t="0" r="9525" b="7620"/>
            <wp:wrapSquare wrapText="bothSides"/>
            <wp:docPr id="230" name="Picture 2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peaker.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133475" cy="1097280"/>
                    </a:xfrm>
                    <a:prstGeom prst="rect">
                      <a:avLst/>
                    </a:prstGeom>
                    <a:solidFill>
                      <a:srgbClr val="E9F7F6"/>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EA2" w:rsidRPr="00B50802">
        <w:rPr>
          <w:sz w:val="20"/>
        </w:rPr>
        <w:t xml:space="preserve">The Australian Government has released this Issues Paper on Housing and Homelessness in Australia to provide a brief overview of some of the known issues in different parts of the housing and homelessness systems and seek your views to help inform the development of a National Housing and Homelessness Plan (Plan). The Plan will be a 10-year strategy to help more Australians access safe and affordable housing. It will set out a shared vision </w:t>
      </w:r>
      <w:r w:rsidR="00625CD6" w:rsidRPr="00B50802">
        <w:rPr>
          <w:sz w:val="20"/>
        </w:rPr>
        <w:t>across all levels of government</w:t>
      </w:r>
      <w:r w:rsidR="00BD2EA2" w:rsidRPr="00B50802">
        <w:rPr>
          <w:sz w:val="20"/>
        </w:rPr>
        <w:t xml:space="preserve"> to inform future housing and homelessness policy in Australia, and key short, medium and </w:t>
      </w:r>
      <w:r w:rsidR="00A43E39" w:rsidRPr="00B50802">
        <w:rPr>
          <w:sz w:val="20"/>
        </w:rPr>
        <w:t>longer-term</w:t>
      </w:r>
      <w:r w:rsidR="00BD2EA2" w:rsidRPr="00B50802">
        <w:rPr>
          <w:sz w:val="20"/>
        </w:rPr>
        <w:t xml:space="preserve"> reforms needed to address housing </w:t>
      </w:r>
      <w:r w:rsidR="00545FC1">
        <w:rPr>
          <w:sz w:val="20"/>
        </w:rPr>
        <w:t>and homelessness</w:t>
      </w:r>
      <w:r w:rsidR="00BD2EA2" w:rsidRPr="00B50802">
        <w:rPr>
          <w:sz w:val="20"/>
        </w:rPr>
        <w:t xml:space="preserve"> challenges. </w:t>
      </w:r>
    </w:p>
    <w:p w14:paraId="27D17B72" w14:textId="6BB64363" w:rsidR="00BD2EA2" w:rsidRPr="00B50802" w:rsidRDefault="00BD2EA2" w:rsidP="00E213B7">
      <w:pPr>
        <w:ind w:left="142"/>
        <w:rPr>
          <w:sz w:val="20"/>
        </w:rPr>
      </w:pPr>
      <w:r w:rsidRPr="00B50802">
        <w:rPr>
          <w:sz w:val="20"/>
        </w:rPr>
        <w:t xml:space="preserve">The Issues Paper poses a series of discussion questions. You are invited to share your ideas and experiences by either responding to guided, short-form questions or lodging a written submission. For further information about how to provide your </w:t>
      </w:r>
      <w:r w:rsidR="00A43E39" w:rsidRPr="00B50802">
        <w:rPr>
          <w:sz w:val="20"/>
        </w:rPr>
        <w:t>views,</w:t>
      </w:r>
      <w:r w:rsidRPr="00B50802">
        <w:rPr>
          <w:sz w:val="20"/>
        </w:rPr>
        <w:t xml:space="preserve"> please see </w:t>
      </w:r>
      <w:r w:rsidR="00C75F74" w:rsidRPr="00B50802">
        <w:rPr>
          <w:sz w:val="20"/>
        </w:rPr>
        <w:br/>
      </w:r>
      <w:r w:rsidRPr="00B50802">
        <w:rPr>
          <w:i/>
          <w:sz w:val="20"/>
        </w:rPr>
        <w:t xml:space="preserve">1.4 </w:t>
      </w:r>
      <w:r w:rsidR="00C75F74" w:rsidRPr="00B50802">
        <w:rPr>
          <w:i/>
          <w:sz w:val="20"/>
        </w:rPr>
        <w:t xml:space="preserve">Have your </w:t>
      </w:r>
      <w:r w:rsidR="009343F6">
        <w:rPr>
          <w:i/>
          <w:sz w:val="20"/>
        </w:rPr>
        <w:t>s</w:t>
      </w:r>
      <w:r w:rsidR="00C75F74" w:rsidRPr="00B50802">
        <w:rPr>
          <w:i/>
          <w:sz w:val="20"/>
        </w:rPr>
        <w:t>ay</w:t>
      </w:r>
      <w:r w:rsidRPr="00B50802">
        <w:rPr>
          <w:i/>
          <w:sz w:val="20"/>
        </w:rPr>
        <w:t>.</w:t>
      </w:r>
    </w:p>
    <w:p w14:paraId="2A797E69" w14:textId="77777777" w:rsidR="00B16B82" w:rsidRPr="00B50802" w:rsidRDefault="00B16B82" w:rsidP="00B16B82">
      <w:pPr>
        <w:spacing w:after="240" w:line="240" w:lineRule="auto"/>
        <w:rPr>
          <w:rFonts w:cs="Arial"/>
        </w:rPr>
      </w:pPr>
      <w:r w:rsidRPr="00B50802">
        <w:rPr>
          <w:rFonts w:cs="Arial"/>
        </w:rPr>
        <w:br w:type="page"/>
      </w:r>
    </w:p>
    <w:p w14:paraId="11F34C40" w14:textId="77777777" w:rsidR="00275CFD" w:rsidRPr="00B50802" w:rsidRDefault="00453E5B" w:rsidP="00811E03">
      <w:pPr>
        <w:pStyle w:val="Heading1"/>
        <w:rPr>
          <w:b/>
          <w:bCs/>
        </w:rPr>
      </w:pPr>
      <w:bookmarkStart w:id="133" w:name="_Toc129345262"/>
      <w:bookmarkStart w:id="134" w:name="_Toc129346010"/>
      <w:bookmarkStart w:id="135" w:name="_Toc129347797"/>
      <w:bookmarkStart w:id="136" w:name="_Toc129348489"/>
      <w:bookmarkStart w:id="137" w:name="_Toc129348580"/>
      <w:bookmarkStart w:id="138" w:name="_Toc129349408"/>
      <w:bookmarkStart w:id="139" w:name="_Toc129351667"/>
      <w:bookmarkStart w:id="140" w:name="_Toc129353945"/>
      <w:bookmarkStart w:id="141" w:name="_Toc129355775"/>
      <w:bookmarkStart w:id="142" w:name="_Toc129354143"/>
      <w:bookmarkStart w:id="143" w:name="_Toc129354245"/>
      <w:bookmarkStart w:id="144" w:name="_Toc129356725"/>
      <w:bookmarkStart w:id="145" w:name="_Toc129359506"/>
      <w:bookmarkStart w:id="146" w:name="_Toc129359596"/>
      <w:bookmarkStart w:id="147" w:name="_Toc129360246"/>
      <w:bookmarkStart w:id="148" w:name="_Toc129360491"/>
      <w:bookmarkStart w:id="149" w:name="_Toc129360818"/>
      <w:bookmarkStart w:id="150" w:name="_Toc132293083"/>
      <w:bookmarkStart w:id="151" w:name="_Toc132293435"/>
      <w:bookmarkStart w:id="152" w:name="_Toc132293460"/>
      <w:bookmarkStart w:id="153" w:name="_Toc132293549"/>
      <w:bookmarkStart w:id="154" w:name="_Toc132294163"/>
      <w:bookmarkStart w:id="155" w:name="_Toc132360616"/>
      <w:bookmarkStart w:id="156" w:name="_Toc132708328"/>
      <w:bookmarkStart w:id="157" w:name="_Toc133839362"/>
      <w:bookmarkStart w:id="158" w:name="_Toc133840267"/>
      <w:bookmarkStart w:id="159" w:name="_Toc135162285"/>
      <w:bookmarkStart w:id="160" w:name="_Toc141972439"/>
      <w:bookmarkStart w:id="161" w:name="_Toc141972652"/>
      <w:bookmarkStart w:id="162" w:name="_Toc141972926"/>
      <w:bookmarkStart w:id="163" w:name="_Toc142042486"/>
      <w:bookmarkStart w:id="164" w:name="_Toc142042695"/>
      <w:bookmarkStart w:id="165" w:name="_Toc142051857"/>
      <w:r w:rsidRPr="00B50802">
        <w:rPr>
          <w:noProof/>
          <w:lang w:eastAsia="en-AU"/>
        </w:rPr>
        <w:lastRenderedPageBreak/>
        <w:drawing>
          <wp:anchor distT="0" distB="0" distL="114300" distR="114300" simplePos="0" relativeHeight="251658286" behindDoc="0" locked="0" layoutInCell="1" allowOverlap="1" wp14:anchorId="6E1CF0D0" wp14:editId="0A083F56">
            <wp:simplePos x="0" y="0"/>
            <wp:positionH relativeFrom="margin">
              <wp:posOffset>4064635</wp:posOffset>
            </wp:positionH>
            <wp:positionV relativeFrom="paragraph">
              <wp:posOffset>206439</wp:posOffset>
            </wp:positionV>
            <wp:extent cx="1513205" cy="1355725"/>
            <wp:effectExtent l="0" t="0" r="0" b="0"/>
            <wp:wrapSquare wrapText="bothSides"/>
            <wp:docPr id="11" name="Picture 11" descr="Image of Minister Collins, Minister for Housing and Minister for Hom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0108\AppData\Local\Microsoft\Windows\INetCache\Content.Outlook\7WEIACSG\JC photo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20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CFD" w:rsidRPr="00B50802">
        <w:t xml:space="preserve">Minister’s </w:t>
      </w:r>
      <w:r w:rsidR="00F8534C" w:rsidRPr="00B50802">
        <w:t>f</w:t>
      </w:r>
      <w:r w:rsidR="00275CFD" w:rsidRPr="00B50802">
        <w:t>oreword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275CFD" w:rsidRPr="00B50802">
        <w:t xml:space="preserve"> </w:t>
      </w:r>
      <w:bookmarkEnd w:id="106"/>
      <w:bookmarkEnd w:id="107"/>
    </w:p>
    <w:p w14:paraId="3DC0FF61" w14:textId="034EAC77" w:rsidR="006B01BD" w:rsidRPr="00B50802" w:rsidRDefault="00146E60" w:rsidP="00F153E4">
      <w:bookmarkStart w:id="166" w:name="_Toc126845280"/>
      <w:bookmarkStart w:id="167" w:name="_Toc126852053"/>
      <w:bookmarkStart w:id="168" w:name="_Toc126854341"/>
      <w:bookmarkStart w:id="169" w:name="_Toc126857742"/>
      <w:bookmarkStart w:id="170" w:name="_Toc126920556"/>
      <w:bookmarkStart w:id="171" w:name="_Toc126921156"/>
      <w:bookmarkStart w:id="172" w:name="_Toc126925089"/>
      <w:bookmarkStart w:id="173" w:name="_Toc126745757"/>
      <w:bookmarkStart w:id="174" w:name="_Toc126754038"/>
      <w:bookmarkStart w:id="175" w:name="_Toc126757176"/>
      <w:bookmarkStart w:id="176" w:name="_Toc126763226"/>
      <w:bookmarkStart w:id="177" w:name="_Toc126827623"/>
      <w:bookmarkStart w:id="178" w:name="_Toc126836975"/>
      <w:r w:rsidRPr="00B50802">
        <w:t xml:space="preserve">Australia is facing significant </w:t>
      </w:r>
      <w:r w:rsidR="007F349E" w:rsidRPr="00B50802">
        <w:t xml:space="preserve">housing </w:t>
      </w:r>
      <w:r w:rsidRPr="00B50802">
        <w:t>challenges</w:t>
      </w:r>
      <w:r w:rsidR="007F349E" w:rsidRPr="00B50802">
        <w:t xml:space="preserve">. </w:t>
      </w:r>
      <w:r w:rsidRPr="00B50802">
        <w:t xml:space="preserve">Many of these </w:t>
      </w:r>
      <w:r w:rsidR="007F349E" w:rsidRPr="00B50802">
        <w:t xml:space="preserve">challenges </w:t>
      </w:r>
      <w:r w:rsidRPr="00B50802">
        <w:t xml:space="preserve">disproportionately affect low-income earners such as young Australians, older Australians and those living in regional, rural and remote areas. </w:t>
      </w:r>
    </w:p>
    <w:p w14:paraId="3011F4B2" w14:textId="77777777" w:rsidR="006408EC" w:rsidRPr="00B50802" w:rsidRDefault="006408EC" w:rsidP="002A45AF">
      <w:r w:rsidRPr="00B50802">
        <w:t xml:space="preserve">Many Australians face additional housing challenges. Inadequate housing creates barriers for women and children leaving family and domestic violence. Overcrowding remains a significant issue in many Aboriginal and Torres Strait Islander communities. People with disability can struggle to find affordable housing and are more likely to live in social housing compared to people without disability. People who have recently transitioned from the Australian Defence Force to civilian life have a higher risk of experiencing homelessness. </w:t>
      </w:r>
    </w:p>
    <w:p w14:paraId="3BE51CF1" w14:textId="7B8D8F98" w:rsidR="00146E60" w:rsidRPr="00B50802" w:rsidRDefault="00146E60" w:rsidP="00F153E4">
      <w:r w:rsidRPr="00B50802">
        <w:t xml:space="preserve">While </w:t>
      </w:r>
      <w:r w:rsidR="00ED19E8" w:rsidRPr="00B50802">
        <w:t>all levels of</w:t>
      </w:r>
      <w:r w:rsidR="00EE029A" w:rsidRPr="00B50802">
        <w:t xml:space="preserve"> governments </w:t>
      </w:r>
      <w:r w:rsidRPr="00B50802">
        <w:t>have taken significant action to address housing supply, affordability and the delivery of social and affordable housing, more needs to be done to improve outcomes across the housing spectrum. Governments cannot address these issues in silos</w:t>
      </w:r>
      <w:r w:rsidR="00990A97" w:rsidRPr="00B50802">
        <w:t>, and a national approach is needed.</w:t>
      </w:r>
      <w:r w:rsidR="00F153E4" w:rsidRPr="00B50802">
        <w:t xml:space="preserve"> </w:t>
      </w:r>
      <w:r w:rsidRPr="00B50802">
        <w:t>Addressing the shortage of</w:t>
      </w:r>
      <w:r w:rsidR="000D5F8B" w:rsidRPr="00B50802">
        <w:t xml:space="preserve"> </w:t>
      </w:r>
      <w:r w:rsidR="00BB28B3" w:rsidRPr="00B50802">
        <w:t xml:space="preserve">secure and affordable </w:t>
      </w:r>
      <w:r w:rsidR="000D5F8B" w:rsidRPr="00B50802">
        <w:t xml:space="preserve">housing </w:t>
      </w:r>
      <w:r w:rsidRPr="00B50802">
        <w:t xml:space="preserve">along with homelessness requires a </w:t>
      </w:r>
      <w:r w:rsidR="007F349E" w:rsidRPr="00B50802">
        <w:t>more</w:t>
      </w:r>
      <w:r w:rsidRPr="00B50802">
        <w:t xml:space="preserve"> coordinated approach.</w:t>
      </w:r>
      <w:r w:rsidR="00BB2034" w:rsidRPr="00B50802">
        <w:t xml:space="preserve"> </w:t>
      </w:r>
      <w:r w:rsidRPr="00B50802">
        <w:t xml:space="preserve">This is why the Australian Government </w:t>
      </w:r>
      <w:r w:rsidR="00FD573F" w:rsidRPr="00B50802">
        <w:t xml:space="preserve">is </w:t>
      </w:r>
      <w:r w:rsidRPr="00B50802">
        <w:t xml:space="preserve">developing </w:t>
      </w:r>
      <w:r w:rsidR="00FD573F" w:rsidRPr="00B50802">
        <w:t>the</w:t>
      </w:r>
      <w:r w:rsidRPr="00B50802">
        <w:t xml:space="preserve"> National Housing and Homelessness Plan in close collaboration with state</w:t>
      </w:r>
      <w:r w:rsidR="00CE0018" w:rsidRPr="00B50802">
        <w:t xml:space="preserve"> and</w:t>
      </w:r>
      <w:r w:rsidRPr="00B50802">
        <w:t xml:space="preserve"> territory </w:t>
      </w:r>
      <w:r w:rsidR="00CE0018" w:rsidRPr="00B50802">
        <w:t xml:space="preserve">governments </w:t>
      </w:r>
      <w:r w:rsidRPr="00B50802">
        <w:t>and local government</w:t>
      </w:r>
      <w:r w:rsidR="00150A19" w:rsidRPr="00B50802">
        <w:t xml:space="preserve"> </w:t>
      </w:r>
      <w:r w:rsidR="00CE0018" w:rsidRPr="00B50802">
        <w:t>associations</w:t>
      </w:r>
      <w:r w:rsidRPr="00B50802">
        <w:t>.</w:t>
      </w:r>
    </w:p>
    <w:p w14:paraId="5F941FF1" w14:textId="78ED7067" w:rsidR="00146E60" w:rsidRPr="00B50802" w:rsidRDefault="00146E60" w:rsidP="00F153E4">
      <w:r w:rsidRPr="00B50802">
        <w:t>The Plan will set out a 10</w:t>
      </w:r>
      <w:r w:rsidR="00BB28B3" w:rsidRPr="00B50802">
        <w:t>-</w:t>
      </w:r>
      <w:r w:rsidRPr="00B50802">
        <w:t>year national vision</w:t>
      </w:r>
      <w:r w:rsidR="00024FAA" w:rsidRPr="00B50802">
        <w:t>,</w:t>
      </w:r>
      <w:r w:rsidRPr="00B50802">
        <w:t xml:space="preserve"> </w:t>
      </w:r>
      <w:r w:rsidR="00024FAA" w:rsidRPr="00B50802">
        <w:t xml:space="preserve">across the responsibilities of different levels of government, </w:t>
      </w:r>
      <w:r w:rsidR="007F349E" w:rsidRPr="00B50802">
        <w:t xml:space="preserve">to help guide </w:t>
      </w:r>
      <w:r w:rsidRPr="00B50802">
        <w:t xml:space="preserve">future housing and homelessness policy. It will </w:t>
      </w:r>
      <w:r w:rsidR="00CE0018" w:rsidRPr="00B50802">
        <w:t>consider</w:t>
      </w:r>
      <w:r w:rsidRPr="00B50802">
        <w:t xml:space="preserve"> the full spectrum of housing and homelessness challenges, from homelessness to home ownership. </w:t>
      </w:r>
      <w:r w:rsidR="00DF5D3A" w:rsidRPr="00B50802">
        <w:t>It will acknowledge relevant state</w:t>
      </w:r>
      <w:r w:rsidR="004E3F3B" w:rsidRPr="00B50802">
        <w:t xml:space="preserve"> and territory</w:t>
      </w:r>
      <w:r w:rsidR="00DF5D3A" w:rsidRPr="00B50802">
        <w:t xml:space="preserve"> </w:t>
      </w:r>
      <w:r w:rsidR="009A5916" w:rsidRPr="00B50802">
        <w:t xml:space="preserve">strategies </w:t>
      </w:r>
      <w:r w:rsidR="00DF5D3A" w:rsidRPr="00B50802">
        <w:t>and programs, identify gaps and set out policy objectives for the future.</w:t>
      </w:r>
      <w:r w:rsidR="0013733B" w:rsidRPr="00B50802">
        <w:t xml:space="preserve"> </w:t>
      </w:r>
    </w:p>
    <w:p w14:paraId="509A4AF3" w14:textId="2090AAC0" w:rsidR="00146E60" w:rsidRPr="00B50802" w:rsidRDefault="00024FAA" w:rsidP="00F153E4">
      <w:r w:rsidRPr="00B50802">
        <w:t>N</w:t>
      </w:r>
      <w:r w:rsidR="00146E60" w:rsidRPr="00B50802">
        <w:t xml:space="preserve">ational leadership and a strong focus </w:t>
      </w:r>
      <w:r w:rsidR="00587C65" w:rsidRPr="00B50802">
        <w:t xml:space="preserve">on </w:t>
      </w:r>
      <w:r w:rsidR="00BB2034" w:rsidRPr="00B50802">
        <w:t xml:space="preserve">stable and affordable </w:t>
      </w:r>
      <w:r w:rsidR="000D5F8B" w:rsidRPr="00B50802">
        <w:t>housing</w:t>
      </w:r>
      <w:r w:rsidR="004E3F3B" w:rsidRPr="00B50802">
        <w:t xml:space="preserve"> </w:t>
      </w:r>
      <w:r w:rsidR="00146E60" w:rsidRPr="00B50802">
        <w:t>is fundamental to the Australian Government’s ambitious housing reform agenda</w:t>
      </w:r>
      <w:r w:rsidRPr="00B50802">
        <w:t>.</w:t>
      </w:r>
      <w:r w:rsidR="00146E60" w:rsidRPr="00B50802">
        <w:t xml:space="preserve"> </w:t>
      </w:r>
      <w:r w:rsidR="00BB2034" w:rsidRPr="00B50802">
        <w:t xml:space="preserve">To support this agenda, </w:t>
      </w:r>
      <w:r w:rsidR="00146E60" w:rsidRPr="00B50802">
        <w:t xml:space="preserve">National Cabinet has re-established the Housing and Homelessness Ministerial Council as a forum for Commonwealth, state and territory ministers to progress critical housing and homelessness reforms, including improving housing supply, affordability and accessibility, and pathways out of homelessness. </w:t>
      </w:r>
    </w:p>
    <w:p w14:paraId="4A3A236B" w14:textId="78AD3EE5" w:rsidR="00146E60" w:rsidRPr="00B50802" w:rsidRDefault="008C5481" w:rsidP="00F153E4">
      <w:r w:rsidRPr="00B50802">
        <w:t>This</w:t>
      </w:r>
      <w:r w:rsidR="00146E60" w:rsidRPr="00B50802">
        <w:t xml:space="preserve"> Plan extends broader than government. Its success is dependent on support from the housing and homelessness sectors, not-for-profits and private industry</w:t>
      </w:r>
      <w:r w:rsidR="007F349E" w:rsidRPr="00B50802">
        <w:t xml:space="preserve"> because Government action alone cannot address Australia’s housing challenges</w:t>
      </w:r>
      <w:r w:rsidR="00146E60" w:rsidRPr="00B50802">
        <w:t xml:space="preserve">. Your ideas and experiences will help </w:t>
      </w:r>
      <w:r w:rsidR="00F040D6" w:rsidRPr="00B50802">
        <w:t>inform a national plan</w:t>
      </w:r>
      <w:r w:rsidR="006408EC" w:rsidRPr="00B50802">
        <w:t>,</w:t>
      </w:r>
      <w:r w:rsidR="00F040D6" w:rsidRPr="00B50802">
        <w:t xml:space="preserve"> enabling</w:t>
      </w:r>
      <w:r w:rsidR="00146E60" w:rsidRPr="00B50802">
        <w:t xml:space="preserve"> long-term</w:t>
      </w:r>
      <w:r w:rsidR="00F040D6" w:rsidRPr="00B50802">
        <w:t xml:space="preserve"> </w:t>
      </w:r>
      <w:r w:rsidR="00146E60" w:rsidRPr="00B50802">
        <w:t xml:space="preserve">change for individuals and families impacted by housing </w:t>
      </w:r>
      <w:r w:rsidR="00995877" w:rsidRPr="00B50802">
        <w:t xml:space="preserve">insecurity </w:t>
      </w:r>
      <w:r w:rsidR="00146E60" w:rsidRPr="00B50802">
        <w:t xml:space="preserve">and homelessness. I encourage you to </w:t>
      </w:r>
      <w:r w:rsidR="006665DC" w:rsidRPr="00B50802">
        <w:t xml:space="preserve">contribute </w:t>
      </w:r>
      <w:r w:rsidR="00146E60" w:rsidRPr="00B50802">
        <w:t>your views about the Plan using this Issues Paper as a guide.</w:t>
      </w:r>
    </w:p>
    <w:p w14:paraId="3A653EDD" w14:textId="1F789F5B" w:rsidR="0048654D" w:rsidRDefault="00146E60" w:rsidP="00CE4E54">
      <w:bookmarkStart w:id="179" w:name="_GoBack"/>
      <w:bookmarkEnd w:id="179"/>
      <w:r w:rsidRPr="00B50802">
        <w:t>In working together, governments</w:t>
      </w:r>
      <w:r w:rsidR="00421522" w:rsidRPr="00B50802">
        <w:t xml:space="preserve">, communities and </w:t>
      </w:r>
      <w:r w:rsidR="00753BEF">
        <w:t xml:space="preserve">the </w:t>
      </w:r>
      <w:r w:rsidR="00421522" w:rsidRPr="00B50802">
        <w:t xml:space="preserve">private </w:t>
      </w:r>
      <w:r w:rsidR="00753BEF">
        <w:t xml:space="preserve">and </w:t>
      </w:r>
      <w:r w:rsidR="00F971A2">
        <w:t xml:space="preserve">not for profit </w:t>
      </w:r>
      <w:r w:rsidR="00421522" w:rsidRPr="00B50802">
        <w:t>sector</w:t>
      </w:r>
      <w:r w:rsidR="00753BEF">
        <w:t>s</w:t>
      </w:r>
      <w:r w:rsidRPr="00B50802">
        <w:t xml:space="preserve"> can </w:t>
      </w:r>
      <w:r w:rsidR="007F349E" w:rsidRPr="00B50802">
        <w:t>help</w:t>
      </w:r>
      <w:r w:rsidRPr="00B50802">
        <w:t xml:space="preserve"> ensure </w:t>
      </w:r>
      <w:r w:rsidR="007F349E" w:rsidRPr="00B50802">
        <w:t>more</w:t>
      </w:r>
      <w:r w:rsidRPr="00B50802">
        <w:t xml:space="preserve"> Australians </w:t>
      </w:r>
      <w:r w:rsidR="00421522" w:rsidRPr="00B50802">
        <w:t>have access to</w:t>
      </w:r>
      <w:r w:rsidRPr="00B50802">
        <w:t xml:space="preserve"> the security and dignity a home brings. </w:t>
      </w:r>
    </w:p>
    <w:p w14:paraId="336DA33A" w14:textId="4383B03B" w:rsidR="00141557" w:rsidRPr="00B50802" w:rsidRDefault="00CE4E54" w:rsidP="00CE4E54">
      <w:r w:rsidRPr="00B50802">
        <w:br/>
      </w:r>
    </w:p>
    <w:p w14:paraId="131622E4" w14:textId="77777777" w:rsidR="00141557" w:rsidRPr="00B50802" w:rsidRDefault="00141557" w:rsidP="00CE4E54">
      <w:pPr>
        <w:spacing w:after="0" w:line="240" w:lineRule="auto"/>
        <w:rPr>
          <w:rFonts w:eastAsia="Times New Roman" w:cs="Arial"/>
          <w:b/>
          <w:bCs/>
          <w:color w:val="333333"/>
          <w:lang w:eastAsia="en-AU"/>
        </w:rPr>
      </w:pPr>
      <w:r w:rsidRPr="00B50802">
        <w:rPr>
          <w:rFonts w:eastAsia="Times New Roman" w:cs="Arial"/>
          <w:b/>
          <w:bCs/>
          <w:color w:val="333333"/>
          <w:lang w:eastAsia="en-AU"/>
        </w:rPr>
        <w:t>The Hon Julie Collins MP</w:t>
      </w:r>
    </w:p>
    <w:p w14:paraId="534535E8" w14:textId="77777777" w:rsidR="002D38A8" w:rsidRPr="00B50802" w:rsidRDefault="00141557" w:rsidP="00CE4E54">
      <w:pPr>
        <w:pStyle w:val="NormalWeb"/>
        <w:spacing w:before="0" w:beforeAutospacing="0" w:after="0" w:afterAutospacing="0"/>
        <w:rPr>
          <w:rFonts w:cs="Arial"/>
          <w:color w:val="333333"/>
        </w:rPr>
      </w:pPr>
      <w:r w:rsidRPr="00B50802">
        <w:rPr>
          <w:rFonts w:ascii="Arial" w:hAnsi="Arial" w:cs="Arial"/>
          <w:color w:val="333333"/>
          <w:sz w:val="22"/>
          <w:szCs w:val="22"/>
        </w:rPr>
        <w:t>Minister for Housing</w:t>
      </w:r>
      <w:r w:rsidR="00CE4E54" w:rsidRPr="00B50802">
        <w:rPr>
          <w:rFonts w:ascii="Arial" w:hAnsi="Arial" w:cs="Arial"/>
          <w:color w:val="333333"/>
          <w:sz w:val="22"/>
          <w:szCs w:val="22"/>
        </w:rPr>
        <w:t xml:space="preserve">, </w:t>
      </w:r>
      <w:r w:rsidRPr="00B50802">
        <w:rPr>
          <w:rFonts w:ascii="Arial" w:hAnsi="Arial" w:cs="Arial"/>
          <w:color w:val="333333"/>
          <w:sz w:val="22"/>
          <w:szCs w:val="22"/>
        </w:rPr>
        <w:t>Minister for Homelessness</w:t>
      </w:r>
    </w:p>
    <w:p w14:paraId="2131DE26" w14:textId="77777777" w:rsidR="000460B6" w:rsidRPr="00B50802" w:rsidRDefault="00146E60" w:rsidP="00811E03">
      <w:pPr>
        <w:pStyle w:val="Heading1"/>
        <w:rPr>
          <w:b/>
          <w:bCs/>
        </w:rPr>
      </w:pPr>
      <w:bookmarkStart w:id="180" w:name="_Toc126930648"/>
      <w:bookmarkStart w:id="181" w:name="_Toc126934933"/>
      <w:bookmarkStart w:id="182" w:name="_Toc126934952"/>
      <w:bookmarkStart w:id="183" w:name="_Toc127189063"/>
      <w:bookmarkStart w:id="184" w:name="_Toc127193495"/>
      <w:bookmarkStart w:id="185" w:name="_Toc127195489"/>
      <w:bookmarkStart w:id="186" w:name="_Toc127272803"/>
      <w:bookmarkStart w:id="187" w:name="_Toc127272834"/>
      <w:bookmarkStart w:id="188" w:name="_Toc127281195"/>
      <w:bookmarkStart w:id="189" w:name="_Toc127285161"/>
      <w:bookmarkStart w:id="190" w:name="_Toc127361795"/>
      <w:bookmarkStart w:id="191" w:name="_Toc127367673"/>
      <w:bookmarkStart w:id="192" w:name="_Toc127367745"/>
      <w:bookmarkStart w:id="193" w:name="_Toc127873453"/>
      <w:bookmarkStart w:id="194" w:name="_Toc127881129"/>
      <w:bookmarkStart w:id="195" w:name="_Toc127883114"/>
      <w:bookmarkStart w:id="196" w:name="_Toc127884709"/>
      <w:bookmarkStart w:id="197" w:name="_Toc127885774"/>
      <w:bookmarkStart w:id="198" w:name="_Toc127892093"/>
      <w:bookmarkStart w:id="199" w:name="_Toc127949765"/>
      <w:bookmarkStart w:id="200" w:name="_Toc127954289"/>
      <w:bookmarkStart w:id="201" w:name="_Toc127958428"/>
      <w:bookmarkStart w:id="202" w:name="_Toc127960308"/>
      <w:bookmarkStart w:id="203" w:name="_Toc127960414"/>
      <w:bookmarkStart w:id="204" w:name="_Toc127962400"/>
      <w:bookmarkStart w:id="205" w:name="_Toc127963079"/>
      <w:bookmarkStart w:id="206" w:name="_Toc127964078"/>
      <w:bookmarkStart w:id="207" w:name="_Toc127964532"/>
      <w:bookmarkStart w:id="208" w:name="_Toc127957695"/>
      <w:bookmarkStart w:id="209" w:name="_Toc127968785"/>
      <w:bookmarkStart w:id="210" w:name="_Toc127968814"/>
      <w:bookmarkStart w:id="211" w:name="_Toc127969677"/>
      <w:bookmarkStart w:id="212" w:name="_Toc127970395"/>
      <w:r w:rsidRPr="00B50802">
        <w:br w:type="column"/>
      </w:r>
      <w:bookmarkStart w:id="213" w:name="_Toc127971957"/>
      <w:bookmarkStart w:id="214" w:name="_Toc127974269"/>
      <w:bookmarkStart w:id="215" w:name="_Toc127974791"/>
      <w:bookmarkStart w:id="216" w:name="_Toc127975946"/>
      <w:bookmarkStart w:id="217" w:name="_Toc127976377"/>
      <w:bookmarkStart w:id="218" w:name="_Toc127977470"/>
      <w:bookmarkStart w:id="219" w:name="_Toc127977517"/>
      <w:bookmarkStart w:id="220" w:name="_Toc127977845"/>
      <w:bookmarkStart w:id="221" w:name="_Toc127978614"/>
      <w:bookmarkStart w:id="222" w:name="_Toc127981633"/>
      <w:bookmarkStart w:id="223" w:name="_Toc127981297"/>
      <w:bookmarkStart w:id="224" w:name="_Toc127981910"/>
      <w:bookmarkStart w:id="225" w:name="_Toc127982855"/>
      <w:bookmarkStart w:id="226" w:name="_Toc128037609"/>
      <w:bookmarkStart w:id="227" w:name="_Toc128039378"/>
      <w:bookmarkStart w:id="228" w:name="_Toc128040524"/>
      <w:bookmarkStart w:id="229" w:name="_Toc128041546"/>
      <w:bookmarkStart w:id="230" w:name="_Toc128043351"/>
      <w:bookmarkStart w:id="231" w:name="_Toc128044743"/>
      <w:bookmarkStart w:id="232" w:name="_Toc128046326"/>
      <w:bookmarkStart w:id="233" w:name="_Toc128047211"/>
      <w:bookmarkStart w:id="234" w:name="_Toc128048238"/>
      <w:bookmarkStart w:id="235" w:name="_Toc128049410"/>
      <w:bookmarkStart w:id="236" w:name="_Toc128054947"/>
      <w:bookmarkStart w:id="237" w:name="_Toc128056340"/>
      <w:bookmarkStart w:id="238" w:name="_Toc128062092"/>
      <w:bookmarkStart w:id="239" w:name="_Toc128063230"/>
      <w:bookmarkStart w:id="240" w:name="_Toc128064565"/>
      <w:bookmarkStart w:id="241" w:name="_Toc128065138"/>
      <w:bookmarkStart w:id="242" w:name="_Toc128064929"/>
      <w:bookmarkStart w:id="243" w:name="_Toc128125896"/>
      <w:bookmarkStart w:id="244" w:name="_Toc128126138"/>
      <w:bookmarkStart w:id="245" w:name="_Toc129345263"/>
      <w:bookmarkStart w:id="246" w:name="_Toc129346011"/>
      <w:bookmarkStart w:id="247" w:name="_Toc129347798"/>
      <w:bookmarkStart w:id="248" w:name="_Toc129348490"/>
      <w:bookmarkStart w:id="249" w:name="_Toc129348581"/>
      <w:bookmarkStart w:id="250" w:name="_Toc129349409"/>
      <w:bookmarkStart w:id="251" w:name="_Toc129351668"/>
      <w:bookmarkStart w:id="252" w:name="_Toc129353946"/>
      <w:bookmarkStart w:id="253" w:name="_Toc129355776"/>
      <w:bookmarkStart w:id="254" w:name="_Toc129354144"/>
      <w:bookmarkStart w:id="255" w:name="_Toc129354246"/>
      <w:bookmarkStart w:id="256" w:name="_Toc129356726"/>
      <w:bookmarkStart w:id="257" w:name="_Toc129359507"/>
      <w:bookmarkStart w:id="258" w:name="_Toc129359597"/>
      <w:bookmarkStart w:id="259" w:name="_Toc129360247"/>
      <w:bookmarkStart w:id="260" w:name="_Toc129360492"/>
      <w:bookmarkStart w:id="261" w:name="_Toc129360819"/>
      <w:bookmarkStart w:id="262" w:name="_Toc132293084"/>
      <w:bookmarkStart w:id="263" w:name="_Toc132293436"/>
      <w:bookmarkStart w:id="264" w:name="_Toc132293461"/>
      <w:bookmarkStart w:id="265" w:name="_Toc132293550"/>
      <w:bookmarkStart w:id="266" w:name="_Toc132294164"/>
      <w:bookmarkStart w:id="267" w:name="_Toc132360617"/>
      <w:bookmarkStart w:id="268" w:name="_Toc132708329"/>
      <w:bookmarkStart w:id="269" w:name="_Toc133839363"/>
      <w:bookmarkStart w:id="270" w:name="_Toc133840268"/>
      <w:bookmarkStart w:id="271" w:name="_Toc135162286"/>
      <w:bookmarkStart w:id="272" w:name="_Toc141972440"/>
      <w:bookmarkStart w:id="273" w:name="_Toc141972653"/>
      <w:bookmarkStart w:id="274" w:name="_Toc141972927"/>
      <w:bookmarkStart w:id="275" w:name="_Toc142042487"/>
      <w:bookmarkStart w:id="276" w:name="_Toc142042696"/>
      <w:bookmarkStart w:id="277" w:name="_Toc142051858"/>
      <w:r w:rsidR="000460B6" w:rsidRPr="00B50802">
        <w:lastRenderedPageBreak/>
        <w:t xml:space="preserve">Help and </w:t>
      </w:r>
      <w:r w:rsidR="00CC5C37" w:rsidRPr="00B50802">
        <w:t>s</w:t>
      </w:r>
      <w:r w:rsidR="000460B6" w:rsidRPr="00B50802">
        <w:t>upport</w:t>
      </w:r>
      <w:bookmarkEnd w:id="166"/>
      <w:bookmarkEnd w:id="167"/>
      <w:bookmarkEnd w:id="168"/>
      <w:bookmarkEnd w:id="169"/>
      <w:bookmarkEnd w:id="170"/>
      <w:bookmarkEnd w:id="171"/>
      <w:bookmarkEnd w:id="17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11241B9E" w14:textId="77777777" w:rsidR="000460B6" w:rsidRPr="00B50802" w:rsidRDefault="000460B6" w:rsidP="0013733B">
      <w:pPr>
        <w:rPr>
          <w:b/>
          <w:bCs/>
        </w:rPr>
      </w:pPr>
      <w:r w:rsidRPr="00B50802">
        <w:t>If you or someone close to you is in distress or immediate danger, please call</w:t>
      </w:r>
      <w:r w:rsidRPr="00B50802">
        <w:rPr>
          <w:b/>
          <w:bCs/>
        </w:rPr>
        <w:t xml:space="preserve"> 000. </w:t>
      </w:r>
    </w:p>
    <w:p w14:paraId="31443EA3" w14:textId="77777777" w:rsidR="000460B6" w:rsidRPr="00B50802" w:rsidRDefault="000460B6" w:rsidP="74B6247B">
      <w:pPr>
        <w:pStyle w:val="Bullet"/>
        <w:tabs>
          <w:tab w:val="clear" w:pos="520"/>
        </w:tabs>
        <w:rPr>
          <w:rFonts w:ascii="Georgia" w:hAnsi="Georgia"/>
          <w:b/>
          <w:bCs/>
          <w:sz w:val="28"/>
          <w:szCs w:val="28"/>
        </w:rPr>
      </w:pPr>
      <w:bookmarkStart w:id="278" w:name="_Toc126845281"/>
      <w:r w:rsidRPr="00B50802">
        <w:rPr>
          <w:rFonts w:ascii="Georgia" w:hAnsi="Georgia"/>
          <w:b/>
          <w:bCs/>
          <w:sz w:val="28"/>
          <w:szCs w:val="28"/>
        </w:rPr>
        <w:t>Crisis support</w:t>
      </w:r>
      <w:bookmarkEnd w:id="278"/>
    </w:p>
    <w:tbl>
      <w:tblPr>
        <w:tblStyle w:val="TableGrid"/>
        <w:tblW w:w="901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risis support"/>
      </w:tblPr>
      <w:tblGrid>
        <w:gridCol w:w="1843"/>
        <w:gridCol w:w="4245"/>
        <w:gridCol w:w="2925"/>
      </w:tblGrid>
      <w:tr w:rsidR="000460B6" w:rsidRPr="00B50802" w14:paraId="2D9643F3" w14:textId="77777777" w:rsidTr="0079684A">
        <w:trPr>
          <w:trHeight w:val="272"/>
          <w:tblHeader/>
        </w:trPr>
        <w:tc>
          <w:tcPr>
            <w:tcW w:w="1843" w:type="dxa"/>
            <w:tcBorders>
              <w:bottom w:val="single" w:sz="4" w:space="0" w:color="auto"/>
            </w:tcBorders>
          </w:tcPr>
          <w:p w14:paraId="2223BC92" w14:textId="77777777" w:rsidR="000460B6" w:rsidRPr="00B50802" w:rsidRDefault="000460B6" w:rsidP="000460B6">
            <w:pPr>
              <w:spacing w:before="120" w:after="120"/>
              <w:rPr>
                <w:rFonts w:cs="Arial"/>
                <w:sz w:val="20"/>
                <w:szCs w:val="20"/>
              </w:rPr>
            </w:pPr>
            <w:r w:rsidRPr="00B50802">
              <w:rPr>
                <w:rFonts w:cs="Arial"/>
                <w:sz w:val="20"/>
                <w:szCs w:val="20"/>
              </w:rPr>
              <w:t>Lifeline</w:t>
            </w:r>
          </w:p>
        </w:tc>
        <w:tc>
          <w:tcPr>
            <w:tcW w:w="4245" w:type="dxa"/>
            <w:tcBorders>
              <w:bottom w:val="single" w:sz="4" w:space="0" w:color="auto"/>
            </w:tcBorders>
          </w:tcPr>
          <w:p w14:paraId="50060035" w14:textId="77777777" w:rsidR="000460B6" w:rsidRPr="00B50802" w:rsidRDefault="0048613B" w:rsidP="000460B6">
            <w:pPr>
              <w:spacing w:before="120" w:after="120"/>
              <w:rPr>
                <w:rFonts w:cs="Arial"/>
                <w:sz w:val="20"/>
                <w:szCs w:val="20"/>
              </w:rPr>
            </w:pPr>
            <w:r w:rsidRPr="00B50802">
              <w:rPr>
                <w:rFonts w:cs="Arial"/>
                <w:sz w:val="20"/>
                <w:szCs w:val="20"/>
              </w:rPr>
              <w:t>N</w:t>
            </w:r>
            <w:r w:rsidR="000460B6" w:rsidRPr="00B50802">
              <w:rPr>
                <w:rFonts w:cs="Arial"/>
                <w:sz w:val="20"/>
                <w:szCs w:val="20"/>
              </w:rPr>
              <w:t>ational charity providing all Australians experiencing emotional distress with access to crisis support and suicide prevention. Available 24/7.</w:t>
            </w:r>
          </w:p>
        </w:tc>
        <w:tc>
          <w:tcPr>
            <w:tcW w:w="2925" w:type="dxa"/>
            <w:tcBorders>
              <w:bottom w:val="single" w:sz="4" w:space="0" w:color="auto"/>
            </w:tcBorders>
          </w:tcPr>
          <w:p w14:paraId="1142E2EC" w14:textId="77777777" w:rsidR="000460B6" w:rsidRPr="00B50802" w:rsidRDefault="000460B6" w:rsidP="000460B6">
            <w:pPr>
              <w:spacing w:before="120" w:after="120"/>
              <w:rPr>
                <w:rFonts w:cs="Arial"/>
                <w:sz w:val="20"/>
                <w:szCs w:val="20"/>
              </w:rPr>
            </w:pPr>
            <w:r w:rsidRPr="00B50802">
              <w:rPr>
                <w:rFonts w:cs="Arial"/>
                <w:sz w:val="20"/>
                <w:szCs w:val="20"/>
              </w:rPr>
              <w:t xml:space="preserve">13 11 14 </w:t>
            </w:r>
          </w:p>
          <w:p w14:paraId="4E084044" w14:textId="77777777" w:rsidR="000460B6" w:rsidRPr="00B50802" w:rsidRDefault="002E6CF7" w:rsidP="000460B6">
            <w:pPr>
              <w:spacing w:before="120" w:after="120"/>
              <w:rPr>
                <w:rFonts w:cs="Arial"/>
                <w:sz w:val="20"/>
                <w:szCs w:val="20"/>
              </w:rPr>
            </w:pPr>
            <w:hyperlink r:id="rId16">
              <w:r w:rsidR="00920F85" w:rsidRPr="00B50802">
                <w:rPr>
                  <w:rStyle w:val="Hyperlink"/>
                  <w:rFonts w:cs="Arial"/>
                  <w:sz w:val="20"/>
                  <w:szCs w:val="20"/>
                </w:rPr>
                <w:t>www.</w:t>
              </w:r>
              <w:r w:rsidR="000460B6" w:rsidRPr="00B50802">
                <w:rPr>
                  <w:rStyle w:val="Hyperlink"/>
                  <w:rFonts w:cs="Arial"/>
                  <w:sz w:val="20"/>
                  <w:szCs w:val="20"/>
                </w:rPr>
                <w:t>lifeline.org.au</w:t>
              </w:r>
            </w:hyperlink>
          </w:p>
        </w:tc>
      </w:tr>
      <w:tr w:rsidR="000460B6" w:rsidRPr="00B50802" w14:paraId="70D68CE3" w14:textId="77777777" w:rsidTr="0079684A">
        <w:trPr>
          <w:trHeight w:val="784"/>
          <w:tblHeader/>
        </w:trPr>
        <w:tc>
          <w:tcPr>
            <w:tcW w:w="1843" w:type="dxa"/>
            <w:tcBorders>
              <w:top w:val="single" w:sz="4" w:space="0" w:color="auto"/>
              <w:bottom w:val="single" w:sz="4" w:space="0" w:color="auto"/>
            </w:tcBorders>
          </w:tcPr>
          <w:p w14:paraId="78B9938C" w14:textId="77777777" w:rsidR="000460B6" w:rsidRPr="00B50802" w:rsidRDefault="000460B6" w:rsidP="000460B6">
            <w:pPr>
              <w:spacing w:before="120" w:after="120"/>
              <w:rPr>
                <w:rFonts w:cs="Arial"/>
                <w:sz w:val="20"/>
                <w:szCs w:val="20"/>
              </w:rPr>
            </w:pPr>
            <w:r w:rsidRPr="00B50802">
              <w:rPr>
                <w:rFonts w:cs="Arial"/>
                <w:sz w:val="20"/>
                <w:szCs w:val="20"/>
              </w:rPr>
              <w:t>National Suicide Call Back Service</w:t>
            </w:r>
          </w:p>
        </w:tc>
        <w:tc>
          <w:tcPr>
            <w:tcW w:w="4245" w:type="dxa"/>
            <w:tcBorders>
              <w:top w:val="single" w:sz="4" w:space="0" w:color="auto"/>
              <w:bottom w:val="single" w:sz="4" w:space="0" w:color="auto"/>
            </w:tcBorders>
          </w:tcPr>
          <w:p w14:paraId="025E4CA3" w14:textId="77777777" w:rsidR="000460B6" w:rsidRPr="00B50802" w:rsidRDefault="0048613B" w:rsidP="000460B6">
            <w:pPr>
              <w:spacing w:before="120" w:after="120"/>
              <w:rPr>
                <w:rFonts w:cs="Arial"/>
                <w:sz w:val="20"/>
                <w:szCs w:val="20"/>
              </w:rPr>
            </w:pPr>
            <w:r w:rsidRPr="00B50802">
              <w:rPr>
                <w:rFonts w:cs="Arial"/>
                <w:sz w:val="20"/>
                <w:szCs w:val="20"/>
              </w:rPr>
              <w:t>N</w:t>
            </w:r>
            <w:r w:rsidR="000460B6" w:rsidRPr="00B50802">
              <w:rPr>
                <w:rFonts w:cs="Arial"/>
                <w:sz w:val="20"/>
                <w:szCs w:val="20"/>
              </w:rPr>
              <w:t xml:space="preserve">ationwide service providing telephone and online counselling to people affected </w:t>
            </w:r>
            <w:r w:rsidR="002A45AF" w:rsidRPr="00B50802">
              <w:rPr>
                <w:rFonts w:cs="Arial"/>
                <w:sz w:val="20"/>
                <w:szCs w:val="20"/>
              </w:rPr>
              <w:t>by</w:t>
            </w:r>
            <w:r w:rsidR="000460B6" w:rsidRPr="00B50802">
              <w:rPr>
                <w:rFonts w:cs="Arial"/>
                <w:sz w:val="20"/>
                <w:szCs w:val="20"/>
              </w:rPr>
              <w:t xml:space="preserve"> suicide. Available 24/7.</w:t>
            </w:r>
          </w:p>
        </w:tc>
        <w:tc>
          <w:tcPr>
            <w:tcW w:w="2925" w:type="dxa"/>
            <w:tcBorders>
              <w:top w:val="single" w:sz="4" w:space="0" w:color="auto"/>
              <w:bottom w:val="single" w:sz="4" w:space="0" w:color="auto"/>
            </w:tcBorders>
          </w:tcPr>
          <w:p w14:paraId="76AEB68B" w14:textId="77777777" w:rsidR="000460B6" w:rsidRPr="00B50802" w:rsidRDefault="000460B6" w:rsidP="000460B6">
            <w:pPr>
              <w:spacing w:before="120" w:after="120"/>
              <w:rPr>
                <w:rFonts w:cs="Arial"/>
                <w:sz w:val="20"/>
                <w:szCs w:val="20"/>
              </w:rPr>
            </w:pPr>
            <w:r w:rsidRPr="00B50802">
              <w:rPr>
                <w:rFonts w:cs="Arial"/>
                <w:sz w:val="20"/>
                <w:szCs w:val="20"/>
              </w:rPr>
              <w:t>1300 659 467</w:t>
            </w:r>
          </w:p>
          <w:p w14:paraId="279DEE95" w14:textId="77777777" w:rsidR="000460B6" w:rsidRPr="00B50802" w:rsidRDefault="002E6CF7" w:rsidP="000460B6">
            <w:pPr>
              <w:spacing w:before="120" w:after="120"/>
              <w:rPr>
                <w:rFonts w:cs="Arial"/>
                <w:sz w:val="20"/>
                <w:szCs w:val="20"/>
              </w:rPr>
            </w:pPr>
            <w:hyperlink r:id="rId17" w:history="1">
              <w:r w:rsidR="000460B6" w:rsidRPr="00B50802">
                <w:rPr>
                  <w:rStyle w:val="Hyperlink"/>
                  <w:rFonts w:cs="Arial"/>
                  <w:sz w:val="20"/>
                  <w:szCs w:val="20"/>
                </w:rPr>
                <w:t>www.suicidecallbackservice.org.au</w:t>
              </w:r>
            </w:hyperlink>
          </w:p>
        </w:tc>
      </w:tr>
      <w:tr w:rsidR="000460B6" w:rsidRPr="00B50802" w14:paraId="38E26CB6" w14:textId="77777777" w:rsidTr="0079684A">
        <w:trPr>
          <w:trHeight w:val="784"/>
          <w:tblHeader/>
        </w:trPr>
        <w:tc>
          <w:tcPr>
            <w:tcW w:w="1843" w:type="dxa"/>
            <w:tcBorders>
              <w:top w:val="single" w:sz="4" w:space="0" w:color="auto"/>
              <w:bottom w:val="single" w:sz="4" w:space="0" w:color="auto"/>
            </w:tcBorders>
          </w:tcPr>
          <w:p w14:paraId="71E7DA98" w14:textId="77777777" w:rsidR="000460B6" w:rsidRPr="00B50802" w:rsidRDefault="000460B6" w:rsidP="000460B6">
            <w:pPr>
              <w:spacing w:before="120" w:after="120"/>
              <w:rPr>
                <w:rFonts w:cs="Arial"/>
                <w:sz w:val="20"/>
                <w:szCs w:val="20"/>
              </w:rPr>
            </w:pPr>
            <w:r w:rsidRPr="00B50802">
              <w:rPr>
                <w:rFonts w:cs="Arial"/>
                <w:sz w:val="20"/>
                <w:szCs w:val="20"/>
              </w:rPr>
              <w:t>Thirrili Postvention Response Service</w:t>
            </w:r>
          </w:p>
        </w:tc>
        <w:tc>
          <w:tcPr>
            <w:tcW w:w="4245" w:type="dxa"/>
            <w:tcBorders>
              <w:top w:val="single" w:sz="4" w:space="0" w:color="auto"/>
              <w:bottom w:val="single" w:sz="4" w:space="0" w:color="auto"/>
            </w:tcBorders>
          </w:tcPr>
          <w:p w14:paraId="66B9FC6B" w14:textId="77777777" w:rsidR="000460B6" w:rsidRPr="00B50802" w:rsidRDefault="000460B6" w:rsidP="000460B6">
            <w:pPr>
              <w:spacing w:before="120" w:after="120"/>
              <w:rPr>
                <w:rFonts w:cs="Arial"/>
                <w:sz w:val="20"/>
                <w:szCs w:val="20"/>
              </w:rPr>
            </w:pPr>
            <w:r w:rsidRPr="00B50802">
              <w:rPr>
                <w:rFonts w:cs="Arial"/>
                <w:sz w:val="20"/>
                <w:szCs w:val="20"/>
              </w:rPr>
              <w:t>Indigenous Suicide Postvention Response Service support</w:t>
            </w:r>
            <w:r w:rsidR="0048613B" w:rsidRPr="00B50802">
              <w:rPr>
                <w:rFonts w:cs="Arial"/>
                <w:sz w:val="20"/>
                <w:szCs w:val="20"/>
              </w:rPr>
              <w:t>ing</w:t>
            </w:r>
            <w:r w:rsidRPr="00B50802">
              <w:rPr>
                <w:rFonts w:cs="Arial"/>
                <w:sz w:val="20"/>
                <w:szCs w:val="20"/>
              </w:rPr>
              <w:t xml:space="preserve"> individuals, families and communities affected by suicide or other significant trauma. Available 24/7.</w:t>
            </w:r>
          </w:p>
        </w:tc>
        <w:tc>
          <w:tcPr>
            <w:tcW w:w="2925" w:type="dxa"/>
            <w:tcBorders>
              <w:top w:val="single" w:sz="4" w:space="0" w:color="auto"/>
              <w:bottom w:val="single" w:sz="4" w:space="0" w:color="auto"/>
            </w:tcBorders>
          </w:tcPr>
          <w:p w14:paraId="081570D0" w14:textId="77777777" w:rsidR="000460B6" w:rsidRPr="00B50802" w:rsidRDefault="000460B6" w:rsidP="000460B6">
            <w:pPr>
              <w:spacing w:before="120" w:after="120"/>
              <w:rPr>
                <w:rFonts w:cs="Arial"/>
                <w:sz w:val="20"/>
                <w:szCs w:val="20"/>
              </w:rPr>
            </w:pPr>
            <w:r w:rsidRPr="00B50802">
              <w:rPr>
                <w:rFonts w:cs="Arial"/>
                <w:sz w:val="20"/>
                <w:szCs w:val="20"/>
              </w:rPr>
              <w:t>1800 805 801</w:t>
            </w:r>
          </w:p>
          <w:p w14:paraId="39958A2B" w14:textId="77777777" w:rsidR="000460B6" w:rsidRPr="00B50802" w:rsidRDefault="002E6CF7" w:rsidP="000460B6">
            <w:pPr>
              <w:spacing w:before="120" w:after="120"/>
              <w:rPr>
                <w:rFonts w:cs="Arial"/>
                <w:sz w:val="20"/>
                <w:szCs w:val="20"/>
              </w:rPr>
            </w:pPr>
            <w:hyperlink r:id="rId18" w:history="1">
              <w:r w:rsidR="00DF22D1" w:rsidRPr="00B50802">
                <w:rPr>
                  <w:rStyle w:val="Hyperlink"/>
                  <w:rFonts w:cs="Arial"/>
                  <w:sz w:val="20"/>
                  <w:szCs w:val="20"/>
                </w:rPr>
                <w:t>www.thirrili.com.au/postvention-support</w:t>
              </w:r>
            </w:hyperlink>
          </w:p>
        </w:tc>
      </w:tr>
      <w:tr w:rsidR="00235843" w:rsidRPr="00B50802" w14:paraId="57935642" w14:textId="77777777" w:rsidTr="0079684A">
        <w:trPr>
          <w:trHeight w:val="784"/>
          <w:tblHeader/>
        </w:trPr>
        <w:tc>
          <w:tcPr>
            <w:tcW w:w="1843" w:type="dxa"/>
            <w:tcBorders>
              <w:top w:val="single" w:sz="4" w:space="0" w:color="auto"/>
            </w:tcBorders>
          </w:tcPr>
          <w:p w14:paraId="61715AD5" w14:textId="77777777" w:rsidR="00235843" w:rsidRPr="00B50802" w:rsidRDefault="00235843" w:rsidP="00235843">
            <w:pPr>
              <w:spacing w:before="120" w:after="120"/>
              <w:rPr>
                <w:rFonts w:cs="Arial"/>
                <w:sz w:val="20"/>
                <w:szCs w:val="20"/>
              </w:rPr>
            </w:pPr>
            <w:r w:rsidRPr="00B50802">
              <w:rPr>
                <w:rFonts w:cs="Arial"/>
                <w:sz w:val="20"/>
                <w:szCs w:val="20"/>
              </w:rPr>
              <w:t>1800RESPECT</w:t>
            </w:r>
          </w:p>
        </w:tc>
        <w:tc>
          <w:tcPr>
            <w:tcW w:w="4245" w:type="dxa"/>
            <w:tcBorders>
              <w:top w:val="single" w:sz="4" w:space="0" w:color="auto"/>
            </w:tcBorders>
          </w:tcPr>
          <w:p w14:paraId="54B6799D" w14:textId="77777777" w:rsidR="00235843" w:rsidRPr="00B50802" w:rsidRDefault="0048613B" w:rsidP="00235843">
            <w:pPr>
              <w:spacing w:before="120" w:after="120"/>
              <w:rPr>
                <w:rFonts w:cs="Arial"/>
                <w:sz w:val="20"/>
                <w:szCs w:val="20"/>
              </w:rPr>
            </w:pPr>
            <w:r w:rsidRPr="00B50802">
              <w:rPr>
                <w:rFonts w:cs="Arial"/>
                <w:sz w:val="20"/>
                <w:szCs w:val="20"/>
              </w:rPr>
              <w:t>N</w:t>
            </w:r>
            <w:r w:rsidR="00235843" w:rsidRPr="00B50802">
              <w:rPr>
                <w:rFonts w:cs="Arial"/>
                <w:sz w:val="20"/>
                <w:szCs w:val="20"/>
              </w:rPr>
              <w:t xml:space="preserve">ational </w:t>
            </w:r>
            <w:r w:rsidRPr="00B50802">
              <w:rPr>
                <w:rFonts w:cs="Arial"/>
                <w:sz w:val="20"/>
                <w:szCs w:val="20"/>
              </w:rPr>
              <w:t xml:space="preserve">service providing </w:t>
            </w:r>
            <w:r w:rsidR="00235843" w:rsidRPr="00B50802">
              <w:rPr>
                <w:rFonts w:cs="Arial"/>
                <w:sz w:val="20"/>
                <w:szCs w:val="20"/>
              </w:rPr>
              <w:t>domestic, family and sexual violence counselling, information and support.</w:t>
            </w:r>
          </w:p>
        </w:tc>
        <w:tc>
          <w:tcPr>
            <w:tcW w:w="2925" w:type="dxa"/>
            <w:tcBorders>
              <w:top w:val="single" w:sz="4" w:space="0" w:color="auto"/>
            </w:tcBorders>
          </w:tcPr>
          <w:p w14:paraId="77646CE0" w14:textId="77777777" w:rsidR="00235843" w:rsidRPr="00B50802" w:rsidRDefault="245B7A7A" w:rsidP="00235843">
            <w:pPr>
              <w:spacing w:before="120" w:after="120"/>
              <w:rPr>
                <w:rFonts w:cs="Arial"/>
                <w:sz w:val="20"/>
                <w:szCs w:val="20"/>
              </w:rPr>
            </w:pPr>
            <w:r w:rsidRPr="00B50802">
              <w:rPr>
                <w:rFonts w:cs="Arial"/>
                <w:sz w:val="20"/>
                <w:szCs w:val="20"/>
              </w:rPr>
              <w:t>1</w:t>
            </w:r>
            <w:r w:rsidR="00235843" w:rsidRPr="00B50802">
              <w:rPr>
                <w:rFonts w:cs="Arial"/>
                <w:sz w:val="20"/>
                <w:szCs w:val="20"/>
              </w:rPr>
              <w:t>800 737 732</w:t>
            </w:r>
          </w:p>
          <w:p w14:paraId="62B1BC58" w14:textId="77777777" w:rsidR="00235843" w:rsidRPr="00B50802" w:rsidRDefault="002E6CF7" w:rsidP="00235843">
            <w:pPr>
              <w:spacing w:before="120" w:after="120"/>
              <w:rPr>
                <w:rFonts w:cs="Arial"/>
                <w:sz w:val="20"/>
                <w:szCs w:val="20"/>
              </w:rPr>
            </w:pPr>
            <w:hyperlink r:id="rId19" w:history="1">
              <w:r w:rsidR="00235843" w:rsidRPr="00B50802">
                <w:rPr>
                  <w:rStyle w:val="Hyperlink"/>
                  <w:rFonts w:cs="Arial"/>
                  <w:sz w:val="20"/>
                  <w:szCs w:val="20"/>
                </w:rPr>
                <w:t>www.1800respect.org.au</w:t>
              </w:r>
            </w:hyperlink>
            <w:r w:rsidR="00235843" w:rsidRPr="00B50802">
              <w:rPr>
                <w:rFonts w:cs="Arial"/>
                <w:sz w:val="20"/>
                <w:szCs w:val="20"/>
              </w:rPr>
              <w:t xml:space="preserve">  </w:t>
            </w:r>
          </w:p>
        </w:tc>
      </w:tr>
    </w:tbl>
    <w:p w14:paraId="4A60F718" w14:textId="77777777" w:rsidR="00235843" w:rsidRPr="00B50802" w:rsidRDefault="00235843" w:rsidP="00162825">
      <w:pPr>
        <w:pStyle w:val="Bullet"/>
        <w:tabs>
          <w:tab w:val="clear" w:pos="520"/>
        </w:tabs>
        <w:rPr>
          <w:rFonts w:ascii="Georgia" w:hAnsi="Georgia"/>
          <w:b/>
          <w:sz w:val="28"/>
          <w:szCs w:val="28"/>
        </w:rPr>
      </w:pPr>
      <w:bookmarkStart w:id="279" w:name="_Toc126844606"/>
      <w:bookmarkStart w:id="280" w:name="_Toc126845282"/>
    </w:p>
    <w:p w14:paraId="04F43AC0" w14:textId="77777777" w:rsidR="000460B6" w:rsidRPr="00B50802" w:rsidRDefault="000460B6" w:rsidP="74B6247B">
      <w:pPr>
        <w:pStyle w:val="Bullet"/>
        <w:tabs>
          <w:tab w:val="clear" w:pos="520"/>
        </w:tabs>
        <w:rPr>
          <w:rFonts w:ascii="Georgia" w:hAnsi="Georgia"/>
          <w:b/>
          <w:bCs/>
          <w:sz w:val="28"/>
          <w:szCs w:val="28"/>
        </w:rPr>
      </w:pPr>
      <w:r w:rsidRPr="00B50802">
        <w:rPr>
          <w:rFonts w:ascii="Georgia" w:hAnsi="Georgia"/>
          <w:b/>
          <w:bCs/>
          <w:sz w:val="28"/>
          <w:szCs w:val="28"/>
        </w:rPr>
        <w:t>Mental health support and advice</w:t>
      </w:r>
      <w:bookmarkEnd w:id="279"/>
      <w:bookmarkEnd w:id="280"/>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Mental health support and advice"/>
      </w:tblPr>
      <w:tblGrid>
        <w:gridCol w:w="1843"/>
        <w:gridCol w:w="4253"/>
        <w:gridCol w:w="2930"/>
      </w:tblGrid>
      <w:tr w:rsidR="000460B6" w:rsidRPr="00B50802" w14:paraId="515F25ED" w14:textId="77777777" w:rsidTr="000F6B86">
        <w:trPr>
          <w:trHeight w:val="272"/>
          <w:tblHeader/>
        </w:trPr>
        <w:tc>
          <w:tcPr>
            <w:tcW w:w="1843" w:type="dxa"/>
            <w:tcBorders>
              <w:bottom w:val="single" w:sz="4" w:space="0" w:color="auto"/>
            </w:tcBorders>
          </w:tcPr>
          <w:p w14:paraId="287E81DD" w14:textId="77777777" w:rsidR="000460B6" w:rsidRPr="00B50802" w:rsidRDefault="000460B6" w:rsidP="000460B6">
            <w:pPr>
              <w:spacing w:before="120" w:after="120"/>
              <w:rPr>
                <w:rFonts w:cs="Arial"/>
                <w:sz w:val="20"/>
                <w:szCs w:val="20"/>
              </w:rPr>
            </w:pPr>
            <w:r w:rsidRPr="00B50802">
              <w:rPr>
                <w:rFonts w:cs="Arial"/>
                <w:sz w:val="20"/>
                <w:szCs w:val="20"/>
              </w:rPr>
              <w:t>Beyond Blue</w:t>
            </w:r>
          </w:p>
        </w:tc>
        <w:tc>
          <w:tcPr>
            <w:tcW w:w="4253" w:type="dxa"/>
            <w:tcBorders>
              <w:bottom w:val="single" w:sz="4" w:space="0" w:color="auto"/>
            </w:tcBorders>
          </w:tcPr>
          <w:p w14:paraId="1848B1E9" w14:textId="77777777" w:rsidR="000460B6" w:rsidRPr="00B50802" w:rsidRDefault="0048613B" w:rsidP="000460B6">
            <w:pPr>
              <w:spacing w:before="120" w:after="120"/>
              <w:rPr>
                <w:rFonts w:cs="Arial"/>
                <w:sz w:val="20"/>
                <w:szCs w:val="20"/>
              </w:rPr>
            </w:pPr>
            <w:r w:rsidRPr="00B50802">
              <w:rPr>
                <w:rFonts w:cs="Arial"/>
                <w:sz w:val="20"/>
                <w:szCs w:val="20"/>
              </w:rPr>
              <w:t>I</w:t>
            </w:r>
            <w:r w:rsidR="000460B6" w:rsidRPr="00B50802">
              <w:rPr>
                <w:rFonts w:cs="Arial"/>
                <w:sz w:val="20"/>
                <w:szCs w:val="20"/>
              </w:rPr>
              <w:t>nformation and support to help anyone in Australia achieve their best possible mental health. Available 24/7.</w:t>
            </w:r>
          </w:p>
        </w:tc>
        <w:tc>
          <w:tcPr>
            <w:tcW w:w="2930" w:type="dxa"/>
            <w:tcBorders>
              <w:bottom w:val="single" w:sz="4" w:space="0" w:color="auto"/>
            </w:tcBorders>
          </w:tcPr>
          <w:p w14:paraId="37DDFB15" w14:textId="77777777" w:rsidR="000460B6" w:rsidRPr="00B50802" w:rsidRDefault="000460B6" w:rsidP="000460B6">
            <w:pPr>
              <w:spacing w:before="120" w:after="120"/>
              <w:rPr>
                <w:rFonts w:cs="Arial"/>
                <w:sz w:val="20"/>
                <w:szCs w:val="20"/>
              </w:rPr>
            </w:pPr>
            <w:r w:rsidRPr="00B50802">
              <w:rPr>
                <w:rFonts w:cs="Arial"/>
                <w:sz w:val="20"/>
                <w:szCs w:val="20"/>
              </w:rPr>
              <w:t>1300 224 636</w:t>
            </w:r>
          </w:p>
          <w:p w14:paraId="59F61A63" w14:textId="77777777" w:rsidR="000460B6" w:rsidRPr="00B50802" w:rsidRDefault="002E6CF7" w:rsidP="000460B6">
            <w:pPr>
              <w:spacing w:before="120" w:after="120"/>
              <w:rPr>
                <w:rFonts w:cs="Arial"/>
                <w:sz w:val="20"/>
                <w:szCs w:val="20"/>
              </w:rPr>
            </w:pPr>
            <w:hyperlink r:id="rId20" w:history="1">
              <w:r w:rsidR="000460B6" w:rsidRPr="00B50802">
                <w:rPr>
                  <w:rStyle w:val="Hyperlink"/>
                  <w:rFonts w:cs="Arial"/>
                  <w:sz w:val="20"/>
                  <w:szCs w:val="20"/>
                </w:rPr>
                <w:t>www.beyondblue.org.au</w:t>
              </w:r>
            </w:hyperlink>
          </w:p>
        </w:tc>
      </w:tr>
      <w:tr w:rsidR="000460B6" w:rsidRPr="00B50802" w14:paraId="653DE8B8" w14:textId="77777777" w:rsidTr="000F6B86">
        <w:trPr>
          <w:trHeight w:val="784"/>
          <w:tblHeader/>
        </w:trPr>
        <w:tc>
          <w:tcPr>
            <w:tcW w:w="1843" w:type="dxa"/>
            <w:tcBorders>
              <w:top w:val="single" w:sz="4" w:space="0" w:color="auto"/>
              <w:bottom w:val="single" w:sz="4" w:space="0" w:color="auto"/>
            </w:tcBorders>
          </w:tcPr>
          <w:p w14:paraId="4A3EC665" w14:textId="77777777" w:rsidR="000460B6" w:rsidRPr="00B50802" w:rsidRDefault="000460B6" w:rsidP="000460B6">
            <w:pPr>
              <w:spacing w:before="120" w:after="120"/>
              <w:rPr>
                <w:rFonts w:cs="Arial"/>
                <w:sz w:val="20"/>
                <w:szCs w:val="20"/>
              </w:rPr>
            </w:pPr>
            <w:r w:rsidRPr="00B50802">
              <w:rPr>
                <w:rFonts w:cs="Arial"/>
                <w:sz w:val="20"/>
                <w:szCs w:val="20"/>
              </w:rPr>
              <w:t>13 YARN</w:t>
            </w:r>
          </w:p>
        </w:tc>
        <w:tc>
          <w:tcPr>
            <w:tcW w:w="4253" w:type="dxa"/>
            <w:tcBorders>
              <w:top w:val="single" w:sz="4" w:space="0" w:color="auto"/>
              <w:bottom w:val="single" w:sz="4" w:space="0" w:color="auto"/>
            </w:tcBorders>
          </w:tcPr>
          <w:p w14:paraId="654DED9A" w14:textId="77777777" w:rsidR="000460B6" w:rsidRPr="00B50802" w:rsidRDefault="000460B6" w:rsidP="000460B6">
            <w:pPr>
              <w:spacing w:before="120" w:after="120"/>
              <w:rPr>
                <w:rFonts w:cs="Arial"/>
                <w:sz w:val="20"/>
                <w:szCs w:val="20"/>
              </w:rPr>
            </w:pPr>
            <w:r w:rsidRPr="00B50802">
              <w:rPr>
                <w:rFonts w:cs="Arial"/>
                <w:sz w:val="20"/>
                <w:szCs w:val="20"/>
              </w:rPr>
              <w:t>Support line for mob who are feeling overwhelmed or having difficulty coping. Available 24/7.</w:t>
            </w:r>
          </w:p>
        </w:tc>
        <w:tc>
          <w:tcPr>
            <w:tcW w:w="2930" w:type="dxa"/>
            <w:tcBorders>
              <w:top w:val="single" w:sz="4" w:space="0" w:color="auto"/>
              <w:bottom w:val="single" w:sz="4" w:space="0" w:color="auto"/>
            </w:tcBorders>
          </w:tcPr>
          <w:p w14:paraId="79A10FC6" w14:textId="77777777" w:rsidR="000460B6" w:rsidRPr="00B50802" w:rsidRDefault="000460B6" w:rsidP="000460B6">
            <w:pPr>
              <w:spacing w:before="120" w:after="120"/>
              <w:rPr>
                <w:rFonts w:cs="Arial"/>
                <w:sz w:val="20"/>
                <w:szCs w:val="20"/>
              </w:rPr>
            </w:pPr>
            <w:r w:rsidRPr="00B50802">
              <w:rPr>
                <w:rFonts w:cs="Arial"/>
                <w:sz w:val="20"/>
                <w:szCs w:val="20"/>
              </w:rPr>
              <w:t>13 92 76</w:t>
            </w:r>
          </w:p>
          <w:p w14:paraId="32E70F2C" w14:textId="77777777" w:rsidR="000460B6" w:rsidRPr="00B50802" w:rsidRDefault="002E6CF7" w:rsidP="000460B6">
            <w:pPr>
              <w:spacing w:before="120" w:after="120"/>
              <w:rPr>
                <w:rFonts w:cs="Arial"/>
                <w:sz w:val="20"/>
                <w:szCs w:val="20"/>
              </w:rPr>
            </w:pPr>
            <w:hyperlink r:id="rId21" w:history="1">
              <w:r w:rsidR="000460B6" w:rsidRPr="00B50802">
                <w:rPr>
                  <w:rStyle w:val="Hyperlink"/>
                  <w:rFonts w:cs="Arial"/>
                  <w:sz w:val="20"/>
                  <w:szCs w:val="20"/>
                </w:rPr>
                <w:t>www.13yarn.org.au</w:t>
              </w:r>
            </w:hyperlink>
          </w:p>
        </w:tc>
      </w:tr>
      <w:tr w:rsidR="000460B6" w:rsidRPr="00B50802" w14:paraId="5AE3577A" w14:textId="77777777" w:rsidTr="000F6B86">
        <w:trPr>
          <w:trHeight w:val="784"/>
          <w:tblHeader/>
        </w:trPr>
        <w:tc>
          <w:tcPr>
            <w:tcW w:w="1843" w:type="dxa"/>
            <w:tcBorders>
              <w:top w:val="single" w:sz="4" w:space="0" w:color="auto"/>
              <w:bottom w:val="single" w:sz="4" w:space="0" w:color="auto"/>
            </w:tcBorders>
          </w:tcPr>
          <w:p w14:paraId="1315BD9A" w14:textId="77777777" w:rsidR="000460B6" w:rsidRPr="00B50802" w:rsidRDefault="000460B6" w:rsidP="000460B6">
            <w:pPr>
              <w:spacing w:before="120" w:after="120"/>
              <w:rPr>
                <w:rFonts w:cs="Arial"/>
                <w:sz w:val="20"/>
                <w:szCs w:val="20"/>
              </w:rPr>
            </w:pPr>
            <w:r w:rsidRPr="00B50802">
              <w:rPr>
                <w:rFonts w:cs="Arial"/>
                <w:sz w:val="20"/>
                <w:szCs w:val="20"/>
              </w:rPr>
              <w:t>Kids Helpline</w:t>
            </w:r>
          </w:p>
        </w:tc>
        <w:tc>
          <w:tcPr>
            <w:tcW w:w="4253" w:type="dxa"/>
            <w:tcBorders>
              <w:top w:val="single" w:sz="4" w:space="0" w:color="auto"/>
              <w:bottom w:val="single" w:sz="4" w:space="0" w:color="auto"/>
            </w:tcBorders>
          </w:tcPr>
          <w:p w14:paraId="44177FDB" w14:textId="77777777" w:rsidR="000460B6" w:rsidRPr="00B50802" w:rsidRDefault="000460B6" w:rsidP="000460B6">
            <w:pPr>
              <w:spacing w:before="120" w:after="120"/>
              <w:rPr>
                <w:rFonts w:cs="Arial"/>
                <w:sz w:val="20"/>
                <w:szCs w:val="20"/>
              </w:rPr>
            </w:pPr>
            <w:r w:rsidRPr="00B50802">
              <w:rPr>
                <w:rFonts w:cs="Arial"/>
                <w:sz w:val="20"/>
                <w:szCs w:val="20"/>
              </w:rPr>
              <w:t>Free, confidential online and phone counselling for young people aged 5 to 25. Available 24/7.</w:t>
            </w:r>
          </w:p>
        </w:tc>
        <w:tc>
          <w:tcPr>
            <w:tcW w:w="2930" w:type="dxa"/>
            <w:tcBorders>
              <w:top w:val="single" w:sz="4" w:space="0" w:color="auto"/>
              <w:bottom w:val="single" w:sz="4" w:space="0" w:color="auto"/>
            </w:tcBorders>
          </w:tcPr>
          <w:p w14:paraId="5490D644" w14:textId="77777777" w:rsidR="000460B6" w:rsidRPr="00B50802" w:rsidRDefault="000460B6" w:rsidP="000460B6">
            <w:pPr>
              <w:spacing w:before="120" w:after="120"/>
              <w:rPr>
                <w:rFonts w:cs="Arial"/>
                <w:sz w:val="20"/>
                <w:szCs w:val="20"/>
              </w:rPr>
            </w:pPr>
            <w:r w:rsidRPr="00B50802">
              <w:rPr>
                <w:rFonts w:cs="Arial"/>
                <w:sz w:val="20"/>
                <w:szCs w:val="20"/>
              </w:rPr>
              <w:t>1800 551 800</w:t>
            </w:r>
          </w:p>
          <w:p w14:paraId="5378C325" w14:textId="77777777" w:rsidR="000460B6" w:rsidRPr="00B50802" w:rsidRDefault="002E6CF7" w:rsidP="000460B6">
            <w:pPr>
              <w:spacing w:before="120" w:after="120"/>
              <w:rPr>
                <w:rFonts w:cs="Arial"/>
                <w:sz w:val="20"/>
                <w:szCs w:val="20"/>
              </w:rPr>
            </w:pPr>
            <w:hyperlink r:id="rId22" w:history="1">
              <w:r w:rsidR="000460B6" w:rsidRPr="00B50802">
                <w:rPr>
                  <w:rStyle w:val="Hyperlink"/>
                  <w:rFonts w:cs="Arial"/>
                  <w:sz w:val="20"/>
                  <w:szCs w:val="20"/>
                </w:rPr>
                <w:t>www.kidshelpline.com.au</w:t>
              </w:r>
            </w:hyperlink>
          </w:p>
        </w:tc>
      </w:tr>
      <w:tr w:rsidR="000460B6" w:rsidRPr="00B50802" w14:paraId="4BF082B3" w14:textId="77777777" w:rsidTr="000F6B86">
        <w:trPr>
          <w:trHeight w:val="784"/>
          <w:tblHeader/>
        </w:trPr>
        <w:tc>
          <w:tcPr>
            <w:tcW w:w="1843" w:type="dxa"/>
            <w:tcBorders>
              <w:top w:val="single" w:sz="4" w:space="0" w:color="auto"/>
              <w:bottom w:val="single" w:sz="4" w:space="0" w:color="auto"/>
            </w:tcBorders>
          </w:tcPr>
          <w:p w14:paraId="5E9FD8E2" w14:textId="77777777" w:rsidR="000460B6" w:rsidRPr="00B50802" w:rsidRDefault="000460B6" w:rsidP="000460B6">
            <w:pPr>
              <w:spacing w:before="120" w:after="120"/>
              <w:rPr>
                <w:rFonts w:cs="Arial"/>
                <w:sz w:val="20"/>
                <w:szCs w:val="20"/>
              </w:rPr>
            </w:pPr>
            <w:r w:rsidRPr="00B50802">
              <w:rPr>
                <w:rFonts w:cs="Arial"/>
                <w:sz w:val="20"/>
                <w:szCs w:val="20"/>
              </w:rPr>
              <w:t>Open Arms – Veterans &amp; Families Counselling</w:t>
            </w:r>
          </w:p>
        </w:tc>
        <w:tc>
          <w:tcPr>
            <w:tcW w:w="4253" w:type="dxa"/>
            <w:tcBorders>
              <w:top w:val="single" w:sz="4" w:space="0" w:color="auto"/>
              <w:bottom w:val="single" w:sz="4" w:space="0" w:color="auto"/>
            </w:tcBorders>
          </w:tcPr>
          <w:p w14:paraId="35502FB7" w14:textId="77777777" w:rsidR="000460B6" w:rsidRPr="00B50802" w:rsidRDefault="000460B6" w:rsidP="000460B6">
            <w:pPr>
              <w:spacing w:before="120" w:after="120"/>
              <w:rPr>
                <w:rFonts w:cs="Arial"/>
                <w:sz w:val="20"/>
                <w:szCs w:val="20"/>
              </w:rPr>
            </w:pPr>
            <w:r w:rsidRPr="00B50802">
              <w:rPr>
                <w:rFonts w:cs="Arial"/>
                <w:sz w:val="20"/>
                <w:szCs w:val="20"/>
              </w:rPr>
              <w:t>Mental health support for Navy, Army and Air Force personnel, veterans and their families. Available 24/7.</w:t>
            </w:r>
          </w:p>
        </w:tc>
        <w:tc>
          <w:tcPr>
            <w:tcW w:w="2930" w:type="dxa"/>
            <w:tcBorders>
              <w:top w:val="single" w:sz="4" w:space="0" w:color="auto"/>
              <w:bottom w:val="single" w:sz="4" w:space="0" w:color="auto"/>
            </w:tcBorders>
          </w:tcPr>
          <w:p w14:paraId="6043629C" w14:textId="77777777" w:rsidR="000460B6" w:rsidRPr="00B50802" w:rsidRDefault="000460B6" w:rsidP="000460B6">
            <w:pPr>
              <w:spacing w:before="120" w:after="120"/>
              <w:rPr>
                <w:rFonts w:cs="Arial"/>
                <w:sz w:val="20"/>
                <w:szCs w:val="20"/>
              </w:rPr>
            </w:pPr>
            <w:r w:rsidRPr="00B50802">
              <w:rPr>
                <w:rFonts w:cs="Arial"/>
                <w:sz w:val="20"/>
                <w:szCs w:val="20"/>
              </w:rPr>
              <w:t>1800 011 046</w:t>
            </w:r>
          </w:p>
          <w:p w14:paraId="142AE06D" w14:textId="77777777" w:rsidR="000460B6" w:rsidRPr="00B50802" w:rsidRDefault="002E6CF7" w:rsidP="000460B6">
            <w:pPr>
              <w:spacing w:before="120" w:after="120"/>
              <w:rPr>
                <w:rFonts w:cs="Arial"/>
                <w:sz w:val="20"/>
                <w:szCs w:val="20"/>
              </w:rPr>
            </w:pPr>
            <w:hyperlink r:id="rId23" w:history="1">
              <w:r w:rsidR="000460B6" w:rsidRPr="00B50802">
                <w:rPr>
                  <w:rStyle w:val="Hyperlink"/>
                  <w:rFonts w:cs="Arial"/>
                  <w:sz w:val="20"/>
                  <w:szCs w:val="20"/>
                </w:rPr>
                <w:t>www.openarms.gov.au</w:t>
              </w:r>
            </w:hyperlink>
          </w:p>
        </w:tc>
      </w:tr>
      <w:tr w:rsidR="0047573C" w:rsidRPr="00B50802" w14:paraId="2E9E9199" w14:textId="77777777" w:rsidTr="000F6B86">
        <w:trPr>
          <w:trHeight w:val="784"/>
          <w:tblHeader/>
        </w:trPr>
        <w:tc>
          <w:tcPr>
            <w:tcW w:w="1843" w:type="dxa"/>
            <w:tcBorders>
              <w:top w:val="single" w:sz="4" w:space="0" w:color="auto"/>
            </w:tcBorders>
          </w:tcPr>
          <w:p w14:paraId="64D2E358" w14:textId="77777777" w:rsidR="0047573C" w:rsidRPr="00B50802" w:rsidRDefault="0047573C" w:rsidP="000460B6">
            <w:pPr>
              <w:spacing w:before="120" w:after="120"/>
              <w:rPr>
                <w:rFonts w:cs="Arial"/>
                <w:sz w:val="20"/>
                <w:szCs w:val="20"/>
              </w:rPr>
            </w:pPr>
            <w:r w:rsidRPr="00B50802">
              <w:rPr>
                <w:rFonts w:cs="Arial"/>
                <w:sz w:val="20"/>
                <w:szCs w:val="20"/>
              </w:rPr>
              <w:t>QLife</w:t>
            </w:r>
          </w:p>
        </w:tc>
        <w:tc>
          <w:tcPr>
            <w:tcW w:w="4253" w:type="dxa"/>
            <w:tcBorders>
              <w:top w:val="single" w:sz="4" w:space="0" w:color="auto"/>
            </w:tcBorders>
          </w:tcPr>
          <w:p w14:paraId="09688A67" w14:textId="77777777" w:rsidR="0047573C" w:rsidRPr="00B50802" w:rsidRDefault="0047573C" w:rsidP="000460B6">
            <w:pPr>
              <w:spacing w:before="120" w:after="120"/>
              <w:rPr>
                <w:rFonts w:cs="Arial"/>
                <w:sz w:val="20"/>
                <w:szCs w:val="20"/>
              </w:rPr>
            </w:pPr>
            <w:r w:rsidRPr="00B50802">
              <w:rPr>
                <w:rFonts w:cs="Arial"/>
                <w:sz w:val="20"/>
                <w:szCs w:val="20"/>
              </w:rPr>
              <w:t>Anonymous and free LGBTIQ+ counselling and referral service for all Australians. Open 3pm to midnight 7 days a week.</w:t>
            </w:r>
          </w:p>
        </w:tc>
        <w:tc>
          <w:tcPr>
            <w:tcW w:w="2930" w:type="dxa"/>
            <w:tcBorders>
              <w:top w:val="single" w:sz="4" w:space="0" w:color="auto"/>
            </w:tcBorders>
          </w:tcPr>
          <w:p w14:paraId="0A924652" w14:textId="77777777" w:rsidR="0047573C" w:rsidRPr="00B50802" w:rsidRDefault="0047573C" w:rsidP="000460B6">
            <w:pPr>
              <w:spacing w:before="120" w:after="120"/>
              <w:rPr>
                <w:rFonts w:cs="Arial"/>
                <w:sz w:val="20"/>
                <w:szCs w:val="20"/>
              </w:rPr>
            </w:pPr>
            <w:r w:rsidRPr="00B50802">
              <w:rPr>
                <w:rFonts w:cs="Arial"/>
                <w:sz w:val="20"/>
                <w:szCs w:val="20"/>
              </w:rPr>
              <w:t>1800 184 527</w:t>
            </w:r>
          </w:p>
          <w:p w14:paraId="28A07468" w14:textId="77777777" w:rsidR="0047573C" w:rsidRPr="00B50802" w:rsidRDefault="002E6CF7" w:rsidP="0047573C">
            <w:pPr>
              <w:spacing w:before="120" w:after="120"/>
              <w:rPr>
                <w:rFonts w:cs="Arial"/>
                <w:sz w:val="20"/>
                <w:szCs w:val="20"/>
              </w:rPr>
            </w:pPr>
            <w:hyperlink r:id="rId24" w:history="1">
              <w:r w:rsidR="0047573C" w:rsidRPr="00B50802">
                <w:rPr>
                  <w:rStyle w:val="Hyperlink"/>
                  <w:sz w:val="20"/>
                </w:rPr>
                <w:t>www.qlife.org.au</w:t>
              </w:r>
            </w:hyperlink>
          </w:p>
        </w:tc>
      </w:tr>
    </w:tbl>
    <w:p w14:paraId="14446FEE" w14:textId="77777777" w:rsidR="00235843" w:rsidRPr="00B50802" w:rsidRDefault="00235843" w:rsidP="00162825">
      <w:pPr>
        <w:pStyle w:val="Bullet"/>
        <w:tabs>
          <w:tab w:val="clear" w:pos="520"/>
        </w:tabs>
        <w:rPr>
          <w:rFonts w:ascii="Georgia" w:hAnsi="Georgia"/>
          <w:b/>
          <w:sz w:val="28"/>
          <w:szCs w:val="28"/>
        </w:rPr>
      </w:pPr>
      <w:bookmarkStart w:id="281" w:name="_Toc126844607"/>
      <w:bookmarkStart w:id="282" w:name="_Toc126845283"/>
    </w:p>
    <w:p w14:paraId="2086ACAB" w14:textId="6E9A7B1D" w:rsidR="000460B6" w:rsidRPr="00B50802" w:rsidRDefault="000460B6" w:rsidP="74B6247B">
      <w:pPr>
        <w:pStyle w:val="Bullet"/>
        <w:tabs>
          <w:tab w:val="clear" w:pos="520"/>
        </w:tabs>
        <w:rPr>
          <w:rFonts w:ascii="Georgia" w:hAnsi="Georgia"/>
          <w:b/>
          <w:bCs/>
          <w:sz w:val="28"/>
          <w:szCs w:val="28"/>
        </w:rPr>
      </w:pPr>
      <w:r w:rsidRPr="00B50802">
        <w:rPr>
          <w:rFonts w:ascii="Georgia" w:hAnsi="Georgia"/>
          <w:b/>
          <w:bCs/>
          <w:sz w:val="28"/>
          <w:szCs w:val="28"/>
        </w:rPr>
        <w:t>Financial support and advice</w:t>
      </w:r>
      <w:bookmarkEnd w:id="281"/>
      <w:bookmarkEnd w:id="282"/>
    </w:p>
    <w:tbl>
      <w:tblPr>
        <w:tblStyle w:val="TableGrid"/>
        <w:tblW w:w="90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support and advice"/>
      </w:tblPr>
      <w:tblGrid>
        <w:gridCol w:w="1759"/>
        <w:gridCol w:w="4337"/>
        <w:gridCol w:w="2930"/>
      </w:tblGrid>
      <w:tr w:rsidR="000460B6" w:rsidRPr="00B50802" w14:paraId="785BFD65" w14:textId="77777777" w:rsidTr="0079684A">
        <w:trPr>
          <w:trHeight w:val="272"/>
          <w:tblHeader/>
        </w:trPr>
        <w:tc>
          <w:tcPr>
            <w:tcW w:w="1759" w:type="dxa"/>
            <w:tcBorders>
              <w:bottom w:val="single" w:sz="4" w:space="0" w:color="auto"/>
            </w:tcBorders>
          </w:tcPr>
          <w:p w14:paraId="699AE03B" w14:textId="77777777" w:rsidR="000460B6" w:rsidRPr="00B50802" w:rsidRDefault="000460B6" w:rsidP="000460B6">
            <w:pPr>
              <w:spacing w:before="120" w:after="120"/>
              <w:rPr>
                <w:rFonts w:cs="Arial"/>
                <w:sz w:val="20"/>
                <w:szCs w:val="20"/>
              </w:rPr>
            </w:pPr>
            <w:r w:rsidRPr="00B50802">
              <w:rPr>
                <w:rFonts w:cs="Arial"/>
                <w:sz w:val="20"/>
                <w:szCs w:val="20"/>
              </w:rPr>
              <w:t>National Debt Helpline</w:t>
            </w:r>
          </w:p>
        </w:tc>
        <w:tc>
          <w:tcPr>
            <w:tcW w:w="4337" w:type="dxa"/>
            <w:tcBorders>
              <w:bottom w:val="single" w:sz="4" w:space="0" w:color="auto"/>
            </w:tcBorders>
          </w:tcPr>
          <w:p w14:paraId="7599158A" w14:textId="77777777" w:rsidR="000460B6" w:rsidRPr="00B50802" w:rsidRDefault="0048613B" w:rsidP="000460B6">
            <w:pPr>
              <w:spacing w:before="120" w:after="120"/>
              <w:rPr>
                <w:rFonts w:cs="Arial"/>
                <w:sz w:val="20"/>
                <w:szCs w:val="20"/>
              </w:rPr>
            </w:pPr>
            <w:r w:rsidRPr="00B50802">
              <w:rPr>
                <w:rFonts w:cs="Arial"/>
                <w:sz w:val="20"/>
                <w:szCs w:val="20"/>
              </w:rPr>
              <w:t>A</w:t>
            </w:r>
            <w:r w:rsidR="000460B6" w:rsidRPr="00B50802">
              <w:rPr>
                <w:rFonts w:cs="Arial"/>
                <w:sz w:val="20"/>
                <w:szCs w:val="20"/>
              </w:rPr>
              <w:t> single contact point for people to access financial counselling, either immediately on the phone, or through a referral to another service.</w:t>
            </w:r>
          </w:p>
        </w:tc>
        <w:tc>
          <w:tcPr>
            <w:tcW w:w="2930" w:type="dxa"/>
            <w:tcBorders>
              <w:bottom w:val="single" w:sz="4" w:space="0" w:color="auto"/>
            </w:tcBorders>
          </w:tcPr>
          <w:p w14:paraId="0CDC54BC" w14:textId="77777777" w:rsidR="000460B6" w:rsidRPr="00B50802" w:rsidRDefault="000460B6" w:rsidP="000460B6">
            <w:pPr>
              <w:spacing w:before="120" w:after="120"/>
              <w:rPr>
                <w:rFonts w:cs="Arial"/>
                <w:sz w:val="20"/>
                <w:szCs w:val="20"/>
              </w:rPr>
            </w:pPr>
            <w:r w:rsidRPr="00B50802">
              <w:rPr>
                <w:rFonts w:cs="Arial"/>
                <w:sz w:val="20"/>
                <w:szCs w:val="20"/>
              </w:rPr>
              <w:t>1800 007 007</w:t>
            </w:r>
          </w:p>
          <w:p w14:paraId="7BAB5EAD" w14:textId="77777777" w:rsidR="000460B6" w:rsidRPr="00B50802" w:rsidRDefault="002E6CF7" w:rsidP="000460B6">
            <w:pPr>
              <w:spacing w:before="120" w:after="120"/>
              <w:rPr>
                <w:rFonts w:cs="Arial"/>
                <w:sz w:val="20"/>
                <w:szCs w:val="20"/>
              </w:rPr>
            </w:pPr>
            <w:hyperlink r:id="rId25" w:history="1">
              <w:r w:rsidR="0047573C" w:rsidRPr="00B50802">
                <w:rPr>
                  <w:rStyle w:val="Hyperlink"/>
                  <w:rFonts w:cs="Arial"/>
                  <w:sz w:val="20"/>
                  <w:szCs w:val="20"/>
                </w:rPr>
                <w:t>www.ndh.org.au</w:t>
              </w:r>
            </w:hyperlink>
          </w:p>
        </w:tc>
      </w:tr>
    </w:tbl>
    <w:p w14:paraId="35B13ED6" w14:textId="77777777" w:rsidR="002F5F38" w:rsidRPr="00B50802" w:rsidRDefault="002F5F38">
      <w:r w:rsidRPr="00B50802">
        <w:br w:type="page"/>
      </w:r>
    </w:p>
    <w:tbl>
      <w:tblPr>
        <w:tblStyle w:val="TableGrid"/>
        <w:tblW w:w="90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support and advice"/>
      </w:tblPr>
      <w:tblGrid>
        <w:gridCol w:w="1759"/>
        <w:gridCol w:w="4337"/>
        <w:gridCol w:w="2930"/>
      </w:tblGrid>
      <w:tr w:rsidR="000460B6" w:rsidRPr="00B50802" w14:paraId="6BD004E8" w14:textId="77777777" w:rsidTr="0079684A">
        <w:trPr>
          <w:trHeight w:val="272"/>
          <w:tblHeader/>
        </w:trPr>
        <w:tc>
          <w:tcPr>
            <w:tcW w:w="1759" w:type="dxa"/>
            <w:tcBorders>
              <w:top w:val="single" w:sz="4" w:space="0" w:color="auto"/>
              <w:bottom w:val="single" w:sz="4" w:space="0" w:color="auto"/>
            </w:tcBorders>
          </w:tcPr>
          <w:p w14:paraId="7C14F0EB" w14:textId="071E6FBC" w:rsidR="000460B6" w:rsidRPr="00B50802" w:rsidRDefault="000460B6" w:rsidP="000460B6">
            <w:pPr>
              <w:spacing w:before="120" w:after="120"/>
              <w:rPr>
                <w:rFonts w:cs="Arial"/>
                <w:sz w:val="20"/>
                <w:szCs w:val="20"/>
              </w:rPr>
            </w:pPr>
            <w:r w:rsidRPr="00B50802">
              <w:rPr>
                <w:rFonts w:cs="Arial"/>
                <w:sz w:val="20"/>
                <w:szCs w:val="20"/>
              </w:rPr>
              <w:lastRenderedPageBreak/>
              <w:t>Centrelink</w:t>
            </w:r>
          </w:p>
        </w:tc>
        <w:tc>
          <w:tcPr>
            <w:tcW w:w="4337" w:type="dxa"/>
            <w:tcBorders>
              <w:top w:val="single" w:sz="4" w:space="0" w:color="auto"/>
              <w:bottom w:val="single" w:sz="4" w:space="0" w:color="auto"/>
            </w:tcBorders>
          </w:tcPr>
          <w:p w14:paraId="4A6B507F" w14:textId="77777777" w:rsidR="000460B6" w:rsidRPr="00B50802" w:rsidRDefault="000460B6" w:rsidP="000460B6">
            <w:pPr>
              <w:spacing w:before="120" w:after="120"/>
              <w:rPr>
                <w:rFonts w:cs="Arial"/>
                <w:sz w:val="20"/>
                <w:szCs w:val="20"/>
              </w:rPr>
            </w:pPr>
            <w:r w:rsidRPr="00B50802">
              <w:rPr>
                <w:rFonts w:cs="Arial"/>
                <w:sz w:val="20"/>
                <w:szCs w:val="20"/>
              </w:rPr>
              <w:t>Centrelink social workers can provide support to Centrelink customers and provide information about community support services.</w:t>
            </w:r>
          </w:p>
        </w:tc>
        <w:tc>
          <w:tcPr>
            <w:tcW w:w="2930" w:type="dxa"/>
            <w:tcBorders>
              <w:top w:val="single" w:sz="4" w:space="0" w:color="auto"/>
              <w:bottom w:val="single" w:sz="4" w:space="0" w:color="auto"/>
            </w:tcBorders>
          </w:tcPr>
          <w:p w14:paraId="11FBEBFC" w14:textId="77777777" w:rsidR="000460B6" w:rsidRPr="00B50802" w:rsidRDefault="000460B6" w:rsidP="000460B6">
            <w:pPr>
              <w:spacing w:before="120" w:after="120"/>
              <w:rPr>
                <w:rFonts w:cs="Arial"/>
                <w:sz w:val="20"/>
                <w:szCs w:val="20"/>
                <w:u w:val="single"/>
              </w:rPr>
            </w:pPr>
            <w:r w:rsidRPr="00B50802">
              <w:rPr>
                <w:rFonts w:cs="Arial"/>
                <w:sz w:val="20"/>
                <w:szCs w:val="20"/>
              </w:rPr>
              <w:t>132 850</w:t>
            </w:r>
            <w:r w:rsidRPr="00B50802">
              <w:rPr>
                <w:rFonts w:cs="Arial"/>
                <w:sz w:val="20"/>
                <w:szCs w:val="20"/>
                <w:u w:val="single"/>
              </w:rPr>
              <w:t xml:space="preserve"> </w:t>
            </w:r>
          </w:p>
          <w:p w14:paraId="0898DFD8" w14:textId="77777777" w:rsidR="000460B6" w:rsidRPr="00B50802" w:rsidRDefault="002E6CF7" w:rsidP="000460B6">
            <w:pPr>
              <w:spacing w:before="120" w:after="120"/>
              <w:rPr>
                <w:rFonts w:cs="Arial"/>
                <w:sz w:val="20"/>
                <w:szCs w:val="20"/>
                <w:u w:val="single"/>
              </w:rPr>
            </w:pPr>
            <w:hyperlink r:id="rId26" w:history="1">
              <w:r w:rsidR="00C17712" w:rsidRPr="00B50802">
                <w:rPr>
                  <w:rStyle w:val="Hyperlink"/>
                  <w:rFonts w:cs="Arial"/>
                  <w:sz w:val="20"/>
                  <w:szCs w:val="20"/>
                </w:rPr>
                <w:t>www.findus.servicesaustralia.gov.au</w:t>
              </w:r>
            </w:hyperlink>
          </w:p>
        </w:tc>
      </w:tr>
      <w:tr w:rsidR="0047573C" w:rsidRPr="00B50802" w14:paraId="25612311" w14:textId="77777777" w:rsidTr="0079684A">
        <w:trPr>
          <w:trHeight w:val="272"/>
          <w:tblHeader/>
        </w:trPr>
        <w:tc>
          <w:tcPr>
            <w:tcW w:w="1759" w:type="dxa"/>
            <w:tcBorders>
              <w:top w:val="single" w:sz="4" w:space="0" w:color="auto"/>
              <w:bottom w:val="single" w:sz="4" w:space="0" w:color="auto"/>
            </w:tcBorders>
          </w:tcPr>
          <w:p w14:paraId="26593543" w14:textId="77777777" w:rsidR="0047573C" w:rsidRPr="00B50802" w:rsidRDefault="0047573C" w:rsidP="000460B6">
            <w:pPr>
              <w:spacing w:before="120" w:after="120"/>
              <w:rPr>
                <w:rFonts w:cs="Arial"/>
                <w:sz w:val="20"/>
                <w:szCs w:val="20"/>
              </w:rPr>
            </w:pPr>
            <w:r w:rsidRPr="00B50802">
              <w:rPr>
                <w:rFonts w:cs="Arial"/>
                <w:sz w:val="20"/>
                <w:szCs w:val="20"/>
              </w:rPr>
              <w:t>Department of Veterans</w:t>
            </w:r>
            <w:r w:rsidR="002A45AF" w:rsidRPr="00B50802">
              <w:rPr>
                <w:rFonts w:cs="Arial"/>
                <w:sz w:val="20"/>
                <w:szCs w:val="20"/>
              </w:rPr>
              <w:t>’</w:t>
            </w:r>
            <w:r w:rsidRPr="00B50802">
              <w:rPr>
                <w:rFonts w:cs="Arial"/>
                <w:sz w:val="20"/>
                <w:szCs w:val="20"/>
              </w:rPr>
              <w:t xml:space="preserve"> Affairs</w:t>
            </w:r>
          </w:p>
        </w:tc>
        <w:tc>
          <w:tcPr>
            <w:tcW w:w="4337" w:type="dxa"/>
            <w:tcBorders>
              <w:top w:val="single" w:sz="4" w:space="0" w:color="auto"/>
              <w:bottom w:val="single" w:sz="4" w:space="0" w:color="auto"/>
            </w:tcBorders>
          </w:tcPr>
          <w:p w14:paraId="475D2448" w14:textId="77777777" w:rsidR="0047573C" w:rsidRPr="00B50802" w:rsidRDefault="0048613B" w:rsidP="000460B6">
            <w:pPr>
              <w:spacing w:before="120" w:after="120"/>
              <w:rPr>
                <w:rFonts w:cs="Arial"/>
                <w:sz w:val="20"/>
                <w:szCs w:val="20"/>
              </w:rPr>
            </w:pPr>
            <w:r w:rsidRPr="00B50802">
              <w:rPr>
                <w:rFonts w:cs="Arial"/>
                <w:sz w:val="20"/>
                <w:szCs w:val="20"/>
              </w:rPr>
              <w:t xml:space="preserve">A </w:t>
            </w:r>
            <w:r w:rsidR="0047573C" w:rsidRPr="00B50802">
              <w:rPr>
                <w:rFonts w:cs="Arial"/>
                <w:sz w:val="20"/>
                <w:szCs w:val="20"/>
              </w:rPr>
              <w:t>single contact point for veterans and their families to access financial assistance and wellbeing supports, and facilitates access to mental health counselling.</w:t>
            </w:r>
          </w:p>
        </w:tc>
        <w:tc>
          <w:tcPr>
            <w:tcW w:w="2930" w:type="dxa"/>
            <w:tcBorders>
              <w:top w:val="single" w:sz="4" w:space="0" w:color="auto"/>
              <w:bottom w:val="single" w:sz="4" w:space="0" w:color="auto"/>
            </w:tcBorders>
          </w:tcPr>
          <w:p w14:paraId="5B45A8EF" w14:textId="77777777" w:rsidR="0047573C" w:rsidRPr="00B50802" w:rsidRDefault="0047573C" w:rsidP="000460B6">
            <w:pPr>
              <w:spacing w:before="120" w:after="120"/>
              <w:rPr>
                <w:rFonts w:cs="Arial"/>
                <w:sz w:val="20"/>
                <w:szCs w:val="20"/>
              </w:rPr>
            </w:pPr>
            <w:r w:rsidRPr="00B50802">
              <w:rPr>
                <w:rFonts w:cs="Arial"/>
                <w:sz w:val="20"/>
                <w:szCs w:val="20"/>
              </w:rPr>
              <w:t xml:space="preserve">1800 VETERAN </w:t>
            </w:r>
            <w:r w:rsidRPr="00B50802">
              <w:rPr>
                <w:rFonts w:cs="Arial"/>
                <w:sz w:val="20"/>
                <w:szCs w:val="20"/>
              </w:rPr>
              <w:br/>
              <w:t>(1800 838 372)</w:t>
            </w:r>
          </w:p>
          <w:p w14:paraId="1A6EBD4E" w14:textId="77777777" w:rsidR="0047573C" w:rsidRPr="00B50802" w:rsidRDefault="002E6CF7" w:rsidP="0047573C">
            <w:pPr>
              <w:spacing w:before="120" w:after="120"/>
              <w:rPr>
                <w:rFonts w:cs="Arial"/>
                <w:sz w:val="20"/>
                <w:szCs w:val="20"/>
              </w:rPr>
            </w:pPr>
            <w:hyperlink r:id="rId27" w:history="1">
              <w:r w:rsidR="0047573C" w:rsidRPr="00B50802">
                <w:rPr>
                  <w:rStyle w:val="Hyperlink"/>
                  <w:rFonts w:cs="Arial"/>
                  <w:sz w:val="20"/>
                  <w:szCs w:val="20"/>
                </w:rPr>
                <w:t>www.dva.gov.au</w:t>
              </w:r>
            </w:hyperlink>
          </w:p>
        </w:tc>
      </w:tr>
    </w:tbl>
    <w:p w14:paraId="1A8B12D4" w14:textId="77777777" w:rsidR="0047573C" w:rsidRPr="00B50802" w:rsidRDefault="0047573C" w:rsidP="0047573C">
      <w:pPr>
        <w:pStyle w:val="Bullet"/>
        <w:tabs>
          <w:tab w:val="clear" w:pos="520"/>
        </w:tabs>
        <w:ind w:left="0" w:firstLine="0"/>
        <w:rPr>
          <w:rFonts w:ascii="Georgia" w:hAnsi="Georgia"/>
          <w:b/>
          <w:bCs/>
          <w:sz w:val="28"/>
          <w:szCs w:val="28"/>
        </w:rPr>
      </w:pPr>
    </w:p>
    <w:p w14:paraId="645E05B6" w14:textId="77777777" w:rsidR="0047573C" w:rsidRPr="00B50802" w:rsidRDefault="0047573C" w:rsidP="0047573C">
      <w:pPr>
        <w:pStyle w:val="Bullet"/>
        <w:tabs>
          <w:tab w:val="clear" w:pos="520"/>
        </w:tabs>
        <w:ind w:left="0" w:firstLine="0"/>
        <w:rPr>
          <w:rFonts w:ascii="Georgia" w:hAnsi="Georgia"/>
          <w:b/>
          <w:bCs/>
          <w:sz w:val="28"/>
          <w:szCs w:val="28"/>
        </w:rPr>
      </w:pPr>
      <w:r w:rsidRPr="00B50802">
        <w:rPr>
          <w:rFonts w:ascii="Georgia" w:hAnsi="Georgia"/>
          <w:b/>
          <w:bCs/>
          <w:sz w:val="28"/>
          <w:szCs w:val="28"/>
        </w:rPr>
        <w:t xml:space="preserve">Disability and </w:t>
      </w:r>
      <w:r w:rsidR="00CC5C37" w:rsidRPr="00B50802">
        <w:rPr>
          <w:rFonts w:ascii="Georgia" w:hAnsi="Georgia"/>
          <w:b/>
          <w:bCs/>
          <w:sz w:val="28"/>
          <w:szCs w:val="28"/>
        </w:rPr>
        <w:t>c</w:t>
      </w:r>
      <w:r w:rsidRPr="00B50802">
        <w:rPr>
          <w:rFonts w:ascii="Georgia" w:hAnsi="Georgia"/>
          <w:b/>
          <w:bCs/>
          <w:sz w:val="28"/>
          <w:szCs w:val="28"/>
        </w:rPr>
        <w:t xml:space="preserve">arer </w:t>
      </w:r>
      <w:r w:rsidR="00CC5C37" w:rsidRPr="00B50802">
        <w:rPr>
          <w:rFonts w:ascii="Georgia" w:hAnsi="Georgia"/>
          <w:b/>
          <w:bCs/>
          <w:sz w:val="28"/>
          <w:szCs w:val="28"/>
        </w:rPr>
        <w:t>s</w:t>
      </w:r>
      <w:r w:rsidRPr="00B50802">
        <w:rPr>
          <w:rFonts w:ascii="Georgia" w:hAnsi="Georgia"/>
          <w:b/>
          <w:bCs/>
          <w:sz w:val="28"/>
          <w:szCs w:val="28"/>
        </w:rPr>
        <w:t>upport</w:t>
      </w:r>
    </w:p>
    <w:tbl>
      <w:tblPr>
        <w:tblStyle w:val="TableGrid"/>
        <w:tblpPr w:leftFromText="180" w:rightFromText="180" w:vertAnchor="text" w:horzAnchor="margin" w:tblpY="17"/>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Disability and carer support"/>
      </w:tblPr>
      <w:tblGrid>
        <w:gridCol w:w="1843"/>
        <w:gridCol w:w="4253"/>
        <w:gridCol w:w="2976"/>
      </w:tblGrid>
      <w:tr w:rsidR="0047573C" w:rsidRPr="00B50802" w14:paraId="210D4F70" w14:textId="77777777" w:rsidTr="0079684A">
        <w:trPr>
          <w:trHeight w:val="784"/>
          <w:tblHeader/>
        </w:trPr>
        <w:tc>
          <w:tcPr>
            <w:tcW w:w="1843" w:type="dxa"/>
            <w:tcBorders>
              <w:top w:val="nil"/>
              <w:bottom w:val="single" w:sz="4" w:space="0" w:color="auto"/>
            </w:tcBorders>
          </w:tcPr>
          <w:p w14:paraId="060E07E3" w14:textId="77777777" w:rsidR="0047573C" w:rsidRPr="00B50802" w:rsidRDefault="0047573C" w:rsidP="0047573C">
            <w:pPr>
              <w:spacing w:before="120" w:after="120"/>
              <w:rPr>
                <w:rFonts w:cs="Arial"/>
                <w:sz w:val="20"/>
                <w:szCs w:val="20"/>
              </w:rPr>
            </w:pPr>
            <w:r w:rsidRPr="00B50802">
              <w:rPr>
                <w:rFonts w:cs="Arial"/>
                <w:sz w:val="20"/>
                <w:szCs w:val="20"/>
              </w:rPr>
              <w:t>Disability Gateway</w:t>
            </w:r>
          </w:p>
        </w:tc>
        <w:tc>
          <w:tcPr>
            <w:tcW w:w="4253" w:type="dxa"/>
            <w:tcBorders>
              <w:top w:val="nil"/>
              <w:bottom w:val="single" w:sz="4" w:space="0" w:color="auto"/>
            </w:tcBorders>
          </w:tcPr>
          <w:p w14:paraId="6351511A" w14:textId="77777777" w:rsidR="0047573C" w:rsidRPr="00B50802" w:rsidRDefault="0048613B" w:rsidP="0047573C">
            <w:pPr>
              <w:spacing w:before="120" w:after="120"/>
              <w:rPr>
                <w:rFonts w:cs="Arial"/>
                <w:sz w:val="20"/>
                <w:szCs w:val="20"/>
              </w:rPr>
            </w:pPr>
            <w:r w:rsidRPr="00B50802">
              <w:rPr>
                <w:rFonts w:cs="Arial"/>
                <w:sz w:val="20"/>
                <w:szCs w:val="20"/>
              </w:rPr>
              <w:t xml:space="preserve">Assistance for </w:t>
            </w:r>
            <w:r w:rsidR="0047573C" w:rsidRPr="00B50802">
              <w:rPr>
                <w:rFonts w:cs="Arial"/>
                <w:sz w:val="20"/>
                <w:szCs w:val="20"/>
              </w:rPr>
              <w:t xml:space="preserve">all people with disability, their families and carers to locate and access services across Australia. </w:t>
            </w:r>
          </w:p>
        </w:tc>
        <w:tc>
          <w:tcPr>
            <w:tcW w:w="2976" w:type="dxa"/>
            <w:tcBorders>
              <w:top w:val="nil"/>
              <w:bottom w:val="single" w:sz="4" w:space="0" w:color="auto"/>
            </w:tcBorders>
          </w:tcPr>
          <w:p w14:paraId="41A130C8" w14:textId="77777777" w:rsidR="0047573C" w:rsidRPr="00B50802" w:rsidRDefault="0047573C" w:rsidP="0047573C">
            <w:pPr>
              <w:spacing w:before="120" w:after="120"/>
              <w:rPr>
                <w:rFonts w:cs="Arial"/>
                <w:sz w:val="20"/>
                <w:szCs w:val="20"/>
              </w:rPr>
            </w:pPr>
            <w:r w:rsidRPr="00B50802">
              <w:rPr>
                <w:rFonts w:cs="Arial"/>
                <w:sz w:val="20"/>
                <w:szCs w:val="20"/>
              </w:rPr>
              <w:t>1800 643 787</w:t>
            </w:r>
          </w:p>
          <w:p w14:paraId="5FD9366E" w14:textId="77777777" w:rsidR="0047573C" w:rsidRPr="00B50802" w:rsidRDefault="0047573C" w:rsidP="0047573C">
            <w:pPr>
              <w:spacing w:before="120" w:after="120"/>
              <w:rPr>
                <w:rFonts w:cs="Arial"/>
                <w:sz w:val="20"/>
                <w:szCs w:val="20"/>
              </w:rPr>
            </w:pPr>
            <w:r w:rsidRPr="00B50802">
              <w:rPr>
                <w:rFonts w:cs="Arial"/>
                <w:sz w:val="20"/>
                <w:szCs w:val="20"/>
              </w:rPr>
              <w:t>NRS 1800 555 677</w:t>
            </w:r>
          </w:p>
          <w:p w14:paraId="2B0A08A2" w14:textId="77777777" w:rsidR="0047573C" w:rsidRPr="00B50802" w:rsidRDefault="0047573C" w:rsidP="0047573C">
            <w:pPr>
              <w:spacing w:before="120" w:after="120"/>
              <w:rPr>
                <w:rFonts w:cs="Arial"/>
                <w:sz w:val="20"/>
                <w:szCs w:val="20"/>
              </w:rPr>
            </w:pPr>
            <w:r w:rsidRPr="00B50802">
              <w:rPr>
                <w:rFonts w:cs="Arial"/>
                <w:sz w:val="20"/>
                <w:szCs w:val="20"/>
              </w:rPr>
              <w:t>Interpreter 13 14 50</w:t>
            </w:r>
          </w:p>
          <w:p w14:paraId="3AF9ED31" w14:textId="77777777" w:rsidR="0047573C" w:rsidRPr="00B50802" w:rsidRDefault="002E6CF7" w:rsidP="0047573C">
            <w:pPr>
              <w:spacing w:before="120" w:after="120"/>
              <w:rPr>
                <w:rFonts w:cs="Arial"/>
                <w:sz w:val="20"/>
                <w:szCs w:val="20"/>
                <w:u w:val="single"/>
                <w:lang w:eastAsia="en-AU"/>
              </w:rPr>
            </w:pPr>
            <w:hyperlink r:id="rId28" w:history="1">
              <w:r w:rsidR="0047573C" w:rsidRPr="00B50802">
                <w:rPr>
                  <w:rStyle w:val="Hyperlink"/>
                  <w:rFonts w:cs="Arial"/>
                  <w:sz w:val="20"/>
                  <w:szCs w:val="20"/>
                  <w:lang w:eastAsia="en-AU"/>
                </w:rPr>
                <w:t>www.disabilitygateway.gov.au</w:t>
              </w:r>
            </w:hyperlink>
          </w:p>
        </w:tc>
      </w:tr>
      <w:tr w:rsidR="0047573C" w:rsidRPr="00B50802" w14:paraId="328338D9" w14:textId="77777777" w:rsidTr="0079684A">
        <w:trPr>
          <w:trHeight w:val="784"/>
          <w:tblHeader/>
        </w:trPr>
        <w:tc>
          <w:tcPr>
            <w:tcW w:w="1843" w:type="dxa"/>
            <w:tcBorders>
              <w:top w:val="single" w:sz="4" w:space="0" w:color="auto"/>
              <w:bottom w:val="single" w:sz="4" w:space="0" w:color="auto"/>
            </w:tcBorders>
          </w:tcPr>
          <w:p w14:paraId="16AD3EFA" w14:textId="77777777" w:rsidR="0047573C" w:rsidRPr="00B50802" w:rsidRDefault="0047573C" w:rsidP="0047573C">
            <w:pPr>
              <w:spacing w:before="120" w:after="120"/>
              <w:rPr>
                <w:rFonts w:cs="Arial"/>
                <w:sz w:val="20"/>
                <w:szCs w:val="20"/>
              </w:rPr>
            </w:pPr>
            <w:r w:rsidRPr="00B50802">
              <w:rPr>
                <w:rFonts w:cs="Arial"/>
                <w:sz w:val="20"/>
                <w:szCs w:val="20"/>
              </w:rPr>
              <w:t>Carer Gateway</w:t>
            </w:r>
          </w:p>
        </w:tc>
        <w:tc>
          <w:tcPr>
            <w:tcW w:w="4253" w:type="dxa"/>
            <w:tcBorders>
              <w:top w:val="single" w:sz="4" w:space="0" w:color="auto"/>
              <w:bottom w:val="single" w:sz="4" w:space="0" w:color="auto"/>
            </w:tcBorders>
          </w:tcPr>
          <w:p w14:paraId="0F55B4A5" w14:textId="77777777" w:rsidR="0047573C" w:rsidRPr="00B50802" w:rsidRDefault="0047573C" w:rsidP="0047573C">
            <w:pPr>
              <w:spacing w:before="120" w:after="120"/>
              <w:rPr>
                <w:rFonts w:cs="Arial"/>
                <w:sz w:val="20"/>
                <w:szCs w:val="20"/>
              </w:rPr>
            </w:pPr>
            <w:r w:rsidRPr="00B50802">
              <w:rPr>
                <w:rFonts w:cs="Arial"/>
                <w:sz w:val="20"/>
                <w:szCs w:val="20"/>
              </w:rPr>
              <w:t xml:space="preserve">Carers can access individually tailored services within their local area through Carer Gateway service providers. </w:t>
            </w:r>
          </w:p>
        </w:tc>
        <w:tc>
          <w:tcPr>
            <w:tcW w:w="2976" w:type="dxa"/>
            <w:tcBorders>
              <w:top w:val="single" w:sz="4" w:space="0" w:color="auto"/>
              <w:bottom w:val="single" w:sz="4" w:space="0" w:color="auto"/>
            </w:tcBorders>
          </w:tcPr>
          <w:p w14:paraId="65FFDDC7" w14:textId="77777777" w:rsidR="0047573C" w:rsidRPr="00B50802" w:rsidRDefault="0047573C" w:rsidP="0047573C">
            <w:pPr>
              <w:spacing w:before="120" w:after="120"/>
              <w:rPr>
                <w:rFonts w:cs="Arial"/>
                <w:sz w:val="20"/>
                <w:szCs w:val="20"/>
                <w:lang w:eastAsia="en-AU"/>
              </w:rPr>
            </w:pPr>
            <w:r w:rsidRPr="00B50802">
              <w:rPr>
                <w:rFonts w:cs="Arial"/>
                <w:sz w:val="20"/>
                <w:szCs w:val="20"/>
                <w:lang w:eastAsia="en-AU"/>
              </w:rPr>
              <w:t>1800 422 737</w:t>
            </w:r>
          </w:p>
          <w:p w14:paraId="23EC1235" w14:textId="77777777" w:rsidR="0047573C" w:rsidRPr="00B50802" w:rsidRDefault="002E6CF7" w:rsidP="0047573C">
            <w:pPr>
              <w:spacing w:before="120" w:after="120"/>
              <w:rPr>
                <w:rFonts w:cs="Arial"/>
                <w:sz w:val="20"/>
                <w:szCs w:val="20"/>
              </w:rPr>
            </w:pPr>
            <w:hyperlink r:id="rId29" w:history="1">
              <w:r w:rsidR="0047573C" w:rsidRPr="00B50802">
                <w:rPr>
                  <w:rStyle w:val="Hyperlink"/>
                  <w:rFonts w:cs="Arial"/>
                  <w:sz w:val="20"/>
                  <w:szCs w:val="20"/>
                </w:rPr>
                <w:t>www.carergateway.gov.au</w:t>
              </w:r>
            </w:hyperlink>
          </w:p>
        </w:tc>
      </w:tr>
      <w:tr w:rsidR="0047573C" w:rsidRPr="00B50802" w14:paraId="6326D47E" w14:textId="77777777" w:rsidTr="0079684A">
        <w:trPr>
          <w:trHeight w:val="784"/>
          <w:tblHeader/>
        </w:trPr>
        <w:tc>
          <w:tcPr>
            <w:tcW w:w="1843" w:type="dxa"/>
            <w:tcBorders>
              <w:top w:val="single" w:sz="4" w:space="0" w:color="auto"/>
              <w:bottom w:val="single" w:sz="4" w:space="0" w:color="auto"/>
            </w:tcBorders>
          </w:tcPr>
          <w:p w14:paraId="6F289C25" w14:textId="77777777" w:rsidR="0047573C" w:rsidRPr="00B50802" w:rsidRDefault="0047573C" w:rsidP="0047573C">
            <w:pPr>
              <w:spacing w:before="120" w:after="120"/>
              <w:rPr>
                <w:rFonts w:cs="Arial"/>
                <w:sz w:val="20"/>
                <w:szCs w:val="20"/>
              </w:rPr>
            </w:pPr>
            <w:r w:rsidRPr="00B50802">
              <w:rPr>
                <w:rFonts w:cs="Arial"/>
                <w:sz w:val="20"/>
                <w:szCs w:val="20"/>
              </w:rPr>
              <w:t>National Disability Insurance Scheme (NDIS)</w:t>
            </w:r>
          </w:p>
        </w:tc>
        <w:tc>
          <w:tcPr>
            <w:tcW w:w="4253" w:type="dxa"/>
            <w:tcBorders>
              <w:top w:val="single" w:sz="4" w:space="0" w:color="auto"/>
              <w:bottom w:val="single" w:sz="4" w:space="0" w:color="auto"/>
            </w:tcBorders>
          </w:tcPr>
          <w:p w14:paraId="03FB23F1" w14:textId="77777777" w:rsidR="0047573C" w:rsidRPr="00B50802" w:rsidRDefault="0047573C" w:rsidP="0047573C">
            <w:pPr>
              <w:spacing w:before="120" w:after="120"/>
              <w:rPr>
                <w:rFonts w:cs="Arial"/>
                <w:sz w:val="20"/>
                <w:szCs w:val="20"/>
              </w:rPr>
            </w:pPr>
            <w:r w:rsidRPr="00B50802">
              <w:rPr>
                <w:rFonts w:cs="Arial"/>
                <w:color w:val="222222"/>
                <w:sz w:val="20"/>
                <w:szCs w:val="20"/>
                <w:shd w:val="clear" w:color="auto" w:fill="FFFFFF"/>
              </w:rPr>
              <w:t>The NDIS provides funding to eligible people with disability to gain more time with family and friends, greater independence and access to new skills. </w:t>
            </w:r>
          </w:p>
        </w:tc>
        <w:tc>
          <w:tcPr>
            <w:tcW w:w="2976" w:type="dxa"/>
            <w:tcBorders>
              <w:top w:val="single" w:sz="4" w:space="0" w:color="auto"/>
              <w:bottom w:val="single" w:sz="4" w:space="0" w:color="auto"/>
            </w:tcBorders>
          </w:tcPr>
          <w:p w14:paraId="549E88A0" w14:textId="77777777" w:rsidR="0047573C" w:rsidRPr="00B50802" w:rsidRDefault="0047573C" w:rsidP="0047573C">
            <w:pPr>
              <w:spacing w:before="120" w:after="120"/>
              <w:rPr>
                <w:rFonts w:cs="Arial"/>
                <w:sz w:val="20"/>
                <w:szCs w:val="20"/>
              </w:rPr>
            </w:pPr>
            <w:r w:rsidRPr="00B50802">
              <w:rPr>
                <w:rFonts w:cs="Arial"/>
                <w:sz w:val="20"/>
                <w:szCs w:val="20"/>
              </w:rPr>
              <w:t>1800 800 110</w:t>
            </w:r>
          </w:p>
          <w:p w14:paraId="60EC452E" w14:textId="77777777" w:rsidR="0047573C" w:rsidRPr="00B50802" w:rsidRDefault="0047573C" w:rsidP="0047573C">
            <w:pPr>
              <w:spacing w:before="120" w:after="120"/>
              <w:rPr>
                <w:rFonts w:cs="Arial"/>
                <w:sz w:val="20"/>
                <w:szCs w:val="20"/>
              </w:rPr>
            </w:pPr>
            <w:r w:rsidRPr="00B50802">
              <w:rPr>
                <w:rFonts w:cs="Arial"/>
                <w:sz w:val="20"/>
                <w:szCs w:val="20"/>
              </w:rPr>
              <w:t xml:space="preserve">email: </w:t>
            </w:r>
            <w:r w:rsidRPr="00B50802">
              <w:rPr>
                <w:sz w:val="20"/>
                <w:szCs w:val="20"/>
              </w:rPr>
              <w:t xml:space="preserve"> </w:t>
            </w:r>
            <w:hyperlink r:id="rId30" w:history="1">
              <w:r w:rsidRPr="00B50802">
                <w:rPr>
                  <w:rStyle w:val="Hyperlink"/>
                  <w:rFonts w:cs="Arial"/>
                  <w:sz w:val="20"/>
                  <w:szCs w:val="20"/>
                  <w:shd w:val="clear" w:color="auto" w:fill="FFFFFF"/>
                </w:rPr>
                <w:t>enquiries@ndis.gov.au</w:t>
              </w:r>
            </w:hyperlink>
          </w:p>
        </w:tc>
      </w:tr>
    </w:tbl>
    <w:p w14:paraId="63B2DD5B" w14:textId="77777777" w:rsidR="000460B6" w:rsidRPr="00B50802" w:rsidRDefault="000460B6" w:rsidP="000460B6">
      <w:pPr>
        <w:spacing w:before="120" w:after="120" w:line="240" w:lineRule="auto"/>
        <w:rPr>
          <w:rFonts w:cs="Arial"/>
        </w:rPr>
      </w:pPr>
    </w:p>
    <w:p w14:paraId="5FE2E85D" w14:textId="77777777" w:rsidR="000460B6" w:rsidRPr="00B50802" w:rsidRDefault="000460B6" w:rsidP="005E7A70">
      <w:pPr>
        <w:rPr>
          <w:rFonts w:ascii="Georgia" w:hAnsi="Georgia"/>
          <w:b/>
          <w:bCs/>
          <w:sz w:val="28"/>
          <w:szCs w:val="28"/>
        </w:rPr>
      </w:pPr>
      <w:r w:rsidRPr="00B50802">
        <w:rPr>
          <w:rFonts w:ascii="Georgia" w:hAnsi="Georgia"/>
          <w:b/>
          <w:bCs/>
          <w:sz w:val="28"/>
          <w:szCs w:val="28"/>
        </w:rPr>
        <w:t>Crisis accommodation support</w:t>
      </w:r>
    </w:p>
    <w:p w14:paraId="1EF91EBD" w14:textId="77777777" w:rsidR="00050887" w:rsidRPr="00B50802" w:rsidRDefault="00050887" w:rsidP="00050887">
      <w:pPr>
        <w:spacing w:before="120" w:after="120" w:line="240" w:lineRule="auto"/>
        <w:rPr>
          <w:rFonts w:eastAsia="Times New Roman" w:cs="Arial"/>
          <w:u w:val="single"/>
        </w:rPr>
      </w:pPr>
      <w:r w:rsidRPr="00B50802">
        <w:rPr>
          <w:rFonts w:cs="Arial"/>
        </w:rPr>
        <w:t xml:space="preserve">If you require support in your local area, you may wish to visit </w:t>
      </w:r>
      <w:hyperlink r:id="rId31">
        <w:r w:rsidR="00C17712" w:rsidRPr="00B50802">
          <w:rPr>
            <w:rStyle w:val="Hyperlink"/>
            <w:rFonts w:eastAsia="Times New Roman" w:cs="Arial"/>
          </w:rPr>
          <w:t>www.</w:t>
        </w:r>
        <w:r w:rsidRPr="00B50802">
          <w:rPr>
            <w:rStyle w:val="Hyperlink"/>
            <w:rFonts w:eastAsia="Times New Roman" w:cs="Arial"/>
          </w:rPr>
          <w:t>askizzy.org.au</w:t>
        </w:r>
      </w:hyperlink>
      <w:r w:rsidR="0048613B" w:rsidRPr="00B50802">
        <w:rPr>
          <w:rFonts w:cs="Arial"/>
        </w:rPr>
        <w:t>.</w:t>
      </w:r>
    </w:p>
    <w:p w14:paraId="561D022A" w14:textId="77777777" w:rsidR="00050887" w:rsidRPr="00B50802" w:rsidRDefault="0048613B" w:rsidP="000460B6">
      <w:pPr>
        <w:spacing w:before="120" w:after="120"/>
        <w:rPr>
          <w:rFonts w:cs="Arial"/>
        </w:rPr>
      </w:pPr>
      <w:r w:rsidRPr="00B50802">
        <w:rPr>
          <w:rFonts w:cs="Arial"/>
        </w:rPr>
        <w:t xml:space="preserve">This </w:t>
      </w:r>
      <w:r w:rsidR="00050887" w:rsidRPr="00B50802">
        <w:rPr>
          <w:rFonts w:cs="Arial"/>
        </w:rPr>
        <w:t xml:space="preserve">website connects people in need with housing, a meal, help with money, family violence support, counselling and much more. </w:t>
      </w:r>
    </w:p>
    <w:p w14:paraId="31E8E65E" w14:textId="77777777" w:rsidR="003E64F0" w:rsidRPr="00B50802" w:rsidRDefault="000460B6" w:rsidP="000460B6">
      <w:pPr>
        <w:spacing w:before="120" w:after="120"/>
      </w:pPr>
      <w:r w:rsidRPr="00B50802">
        <w:rPr>
          <w:rFonts w:cs="Arial"/>
        </w:rPr>
        <w:t>If you are in urgent need of accommodation, you may wish to contact one of the following services in your state or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isis accommodation support"/>
      </w:tblPr>
      <w:tblGrid>
        <w:gridCol w:w="3005"/>
        <w:gridCol w:w="6067"/>
      </w:tblGrid>
      <w:tr w:rsidR="005E7A70" w:rsidRPr="00B50802" w14:paraId="37AEF0AC" w14:textId="77777777" w:rsidTr="0079684A">
        <w:trPr>
          <w:tblHeader/>
        </w:trPr>
        <w:tc>
          <w:tcPr>
            <w:tcW w:w="3005" w:type="dxa"/>
            <w:tcBorders>
              <w:top w:val="single" w:sz="4" w:space="0" w:color="auto"/>
              <w:bottom w:val="single" w:sz="4" w:space="0" w:color="auto"/>
            </w:tcBorders>
          </w:tcPr>
          <w:p w14:paraId="4EDA6735" w14:textId="77777777" w:rsidR="005E7A70" w:rsidRPr="00B50802" w:rsidRDefault="005E7A70" w:rsidP="005E7A70">
            <w:pPr>
              <w:spacing w:before="120" w:after="120"/>
              <w:rPr>
                <w:rFonts w:cs="Arial"/>
                <w:sz w:val="20"/>
                <w:szCs w:val="20"/>
              </w:rPr>
            </w:pPr>
            <w:r w:rsidRPr="00B50802">
              <w:rPr>
                <w:rFonts w:cs="Arial"/>
                <w:sz w:val="20"/>
                <w:szCs w:val="20"/>
                <w:lang w:val="en-US"/>
              </w:rPr>
              <w:t>Australian Capital Territory</w:t>
            </w:r>
          </w:p>
          <w:p w14:paraId="2BB64BE6" w14:textId="77777777" w:rsidR="005E7A70" w:rsidRPr="00B50802" w:rsidRDefault="005E7A70" w:rsidP="005E7A70">
            <w:pPr>
              <w:spacing w:before="120" w:after="120"/>
            </w:pPr>
          </w:p>
        </w:tc>
        <w:tc>
          <w:tcPr>
            <w:tcW w:w="6067" w:type="dxa"/>
            <w:tcBorders>
              <w:top w:val="single" w:sz="4" w:space="0" w:color="auto"/>
              <w:bottom w:val="single" w:sz="4" w:space="0" w:color="auto"/>
            </w:tcBorders>
          </w:tcPr>
          <w:p w14:paraId="0B8A82C3" w14:textId="77777777" w:rsidR="005E7A70" w:rsidRPr="00B50802" w:rsidRDefault="005E7A70" w:rsidP="005E7A70">
            <w:pPr>
              <w:spacing w:before="120" w:after="120"/>
              <w:rPr>
                <w:rFonts w:cs="Arial"/>
                <w:sz w:val="20"/>
                <w:szCs w:val="20"/>
              </w:rPr>
            </w:pPr>
            <w:r w:rsidRPr="00B50802">
              <w:rPr>
                <w:rFonts w:cs="Arial"/>
                <w:sz w:val="20"/>
                <w:szCs w:val="20"/>
              </w:rPr>
              <w:t xml:space="preserve">Onelink </w:t>
            </w:r>
          </w:p>
          <w:p w14:paraId="5BC71BE6" w14:textId="77777777" w:rsidR="005E7A70" w:rsidRPr="00B50802" w:rsidRDefault="005E7A70" w:rsidP="005E7A70">
            <w:pPr>
              <w:spacing w:before="120" w:after="120"/>
              <w:rPr>
                <w:rFonts w:cs="Arial"/>
                <w:sz w:val="20"/>
                <w:szCs w:val="20"/>
              </w:rPr>
            </w:pPr>
            <w:r w:rsidRPr="00B50802">
              <w:rPr>
                <w:rFonts w:cs="Arial"/>
                <w:sz w:val="20"/>
                <w:szCs w:val="20"/>
              </w:rPr>
              <w:t>1800 176 468</w:t>
            </w:r>
          </w:p>
          <w:p w14:paraId="00863514" w14:textId="643E98AD" w:rsidR="005E7A70" w:rsidRPr="00B50802" w:rsidRDefault="002E6CF7" w:rsidP="0048654D">
            <w:pPr>
              <w:spacing w:before="120" w:after="120"/>
              <w:rPr>
                <w:rFonts w:cs="Arial"/>
                <w:sz w:val="20"/>
                <w:szCs w:val="20"/>
              </w:rPr>
            </w:pPr>
            <w:hyperlink r:id="rId32" w:history="1">
              <w:r w:rsidR="0048654D" w:rsidRPr="004546C4">
                <w:rPr>
                  <w:rStyle w:val="Hyperlink"/>
                </w:rPr>
                <w:t>www.onelink.org.au</w:t>
              </w:r>
            </w:hyperlink>
          </w:p>
        </w:tc>
      </w:tr>
      <w:tr w:rsidR="005E7A70" w:rsidRPr="00B50802" w14:paraId="7522D892" w14:textId="77777777" w:rsidTr="0079684A">
        <w:trPr>
          <w:tblHeader/>
        </w:trPr>
        <w:tc>
          <w:tcPr>
            <w:tcW w:w="3005" w:type="dxa"/>
            <w:tcBorders>
              <w:top w:val="single" w:sz="4" w:space="0" w:color="auto"/>
              <w:bottom w:val="single" w:sz="4" w:space="0" w:color="auto"/>
            </w:tcBorders>
          </w:tcPr>
          <w:p w14:paraId="1FA04901" w14:textId="4BE516D5" w:rsidR="005E7A70" w:rsidRPr="00B50802" w:rsidRDefault="005E7A70" w:rsidP="005E7A70">
            <w:pPr>
              <w:spacing w:before="120" w:after="120"/>
              <w:rPr>
                <w:rFonts w:cs="Arial"/>
                <w:sz w:val="20"/>
                <w:szCs w:val="20"/>
              </w:rPr>
            </w:pPr>
            <w:r w:rsidRPr="00B50802">
              <w:rPr>
                <w:rFonts w:cs="Arial"/>
                <w:sz w:val="20"/>
                <w:szCs w:val="20"/>
                <w:lang w:val="en-US"/>
              </w:rPr>
              <w:t>New South Wales</w:t>
            </w:r>
          </w:p>
          <w:p w14:paraId="631D6235" w14:textId="77777777" w:rsidR="005E7A70" w:rsidRPr="00B50802" w:rsidRDefault="005E7A70" w:rsidP="005E7A70">
            <w:pPr>
              <w:spacing w:before="120" w:after="120"/>
            </w:pPr>
          </w:p>
        </w:tc>
        <w:tc>
          <w:tcPr>
            <w:tcW w:w="6067" w:type="dxa"/>
            <w:tcBorders>
              <w:top w:val="single" w:sz="4" w:space="0" w:color="auto"/>
              <w:bottom w:val="single" w:sz="4" w:space="0" w:color="auto"/>
            </w:tcBorders>
          </w:tcPr>
          <w:p w14:paraId="794D89F4" w14:textId="77777777" w:rsidR="005E7A70" w:rsidRPr="00B50802" w:rsidRDefault="005E7A70" w:rsidP="005E7A70">
            <w:pPr>
              <w:spacing w:before="120" w:after="120"/>
              <w:rPr>
                <w:rFonts w:cs="Arial"/>
                <w:sz w:val="20"/>
                <w:szCs w:val="20"/>
              </w:rPr>
            </w:pPr>
            <w:r w:rsidRPr="00B50802">
              <w:rPr>
                <w:rFonts w:cs="Arial"/>
                <w:sz w:val="20"/>
                <w:szCs w:val="20"/>
              </w:rPr>
              <w:t>Link2Home</w:t>
            </w:r>
          </w:p>
          <w:p w14:paraId="2EB25BC3" w14:textId="77777777" w:rsidR="005E7A70" w:rsidRPr="00B50802" w:rsidRDefault="005E7A70" w:rsidP="005E7A70">
            <w:pPr>
              <w:spacing w:before="120" w:after="120"/>
              <w:rPr>
                <w:rFonts w:cs="Arial"/>
                <w:sz w:val="20"/>
                <w:szCs w:val="20"/>
              </w:rPr>
            </w:pPr>
            <w:r w:rsidRPr="00B50802">
              <w:rPr>
                <w:rFonts w:cs="Arial"/>
                <w:sz w:val="20"/>
                <w:szCs w:val="20"/>
              </w:rPr>
              <w:t>1800 152 152</w:t>
            </w:r>
          </w:p>
          <w:p w14:paraId="0B772714" w14:textId="77777777" w:rsidR="005E7A70" w:rsidRPr="00B50802" w:rsidRDefault="002E6CF7" w:rsidP="005E7A70">
            <w:pPr>
              <w:spacing w:before="120" w:after="120"/>
            </w:pPr>
            <w:hyperlink r:id="rId33" w:history="1">
              <w:r w:rsidR="005E7A70" w:rsidRPr="00B50802">
                <w:rPr>
                  <w:rStyle w:val="Hyperlink"/>
                  <w:rFonts w:cs="Arial"/>
                  <w:sz w:val="20"/>
                  <w:szCs w:val="20"/>
                </w:rPr>
                <w:t>www.facs.nsw.gov.au/housing/help/ways/are-you-homeless</w:t>
              </w:r>
            </w:hyperlink>
          </w:p>
        </w:tc>
      </w:tr>
      <w:tr w:rsidR="005E7A70" w:rsidRPr="00B50802" w14:paraId="1266A735" w14:textId="77777777" w:rsidTr="0079684A">
        <w:trPr>
          <w:tblHeader/>
        </w:trPr>
        <w:tc>
          <w:tcPr>
            <w:tcW w:w="3005" w:type="dxa"/>
            <w:tcBorders>
              <w:top w:val="single" w:sz="4" w:space="0" w:color="auto"/>
              <w:bottom w:val="single" w:sz="4" w:space="0" w:color="auto"/>
            </w:tcBorders>
          </w:tcPr>
          <w:p w14:paraId="79B162AB" w14:textId="468E5E4B" w:rsidR="005E7A70" w:rsidRPr="00B50802" w:rsidRDefault="005E7A70" w:rsidP="005E7A70">
            <w:pPr>
              <w:spacing w:before="120" w:after="120"/>
              <w:rPr>
                <w:rFonts w:cs="Arial"/>
                <w:sz w:val="20"/>
                <w:szCs w:val="20"/>
              </w:rPr>
            </w:pPr>
            <w:r w:rsidRPr="00B50802">
              <w:rPr>
                <w:rFonts w:cs="Arial"/>
                <w:sz w:val="20"/>
                <w:szCs w:val="20"/>
                <w:lang w:val="en-US"/>
              </w:rPr>
              <w:t>N</w:t>
            </w:r>
            <w:r w:rsidR="0079684A">
              <w:rPr>
                <w:rFonts w:cs="Arial"/>
                <w:sz w:val="20"/>
                <w:szCs w:val="20"/>
              </w:rPr>
              <w:t>orthern Territory</w:t>
            </w:r>
          </w:p>
          <w:p w14:paraId="25234231" w14:textId="77777777" w:rsidR="005E7A70" w:rsidRPr="00B50802" w:rsidRDefault="005E7A70" w:rsidP="005E7A70">
            <w:pPr>
              <w:spacing w:before="120" w:after="120"/>
            </w:pPr>
          </w:p>
        </w:tc>
        <w:tc>
          <w:tcPr>
            <w:tcW w:w="6067" w:type="dxa"/>
            <w:tcBorders>
              <w:top w:val="single" w:sz="4" w:space="0" w:color="auto"/>
              <w:bottom w:val="single" w:sz="4" w:space="0" w:color="auto"/>
            </w:tcBorders>
          </w:tcPr>
          <w:p w14:paraId="54AF263E" w14:textId="77777777" w:rsidR="005E7A70" w:rsidRPr="00B50802" w:rsidRDefault="005E7A70" w:rsidP="005E7A70">
            <w:pPr>
              <w:spacing w:before="120" w:after="120"/>
              <w:rPr>
                <w:rFonts w:cs="Arial"/>
                <w:sz w:val="20"/>
                <w:szCs w:val="20"/>
              </w:rPr>
            </w:pPr>
            <w:r w:rsidRPr="00B50802">
              <w:rPr>
                <w:rFonts w:cs="Arial"/>
                <w:sz w:val="20"/>
                <w:szCs w:val="20"/>
              </w:rPr>
              <w:t xml:space="preserve">ShelterMe </w:t>
            </w:r>
          </w:p>
          <w:p w14:paraId="5E5B0D8F" w14:textId="77777777" w:rsidR="005E7A70" w:rsidRPr="00B50802" w:rsidRDefault="005E7A70" w:rsidP="005E7A70">
            <w:pPr>
              <w:spacing w:before="120" w:after="120"/>
              <w:rPr>
                <w:rFonts w:cs="Arial"/>
                <w:sz w:val="20"/>
                <w:szCs w:val="20"/>
              </w:rPr>
            </w:pPr>
            <w:r w:rsidRPr="00B50802">
              <w:rPr>
                <w:rFonts w:cs="Arial"/>
                <w:sz w:val="20"/>
                <w:szCs w:val="20"/>
              </w:rPr>
              <w:t>(08) 8985 4389</w:t>
            </w:r>
          </w:p>
          <w:p w14:paraId="66241C82" w14:textId="77777777" w:rsidR="005E7A70" w:rsidRPr="00B50802" w:rsidRDefault="002E6CF7" w:rsidP="005E7A70">
            <w:pPr>
              <w:spacing w:before="120" w:after="120"/>
            </w:pPr>
            <w:hyperlink r:id="rId34" w:history="1">
              <w:r w:rsidR="005E7A70" w:rsidRPr="00B50802">
                <w:rPr>
                  <w:rStyle w:val="Hyperlink"/>
                  <w:rFonts w:cs="Arial"/>
                  <w:sz w:val="20"/>
                  <w:szCs w:val="20"/>
                </w:rPr>
                <w:t>www.shelterme.org.au</w:t>
              </w:r>
            </w:hyperlink>
            <w:r w:rsidR="005E7A70" w:rsidRPr="00B50802">
              <w:rPr>
                <w:rFonts w:cs="Arial"/>
                <w:sz w:val="20"/>
                <w:szCs w:val="20"/>
                <w:u w:val="single"/>
              </w:rPr>
              <w:t xml:space="preserve"> </w:t>
            </w:r>
          </w:p>
        </w:tc>
      </w:tr>
    </w:tbl>
    <w:p w14:paraId="07295906" w14:textId="77777777" w:rsidR="00CD3E65" w:rsidRPr="00B50802" w:rsidRDefault="00CD3E65">
      <w:r w:rsidRPr="00B50802">
        <w:br w:type="page"/>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Crisis accommodation support"/>
      </w:tblPr>
      <w:tblGrid>
        <w:gridCol w:w="3005"/>
        <w:gridCol w:w="6067"/>
      </w:tblGrid>
      <w:tr w:rsidR="005E7A70" w:rsidRPr="00B50802" w14:paraId="1A772BA6" w14:textId="77777777" w:rsidTr="0079684A">
        <w:trPr>
          <w:tblHeader/>
        </w:trPr>
        <w:tc>
          <w:tcPr>
            <w:tcW w:w="3005" w:type="dxa"/>
            <w:tcBorders>
              <w:top w:val="single" w:sz="4" w:space="0" w:color="auto"/>
              <w:bottom w:val="single" w:sz="4" w:space="0" w:color="auto"/>
            </w:tcBorders>
          </w:tcPr>
          <w:p w14:paraId="5848FA91" w14:textId="77777777" w:rsidR="005E7A70" w:rsidRPr="00B50802" w:rsidRDefault="005E7A70" w:rsidP="005E7A70">
            <w:pPr>
              <w:spacing w:before="120" w:after="120"/>
              <w:rPr>
                <w:rFonts w:cs="Arial"/>
                <w:sz w:val="20"/>
                <w:szCs w:val="20"/>
              </w:rPr>
            </w:pPr>
            <w:r w:rsidRPr="00B50802">
              <w:rPr>
                <w:rFonts w:cs="Arial"/>
                <w:sz w:val="20"/>
                <w:szCs w:val="20"/>
                <w:lang w:val="en-US"/>
              </w:rPr>
              <w:lastRenderedPageBreak/>
              <w:t>Queensland</w:t>
            </w:r>
            <w:r w:rsidRPr="00B50802">
              <w:rPr>
                <w:rFonts w:cs="Arial"/>
                <w:sz w:val="20"/>
                <w:szCs w:val="20"/>
              </w:rPr>
              <w:t xml:space="preserve"> </w:t>
            </w:r>
          </w:p>
          <w:p w14:paraId="02C18025" w14:textId="77777777" w:rsidR="005E7A70" w:rsidRPr="00B50802" w:rsidRDefault="005E7A70" w:rsidP="005E7A70">
            <w:pPr>
              <w:spacing w:before="120" w:after="120"/>
              <w:rPr>
                <w:rFonts w:cs="Arial"/>
                <w:sz w:val="20"/>
                <w:szCs w:val="20"/>
              </w:rPr>
            </w:pPr>
          </w:p>
          <w:p w14:paraId="545DBB65" w14:textId="77777777" w:rsidR="005E7A70" w:rsidRPr="00B50802" w:rsidRDefault="005E7A70" w:rsidP="005E7A70">
            <w:pPr>
              <w:spacing w:before="120" w:after="120"/>
            </w:pPr>
          </w:p>
        </w:tc>
        <w:tc>
          <w:tcPr>
            <w:tcW w:w="6067" w:type="dxa"/>
            <w:tcBorders>
              <w:top w:val="single" w:sz="4" w:space="0" w:color="auto"/>
              <w:bottom w:val="single" w:sz="4" w:space="0" w:color="auto"/>
            </w:tcBorders>
          </w:tcPr>
          <w:p w14:paraId="2AEAF520" w14:textId="77777777" w:rsidR="005E7A70" w:rsidRPr="00B50802" w:rsidRDefault="005E7A70" w:rsidP="005E7A70">
            <w:pPr>
              <w:spacing w:before="120" w:after="120"/>
              <w:rPr>
                <w:rFonts w:cs="Arial"/>
                <w:sz w:val="20"/>
                <w:szCs w:val="20"/>
              </w:rPr>
            </w:pPr>
            <w:r w:rsidRPr="00B50802">
              <w:rPr>
                <w:rFonts w:cs="Arial"/>
                <w:sz w:val="20"/>
                <w:szCs w:val="20"/>
              </w:rPr>
              <w:t xml:space="preserve">Homeless Hotline </w:t>
            </w:r>
          </w:p>
          <w:p w14:paraId="12CA9888" w14:textId="77777777" w:rsidR="005E7A70" w:rsidRPr="00B50802" w:rsidRDefault="005E7A70" w:rsidP="005E7A70">
            <w:pPr>
              <w:spacing w:before="120" w:after="120"/>
              <w:rPr>
                <w:rFonts w:cs="Arial"/>
                <w:sz w:val="20"/>
                <w:szCs w:val="20"/>
              </w:rPr>
            </w:pPr>
            <w:r w:rsidRPr="00B50802">
              <w:rPr>
                <w:rFonts w:cs="Arial"/>
                <w:sz w:val="20"/>
                <w:szCs w:val="20"/>
              </w:rPr>
              <w:t>1800 474 753</w:t>
            </w:r>
          </w:p>
          <w:p w14:paraId="014A4CF6" w14:textId="77777777" w:rsidR="005E7A70" w:rsidRPr="00B50802" w:rsidRDefault="002E6CF7" w:rsidP="005E7A70">
            <w:pPr>
              <w:spacing w:before="120" w:after="120"/>
            </w:pPr>
            <w:hyperlink r:id="rId35" w:history="1">
              <w:r w:rsidR="005E7A70" w:rsidRPr="00B50802">
                <w:rPr>
                  <w:rStyle w:val="Hyperlink"/>
                  <w:rFonts w:cs="Arial"/>
                  <w:sz w:val="20"/>
                  <w:szCs w:val="20"/>
                </w:rPr>
                <w:t>www.qld.gov.au/housing</w:t>
              </w:r>
            </w:hyperlink>
            <w:r w:rsidR="005E7A70" w:rsidRPr="00B50802">
              <w:rPr>
                <w:rFonts w:cs="Arial"/>
                <w:sz w:val="20"/>
                <w:szCs w:val="20"/>
                <w:u w:val="single"/>
              </w:rPr>
              <w:t xml:space="preserve"> </w:t>
            </w:r>
          </w:p>
        </w:tc>
      </w:tr>
      <w:tr w:rsidR="005E7A70" w:rsidRPr="00B50802" w14:paraId="0BE9321D" w14:textId="77777777" w:rsidTr="0079684A">
        <w:trPr>
          <w:tblHeader/>
        </w:trPr>
        <w:tc>
          <w:tcPr>
            <w:tcW w:w="3005" w:type="dxa"/>
            <w:tcBorders>
              <w:top w:val="single" w:sz="4" w:space="0" w:color="auto"/>
              <w:bottom w:val="single" w:sz="4" w:space="0" w:color="auto"/>
            </w:tcBorders>
          </w:tcPr>
          <w:p w14:paraId="68D22E35" w14:textId="77777777" w:rsidR="005E7A70" w:rsidRPr="00B50802" w:rsidRDefault="005E7A70" w:rsidP="005E7A70">
            <w:pPr>
              <w:spacing w:before="120" w:after="120"/>
              <w:rPr>
                <w:rFonts w:cs="Arial"/>
                <w:sz w:val="20"/>
                <w:szCs w:val="20"/>
              </w:rPr>
            </w:pPr>
            <w:r w:rsidRPr="00B50802">
              <w:rPr>
                <w:rFonts w:cs="Arial"/>
                <w:sz w:val="20"/>
                <w:szCs w:val="20"/>
                <w:lang w:val="en-US"/>
              </w:rPr>
              <w:t>South Australia</w:t>
            </w:r>
          </w:p>
          <w:p w14:paraId="6243A7B7" w14:textId="77777777" w:rsidR="005E7A70" w:rsidRPr="00B50802" w:rsidRDefault="005E7A70" w:rsidP="005E7A70">
            <w:pPr>
              <w:spacing w:before="120" w:after="120"/>
            </w:pPr>
          </w:p>
        </w:tc>
        <w:tc>
          <w:tcPr>
            <w:tcW w:w="6067" w:type="dxa"/>
            <w:tcBorders>
              <w:top w:val="single" w:sz="4" w:space="0" w:color="auto"/>
              <w:bottom w:val="single" w:sz="4" w:space="0" w:color="auto"/>
            </w:tcBorders>
          </w:tcPr>
          <w:p w14:paraId="588614C2" w14:textId="77777777" w:rsidR="005E7A70" w:rsidRPr="00B50802" w:rsidRDefault="005E7A70" w:rsidP="005E7A70">
            <w:pPr>
              <w:spacing w:before="120" w:after="120"/>
              <w:rPr>
                <w:rFonts w:cs="Arial"/>
                <w:sz w:val="20"/>
                <w:szCs w:val="20"/>
              </w:rPr>
            </w:pPr>
            <w:r w:rsidRPr="00B50802">
              <w:rPr>
                <w:rFonts w:cs="Arial"/>
                <w:sz w:val="20"/>
                <w:szCs w:val="20"/>
              </w:rPr>
              <w:t xml:space="preserve">Homeless Connect </w:t>
            </w:r>
          </w:p>
          <w:p w14:paraId="2AD74B4B" w14:textId="77777777" w:rsidR="005E7A70" w:rsidRPr="00B50802" w:rsidRDefault="005E7A70" w:rsidP="005E7A70">
            <w:pPr>
              <w:spacing w:before="120" w:after="120"/>
              <w:rPr>
                <w:rFonts w:cs="Arial"/>
                <w:sz w:val="20"/>
                <w:szCs w:val="20"/>
                <w:u w:val="single"/>
              </w:rPr>
            </w:pPr>
            <w:r w:rsidRPr="00B50802">
              <w:rPr>
                <w:rFonts w:cs="Arial"/>
                <w:sz w:val="20"/>
                <w:szCs w:val="20"/>
              </w:rPr>
              <w:t>1800 003 308</w:t>
            </w:r>
          </w:p>
          <w:p w14:paraId="2070368B" w14:textId="77777777" w:rsidR="005E7A70" w:rsidRPr="00B50802" w:rsidRDefault="002E6CF7" w:rsidP="005E7A70">
            <w:pPr>
              <w:spacing w:before="120" w:after="120"/>
            </w:pPr>
            <w:hyperlink r:id="rId36" w:history="1">
              <w:r w:rsidR="005E7A70" w:rsidRPr="00B50802">
                <w:rPr>
                  <w:rStyle w:val="Hyperlink"/>
                  <w:rFonts w:cs="Arial"/>
                  <w:sz w:val="20"/>
                  <w:szCs w:val="20"/>
                </w:rPr>
                <w:t>www.homelessconnectsa.org</w:t>
              </w:r>
            </w:hyperlink>
            <w:r w:rsidR="005E7A70" w:rsidRPr="00B50802">
              <w:rPr>
                <w:rFonts w:cs="Arial"/>
                <w:sz w:val="20"/>
                <w:szCs w:val="20"/>
                <w:u w:val="single"/>
              </w:rPr>
              <w:t xml:space="preserve"> </w:t>
            </w:r>
          </w:p>
        </w:tc>
      </w:tr>
      <w:tr w:rsidR="005E7A70" w:rsidRPr="00B50802" w14:paraId="24338F74" w14:textId="77777777" w:rsidTr="0079684A">
        <w:trPr>
          <w:tblHeader/>
        </w:trPr>
        <w:tc>
          <w:tcPr>
            <w:tcW w:w="3005" w:type="dxa"/>
            <w:tcBorders>
              <w:top w:val="single" w:sz="4" w:space="0" w:color="auto"/>
              <w:bottom w:val="single" w:sz="4" w:space="0" w:color="auto"/>
            </w:tcBorders>
          </w:tcPr>
          <w:p w14:paraId="0C343E2E" w14:textId="77777777" w:rsidR="005E7A70" w:rsidRPr="00B50802" w:rsidRDefault="005E7A70" w:rsidP="005E7A70">
            <w:pPr>
              <w:spacing w:before="120" w:after="120"/>
              <w:rPr>
                <w:rFonts w:cs="Arial"/>
                <w:sz w:val="20"/>
                <w:szCs w:val="20"/>
              </w:rPr>
            </w:pPr>
            <w:r w:rsidRPr="00B50802">
              <w:rPr>
                <w:rFonts w:cs="Arial"/>
                <w:sz w:val="20"/>
                <w:szCs w:val="20"/>
                <w:lang w:val="en-US"/>
              </w:rPr>
              <w:t>Tasmania</w:t>
            </w:r>
          </w:p>
          <w:p w14:paraId="4B4234AA" w14:textId="77777777" w:rsidR="005E7A70" w:rsidRPr="00B50802" w:rsidRDefault="005E7A70" w:rsidP="005E7A70">
            <w:pPr>
              <w:spacing w:before="120" w:after="120"/>
              <w:rPr>
                <w:rFonts w:cs="Arial"/>
                <w:sz w:val="20"/>
                <w:szCs w:val="20"/>
              </w:rPr>
            </w:pPr>
          </w:p>
          <w:p w14:paraId="45EB4250" w14:textId="77777777" w:rsidR="005E7A70" w:rsidRPr="00B50802" w:rsidRDefault="005E7A70" w:rsidP="005E7A70">
            <w:pPr>
              <w:spacing w:before="120" w:after="120"/>
            </w:pPr>
          </w:p>
        </w:tc>
        <w:tc>
          <w:tcPr>
            <w:tcW w:w="6067" w:type="dxa"/>
            <w:tcBorders>
              <w:top w:val="single" w:sz="4" w:space="0" w:color="auto"/>
              <w:bottom w:val="single" w:sz="4" w:space="0" w:color="auto"/>
            </w:tcBorders>
          </w:tcPr>
          <w:p w14:paraId="6D5BC7C2" w14:textId="77777777" w:rsidR="005E7A70" w:rsidRPr="00B50802" w:rsidRDefault="005E7A70" w:rsidP="005E7A70">
            <w:pPr>
              <w:spacing w:before="120" w:after="120"/>
              <w:rPr>
                <w:rFonts w:cs="Arial"/>
                <w:sz w:val="20"/>
                <w:szCs w:val="20"/>
              </w:rPr>
            </w:pPr>
            <w:r w:rsidRPr="00B50802">
              <w:rPr>
                <w:rFonts w:cs="Arial"/>
                <w:sz w:val="20"/>
                <w:szCs w:val="20"/>
              </w:rPr>
              <w:t xml:space="preserve">Housing Connect </w:t>
            </w:r>
          </w:p>
          <w:p w14:paraId="750B4F5D" w14:textId="77777777" w:rsidR="005E7A70" w:rsidRPr="00B50802" w:rsidRDefault="005E7A70" w:rsidP="005E7A70">
            <w:pPr>
              <w:spacing w:before="120" w:after="120"/>
              <w:rPr>
                <w:rFonts w:cs="Arial"/>
                <w:sz w:val="20"/>
                <w:szCs w:val="20"/>
              </w:rPr>
            </w:pPr>
            <w:r w:rsidRPr="00B50802">
              <w:rPr>
                <w:rFonts w:cs="Arial"/>
                <w:sz w:val="20"/>
                <w:szCs w:val="20"/>
              </w:rPr>
              <w:t>1800 800 588</w:t>
            </w:r>
          </w:p>
          <w:p w14:paraId="4DF0A695" w14:textId="77777777" w:rsidR="005E7A70" w:rsidRPr="00B50802" w:rsidRDefault="002E6CF7" w:rsidP="005E7A70">
            <w:pPr>
              <w:spacing w:before="120" w:after="120"/>
            </w:pPr>
            <w:hyperlink r:id="rId37" w:history="1">
              <w:r w:rsidR="005E7A70" w:rsidRPr="00B50802">
                <w:rPr>
                  <w:rStyle w:val="Hyperlink"/>
                  <w:rFonts w:cs="Arial"/>
                  <w:sz w:val="20"/>
                  <w:szCs w:val="20"/>
                </w:rPr>
                <w:t>www.homestasmania.com.au/housing-and-homelessness/housing-</w:t>
              </w:r>
              <w:r w:rsidR="005E7A70" w:rsidRPr="00B50802" w:rsidDel="00FC0440">
                <w:rPr>
                  <w:rStyle w:val="Hyperlink"/>
                  <w:rFonts w:cs="Arial"/>
                  <w:sz w:val="20"/>
                  <w:szCs w:val="20"/>
                </w:rPr>
                <w:t>connect</w:t>
              </w:r>
            </w:hyperlink>
            <w:r w:rsidR="005E7A70" w:rsidRPr="00B50802">
              <w:rPr>
                <w:rFonts w:cs="Arial"/>
                <w:sz w:val="20"/>
                <w:szCs w:val="20"/>
                <w:u w:val="single"/>
              </w:rPr>
              <w:t xml:space="preserve"> </w:t>
            </w:r>
          </w:p>
        </w:tc>
      </w:tr>
      <w:tr w:rsidR="005E7A70" w:rsidRPr="00B50802" w14:paraId="139CEACD" w14:textId="77777777" w:rsidTr="0079684A">
        <w:trPr>
          <w:tblHeader/>
        </w:trPr>
        <w:tc>
          <w:tcPr>
            <w:tcW w:w="3005" w:type="dxa"/>
            <w:tcBorders>
              <w:top w:val="single" w:sz="4" w:space="0" w:color="auto"/>
              <w:bottom w:val="single" w:sz="4" w:space="0" w:color="auto"/>
            </w:tcBorders>
          </w:tcPr>
          <w:p w14:paraId="69130924" w14:textId="77777777" w:rsidR="005E7A70" w:rsidRPr="00B50802" w:rsidRDefault="005E7A70" w:rsidP="005E7A70">
            <w:pPr>
              <w:spacing w:before="120" w:after="120"/>
              <w:rPr>
                <w:rFonts w:cs="Arial"/>
                <w:sz w:val="20"/>
                <w:szCs w:val="20"/>
              </w:rPr>
            </w:pPr>
            <w:r w:rsidRPr="00B50802">
              <w:rPr>
                <w:rFonts w:cs="Arial"/>
                <w:sz w:val="20"/>
                <w:szCs w:val="20"/>
                <w:lang w:val="en-US"/>
              </w:rPr>
              <w:t>Victoria</w:t>
            </w:r>
          </w:p>
          <w:p w14:paraId="1A52862B" w14:textId="77777777" w:rsidR="005E7A70" w:rsidRPr="00B50802" w:rsidRDefault="005E7A70" w:rsidP="005E7A70">
            <w:pPr>
              <w:spacing w:before="120" w:after="120"/>
              <w:rPr>
                <w:rFonts w:cs="Arial"/>
                <w:sz w:val="20"/>
                <w:szCs w:val="20"/>
              </w:rPr>
            </w:pPr>
          </w:p>
          <w:p w14:paraId="6AF1DC29" w14:textId="77777777" w:rsidR="005E7A70" w:rsidRPr="00B50802" w:rsidRDefault="005E7A70" w:rsidP="005E7A70">
            <w:pPr>
              <w:spacing w:before="120" w:after="120"/>
              <w:rPr>
                <w:rFonts w:cs="Arial"/>
                <w:sz w:val="20"/>
                <w:szCs w:val="20"/>
                <w:lang w:val="en-US"/>
              </w:rPr>
            </w:pPr>
          </w:p>
        </w:tc>
        <w:tc>
          <w:tcPr>
            <w:tcW w:w="6067" w:type="dxa"/>
            <w:tcBorders>
              <w:top w:val="single" w:sz="4" w:space="0" w:color="auto"/>
              <w:bottom w:val="single" w:sz="4" w:space="0" w:color="auto"/>
            </w:tcBorders>
          </w:tcPr>
          <w:p w14:paraId="5B98081B" w14:textId="77777777" w:rsidR="005E7A70" w:rsidRPr="00B50802" w:rsidRDefault="005E7A70" w:rsidP="005E7A70">
            <w:pPr>
              <w:spacing w:before="120" w:after="120"/>
              <w:rPr>
                <w:rFonts w:cs="Arial"/>
                <w:sz w:val="20"/>
                <w:szCs w:val="20"/>
                <w:lang w:val="en-US"/>
              </w:rPr>
            </w:pPr>
            <w:r w:rsidRPr="00B50802">
              <w:rPr>
                <w:rFonts w:cs="Arial"/>
                <w:sz w:val="20"/>
                <w:szCs w:val="20"/>
              </w:rPr>
              <w:t>Crisis and Emergency Accommodation</w:t>
            </w:r>
            <w:r w:rsidRPr="00B50802">
              <w:rPr>
                <w:rFonts w:cs="Arial"/>
                <w:sz w:val="20"/>
                <w:szCs w:val="20"/>
                <w:lang w:val="en-US"/>
              </w:rPr>
              <w:t xml:space="preserve"> </w:t>
            </w:r>
          </w:p>
          <w:p w14:paraId="727BCD58" w14:textId="77777777" w:rsidR="005E7A70" w:rsidRPr="00B50802" w:rsidRDefault="005E7A70" w:rsidP="005E7A70">
            <w:pPr>
              <w:spacing w:before="120" w:after="120"/>
              <w:rPr>
                <w:rFonts w:cs="Arial"/>
                <w:sz w:val="20"/>
                <w:szCs w:val="20"/>
              </w:rPr>
            </w:pPr>
            <w:r w:rsidRPr="00B50802">
              <w:rPr>
                <w:rFonts w:cs="Arial"/>
                <w:sz w:val="20"/>
                <w:szCs w:val="20"/>
              </w:rPr>
              <w:t>1800 825 955 or (03) 9536 7777</w:t>
            </w:r>
          </w:p>
          <w:p w14:paraId="1281AB7F" w14:textId="77777777" w:rsidR="005E7A70" w:rsidRPr="00B50802" w:rsidRDefault="002E6CF7" w:rsidP="005E7A70">
            <w:pPr>
              <w:spacing w:before="120" w:after="120"/>
              <w:rPr>
                <w:rFonts w:cs="Arial"/>
                <w:sz w:val="20"/>
                <w:szCs w:val="20"/>
              </w:rPr>
            </w:pPr>
            <w:hyperlink r:id="rId38" w:history="1">
              <w:r w:rsidR="005E7A70" w:rsidRPr="00B50802">
                <w:rPr>
                  <w:rStyle w:val="Hyperlink"/>
                  <w:rFonts w:cs="Arial"/>
                  <w:sz w:val="20"/>
                  <w:szCs w:val="20"/>
                </w:rPr>
                <w:t>www.housing.vic.gov.au/crisis-emergency-accommodation</w:t>
              </w:r>
            </w:hyperlink>
            <w:r w:rsidR="005E7A70" w:rsidRPr="00B50802">
              <w:rPr>
                <w:rFonts w:cs="Arial"/>
                <w:sz w:val="20"/>
                <w:szCs w:val="20"/>
                <w:u w:val="single"/>
              </w:rPr>
              <w:t xml:space="preserve"> </w:t>
            </w:r>
          </w:p>
        </w:tc>
      </w:tr>
      <w:tr w:rsidR="005E7A70" w:rsidRPr="00B50802" w14:paraId="25FE76AD" w14:textId="77777777" w:rsidTr="0079684A">
        <w:trPr>
          <w:tblHeader/>
        </w:trPr>
        <w:tc>
          <w:tcPr>
            <w:tcW w:w="3005" w:type="dxa"/>
            <w:tcBorders>
              <w:top w:val="single" w:sz="4" w:space="0" w:color="auto"/>
            </w:tcBorders>
          </w:tcPr>
          <w:p w14:paraId="05E86EC7" w14:textId="77777777" w:rsidR="005E7A70" w:rsidRPr="00B50802" w:rsidRDefault="005E7A70" w:rsidP="005E7A70">
            <w:pPr>
              <w:spacing w:before="120" w:after="120"/>
              <w:rPr>
                <w:rFonts w:cs="Arial"/>
                <w:sz w:val="20"/>
                <w:szCs w:val="20"/>
              </w:rPr>
            </w:pPr>
            <w:r w:rsidRPr="00B50802">
              <w:rPr>
                <w:rFonts w:cs="Arial"/>
                <w:sz w:val="20"/>
                <w:szCs w:val="20"/>
                <w:lang w:val="en-US"/>
              </w:rPr>
              <w:t>Western Australia</w:t>
            </w:r>
            <w:r w:rsidRPr="00B50802">
              <w:rPr>
                <w:rFonts w:cs="Arial"/>
                <w:sz w:val="20"/>
                <w:szCs w:val="20"/>
              </w:rPr>
              <w:t xml:space="preserve"> </w:t>
            </w:r>
          </w:p>
          <w:p w14:paraId="40EE7387" w14:textId="77777777" w:rsidR="005E7A70" w:rsidRPr="00B50802" w:rsidRDefault="005E7A70" w:rsidP="005E7A70">
            <w:pPr>
              <w:spacing w:before="120" w:after="120"/>
              <w:rPr>
                <w:rFonts w:cs="Arial"/>
                <w:sz w:val="20"/>
                <w:szCs w:val="20"/>
              </w:rPr>
            </w:pPr>
          </w:p>
          <w:p w14:paraId="16D2D478" w14:textId="77777777" w:rsidR="005E7A70" w:rsidRPr="00B50802" w:rsidRDefault="005E7A70" w:rsidP="005E7A70">
            <w:pPr>
              <w:spacing w:before="120" w:after="120"/>
              <w:rPr>
                <w:rFonts w:cs="Arial"/>
                <w:sz w:val="20"/>
                <w:szCs w:val="20"/>
                <w:lang w:val="en-US"/>
              </w:rPr>
            </w:pPr>
          </w:p>
        </w:tc>
        <w:tc>
          <w:tcPr>
            <w:tcW w:w="6067" w:type="dxa"/>
            <w:tcBorders>
              <w:top w:val="single" w:sz="4" w:space="0" w:color="auto"/>
            </w:tcBorders>
          </w:tcPr>
          <w:p w14:paraId="312DAB94" w14:textId="77777777" w:rsidR="005E7A70" w:rsidRPr="00B50802" w:rsidRDefault="005E7A70" w:rsidP="005E7A70">
            <w:pPr>
              <w:spacing w:before="120" w:after="120"/>
              <w:rPr>
                <w:rFonts w:cs="Arial"/>
                <w:sz w:val="20"/>
                <w:szCs w:val="20"/>
              </w:rPr>
            </w:pPr>
            <w:r w:rsidRPr="00B50802">
              <w:rPr>
                <w:rFonts w:cs="Arial"/>
                <w:sz w:val="20"/>
                <w:szCs w:val="20"/>
              </w:rPr>
              <w:t xml:space="preserve">Entrypoint Perth </w:t>
            </w:r>
          </w:p>
          <w:p w14:paraId="401C1825" w14:textId="77777777" w:rsidR="005E7A70" w:rsidRPr="00B50802" w:rsidRDefault="005E7A70" w:rsidP="005E7A70">
            <w:pPr>
              <w:spacing w:before="120" w:after="120"/>
              <w:rPr>
                <w:rFonts w:cs="Arial"/>
                <w:sz w:val="20"/>
                <w:szCs w:val="20"/>
                <w:u w:val="single"/>
              </w:rPr>
            </w:pPr>
            <w:r w:rsidRPr="00B50802">
              <w:rPr>
                <w:rFonts w:cs="Arial"/>
                <w:sz w:val="20"/>
                <w:szCs w:val="20"/>
              </w:rPr>
              <w:t>1800 124 684</w:t>
            </w:r>
          </w:p>
          <w:p w14:paraId="10D712F2" w14:textId="77777777" w:rsidR="005E7A70" w:rsidRPr="00B50802" w:rsidRDefault="002E6CF7" w:rsidP="005E7A70">
            <w:pPr>
              <w:spacing w:before="120" w:after="120"/>
              <w:rPr>
                <w:rFonts w:cs="Arial"/>
                <w:sz w:val="20"/>
                <w:szCs w:val="20"/>
              </w:rPr>
            </w:pPr>
            <w:hyperlink r:id="rId39" w:history="1">
              <w:r w:rsidR="005E7A70" w:rsidRPr="00B50802">
                <w:rPr>
                  <w:rStyle w:val="Hyperlink"/>
                  <w:rFonts w:cs="Arial"/>
                  <w:sz w:val="20"/>
                  <w:szCs w:val="20"/>
                </w:rPr>
                <w:t>www.entrypointperth.com.au</w:t>
              </w:r>
            </w:hyperlink>
            <w:r w:rsidR="005E7A70" w:rsidRPr="00B50802">
              <w:rPr>
                <w:rFonts w:cs="Arial"/>
                <w:sz w:val="20"/>
                <w:szCs w:val="20"/>
                <w:u w:val="single"/>
              </w:rPr>
              <w:t xml:space="preserve"> </w:t>
            </w:r>
          </w:p>
        </w:tc>
      </w:tr>
    </w:tbl>
    <w:p w14:paraId="2E1B9D7F" w14:textId="77777777" w:rsidR="000460B6" w:rsidRPr="00B50802" w:rsidRDefault="000460B6" w:rsidP="000460B6">
      <w:pPr>
        <w:spacing w:before="120" w:after="120"/>
      </w:pPr>
    </w:p>
    <w:p w14:paraId="7475D206" w14:textId="77777777" w:rsidR="000460B6" w:rsidRPr="00B50802" w:rsidRDefault="00596C74" w:rsidP="00044220">
      <w:pPr>
        <w:pStyle w:val="Bullet"/>
        <w:tabs>
          <w:tab w:val="clear" w:pos="520"/>
        </w:tabs>
        <w:ind w:left="0" w:firstLine="0"/>
        <w:rPr>
          <w:rFonts w:ascii="Georgia" w:hAnsi="Georgia"/>
          <w:b/>
          <w:bCs/>
          <w:sz w:val="28"/>
          <w:szCs w:val="28"/>
        </w:rPr>
      </w:pPr>
      <w:r w:rsidRPr="00B50802">
        <w:rPr>
          <w:rFonts w:ascii="Georgia" w:hAnsi="Georgia"/>
          <w:b/>
          <w:bCs/>
          <w:sz w:val="28"/>
          <w:szCs w:val="28"/>
        </w:rPr>
        <w:t>Support for people from non-English speaking backgrounds</w:t>
      </w:r>
    </w:p>
    <w:tbl>
      <w:tblPr>
        <w:tblStyle w:val="TableGrid"/>
        <w:tblpPr w:leftFromText="180" w:rightFromText="180" w:vertAnchor="text" w:horzAnchor="margin" w:tblpY="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upport for people from non-English speeking backgrounds"/>
      </w:tblPr>
      <w:tblGrid>
        <w:gridCol w:w="3969"/>
        <w:gridCol w:w="2795"/>
        <w:gridCol w:w="2262"/>
      </w:tblGrid>
      <w:tr w:rsidR="000460B6" w:rsidRPr="00B50802" w14:paraId="4D495ECF" w14:textId="77777777" w:rsidTr="0079684A">
        <w:trPr>
          <w:trHeight w:val="784"/>
          <w:tblHeader/>
        </w:trPr>
        <w:tc>
          <w:tcPr>
            <w:tcW w:w="3969" w:type="dxa"/>
            <w:tcBorders>
              <w:top w:val="nil"/>
              <w:bottom w:val="single" w:sz="4" w:space="0" w:color="auto"/>
            </w:tcBorders>
          </w:tcPr>
          <w:p w14:paraId="6707158E" w14:textId="77777777" w:rsidR="000460B6" w:rsidRPr="00B50802" w:rsidRDefault="000460B6" w:rsidP="000460B6">
            <w:pPr>
              <w:spacing w:before="120" w:after="120"/>
              <w:rPr>
                <w:rFonts w:cs="Arial"/>
                <w:sz w:val="20"/>
                <w:szCs w:val="20"/>
              </w:rPr>
            </w:pPr>
            <w:r w:rsidRPr="00B50802">
              <w:rPr>
                <w:rFonts w:cs="Arial"/>
                <w:sz w:val="20"/>
                <w:szCs w:val="20"/>
              </w:rPr>
              <w:t>Translating and Interpreting Service (TIS)</w:t>
            </w:r>
          </w:p>
        </w:tc>
        <w:tc>
          <w:tcPr>
            <w:tcW w:w="2795" w:type="dxa"/>
            <w:tcBorders>
              <w:top w:val="nil"/>
              <w:bottom w:val="single" w:sz="4" w:space="0" w:color="auto"/>
            </w:tcBorders>
          </w:tcPr>
          <w:p w14:paraId="15D2DFA6" w14:textId="77777777" w:rsidR="000460B6" w:rsidRPr="00B50802" w:rsidRDefault="000460B6" w:rsidP="000460B6">
            <w:pPr>
              <w:spacing w:before="120" w:after="120"/>
              <w:rPr>
                <w:rFonts w:cs="Arial"/>
                <w:sz w:val="20"/>
                <w:szCs w:val="20"/>
              </w:rPr>
            </w:pPr>
            <w:r w:rsidRPr="00B50802">
              <w:rPr>
                <w:rFonts w:cs="Arial"/>
                <w:sz w:val="20"/>
                <w:szCs w:val="20"/>
              </w:rPr>
              <w:t>Provides access to phone and on</w:t>
            </w:r>
            <w:r w:rsidR="0040395D" w:rsidRPr="00B50802">
              <w:rPr>
                <w:rFonts w:cs="Arial"/>
                <w:sz w:val="20"/>
                <w:szCs w:val="20"/>
              </w:rPr>
              <w:t>-</w:t>
            </w:r>
            <w:r w:rsidRPr="00B50802">
              <w:rPr>
                <w:rFonts w:cs="Arial"/>
                <w:sz w:val="20"/>
                <w:szCs w:val="20"/>
              </w:rPr>
              <w:t xml:space="preserve">site interpreting services in over 150 languages. </w:t>
            </w:r>
          </w:p>
        </w:tc>
        <w:tc>
          <w:tcPr>
            <w:tcW w:w="2262" w:type="dxa"/>
            <w:tcBorders>
              <w:top w:val="nil"/>
              <w:bottom w:val="single" w:sz="4" w:space="0" w:color="auto"/>
            </w:tcBorders>
          </w:tcPr>
          <w:p w14:paraId="55DAAED5" w14:textId="77777777" w:rsidR="000460B6" w:rsidRPr="00B50802" w:rsidRDefault="000460B6" w:rsidP="000460B6">
            <w:pPr>
              <w:spacing w:before="120" w:after="120"/>
              <w:rPr>
                <w:rFonts w:cs="Arial"/>
                <w:sz w:val="20"/>
                <w:szCs w:val="20"/>
              </w:rPr>
            </w:pPr>
            <w:r w:rsidRPr="00B50802">
              <w:rPr>
                <w:rFonts w:cs="Arial"/>
                <w:sz w:val="20"/>
                <w:szCs w:val="20"/>
              </w:rPr>
              <w:t>131 450</w:t>
            </w:r>
          </w:p>
          <w:p w14:paraId="4171FED1" w14:textId="77777777" w:rsidR="000460B6" w:rsidRPr="00B50802" w:rsidRDefault="002E6CF7" w:rsidP="000460B6">
            <w:pPr>
              <w:spacing w:before="120" w:after="120"/>
              <w:rPr>
                <w:rFonts w:cs="Arial"/>
                <w:sz w:val="20"/>
                <w:szCs w:val="20"/>
              </w:rPr>
            </w:pPr>
            <w:hyperlink r:id="rId40" w:history="1">
              <w:r w:rsidR="000460B6" w:rsidRPr="00B50802">
                <w:rPr>
                  <w:rStyle w:val="Hyperlink"/>
                  <w:rFonts w:cs="Arial"/>
                  <w:sz w:val="20"/>
                  <w:szCs w:val="20"/>
                </w:rPr>
                <w:t>www.tisnational.gov.au</w:t>
              </w:r>
            </w:hyperlink>
          </w:p>
        </w:tc>
      </w:tr>
      <w:tr w:rsidR="000460B6" w:rsidRPr="00B50802" w14:paraId="7A09C711" w14:textId="77777777" w:rsidTr="0079684A">
        <w:trPr>
          <w:trHeight w:val="784"/>
          <w:tblHeader/>
        </w:trPr>
        <w:tc>
          <w:tcPr>
            <w:tcW w:w="3969" w:type="dxa"/>
            <w:tcBorders>
              <w:top w:val="single" w:sz="4" w:space="0" w:color="auto"/>
              <w:bottom w:val="single" w:sz="4" w:space="0" w:color="auto"/>
            </w:tcBorders>
          </w:tcPr>
          <w:p w14:paraId="12C6FE99" w14:textId="77777777" w:rsidR="000460B6" w:rsidRPr="00B50802" w:rsidRDefault="000460B6" w:rsidP="000460B6">
            <w:pPr>
              <w:spacing w:before="120" w:after="120"/>
              <w:rPr>
                <w:rFonts w:cs="Arial"/>
                <w:sz w:val="20"/>
                <w:szCs w:val="20"/>
              </w:rPr>
            </w:pPr>
            <w:r w:rsidRPr="00B50802">
              <w:rPr>
                <w:rFonts w:cs="Arial"/>
                <w:sz w:val="20"/>
                <w:szCs w:val="20"/>
              </w:rPr>
              <w:t>Aboriginal Interpreter Service (AIS)</w:t>
            </w:r>
          </w:p>
        </w:tc>
        <w:tc>
          <w:tcPr>
            <w:tcW w:w="2795" w:type="dxa"/>
            <w:tcBorders>
              <w:top w:val="single" w:sz="4" w:space="0" w:color="auto"/>
              <w:bottom w:val="single" w:sz="4" w:space="0" w:color="auto"/>
            </w:tcBorders>
          </w:tcPr>
          <w:p w14:paraId="7721ED6C" w14:textId="77777777" w:rsidR="000460B6" w:rsidRPr="00B50802" w:rsidRDefault="000460B6" w:rsidP="000460B6">
            <w:pPr>
              <w:spacing w:before="120" w:after="120"/>
              <w:rPr>
                <w:rFonts w:cs="Arial"/>
                <w:sz w:val="20"/>
                <w:szCs w:val="20"/>
              </w:rPr>
            </w:pPr>
            <w:r w:rsidRPr="00B50802">
              <w:rPr>
                <w:rFonts w:cs="Arial"/>
                <w:sz w:val="20"/>
                <w:szCs w:val="20"/>
              </w:rPr>
              <w:t>Helps to address language barriers faced by Indigenous people in the Northern Territory.</w:t>
            </w:r>
          </w:p>
        </w:tc>
        <w:tc>
          <w:tcPr>
            <w:tcW w:w="2262" w:type="dxa"/>
            <w:tcBorders>
              <w:top w:val="single" w:sz="4" w:space="0" w:color="auto"/>
              <w:bottom w:val="single" w:sz="4" w:space="0" w:color="auto"/>
            </w:tcBorders>
          </w:tcPr>
          <w:p w14:paraId="6B9E5120" w14:textId="77777777" w:rsidR="00562E9D" w:rsidRPr="00B50802" w:rsidRDefault="00562E9D" w:rsidP="00562E9D">
            <w:pPr>
              <w:spacing w:before="120" w:after="120"/>
              <w:rPr>
                <w:rFonts w:cs="Arial"/>
                <w:sz w:val="20"/>
                <w:szCs w:val="20"/>
              </w:rPr>
            </w:pPr>
            <w:r w:rsidRPr="00B50802">
              <w:rPr>
                <w:rFonts w:cs="Arial"/>
                <w:sz w:val="20"/>
                <w:szCs w:val="20"/>
              </w:rPr>
              <w:t>1800 334 944</w:t>
            </w:r>
          </w:p>
          <w:p w14:paraId="339B336F" w14:textId="77777777" w:rsidR="00C745C5" w:rsidRPr="00B50802" w:rsidRDefault="00562E9D" w:rsidP="000460B6">
            <w:pPr>
              <w:spacing w:before="120" w:after="120"/>
              <w:rPr>
                <w:rFonts w:cs="Arial"/>
                <w:sz w:val="20"/>
                <w:szCs w:val="20"/>
              </w:rPr>
            </w:pPr>
            <w:r w:rsidRPr="00B50802">
              <w:rPr>
                <w:rFonts w:cs="Arial"/>
                <w:sz w:val="20"/>
                <w:szCs w:val="20"/>
              </w:rPr>
              <w:t xml:space="preserve">Email: </w:t>
            </w:r>
            <w:hyperlink r:id="rId41" w:history="1">
              <w:r w:rsidR="00C745C5" w:rsidRPr="00B50802">
                <w:rPr>
                  <w:rStyle w:val="Hyperlink"/>
                  <w:rFonts w:cs="Arial"/>
                  <w:sz w:val="20"/>
                  <w:szCs w:val="20"/>
                </w:rPr>
                <w:t>ais@nt.gov.au</w:t>
              </w:r>
            </w:hyperlink>
            <w:r w:rsidRPr="00B50802" w:rsidDel="00FC0440">
              <w:rPr>
                <w:rFonts w:cs="Arial"/>
                <w:sz w:val="20"/>
                <w:szCs w:val="20"/>
              </w:rPr>
              <w:t xml:space="preserve"> </w:t>
            </w:r>
          </w:p>
          <w:p w14:paraId="6410F812" w14:textId="13FFD3D8" w:rsidR="000460B6" w:rsidRPr="00B50802" w:rsidRDefault="000460B6" w:rsidP="000460B6">
            <w:pPr>
              <w:spacing w:before="120" w:after="120"/>
              <w:rPr>
                <w:rFonts w:cs="Arial"/>
                <w:sz w:val="20"/>
                <w:szCs w:val="20"/>
              </w:rPr>
            </w:pPr>
          </w:p>
        </w:tc>
      </w:tr>
      <w:tr w:rsidR="000460B6" w:rsidRPr="00B50802" w14:paraId="15EEAD15" w14:textId="77777777" w:rsidTr="0079684A">
        <w:trPr>
          <w:trHeight w:val="784"/>
          <w:tblHeader/>
        </w:trPr>
        <w:tc>
          <w:tcPr>
            <w:tcW w:w="3969" w:type="dxa"/>
            <w:tcBorders>
              <w:top w:val="single" w:sz="4" w:space="0" w:color="auto"/>
              <w:bottom w:val="single" w:sz="4" w:space="0" w:color="auto"/>
            </w:tcBorders>
          </w:tcPr>
          <w:p w14:paraId="6426D308" w14:textId="77777777" w:rsidR="000460B6" w:rsidRPr="00B50802" w:rsidRDefault="000460B6" w:rsidP="000460B6">
            <w:pPr>
              <w:spacing w:before="120" w:after="120"/>
              <w:rPr>
                <w:rFonts w:cs="Arial"/>
                <w:sz w:val="20"/>
                <w:szCs w:val="20"/>
              </w:rPr>
            </w:pPr>
            <w:r w:rsidRPr="00B50802">
              <w:rPr>
                <w:rFonts w:cs="Arial"/>
                <w:sz w:val="20"/>
                <w:szCs w:val="20"/>
              </w:rPr>
              <w:t>National Relay Service (NRS)</w:t>
            </w:r>
          </w:p>
        </w:tc>
        <w:tc>
          <w:tcPr>
            <w:tcW w:w="2795" w:type="dxa"/>
            <w:tcBorders>
              <w:top w:val="single" w:sz="4" w:space="0" w:color="auto"/>
              <w:bottom w:val="single" w:sz="4" w:space="0" w:color="auto"/>
            </w:tcBorders>
          </w:tcPr>
          <w:p w14:paraId="407ABD7C" w14:textId="77777777" w:rsidR="000460B6" w:rsidRPr="00B50802" w:rsidRDefault="000460B6" w:rsidP="000460B6">
            <w:pPr>
              <w:spacing w:before="120" w:after="120"/>
              <w:rPr>
                <w:rFonts w:cs="Arial"/>
                <w:sz w:val="20"/>
                <w:szCs w:val="20"/>
              </w:rPr>
            </w:pPr>
            <w:r w:rsidRPr="00B50802">
              <w:rPr>
                <w:rFonts w:cs="Arial"/>
                <w:sz w:val="20"/>
                <w:szCs w:val="20"/>
              </w:rPr>
              <w:t>Allows people who cannot hear or do not use their voice to communicate with a hearing person over the phone.</w:t>
            </w:r>
          </w:p>
        </w:tc>
        <w:tc>
          <w:tcPr>
            <w:tcW w:w="2262" w:type="dxa"/>
            <w:tcBorders>
              <w:top w:val="single" w:sz="4" w:space="0" w:color="auto"/>
              <w:bottom w:val="single" w:sz="4" w:space="0" w:color="auto"/>
            </w:tcBorders>
          </w:tcPr>
          <w:p w14:paraId="3FC4273F" w14:textId="77777777" w:rsidR="000460B6" w:rsidRPr="00B50802" w:rsidRDefault="000460B6" w:rsidP="000460B6">
            <w:pPr>
              <w:spacing w:before="120" w:after="120"/>
              <w:rPr>
                <w:rFonts w:cs="Arial"/>
                <w:sz w:val="20"/>
                <w:szCs w:val="20"/>
              </w:rPr>
            </w:pPr>
            <w:r w:rsidRPr="00B50802">
              <w:rPr>
                <w:rFonts w:cs="Arial"/>
                <w:sz w:val="20"/>
                <w:szCs w:val="20"/>
              </w:rPr>
              <w:t>Voice relay number:</w:t>
            </w:r>
          </w:p>
          <w:p w14:paraId="632276A0" w14:textId="77777777" w:rsidR="000460B6" w:rsidRPr="00B50802" w:rsidRDefault="000460B6" w:rsidP="000460B6">
            <w:pPr>
              <w:spacing w:before="120" w:after="120"/>
              <w:rPr>
                <w:rFonts w:cs="Arial"/>
                <w:sz w:val="20"/>
                <w:szCs w:val="20"/>
              </w:rPr>
            </w:pPr>
            <w:r w:rsidRPr="00B50802">
              <w:rPr>
                <w:rFonts w:cs="Arial"/>
                <w:sz w:val="20"/>
                <w:szCs w:val="20"/>
              </w:rPr>
              <w:t>1300 555 727</w:t>
            </w:r>
          </w:p>
          <w:p w14:paraId="3C2DB0B1" w14:textId="77777777" w:rsidR="000460B6" w:rsidRPr="00B50802" w:rsidRDefault="000460B6" w:rsidP="000460B6">
            <w:pPr>
              <w:spacing w:before="120" w:after="120"/>
              <w:rPr>
                <w:rFonts w:cs="Arial"/>
                <w:sz w:val="20"/>
                <w:szCs w:val="20"/>
              </w:rPr>
            </w:pPr>
            <w:r w:rsidRPr="00B50802">
              <w:rPr>
                <w:rFonts w:cs="Arial"/>
                <w:sz w:val="20"/>
                <w:szCs w:val="20"/>
              </w:rPr>
              <w:t xml:space="preserve">TTY number: </w:t>
            </w:r>
          </w:p>
          <w:p w14:paraId="3FE0449A" w14:textId="77777777" w:rsidR="000460B6" w:rsidRPr="00B50802" w:rsidRDefault="000460B6" w:rsidP="000460B6">
            <w:pPr>
              <w:spacing w:before="120" w:after="120"/>
              <w:rPr>
                <w:rFonts w:cs="Arial"/>
                <w:sz w:val="20"/>
                <w:szCs w:val="20"/>
              </w:rPr>
            </w:pPr>
            <w:r w:rsidRPr="00B50802">
              <w:rPr>
                <w:rFonts w:cs="Arial"/>
                <w:sz w:val="20"/>
                <w:szCs w:val="20"/>
              </w:rPr>
              <w:t>133 677</w:t>
            </w:r>
          </w:p>
          <w:p w14:paraId="19B49AAB" w14:textId="77777777" w:rsidR="000460B6" w:rsidRPr="00B50802" w:rsidRDefault="000460B6" w:rsidP="000460B6">
            <w:pPr>
              <w:spacing w:before="120" w:after="120"/>
              <w:rPr>
                <w:rFonts w:cs="Arial"/>
                <w:sz w:val="20"/>
                <w:szCs w:val="20"/>
              </w:rPr>
            </w:pPr>
            <w:r w:rsidRPr="00B50802">
              <w:rPr>
                <w:rFonts w:cs="Arial"/>
                <w:sz w:val="20"/>
                <w:szCs w:val="20"/>
              </w:rPr>
              <w:t xml:space="preserve">SMS relay number: </w:t>
            </w:r>
          </w:p>
          <w:p w14:paraId="409E59FA" w14:textId="77777777" w:rsidR="000460B6" w:rsidRPr="00B50802" w:rsidRDefault="000460B6" w:rsidP="000460B6">
            <w:pPr>
              <w:spacing w:before="120" w:after="120"/>
              <w:rPr>
                <w:rFonts w:cs="Arial"/>
                <w:sz w:val="20"/>
                <w:szCs w:val="20"/>
              </w:rPr>
            </w:pPr>
            <w:r w:rsidRPr="00B50802">
              <w:rPr>
                <w:rFonts w:cs="Arial"/>
                <w:sz w:val="20"/>
                <w:szCs w:val="20"/>
              </w:rPr>
              <w:t>0423 677 767</w:t>
            </w:r>
          </w:p>
        </w:tc>
      </w:tr>
    </w:tbl>
    <w:p w14:paraId="0072A944" w14:textId="77777777" w:rsidR="000460B6" w:rsidRPr="00B50802" w:rsidRDefault="000460B6" w:rsidP="000460B6">
      <w:pPr>
        <w:spacing w:before="120" w:after="120" w:line="240" w:lineRule="auto"/>
        <w:rPr>
          <w:rFonts w:eastAsia="Times New Roman" w:cs="Arial"/>
          <w:u w:val="single"/>
        </w:rPr>
      </w:pPr>
    </w:p>
    <w:p w14:paraId="49D456BE" w14:textId="77777777" w:rsidR="00C84743" w:rsidRPr="00B50802" w:rsidRDefault="00C84743">
      <w:pPr>
        <w:rPr>
          <w:rFonts w:ascii="Georgia" w:eastAsiaTheme="majorEastAsia" w:hAnsi="Georgia" w:cstheme="majorBidi"/>
          <w:color w:val="500778"/>
          <w:sz w:val="48"/>
          <w:szCs w:val="48"/>
        </w:rPr>
      </w:pPr>
      <w:bookmarkStart w:id="283" w:name="_Toc126845286"/>
      <w:bookmarkStart w:id="284" w:name="_Toc126852054"/>
      <w:bookmarkStart w:id="285" w:name="_Toc126854342"/>
      <w:bookmarkStart w:id="286" w:name="_Toc126857743"/>
      <w:bookmarkStart w:id="287" w:name="_Toc126920557"/>
      <w:bookmarkStart w:id="288" w:name="_Toc126921157"/>
      <w:bookmarkStart w:id="289" w:name="_Toc126925090"/>
      <w:bookmarkStart w:id="290" w:name="_Toc126930649"/>
      <w:bookmarkStart w:id="291" w:name="_Toc126934934"/>
      <w:bookmarkStart w:id="292" w:name="_Toc126934953"/>
      <w:bookmarkStart w:id="293" w:name="_Toc127189064"/>
      <w:bookmarkStart w:id="294" w:name="_Toc127193496"/>
      <w:bookmarkStart w:id="295" w:name="_Toc127195490"/>
      <w:bookmarkStart w:id="296" w:name="_Toc127272804"/>
      <w:bookmarkStart w:id="297" w:name="_Toc127272835"/>
      <w:bookmarkStart w:id="298" w:name="_Toc127281196"/>
      <w:bookmarkStart w:id="299" w:name="_Toc127285162"/>
      <w:bookmarkStart w:id="300" w:name="_Toc127361796"/>
      <w:bookmarkStart w:id="301" w:name="_Toc127367674"/>
      <w:bookmarkStart w:id="302" w:name="_Toc127367746"/>
      <w:bookmarkStart w:id="303" w:name="_Toc127873454"/>
      <w:bookmarkStart w:id="304" w:name="_Toc127881130"/>
      <w:bookmarkStart w:id="305" w:name="_Toc127883115"/>
      <w:bookmarkStart w:id="306" w:name="_Toc127884710"/>
      <w:bookmarkStart w:id="307" w:name="_Toc127885775"/>
      <w:bookmarkStart w:id="308" w:name="_Toc127892094"/>
      <w:bookmarkStart w:id="309" w:name="_Toc127949766"/>
      <w:bookmarkStart w:id="310" w:name="_Toc127954290"/>
      <w:bookmarkStart w:id="311" w:name="_Toc127958429"/>
      <w:bookmarkStart w:id="312" w:name="_Toc127960309"/>
      <w:bookmarkStart w:id="313" w:name="_Toc127960415"/>
      <w:bookmarkStart w:id="314" w:name="_Toc127962401"/>
      <w:bookmarkStart w:id="315" w:name="_Toc127963080"/>
      <w:bookmarkStart w:id="316" w:name="_Toc127964079"/>
      <w:bookmarkStart w:id="317" w:name="_Toc127964533"/>
      <w:bookmarkStart w:id="318" w:name="_Toc127957696"/>
      <w:bookmarkStart w:id="319" w:name="_Toc127968786"/>
      <w:bookmarkStart w:id="320" w:name="_Toc127968815"/>
      <w:bookmarkStart w:id="321" w:name="_Toc127969678"/>
      <w:bookmarkStart w:id="322" w:name="_Toc127970396"/>
      <w:bookmarkStart w:id="323" w:name="_Toc127971958"/>
      <w:bookmarkStart w:id="324" w:name="_Toc127974270"/>
      <w:bookmarkStart w:id="325" w:name="_Toc127974792"/>
      <w:bookmarkStart w:id="326" w:name="_Toc127975947"/>
      <w:bookmarkStart w:id="327" w:name="_Toc127976378"/>
      <w:bookmarkStart w:id="328" w:name="_Toc127977471"/>
      <w:bookmarkStart w:id="329" w:name="_Toc127977518"/>
      <w:bookmarkStart w:id="330" w:name="_Toc127977846"/>
      <w:bookmarkStart w:id="331" w:name="_Toc127978615"/>
      <w:bookmarkStart w:id="332" w:name="_Toc127981298"/>
      <w:bookmarkStart w:id="333" w:name="_Toc127981911"/>
      <w:bookmarkStart w:id="334" w:name="_Toc127982856"/>
      <w:bookmarkStart w:id="335" w:name="_Toc128037610"/>
      <w:bookmarkStart w:id="336" w:name="_Toc128039379"/>
      <w:bookmarkStart w:id="337" w:name="_Toc128040525"/>
      <w:bookmarkStart w:id="338" w:name="_Toc128041547"/>
      <w:bookmarkStart w:id="339" w:name="_Toc128043352"/>
      <w:bookmarkStart w:id="340" w:name="_Toc128044744"/>
      <w:bookmarkStart w:id="341" w:name="_Toc128046327"/>
      <w:bookmarkStart w:id="342" w:name="_Toc128047212"/>
      <w:bookmarkStart w:id="343" w:name="_Toc128048239"/>
      <w:bookmarkStart w:id="344" w:name="_Toc128049411"/>
      <w:bookmarkStart w:id="345" w:name="_Toc128054948"/>
      <w:bookmarkStart w:id="346" w:name="_Toc128056341"/>
      <w:bookmarkStart w:id="347" w:name="_Toc128062093"/>
      <w:bookmarkStart w:id="348" w:name="_Toc128063231"/>
      <w:bookmarkStart w:id="349" w:name="_Toc128064566"/>
      <w:bookmarkStart w:id="350" w:name="_Toc128065139"/>
      <w:bookmarkStart w:id="351" w:name="_Toc128064930"/>
      <w:bookmarkStart w:id="352" w:name="_Toc128125897"/>
      <w:bookmarkStart w:id="353" w:name="_Toc128126139"/>
      <w:r w:rsidRPr="00B50802">
        <w:rPr>
          <w:rFonts w:ascii="Georgia" w:hAnsi="Georgia"/>
          <w:b/>
          <w:bCs/>
          <w:color w:val="500778"/>
          <w:sz w:val="48"/>
          <w:szCs w:val="48"/>
        </w:rPr>
        <w:br w:type="page"/>
      </w:r>
    </w:p>
    <w:p w14:paraId="721083F9" w14:textId="77777777" w:rsidR="00D538F1" w:rsidRPr="00B50802" w:rsidRDefault="00D538F1" w:rsidP="00811E03">
      <w:pPr>
        <w:pStyle w:val="Heading1"/>
        <w:rPr>
          <w:b/>
          <w:bCs/>
        </w:rPr>
      </w:pPr>
      <w:bookmarkStart w:id="354" w:name="_Toc129345264"/>
      <w:bookmarkStart w:id="355" w:name="_Toc129346012"/>
      <w:bookmarkStart w:id="356" w:name="_Toc129347799"/>
      <w:bookmarkStart w:id="357" w:name="_Toc129348491"/>
      <w:bookmarkStart w:id="358" w:name="_Toc129348582"/>
      <w:bookmarkStart w:id="359" w:name="_Toc129349410"/>
      <w:bookmarkStart w:id="360" w:name="_Toc129351669"/>
      <w:bookmarkStart w:id="361" w:name="_Toc129353947"/>
      <w:bookmarkStart w:id="362" w:name="_Toc129355777"/>
      <w:bookmarkStart w:id="363" w:name="_Toc129354145"/>
      <w:bookmarkStart w:id="364" w:name="_Toc129354247"/>
      <w:bookmarkStart w:id="365" w:name="_Toc129356727"/>
      <w:bookmarkStart w:id="366" w:name="_Toc129359508"/>
      <w:bookmarkStart w:id="367" w:name="_Toc129359598"/>
      <w:bookmarkStart w:id="368" w:name="_Toc129360248"/>
      <w:bookmarkStart w:id="369" w:name="_Toc129360493"/>
      <w:bookmarkStart w:id="370" w:name="_Toc129360820"/>
      <w:bookmarkStart w:id="371" w:name="_Toc132293085"/>
      <w:bookmarkStart w:id="372" w:name="_Toc132293437"/>
      <w:bookmarkStart w:id="373" w:name="_Toc132293462"/>
      <w:bookmarkStart w:id="374" w:name="_Toc132293551"/>
      <w:bookmarkStart w:id="375" w:name="_Toc132294165"/>
      <w:bookmarkStart w:id="376" w:name="_Toc132360618"/>
      <w:bookmarkStart w:id="377" w:name="_Toc132708330"/>
      <w:bookmarkStart w:id="378" w:name="_Toc133839364"/>
      <w:bookmarkStart w:id="379" w:name="_Toc133840269"/>
      <w:bookmarkStart w:id="380" w:name="_Toc135162287"/>
      <w:bookmarkStart w:id="381" w:name="_Toc141972441"/>
      <w:bookmarkStart w:id="382" w:name="_Toc141972654"/>
      <w:bookmarkStart w:id="383" w:name="_Toc141972928"/>
      <w:bookmarkStart w:id="384" w:name="_Toc142042488"/>
      <w:bookmarkStart w:id="385" w:name="_Toc142042697"/>
      <w:bookmarkStart w:id="386" w:name="_Toc142051859"/>
      <w:r w:rsidRPr="00B50802">
        <w:lastRenderedPageBreak/>
        <w:t>1. Purpose</w:t>
      </w:r>
      <w:bookmarkEnd w:id="173"/>
      <w:bookmarkEnd w:id="174"/>
      <w:bookmarkEnd w:id="175"/>
      <w:bookmarkEnd w:id="176"/>
      <w:bookmarkEnd w:id="177"/>
      <w:bookmarkEnd w:id="178"/>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EA3E1A9" w14:textId="77777777" w:rsidR="000467D6" w:rsidRPr="00B50802" w:rsidRDefault="00141557" w:rsidP="00AC74DC">
      <w:pPr>
        <w:pStyle w:val="Heading2"/>
      </w:pPr>
      <w:bookmarkStart w:id="387" w:name="_Toc127873455"/>
      <w:bookmarkStart w:id="388" w:name="_Toc127881131"/>
      <w:bookmarkStart w:id="389" w:name="_Toc127883116"/>
      <w:bookmarkStart w:id="390" w:name="_Toc127884711"/>
      <w:bookmarkStart w:id="391" w:name="_Toc127885776"/>
      <w:bookmarkStart w:id="392" w:name="_Toc127892095"/>
      <w:bookmarkStart w:id="393" w:name="_Toc127949767"/>
      <w:bookmarkStart w:id="394" w:name="_Toc127954291"/>
      <w:bookmarkStart w:id="395" w:name="_Toc127958430"/>
      <w:bookmarkStart w:id="396" w:name="_Toc127960310"/>
      <w:bookmarkStart w:id="397" w:name="_Toc127960416"/>
      <w:bookmarkStart w:id="398" w:name="_Toc127962402"/>
      <w:bookmarkStart w:id="399" w:name="_Toc127963081"/>
      <w:bookmarkStart w:id="400" w:name="_Toc127964080"/>
      <w:bookmarkStart w:id="401" w:name="_Toc127964534"/>
      <w:bookmarkStart w:id="402" w:name="_Toc127957697"/>
      <w:bookmarkStart w:id="403" w:name="_Toc127968787"/>
      <w:bookmarkStart w:id="404" w:name="_Toc127968816"/>
      <w:bookmarkStart w:id="405" w:name="_Toc127969679"/>
      <w:bookmarkStart w:id="406" w:name="_Toc127970397"/>
      <w:bookmarkStart w:id="407" w:name="_Toc127971959"/>
      <w:bookmarkStart w:id="408" w:name="_Toc127974271"/>
      <w:bookmarkStart w:id="409" w:name="_Toc127974793"/>
      <w:bookmarkStart w:id="410" w:name="_Toc127975948"/>
      <w:bookmarkStart w:id="411" w:name="_Toc127976379"/>
      <w:bookmarkStart w:id="412" w:name="_Toc127977472"/>
      <w:bookmarkStart w:id="413" w:name="_Toc127977519"/>
      <w:bookmarkStart w:id="414" w:name="_Toc127977847"/>
      <w:bookmarkStart w:id="415" w:name="_Toc127978616"/>
      <w:bookmarkStart w:id="416" w:name="_Toc127981299"/>
      <w:bookmarkStart w:id="417" w:name="_Toc127981912"/>
      <w:bookmarkStart w:id="418" w:name="_Toc127982857"/>
      <w:bookmarkStart w:id="419" w:name="_Toc128037611"/>
      <w:bookmarkStart w:id="420" w:name="_Toc128039380"/>
      <w:bookmarkStart w:id="421" w:name="_Toc128040526"/>
      <w:bookmarkStart w:id="422" w:name="_Toc128041548"/>
      <w:bookmarkStart w:id="423" w:name="_Toc128043353"/>
      <w:bookmarkStart w:id="424" w:name="_Toc128044745"/>
      <w:bookmarkStart w:id="425" w:name="_Toc128046328"/>
      <w:bookmarkStart w:id="426" w:name="_Toc128047213"/>
      <w:bookmarkStart w:id="427" w:name="_Toc128048240"/>
      <w:bookmarkStart w:id="428" w:name="_Toc128049412"/>
      <w:bookmarkStart w:id="429" w:name="_Toc128054949"/>
      <w:bookmarkStart w:id="430" w:name="_Toc128056342"/>
      <w:bookmarkStart w:id="431" w:name="_Toc128062094"/>
      <w:bookmarkStart w:id="432" w:name="_Toc128063232"/>
      <w:bookmarkStart w:id="433" w:name="_Toc128064567"/>
      <w:bookmarkStart w:id="434" w:name="_Toc128065140"/>
      <w:bookmarkStart w:id="435" w:name="_Toc128064931"/>
      <w:bookmarkStart w:id="436" w:name="_Toc128125898"/>
      <w:bookmarkStart w:id="437" w:name="_Toc128126140"/>
      <w:bookmarkStart w:id="438" w:name="_Toc129345265"/>
      <w:bookmarkStart w:id="439" w:name="_Toc129346013"/>
      <w:bookmarkStart w:id="440" w:name="_Toc129348492"/>
      <w:bookmarkStart w:id="441" w:name="_Toc129348583"/>
      <w:bookmarkStart w:id="442" w:name="_Toc129349411"/>
      <w:bookmarkStart w:id="443" w:name="_Toc129351670"/>
      <w:bookmarkStart w:id="444" w:name="_Toc129353948"/>
      <w:bookmarkStart w:id="445" w:name="_Toc129355778"/>
      <w:bookmarkStart w:id="446" w:name="_Toc129354146"/>
      <w:bookmarkStart w:id="447" w:name="_Toc129354248"/>
      <w:bookmarkStart w:id="448" w:name="_Toc129356728"/>
      <w:bookmarkStart w:id="449" w:name="_Toc129359509"/>
      <w:bookmarkStart w:id="450" w:name="_Toc129359599"/>
      <w:bookmarkStart w:id="451" w:name="_Toc129360249"/>
      <w:bookmarkStart w:id="452" w:name="_Toc129360494"/>
      <w:bookmarkStart w:id="453" w:name="_Toc129360821"/>
      <w:bookmarkStart w:id="454" w:name="_Toc132293086"/>
      <w:bookmarkStart w:id="455" w:name="_Toc132293438"/>
      <w:bookmarkStart w:id="456" w:name="_Toc132293463"/>
      <w:bookmarkStart w:id="457" w:name="_Toc132293552"/>
      <w:bookmarkStart w:id="458" w:name="_Toc132294166"/>
      <w:bookmarkStart w:id="459" w:name="_Toc132360619"/>
      <w:bookmarkStart w:id="460" w:name="_Toc132708331"/>
      <w:bookmarkStart w:id="461" w:name="_Toc133839365"/>
      <w:bookmarkStart w:id="462" w:name="_Toc133840270"/>
      <w:bookmarkStart w:id="463" w:name="_Toc135162288"/>
      <w:bookmarkStart w:id="464" w:name="_Toc141972442"/>
      <w:bookmarkStart w:id="465" w:name="_Toc141972655"/>
      <w:bookmarkStart w:id="466" w:name="_Toc141972929"/>
      <w:bookmarkStart w:id="467" w:name="_Toc142042489"/>
      <w:bookmarkStart w:id="468" w:name="_Toc142042698"/>
      <w:bookmarkStart w:id="469" w:name="_Toc142051860"/>
      <w:bookmarkStart w:id="470" w:name="_Toc126745761"/>
      <w:bookmarkStart w:id="471" w:name="_Toc126754042"/>
      <w:bookmarkStart w:id="472" w:name="_Toc126757180"/>
      <w:bookmarkStart w:id="473" w:name="_Toc126763230"/>
      <w:bookmarkStart w:id="474" w:name="_Toc126827627"/>
      <w:bookmarkStart w:id="475" w:name="_Toc126836979"/>
      <w:bookmarkStart w:id="476" w:name="_Toc126845290"/>
      <w:bookmarkStart w:id="477" w:name="_Toc126852058"/>
      <w:bookmarkStart w:id="478" w:name="_Toc126854346"/>
      <w:bookmarkStart w:id="479" w:name="_Toc126857747"/>
      <w:bookmarkStart w:id="480" w:name="_Toc126920561"/>
      <w:bookmarkStart w:id="481" w:name="_Toc126921161"/>
      <w:bookmarkStart w:id="482" w:name="_Toc126925094"/>
      <w:bookmarkStart w:id="483" w:name="_Toc126930653"/>
      <w:bookmarkStart w:id="484" w:name="_Toc126934938"/>
      <w:bookmarkStart w:id="485" w:name="_Toc126934957"/>
      <w:bookmarkStart w:id="486" w:name="_Toc127189068"/>
      <w:bookmarkStart w:id="487" w:name="_Toc127193500"/>
      <w:bookmarkStart w:id="488" w:name="_Toc127195494"/>
      <w:bookmarkStart w:id="489" w:name="_Toc127272808"/>
      <w:bookmarkStart w:id="490" w:name="_Toc127272839"/>
      <w:bookmarkStart w:id="491" w:name="_Toc127281200"/>
      <w:bookmarkStart w:id="492" w:name="_Toc127285166"/>
      <w:bookmarkStart w:id="493" w:name="_Toc127361800"/>
      <w:r w:rsidRPr="00B50802">
        <w:t>1.1 Toward</w:t>
      </w:r>
      <w:r w:rsidR="00F153E4" w:rsidRPr="00B50802">
        <w:t>s</w:t>
      </w:r>
      <w:r w:rsidRPr="00B50802">
        <w:t xml:space="preserve"> a National Housing and Homelessness Plan</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70151A7C" w14:textId="0AD34692" w:rsidR="002C2BF8" w:rsidRPr="00B50802" w:rsidRDefault="00141557" w:rsidP="0013733B">
      <w:r w:rsidRPr="00B50802">
        <w:t>The Australian Government</w:t>
      </w:r>
      <w:r w:rsidR="00843D6B" w:rsidRPr="00B50802">
        <w:t>, in close collaboration with state and territory governments</w:t>
      </w:r>
      <w:r w:rsidR="00747FE4" w:rsidRPr="00B50802">
        <w:t xml:space="preserve"> (states)</w:t>
      </w:r>
      <w:r w:rsidR="00843D6B" w:rsidRPr="00B50802">
        <w:t>,</w:t>
      </w:r>
      <w:r w:rsidRPr="00B50802">
        <w:t xml:space="preserve"> is developing a National Housing and Homelessness Plan (the</w:t>
      </w:r>
      <w:r w:rsidR="000679D8" w:rsidRPr="00B50802">
        <w:t> </w:t>
      </w:r>
      <w:r w:rsidRPr="00B50802">
        <w:t xml:space="preserve">Plan) </w:t>
      </w:r>
      <w:r w:rsidRPr="00B50802" w:rsidDel="00B56359">
        <w:t>to help more Australians access safe and affordable</w:t>
      </w:r>
      <w:r w:rsidRPr="00B50802">
        <w:t xml:space="preserve"> housing</w:t>
      </w:r>
      <w:r w:rsidRPr="00B50802" w:rsidDel="00B56359">
        <w:t xml:space="preserve">. </w:t>
      </w:r>
      <w:r w:rsidRPr="00B50802">
        <w:t xml:space="preserve">The Plan will </w:t>
      </w:r>
      <w:r w:rsidR="00A56520" w:rsidRPr="00B50802">
        <w:t xml:space="preserve">set out </w:t>
      </w:r>
      <w:r w:rsidRPr="00B50802">
        <w:t>a</w:t>
      </w:r>
      <w:r w:rsidR="005E3AEF" w:rsidRPr="00B50802" w:rsidDel="00024FAA">
        <w:t xml:space="preserve"> </w:t>
      </w:r>
      <w:r w:rsidR="007F349E" w:rsidRPr="00B50802">
        <w:t xml:space="preserve">shared </w:t>
      </w:r>
      <w:r w:rsidRPr="00B50802">
        <w:t xml:space="preserve">national vision </w:t>
      </w:r>
      <w:r w:rsidR="00165179" w:rsidRPr="00B50802">
        <w:t xml:space="preserve">across the responsibilities of different levels of government </w:t>
      </w:r>
      <w:r w:rsidR="007F349E" w:rsidRPr="00B50802">
        <w:t xml:space="preserve">to improve </w:t>
      </w:r>
      <w:r w:rsidRPr="00B50802">
        <w:t xml:space="preserve">housing </w:t>
      </w:r>
      <w:r w:rsidR="007F349E" w:rsidRPr="00B50802">
        <w:t xml:space="preserve">outcomes </w:t>
      </w:r>
      <w:r w:rsidRPr="00B50802">
        <w:t xml:space="preserve">and </w:t>
      </w:r>
      <w:r w:rsidR="007F349E" w:rsidRPr="00B50802">
        <w:t>help address</w:t>
      </w:r>
      <w:r w:rsidRPr="00B50802">
        <w:t xml:space="preserve"> homelessness in Australia</w:t>
      </w:r>
      <w:r w:rsidR="00DC6A98" w:rsidRPr="00B50802">
        <w:t>.</w:t>
      </w:r>
    </w:p>
    <w:p w14:paraId="74A5FE41" w14:textId="77777777" w:rsidR="00D81CF9" w:rsidRPr="00B50802" w:rsidRDefault="00D81CF9" w:rsidP="0013733B">
      <w:r w:rsidRPr="00B50802">
        <w:t xml:space="preserve">This recognises long-standing calls from the states </w:t>
      </w:r>
      <w:r w:rsidR="00995877" w:rsidRPr="00B50802">
        <w:t xml:space="preserve">and territories </w:t>
      </w:r>
      <w:r w:rsidRPr="00B50802">
        <w:t xml:space="preserve">and non-government organisations for a national plan to </w:t>
      </w:r>
      <w:r w:rsidR="00193BEF" w:rsidRPr="00B50802">
        <w:t xml:space="preserve">identify </w:t>
      </w:r>
      <w:r w:rsidRPr="00B50802">
        <w:t>the key short, medium and longer-term reforms needed to improve outcomes across the housing spectrum and address homelessness.</w:t>
      </w:r>
    </w:p>
    <w:p w14:paraId="1F180385" w14:textId="67834F05" w:rsidR="00141557" w:rsidRPr="00B50802" w:rsidRDefault="00141557" w:rsidP="0013733B">
      <w:r w:rsidRPr="00B50802">
        <w:t xml:space="preserve">The </w:t>
      </w:r>
      <w:r w:rsidR="00DC6A98" w:rsidRPr="00B50802">
        <w:t>Plan will</w:t>
      </w:r>
      <w:r w:rsidR="00DC6A98" w:rsidRPr="00B50802" w:rsidDel="000000D3">
        <w:t xml:space="preserve"> </w:t>
      </w:r>
      <w:r w:rsidR="000000D3" w:rsidRPr="00B50802">
        <w:t xml:space="preserve">consider </w:t>
      </w:r>
      <w:r w:rsidR="00DC6A98" w:rsidRPr="00B50802">
        <w:t>the housing system a</w:t>
      </w:r>
      <w:r w:rsidR="000667B2" w:rsidRPr="00B50802">
        <w:t>s</w:t>
      </w:r>
      <w:r w:rsidR="00DC6A98" w:rsidRPr="00B50802">
        <w:t xml:space="preserve"> a whole</w:t>
      </w:r>
      <w:r w:rsidR="00111A7B" w:rsidRPr="00B50802">
        <w:t>,</w:t>
      </w:r>
      <w:r w:rsidR="00DC6A98" w:rsidRPr="00B50802">
        <w:t xml:space="preserve"> </w:t>
      </w:r>
      <w:r w:rsidR="00111A7B" w:rsidRPr="00B50802">
        <w:t xml:space="preserve">providing </w:t>
      </w:r>
      <w:r w:rsidR="00071392" w:rsidRPr="00B50802">
        <w:t xml:space="preserve">an opportunity to </w:t>
      </w:r>
      <w:r w:rsidR="00326514" w:rsidRPr="00B50802">
        <w:t>better unite governments</w:t>
      </w:r>
      <w:r w:rsidR="00CC334C" w:rsidRPr="00B50802">
        <w:t>, unions, not-for-profits, industry bodies, superannuation funds and other experts in housing, finance and urban development</w:t>
      </w:r>
      <w:r w:rsidR="00326514" w:rsidRPr="00B50802">
        <w:t xml:space="preserve"> in </w:t>
      </w:r>
      <w:r w:rsidR="007F349E" w:rsidRPr="00B50802">
        <w:t xml:space="preserve">achieving better </w:t>
      </w:r>
      <w:r w:rsidR="00326514" w:rsidRPr="00B50802">
        <w:t xml:space="preserve">housing and homelessness outcomes across the country. </w:t>
      </w:r>
      <w:r w:rsidR="00F760AE" w:rsidRPr="00B50802">
        <w:t xml:space="preserve">The </w:t>
      </w:r>
      <w:r w:rsidRPr="00B50802">
        <w:t>Plan will also draw on insights from the public, including those with lived experience of housing stress or homelessness.</w:t>
      </w:r>
    </w:p>
    <w:p w14:paraId="774BBB30" w14:textId="5A19FC64" w:rsidR="00855711" w:rsidRPr="00B50802" w:rsidRDefault="00141557" w:rsidP="0013733B">
      <w:r w:rsidRPr="00B50802">
        <w:t xml:space="preserve">The Plan will be informed by advice provided by the independent National Housing Supply and Affordability Council. On 1 January 2023, the </w:t>
      </w:r>
      <w:r w:rsidR="00EE029A" w:rsidRPr="00B50802">
        <w:t xml:space="preserve">Australian </w:t>
      </w:r>
      <w:r w:rsidRPr="00B50802">
        <w:t>Government established an</w:t>
      </w:r>
      <w:r w:rsidR="003A1072">
        <w:t> </w:t>
      </w:r>
      <w:r w:rsidRPr="00B50802">
        <w:t xml:space="preserve">interim Council of experts in the fields of housing, homelessness, finance, economics and urban development. </w:t>
      </w:r>
    </w:p>
    <w:p w14:paraId="2F591148" w14:textId="77777777" w:rsidR="00FC4720" w:rsidRPr="00B50802" w:rsidRDefault="00855711" w:rsidP="0013733B">
      <w:r w:rsidRPr="00B50802">
        <w:t xml:space="preserve">As a party to the National Agreement on Closing the Gap, the Australian Government, </w:t>
      </w:r>
      <w:r w:rsidR="00FC3CC7" w:rsidRPr="00B50802">
        <w:t xml:space="preserve">working closely </w:t>
      </w:r>
      <w:r w:rsidRPr="00B50802">
        <w:t xml:space="preserve">with </w:t>
      </w:r>
      <w:r w:rsidR="00FE7FCE" w:rsidRPr="00B50802">
        <w:t xml:space="preserve">the </w:t>
      </w:r>
      <w:r w:rsidRPr="00B50802">
        <w:t>state</w:t>
      </w:r>
      <w:r w:rsidR="00FE7FCE" w:rsidRPr="00B50802">
        <w:t>s</w:t>
      </w:r>
      <w:r w:rsidRPr="00B50802">
        <w:t xml:space="preserve">, will ensure the Plan </w:t>
      </w:r>
      <w:r w:rsidR="003E3A5E" w:rsidRPr="00B50802">
        <w:t>supports</w:t>
      </w:r>
      <w:r w:rsidRPr="00B50802">
        <w:t xml:space="preserve"> the Priority Reforms of the National Agreement on Closing the Gap </w:t>
      </w:r>
      <w:r w:rsidR="00A2395D" w:rsidRPr="00B50802">
        <w:t xml:space="preserve">to </w:t>
      </w:r>
      <w:r w:rsidR="001A5155" w:rsidRPr="00B50802">
        <w:t>drive progress towards</w:t>
      </w:r>
      <w:r w:rsidR="00A2395D" w:rsidRPr="00B50802">
        <w:t xml:space="preserve"> better outcomes for Aboriginal and Torres Strait Islander people</w:t>
      </w:r>
      <w:r w:rsidR="001A5155" w:rsidRPr="00B50802">
        <w:t>.</w:t>
      </w:r>
    </w:p>
    <w:p w14:paraId="06F8BFEA" w14:textId="77777777" w:rsidR="00CA494A" w:rsidRPr="00B50802" w:rsidRDefault="00CA494A" w:rsidP="00CA494A">
      <w:pPr>
        <w:spacing w:after="0" w:line="240" w:lineRule="auto"/>
        <w:rPr>
          <w:rFonts w:cs="Arial"/>
        </w:rPr>
      </w:pPr>
    </w:p>
    <w:p w14:paraId="0FE735CC" w14:textId="77777777" w:rsidR="00141557" w:rsidRPr="00B50802" w:rsidRDefault="00141557" w:rsidP="00AC74DC">
      <w:pPr>
        <w:pStyle w:val="Heading2"/>
      </w:pPr>
      <w:bookmarkStart w:id="494" w:name="_Toc127873456"/>
      <w:bookmarkStart w:id="495" w:name="_Toc127883117"/>
      <w:bookmarkStart w:id="496" w:name="_Toc127884712"/>
      <w:bookmarkStart w:id="497" w:name="_Toc127892096"/>
      <w:bookmarkStart w:id="498" w:name="_Toc127969680"/>
      <w:bookmarkStart w:id="499" w:name="_Toc127971960"/>
      <w:bookmarkStart w:id="500" w:name="_Toc127976380"/>
      <w:bookmarkStart w:id="501" w:name="_Toc127977473"/>
      <w:bookmarkStart w:id="502" w:name="_Toc127977520"/>
      <w:bookmarkStart w:id="503" w:name="_Toc127982858"/>
      <w:bookmarkStart w:id="504" w:name="_Toc128037612"/>
      <w:bookmarkStart w:id="505" w:name="_Toc128039381"/>
      <w:bookmarkStart w:id="506" w:name="_Toc128043354"/>
      <w:bookmarkStart w:id="507" w:name="_Toc128046329"/>
      <w:bookmarkStart w:id="508" w:name="_Toc128047214"/>
      <w:bookmarkStart w:id="509" w:name="_Toc128064568"/>
      <w:bookmarkStart w:id="510" w:name="_Toc128064932"/>
      <w:bookmarkStart w:id="511" w:name="_Toc128126141"/>
      <w:bookmarkStart w:id="512" w:name="_Toc127881132"/>
      <w:bookmarkStart w:id="513" w:name="_Toc127885777"/>
      <w:bookmarkStart w:id="514" w:name="_Toc127949768"/>
      <w:bookmarkStart w:id="515" w:name="_Toc127954292"/>
      <w:bookmarkStart w:id="516" w:name="_Toc127958431"/>
      <w:bookmarkStart w:id="517" w:name="_Toc127960311"/>
      <w:bookmarkStart w:id="518" w:name="_Toc127960417"/>
      <w:bookmarkStart w:id="519" w:name="_Toc127962403"/>
      <w:bookmarkStart w:id="520" w:name="_Toc127963082"/>
      <w:bookmarkStart w:id="521" w:name="_Toc127964081"/>
      <w:bookmarkStart w:id="522" w:name="_Toc127964535"/>
      <w:bookmarkStart w:id="523" w:name="_Toc127957698"/>
      <w:bookmarkStart w:id="524" w:name="_Toc127968788"/>
      <w:bookmarkStart w:id="525" w:name="_Toc127968817"/>
      <w:bookmarkStart w:id="526" w:name="_Toc127970398"/>
      <w:bookmarkStart w:id="527" w:name="_Toc127974272"/>
      <w:bookmarkStart w:id="528" w:name="_Toc127974794"/>
      <w:bookmarkStart w:id="529" w:name="_Toc127975949"/>
      <w:bookmarkStart w:id="530" w:name="_Toc127977848"/>
      <w:bookmarkStart w:id="531" w:name="_Toc127978617"/>
      <w:bookmarkStart w:id="532" w:name="_Toc127981300"/>
      <w:bookmarkStart w:id="533" w:name="_Toc127981913"/>
      <w:bookmarkStart w:id="534" w:name="_Toc128040527"/>
      <w:bookmarkStart w:id="535" w:name="_Toc128041549"/>
      <w:bookmarkStart w:id="536" w:name="_Toc128044746"/>
      <w:bookmarkStart w:id="537" w:name="_Toc128048241"/>
      <w:bookmarkStart w:id="538" w:name="_Toc128049413"/>
      <w:bookmarkStart w:id="539" w:name="_Toc128054950"/>
      <w:bookmarkStart w:id="540" w:name="_Toc128056343"/>
      <w:bookmarkStart w:id="541" w:name="_Toc128062095"/>
      <w:bookmarkStart w:id="542" w:name="_Toc128063233"/>
      <w:bookmarkStart w:id="543" w:name="_Toc128065141"/>
      <w:bookmarkStart w:id="544" w:name="_Toc128125899"/>
      <w:bookmarkStart w:id="545" w:name="_Toc129345266"/>
      <w:bookmarkStart w:id="546" w:name="_Toc129346014"/>
      <w:bookmarkStart w:id="547" w:name="_Toc129348493"/>
      <w:bookmarkStart w:id="548" w:name="_Toc129348584"/>
      <w:bookmarkStart w:id="549" w:name="_Toc129349412"/>
      <w:bookmarkStart w:id="550" w:name="_Toc129351671"/>
      <w:bookmarkStart w:id="551" w:name="_Toc129353949"/>
      <w:bookmarkStart w:id="552" w:name="_Toc129355779"/>
      <w:bookmarkStart w:id="553" w:name="_Toc129354147"/>
      <w:bookmarkStart w:id="554" w:name="_Toc129354249"/>
      <w:bookmarkStart w:id="555" w:name="_Toc129356729"/>
      <w:bookmarkStart w:id="556" w:name="_Toc129359510"/>
      <w:bookmarkStart w:id="557" w:name="_Toc129359600"/>
      <w:bookmarkStart w:id="558" w:name="_Toc129360250"/>
      <w:bookmarkStart w:id="559" w:name="_Toc129360495"/>
      <w:bookmarkStart w:id="560" w:name="_Toc129360822"/>
      <w:bookmarkStart w:id="561" w:name="_Toc135162289"/>
      <w:bookmarkStart w:id="562" w:name="_Toc141972443"/>
      <w:bookmarkStart w:id="563" w:name="_Toc141972656"/>
      <w:bookmarkStart w:id="564" w:name="_Toc141972930"/>
      <w:bookmarkStart w:id="565" w:name="_Toc142042490"/>
      <w:bookmarkStart w:id="566" w:name="_Toc142042699"/>
      <w:bookmarkStart w:id="567" w:name="_Toc142051861"/>
      <w:r w:rsidRPr="00B50802">
        <w:t xml:space="preserve">1.2 </w:t>
      </w:r>
      <w:r w:rsidR="00F61836" w:rsidRPr="00B50802">
        <w:t xml:space="preserve">Uniting efforts under a </w:t>
      </w:r>
      <w:r w:rsidR="00AC74DC" w:rsidRPr="00B50802">
        <w:t>n</w:t>
      </w:r>
      <w:r w:rsidR="00F61836" w:rsidRPr="00B50802">
        <w:t xml:space="preserve">ational </w:t>
      </w:r>
      <w:r w:rsidR="00AC74DC" w:rsidRPr="00B50802">
        <w:t>p</w:t>
      </w:r>
      <w:r w:rsidRPr="00B50802">
        <w:t>lan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4079905" w14:textId="77777777" w:rsidR="00DF56B5" w:rsidRPr="00B50802" w:rsidRDefault="00D44228" w:rsidP="0013733B">
      <w:r w:rsidRPr="00B50802">
        <w:t xml:space="preserve">There have been </w:t>
      </w:r>
      <w:r w:rsidR="00AC74DC" w:rsidRPr="00B50802">
        <w:t>many</w:t>
      </w:r>
      <w:r w:rsidRPr="00B50802">
        <w:t xml:space="preserve"> national reviews, reports and inquiries into housing and homelessness issues. However, there have been </w:t>
      </w:r>
      <w:r w:rsidRPr="00B50802">
        <w:rPr>
          <w:b/>
          <w:bCs/>
        </w:rPr>
        <w:t>very few national strategies</w:t>
      </w:r>
      <w:r w:rsidRPr="00B50802">
        <w:rPr>
          <w:vertAlign w:val="superscript"/>
        </w:rPr>
        <w:t xml:space="preserve"> </w:t>
      </w:r>
      <w:r w:rsidRPr="00B50802">
        <w:t>dedicated to setting out a long-term agenda and committed actions</w:t>
      </w:r>
      <w:r w:rsidR="007452B7" w:rsidRPr="00B50802">
        <w:t>.</w:t>
      </w:r>
      <w:r w:rsidR="00197C98" w:rsidRPr="00B50802">
        <w:rPr>
          <w:vertAlign w:val="superscript"/>
        </w:rPr>
        <w:footnoteReference w:id="2"/>
      </w:r>
      <w:r w:rsidRPr="00B50802">
        <w:t xml:space="preserve"> </w:t>
      </w:r>
    </w:p>
    <w:p w14:paraId="0DADB7C1" w14:textId="39342186" w:rsidR="003F7A09" w:rsidRPr="00B50802" w:rsidRDefault="00DF56B5">
      <w:r w:rsidRPr="00B50802">
        <w:t>The 2022 Productivity Commission review of the National Housing and Homelessness Agreement,</w:t>
      </w:r>
      <w:r w:rsidRPr="00B50802">
        <w:rPr>
          <w:i/>
          <w:iCs/>
        </w:rPr>
        <w:t xml:space="preserve"> In need of repair</w:t>
      </w:r>
      <w:r w:rsidRPr="00B50802">
        <w:t>, also pointed to this shortcoming.</w:t>
      </w:r>
    </w:p>
    <w:p w14:paraId="5C6F1E69" w14:textId="77777777" w:rsidR="00540DF4" w:rsidRPr="00B50802" w:rsidRDefault="00540DF4" w:rsidP="00540DF4">
      <w:pPr>
        <w:pBdr>
          <w:top w:val="single" w:sz="24" w:space="1" w:color="005A70"/>
          <w:left w:val="single" w:sz="24" w:space="4" w:color="005A70"/>
          <w:bottom w:val="single" w:sz="24" w:space="1" w:color="005A70"/>
          <w:right w:val="single" w:sz="24" w:space="4" w:color="005A70"/>
        </w:pBdr>
        <w:shd w:val="clear" w:color="auto" w:fill="E9F7F6"/>
        <w:rPr>
          <w:b/>
          <w:bCs/>
          <w:sz w:val="20"/>
          <w:szCs w:val="20"/>
        </w:rPr>
      </w:pPr>
      <w:r w:rsidRPr="00B50802">
        <w:rPr>
          <w:b/>
          <w:bCs/>
          <w:sz w:val="20"/>
          <w:szCs w:val="20"/>
        </w:rPr>
        <w:t xml:space="preserve">Productivity Commission review recommendations </w:t>
      </w:r>
    </w:p>
    <w:p w14:paraId="2DEE7DEF" w14:textId="08210235" w:rsidR="008E246B" w:rsidRPr="00B50802" w:rsidRDefault="002E6CF7" w:rsidP="00540DF4">
      <w:pPr>
        <w:pBdr>
          <w:top w:val="single" w:sz="24" w:space="1" w:color="005A70"/>
          <w:left w:val="single" w:sz="24" w:space="4" w:color="005A70"/>
          <w:bottom w:val="single" w:sz="24" w:space="1" w:color="005A70"/>
          <w:right w:val="single" w:sz="24" w:space="4" w:color="005A70"/>
        </w:pBdr>
        <w:shd w:val="clear" w:color="auto" w:fill="E9F7F6"/>
        <w:rPr>
          <w:b/>
          <w:bCs/>
          <w:smallCaps/>
          <w:sz w:val="20"/>
          <w:szCs w:val="20"/>
        </w:rPr>
      </w:pPr>
      <w:hyperlink r:id="rId42" w:history="1">
        <w:r w:rsidR="00540DF4" w:rsidRPr="00B50802">
          <w:rPr>
            <w:rStyle w:val="Hyperlink"/>
            <w:i/>
            <w:iCs/>
            <w:sz w:val="20"/>
            <w:szCs w:val="20"/>
          </w:rPr>
          <w:t>In need of repair: The National Housing and Homelessness Agreement - Study report</w:t>
        </w:r>
      </w:hyperlink>
      <w:r w:rsidR="00540DF4" w:rsidRPr="00B50802">
        <w:rPr>
          <w:sz w:val="20"/>
          <w:szCs w:val="20"/>
        </w:rPr>
        <w:t xml:space="preserve"> (2022) </w:t>
      </w:r>
      <w:r w:rsidR="00540DF4" w:rsidRPr="00B50802">
        <w:rPr>
          <w:sz w:val="20"/>
          <w:szCs w:val="20"/>
        </w:rPr>
        <w:br/>
        <w:t>recommended that the Australian Government use the National Housing and Homelessness Plan to create a blueprint for reform beyond funding for homelessness and housing services.</w:t>
      </w:r>
    </w:p>
    <w:p w14:paraId="543132F5" w14:textId="77777777" w:rsidR="003A1072" w:rsidRDefault="003A1072">
      <w:pPr>
        <w:rPr>
          <w:rFonts w:cs="Arial"/>
        </w:rPr>
      </w:pPr>
      <w:r>
        <w:rPr>
          <w:rFonts w:cs="Arial"/>
        </w:rPr>
        <w:br w:type="page"/>
      </w:r>
    </w:p>
    <w:p w14:paraId="316200DC" w14:textId="77777777" w:rsidR="00141557" w:rsidRPr="00B50802" w:rsidRDefault="00141557" w:rsidP="00141557">
      <w:pPr>
        <w:rPr>
          <w:rFonts w:cs="Arial"/>
        </w:rPr>
      </w:pPr>
      <w:r w:rsidRPr="00B50802">
        <w:rPr>
          <w:rFonts w:cs="Arial"/>
        </w:rPr>
        <w:lastRenderedPageBreak/>
        <w:t xml:space="preserve">The Australian Government will consider the recommendations from the </w:t>
      </w:r>
      <w:r w:rsidR="004C4598" w:rsidRPr="00B50802">
        <w:rPr>
          <w:rFonts w:cs="Arial"/>
        </w:rPr>
        <w:t xml:space="preserve">Productivity Commission </w:t>
      </w:r>
      <w:r w:rsidR="00426AC3" w:rsidRPr="00B50802">
        <w:rPr>
          <w:rFonts w:cs="Arial"/>
        </w:rPr>
        <w:t>r</w:t>
      </w:r>
      <w:r w:rsidRPr="00B50802">
        <w:rPr>
          <w:rFonts w:cs="Arial"/>
        </w:rPr>
        <w:t xml:space="preserve">eview in shaping the Plan. Given the scale and breadth of the </w:t>
      </w:r>
      <w:r w:rsidR="00426AC3" w:rsidRPr="00B50802">
        <w:rPr>
          <w:rFonts w:cs="Arial"/>
        </w:rPr>
        <w:t>r</w:t>
      </w:r>
      <w:r w:rsidRPr="00B50802">
        <w:rPr>
          <w:rFonts w:cs="Arial"/>
        </w:rPr>
        <w:t xml:space="preserve">eview’s findings, the Government is not seeking to replicate the review or </w:t>
      </w:r>
      <w:r w:rsidR="00995877" w:rsidRPr="00B50802">
        <w:rPr>
          <w:rFonts w:cs="Arial"/>
        </w:rPr>
        <w:t>the Productivity Commission’s</w:t>
      </w:r>
      <w:r w:rsidRPr="00B50802">
        <w:rPr>
          <w:rFonts w:cs="Arial"/>
        </w:rPr>
        <w:t xml:space="preserve"> consideration of roles and responsibilities of the different levels of government</w:t>
      </w:r>
      <w:r w:rsidR="00995877" w:rsidRPr="00B50802">
        <w:rPr>
          <w:rFonts w:cs="Arial"/>
        </w:rPr>
        <w:t>,</w:t>
      </w:r>
      <w:r w:rsidRPr="00B50802">
        <w:rPr>
          <w:rFonts w:cs="Arial"/>
        </w:rPr>
        <w:t xml:space="preserve"> or </w:t>
      </w:r>
      <w:r w:rsidR="00995877" w:rsidRPr="00B50802">
        <w:rPr>
          <w:rFonts w:cs="Arial"/>
        </w:rPr>
        <w:t xml:space="preserve">the </w:t>
      </w:r>
      <w:r w:rsidRPr="00B50802">
        <w:rPr>
          <w:rFonts w:cs="Arial"/>
        </w:rPr>
        <w:t xml:space="preserve">effectiveness of intergovernmental agreements for housing and homelessness. </w:t>
      </w:r>
    </w:p>
    <w:p w14:paraId="17C7B2E5" w14:textId="77777777" w:rsidR="00EE7DD5" w:rsidRPr="00E66CEA" w:rsidRDefault="000467D6" w:rsidP="00E66CEA">
      <w:pPr>
        <w:pStyle w:val="Bullet"/>
        <w:spacing w:after="200"/>
        <w:ind w:left="522" w:hanging="522"/>
        <w:rPr>
          <w:rFonts w:ascii="Georgia" w:hAnsi="Georgia"/>
          <w:b/>
          <w:sz w:val="28"/>
          <w:szCs w:val="28"/>
        </w:rPr>
      </w:pPr>
      <w:bookmarkStart w:id="568" w:name="_Toc134784676"/>
      <w:bookmarkStart w:id="569" w:name="_Toc135035195"/>
      <w:bookmarkStart w:id="570" w:name="_Toc135060872"/>
      <w:bookmarkStart w:id="571" w:name="_Toc135161343"/>
      <w:bookmarkStart w:id="572" w:name="_Toc135162206"/>
      <w:bookmarkStart w:id="573" w:name="_Toc135162290"/>
      <w:bookmarkStart w:id="574" w:name="_Toc135162464"/>
      <w:bookmarkStart w:id="575" w:name="_Toc135206043"/>
      <w:bookmarkStart w:id="576" w:name="_Toc135206128"/>
      <w:bookmarkStart w:id="577" w:name="_Toc139464286"/>
      <w:bookmarkStart w:id="578" w:name="_Toc141969821"/>
      <w:bookmarkStart w:id="579" w:name="_Toc141972444"/>
      <w:bookmarkStart w:id="580" w:name="_Toc141972657"/>
      <w:bookmarkStart w:id="581" w:name="_Toc141972931"/>
      <w:bookmarkStart w:id="582" w:name="_Toc142042491"/>
      <w:bookmarkStart w:id="583" w:name="_Toc142042700"/>
      <w:r w:rsidRPr="00E66CEA">
        <w:rPr>
          <w:rFonts w:ascii="Georgia" w:hAnsi="Georgia"/>
          <w:b/>
          <w:sz w:val="28"/>
          <w:szCs w:val="28"/>
        </w:rPr>
        <w:t>A national plan</w:t>
      </w:r>
      <w:r w:rsidR="00EE7DD5" w:rsidRPr="00E66CEA">
        <w:rPr>
          <w:rFonts w:ascii="Georgia" w:hAnsi="Georgia"/>
          <w:b/>
          <w:sz w:val="28"/>
          <w:szCs w:val="28"/>
        </w:rPr>
        <w:t xml:space="preserve"> </w:t>
      </w:r>
      <w:r w:rsidR="008E246B" w:rsidRPr="00E66CEA">
        <w:rPr>
          <w:rFonts w:ascii="Georgia" w:hAnsi="Georgia"/>
          <w:b/>
          <w:sz w:val="28"/>
          <w:szCs w:val="28"/>
        </w:rPr>
        <w:t>for housing and homelessness policy</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008E246B" w:rsidRPr="00E66CEA">
        <w:rPr>
          <w:rFonts w:ascii="Georgia" w:hAnsi="Georgia"/>
          <w:b/>
          <w:sz w:val="28"/>
          <w:szCs w:val="28"/>
        </w:rPr>
        <w:t xml:space="preserve"> </w:t>
      </w:r>
    </w:p>
    <w:p w14:paraId="6326ACCB" w14:textId="6A65057D" w:rsidR="000679D8" w:rsidRPr="00B50802" w:rsidRDefault="00110FB2" w:rsidP="00D61A08">
      <w:pPr>
        <w:rPr>
          <w:rFonts w:eastAsia="Times New Roman"/>
        </w:rPr>
      </w:pPr>
      <w:r w:rsidRPr="00B50802">
        <w:rPr>
          <w:rFonts w:eastAsia="Times New Roman"/>
        </w:rPr>
        <w:t>This Issues Paper</w:t>
      </w:r>
      <w:r w:rsidR="000679D8" w:rsidRPr="00B50802">
        <w:rPr>
          <w:rFonts w:eastAsia="Times New Roman"/>
        </w:rPr>
        <w:t xml:space="preserve"> </w:t>
      </w:r>
      <w:r w:rsidR="000000D3" w:rsidRPr="00B50802">
        <w:rPr>
          <w:rFonts w:eastAsia="Times New Roman"/>
        </w:rPr>
        <w:t xml:space="preserve">canvasses </w:t>
      </w:r>
      <w:r w:rsidR="000679D8" w:rsidRPr="00B50802">
        <w:rPr>
          <w:rFonts w:eastAsia="Times New Roman"/>
        </w:rPr>
        <w:t xml:space="preserve">a broad </w:t>
      </w:r>
      <w:r w:rsidR="000000D3" w:rsidRPr="00B50802">
        <w:rPr>
          <w:rFonts w:eastAsia="Times New Roman"/>
        </w:rPr>
        <w:t>range of</w:t>
      </w:r>
      <w:r w:rsidR="000679D8" w:rsidRPr="00B50802" w:rsidDel="000000D3">
        <w:rPr>
          <w:rFonts w:eastAsia="Times New Roman"/>
        </w:rPr>
        <w:t xml:space="preserve"> </w:t>
      </w:r>
      <w:r w:rsidR="000679D8" w:rsidRPr="00B50802">
        <w:rPr>
          <w:rFonts w:eastAsia="Times New Roman"/>
        </w:rPr>
        <w:t>housing and homelessness issues</w:t>
      </w:r>
      <w:r w:rsidR="000000D3" w:rsidRPr="00B50802">
        <w:rPr>
          <w:rFonts w:eastAsia="Times New Roman"/>
        </w:rPr>
        <w:t xml:space="preserve"> to better understand the actions needed by all levels of government, along with private </w:t>
      </w:r>
      <w:r w:rsidR="007F349E" w:rsidRPr="00B50802">
        <w:rPr>
          <w:rFonts w:eastAsia="Times New Roman"/>
        </w:rPr>
        <w:t xml:space="preserve">industry </w:t>
      </w:r>
      <w:r w:rsidR="000000D3" w:rsidRPr="00B50802">
        <w:rPr>
          <w:rFonts w:eastAsia="Times New Roman"/>
        </w:rPr>
        <w:t>and investors, to address these issues.</w:t>
      </w:r>
      <w:r w:rsidR="000679D8" w:rsidRPr="00B50802" w:rsidDel="000000D3">
        <w:rPr>
          <w:rFonts w:eastAsia="Times New Roman"/>
        </w:rPr>
        <w:t xml:space="preserve"> </w:t>
      </w:r>
    </w:p>
    <w:p w14:paraId="5DBFCB06" w14:textId="77777777" w:rsidR="00062E12" w:rsidRPr="00B50802" w:rsidRDefault="00995877" w:rsidP="00EE7DD5">
      <w:pPr>
        <w:rPr>
          <w:rFonts w:cs="Arial"/>
          <w:b/>
          <w:bCs/>
          <w:smallCaps/>
        </w:rPr>
      </w:pPr>
      <w:r w:rsidRPr="00B50802">
        <w:rPr>
          <w:rFonts w:cs="Arial"/>
        </w:rPr>
        <w:t xml:space="preserve">State </w:t>
      </w:r>
      <w:r w:rsidR="00CA0540" w:rsidRPr="00B50802">
        <w:rPr>
          <w:rFonts w:cs="Arial"/>
        </w:rPr>
        <w:t>governments</w:t>
      </w:r>
      <w:r w:rsidR="00EE7DD5" w:rsidRPr="00B50802">
        <w:rPr>
          <w:rFonts w:cs="Arial"/>
        </w:rPr>
        <w:t xml:space="preserve"> have developed </w:t>
      </w:r>
      <w:r w:rsidR="009C3C49" w:rsidRPr="00B50802">
        <w:rPr>
          <w:rFonts w:cs="Arial"/>
        </w:rPr>
        <w:t xml:space="preserve">their own </w:t>
      </w:r>
      <w:r w:rsidR="00EE7DD5" w:rsidRPr="00B50802">
        <w:rPr>
          <w:rFonts w:cs="Arial"/>
        </w:rPr>
        <w:t>plans to address the housing and homelessness needs of their respective jurisdiction</w:t>
      </w:r>
      <w:r w:rsidR="009C3C49" w:rsidRPr="00B50802">
        <w:rPr>
          <w:rFonts w:cs="Arial"/>
        </w:rPr>
        <w:t>s</w:t>
      </w:r>
      <w:r w:rsidR="00EE7DD5" w:rsidRPr="00B50802">
        <w:rPr>
          <w:rFonts w:cs="Arial"/>
        </w:rPr>
        <w:t>.</w:t>
      </w:r>
      <w:r w:rsidR="0017707A" w:rsidRPr="00B50802">
        <w:rPr>
          <w:rStyle w:val="FootnoteReference"/>
          <w:rFonts w:cs="Arial"/>
        </w:rPr>
        <w:footnoteReference w:id="3"/>
      </w:r>
      <w:r w:rsidR="00EE7DD5" w:rsidRPr="00B50802">
        <w:rPr>
          <w:rFonts w:cs="Arial"/>
        </w:rPr>
        <w:t xml:space="preserve"> </w:t>
      </w:r>
      <w:r w:rsidR="00B544E1" w:rsidRPr="00B50802">
        <w:rPr>
          <w:rFonts w:cs="Arial"/>
        </w:rPr>
        <w:t xml:space="preserve">  </w:t>
      </w:r>
    </w:p>
    <w:p w14:paraId="21DC98DF" w14:textId="657029E8" w:rsidR="00EE7DD5" w:rsidRPr="00B50802" w:rsidRDefault="00EE7DD5" w:rsidP="00A50C1F">
      <w:pPr>
        <w:rPr>
          <w:rFonts w:cs="Arial"/>
        </w:rPr>
      </w:pPr>
      <w:r w:rsidRPr="00B50802">
        <w:rPr>
          <w:rFonts w:cs="Arial"/>
        </w:rPr>
        <w:t xml:space="preserve">A national housing and homelessness plan will </w:t>
      </w:r>
      <w:r w:rsidR="008E246B" w:rsidRPr="00B50802">
        <w:rPr>
          <w:rFonts w:cs="Arial"/>
        </w:rPr>
        <w:t>acknowledge</w:t>
      </w:r>
      <w:r w:rsidRPr="00B50802">
        <w:rPr>
          <w:rFonts w:cs="Arial"/>
        </w:rPr>
        <w:t xml:space="preserve"> relevant state policies and programs to avoid duplicating existing programs</w:t>
      </w:r>
      <w:r w:rsidR="002D1701" w:rsidRPr="00B50802">
        <w:rPr>
          <w:rFonts w:cs="Arial"/>
        </w:rPr>
        <w:t xml:space="preserve"> and policies</w:t>
      </w:r>
      <w:r w:rsidR="008D2AD6" w:rsidRPr="00B50802">
        <w:rPr>
          <w:rFonts w:cs="Arial"/>
        </w:rPr>
        <w:t>, while</w:t>
      </w:r>
      <w:r w:rsidRPr="00B50802">
        <w:rPr>
          <w:rFonts w:cs="Arial"/>
        </w:rPr>
        <w:t xml:space="preserve"> identify</w:t>
      </w:r>
      <w:r w:rsidR="008D2AD6" w:rsidRPr="00B50802">
        <w:rPr>
          <w:rFonts w:cs="Arial"/>
        </w:rPr>
        <w:t>ing</w:t>
      </w:r>
      <w:r w:rsidRPr="00B50802">
        <w:rPr>
          <w:rFonts w:cs="Arial"/>
        </w:rPr>
        <w:t xml:space="preserve"> gaps and </w:t>
      </w:r>
      <w:r w:rsidR="008E246B" w:rsidRPr="00B50802">
        <w:rPr>
          <w:rFonts w:cs="Arial"/>
        </w:rPr>
        <w:t>set</w:t>
      </w:r>
      <w:r w:rsidR="008D2AD6" w:rsidRPr="00B50802">
        <w:rPr>
          <w:rFonts w:cs="Arial"/>
        </w:rPr>
        <w:t>ting</w:t>
      </w:r>
      <w:r w:rsidR="008E246B" w:rsidRPr="00B50802">
        <w:rPr>
          <w:rFonts w:cs="Arial"/>
        </w:rPr>
        <w:t xml:space="preserve"> out </w:t>
      </w:r>
      <w:r w:rsidR="007F349E" w:rsidRPr="00B50802">
        <w:rPr>
          <w:rFonts w:cs="Arial"/>
        </w:rPr>
        <w:t>shared</w:t>
      </w:r>
      <w:r w:rsidR="008E246B" w:rsidRPr="00B50802">
        <w:rPr>
          <w:rFonts w:cs="Arial"/>
        </w:rPr>
        <w:t xml:space="preserve"> </w:t>
      </w:r>
      <w:r w:rsidR="008D2AD6" w:rsidRPr="00B50802">
        <w:rPr>
          <w:rFonts w:cs="Arial"/>
        </w:rPr>
        <w:t xml:space="preserve">national </w:t>
      </w:r>
      <w:r w:rsidR="008E246B" w:rsidRPr="00B50802">
        <w:rPr>
          <w:rFonts w:cs="Arial"/>
        </w:rPr>
        <w:t>policy objectives for the future</w:t>
      </w:r>
      <w:r w:rsidRPr="00B50802">
        <w:rPr>
          <w:rFonts w:cs="Arial"/>
        </w:rPr>
        <w:t xml:space="preserve">. The </w:t>
      </w:r>
      <w:r w:rsidR="008F3450" w:rsidRPr="00B50802">
        <w:rPr>
          <w:rFonts w:cs="Arial"/>
        </w:rPr>
        <w:t xml:space="preserve">National </w:t>
      </w:r>
      <w:r w:rsidR="007A384F" w:rsidRPr="00B50802">
        <w:rPr>
          <w:rFonts w:cs="Arial"/>
        </w:rPr>
        <w:t>P</w:t>
      </w:r>
      <w:r w:rsidRPr="00B50802">
        <w:rPr>
          <w:rFonts w:cs="Arial"/>
        </w:rPr>
        <w:t>lan will complement, rather than replace, existing state plans.</w:t>
      </w:r>
      <w:r w:rsidR="004C02D1" w:rsidRPr="00B50802">
        <w:rPr>
          <w:rFonts w:cs="Arial"/>
        </w:rPr>
        <w:t xml:space="preserve"> </w:t>
      </w:r>
    </w:p>
    <w:p w14:paraId="26E167DF"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b/>
          <w:bCs/>
          <w:color w:val="auto"/>
        </w:rPr>
      </w:pPr>
      <w:r w:rsidRPr="00B50802">
        <w:rPr>
          <w:rFonts w:ascii="Arial" w:hAnsi="Arial" w:cs="Arial"/>
          <w:b/>
          <w:bCs/>
          <w:color w:val="auto"/>
        </w:rPr>
        <w:t>State housing and homelessness plans</w:t>
      </w:r>
    </w:p>
    <w:p w14:paraId="305AAD14"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Australian Capital Territory </w:t>
      </w:r>
      <w:hyperlink r:id="rId43" w:history="1">
        <w:r w:rsidRPr="00B50802">
          <w:rPr>
            <w:rStyle w:val="Hyperlink"/>
            <w:rFonts w:ascii="Arial" w:hAnsi="Arial" w:cs="Arial"/>
          </w:rPr>
          <w:t>Housing Strategy 2018</w:t>
        </w:r>
      </w:hyperlink>
    </w:p>
    <w:p w14:paraId="21AEB4A8"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New South Wales </w:t>
      </w:r>
      <w:hyperlink r:id="rId44" w:history="1">
        <w:r w:rsidRPr="00B50802">
          <w:rPr>
            <w:rStyle w:val="Hyperlink"/>
            <w:rFonts w:ascii="Arial" w:hAnsi="Arial" w:cs="Arial"/>
          </w:rPr>
          <w:t>Homelessness Strategy 2018–2023</w:t>
        </w:r>
      </w:hyperlink>
      <w:r w:rsidRPr="00B50802">
        <w:rPr>
          <w:rStyle w:val="Hyperlink"/>
          <w:rFonts w:ascii="Arial" w:hAnsi="Arial" w:cs="Arial"/>
          <w:color w:val="auto"/>
        </w:rPr>
        <w:t>,</w:t>
      </w:r>
      <w:r w:rsidRPr="00B50802">
        <w:rPr>
          <w:rStyle w:val="Hyperlink"/>
          <w:rFonts w:ascii="Arial" w:hAnsi="Arial" w:cs="Arial"/>
          <w:u w:val="none"/>
        </w:rPr>
        <w:t xml:space="preserve"> </w:t>
      </w:r>
      <w:hyperlink r:id="rId45" w:history="1">
        <w:r w:rsidRPr="00B50802">
          <w:rPr>
            <w:rStyle w:val="Hyperlink"/>
            <w:rFonts w:ascii="Arial" w:hAnsi="Arial" w:cs="Arial"/>
          </w:rPr>
          <w:t>Future Directions for Social Housing</w:t>
        </w:r>
      </w:hyperlink>
      <w:r w:rsidRPr="00B50802">
        <w:rPr>
          <w:rStyle w:val="Hyperlink"/>
          <w:rFonts w:ascii="Arial" w:hAnsi="Arial" w:cs="Arial"/>
          <w:color w:val="auto"/>
          <w:u w:val="none"/>
        </w:rPr>
        <w:t xml:space="preserve">, </w:t>
      </w:r>
      <w:hyperlink r:id="rId46" w:history="1">
        <w:r w:rsidRPr="00B50802">
          <w:rPr>
            <w:rStyle w:val="Hyperlink"/>
            <w:rFonts w:ascii="Arial" w:hAnsi="Arial" w:cs="Arial"/>
          </w:rPr>
          <w:t>Strong Family, Strong Communities</w:t>
        </w:r>
      </w:hyperlink>
      <w:r w:rsidRPr="00B50802">
        <w:rPr>
          <w:rStyle w:val="Hyperlink"/>
          <w:rFonts w:ascii="Arial" w:hAnsi="Arial" w:cs="Arial"/>
          <w:color w:val="auto"/>
          <w:u w:val="none"/>
        </w:rPr>
        <w:t xml:space="preserve"> and </w:t>
      </w:r>
      <w:hyperlink r:id="rId47" w:history="1">
        <w:r w:rsidRPr="00B50802">
          <w:rPr>
            <w:rStyle w:val="Hyperlink"/>
            <w:rFonts w:ascii="Arial" w:hAnsi="Arial" w:cs="Arial"/>
          </w:rPr>
          <w:t>Housing 2041: NSW Housing Strategy</w:t>
        </w:r>
      </w:hyperlink>
    </w:p>
    <w:p w14:paraId="46554315"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Northern Territory </w:t>
      </w:r>
      <w:hyperlink r:id="rId48" w:history="1">
        <w:r w:rsidRPr="00B50802">
          <w:rPr>
            <w:rStyle w:val="Hyperlink"/>
            <w:rFonts w:ascii="Arial" w:hAnsi="Arial" w:cs="Arial"/>
          </w:rPr>
          <w:t>Homelessness Strategy 2018-2023</w:t>
        </w:r>
      </w:hyperlink>
      <w:r w:rsidRPr="00B50802">
        <w:rPr>
          <w:rFonts w:ascii="Arial" w:hAnsi="Arial" w:cs="Arial"/>
          <w:color w:val="auto"/>
        </w:rPr>
        <w:t xml:space="preserve"> and </w:t>
      </w:r>
      <w:hyperlink r:id="rId49" w:history="1">
        <w:r w:rsidRPr="00B50802">
          <w:rPr>
            <w:rStyle w:val="Hyperlink"/>
            <w:rFonts w:ascii="Arial" w:hAnsi="Arial" w:cs="Arial"/>
          </w:rPr>
          <w:t>Housing Strategy 2020–2025</w:t>
        </w:r>
      </w:hyperlink>
    </w:p>
    <w:p w14:paraId="4FFB635B"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Queensland </w:t>
      </w:r>
      <w:hyperlink r:id="rId50" w:history="1">
        <w:r w:rsidRPr="00B50802">
          <w:rPr>
            <w:rStyle w:val="Hyperlink"/>
            <w:rFonts w:ascii="Arial" w:hAnsi="Arial" w:cs="Arial"/>
          </w:rPr>
          <w:t>Housing Strategy 2017-2027</w:t>
        </w:r>
      </w:hyperlink>
      <w:r w:rsidRPr="00B50802">
        <w:rPr>
          <w:rFonts w:ascii="Arial" w:hAnsi="Arial" w:cs="Arial"/>
        </w:rPr>
        <w:t xml:space="preserve">; </w:t>
      </w:r>
      <w:hyperlink r:id="rId51" w:history="1">
        <w:r w:rsidRPr="00B50802">
          <w:rPr>
            <w:rStyle w:val="Hyperlink"/>
            <w:rFonts w:ascii="Arial" w:hAnsi="Arial" w:cs="Arial"/>
          </w:rPr>
          <w:t>Housing and Homelessness Action Plan 2021–2025</w:t>
        </w:r>
      </w:hyperlink>
      <w:r w:rsidRPr="00B50802">
        <w:rPr>
          <w:rFonts w:ascii="Arial" w:hAnsi="Arial" w:cs="Arial"/>
        </w:rPr>
        <w:t xml:space="preserve">; </w:t>
      </w:r>
      <w:hyperlink r:id="rId52" w:history="1">
        <w:r w:rsidRPr="00B50802">
          <w:rPr>
            <w:rStyle w:val="Hyperlink"/>
            <w:rFonts w:ascii="Arial" w:hAnsi="Arial" w:cs="Arial"/>
          </w:rPr>
          <w:t>Queensland Housing Summit Outcomes Report</w:t>
        </w:r>
      </w:hyperlink>
      <w:r w:rsidRPr="00B50802">
        <w:t xml:space="preserve"> </w:t>
      </w:r>
      <w:r w:rsidRPr="00B50802">
        <w:rPr>
          <w:rFonts w:ascii="Arial" w:hAnsi="Arial" w:cs="Arial"/>
          <w:color w:val="auto"/>
        </w:rPr>
        <w:t xml:space="preserve">and </w:t>
      </w:r>
      <w:hyperlink r:id="rId53" w:history="1">
        <w:r w:rsidRPr="00B50802">
          <w:rPr>
            <w:rStyle w:val="Hyperlink"/>
            <w:rFonts w:ascii="Arial" w:hAnsi="Arial" w:cs="Arial"/>
          </w:rPr>
          <w:t>Aboriginal and Torres Strait Islander Housing Action Plan 2019-2023</w:t>
        </w:r>
      </w:hyperlink>
    </w:p>
    <w:p w14:paraId="7A1F7505"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South Australia </w:t>
      </w:r>
      <w:hyperlink r:id="rId54" w:history="1">
        <w:r w:rsidRPr="00B50802">
          <w:rPr>
            <w:rStyle w:val="Hyperlink"/>
            <w:rFonts w:ascii="Arial" w:hAnsi="Arial" w:cs="Arial"/>
          </w:rPr>
          <w:t>Our Housing Future 2020–2030</w:t>
        </w:r>
      </w:hyperlink>
      <w:r w:rsidRPr="00B50802">
        <w:rPr>
          <w:rStyle w:val="Hyperlink"/>
          <w:rFonts w:ascii="Arial" w:hAnsi="Arial" w:cs="Arial"/>
          <w:color w:val="auto"/>
          <w:u w:val="none"/>
        </w:rPr>
        <w:t xml:space="preserve">, the </w:t>
      </w:r>
      <w:hyperlink r:id="rId55" w:history="1">
        <w:r w:rsidRPr="00B50802">
          <w:rPr>
            <w:rStyle w:val="Hyperlink"/>
            <w:rFonts w:ascii="Arial" w:hAnsi="Arial" w:cs="Arial"/>
          </w:rPr>
          <w:t>Future Directions for Homelessness</w:t>
        </w:r>
        <w:r w:rsidR="00264828" w:rsidRPr="00B50802">
          <w:rPr>
            <w:rStyle w:val="Hyperlink"/>
            <w:rFonts w:ascii="Arial" w:hAnsi="Arial" w:cs="Arial"/>
          </w:rPr>
          <w:t xml:space="preserve"> Strategy</w:t>
        </w:r>
      </w:hyperlink>
      <w:r w:rsidRPr="00B50802">
        <w:rPr>
          <w:rStyle w:val="Hyperlink"/>
          <w:rFonts w:ascii="Arial" w:hAnsi="Arial" w:cs="Arial"/>
        </w:rPr>
        <w:t xml:space="preserve">, </w:t>
      </w:r>
      <w:r w:rsidRPr="00B50802">
        <w:rPr>
          <w:rStyle w:val="Hyperlink"/>
          <w:rFonts w:ascii="Arial" w:hAnsi="Arial" w:cs="Arial"/>
          <w:color w:val="auto"/>
          <w:u w:val="none"/>
        </w:rPr>
        <w:t xml:space="preserve">and </w:t>
      </w:r>
      <w:hyperlink r:id="rId56" w:history="1">
        <w:r w:rsidRPr="00B50802">
          <w:rPr>
            <w:rStyle w:val="Hyperlink"/>
            <w:rFonts w:ascii="Arial" w:hAnsi="Arial" w:cs="Arial"/>
          </w:rPr>
          <w:t>Aboriginal Housing Strategy 2021–2031</w:t>
        </w:r>
      </w:hyperlink>
    </w:p>
    <w:p w14:paraId="23D92E4A"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Style w:val="Hyperlink"/>
          <w:rFonts w:ascii="Arial" w:hAnsi="Arial" w:cs="Arial"/>
        </w:rPr>
      </w:pPr>
      <w:r w:rsidRPr="00B50802">
        <w:rPr>
          <w:rFonts w:ascii="Arial" w:hAnsi="Arial" w:cs="Arial"/>
          <w:color w:val="auto"/>
        </w:rPr>
        <w:t xml:space="preserve">Tasmania </w:t>
      </w:r>
      <w:hyperlink r:id="rId57" w:history="1">
        <w:r w:rsidRPr="00B50802">
          <w:rPr>
            <w:rStyle w:val="Hyperlink"/>
            <w:rFonts w:ascii="Arial" w:hAnsi="Arial" w:cs="Arial"/>
          </w:rPr>
          <w:t>Affordable Housing Strategy 2015–2025</w:t>
        </w:r>
      </w:hyperlink>
      <w:r w:rsidR="00264828" w:rsidRPr="00B50802">
        <w:rPr>
          <w:rStyle w:val="Hyperlink"/>
          <w:rFonts w:ascii="Arial" w:hAnsi="Arial" w:cs="Arial"/>
          <w:color w:val="auto"/>
          <w:u w:val="none"/>
        </w:rPr>
        <w:t xml:space="preserve"> and </w:t>
      </w:r>
      <w:hyperlink r:id="rId58" w:history="1">
        <w:r w:rsidR="00264828" w:rsidRPr="00B50802">
          <w:rPr>
            <w:rStyle w:val="Hyperlink"/>
            <w:rFonts w:ascii="Arial" w:hAnsi="Arial" w:cs="Arial"/>
          </w:rPr>
          <w:t>Action Plan 2019–2023</w:t>
        </w:r>
      </w:hyperlink>
    </w:p>
    <w:p w14:paraId="5DD18EE5"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Victoria </w:t>
      </w:r>
      <w:hyperlink r:id="rId59" w:anchor=":~:text=Victoria%E2%80%99s%20homelessness%20and%20rough%20sleeping%20action%20planrepresents%20the,to%20ensure%20dedicated%20support%20for%20Victorians%20experiencing%20hardship." w:history="1">
        <w:r w:rsidRPr="00B50802">
          <w:rPr>
            <w:rStyle w:val="Hyperlink"/>
            <w:rFonts w:ascii="Arial" w:hAnsi="Arial" w:cs="Arial"/>
          </w:rPr>
          <w:t>Homelessness and Rough Sleeping Action Plan</w:t>
        </w:r>
      </w:hyperlink>
      <w:r w:rsidRPr="00B50802">
        <w:rPr>
          <w:rStyle w:val="Hyperlink"/>
          <w:rFonts w:ascii="Arial" w:hAnsi="Arial" w:cs="Arial"/>
          <w:color w:val="auto"/>
          <w:u w:val="none"/>
        </w:rPr>
        <w:t xml:space="preserve"> and </w:t>
      </w:r>
      <w:hyperlink r:id="rId60" w:history="1">
        <w:r w:rsidRPr="00B50802">
          <w:rPr>
            <w:rStyle w:val="Hyperlink"/>
            <w:rFonts w:ascii="Arial" w:hAnsi="Arial" w:cs="Arial"/>
          </w:rPr>
          <w:t>Homes for Victorians</w:t>
        </w:r>
      </w:hyperlink>
    </w:p>
    <w:p w14:paraId="4B63C201" w14:textId="77777777" w:rsidR="00540DF4" w:rsidRPr="00B50802" w:rsidRDefault="00540DF4" w:rsidP="00540DF4">
      <w:pPr>
        <w:pStyle w:val="BodyText"/>
        <w:pBdr>
          <w:top w:val="single" w:sz="24" w:space="1" w:color="005A70"/>
          <w:left w:val="single" w:sz="24" w:space="4" w:color="005A70"/>
          <w:bottom w:val="single" w:sz="24" w:space="1" w:color="005A70"/>
          <w:right w:val="single" w:sz="24" w:space="4" w:color="005A70"/>
        </w:pBdr>
        <w:shd w:val="clear" w:color="auto" w:fill="E9F7F6"/>
        <w:spacing w:after="240"/>
        <w:rPr>
          <w:rFonts w:ascii="Arial" w:hAnsi="Arial" w:cs="Arial"/>
          <w:color w:val="auto"/>
        </w:rPr>
      </w:pPr>
      <w:r w:rsidRPr="00B50802">
        <w:rPr>
          <w:rFonts w:ascii="Arial" w:hAnsi="Arial" w:cs="Arial"/>
          <w:color w:val="auto"/>
        </w:rPr>
        <w:t xml:space="preserve">Western Australia </w:t>
      </w:r>
      <w:hyperlink r:id="rId61" w:history="1">
        <w:r w:rsidRPr="00B50802">
          <w:rPr>
            <w:rStyle w:val="Hyperlink"/>
            <w:rFonts w:ascii="Arial" w:hAnsi="Arial" w:cs="Arial"/>
          </w:rPr>
          <w:t>10-Year Strategy on Homelessness 2020-2030</w:t>
        </w:r>
      </w:hyperlink>
      <w:r w:rsidRPr="00B50802">
        <w:rPr>
          <w:rStyle w:val="Hyperlink"/>
          <w:rFonts w:ascii="Arial" w:hAnsi="Arial" w:cs="Arial"/>
          <w:color w:val="auto"/>
          <w:u w:val="none"/>
        </w:rPr>
        <w:t xml:space="preserve"> and </w:t>
      </w:r>
      <w:hyperlink r:id="rId62" w:anchor=":~:text=The%20WA%20Housing%20Strategy%202020-2030%20was%20launched%20on,affordable%20homes%20%E2%80%93%20particularly%20for%20the%20most%20vulnerable." w:history="1">
        <w:r w:rsidRPr="00B50802">
          <w:rPr>
            <w:rStyle w:val="Hyperlink"/>
            <w:rFonts w:ascii="Arial" w:hAnsi="Arial" w:cs="Arial"/>
          </w:rPr>
          <w:t>WA Housing Strategy 2020 –2030</w:t>
        </w:r>
      </w:hyperlink>
    </w:p>
    <w:p w14:paraId="4D167FE5" w14:textId="77777777" w:rsidR="00141557" w:rsidRPr="00B50802" w:rsidRDefault="00141557" w:rsidP="0013733B">
      <w:pPr>
        <w:keepNext/>
        <w:keepLines/>
        <w:rPr>
          <w:rFonts w:cs="Arial"/>
        </w:rPr>
      </w:pPr>
      <w:r w:rsidRPr="00B50802">
        <w:rPr>
          <w:rFonts w:cs="Arial"/>
        </w:rPr>
        <w:t xml:space="preserve">The Plan will </w:t>
      </w:r>
      <w:r w:rsidRPr="00B50802">
        <w:rPr>
          <w:rFonts w:cs="Arial"/>
          <w:b/>
          <w:bCs/>
        </w:rPr>
        <w:t>set a national vision</w:t>
      </w:r>
      <w:r w:rsidRPr="00B50802">
        <w:rPr>
          <w:rFonts w:cs="Arial"/>
        </w:rPr>
        <w:t xml:space="preserve"> and provide: </w:t>
      </w:r>
    </w:p>
    <w:p w14:paraId="733564BB" w14:textId="77777777" w:rsidR="008D55C2" w:rsidRPr="00B50802" w:rsidRDefault="00197C98" w:rsidP="008A1350">
      <w:pPr>
        <w:keepNext/>
        <w:keepLines/>
        <w:numPr>
          <w:ilvl w:val="0"/>
          <w:numId w:val="1"/>
        </w:numPr>
        <w:ind w:left="714" w:hanging="357"/>
        <w:rPr>
          <w:rFonts w:cs="Arial"/>
        </w:rPr>
      </w:pPr>
      <w:r w:rsidRPr="00B50802">
        <w:rPr>
          <w:rFonts w:cs="Arial"/>
        </w:rPr>
        <w:t>a</w:t>
      </w:r>
      <w:r w:rsidR="00141557" w:rsidRPr="00B50802">
        <w:rPr>
          <w:rFonts w:cs="Arial"/>
        </w:rPr>
        <w:t xml:space="preserve"> better understanding of the current state of housing and homelessness in Australia and what is contributing to homelessness and housing insecurity</w:t>
      </w:r>
    </w:p>
    <w:p w14:paraId="62665364" w14:textId="77777777" w:rsidR="00141557" w:rsidRPr="00B50802" w:rsidRDefault="008D55C2" w:rsidP="008A1350">
      <w:pPr>
        <w:numPr>
          <w:ilvl w:val="0"/>
          <w:numId w:val="1"/>
        </w:numPr>
        <w:ind w:left="714" w:hanging="357"/>
        <w:rPr>
          <w:rFonts w:cs="Arial"/>
        </w:rPr>
      </w:pPr>
      <w:r w:rsidRPr="00B50802">
        <w:t>a clear</w:t>
      </w:r>
      <w:r w:rsidR="00D90330" w:rsidRPr="00B50802">
        <w:t>,</w:t>
      </w:r>
      <w:r w:rsidRPr="00B50802">
        <w:t xml:space="preserve"> long-term vision for </w:t>
      </w:r>
      <w:r w:rsidR="00D90330" w:rsidRPr="00B50802">
        <w:t>the future of housing</w:t>
      </w:r>
      <w:r w:rsidR="002938EE" w:rsidRPr="00B50802">
        <w:t xml:space="preserve"> and homelessness</w:t>
      </w:r>
      <w:r w:rsidR="00D90330" w:rsidRPr="00B50802">
        <w:t xml:space="preserve"> policy in Australia</w:t>
      </w:r>
    </w:p>
    <w:p w14:paraId="0A9A0E1B" w14:textId="77777777" w:rsidR="000467D6" w:rsidRPr="00B50802" w:rsidRDefault="00604A90" w:rsidP="008A1350">
      <w:pPr>
        <w:numPr>
          <w:ilvl w:val="0"/>
          <w:numId w:val="1"/>
        </w:numPr>
        <w:ind w:left="714" w:hanging="357"/>
        <w:rPr>
          <w:rFonts w:cs="Arial"/>
        </w:rPr>
      </w:pPr>
      <w:r w:rsidRPr="00B50802">
        <w:rPr>
          <w:rFonts w:cs="Arial"/>
        </w:rPr>
        <w:lastRenderedPageBreak/>
        <w:t>insights about</w:t>
      </w:r>
      <w:r w:rsidR="000467D6" w:rsidRPr="00B50802">
        <w:rPr>
          <w:rFonts w:cs="Arial"/>
        </w:rPr>
        <w:t xml:space="preserve"> specific housing and homelessness needs in </w:t>
      </w:r>
      <w:r w:rsidR="00426492" w:rsidRPr="00B50802">
        <w:rPr>
          <w:rFonts w:cs="Arial"/>
        </w:rPr>
        <w:t xml:space="preserve">urban, </w:t>
      </w:r>
      <w:r w:rsidR="000467D6" w:rsidRPr="00B50802">
        <w:rPr>
          <w:rFonts w:cs="Arial"/>
        </w:rPr>
        <w:t>regional, rural and remote Australia</w:t>
      </w:r>
    </w:p>
    <w:p w14:paraId="531BCF10" w14:textId="7D06832B" w:rsidR="00141557" w:rsidRPr="00B50802" w:rsidRDefault="00197C98" w:rsidP="00296045">
      <w:pPr>
        <w:pStyle w:val="Bullets"/>
        <w:numPr>
          <w:ilvl w:val="0"/>
          <w:numId w:val="1"/>
        </w:numPr>
      </w:pPr>
      <w:r w:rsidRPr="00B50802">
        <w:t>w</w:t>
      </w:r>
      <w:r w:rsidR="00141557" w:rsidRPr="00B50802">
        <w:t xml:space="preserve">ays to improve the collection and use of </w:t>
      </w:r>
      <w:r w:rsidR="00136B95" w:rsidRPr="00B50802">
        <w:t>disaggregated data</w:t>
      </w:r>
      <w:r w:rsidR="00141557" w:rsidRPr="00B50802">
        <w:t xml:space="preserve"> to design </w:t>
      </w:r>
      <w:r w:rsidR="007F349E" w:rsidRPr="00B50802">
        <w:t>more</w:t>
      </w:r>
      <w:r w:rsidR="00141557" w:rsidRPr="00B50802">
        <w:t xml:space="preserve"> effective policy approaches and improve monitoring and evaluation</w:t>
      </w:r>
    </w:p>
    <w:p w14:paraId="6CE38DEC" w14:textId="77777777" w:rsidR="00141557" w:rsidRPr="00B50802" w:rsidRDefault="00197C98" w:rsidP="008A1350">
      <w:pPr>
        <w:numPr>
          <w:ilvl w:val="0"/>
          <w:numId w:val="1"/>
        </w:numPr>
        <w:ind w:left="714" w:hanging="357"/>
        <w:rPr>
          <w:rFonts w:cs="Arial"/>
        </w:rPr>
      </w:pPr>
      <w:r w:rsidRPr="00B50802">
        <w:rPr>
          <w:rFonts w:cs="Arial"/>
        </w:rPr>
        <w:t>l</w:t>
      </w:r>
      <w:r w:rsidR="00141557" w:rsidRPr="00B50802">
        <w:rPr>
          <w:rFonts w:cs="Arial"/>
        </w:rPr>
        <w:t xml:space="preserve">essons from other countries and jurisdictions </w:t>
      </w:r>
      <w:r w:rsidR="000F6A86" w:rsidRPr="00B50802">
        <w:rPr>
          <w:rFonts w:cs="Arial"/>
        </w:rPr>
        <w:t xml:space="preserve">about policies </w:t>
      </w:r>
      <w:r w:rsidR="00304361" w:rsidRPr="00B50802">
        <w:rPr>
          <w:rFonts w:cs="Arial"/>
        </w:rPr>
        <w:t>which</w:t>
      </w:r>
      <w:r w:rsidR="00141557" w:rsidRPr="00B50802">
        <w:rPr>
          <w:rFonts w:cs="Arial"/>
        </w:rPr>
        <w:t xml:space="preserve"> have led to a decline in rates of homelessness and how these could be </w:t>
      </w:r>
      <w:r w:rsidR="00FC4720" w:rsidRPr="00B50802">
        <w:rPr>
          <w:rFonts w:cs="Arial"/>
        </w:rPr>
        <w:t xml:space="preserve">adopted </w:t>
      </w:r>
      <w:r w:rsidR="00141557" w:rsidRPr="00B50802">
        <w:rPr>
          <w:rFonts w:cs="Arial"/>
        </w:rPr>
        <w:t>in Australia</w:t>
      </w:r>
    </w:p>
    <w:p w14:paraId="70C89343" w14:textId="77777777" w:rsidR="00141557" w:rsidRPr="00B50802" w:rsidRDefault="00197C98" w:rsidP="008A1350">
      <w:pPr>
        <w:numPr>
          <w:ilvl w:val="0"/>
          <w:numId w:val="1"/>
        </w:numPr>
        <w:ind w:left="714" w:hanging="357"/>
        <w:rPr>
          <w:rFonts w:cs="Arial"/>
        </w:rPr>
      </w:pPr>
      <w:r w:rsidRPr="00B50802">
        <w:rPr>
          <w:rFonts w:cs="Arial"/>
        </w:rPr>
        <w:t>s</w:t>
      </w:r>
      <w:r w:rsidR="00141557" w:rsidRPr="00B50802">
        <w:rPr>
          <w:rFonts w:cs="Arial"/>
        </w:rPr>
        <w:t xml:space="preserve">trategies for how all levels of government can work together and with the private </w:t>
      </w:r>
      <w:r w:rsidR="007E4746" w:rsidRPr="00B50802">
        <w:rPr>
          <w:rFonts w:cs="Arial"/>
        </w:rPr>
        <w:t xml:space="preserve">and community </w:t>
      </w:r>
      <w:r w:rsidR="00141557" w:rsidRPr="00B50802">
        <w:rPr>
          <w:rFonts w:cs="Arial"/>
        </w:rPr>
        <w:t>sector</w:t>
      </w:r>
      <w:r w:rsidR="00F30B0A" w:rsidRPr="00B50802">
        <w:rPr>
          <w:rFonts w:cs="Arial"/>
        </w:rPr>
        <w:t>s</w:t>
      </w:r>
      <w:r w:rsidR="00141557" w:rsidRPr="00B50802">
        <w:rPr>
          <w:rFonts w:cs="Arial"/>
        </w:rPr>
        <w:t xml:space="preserve"> to better support people experiencing homelessness and housing insecurity </w:t>
      </w:r>
    </w:p>
    <w:p w14:paraId="59C66D58" w14:textId="2484BE1A" w:rsidR="005C2961" w:rsidRPr="00B50802" w:rsidRDefault="00197C98" w:rsidP="00296045">
      <w:pPr>
        <w:pStyle w:val="Bullets"/>
        <w:numPr>
          <w:ilvl w:val="0"/>
          <w:numId w:val="1"/>
        </w:numPr>
      </w:pPr>
      <w:r w:rsidRPr="00B50802">
        <w:t>n</w:t>
      </w:r>
      <w:r w:rsidR="00141557" w:rsidRPr="00B50802">
        <w:t>ational goals and objectives for housing and homelessness, including how these will be achieved</w:t>
      </w:r>
      <w:r w:rsidR="00370A84">
        <w:t>.</w:t>
      </w:r>
    </w:p>
    <w:p w14:paraId="22C80802" w14:textId="77777777" w:rsidR="00141557" w:rsidRPr="00B50802" w:rsidRDefault="00141557" w:rsidP="009513B7">
      <w:pPr>
        <w:pStyle w:val="Heading2"/>
      </w:pPr>
      <w:bookmarkStart w:id="584" w:name="_Toc135162291"/>
      <w:bookmarkStart w:id="585" w:name="_Toc141972445"/>
      <w:bookmarkStart w:id="586" w:name="_Toc141972658"/>
      <w:bookmarkStart w:id="587" w:name="_Toc141972932"/>
      <w:bookmarkStart w:id="588" w:name="_Toc142042492"/>
      <w:bookmarkStart w:id="589" w:name="_Toc142042701"/>
      <w:bookmarkStart w:id="590" w:name="_Toc142051862"/>
      <w:r w:rsidRPr="00B50802">
        <w:t>1.3 Why now?</w:t>
      </w:r>
      <w:bookmarkEnd w:id="584"/>
      <w:bookmarkEnd w:id="585"/>
      <w:bookmarkEnd w:id="586"/>
      <w:bookmarkEnd w:id="587"/>
      <w:bookmarkEnd w:id="588"/>
      <w:bookmarkEnd w:id="589"/>
      <w:bookmarkEnd w:id="590"/>
    </w:p>
    <w:p w14:paraId="6EE7E9D9" w14:textId="77777777" w:rsidR="00141557" w:rsidRPr="00E66CEA" w:rsidRDefault="00141557" w:rsidP="00E66CEA">
      <w:pPr>
        <w:pStyle w:val="Bullet"/>
        <w:spacing w:after="200"/>
        <w:ind w:left="522" w:hanging="522"/>
        <w:rPr>
          <w:rFonts w:ascii="Georgia" w:hAnsi="Georgia"/>
          <w:b/>
          <w:sz w:val="28"/>
          <w:szCs w:val="28"/>
        </w:rPr>
      </w:pPr>
      <w:bookmarkStart w:id="591" w:name="_Toc134784678"/>
      <w:bookmarkStart w:id="592" w:name="_Toc135035197"/>
      <w:bookmarkStart w:id="593" w:name="_Toc135060874"/>
      <w:bookmarkStart w:id="594" w:name="_Toc135161345"/>
      <w:bookmarkStart w:id="595" w:name="_Toc135162208"/>
      <w:bookmarkStart w:id="596" w:name="_Toc135162292"/>
      <w:bookmarkStart w:id="597" w:name="_Toc135162466"/>
      <w:bookmarkStart w:id="598" w:name="_Toc135206045"/>
      <w:bookmarkStart w:id="599" w:name="_Toc135206130"/>
      <w:bookmarkStart w:id="600" w:name="_Toc139464288"/>
      <w:bookmarkStart w:id="601" w:name="_Toc141969823"/>
      <w:bookmarkStart w:id="602" w:name="_Toc141972446"/>
      <w:bookmarkStart w:id="603" w:name="_Toc141972659"/>
      <w:bookmarkStart w:id="604" w:name="_Toc141972933"/>
      <w:bookmarkStart w:id="605" w:name="_Toc142042493"/>
      <w:bookmarkStart w:id="606" w:name="_Toc142042702"/>
      <w:r w:rsidRPr="00E66CEA">
        <w:rPr>
          <w:rFonts w:ascii="Georgia" w:hAnsi="Georgia"/>
          <w:b/>
          <w:sz w:val="28"/>
          <w:szCs w:val="28"/>
        </w:rPr>
        <w:t xml:space="preserve">The Government </w:t>
      </w:r>
      <w:r w:rsidR="00F153E4" w:rsidRPr="00E66CEA">
        <w:rPr>
          <w:rFonts w:ascii="Georgia" w:hAnsi="Georgia"/>
          <w:b/>
          <w:sz w:val="28"/>
          <w:szCs w:val="28"/>
        </w:rPr>
        <w:t xml:space="preserve">is </w:t>
      </w:r>
      <w:r w:rsidRPr="00E66CEA">
        <w:rPr>
          <w:rFonts w:ascii="Georgia" w:hAnsi="Georgia"/>
          <w:b/>
          <w:sz w:val="28"/>
          <w:szCs w:val="28"/>
        </w:rPr>
        <w:t>committed to improving housing</w:t>
      </w:r>
      <w:r w:rsidR="00604A90" w:rsidRPr="00E66CEA">
        <w:rPr>
          <w:rFonts w:ascii="Georgia" w:hAnsi="Georgia"/>
          <w:b/>
          <w:sz w:val="28"/>
          <w:szCs w:val="28"/>
        </w:rPr>
        <w:t xml:space="preserve"> outcomes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520321B7" w14:textId="35B5BAB1" w:rsidR="00141557" w:rsidRPr="00B50802" w:rsidRDefault="00141557" w:rsidP="00580301">
      <w:pPr>
        <w:rPr>
          <w:rFonts w:cs="Arial"/>
        </w:rPr>
      </w:pPr>
      <w:r w:rsidRPr="00B50802">
        <w:rPr>
          <w:rFonts w:cs="Arial"/>
        </w:rPr>
        <w:t xml:space="preserve">The Plan is </w:t>
      </w:r>
      <w:r w:rsidR="007F349E" w:rsidRPr="00B50802">
        <w:rPr>
          <w:rFonts w:cs="Arial"/>
        </w:rPr>
        <w:t>one</w:t>
      </w:r>
      <w:r w:rsidRPr="00B50802">
        <w:rPr>
          <w:rFonts w:cs="Arial"/>
        </w:rPr>
        <w:t xml:space="preserve"> part of the </w:t>
      </w:r>
      <w:r w:rsidR="005D0B53" w:rsidRPr="00B50802">
        <w:rPr>
          <w:rFonts w:cs="Arial"/>
        </w:rPr>
        <w:t xml:space="preserve">Australian Government’s </w:t>
      </w:r>
      <w:r w:rsidRPr="00B50802">
        <w:rPr>
          <w:rFonts w:cs="Arial"/>
        </w:rPr>
        <w:t>broader housing and homelessness agenda</w:t>
      </w:r>
      <w:r w:rsidR="005D0B53" w:rsidRPr="00B50802">
        <w:rPr>
          <w:rFonts w:cs="Arial"/>
        </w:rPr>
        <w:t xml:space="preserve">, which </w:t>
      </w:r>
      <w:r w:rsidRPr="00B50802">
        <w:rPr>
          <w:rFonts w:cs="Arial"/>
        </w:rPr>
        <w:t>include</w:t>
      </w:r>
      <w:r w:rsidR="005D0B53" w:rsidRPr="00B50802">
        <w:rPr>
          <w:rFonts w:cs="Arial"/>
        </w:rPr>
        <w:t>s</w:t>
      </w:r>
      <w:r w:rsidRPr="00B50802">
        <w:rPr>
          <w:rFonts w:cs="Arial"/>
        </w:rPr>
        <w:t>:</w:t>
      </w:r>
    </w:p>
    <w:p w14:paraId="417EF83A" w14:textId="161FD32A" w:rsidR="007D3FF9" w:rsidRPr="00B50802" w:rsidRDefault="00FA5C9D" w:rsidP="00296045">
      <w:pPr>
        <w:pStyle w:val="Bullets"/>
        <w:numPr>
          <w:ilvl w:val="0"/>
          <w:numId w:val="25"/>
        </w:numPr>
        <w:ind w:left="709"/>
      </w:pPr>
      <w:r w:rsidRPr="00B50802">
        <w:t>a</w:t>
      </w:r>
      <w:r w:rsidR="007D3FF9" w:rsidRPr="00B50802">
        <w:t xml:space="preserve"> </w:t>
      </w:r>
      <w:r w:rsidRPr="00B50802">
        <w:t>$2 billion Social Housing Accelerator</w:t>
      </w:r>
      <w:r w:rsidR="00C02162" w:rsidRPr="00B50802">
        <w:t xml:space="preserve"> payment </w:t>
      </w:r>
      <w:r w:rsidRPr="00B50802">
        <w:t xml:space="preserve">to </w:t>
      </w:r>
      <w:r w:rsidR="00427EE2" w:rsidRPr="00B50802">
        <w:t xml:space="preserve">deliver </w:t>
      </w:r>
      <w:r w:rsidR="007D3FF9" w:rsidRPr="00B50802">
        <w:t>thousands of homes for Australians on social housing waiting lists</w:t>
      </w:r>
    </w:p>
    <w:p w14:paraId="5D315B4C" w14:textId="439B8D0D" w:rsidR="00141557" w:rsidRPr="00B50802" w:rsidRDefault="006365A0" w:rsidP="00296045">
      <w:pPr>
        <w:pStyle w:val="Bullets"/>
        <w:numPr>
          <w:ilvl w:val="0"/>
          <w:numId w:val="25"/>
        </w:numPr>
        <w:ind w:left="709"/>
      </w:pPr>
      <w:r w:rsidRPr="00B50802">
        <w:t xml:space="preserve">the </w:t>
      </w:r>
      <w:r w:rsidR="00141557" w:rsidRPr="00B50802">
        <w:t>National Housing Supply and Affordability Council to advise the Australian Government on how to increase housing supply and improve affordability</w:t>
      </w:r>
    </w:p>
    <w:p w14:paraId="49884914" w14:textId="77777777" w:rsidR="00141557" w:rsidRPr="00B50802" w:rsidRDefault="00121C87" w:rsidP="00296045">
      <w:pPr>
        <w:pStyle w:val="Bullets"/>
        <w:numPr>
          <w:ilvl w:val="0"/>
          <w:numId w:val="25"/>
        </w:numPr>
        <w:ind w:left="709"/>
      </w:pPr>
      <w:bookmarkStart w:id="607" w:name="_Hlk134718465"/>
      <w:r w:rsidRPr="00B50802">
        <w:t>t</w:t>
      </w:r>
      <w:r w:rsidR="00141557" w:rsidRPr="00B50802">
        <w:t xml:space="preserve">he Housing Australia Future Fund to build 30,000 new social and affordable </w:t>
      </w:r>
      <w:r w:rsidR="00090FF1" w:rsidRPr="00B50802">
        <w:t xml:space="preserve">houses </w:t>
      </w:r>
      <w:r w:rsidR="00141557" w:rsidRPr="00B50802">
        <w:t xml:space="preserve">in its first </w:t>
      </w:r>
      <w:r w:rsidR="00D61A08" w:rsidRPr="00B50802">
        <w:t xml:space="preserve">5 </w:t>
      </w:r>
      <w:r w:rsidR="00141557" w:rsidRPr="00B50802">
        <w:t>years</w:t>
      </w:r>
    </w:p>
    <w:p w14:paraId="0C684F46" w14:textId="2D69F3A7" w:rsidR="00141557" w:rsidRPr="00B50802" w:rsidRDefault="00121C87" w:rsidP="00296045">
      <w:pPr>
        <w:pStyle w:val="Bullets"/>
        <w:numPr>
          <w:ilvl w:val="0"/>
          <w:numId w:val="25"/>
        </w:numPr>
        <w:ind w:left="709"/>
      </w:pPr>
      <w:r w:rsidRPr="00B50802">
        <w:t>t</w:t>
      </w:r>
      <w:r w:rsidR="00141557" w:rsidRPr="00B50802">
        <w:t xml:space="preserve">he </w:t>
      </w:r>
      <w:hyperlink r:id="rId63" w:history="1">
        <w:r w:rsidR="00141557" w:rsidRPr="00B50802">
          <w:rPr>
            <w:color w:val="0563C1"/>
            <w:u w:val="single"/>
          </w:rPr>
          <w:t>National Housing Accord</w:t>
        </w:r>
      </w:hyperlink>
      <w:r w:rsidR="00E21504" w:rsidRPr="00B50802">
        <w:t>, which brings</w:t>
      </w:r>
      <w:r w:rsidR="00141557" w:rsidRPr="00B50802">
        <w:t xml:space="preserve"> together all levels of government, investors, and the residential development, building and construction sector</w:t>
      </w:r>
      <w:r w:rsidR="00E21504" w:rsidRPr="00B50802">
        <w:t xml:space="preserve">, setting an initial, aspirational target of delivering 1 million new well-located homes over </w:t>
      </w:r>
      <w:r w:rsidR="009928BC" w:rsidRPr="00B50802">
        <w:br/>
      </w:r>
      <w:r w:rsidR="00E21504" w:rsidRPr="00B50802">
        <w:t>5 years from 2024, as well as up to 20,000 additional affordable homes</w:t>
      </w:r>
    </w:p>
    <w:bookmarkEnd w:id="607"/>
    <w:p w14:paraId="183F6755" w14:textId="77777777" w:rsidR="00201BC7" w:rsidRPr="00B50802" w:rsidRDefault="009E68F9" w:rsidP="00296045">
      <w:pPr>
        <w:pStyle w:val="Bullets"/>
        <w:numPr>
          <w:ilvl w:val="0"/>
          <w:numId w:val="25"/>
        </w:numPr>
        <w:ind w:left="709"/>
      </w:pPr>
      <w:r w:rsidRPr="00B50802">
        <w:t>specific actions under the National Agreement on Closing the Gap to improve housing and homelessness outcomes for Aboriginal and Torres Strait Islander people</w:t>
      </w:r>
      <w:r w:rsidR="00C51E44" w:rsidRPr="00B50802">
        <w:t xml:space="preserve"> </w:t>
      </w:r>
      <w:r w:rsidR="009E560E" w:rsidRPr="00B50802">
        <w:t xml:space="preserve">– </w:t>
      </w:r>
      <w:r w:rsidR="00C51E44" w:rsidRPr="00B50802">
        <w:t>t</w:t>
      </w:r>
      <w:r w:rsidRPr="00B50802">
        <w:t xml:space="preserve">hese actions include establishing a Housing Policy Partnership, which will create a forum for shared decision-making between Aboriginal and Torres Strait Islander people and governments </w:t>
      </w:r>
    </w:p>
    <w:p w14:paraId="5DB0CB01" w14:textId="77777777" w:rsidR="004538CC" w:rsidRPr="00B50802" w:rsidRDefault="004538CC">
      <w:pPr>
        <w:rPr>
          <w:rFonts w:cs="Arial"/>
        </w:rPr>
      </w:pPr>
      <w:r w:rsidRPr="00B50802">
        <w:br w:type="page"/>
      </w:r>
    </w:p>
    <w:p w14:paraId="13EF78BA" w14:textId="0F9D151B" w:rsidR="000467D6" w:rsidRPr="00B50802" w:rsidRDefault="00121C87" w:rsidP="00296045">
      <w:pPr>
        <w:pStyle w:val="Bullets"/>
        <w:numPr>
          <w:ilvl w:val="0"/>
          <w:numId w:val="25"/>
        </w:numPr>
        <w:ind w:left="709"/>
      </w:pPr>
      <w:r w:rsidRPr="00B50802">
        <w:lastRenderedPageBreak/>
        <w:t>t</w:t>
      </w:r>
      <w:r w:rsidR="000467D6" w:rsidRPr="00B50802">
        <w:t>he Housing and Homelessness Ministerial Council</w:t>
      </w:r>
      <w:r w:rsidR="00AF2604" w:rsidRPr="00B50802">
        <w:t xml:space="preserve"> established</w:t>
      </w:r>
      <w:r w:rsidR="000467D6" w:rsidRPr="00B50802">
        <w:t xml:space="preserve"> </w:t>
      </w:r>
      <w:r w:rsidR="009B5D9B" w:rsidRPr="00B50802">
        <w:t>under the National Cabinet framework to</w:t>
      </w:r>
      <w:r w:rsidR="000467D6" w:rsidRPr="00B50802">
        <w:t xml:space="preserve"> provide a forum for Commonwealth </w:t>
      </w:r>
      <w:r w:rsidR="00734A1F" w:rsidRPr="00B50802">
        <w:t xml:space="preserve">and </w:t>
      </w:r>
      <w:r w:rsidR="000467D6" w:rsidRPr="00B50802">
        <w:t>state ministers with responsibility for housing and homelessness to progress critical housing and homelessness reforms, including improving housing supply, affordability and accessibility, and pathways out of homelessness</w:t>
      </w:r>
    </w:p>
    <w:p w14:paraId="64F721FA" w14:textId="77777777" w:rsidR="00141557" w:rsidRPr="00B50802" w:rsidRDefault="00121C87" w:rsidP="00296045">
      <w:pPr>
        <w:pStyle w:val="Bullets"/>
        <w:numPr>
          <w:ilvl w:val="0"/>
          <w:numId w:val="25"/>
        </w:numPr>
        <w:ind w:left="709"/>
      </w:pPr>
      <w:r w:rsidRPr="00B50802">
        <w:t>t</w:t>
      </w:r>
      <w:r w:rsidR="00141557" w:rsidRPr="00B50802">
        <w:t xml:space="preserve">he expansion of the </w:t>
      </w:r>
      <w:hyperlink r:id="rId64" w:history="1">
        <w:r w:rsidR="00141557" w:rsidRPr="00B50802">
          <w:rPr>
            <w:color w:val="0563C1"/>
            <w:u w:val="single"/>
          </w:rPr>
          <w:t>National Housing Infrastructure Facility</w:t>
        </w:r>
      </w:hyperlink>
      <w:r w:rsidR="00141557" w:rsidRPr="00B50802">
        <w:t xml:space="preserve"> to provide concessional loans and grants for new social and affordable housing</w:t>
      </w:r>
    </w:p>
    <w:p w14:paraId="77DF6CAD" w14:textId="77777777" w:rsidR="00494667" w:rsidRPr="00B50802" w:rsidRDefault="00121C87" w:rsidP="00296045">
      <w:pPr>
        <w:pStyle w:val="Bullets"/>
        <w:numPr>
          <w:ilvl w:val="0"/>
          <w:numId w:val="25"/>
        </w:numPr>
        <w:ind w:left="709"/>
      </w:pPr>
      <w:r w:rsidRPr="00B50802">
        <w:t>t</w:t>
      </w:r>
      <w:r w:rsidR="00141557" w:rsidRPr="00B50802">
        <w:t>he Help to Buy shared equity scheme to assist eligible Australians to buy a home with a smaller deposit and smaller mortgage</w:t>
      </w:r>
    </w:p>
    <w:p w14:paraId="51592886" w14:textId="77777777" w:rsidR="00CA4670" w:rsidRPr="00B50802" w:rsidRDefault="009704D2" w:rsidP="00296045">
      <w:pPr>
        <w:pStyle w:val="Bullets"/>
        <w:numPr>
          <w:ilvl w:val="0"/>
          <w:numId w:val="25"/>
        </w:numPr>
        <w:ind w:left="709"/>
      </w:pPr>
      <w:r w:rsidRPr="00B50802">
        <w:t xml:space="preserve">the </w:t>
      </w:r>
      <w:r w:rsidR="00234A4F" w:rsidRPr="00B50802">
        <w:t>r</w:t>
      </w:r>
      <w:r w:rsidR="00B56346" w:rsidRPr="00B50802">
        <w:t xml:space="preserve">enaming </w:t>
      </w:r>
      <w:r w:rsidRPr="00B50802">
        <w:t xml:space="preserve">of </w:t>
      </w:r>
      <w:r w:rsidR="00B56346" w:rsidRPr="00B50802">
        <w:t xml:space="preserve">the National Housing Finance and Investment </w:t>
      </w:r>
      <w:r w:rsidR="00234A4F" w:rsidRPr="00B50802">
        <w:t xml:space="preserve">Corporation </w:t>
      </w:r>
      <w:r w:rsidR="00B56346" w:rsidRPr="00B50802">
        <w:t>to Housing Australia</w:t>
      </w:r>
      <w:r w:rsidR="00234A4F" w:rsidRPr="00B50802">
        <w:t>, alongside</w:t>
      </w:r>
      <w:r w:rsidR="00B56346" w:rsidRPr="00B50802">
        <w:t xml:space="preserve"> </w:t>
      </w:r>
      <w:r w:rsidR="00234A4F" w:rsidRPr="00B50802">
        <w:t>streamlining and expanding its functions</w:t>
      </w:r>
      <w:r w:rsidR="00DF776E" w:rsidRPr="00B50802">
        <w:t xml:space="preserve"> </w:t>
      </w:r>
      <w:r w:rsidR="001F087C" w:rsidRPr="00B50802">
        <w:t xml:space="preserve">– </w:t>
      </w:r>
      <w:r w:rsidR="00234A4F" w:rsidRPr="00B50802">
        <w:t>Housing Australia will continue to administer the National Housing Infrastructure Facility and the Home Guarantee Scheme (which includes the Regional First Home Buyer Scheme</w:t>
      </w:r>
      <w:r w:rsidR="004341BF" w:rsidRPr="00B50802">
        <w:t>)</w:t>
      </w:r>
    </w:p>
    <w:p w14:paraId="64748A4C" w14:textId="69FDF995" w:rsidR="00CA4670" w:rsidRPr="00B50802" w:rsidRDefault="00DF776E" w:rsidP="00296045">
      <w:pPr>
        <w:pStyle w:val="Bullets"/>
        <w:numPr>
          <w:ilvl w:val="0"/>
          <w:numId w:val="25"/>
        </w:numPr>
        <w:ind w:left="709"/>
      </w:pPr>
      <w:r w:rsidRPr="00B50802">
        <w:t xml:space="preserve">the expansion of </w:t>
      </w:r>
      <w:r w:rsidR="00CA4670" w:rsidRPr="00B50802">
        <w:t xml:space="preserve">eligibility criteria for the </w:t>
      </w:r>
      <w:r w:rsidR="004C4128" w:rsidRPr="00B50802">
        <w:t>First</w:t>
      </w:r>
      <w:r w:rsidR="00427EE2" w:rsidRPr="00B50802">
        <w:t xml:space="preserve"> </w:t>
      </w:r>
      <w:r w:rsidR="00CA4670" w:rsidRPr="00B50802">
        <w:t>Home Guarantee, the Regional First Home Buyer Guarantee and the Family Home Guarantee</w:t>
      </w:r>
      <w:r w:rsidRPr="00B50802">
        <w:t>,</w:t>
      </w:r>
      <w:r w:rsidR="00CA4670" w:rsidRPr="00B50802">
        <w:t xml:space="preserve"> </w:t>
      </w:r>
      <w:r w:rsidR="008E3DB9" w:rsidRPr="00B50802">
        <w:rPr>
          <w:color w:val="000000" w:themeColor="text1"/>
        </w:rPr>
        <w:t xml:space="preserve">to support </w:t>
      </w:r>
      <w:r w:rsidR="00427EE2" w:rsidRPr="00B50802">
        <w:rPr>
          <w:color w:val="000000" w:themeColor="text1"/>
        </w:rPr>
        <w:t xml:space="preserve">more people </w:t>
      </w:r>
      <w:r w:rsidR="008E3DB9" w:rsidRPr="00B50802">
        <w:rPr>
          <w:color w:val="000000" w:themeColor="text1"/>
        </w:rPr>
        <w:t>to</w:t>
      </w:r>
      <w:r w:rsidR="008932FA">
        <w:rPr>
          <w:color w:val="000000" w:themeColor="text1"/>
        </w:rPr>
        <w:t> </w:t>
      </w:r>
      <w:r w:rsidR="008E3DB9" w:rsidRPr="00B50802">
        <w:rPr>
          <w:color w:val="000000" w:themeColor="text1"/>
        </w:rPr>
        <w:t>achieve home ownership.</w:t>
      </w:r>
    </w:p>
    <w:p w14:paraId="192EFCCC" w14:textId="518B798A" w:rsidR="00427EE2" w:rsidRPr="00B50802" w:rsidRDefault="00D32A6D" w:rsidP="00296045">
      <w:pPr>
        <w:pStyle w:val="ListParagraph"/>
        <w:numPr>
          <w:ilvl w:val="0"/>
          <w:numId w:val="25"/>
        </w:numPr>
        <w:spacing w:after="240" w:line="240" w:lineRule="auto"/>
        <w:ind w:left="709"/>
        <w:contextualSpacing w:val="0"/>
      </w:pPr>
      <w:r w:rsidRPr="00B50802">
        <w:t>the increase of maximum rates of Commonwealth Rent Assistance (CRA) by 15% to</w:t>
      </w:r>
      <w:r w:rsidR="008932FA">
        <w:t> </w:t>
      </w:r>
      <w:r w:rsidRPr="00B50802">
        <w:t>help address rental affordability challenges</w:t>
      </w:r>
      <w:r w:rsidR="00427EE2" w:rsidRPr="00B50802">
        <w:t>.</w:t>
      </w:r>
    </w:p>
    <w:p w14:paraId="42F0E48D" w14:textId="1A3E681B" w:rsidR="00A43E7F" w:rsidRDefault="00427EE2" w:rsidP="00296045">
      <w:pPr>
        <w:pStyle w:val="ListParagraph"/>
        <w:numPr>
          <w:ilvl w:val="0"/>
          <w:numId w:val="25"/>
        </w:numPr>
        <w:spacing w:after="240" w:line="240" w:lineRule="auto"/>
        <w:ind w:left="709"/>
        <w:contextualSpacing w:val="0"/>
      </w:pPr>
      <w:r w:rsidRPr="00B50802">
        <w:t>a one-year extension for the National Housing and Homelessness Agreement to</w:t>
      </w:r>
      <w:r w:rsidR="008932FA">
        <w:t> </w:t>
      </w:r>
      <w:r w:rsidRPr="00B50802">
        <w:t>30 June 2024, to allow for the development of the new arrangement</w:t>
      </w:r>
      <w:r w:rsidR="00753BEF">
        <w:t>s</w:t>
      </w:r>
      <w:r w:rsidRPr="00B50802">
        <w:t>, in</w:t>
      </w:r>
      <w:r w:rsidR="008932FA">
        <w:t> </w:t>
      </w:r>
      <w:r w:rsidRPr="00B50802">
        <w:t>consultation with the National Housing Supply and Affordability Council and states and territories.</w:t>
      </w:r>
    </w:p>
    <w:p w14:paraId="7C9AA03B" w14:textId="053B05B4" w:rsidR="00F22888" w:rsidRPr="00B75F7D" w:rsidRDefault="00F22888" w:rsidP="00296045">
      <w:pPr>
        <w:pStyle w:val="Bullets"/>
        <w:numPr>
          <w:ilvl w:val="0"/>
          <w:numId w:val="25"/>
        </w:numPr>
        <w:ind w:left="709"/>
      </w:pPr>
      <w:r w:rsidRPr="00B75F7D">
        <w:t>a comprehensive package of reforms agreed at National Cabinet that recognise</w:t>
      </w:r>
      <w:r w:rsidR="00753BEF">
        <w:t>s</w:t>
      </w:r>
      <w:r w:rsidRPr="00B75F7D">
        <w:t xml:space="preserve"> the housing challenges faced by all levels of government to support a national approach to the growth of Australia’s cities, towns and suburbs. This includes improving the tax treatment of new build-to-rent projects and Ministers coming back with proposals to</w:t>
      </w:r>
      <w:r w:rsidR="008932FA">
        <w:t> i</w:t>
      </w:r>
      <w:r w:rsidRPr="00B75F7D">
        <w:t>ncrease housing supply, improve planning systems and outline reforms to</w:t>
      </w:r>
      <w:r w:rsidR="008932FA">
        <w:t> </w:t>
      </w:r>
      <w:r w:rsidRPr="00B75F7D">
        <w:t>strengthen renters’ rights.</w:t>
      </w:r>
    </w:p>
    <w:p w14:paraId="1B5D29BB" w14:textId="6DA4C206" w:rsidR="00494667" w:rsidRPr="00B50802" w:rsidRDefault="00494667" w:rsidP="00580301">
      <w:pPr>
        <w:rPr>
          <w:rFonts w:cs="Arial"/>
        </w:rPr>
      </w:pPr>
      <w:r w:rsidRPr="00B50802">
        <w:rPr>
          <w:rFonts w:cs="Arial"/>
        </w:rPr>
        <w:t>These initiatives are in addition to the Australian Government’s commitment to:</w:t>
      </w:r>
    </w:p>
    <w:p w14:paraId="6016ADB1" w14:textId="77777777" w:rsidR="00494667" w:rsidRPr="00B50802" w:rsidRDefault="00494667" w:rsidP="00296045">
      <w:pPr>
        <w:pStyle w:val="Bullets"/>
        <w:numPr>
          <w:ilvl w:val="0"/>
          <w:numId w:val="26"/>
        </w:numPr>
        <w:ind w:left="709"/>
      </w:pPr>
      <w:r w:rsidRPr="00B50802">
        <w:t xml:space="preserve">continue the </w:t>
      </w:r>
      <w:hyperlink r:id="rId65" w:history="1">
        <w:r w:rsidRPr="00B50802">
          <w:rPr>
            <w:rStyle w:val="Hyperlink"/>
          </w:rPr>
          <w:t>Safe Places Emergency Accommodation Program</w:t>
        </w:r>
      </w:hyperlink>
      <w:r w:rsidRPr="00B50802">
        <w:t xml:space="preserve"> to fund the building, renovation or purchase of emergency accommodation for women and children leaving family and domestic violence</w:t>
      </w:r>
    </w:p>
    <w:p w14:paraId="6112596F" w14:textId="2BA709CA" w:rsidR="00494667" w:rsidRPr="00B50802" w:rsidRDefault="00494667" w:rsidP="00296045">
      <w:pPr>
        <w:pStyle w:val="Bullets"/>
        <w:numPr>
          <w:ilvl w:val="0"/>
          <w:numId w:val="26"/>
        </w:numPr>
        <w:ind w:left="709"/>
      </w:pPr>
      <w:r w:rsidRPr="00B50802">
        <w:t xml:space="preserve">deliver the </w:t>
      </w:r>
      <w:hyperlink r:id="rId66" w:history="1">
        <w:r w:rsidRPr="00B50802">
          <w:rPr>
            <w:rStyle w:val="Hyperlink"/>
          </w:rPr>
          <w:t>Reconnect Program</w:t>
        </w:r>
      </w:hyperlink>
      <w:r w:rsidRPr="00B50802">
        <w:t xml:space="preserve"> to provide community</w:t>
      </w:r>
      <w:r w:rsidR="00FD22ED" w:rsidRPr="00B50802">
        <w:t>-</w:t>
      </w:r>
      <w:r w:rsidRPr="00B50802">
        <w:t xml:space="preserve">based prevention and early intervention for young people aged 12 to 18 years (or 12 to 21 years in the case </w:t>
      </w:r>
      <w:r w:rsidRPr="00B50802">
        <w:br/>
        <w:t>of newly arrived youth) who are homeless or at risk of homelessness, and their families</w:t>
      </w:r>
      <w:r w:rsidR="00370A84">
        <w:t>.</w:t>
      </w:r>
    </w:p>
    <w:p w14:paraId="4E5380B2" w14:textId="1C6E9E60" w:rsidR="00494667" w:rsidRPr="00B50802" w:rsidRDefault="00FE001D" w:rsidP="00587C65">
      <w:pPr>
        <w:rPr>
          <w:rFonts w:cs="Arial"/>
        </w:rPr>
      </w:pPr>
      <w:r w:rsidRPr="00B50802">
        <w:t>The Plan will unite the delivery of these and other initiatives over the next 10 years.</w:t>
      </w:r>
    </w:p>
    <w:p w14:paraId="120F9686" w14:textId="77777777" w:rsidR="00BC6DDF" w:rsidRDefault="00540DF4" w:rsidP="00174162">
      <w:pPr>
        <w:rPr>
          <w:rFonts w:cs="Arial"/>
        </w:rPr>
      </w:pPr>
      <w:r w:rsidRPr="00B50802">
        <w:rPr>
          <w:rFonts w:cs="Arial"/>
        </w:rPr>
        <w:br w:type="page"/>
      </w:r>
    </w:p>
    <w:p w14:paraId="51CFE20A" w14:textId="7D396472" w:rsidR="00BC6DDF" w:rsidRDefault="000E55A7" w:rsidP="000E55A7">
      <w:pPr>
        <w:jc w:val="center"/>
        <w:rPr>
          <w:rFonts w:cs="Arial"/>
        </w:rPr>
      </w:pPr>
      <w:r w:rsidRPr="00B50802">
        <w:rPr>
          <w:b/>
          <w:noProof/>
          <w:sz w:val="20"/>
          <w:szCs w:val="20"/>
          <w:lang w:eastAsia="en-AU"/>
        </w:rPr>
        <w:lastRenderedPageBreak/>
        <mc:AlternateContent>
          <mc:Choice Requires="wps">
            <w:drawing>
              <wp:anchor distT="0" distB="0" distL="114300" distR="114300" simplePos="0" relativeHeight="251658256" behindDoc="1" locked="0" layoutInCell="1" allowOverlap="1" wp14:anchorId="7E5A2F10" wp14:editId="5BBE18FC">
                <wp:simplePos x="0" y="0"/>
                <wp:positionH relativeFrom="margin">
                  <wp:posOffset>-106045</wp:posOffset>
                </wp:positionH>
                <wp:positionV relativeFrom="paragraph">
                  <wp:posOffset>-35891</wp:posOffset>
                </wp:positionV>
                <wp:extent cx="5929630" cy="8293735"/>
                <wp:effectExtent l="0" t="0" r="13970" b="12065"/>
                <wp:wrapNone/>
                <wp:docPr id="5" name="Rectangle 5" descr="Decorative"/>
                <wp:cNvGraphicFramePr/>
                <a:graphic xmlns:a="http://schemas.openxmlformats.org/drawingml/2006/main">
                  <a:graphicData uri="http://schemas.microsoft.com/office/word/2010/wordprocessingShape">
                    <wps:wsp>
                      <wps:cNvSpPr/>
                      <wps:spPr>
                        <a:xfrm>
                          <a:off x="0" y="0"/>
                          <a:ext cx="5929630" cy="8293735"/>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F29B" id="Rectangle 5" o:spid="_x0000_s1026" alt="Decorative" style="position:absolute;margin-left:-8.35pt;margin-top:-2.85pt;width:466.9pt;height:653.0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" fillcolor="#f2f2f2 [3052]" strokecolor="black [3213]" strokeweight=".25pt">
                <w10:wrap anchorx="margin"/>
              </v:rect>
            </w:pict>
          </mc:Fallback>
        </mc:AlternateContent>
      </w:r>
      <w:r w:rsidR="00BC6DDF">
        <w:rPr>
          <w:rFonts w:cs="Arial"/>
          <w:b/>
        </w:rPr>
        <w:t>Other measures</w:t>
      </w:r>
    </w:p>
    <w:p w14:paraId="7AF1C95F" w14:textId="4F7ED9E2" w:rsidR="00540DF4" w:rsidRPr="00B50802" w:rsidRDefault="00201BC7" w:rsidP="00174162">
      <w:pPr>
        <w:rPr>
          <w:rFonts w:cs="Arial"/>
        </w:rPr>
      </w:pPr>
      <w:r w:rsidRPr="00B50802">
        <w:rPr>
          <w:b/>
          <w:sz w:val="20"/>
          <w:szCs w:val="20"/>
        </w:rPr>
        <w:t>N</w:t>
      </w:r>
      <w:r w:rsidR="00540DF4" w:rsidRPr="00B50802">
        <w:rPr>
          <w:b/>
          <w:sz w:val="20"/>
          <w:szCs w:val="20"/>
        </w:rPr>
        <w:t>ational Cabinet reform package</w:t>
      </w:r>
    </w:p>
    <w:p w14:paraId="28C72B3D" w14:textId="592F963D" w:rsidR="00540DF4" w:rsidRPr="00B50802" w:rsidRDefault="00540DF4" w:rsidP="00540DF4">
      <w:pPr>
        <w:rPr>
          <w:sz w:val="20"/>
          <w:szCs w:val="20"/>
        </w:rPr>
      </w:pPr>
      <w:r w:rsidRPr="00B50802">
        <w:rPr>
          <w:sz w:val="20"/>
          <w:szCs w:val="20"/>
        </w:rPr>
        <w:t xml:space="preserve">On 28 April 2023, National Cabinet agreed to a comprehensive package of reforms that recognise the housing challenges faced by all levels of government to support a national approach to the growth of Australia’s cities, towns and suburbs. </w:t>
      </w:r>
    </w:p>
    <w:p w14:paraId="7BD28206" w14:textId="72384352" w:rsidR="00540DF4" w:rsidRPr="00B50802" w:rsidRDefault="00540DF4" w:rsidP="00540DF4">
      <w:pPr>
        <w:rPr>
          <w:sz w:val="20"/>
          <w:szCs w:val="20"/>
        </w:rPr>
      </w:pPr>
      <w:r w:rsidRPr="00B50802">
        <w:rPr>
          <w:sz w:val="20"/>
          <w:szCs w:val="20"/>
        </w:rPr>
        <w:t xml:space="preserve">As part of this package, the Commonwealth </w:t>
      </w:r>
      <w:r w:rsidR="00427EE2" w:rsidRPr="00B50802">
        <w:rPr>
          <w:sz w:val="20"/>
          <w:szCs w:val="20"/>
        </w:rPr>
        <w:t xml:space="preserve">is </w:t>
      </w:r>
      <w:r w:rsidRPr="00B50802">
        <w:rPr>
          <w:sz w:val="20"/>
          <w:szCs w:val="20"/>
        </w:rPr>
        <w:t>help</w:t>
      </w:r>
      <w:r w:rsidR="00427EE2" w:rsidRPr="00B50802">
        <w:rPr>
          <w:sz w:val="20"/>
          <w:szCs w:val="20"/>
        </w:rPr>
        <w:t>ing</w:t>
      </w:r>
      <w:r w:rsidRPr="00B50802">
        <w:rPr>
          <w:sz w:val="20"/>
          <w:szCs w:val="20"/>
        </w:rPr>
        <w:t xml:space="preserve"> to increase the supply of rental housing and reduce pressure on </w:t>
      </w:r>
      <w:r w:rsidR="00427EE2" w:rsidRPr="00B50802">
        <w:rPr>
          <w:sz w:val="20"/>
          <w:szCs w:val="20"/>
        </w:rPr>
        <w:t xml:space="preserve">rental </w:t>
      </w:r>
      <w:r w:rsidRPr="00B50802">
        <w:rPr>
          <w:sz w:val="20"/>
          <w:szCs w:val="20"/>
        </w:rPr>
        <w:t xml:space="preserve">prices by improving the tax treatment of new build-to-rent projects </w:t>
      </w:r>
      <w:r w:rsidR="00FB76D3" w:rsidRPr="00B50802">
        <w:rPr>
          <w:sz w:val="20"/>
          <w:szCs w:val="20"/>
        </w:rPr>
        <w:t>where construction commence</w:t>
      </w:r>
      <w:r w:rsidR="00427EE2" w:rsidRPr="00B50802">
        <w:rPr>
          <w:sz w:val="20"/>
          <w:szCs w:val="20"/>
        </w:rPr>
        <w:t>d</w:t>
      </w:r>
      <w:r w:rsidR="00FB76D3" w:rsidRPr="00B50802">
        <w:rPr>
          <w:sz w:val="20"/>
          <w:szCs w:val="20"/>
        </w:rPr>
        <w:t xml:space="preserve"> after the Budget of 9 May 2023</w:t>
      </w:r>
      <w:r w:rsidRPr="00B50802">
        <w:rPr>
          <w:sz w:val="20"/>
          <w:szCs w:val="20"/>
        </w:rPr>
        <w:t xml:space="preserve">: </w:t>
      </w:r>
    </w:p>
    <w:p w14:paraId="55D3093A" w14:textId="54EC2EB3" w:rsidR="00540DF4" w:rsidRPr="00B50802" w:rsidRDefault="00540DF4" w:rsidP="00BC0294">
      <w:pPr>
        <w:pStyle w:val="Bullets"/>
        <w:numPr>
          <w:ilvl w:val="0"/>
          <w:numId w:val="27"/>
        </w:numPr>
        <w:rPr>
          <w:sz w:val="20"/>
          <w:szCs w:val="20"/>
        </w:rPr>
      </w:pPr>
      <w:r w:rsidRPr="00B50802">
        <w:t>i</w:t>
      </w:r>
      <w:r w:rsidRPr="00B50802">
        <w:rPr>
          <w:sz w:val="20"/>
          <w:szCs w:val="20"/>
        </w:rPr>
        <w:t>ncreasing the depreciation rate from 2.5% to 4% a year for eligible build to rent projects</w:t>
      </w:r>
    </w:p>
    <w:p w14:paraId="1C15E963" w14:textId="55340E48" w:rsidR="00540DF4" w:rsidRPr="00B50802" w:rsidRDefault="00540DF4" w:rsidP="00BC0294">
      <w:pPr>
        <w:pStyle w:val="Bullets"/>
        <w:numPr>
          <w:ilvl w:val="0"/>
          <w:numId w:val="27"/>
        </w:numPr>
        <w:rPr>
          <w:sz w:val="20"/>
          <w:szCs w:val="20"/>
        </w:rPr>
      </w:pPr>
      <w:r w:rsidRPr="00B50802">
        <w:rPr>
          <w:sz w:val="20"/>
          <w:szCs w:val="20"/>
        </w:rPr>
        <w:t xml:space="preserve">reducing the withholding tax rate for eligible fund payments from managed investment trusts to foreign residents on income from newly constructed residential build-to-rent properties after 1 July 2024 from 30% to 15%, subject to further consultation on eligibility criteria. </w:t>
      </w:r>
    </w:p>
    <w:p w14:paraId="0FA74359" w14:textId="157E3E7B" w:rsidR="00540DF4" w:rsidRPr="00B50802" w:rsidRDefault="00540DF4" w:rsidP="00540DF4">
      <w:pPr>
        <w:rPr>
          <w:sz w:val="20"/>
          <w:szCs w:val="20"/>
        </w:rPr>
      </w:pPr>
      <w:r w:rsidRPr="00B50802">
        <w:rPr>
          <w:sz w:val="20"/>
          <w:szCs w:val="20"/>
        </w:rPr>
        <w:t>The package recognises encouraging new build-to-rent projects is an opportunity to rapidly increase rental stock that is of high quality, has stable, professional management, and offers good security of</w:t>
      </w:r>
      <w:r w:rsidR="008932FA">
        <w:rPr>
          <w:sz w:val="20"/>
          <w:szCs w:val="20"/>
        </w:rPr>
        <w:t> </w:t>
      </w:r>
      <w:r w:rsidRPr="00B50802">
        <w:rPr>
          <w:sz w:val="20"/>
          <w:szCs w:val="20"/>
        </w:rPr>
        <w:t xml:space="preserve">tenure to renters. </w:t>
      </w:r>
    </w:p>
    <w:p w14:paraId="0E821A65" w14:textId="2D799FA3" w:rsidR="00244390" w:rsidRPr="00B50802" w:rsidRDefault="00540DF4" w:rsidP="00540DF4">
      <w:pPr>
        <w:rPr>
          <w:sz w:val="20"/>
          <w:szCs w:val="20"/>
        </w:rPr>
      </w:pPr>
      <w:r w:rsidRPr="00B50802">
        <w:rPr>
          <w:sz w:val="20"/>
          <w:szCs w:val="20"/>
        </w:rPr>
        <w:t>First Ministers also tasked Planning Ministers, to come back with proposals to increase housing supply and improve planning systems around Australia. These changes support the goal of the National Housing Accord to enhance the responsiveness of supply and provide the housing Australians need.</w:t>
      </w:r>
    </w:p>
    <w:p w14:paraId="2DEE06E9" w14:textId="11F96456" w:rsidR="00A43E7F" w:rsidRPr="00B50802" w:rsidRDefault="00A43E7F" w:rsidP="00540DF4">
      <w:pPr>
        <w:rPr>
          <w:sz w:val="20"/>
          <w:szCs w:val="20"/>
        </w:rPr>
      </w:pPr>
      <w:r w:rsidRPr="00B75F7D">
        <w:rPr>
          <w:sz w:val="20"/>
          <w:szCs w:val="20"/>
        </w:rPr>
        <w:t>Housing Ministers will develop a proposal for National Cabinet in the second half of 2023 outlining reforms to strengthen renters’ rights across the country.</w:t>
      </w:r>
    </w:p>
    <w:p w14:paraId="420F3376" w14:textId="5FFE3CAC" w:rsidR="00C30531" w:rsidRPr="00B50802" w:rsidRDefault="00C30531" w:rsidP="00244390">
      <w:pPr>
        <w:spacing w:before="240"/>
        <w:rPr>
          <w:b/>
          <w:sz w:val="20"/>
          <w:szCs w:val="20"/>
        </w:rPr>
      </w:pPr>
      <w:r w:rsidRPr="00B50802">
        <w:rPr>
          <w:b/>
          <w:sz w:val="20"/>
          <w:szCs w:val="20"/>
        </w:rPr>
        <w:t>Inquiry into the worsening rental crisis</w:t>
      </w:r>
    </w:p>
    <w:p w14:paraId="376A6DBF" w14:textId="31D7A997" w:rsidR="00C30531" w:rsidRPr="00B50802" w:rsidRDefault="00066FAA" w:rsidP="00244390">
      <w:pPr>
        <w:spacing w:before="240"/>
        <w:rPr>
          <w:rFonts w:asciiTheme="minorHAnsi" w:hAnsiTheme="minorHAnsi"/>
          <w:sz w:val="20"/>
          <w:szCs w:val="20"/>
        </w:rPr>
      </w:pPr>
      <w:r w:rsidRPr="00B50802">
        <w:rPr>
          <w:sz w:val="20"/>
          <w:szCs w:val="20"/>
        </w:rPr>
        <w:t>On 22 June 2023, the Senate referred an inquiry into the worsening rental crisis in Australia to the Community Affairs References Committee, with an interim report to be presented by 23 September 2023, and a final report to be presented by 28 November 2023.</w:t>
      </w:r>
    </w:p>
    <w:p w14:paraId="1C2EEAA6" w14:textId="33F7BCB5" w:rsidR="00244390" w:rsidRPr="00B50802" w:rsidRDefault="00244390" w:rsidP="00244390">
      <w:pPr>
        <w:spacing w:before="240"/>
        <w:rPr>
          <w:sz w:val="20"/>
          <w:szCs w:val="20"/>
        </w:rPr>
      </w:pPr>
      <w:r w:rsidRPr="00B50802">
        <w:rPr>
          <w:b/>
          <w:sz w:val="20"/>
          <w:szCs w:val="20"/>
        </w:rPr>
        <w:t>Social</w:t>
      </w:r>
      <w:r w:rsidR="007D3FF9" w:rsidRPr="00B50802">
        <w:rPr>
          <w:b/>
          <w:sz w:val="20"/>
          <w:szCs w:val="20"/>
        </w:rPr>
        <w:t xml:space="preserve"> Housing Accelerator</w:t>
      </w:r>
    </w:p>
    <w:p w14:paraId="4EECB028" w14:textId="57FE1803" w:rsidR="00244390" w:rsidRPr="00B50802" w:rsidRDefault="00244390" w:rsidP="00244390">
      <w:pPr>
        <w:spacing w:before="240"/>
        <w:rPr>
          <w:sz w:val="20"/>
          <w:szCs w:val="20"/>
        </w:rPr>
      </w:pPr>
      <w:r w:rsidRPr="00B50802">
        <w:rPr>
          <w:sz w:val="20"/>
          <w:szCs w:val="20"/>
        </w:rPr>
        <w:t xml:space="preserve">The Australian Government has </w:t>
      </w:r>
      <w:r w:rsidR="003C59A0" w:rsidRPr="00B50802">
        <w:rPr>
          <w:sz w:val="20"/>
          <w:szCs w:val="20"/>
        </w:rPr>
        <w:t xml:space="preserve">delivered </w:t>
      </w:r>
      <w:r w:rsidRPr="00B50802">
        <w:rPr>
          <w:sz w:val="20"/>
          <w:szCs w:val="20"/>
        </w:rPr>
        <w:t xml:space="preserve">a $2 billion Social Housing Accelerator to deliver thousands of new </w:t>
      </w:r>
      <w:r w:rsidR="007D3FF9" w:rsidRPr="00B50802">
        <w:rPr>
          <w:sz w:val="20"/>
          <w:szCs w:val="20"/>
        </w:rPr>
        <w:t xml:space="preserve">social </w:t>
      </w:r>
      <w:r w:rsidRPr="00B50802">
        <w:rPr>
          <w:sz w:val="20"/>
          <w:szCs w:val="20"/>
        </w:rPr>
        <w:t xml:space="preserve">homes across Australia. </w:t>
      </w:r>
    </w:p>
    <w:p w14:paraId="692EBDCE" w14:textId="77777777" w:rsidR="00244390" w:rsidRPr="00B50802" w:rsidRDefault="00244390" w:rsidP="00244390">
      <w:pPr>
        <w:spacing w:before="240"/>
        <w:rPr>
          <w:sz w:val="20"/>
          <w:szCs w:val="20"/>
        </w:rPr>
      </w:pPr>
      <w:r w:rsidRPr="00B50802">
        <w:rPr>
          <w:sz w:val="20"/>
          <w:szCs w:val="20"/>
        </w:rPr>
        <w:t>This investment will build more housing, for more Australians, in more parts of our nation. All funding will be committed by states and territories within two years ending 30 June 2025.</w:t>
      </w:r>
    </w:p>
    <w:p w14:paraId="4134686B" w14:textId="0FBD8E18" w:rsidR="00244390" w:rsidRPr="00B50802" w:rsidRDefault="00244390" w:rsidP="00244390">
      <w:pPr>
        <w:spacing w:before="240"/>
        <w:rPr>
          <w:sz w:val="20"/>
          <w:szCs w:val="20"/>
        </w:rPr>
      </w:pPr>
      <w:r w:rsidRPr="00B50802">
        <w:rPr>
          <w:sz w:val="20"/>
          <w:szCs w:val="20"/>
        </w:rPr>
        <w:t>States and territories will have some flexibility in how they permanently boost social housing stock under the Social Housing Accelerator, including new builds, expanding programs, and renovating or</w:t>
      </w:r>
      <w:r w:rsidR="008932FA">
        <w:rPr>
          <w:sz w:val="20"/>
          <w:szCs w:val="20"/>
        </w:rPr>
        <w:t> </w:t>
      </w:r>
      <w:r w:rsidRPr="00B50802">
        <w:rPr>
          <w:sz w:val="20"/>
          <w:szCs w:val="20"/>
        </w:rPr>
        <w:t>refurbishing existing but uninhabitable stock.</w:t>
      </w:r>
    </w:p>
    <w:p w14:paraId="229D1EC8" w14:textId="49898CF0" w:rsidR="004538CC" w:rsidRPr="00B50802" w:rsidRDefault="00427EE2" w:rsidP="007A383B">
      <w:pPr>
        <w:spacing w:before="240"/>
      </w:pPr>
      <w:r w:rsidRPr="00B50802">
        <w:rPr>
          <w:sz w:val="20"/>
          <w:szCs w:val="20"/>
        </w:rPr>
        <w:t>States and territories</w:t>
      </w:r>
      <w:r w:rsidR="00244390" w:rsidRPr="00B50802">
        <w:rPr>
          <w:sz w:val="20"/>
          <w:szCs w:val="20"/>
        </w:rPr>
        <w:t xml:space="preserve"> will ensure this additional investment in housing will work alongside better planning, zoning and land release.</w:t>
      </w:r>
      <w:bookmarkStart w:id="608" w:name="_Toc135162293"/>
      <w:r w:rsidR="00244390" w:rsidRPr="00B50802">
        <w:br/>
      </w:r>
      <w:r w:rsidR="004538CC" w:rsidRPr="00B50802">
        <w:br w:type="page"/>
      </w:r>
    </w:p>
    <w:p w14:paraId="6C07D460" w14:textId="55099E08" w:rsidR="00141557" w:rsidRPr="00B50802" w:rsidRDefault="00141557" w:rsidP="00201BC7">
      <w:pPr>
        <w:pStyle w:val="Heading2"/>
        <w:spacing w:before="240"/>
      </w:pPr>
      <w:bookmarkStart w:id="609" w:name="_Toc141972447"/>
      <w:bookmarkStart w:id="610" w:name="_Toc141972660"/>
      <w:bookmarkStart w:id="611" w:name="_Toc141972934"/>
      <w:bookmarkStart w:id="612" w:name="_Toc142042494"/>
      <w:bookmarkStart w:id="613" w:name="_Toc142042703"/>
      <w:bookmarkStart w:id="614" w:name="_Toc142051863"/>
      <w:r w:rsidRPr="00B50802">
        <w:lastRenderedPageBreak/>
        <w:t>1.4 H</w:t>
      </w:r>
      <w:r w:rsidR="00C75F74" w:rsidRPr="00B50802">
        <w:t xml:space="preserve">ave your </w:t>
      </w:r>
      <w:r w:rsidR="009343F6" w:rsidRPr="009343F6">
        <w:t>s</w:t>
      </w:r>
      <w:r w:rsidR="00C75F74" w:rsidRPr="00B50802">
        <w:t>ay</w:t>
      </w:r>
      <w:bookmarkEnd w:id="608"/>
      <w:bookmarkEnd w:id="609"/>
      <w:bookmarkEnd w:id="610"/>
      <w:bookmarkEnd w:id="611"/>
      <w:bookmarkEnd w:id="612"/>
      <w:bookmarkEnd w:id="613"/>
      <w:bookmarkEnd w:id="614"/>
    </w:p>
    <w:p w14:paraId="036B67E8" w14:textId="77777777" w:rsidR="00E1268C" w:rsidRPr="00E66CEA" w:rsidRDefault="00E1268C" w:rsidP="00E66CEA">
      <w:pPr>
        <w:pStyle w:val="Bullet"/>
        <w:spacing w:after="200"/>
        <w:ind w:left="522" w:hanging="522"/>
        <w:rPr>
          <w:rFonts w:ascii="Georgia" w:hAnsi="Georgia"/>
          <w:b/>
          <w:sz w:val="28"/>
        </w:rPr>
      </w:pPr>
      <w:bookmarkStart w:id="615" w:name="_Toc134784680"/>
      <w:bookmarkStart w:id="616" w:name="_Toc135035199"/>
      <w:bookmarkStart w:id="617" w:name="_Toc135060876"/>
      <w:bookmarkStart w:id="618" w:name="_Toc135161347"/>
      <w:bookmarkStart w:id="619" w:name="_Toc135162210"/>
      <w:bookmarkStart w:id="620" w:name="_Toc135162294"/>
      <w:bookmarkStart w:id="621" w:name="_Toc135162468"/>
      <w:bookmarkStart w:id="622" w:name="_Toc135206047"/>
      <w:bookmarkStart w:id="623" w:name="_Toc135206132"/>
      <w:bookmarkStart w:id="624" w:name="_Toc139464290"/>
      <w:bookmarkStart w:id="625" w:name="_Toc141969825"/>
      <w:bookmarkStart w:id="626" w:name="_Toc141972448"/>
      <w:bookmarkStart w:id="627" w:name="_Toc141972661"/>
      <w:bookmarkStart w:id="628" w:name="_Toc141972935"/>
      <w:bookmarkStart w:id="629" w:name="_Toc142042495"/>
      <w:bookmarkStart w:id="630" w:name="_Toc142042704"/>
      <w:r w:rsidRPr="00E66CEA">
        <w:rPr>
          <w:rFonts w:ascii="Georgia" w:hAnsi="Georgia"/>
          <w:b/>
          <w:sz w:val="28"/>
        </w:rPr>
        <w:t>Factors to consider</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E66CEA">
        <w:rPr>
          <w:rFonts w:ascii="Georgia" w:hAnsi="Georgia"/>
          <w:b/>
          <w:sz w:val="28"/>
        </w:rPr>
        <w:t xml:space="preserve"> </w:t>
      </w:r>
    </w:p>
    <w:p w14:paraId="20B0D445" w14:textId="71D30C43" w:rsidR="00174162" w:rsidRPr="00B50802" w:rsidRDefault="00141557">
      <w:r w:rsidRPr="00B50802">
        <w:t xml:space="preserve">The Australian Government has developed this Issues Paper to seek your feedback on what the Plan should address. </w:t>
      </w:r>
      <w:r w:rsidR="002E3FD2" w:rsidRPr="00B50802">
        <w:t>This paper is not exhaustive, as all the issues that impact housing and homelessness are too broad to cover in detail in one Issues Paper. Rather</w:t>
      </w:r>
      <w:r w:rsidR="000F6A86" w:rsidRPr="00B50802">
        <w:t>,</w:t>
      </w:r>
      <w:r w:rsidR="002E3FD2" w:rsidRPr="00B50802">
        <w:t xml:space="preserve"> this paper </w:t>
      </w:r>
      <w:r w:rsidRPr="00B50802">
        <w:t xml:space="preserve">provides a brief overview of </w:t>
      </w:r>
      <w:r w:rsidR="002E3FD2" w:rsidRPr="00B50802">
        <w:t xml:space="preserve">key </w:t>
      </w:r>
      <w:r w:rsidRPr="00B50802">
        <w:t xml:space="preserve">issues in different parts of the housing </w:t>
      </w:r>
      <w:r w:rsidR="00087947" w:rsidRPr="00B50802">
        <w:t>and homelessness</w:t>
      </w:r>
      <w:r w:rsidRPr="00B50802">
        <w:t xml:space="preserve"> system</w:t>
      </w:r>
      <w:r w:rsidR="00087947" w:rsidRPr="00B50802">
        <w:t>s</w:t>
      </w:r>
      <w:r w:rsidRPr="00B50802">
        <w:t xml:space="preserve"> and poses discussion questions to give you an opportunity to tell us whether these issues align with your experience. </w:t>
      </w:r>
    </w:p>
    <w:p w14:paraId="361E2501" w14:textId="1E672C04" w:rsidR="00046981" w:rsidRPr="00B50802" w:rsidRDefault="000467D6">
      <w:pPr>
        <w:rPr>
          <w:lang w:eastAsia="en-AU"/>
        </w:rPr>
      </w:pPr>
      <w:r w:rsidRPr="00B50802">
        <w:t xml:space="preserve">This </w:t>
      </w:r>
      <w:r w:rsidR="002E3FD2" w:rsidRPr="00B50802">
        <w:t xml:space="preserve">paper </w:t>
      </w:r>
      <w:r w:rsidRPr="00B50802">
        <w:t>considers factors affect</w:t>
      </w:r>
      <w:r w:rsidR="00087947" w:rsidRPr="00B50802">
        <w:t>ing</w:t>
      </w:r>
      <w:r w:rsidRPr="00B50802">
        <w:t xml:space="preserve"> the entire housing and homelessness support system, such as housing supply and demand. It does not comprehensively cover </w:t>
      </w:r>
      <w:r w:rsidR="00037194" w:rsidRPr="00B50802">
        <w:t xml:space="preserve">specific </w:t>
      </w:r>
      <w:r w:rsidRPr="00B50802">
        <w:t xml:space="preserve">cohorts because </w:t>
      </w:r>
      <w:r w:rsidR="005354D6" w:rsidRPr="00B50802">
        <w:t xml:space="preserve">many priority cohorts are broad with a large degree of intersectionality. Further, </w:t>
      </w:r>
      <w:r w:rsidR="00D96D29" w:rsidRPr="00B50802">
        <w:t xml:space="preserve">people’s </w:t>
      </w:r>
      <w:r w:rsidR="005354D6" w:rsidRPr="00B50802">
        <w:t>housing</w:t>
      </w:r>
      <w:r w:rsidRPr="00B50802">
        <w:t xml:space="preserve"> needs are </w:t>
      </w:r>
      <w:r w:rsidR="005354D6" w:rsidRPr="00B50802">
        <w:t>often</w:t>
      </w:r>
      <w:r w:rsidRPr="00B50802">
        <w:t xml:space="preserve"> complex and changing.</w:t>
      </w:r>
    </w:p>
    <w:p w14:paraId="3D7E637E" w14:textId="039DDA49" w:rsidR="003D3223" w:rsidRPr="00B50802" w:rsidRDefault="003D3223" w:rsidP="00C97AF8">
      <w:pPr>
        <w:rPr>
          <w:lang w:eastAsia="en-AU"/>
        </w:rPr>
      </w:pPr>
      <w:r w:rsidRPr="00B50802">
        <w:rPr>
          <w:lang w:eastAsia="en-AU"/>
        </w:rPr>
        <w:t xml:space="preserve">However, there is strong evidence many disadvantaged and vulnerable people experience individual and complex challenges accessing housing. In particular, women and children impacted by family and domestic violence, people </w:t>
      </w:r>
      <w:r w:rsidR="00DD0F4A" w:rsidRPr="00B50802">
        <w:rPr>
          <w:lang w:eastAsia="en-AU"/>
        </w:rPr>
        <w:t xml:space="preserve">exiting institutions, </w:t>
      </w:r>
      <w:r w:rsidR="00971D21" w:rsidRPr="00B50802">
        <w:rPr>
          <w:rFonts w:cs="Arial"/>
        </w:rPr>
        <w:t>people who have recently transitioned from the Australian Defence Force to civilian life</w:t>
      </w:r>
      <w:r w:rsidR="00971D21" w:rsidRPr="00B50802">
        <w:rPr>
          <w:lang w:eastAsia="en-AU"/>
        </w:rPr>
        <w:t xml:space="preserve">, </w:t>
      </w:r>
      <w:r w:rsidRPr="00B50802">
        <w:rPr>
          <w:lang w:eastAsia="en-AU"/>
        </w:rPr>
        <w:t>people with disability, Aboriginal and Torres Strait Islander people, younger Australians</w:t>
      </w:r>
      <w:r w:rsidR="00455088" w:rsidRPr="00B50802">
        <w:rPr>
          <w:lang w:eastAsia="en-AU"/>
        </w:rPr>
        <w:t xml:space="preserve"> including young people leaving out</w:t>
      </w:r>
      <w:r w:rsidR="00C97AF8" w:rsidRPr="00B50802">
        <w:rPr>
          <w:lang w:eastAsia="en-AU"/>
        </w:rPr>
        <w:t>-</w:t>
      </w:r>
      <w:r w:rsidR="00455088" w:rsidRPr="00B50802">
        <w:rPr>
          <w:lang w:eastAsia="en-AU"/>
        </w:rPr>
        <w:t>of</w:t>
      </w:r>
      <w:r w:rsidR="00C97AF8" w:rsidRPr="00B50802">
        <w:rPr>
          <w:lang w:eastAsia="en-AU"/>
        </w:rPr>
        <w:t>-</w:t>
      </w:r>
      <w:r w:rsidR="00455088" w:rsidRPr="00B50802">
        <w:rPr>
          <w:lang w:eastAsia="en-AU"/>
        </w:rPr>
        <w:t>home care</w:t>
      </w:r>
      <w:r w:rsidR="00971D21" w:rsidRPr="00B50802">
        <w:rPr>
          <w:lang w:eastAsia="en-AU"/>
        </w:rPr>
        <w:t>,</w:t>
      </w:r>
      <w:r w:rsidRPr="00B50802">
        <w:rPr>
          <w:lang w:eastAsia="en-AU"/>
        </w:rPr>
        <w:t xml:space="preserve"> and older women</w:t>
      </w:r>
      <w:r w:rsidR="00C97AF8" w:rsidRPr="00B50802">
        <w:rPr>
          <w:lang w:eastAsia="en-AU"/>
        </w:rPr>
        <w:t>.</w:t>
      </w:r>
    </w:p>
    <w:p w14:paraId="34BBA13B" w14:textId="77777777" w:rsidR="00136B95" w:rsidRPr="00B50802" w:rsidRDefault="0016380E" w:rsidP="0026248E">
      <w:pPr>
        <w:rPr>
          <w:rFonts w:cs="Arial"/>
        </w:rPr>
      </w:pPr>
      <w:r w:rsidRPr="00B50802">
        <w:rPr>
          <w:rFonts w:cs="Arial"/>
        </w:rPr>
        <w:t xml:space="preserve">The specific housing needs of </w:t>
      </w:r>
      <w:r w:rsidR="0001422C" w:rsidRPr="00B50802">
        <w:rPr>
          <w:rFonts w:cs="Arial"/>
        </w:rPr>
        <w:t xml:space="preserve">some of </w:t>
      </w:r>
      <w:r w:rsidRPr="00B50802">
        <w:rPr>
          <w:rFonts w:cs="Arial"/>
        </w:rPr>
        <w:t xml:space="preserve">these groups have been the focus of </w:t>
      </w:r>
      <w:r w:rsidR="00C97AF8" w:rsidRPr="00B50802">
        <w:rPr>
          <w:rFonts w:cs="Arial"/>
        </w:rPr>
        <w:t>n</w:t>
      </w:r>
      <w:r w:rsidRPr="00B50802">
        <w:rPr>
          <w:rFonts w:cs="Arial"/>
        </w:rPr>
        <w:t xml:space="preserve">ational </w:t>
      </w:r>
      <w:r w:rsidR="00C97AF8" w:rsidRPr="00B50802">
        <w:rPr>
          <w:rFonts w:cs="Arial"/>
        </w:rPr>
        <w:t>s</w:t>
      </w:r>
      <w:r w:rsidRPr="00B50802">
        <w:rPr>
          <w:rFonts w:cs="Arial"/>
        </w:rPr>
        <w:t>trategies</w:t>
      </w:r>
      <w:r w:rsidR="00FC4720" w:rsidRPr="00B50802">
        <w:rPr>
          <w:rFonts w:cs="Arial"/>
        </w:rPr>
        <w:t xml:space="preserve"> </w:t>
      </w:r>
      <w:r w:rsidRPr="00B50802">
        <w:rPr>
          <w:rFonts w:cs="Arial"/>
        </w:rPr>
        <w:t xml:space="preserve">such as </w:t>
      </w:r>
      <w:hyperlink r:id="rId67" w:history="1">
        <w:r w:rsidRPr="00B50802">
          <w:rPr>
            <w:rStyle w:val="Hyperlink"/>
            <w:rFonts w:cs="Arial"/>
            <w:iCs/>
          </w:rPr>
          <w:t>Australia’s Disability Strategy 2021</w:t>
        </w:r>
        <w:r w:rsidR="001F087C" w:rsidRPr="00B50802">
          <w:rPr>
            <w:rStyle w:val="Hyperlink"/>
            <w:rFonts w:cs="Arial"/>
            <w:iCs/>
          </w:rPr>
          <w:t>–</w:t>
        </w:r>
        <w:r w:rsidRPr="00B50802">
          <w:rPr>
            <w:rStyle w:val="Hyperlink"/>
            <w:rFonts w:cs="Arial"/>
            <w:iCs/>
          </w:rPr>
          <w:t>2031</w:t>
        </w:r>
      </w:hyperlink>
      <w:r w:rsidR="00A50337" w:rsidRPr="00B50802">
        <w:rPr>
          <w:rFonts w:cs="Arial"/>
          <w:iCs/>
        </w:rPr>
        <w:t>, the</w:t>
      </w:r>
      <w:r w:rsidRPr="00B50802">
        <w:rPr>
          <w:rFonts w:cs="Arial"/>
          <w:iCs/>
        </w:rPr>
        <w:t xml:space="preserve"> </w:t>
      </w:r>
      <w:hyperlink r:id="rId68" w:history="1">
        <w:r w:rsidRPr="00B50802">
          <w:rPr>
            <w:rStyle w:val="Hyperlink"/>
            <w:rFonts w:cs="Arial"/>
            <w:iCs/>
          </w:rPr>
          <w:t>National Plan to End Violence against Women and Children 2022</w:t>
        </w:r>
        <w:r w:rsidR="001F087C" w:rsidRPr="00B50802">
          <w:rPr>
            <w:rStyle w:val="Hyperlink"/>
            <w:rFonts w:cs="Arial"/>
            <w:iCs/>
          </w:rPr>
          <w:t>–</w:t>
        </w:r>
        <w:r w:rsidRPr="00B50802">
          <w:rPr>
            <w:rStyle w:val="Hyperlink"/>
            <w:rFonts w:cs="Arial"/>
            <w:iCs/>
          </w:rPr>
          <w:t>2032</w:t>
        </w:r>
      </w:hyperlink>
      <w:r w:rsidR="00136B95" w:rsidRPr="00B50802">
        <w:rPr>
          <w:rStyle w:val="Hyperlink"/>
          <w:rFonts w:cs="Arial"/>
          <w:iCs/>
          <w:color w:val="auto"/>
          <w:u w:val="none"/>
        </w:rPr>
        <w:t xml:space="preserve"> and</w:t>
      </w:r>
      <w:r w:rsidR="00455088" w:rsidRPr="00B50802">
        <w:rPr>
          <w:rStyle w:val="Hyperlink"/>
          <w:rFonts w:cs="Arial"/>
          <w:iCs/>
          <w:color w:val="auto"/>
        </w:rPr>
        <w:t xml:space="preserve"> </w:t>
      </w:r>
      <w:hyperlink r:id="rId69" w:history="1">
        <w:r w:rsidR="00455088" w:rsidRPr="00B50802">
          <w:rPr>
            <w:rStyle w:val="Hyperlink"/>
            <w:rFonts w:cs="Arial"/>
            <w:iCs/>
          </w:rPr>
          <w:t>Safe and Supported: the National Framework for Protecting Australia’s Children 2021</w:t>
        </w:r>
        <w:r w:rsidR="001F087C" w:rsidRPr="00B50802">
          <w:rPr>
            <w:rStyle w:val="Hyperlink"/>
            <w:rFonts w:cs="Arial"/>
            <w:iCs/>
          </w:rPr>
          <w:t>–</w:t>
        </w:r>
        <w:r w:rsidR="00455088" w:rsidRPr="00B50802">
          <w:rPr>
            <w:rStyle w:val="Hyperlink"/>
            <w:rFonts w:cs="Arial"/>
            <w:iCs/>
          </w:rPr>
          <w:t>31</w:t>
        </w:r>
      </w:hyperlink>
      <w:r w:rsidR="00136B95" w:rsidRPr="00B50802">
        <w:t>.</w:t>
      </w:r>
      <w:r w:rsidR="00A50337" w:rsidRPr="00B50802">
        <w:t xml:space="preserve"> </w:t>
      </w:r>
      <w:r w:rsidR="00C97AF8" w:rsidRPr="00B50802">
        <w:t xml:space="preserve">In addition, </w:t>
      </w:r>
      <w:r w:rsidR="00C97AF8" w:rsidRPr="00B50802">
        <w:rPr>
          <w:rFonts w:cs="Arial"/>
          <w:iCs/>
        </w:rPr>
        <w:t>t</w:t>
      </w:r>
      <w:r w:rsidRPr="00B50802">
        <w:rPr>
          <w:rFonts w:cs="Arial"/>
          <w:iCs/>
        </w:rPr>
        <w:t xml:space="preserve">he </w:t>
      </w:r>
      <w:hyperlink r:id="rId70" w:history="1">
        <w:r w:rsidR="00455088" w:rsidRPr="00B50802">
          <w:rPr>
            <w:rStyle w:val="Hyperlink"/>
            <w:rFonts w:cs="Arial"/>
            <w:iCs/>
          </w:rPr>
          <w:t>National Agreement on</w:t>
        </w:r>
        <w:r w:rsidR="00136B95" w:rsidRPr="00B50802">
          <w:rPr>
            <w:rStyle w:val="Hyperlink"/>
            <w:rFonts w:cs="Arial"/>
            <w:iCs/>
          </w:rPr>
          <w:t xml:space="preserve"> Closing the Gap</w:t>
        </w:r>
      </w:hyperlink>
      <w:r w:rsidR="00136B95" w:rsidRPr="00B50802">
        <w:rPr>
          <w:rFonts w:cs="Arial"/>
          <w:iCs/>
        </w:rPr>
        <w:t xml:space="preserve"> </w:t>
      </w:r>
      <w:r w:rsidR="00136B95" w:rsidRPr="00B50802">
        <w:rPr>
          <w:rFonts w:cs="Arial"/>
        </w:rPr>
        <w:t xml:space="preserve">and the recently endorsed </w:t>
      </w:r>
      <w:hyperlink r:id="rId71" w:history="1">
        <w:r w:rsidR="00136B95" w:rsidRPr="00B50802">
          <w:rPr>
            <w:rStyle w:val="Hyperlink"/>
            <w:rFonts w:cs="Arial"/>
          </w:rPr>
          <w:t>Closing the Gap Housing Sector Strengthening Plan</w:t>
        </w:r>
      </w:hyperlink>
      <w:r w:rsidR="00136B95" w:rsidRPr="00B50802">
        <w:rPr>
          <w:rFonts w:cs="Arial"/>
        </w:rPr>
        <w:t xml:space="preserve"> </w:t>
      </w:r>
      <w:r w:rsidR="00C97AF8" w:rsidRPr="00B50802">
        <w:rPr>
          <w:rFonts w:cs="Arial"/>
        </w:rPr>
        <w:t xml:space="preserve">identify </w:t>
      </w:r>
      <w:r w:rsidR="00136B95" w:rsidRPr="00B50802">
        <w:rPr>
          <w:rFonts w:cs="Arial"/>
        </w:rPr>
        <w:t>housing</w:t>
      </w:r>
      <w:r w:rsidR="00C97AF8" w:rsidRPr="00B50802">
        <w:rPr>
          <w:rFonts w:cs="Arial"/>
        </w:rPr>
        <w:t>-</w:t>
      </w:r>
      <w:r w:rsidR="00136B95" w:rsidRPr="00B50802">
        <w:rPr>
          <w:rFonts w:cs="Arial"/>
        </w:rPr>
        <w:t>specific actions for attention.</w:t>
      </w:r>
    </w:p>
    <w:p w14:paraId="1D2520B7" w14:textId="77777777" w:rsidR="00263736" w:rsidRPr="00B50802" w:rsidRDefault="0016380E" w:rsidP="0026248E">
      <w:pPr>
        <w:rPr>
          <w:rFonts w:cs="Arial"/>
        </w:rPr>
      </w:pPr>
      <w:r w:rsidRPr="00B50802">
        <w:rPr>
          <w:rFonts w:cs="Arial"/>
        </w:rPr>
        <w:t xml:space="preserve">The development of the Plan will consider the housing priorities highlighted in these existing </w:t>
      </w:r>
      <w:r w:rsidR="00C97AF8" w:rsidRPr="00B50802">
        <w:rPr>
          <w:rFonts w:cs="Arial"/>
        </w:rPr>
        <w:t>s</w:t>
      </w:r>
      <w:r w:rsidRPr="00B50802">
        <w:rPr>
          <w:rFonts w:cs="Arial"/>
        </w:rPr>
        <w:t xml:space="preserve">trategies and will also be informed by the development of new </w:t>
      </w:r>
      <w:r w:rsidR="00B42268" w:rsidRPr="00B50802">
        <w:rPr>
          <w:rFonts w:cs="Arial"/>
        </w:rPr>
        <w:t>n</w:t>
      </w:r>
      <w:r w:rsidRPr="00B50802">
        <w:rPr>
          <w:rFonts w:cs="Arial"/>
        </w:rPr>
        <w:t xml:space="preserve">ational </w:t>
      </w:r>
      <w:r w:rsidR="00B42268" w:rsidRPr="00B50802">
        <w:rPr>
          <w:rFonts w:cs="Arial"/>
        </w:rPr>
        <w:t>s</w:t>
      </w:r>
      <w:r w:rsidRPr="00B50802">
        <w:rPr>
          <w:rFonts w:cs="Arial"/>
        </w:rPr>
        <w:t xml:space="preserve">trategies, including the </w:t>
      </w:r>
      <w:hyperlink r:id="rId72" w:history="1">
        <w:r w:rsidR="00BC63E8" w:rsidRPr="00B50802">
          <w:rPr>
            <w:rStyle w:val="Hyperlink"/>
            <w:rFonts w:cs="Arial"/>
          </w:rPr>
          <w:t xml:space="preserve">National </w:t>
        </w:r>
        <w:r w:rsidRPr="00B50802">
          <w:rPr>
            <w:rStyle w:val="Hyperlink"/>
            <w:rFonts w:cs="Arial"/>
          </w:rPr>
          <w:t xml:space="preserve">Strategy </w:t>
        </w:r>
        <w:r w:rsidR="00BC63E8" w:rsidRPr="00B50802">
          <w:rPr>
            <w:rStyle w:val="Hyperlink"/>
            <w:rFonts w:cs="Arial"/>
          </w:rPr>
          <w:t>to achieve Gender Equality</w:t>
        </w:r>
      </w:hyperlink>
      <w:r w:rsidR="00BC63E8" w:rsidRPr="00B50802">
        <w:rPr>
          <w:rFonts w:cs="Arial"/>
        </w:rPr>
        <w:t xml:space="preserve"> </w:t>
      </w:r>
      <w:r w:rsidRPr="00B50802">
        <w:rPr>
          <w:rFonts w:cs="Arial"/>
        </w:rPr>
        <w:t xml:space="preserve">and </w:t>
      </w:r>
      <w:hyperlink r:id="rId73" w:history="1">
        <w:r w:rsidRPr="00B50802">
          <w:rPr>
            <w:rStyle w:val="Hyperlink"/>
            <w:rFonts w:cs="Arial"/>
          </w:rPr>
          <w:t>National Energy Performance Strategy</w:t>
        </w:r>
      </w:hyperlink>
      <w:r w:rsidRPr="00B50802">
        <w:rPr>
          <w:rFonts w:cs="Arial"/>
        </w:rPr>
        <w:t xml:space="preserve">. </w:t>
      </w:r>
      <w:r w:rsidR="00BC14B8" w:rsidRPr="00B50802">
        <w:rPr>
          <w:rFonts w:cs="Arial"/>
        </w:rPr>
        <w:t xml:space="preserve">The Plan will also consider the needs of groups who </w:t>
      </w:r>
      <w:r w:rsidR="00F53F23" w:rsidRPr="00B50802">
        <w:rPr>
          <w:rFonts w:cs="Arial"/>
        </w:rPr>
        <w:t>have not been addressed in other strategies.</w:t>
      </w:r>
      <w:r w:rsidR="00BC14B8" w:rsidRPr="00B50802">
        <w:rPr>
          <w:rFonts w:cs="Arial"/>
        </w:rPr>
        <w:t xml:space="preserve"> </w:t>
      </w:r>
    </w:p>
    <w:p w14:paraId="3464BC83" w14:textId="05E14BD3" w:rsidR="00DE6310" w:rsidRPr="00B50802" w:rsidRDefault="009A1628" w:rsidP="0026248E">
      <w:pPr>
        <w:rPr>
          <w:rStyle w:val="ui-provider"/>
        </w:rPr>
      </w:pPr>
      <w:r w:rsidRPr="00B50802">
        <w:rPr>
          <w:rFonts w:cs="Arial"/>
        </w:rPr>
        <w:t>T</w:t>
      </w:r>
      <w:r w:rsidR="00DE6310" w:rsidRPr="00B50802">
        <w:rPr>
          <w:rFonts w:cs="Arial"/>
        </w:rPr>
        <w:t xml:space="preserve">he </w:t>
      </w:r>
      <w:r w:rsidR="00410204" w:rsidRPr="00B50802">
        <w:rPr>
          <w:rFonts w:cs="Arial"/>
        </w:rPr>
        <w:t xml:space="preserve">Productivity </w:t>
      </w:r>
      <w:r w:rsidR="009B329D" w:rsidRPr="00B50802">
        <w:rPr>
          <w:rFonts w:cs="Arial"/>
        </w:rPr>
        <w:t>C</w:t>
      </w:r>
      <w:r w:rsidR="00410204" w:rsidRPr="00B50802">
        <w:rPr>
          <w:rFonts w:cs="Arial"/>
        </w:rPr>
        <w:t>ommission</w:t>
      </w:r>
      <w:r w:rsidR="009B329D" w:rsidRPr="00B50802">
        <w:rPr>
          <w:rFonts w:cs="Arial"/>
        </w:rPr>
        <w:t xml:space="preserve"> </w:t>
      </w:r>
      <w:r w:rsidR="008B6C02" w:rsidRPr="00B50802">
        <w:rPr>
          <w:rFonts w:cs="Arial"/>
        </w:rPr>
        <w:t>r</w:t>
      </w:r>
      <w:r w:rsidR="009B329D" w:rsidRPr="00B50802">
        <w:rPr>
          <w:rFonts w:cs="Arial"/>
        </w:rPr>
        <w:t xml:space="preserve">eview </w:t>
      </w:r>
      <w:r w:rsidR="00DE6310" w:rsidRPr="00B50802">
        <w:rPr>
          <w:rFonts w:cs="Arial"/>
        </w:rPr>
        <w:t xml:space="preserve">found there </w:t>
      </w:r>
      <w:r w:rsidR="00DE6310" w:rsidRPr="00B50802">
        <w:rPr>
          <w:rStyle w:val="ui-provider"/>
        </w:rPr>
        <w:t xml:space="preserve">is a need for a national approach </w:t>
      </w:r>
      <w:r w:rsidR="00971DA0" w:rsidRPr="00B50802">
        <w:rPr>
          <w:rStyle w:val="ui-provider"/>
        </w:rPr>
        <w:t>which</w:t>
      </w:r>
      <w:r w:rsidR="00DE6310" w:rsidRPr="00B50802">
        <w:rPr>
          <w:rStyle w:val="ui-provider"/>
        </w:rPr>
        <w:t xml:space="preserve"> articulates the housing needs and priorities of Aboriginal and Torres Strait Islander people</w:t>
      </w:r>
      <w:r w:rsidR="00EE4C5C" w:rsidRPr="00B50802">
        <w:rPr>
          <w:rStyle w:val="ui-provider"/>
        </w:rPr>
        <w:t>,</w:t>
      </w:r>
      <w:r w:rsidR="00DE6310" w:rsidRPr="00B50802">
        <w:rPr>
          <w:rStyle w:val="ui-provider"/>
        </w:rPr>
        <w:t xml:space="preserve"> provides principles to guide housing assistance for Aboriginal and Torres Strait Islander people</w:t>
      </w:r>
      <w:r w:rsidR="004F3027" w:rsidRPr="00B50802">
        <w:rPr>
          <w:rStyle w:val="ui-provider"/>
        </w:rPr>
        <w:t>,</w:t>
      </w:r>
      <w:r w:rsidR="00DE6310" w:rsidRPr="00B50802">
        <w:rPr>
          <w:rStyle w:val="ui-provider"/>
        </w:rPr>
        <w:t xml:space="preserve"> and sets targets to drive improvements in housing outcomes for</w:t>
      </w:r>
      <w:r w:rsidR="00843D6B" w:rsidRPr="00B50802">
        <w:rPr>
          <w:rStyle w:val="ui-provider"/>
        </w:rPr>
        <w:t xml:space="preserve">, and led by, </w:t>
      </w:r>
      <w:r w:rsidR="00DE6310" w:rsidRPr="00B50802">
        <w:rPr>
          <w:rStyle w:val="ui-provider"/>
        </w:rPr>
        <w:t>Aboriginal and Torres Strait Islander people</w:t>
      </w:r>
      <w:r w:rsidR="00843D6B" w:rsidRPr="00B50802">
        <w:rPr>
          <w:rStyle w:val="ui-provider"/>
        </w:rPr>
        <w:t xml:space="preserve"> and the Aboriginal community housing sector</w:t>
      </w:r>
      <w:r w:rsidR="00DE6310" w:rsidRPr="00B50802">
        <w:rPr>
          <w:rStyle w:val="ui-provider"/>
        </w:rPr>
        <w:t xml:space="preserve">. As such, this </w:t>
      </w:r>
      <w:r w:rsidR="00D26057" w:rsidRPr="00B50802">
        <w:rPr>
          <w:rStyle w:val="ui-provider"/>
        </w:rPr>
        <w:t>I</w:t>
      </w:r>
      <w:r w:rsidR="00DE6310" w:rsidRPr="00B50802">
        <w:rPr>
          <w:rStyle w:val="ui-provider"/>
        </w:rPr>
        <w:t xml:space="preserve">ssues </w:t>
      </w:r>
      <w:r w:rsidR="00D26057" w:rsidRPr="00B50802">
        <w:rPr>
          <w:rStyle w:val="ui-provider"/>
        </w:rPr>
        <w:t>P</w:t>
      </w:r>
      <w:r w:rsidR="00DE6310" w:rsidRPr="00B50802">
        <w:rPr>
          <w:rStyle w:val="ui-provider"/>
        </w:rPr>
        <w:t xml:space="preserve">aper is seeking </w:t>
      </w:r>
      <w:r w:rsidR="00C65A3E" w:rsidRPr="00B50802">
        <w:rPr>
          <w:rStyle w:val="ui-provider"/>
        </w:rPr>
        <w:t xml:space="preserve">views to guide the development of these matters </w:t>
      </w:r>
      <w:r w:rsidR="00EE4C5C" w:rsidRPr="00B50802">
        <w:rPr>
          <w:rStyle w:val="ui-provider"/>
        </w:rPr>
        <w:t xml:space="preserve">and </w:t>
      </w:r>
      <w:r w:rsidR="004F3027" w:rsidRPr="00B50802">
        <w:rPr>
          <w:rStyle w:val="ui-provider"/>
        </w:rPr>
        <w:t xml:space="preserve">on </w:t>
      </w:r>
      <w:r w:rsidR="00EE4C5C" w:rsidRPr="00B50802">
        <w:rPr>
          <w:rStyle w:val="ui-provider"/>
        </w:rPr>
        <w:t xml:space="preserve">how the Plan can </w:t>
      </w:r>
      <w:r w:rsidR="00A37D62" w:rsidRPr="00B50802">
        <w:rPr>
          <w:rStyle w:val="ui-provider"/>
        </w:rPr>
        <w:t>e</w:t>
      </w:r>
      <w:r w:rsidR="00EE4C5C" w:rsidRPr="00B50802">
        <w:rPr>
          <w:rStyle w:val="ui-provider"/>
        </w:rPr>
        <w:t>mbed the Priority Reforms of the National Agreement on Closing the Gap in</w:t>
      </w:r>
      <w:r w:rsidR="004F3027" w:rsidRPr="00B50802">
        <w:rPr>
          <w:rStyle w:val="ui-provider"/>
        </w:rPr>
        <w:t>to</w:t>
      </w:r>
      <w:r w:rsidR="00EE4C5C" w:rsidRPr="00B50802">
        <w:rPr>
          <w:rStyle w:val="ui-provider"/>
        </w:rPr>
        <w:t xml:space="preserve"> housing and homelessness policy </w:t>
      </w:r>
      <w:r w:rsidR="002938EE" w:rsidRPr="00B50802">
        <w:rPr>
          <w:rStyle w:val="ui-provider"/>
        </w:rPr>
        <w:t xml:space="preserve">design </w:t>
      </w:r>
      <w:r w:rsidR="00EE4C5C" w:rsidRPr="00B50802">
        <w:rPr>
          <w:rStyle w:val="ui-provider"/>
        </w:rPr>
        <w:t>and service delivery</w:t>
      </w:r>
      <w:r w:rsidR="00C65A3E" w:rsidRPr="00B50802">
        <w:rPr>
          <w:rStyle w:val="ui-provider"/>
        </w:rPr>
        <w:t xml:space="preserve">. </w:t>
      </w:r>
    </w:p>
    <w:p w14:paraId="35271703" w14:textId="381F2C31" w:rsidR="007D3FF9" w:rsidRPr="00B50802" w:rsidRDefault="00090FF1" w:rsidP="008F31A2">
      <w:pPr>
        <w:rPr>
          <w:b/>
          <w:bCs/>
          <w:lang w:val="en-GB"/>
        </w:rPr>
      </w:pPr>
      <w:r w:rsidRPr="00B50802">
        <w:rPr>
          <w:rFonts w:cs="Arial"/>
        </w:rPr>
        <w:t>Housing and homelessness supports developed through the Plan should support Australians in need, regardless of their background, experience or characteristics.</w:t>
      </w:r>
    </w:p>
    <w:p w14:paraId="4825C13E" w14:textId="77777777" w:rsidR="004538CC" w:rsidRPr="00B50802" w:rsidRDefault="004538CC">
      <w:pPr>
        <w:rPr>
          <w:b/>
          <w:bCs/>
          <w:lang w:val="en-GB"/>
        </w:rPr>
      </w:pPr>
      <w:r w:rsidRPr="00B50802">
        <w:rPr>
          <w:b/>
          <w:bCs/>
          <w:lang w:val="en-GB"/>
        </w:rPr>
        <w:br w:type="page"/>
      </w:r>
    </w:p>
    <w:p w14:paraId="7E77B642" w14:textId="43FE6702" w:rsidR="007D3FF9" w:rsidRPr="00B50802" w:rsidRDefault="007D3FF9" w:rsidP="007D3FF9">
      <w:pPr>
        <w:spacing w:after="120" w:line="240" w:lineRule="auto"/>
        <w:rPr>
          <w:b/>
          <w:bCs/>
          <w:lang w:val="en-GB"/>
        </w:rPr>
      </w:pPr>
      <w:r w:rsidRPr="00B50802">
        <w:rPr>
          <w:rFonts w:cs="Arial"/>
          <w:noProof/>
          <w:lang w:eastAsia="en-AU"/>
        </w:rPr>
        <w:lastRenderedPageBreak/>
        <mc:AlternateContent>
          <mc:Choice Requires="wps">
            <w:drawing>
              <wp:anchor distT="0" distB="0" distL="114300" distR="114300" simplePos="0" relativeHeight="251658257" behindDoc="1" locked="0" layoutInCell="1" allowOverlap="1" wp14:anchorId="118DD42C" wp14:editId="43EC339A">
                <wp:simplePos x="0" y="0"/>
                <wp:positionH relativeFrom="margin">
                  <wp:align>right</wp:align>
                </wp:positionH>
                <wp:positionV relativeFrom="paragraph">
                  <wp:posOffset>-63500</wp:posOffset>
                </wp:positionV>
                <wp:extent cx="5803265" cy="1689100"/>
                <wp:effectExtent l="19050" t="19050" r="26035" b="25400"/>
                <wp:wrapNone/>
                <wp:docPr id="33" name="Rectangle 33" descr="Decorative"/>
                <wp:cNvGraphicFramePr/>
                <a:graphic xmlns:a="http://schemas.openxmlformats.org/drawingml/2006/main">
                  <a:graphicData uri="http://schemas.microsoft.com/office/word/2010/wordprocessingShape">
                    <wps:wsp>
                      <wps:cNvSpPr/>
                      <wps:spPr>
                        <a:xfrm>
                          <a:off x="0" y="0"/>
                          <a:ext cx="5803265" cy="1689100"/>
                        </a:xfrm>
                        <a:prstGeom prst="rect">
                          <a:avLst/>
                        </a:prstGeom>
                        <a:solidFill>
                          <a:srgbClr val="E9F7F6"/>
                        </a:solidFill>
                        <a:ln w="28575">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C5A1B" id="Rectangle 33" o:spid="_x0000_s1026" alt="Decorative" style="position:absolute;margin-left:405.75pt;margin-top:-5pt;width:456.95pt;height:133pt;z-index:-25165822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" fillcolor="#e9f7f6" strokecolor="#005a70" strokeweight="2.25pt">
                <w10:wrap anchorx="margin"/>
              </v:rect>
            </w:pict>
          </mc:Fallback>
        </mc:AlternateContent>
      </w:r>
      <w:r w:rsidRPr="00B50802">
        <w:rPr>
          <w:b/>
          <w:bCs/>
          <w:lang w:val="en-GB"/>
        </w:rPr>
        <w:t>Online consultation on the Plan</w:t>
      </w:r>
    </w:p>
    <w:p w14:paraId="2D54FA0F" w14:textId="31FD79D1" w:rsidR="00540DF4" w:rsidRPr="00B50802" w:rsidRDefault="00A609E3" w:rsidP="00540DF4">
      <w:pPr>
        <w:spacing w:after="240"/>
        <w:rPr>
          <w:rFonts w:cs="Arial"/>
          <w:sz w:val="20"/>
        </w:rPr>
      </w:pPr>
      <w:r w:rsidRPr="00B50802">
        <w:rPr>
          <w:rFonts w:eastAsiaTheme="majorEastAsia" w:cs="Arial"/>
          <w:i/>
          <w:noProof/>
          <w:spacing w:val="13"/>
          <w:sz w:val="24"/>
          <w:szCs w:val="24"/>
          <w:lang w:eastAsia="en-AU"/>
        </w:rPr>
        <w:drawing>
          <wp:anchor distT="0" distB="0" distL="114300" distR="114300" simplePos="0" relativeHeight="251658294" behindDoc="0" locked="0" layoutInCell="1" allowOverlap="1" wp14:anchorId="7BCE293F" wp14:editId="3FFD8E71">
            <wp:simplePos x="0" y="0"/>
            <wp:positionH relativeFrom="margin">
              <wp:posOffset>-19455</wp:posOffset>
            </wp:positionH>
            <wp:positionV relativeFrom="paragraph">
              <wp:posOffset>83320</wp:posOffset>
            </wp:positionV>
            <wp:extent cx="1133475" cy="1097280"/>
            <wp:effectExtent l="0" t="0" r="9525" b="7620"/>
            <wp:wrapSquare wrapText="bothSides"/>
            <wp:docPr id="61" name="Picture 6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peaker.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133475" cy="1097280"/>
                    </a:xfrm>
                    <a:prstGeom prst="rect">
                      <a:avLst/>
                    </a:prstGeom>
                    <a:solidFill>
                      <a:srgbClr val="E9F7F6"/>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596" w:rsidRPr="00B50802">
        <w:rPr>
          <w:rFonts w:eastAsiaTheme="majorEastAsia" w:cs="Arial"/>
          <w:i/>
          <w:noProof/>
          <w:spacing w:val="13"/>
          <w:sz w:val="24"/>
          <w:szCs w:val="24"/>
          <w:lang w:eastAsia="en-AU"/>
        </w:rPr>
        <w:drawing>
          <wp:anchor distT="0" distB="0" distL="114300" distR="114300" simplePos="0" relativeHeight="251658295" behindDoc="0" locked="0" layoutInCell="1" allowOverlap="1" wp14:anchorId="09167537" wp14:editId="7D4E6D1F">
            <wp:simplePos x="0" y="0"/>
            <wp:positionH relativeFrom="margin">
              <wp:posOffset>-19455</wp:posOffset>
            </wp:positionH>
            <wp:positionV relativeFrom="paragraph">
              <wp:posOffset>83320</wp:posOffset>
            </wp:positionV>
            <wp:extent cx="1133475" cy="1097280"/>
            <wp:effectExtent l="0" t="0" r="9525" b="7620"/>
            <wp:wrapSquare wrapText="bothSides"/>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peaker.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133475" cy="1097280"/>
                    </a:xfrm>
                    <a:prstGeom prst="rect">
                      <a:avLst/>
                    </a:prstGeom>
                    <a:solidFill>
                      <a:srgbClr val="E9F7F6"/>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DF4" w:rsidRPr="00B50802">
        <w:rPr>
          <w:rFonts w:cs="Arial"/>
          <w:sz w:val="20"/>
        </w:rPr>
        <w:t xml:space="preserve">The consultation process is open until </w:t>
      </w:r>
      <w:r w:rsidR="00874DE9" w:rsidRPr="00B50802">
        <w:rPr>
          <w:rFonts w:cs="Arial"/>
          <w:sz w:val="20"/>
        </w:rPr>
        <w:t>22 September</w:t>
      </w:r>
      <w:r w:rsidR="00540DF4" w:rsidRPr="00B50802">
        <w:rPr>
          <w:rFonts w:cs="Arial"/>
          <w:sz w:val="20"/>
        </w:rPr>
        <w:t xml:space="preserve"> 2023. During this time, you are invited to share your ideas and experiences via the </w:t>
      </w:r>
      <w:hyperlink r:id="rId74" w:history="1">
        <w:r w:rsidR="00540DF4" w:rsidRPr="00B50802">
          <w:rPr>
            <w:rStyle w:val="Hyperlink"/>
            <w:rFonts w:cs="Arial"/>
            <w:sz w:val="20"/>
          </w:rPr>
          <w:t>DSS Engage platform</w:t>
        </w:r>
      </w:hyperlink>
      <w:r w:rsidR="00540DF4" w:rsidRPr="00B50802">
        <w:rPr>
          <w:rFonts w:cs="Arial"/>
          <w:sz w:val="20"/>
        </w:rPr>
        <w:t>.</w:t>
      </w:r>
      <w:r w:rsidR="00540DF4" w:rsidRPr="00B50802">
        <w:rPr>
          <w:rFonts w:cs="Arial"/>
          <w:noProof/>
          <w:lang w:eastAsia="en-AU"/>
        </w:rPr>
        <w:t xml:space="preserve"> </w:t>
      </w:r>
    </w:p>
    <w:p w14:paraId="3009E5BF" w14:textId="709859AC" w:rsidR="00540DF4" w:rsidRPr="00B50802" w:rsidRDefault="00540DF4" w:rsidP="00540DF4">
      <w:pPr>
        <w:spacing w:after="120"/>
        <w:rPr>
          <w:rFonts w:cs="Arial"/>
          <w:sz w:val="20"/>
        </w:rPr>
      </w:pPr>
      <w:r w:rsidRPr="00B50802">
        <w:rPr>
          <w:rFonts w:cs="Arial"/>
          <w:sz w:val="20"/>
        </w:rPr>
        <w:t>Here, you will be able to:</w:t>
      </w:r>
    </w:p>
    <w:p w14:paraId="06BF9121" w14:textId="19EDEEB0" w:rsidR="00540DF4" w:rsidRPr="00B50802" w:rsidRDefault="00540DF4" w:rsidP="00F17FAF">
      <w:pPr>
        <w:pStyle w:val="ListParagraph"/>
        <w:numPr>
          <w:ilvl w:val="0"/>
          <w:numId w:val="13"/>
        </w:numPr>
        <w:spacing w:after="120"/>
        <w:ind w:left="714" w:hanging="357"/>
        <w:contextualSpacing w:val="0"/>
        <w:rPr>
          <w:sz w:val="20"/>
        </w:rPr>
      </w:pPr>
      <w:r w:rsidRPr="00B50802">
        <w:rPr>
          <w:sz w:val="20"/>
        </w:rPr>
        <w:t xml:space="preserve">respond to </w:t>
      </w:r>
      <w:r w:rsidRPr="00B50802">
        <w:rPr>
          <w:sz w:val="20"/>
          <w:u w:val="single"/>
        </w:rPr>
        <w:t>guided, short-form questions</w:t>
      </w:r>
      <w:r w:rsidRPr="00B50802">
        <w:rPr>
          <w:sz w:val="20"/>
        </w:rPr>
        <w:t xml:space="preserve"> and/or</w:t>
      </w:r>
    </w:p>
    <w:p w14:paraId="7E2F5010" w14:textId="77777777" w:rsidR="00540DF4" w:rsidRPr="00B50802" w:rsidRDefault="00540DF4" w:rsidP="00F17FAF">
      <w:pPr>
        <w:pStyle w:val="ListParagraph"/>
        <w:numPr>
          <w:ilvl w:val="0"/>
          <w:numId w:val="13"/>
        </w:numPr>
        <w:spacing w:after="240" w:line="240" w:lineRule="auto"/>
        <w:rPr>
          <w:noProof/>
          <w:lang w:eastAsia="en-AU"/>
        </w:rPr>
      </w:pPr>
      <w:r w:rsidRPr="00B50802">
        <w:rPr>
          <w:sz w:val="20"/>
        </w:rPr>
        <w:t xml:space="preserve">lodge a </w:t>
      </w:r>
      <w:r w:rsidRPr="00B50802">
        <w:rPr>
          <w:sz w:val="20"/>
          <w:u w:val="single"/>
        </w:rPr>
        <w:t>written submission.</w:t>
      </w:r>
    </w:p>
    <w:p w14:paraId="69D9EAF4" w14:textId="25D006C8" w:rsidR="0026710B" w:rsidRPr="00E66CEA" w:rsidRDefault="0026710B" w:rsidP="00E66CEA">
      <w:pPr>
        <w:pStyle w:val="Bullet"/>
        <w:spacing w:after="200"/>
        <w:ind w:left="522" w:hanging="522"/>
        <w:rPr>
          <w:rFonts w:ascii="Georgia" w:hAnsi="Georgia"/>
          <w:b/>
          <w:sz w:val="28"/>
        </w:rPr>
      </w:pPr>
      <w:bookmarkStart w:id="631" w:name="_Toc134784681"/>
      <w:bookmarkStart w:id="632" w:name="_Toc135035200"/>
      <w:bookmarkStart w:id="633" w:name="_Toc135060877"/>
      <w:bookmarkStart w:id="634" w:name="_Toc135161348"/>
      <w:bookmarkStart w:id="635" w:name="_Toc135162211"/>
      <w:bookmarkStart w:id="636" w:name="_Toc135162295"/>
      <w:bookmarkStart w:id="637" w:name="_Toc135162469"/>
      <w:bookmarkStart w:id="638" w:name="_Toc135206048"/>
      <w:bookmarkStart w:id="639" w:name="_Toc135206133"/>
      <w:bookmarkStart w:id="640" w:name="_Toc139464291"/>
      <w:bookmarkStart w:id="641" w:name="_Toc141969826"/>
      <w:bookmarkStart w:id="642" w:name="_Toc141972449"/>
      <w:bookmarkStart w:id="643" w:name="_Toc141972662"/>
      <w:bookmarkStart w:id="644" w:name="_Toc141972936"/>
      <w:bookmarkStart w:id="645" w:name="_Toc142042496"/>
      <w:bookmarkStart w:id="646" w:name="_Toc142042705"/>
      <w:r w:rsidRPr="00E66CEA">
        <w:rPr>
          <w:rFonts w:ascii="Georgia" w:hAnsi="Georgia"/>
          <w:b/>
          <w:sz w:val="28"/>
        </w:rPr>
        <w:t>Responding to this Issues Paper</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68178940" w14:textId="77777777" w:rsidR="0026710B" w:rsidRPr="00B50802" w:rsidRDefault="0026710B" w:rsidP="00A721D3">
      <w:pPr>
        <w:keepNext/>
        <w:keepLines/>
      </w:pPr>
      <w:r w:rsidRPr="00B50802">
        <w:t>The Australian Government is seeking your feedback on the questions in this Issues Paper</w:t>
      </w:r>
      <w:r w:rsidR="00166FD4" w:rsidRPr="00B50802">
        <w:t xml:space="preserve"> to </w:t>
      </w:r>
      <w:r w:rsidRPr="00B50802">
        <w:t>inform the development of the Plan.</w:t>
      </w:r>
    </w:p>
    <w:p w14:paraId="69F94AB1" w14:textId="4C467183" w:rsidR="00D44228" w:rsidRPr="00B50802" w:rsidRDefault="00A721D3" w:rsidP="00E9029B">
      <w:pPr>
        <w:keepNext/>
        <w:keepLines/>
      </w:pPr>
      <w:r w:rsidRPr="00B50802">
        <w:t>To provide your views, you can</w:t>
      </w:r>
      <w:r w:rsidR="00DD7DE1">
        <w:t xml:space="preserve"> respond to the questions in this paper and/or</w:t>
      </w:r>
      <w:r w:rsidRPr="00B50802">
        <w:t xml:space="preserve"> lodge a written submission via the </w:t>
      </w:r>
      <w:hyperlink r:id="rId75" w:history="1">
        <w:r w:rsidRPr="00B50802">
          <w:rPr>
            <w:rStyle w:val="Hyperlink"/>
          </w:rPr>
          <w:t>DSS Engage platform</w:t>
        </w:r>
      </w:hyperlink>
      <w:r w:rsidR="00E9029B" w:rsidRPr="00B50802">
        <w:t xml:space="preserve"> or you can complete</w:t>
      </w:r>
      <w:r w:rsidR="00D44228" w:rsidRPr="00B50802">
        <w:t xml:space="preserve"> the </w:t>
      </w:r>
      <w:r w:rsidR="000B45C4" w:rsidRPr="00B50802">
        <w:t xml:space="preserve">guided, </w:t>
      </w:r>
      <w:r w:rsidR="00D44228" w:rsidRPr="00B50802">
        <w:t>short</w:t>
      </w:r>
      <w:r w:rsidR="000B45C4" w:rsidRPr="00B50802">
        <w:t>-form questions</w:t>
      </w:r>
      <w:r w:rsidR="00D44228" w:rsidRPr="00B50802">
        <w:t>:</w:t>
      </w:r>
    </w:p>
    <w:p w14:paraId="1BB35E77" w14:textId="4E9F606D" w:rsidR="00D44228" w:rsidRPr="00B50802" w:rsidRDefault="00D44228" w:rsidP="00296045">
      <w:pPr>
        <w:pStyle w:val="Bullets"/>
        <w:numPr>
          <w:ilvl w:val="0"/>
          <w:numId w:val="28"/>
        </w:numPr>
        <w:ind w:left="709"/>
      </w:pPr>
      <w:r w:rsidRPr="00B50802">
        <w:t xml:space="preserve">You may wish to respond to all the questions or choose to answer only the questions of most interest to you. </w:t>
      </w:r>
    </w:p>
    <w:p w14:paraId="4B3BBFDD" w14:textId="77777777" w:rsidR="00D44228" w:rsidRPr="00B50802" w:rsidRDefault="00D44228" w:rsidP="00296045">
      <w:pPr>
        <w:pStyle w:val="Bullets"/>
        <w:numPr>
          <w:ilvl w:val="0"/>
          <w:numId w:val="28"/>
        </w:numPr>
        <w:ind w:left="709"/>
      </w:pPr>
      <w:r w:rsidRPr="00B50802">
        <w:t xml:space="preserve">Individual responses </w:t>
      </w:r>
      <w:r w:rsidR="000B45C4" w:rsidRPr="00B50802">
        <w:t>may</w:t>
      </w:r>
      <w:r w:rsidRPr="00B50802">
        <w:t xml:space="preserve"> not be published</w:t>
      </w:r>
      <w:r w:rsidR="00A3439D" w:rsidRPr="00B50802">
        <w:t xml:space="preserve"> or may only be published in part</w:t>
      </w:r>
      <w:r w:rsidRPr="00B50802">
        <w:t>.</w:t>
      </w:r>
    </w:p>
    <w:p w14:paraId="4E3C69CF" w14:textId="77777777" w:rsidR="00141557" w:rsidRPr="00B50802" w:rsidRDefault="00141557" w:rsidP="0026248E">
      <w:pPr>
        <w:rPr>
          <w:rFonts w:cs="Arial"/>
        </w:rPr>
      </w:pPr>
      <w:r w:rsidRPr="00B50802">
        <w:t>Lodging a written submission:</w:t>
      </w:r>
      <w:r w:rsidR="001C2FC2" w:rsidRPr="00B50802">
        <w:tab/>
      </w:r>
    </w:p>
    <w:p w14:paraId="7EB412F2" w14:textId="77777777" w:rsidR="00141557" w:rsidRPr="00B50802" w:rsidRDefault="00141557" w:rsidP="00296045">
      <w:pPr>
        <w:pStyle w:val="Bullets"/>
        <w:numPr>
          <w:ilvl w:val="0"/>
          <w:numId w:val="29"/>
        </w:numPr>
        <w:ind w:left="709"/>
      </w:pPr>
      <w:r w:rsidRPr="00B50802">
        <w:t xml:space="preserve">If you lodge a written submission, please include headings with the relevant topics </w:t>
      </w:r>
      <w:r w:rsidR="009928BC" w:rsidRPr="00B50802">
        <w:br/>
      </w:r>
      <w:r w:rsidRPr="00B50802">
        <w:t xml:space="preserve">or questions you are addressing. </w:t>
      </w:r>
    </w:p>
    <w:p w14:paraId="5D47CB91" w14:textId="4F92057A" w:rsidR="00141557" w:rsidRPr="00B50802" w:rsidRDefault="00141557" w:rsidP="00296045">
      <w:pPr>
        <w:pStyle w:val="Bullets"/>
        <w:numPr>
          <w:ilvl w:val="0"/>
          <w:numId w:val="29"/>
        </w:numPr>
        <w:ind w:left="709"/>
      </w:pPr>
      <w:r w:rsidRPr="00B50802">
        <w:t xml:space="preserve">If you are representing an organisation, we encourage you to provide case studies, data and evidence to support your views. </w:t>
      </w:r>
    </w:p>
    <w:p w14:paraId="26596B0B" w14:textId="06CC0B10" w:rsidR="00BE31FF" w:rsidRPr="00B50802" w:rsidRDefault="002B4512" w:rsidP="00296045">
      <w:pPr>
        <w:pStyle w:val="Bullets"/>
        <w:numPr>
          <w:ilvl w:val="0"/>
          <w:numId w:val="29"/>
        </w:numPr>
        <w:ind w:left="709"/>
      </w:pPr>
      <w:r w:rsidRPr="00103B6D">
        <w:t>The Government may choose to publish submissions. As such, w</w:t>
      </w:r>
      <w:r w:rsidR="00141557" w:rsidRPr="00103B6D">
        <w:t>hen</w:t>
      </w:r>
      <w:r w:rsidR="00141557" w:rsidRPr="00B50802">
        <w:t xml:space="preserve"> lodging a written submission, you will be asked to specify whether you would like your submission to be published on the department’s website</w:t>
      </w:r>
      <w:r w:rsidR="0026710B" w:rsidRPr="00B50802">
        <w:t xml:space="preserve"> and </w:t>
      </w:r>
      <w:r w:rsidR="002E1B6C" w:rsidRPr="00B50802">
        <w:t xml:space="preserve">you </w:t>
      </w:r>
      <w:r w:rsidR="0026710B" w:rsidRPr="00B50802">
        <w:t xml:space="preserve">will need </w:t>
      </w:r>
      <w:r w:rsidR="009928BC" w:rsidRPr="00B50802">
        <w:br/>
      </w:r>
      <w:r w:rsidR="0026710B" w:rsidRPr="00B50802">
        <w:t xml:space="preserve">to specify if you would like your input to </w:t>
      </w:r>
      <w:r w:rsidR="002E1B6C" w:rsidRPr="00B50802">
        <w:t xml:space="preserve">be </w:t>
      </w:r>
      <w:r w:rsidR="0026710B" w:rsidRPr="00B50802">
        <w:t>anonymous</w:t>
      </w:r>
      <w:r w:rsidR="00141557" w:rsidRPr="00B50802">
        <w:t xml:space="preserve">. </w:t>
      </w:r>
    </w:p>
    <w:p w14:paraId="4F6C5804" w14:textId="77777777" w:rsidR="00141557" w:rsidRPr="00B50802" w:rsidRDefault="002E1B6C" w:rsidP="00296045">
      <w:pPr>
        <w:pStyle w:val="Bullets"/>
        <w:numPr>
          <w:ilvl w:val="0"/>
          <w:numId w:val="29"/>
        </w:numPr>
        <w:ind w:left="709"/>
      </w:pPr>
      <w:r w:rsidRPr="00B50802">
        <w:t>We will review s</w:t>
      </w:r>
      <w:r w:rsidR="00022DCA" w:rsidRPr="00B50802">
        <w:t xml:space="preserve">ubmissions to make sure they comply with </w:t>
      </w:r>
      <w:r w:rsidR="00134B0F" w:rsidRPr="00B50802">
        <w:t>the DSS</w:t>
      </w:r>
      <w:r w:rsidR="00022DCA" w:rsidRPr="00B50802">
        <w:t xml:space="preserve"> </w:t>
      </w:r>
      <w:r w:rsidR="00134B0F" w:rsidRPr="00B50802">
        <w:t>Publishing and Production Policy</w:t>
      </w:r>
      <w:r w:rsidR="00BE31FF" w:rsidRPr="00B50802">
        <w:t xml:space="preserve"> </w:t>
      </w:r>
      <w:r w:rsidR="00022DCA" w:rsidRPr="00B50802">
        <w:t xml:space="preserve">and </w:t>
      </w:r>
      <w:r w:rsidR="00134B0F" w:rsidRPr="00B50802">
        <w:t xml:space="preserve">DSS Privacy Policy </w:t>
      </w:r>
      <w:r w:rsidR="00022DCA" w:rsidRPr="00B50802">
        <w:t xml:space="preserve">requirements before </w:t>
      </w:r>
      <w:r w:rsidRPr="00B50802">
        <w:t xml:space="preserve">they are </w:t>
      </w:r>
      <w:r w:rsidR="00022DCA" w:rsidRPr="00B50802">
        <w:t>published.</w:t>
      </w:r>
    </w:p>
    <w:p w14:paraId="0A797530" w14:textId="77777777" w:rsidR="00141557" w:rsidRPr="00B50802" w:rsidRDefault="00166FD4" w:rsidP="0026248E">
      <w:r w:rsidRPr="00B50802">
        <w:t xml:space="preserve">As </w:t>
      </w:r>
      <w:r w:rsidR="00141557" w:rsidRPr="00B50802">
        <w:t xml:space="preserve">there have been several </w:t>
      </w:r>
      <w:r w:rsidRPr="00B50802">
        <w:t xml:space="preserve">recent </w:t>
      </w:r>
      <w:r w:rsidR="00141557" w:rsidRPr="00B50802">
        <w:t>inquiries and reviews into housing</w:t>
      </w:r>
      <w:r w:rsidR="0001422C" w:rsidRPr="00B50802">
        <w:t xml:space="preserve"> and homelessness</w:t>
      </w:r>
      <w:r w:rsidR="00141557" w:rsidRPr="00B50802">
        <w:t xml:space="preserve"> </w:t>
      </w:r>
      <w:r w:rsidR="0001422C" w:rsidRPr="00B50802">
        <w:br/>
      </w:r>
      <w:r w:rsidR="00141557" w:rsidRPr="00B50802">
        <w:t>in Australia with similar submission processes</w:t>
      </w:r>
      <w:r w:rsidR="002E1B6C" w:rsidRPr="00B50802">
        <w:t xml:space="preserve">, </w:t>
      </w:r>
      <w:r w:rsidR="00141557" w:rsidRPr="00B50802">
        <w:t>you are welcome</w:t>
      </w:r>
      <w:r w:rsidR="00141557" w:rsidRPr="00B50802" w:rsidDel="00FB1326">
        <w:t xml:space="preserve"> </w:t>
      </w:r>
      <w:r w:rsidR="00141557" w:rsidRPr="00B50802">
        <w:t>to resubmit a previous submission for the purposes of this consultation process</w:t>
      </w:r>
      <w:r w:rsidR="002E1B6C" w:rsidRPr="00B50802">
        <w:t xml:space="preserve"> if you prefer</w:t>
      </w:r>
      <w:r w:rsidR="00141557" w:rsidRPr="00B50802">
        <w:t>.</w:t>
      </w:r>
    </w:p>
    <w:p w14:paraId="70915CD8" w14:textId="77777777" w:rsidR="0026248E" w:rsidRPr="00B50802" w:rsidRDefault="00D44228" w:rsidP="0026248E">
      <w:pPr>
        <w:rPr>
          <w:noProof/>
          <w:lang w:eastAsia="en-AU"/>
        </w:rPr>
      </w:pPr>
      <w:bookmarkStart w:id="647" w:name="_Toc127367678"/>
      <w:bookmarkStart w:id="648" w:name="_Toc127367750"/>
      <w:r w:rsidRPr="00B50802">
        <w:t>There will be more opportunities to share your views throughout the development of the Plan</w:t>
      </w:r>
      <w:r w:rsidR="002E1B6C" w:rsidRPr="00B50802">
        <w:t xml:space="preserve"> including</w:t>
      </w:r>
      <w:r w:rsidR="00166FD4" w:rsidRPr="00B50802">
        <w:t xml:space="preserve"> </w:t>
      </w:r>
      <w:r w:rsidR="002E1B6C" w:rsidRPr="00B50802">
        <w:t>w</w:t>
      </w:r>
      <w:r w:rsidR="00D3057C" w:rsidRPr="00B50802">
        <w:t>orkshops</w:t>
      </w:r>
      <w:r w:rsidRPr="00B50802">
        <w:t xml:space="preserve"> and roundtables with stakeholders in each state and terri</w:t>
      </w:r>
      <w:r w:rsidR="00CA494A" w:rsidRPr="00B50802">
        <w:t>tory in 2023.</w:t>
      </w:r>
      <w:r w:rsidR="0026248E" w:rsidRPr="00B50802">
        <w:rPr>
          <w:noProof/>
          <w:lang w:eastAsia="en-AU"/>
        </w:rPr>
        <w:t xml:space="preserve"> </w:t>
      </w:r>
    </w:p>
    <w:p w14:paraId="13A3C355" w14:textId="77777777" w:rsidR="00540DF4" w:rsidRPr="00B50802" w:rsidRDefault="00540DF4" w:rsidP="008932FA">
      <w:pPr>
        <w:pBdr>
          <w:top w:val="single" w:sz="24" w:space="0" w:color="005A70"/>
          <w:left w:val="single" w:sz="24" w:space="4" w:color="005A70"/>
          <w:bottom w:val="single" w:sz="24" w:space="1" w:color="005A70"/>
          <w:right w:val="single" w:sz="24" w:space="4" w:color="005A70"/>
        </w:pBdr>
        <w:shd w:val="clear" w:color="auto" w:fill="E9F7F6"/>
        <w:spacing w:after="120" w:line="240" w:lineRule="auto"/>
        <w:rPr>
          <w:b/>
          <w:bCs/>
          <w:lang w:val="en-GB"/>
        </w:rPr>
      </w:pPr>
      <w:r w:rsidRPr="00B50802">
        <w:rPr>
          <w:b/>
          <w:bCs/>
          <w:lang w:val="en-GB"/>
        </w:rPr>
        <w:t>More details about consultation on the Plan</w:t>
      </w:r>
    </w:p>
    <w:p w14:paraId="0C8946E9" w14:textId="5D8A2993" w:rsidR="00540DF4" w:rsidRPr="00B50802" w:rsidRDefault="00540DF4" w:rsidP="008932FA">
      <w:pPr>
        <w:pBdr>
          <w:top w:val="single" w:sz="24" w:space="0" w:color="005A70"/>
          <w:left w:val="single" w:sz="24" w:space="4" w:color="005A70"/>
          <w:bottom w:val="single" w:sz="24" w:space="1" w:color="005A70"/>
          <w:right w:val="single" w:sz="24" w:space="4" w:color="005A70"/>
        </w:pBdr>
        <w:shd w:val="clear" w:color="auto" w:fill="E9F7F6"/>
        <w:rPr>
          <w:sz w:val="20"/>
          <w:szCs w:val="20"/>
        </w:rPr>
      </w:pPr>
      <w:r w:rsidRPr="00B50802">
        <w:rPr>
          <w:sz w:val="20"/>
          <w:szCs w:val="20"/>
        </w:rPr>
        <w:t xml:space="preserve">You </w:t>
      </w:r>
      <w:r w:rsidR="00BC6DDF">
        <w:rPr>
          <w:sz w:val="20"/>
          <w:szCs w:val="20"/>
        </w:rPr>
        <w:t>will be able to</w:t>
      </w:r>
      <w:r w:rsidRPr="00B50802">
        <w:rPr>
          <w:sz w:val="20"/>
          <w:szCs w:val="20"/>
        </w:rPr>
        <w:t xml:space="preserve"> find further information on consultation locations, dates, and register for updates on the development of the Plan on the </w:t>
      </w:r>
      <w:hyperlink r:id="rId76" w:history="1">
        <w:r w:rsidRPr="00B50802">
          <w:rPr>
            <w:rStyle w:val="Hyperlink"/>
            <w:rFonts w:cs="Arial"/>
            <w:sz w:val="20"/>
            <w:szCs w:val="20"/>
          </w:rPr>
          <w:t>DSS Engage platform</w:t>
        </w:r>
      </w:hyperlink>
      <w:r w:rsidRPr="00B50802">
        <w:rPr>
          <w:sz w:val="20"/>
          <w:szCs w:val="20"/>
        </w:rPr>
        <w:t xml:space="preserve">. </w:t>
      </w:r>
      <w:r w:rsidR="007D3FF9" w:rsidRPr="00B50802">
        <w:rPr>
          <w:sz w:val="20"/>
          <w:szCs w:val="20"/>
        </w:rPr>
        <w:t xml:space="preserve"> </w:t>
      </w:r>
    </w:p>
    <w:p w14:paraId="09720083" w14:textId="1195C7A3" w:rsidR="00540DF4" w:rsidRPr="00B50802" w:rsidRDefault="00540DF4" w:rsidP="008932FA">
      <w:pPr>
        <w:pBdr>
          <w:top w:val="single" w:sz="24" w:space="0" w:color="005A70"/>
          <w:left w:val="single" w:sz="24" w:space="4" w:color="005A70"/>
          <w:bottom w:val="single" w:sz="24" w:space="1" w:color="005A70"/>
          <w:right w:val="single" w:sz="24" w:space="4" w:color="005A70"/>
        </w:pBdr>
        <w:shd w:val="clear" w:color="auto" w:fill="E9F7F6"/>
        <w:rPr>
          <w:sz w:val="20"/>
          <w:szCs w:val="20"/>
        </w:rPr>
      </w:pPr>
      <w:r w:rsidRPr="00B50802">
        <w:rPr>
          <w:sz w:val="20"/>
          <w:szCs w:val="20"/>
        </w:rPr>
        <w:t xml:space="preserve">If you have any questions about making a submission, please email: </w:t>
      </w:r>
      <w:hyperlink r:id="rId77" w:history="1">
        <w:r w:rsidR="00AA5B07" w:rsidRPr="00B50802">
          <w:rPr>
            <w:rStyle w:val="Hyperlink"/>
            <w:rFonts w:cs="Arial"/>
            <w:sz w:val="20"/>
            <w:szCs w:val="20"/>
          </w:rPr>
          <w:t>HousingandHomelessnessPlan@dss.gov.au</w:t>
        </w:r>
      </w:hyperlink>
    </w:p>
    <w:p w14:paraId="113820EE" w14:textId="12ABED04" w:rsidR="000939D2" w:rsidRPr="00B50802" w:rsidRDefault="000939D2" w:rsidP="00811E03">
      <w:pPr>
        <w:pStyle w:val="Heading1"/>
        <w:rPr>
          <w:b/>
          <w:bCs/>
        </w:rPr>
      </w:pPr>
      <w:bookmarkStart w:id="649" w:name="_Toc127873458"/>
      <w:bookmarkStart w:id="650" w:name="_Toc127881134"/>
      <w:bookmarkStart w:id="651" w:name="_Toc127883119"/>
      <w:bookmarkStart w:id="652" w:name="_Toc127884714"/>
      <w:bookmarkStart w:id="653" w:name="_Toc127885779"/>
      <w:bookmarkStart w:id="654" w:name="_Toc127892098"/>
      <w:bookmarkStart w:id="655" w:name="_Toc127949770"/>
      <w:bookmarkStart w:id="656" w:name="_Toc127954294"/>
      <w:bookmarkStart w:id="657" w:name="_Toc127958433"/>
      <w:bookmarkStart w:id="658" w:name="_Toc127960313"/>
      <w:bookmarkStart w:id="659" w:name="_Toc127960419"/>
      <w:bookmarkStart w:id="660" w:name="_Toc127962405"/>
      <w:bookmarkStart w:id="661" w:name="_Toc127963084"/>
      <w:bookmarkStart w:id="662" w:name="_Toc127964083"/>
      <w:bookmarkStart w:id="663" w:name="_Toc127964537"/>
      <w:bookmarkStart w:id="664" w:name="_Toc127957700"/>
      <w:bookmarkStart w:id="665" w:name="_Toc127968790"/>
      <w:bookmarkStart w:id="666" w:name="_Toc127968819"/>
      <w:bookmarkStart w:id="667" w:name="_Toc127969682"/>
      <w:bookmarkStart w:id="668" w:name="_Toc127970400"/>
      <w:bookmarkStart w:id="669" w:name="_Toc127971962"/>
      <w:bookmarkStart w:id="670" w:name="_Toc127974274"/>
      <w:bookmarkStart w:id="671" w:name="_Toc127974796"/>
      <w:bookmarkStart w:id="672" w:name="_Toc127975951"/>
      <w:bookmarkStart w:id="673" w:name="_Toc127976382"/>
      <w:bookmarkStart w:id="674" w:name="_Toc127977475"/>
      <w:bookmarkStart w:id="675" w:name="_Toc127977522"/>
      <w:bookmarkStart w:id="676" w:name="_Toc127977850"/>
      <w:bookmarkStart w:id="677" w:name="_Toc127978619"/>
      <w:bookmarkStart w:id="678" w:name="_Toc127981302"/>
      <w:bookmarkStart w:id="679" w:name="_Toc127981915"/>
      <w:bookmarkStart w:id="680" w:name="_Toc127982860"/>
      <w:bookmarkStart w:id="681" w:name="_Toc128037614"/>
      <w:bookmarkStart w:id="682" w:name="_Toc128039383"/>
      <w:bookmarkStart w:id="683" w:name="_Toc128040529"/>
      <w:bookmarkStart w:id="684" w:name="_Toc128041551"/>
      <w:bookmarkStart w:id="685" w:name="_Toc128043356"/>
      <w:bookmarkStart w:id="686" w:name="_Toc128044748"/>
      <w:bookmarkStart w:id="687" w:name="_Toc128046331"/>
      <w:bookmarkStart w:id="688" w:name="_Toc128047216"/>
      <w:bookmarkStart w:id="689" w:name="_Toc128048243"/>
      <w:bookmarkStart w:id="690" w:name="_Toc128049415"/>
      <w:bookmarkStart w:id="691" w:name="_Toc128054952"/>
      <w:bookmarkStart w:id="692" w:name="_Toc128056345"/>
      <w:bookmarkStart w:id="693" w:name="_Toc128062097"/>
      <w:bookmarkStart w:id="694" w:name="_Toc128063235"/>
      <w:bookmarkStart w:id="695" w:name="_Toc128064570"/>
      <w:bookmarkStart w:id="696" w:name="_Toc128065143"/>
      <w:bookmarkStart w:id="697" w:name="_Toc128064934"/>
      <w:bookmarkStart w:id="698" w:name="_Toc128125901"/>
      <w:bookmarkStart w:id="699" w:name="_Toc128126143"/>
      <w:bookmarkStart w:id="700" w:name="_Toc129345267"/>
      <w:bookmarkStart w:id="701" w:name="_Toc129346015"/>
      <w:bookmarkStart w:id="702" w:name="_Toc129348494"/>
      <w:bookmarkStart w:id="703" w:name="_Toc129348585"/>
      <w:bookmarkStart w:id="704" w:name="_Toc129349413"/>
      <w:bookmarkStart w:id="705" w:name="_Toc129351672"/>
      <w:bookmarkStart w:id="706" w:name="_Toc129353950"/>
      <w:bookmarkStart w:id="707" w:name="_Toc129355780"/>
      <w:bookmarkStart w:id="708" w:name="_Toc129354148"/>
      <w:bookmarkStart w:id="709" w:name="_Toc129354250"/>
      <w:bookmarkStart w:id="710" w:name="_Toc129356730"/>
      <w:bookmarkStart w:id="711" w:name="_Toc129359511"/>
      <w:bookmarkStart w:id="712" w:name="_Toc129359601"/>
      <w:bookmarkStart w:id="713" w:name="_Toc129360251"/>
      <w:bookmarkStart w:id="714" w:name="_Toc129360496"/>
      <w:bookmarkStart w:id="715" w:name="_Toc129360823"/>
      <w:bookmarkStart w:id="716" w:name="_Toc132293087"/>
      <w:bookmarkStart w:id="717" w:name="_Toc132293439"/>
      <w:bookmarkStart w:id="718" w:name="_Toc132293464"/>
      <w:bookmarkStart w:id="719" w:name="_Toc132293553"/>
      <w:bookmarkStart w:id="720" w:name="_Toc132294167"/>
      <w:bookmarkStart w:id="721" w:name="_Toc132360620"/>
      <w:bookmarkStart w:id="722" w:name="_Toc132708332"/>
      <w:bookmarkStart w:id="723" w:name="_Toc133839366"/>
      <w:bookmarkStart w:id="724" w:name="_Toc133840271"/>
      <w:bookmarkStart w:id="725" w:name="_Toc135162296"/>
      <w:bookmarkStart w:id="726" w:name="_Toc141972450"/>
      <w:bookmarkStart w:id="727" w:name="_Toc141972663"/>
      <w:bookmarkStart w:id="728" w:name="_Toc141972937"/>
      <w:bookmarkStart w:id="729" w:name="_Toc142042497"/>
      <w:bookmarkStart w:id="730" w:name="_Toc142042706"/>
      <w:bookmarkStart w:id="731" w:name="_Toc142051864"/>
      <w:r w:rsidRPr="00B50802">
        <w:lastRenderedPageBreak/>
        <w:t>2. The Housing System</w:t>
      </w:r>
      <w:bookmarkStart w:id="732" w:name="_Toc126827628"/>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3154068E" w14:textId="77777777" w:rsidR="00D538F1" w:rsidRPr="00B50802" w:rsidRDefault="00D538F1" w:rsidP="00A721D3">
      <w:pPr>
        <w:pStyle w:val="Heading2"/>
        <w:rPr>
          <w:b/>
          <w:bCs/>
        </w:rPr>
      </w:pPr>
      <w:bookmarkStart w:id="733" w:name="_Toc126745762"/>
      <w:bookmarkStart w:id="734" w:name="_Toc126754043"/>
      <w:bookmarkStart w:id="735" w:name="_Toc126757181"/>
      <w:bookmarkStart w:id="736" w:name="_Toc126763231"/>
      <w:bookmarkStart w:id="737" w:name="_Toc126836980"/>
      <w:bookmarkStart w:id="738" w:name="_Toc126845291"/>
      <w:bookmarkStart w:id="739" w:name="_Toc126852059"/>
      <w:bookmarkStart w:id="740" w:name="_Toc126854347"/>
      <w:bookmarkStart w:id="741" w:name="_Toc126857748"/>
      <w:bookmarkStart w:id="742" w:name="_Toc126920562"/>
      <w:bookmarkStart w:id="743" w:name="_Toc126921162"/>
      <w:bookmarkStart w:id="744" w:name="_Toc126925095"/>
      <w:bookmarkStart w:id="745" w:name="_Toc126930654"/>
      <w:bookmarkStart w:id="746" w:name="_Toc126934939"/>
      <w:bookmarkStart w:id="747" w:name="_Toc126934958"/>
      <w:bookmarkStart w:id="748" w:name="_Toc127189069"/>
      <w:bookmarkStart w:id="749" w:name="_Toc127193501"/>
      <w:bookmarkStart w:id="750" w:name="_Toc127195495"/>
      <w:bookmarkStart w:id="751" w:name="_Toc127272809"/>
      <w:bookmarkStart w:id="752" w:name="_Toc127272840"/>
      <w:bookmarkStart w:id="753" w:name="_Toc127281201"/>
      <w:bookmarkStart w:id="754" w:name="_Toc127285167"/>
      <w:bookmarkStart w:id="755" w:name="_Toc127361801"/>
      <w:bookmarkStart w:id="756" w:name="_Toc127367679"/>
      <w:bookmarkStart w:id="757" w:name="_Toc127367751"/>
      <w:bookmarkStart w:id="758" w:name="_Toc127873459"/>
      <w:bookmarkStart w:id="759" w:name="_Toc127881135"/>
      <w:bookmarkStart w:id="760" w:name="_Toc127883120"/>
      <w:bookmarkStart w:id="761" w:name="_Toc127884715"/>
      <w:bookmarkStart w:id="762" w:name="_Toc127885780"/>
      <w:bookmarkStart w:id="763" w:name="_Toc127892099"/>
      <w:bookmarkStart w:id="764" w:name="_Toc127949771"/>
      <w:bookmarkStart w:id="765" w:name="_Toc127954295"/>
      <w:bookmarkStart w:id="766" w:name="_Toc127958434"/>
      <w:bookmarkStart w:id="767" w:name="_Toc127960314"/>
      <w:bookmarkStart w:id="768" w:name="_Toc127960420"/>
      <w:bookmarkStart w:id="769" w:name="_Toc127962406"/>
      <w:bookmarkStart w:id="770" w:name="_Toc127963085"/>
      <w:bookmarkStart w:id="771" w:name="_Toc127964084"/>
      <w:bookmarkStart w:id="772" w:name="_Toc127964538"/>
      <w:bookmarkStart w:id="773" w:name="_Toc127957701"/>
      <w:bookmarkStart w:id="774" w:name="_Toc127968791"/>
      <w:bookmarkStart w:id="775" w:name="_Toc127968820"/>
      <w:bookmarkStart w:id="776" w:name="_Toc127969683"/>
      <w:bookmarkStart w:id="777" w:name="_Toc127970401"/>
      <w:bookmarkStart w:id="778" w:name="_Toc127971963"/>
      <w:bookmarkStart w:id="779" w:name="_Toc127974275"/>
      <w:bookmarkStart w:id="780" w:name="_Toc127974797"/>
      <w:bookmarkStart w:id="781" w:name="_Toc127975952"/>
      <w:bookmarkStart w:id="782" w:name="_Toc127976383"/>
      <w:bookmarkStart w:id="783" w:name="_Toc127977476"/>
      <w:bookmarkStart w:id="784" w:name="_Toc127977523"/>
      <w:bookmarkStart w:id="785" w:name="_Toc127977851"/>
      <w:bookmarkStart w:id="786" w:name="_Toc127978620"/>
      <w:bookmarkStart w:id="787" w:name="_Toc127981303"/>
      <w:bookmarkStart w:id="788" w:name="_Toc127981916"/>
      <w:bookmarkStart w:id="789" w:name="_Toc127982861"/>
      <w:bookmarkStart w:id="790" w:name="_Toc128037615"/>
      <w:bookmarkStart w:id="791" w:name="_Toc128039384"/>
      <w:bookmarkStart w:id="792" w:name="_Toc128040530"/>
      <w:bookmarkStart w:id="793" w:name="_Toc128041552"/>
      <w:bookmarkStart w:id="794" w:name="_Toc128043357"/>
      <w:bookmarkStart w:id="795" w:name="_Toc128044749"/>
      <w:bookmarkStart w:id="796" w:name="_Toc128046332"/>
      <w:bookmarkStart w:id="797" w:name="_Toc128047217"/>
      <w:bookmarkStart w:id="798" w:name="_Toc128048244"/>
      <w:bookmarkStart w:id="799" w:name="_Toc128049416"/>
      <w:bookmarkStart w:id="800" w:name="_Toc128054953"/>
      <w:bookmarkStart w:id="801" w:name="_Toc128056346"/>
      <w:bookmarkStart w:id="802" w:name="_Toc128062098"/>
      <w:bookmarkStart w:id="803" w:name="_Toc128063236"/>
      <w:bookmarkStart w:id="804" w:name="_Toc128064571"/>
      <w:bookmarkStart w:id="805" w:name="_Toc128065144"/>
      <w:bookmarkStart w:id="806" w:name="_Toc128064935"/>
      <w:bookmarkStart w:id="807" w:name="_Toc128125902"/>
      <w:bookmarkStart w:id="808" w:name="_Toc128126144"/>
      <w:bookmarkStart w:id="809" w:name="_Toc129345268"/>
      <w:bookmarkStart w:id="810" w:name="_Toc129346016"/>
      <w:bookmarkStart w:id="811" w:name="_Toc129348495"/>
      <w:bookmarkStart w:id="812" w:name="_Toc129348586"/>
      <w:bookmarkStart w:id="813" w:name="_Toc129349414"/>
      <w:bookmarkStart w:id="814" w:name="_Toc129351673"/>
      <w:bookmarkStart w:id="815" w:name="_Toc129353951"/>
      <w:bookmarkStart w:id="816" w:name="_Toc129355781"/>
      <w:bookmarkStart w:id="817" w:name="_Toc129354149"/>
      <w:bookmarkStart w:id="818" w:name="_Toc129354251"/>
      <w:bookmarkStart w:id="819" w:name="_Toc129356731"/>
      <w:bookmarkStart w:id="820" w:name="_Toc129359512"/>
      <w:bookmarkStart w:id="821" w:name="_Toc129359602"/>
      <w:bookmarkStart w:id="822" w:name="_Toc129360252"/>
      <w:bookmarkStart w:id="823" w:name="_Toc129360497"/>
      <w:bookmarkStart w:id="824" w:name="_Toc129360824"/>
      <w:bookmarkStart w:id="825" w:name="_Toc132293088"/>
      <w:bookmarkStart w:id="826" w:name="_Toc132293440"/>
      <w:bookmarkStart w:id="827" w:name="_Toc132293465"/>
      <w:bookmarkStart w:id="828" w:name="_Toc132293554"/>
      <w:bookmarkStart w:id="829" w:name="_Toc132294168"/>
      <w:bookmarkStart w:id="830" w:name="_Toc132360621"/>
      <w:bookmarkStart w:id="831" w:name="_Toc132708333"/>
      <w:bookmarkStart w:id="832" w:name="_Toc133839367"/>
      <w:bookmarkStart w:id="833" w:name="_Toc133840272"/>
      <w:bookmarkStart w:id="834" w:name="_Toc135162297"/>
      <w:bookmarkStart w:id="835" w:name="_Toc141972451"/>
      <w:bookmarkStart w:id="836" w:name="_Toc141972664"/>
      <w:bookmarkStart w:id="837" w:name="_Toc141972938"/>
      <w:bookmarkStart w:id="838" w:name="_Toc142042498"/>
      <w:bookmarkStart w:id="839" w:name="_Toc142042707"/>
      <w:bookmarkStart w:id="840" w:name="_Toc142051865"/>
      <w:r w:rsidRPr="00B50802">
        <w:t xml:space="preserve">2.1 </w:t>
      </w:r>
      <w:r w:rsidR="00B16F6B" w:rsidRPr="00B50802">
        <w:t>The benefits of</w:t>
      </w:r>
      <w:r w:rsidRPr="00B50802">
        <w:t xml:space="preserve"> secure housing</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7F8C42FC" w14:textId="77777777" w:rsidR="000939D2" w:rsidRPr="00B50802" w:rsidRDefault="000939D2" w:rsidP="00A721D3">
      <w:r w:rsidRPr="00B50802">
        <w:t xml:space="preserve">Access to secure, appropriate and affordable housing has substantial benefits. </w:t>
      </w:r>
      <w:r w:rsidR="005D27A4" w:rsidRPr="00B50802">
        <w:t>Housing not only keeps us safe at an individual level, it also contributes to stronger</w:t>
      </w:r>
      <w:r w:rsidR="00CF06F7" w:rsidRPr="00B50802">
        <w:t xml:space="preserve"> and</w:t>
      </w:r>
      <w:r w:rsidR="005D27A4" w:rsidRPr="00B50802">
        <w:t xml:space="preserve"> safer communities</w:t>
      </w:r>
      <w:r w:rsidR="00304361" w:rsidRPr="00B50802">
        <w:t xml:space="preserve"> </w:t>
      </w:r>
      <w:r w:rsidR="00241641" w:rsidRPr="00B50802">
        <w:t>and leads to</w:t>
      </w:r>
      <w:r w:rsidR="00CF06F7" w:rsidRPr="00B50802">
        <w:t xml:space="preserve"> better economic outcomes</w:t>
      </w:r>
      <w:r w:rsidR="005D27A4" w:rsidRPr="00B50802">
        <w:t>.</w:t>
      </w:r>
    </w:p>
    <w:p w14:paraId="42F2AFBD" w14:textId="77777777" w:rsidR="005E26D7" w:rsidRPr="00B50802" w:rsidRDefault="00A768AB" w:rsidP="00A721D3">
      <w:bookmarkStart w:id="841" w:name="_Toc127883121"/>
      <w:bookmarkStart w:id="842" w:name="_Toc127873319"/>
      <w:bookmarkStart w:id="843" w:name="_Toc127873364"/>
      <w:bookmarkStart w:id="844" w:name="_Toc127873460"/>
      <w:bookmarkStart w:id="845" w:name="_Toc127881136"/>
      <w:r w:rsidRPr="00B50802">
        <w:t>Access to appropriate, affordable and secure housing provides physical and</w:t>
      </w:r>
      <w:r w:rsidR="006A59B9" w:rsidRPr="00B50802">
        <w:t xml:space="preserve"> </w:t>
      </w:r>
      <w:r w:rsidRPr="00B50802">
        <w:t>emotional safety</w:t>
      </w:r>
      <w:r w:rsidR="00C40492" w:rsidRPr="00B50802">
        <w:t xml:space="preserve"> and</w:t>
      </w:r>
      <w:r w:rsidR="00D41E64" w:rsidRPr="00B50802">
        <w:t xml:space="preserve"> it</w:t>
      </w:r>
      <w:r w:rsidR="00E37915" w:rsidRPr="00B50802">
        <w:t xml:space="preserve"> </w:t>
      </w:r>
      <w:r w:rsidR="003555FB" w:rsidRPr="00B50802">
        <w:t xml:space="preserve">promotes better health outcomes. </w:t>
      </w:r>
      <w:r w:rsidR="00B16F6B" w:rsidRPr="00B50802">
        <w:t xml:space="preserve">According to a systematic review of evidence </w:t>
      </w:r>
      <w:r w:rsidR="00DB3587" w:rsidRPr="00B50802">
        <w:t xml:space="preserve">conducted </w:t>
      </w:r>
      <w:r w:rsidR="00B16F6B" w:rsidRPr="00B50802">
        <w:t>by the World Health Organi</w:t>
      </w:r>
      <w:r w:rsidR="00D32A6D" w:rsidRPr="00B50802">
        <w:t>s</w:t>
      </w:r>
      <w:r w:rsidR="00B16F6B" w:rsidRPr="00B50802">
        <w:t>ation</w:t>
      </w:r>
      <w:r w:rsidR="003B706F" w:rsidRPr="00B50802">
        <w:t xml:space="preserve">, </w:t>
      </w:r>
      <w:r w:rsidR="00B16F6B" w:rsidRPr="00B50802">
        <w:t>improved housing can save lives, prevent disease and increase quality of life.</w:t>
      </w:r>
      <w:r w:rsidR="00005E94" w:rsidRPr="00B50802">
        <w:rPr>
          <w:rStyle w:val="FootnoteReference"/>
        </w:rPr>
        <w:footnoteReference w:id="4"/>
      </w:r>
      <w:bookmarkEnd w:id="841"/>
      <w:r w:rsidR="006A59B9" w:rsidRPr="00B50802">
        <w:rPr>
          <w:rStyle w:val="FootnoteReference"/>
        </w:rPr>
        <w:t xml:space="preserve"> </w:t>
      </w:r>
    </w:p>
    <w:p w14:paraId="6152EF11" w14:textId="77777777" w:rsidR="00F830A1" w:rsidRPr="00B50802" w:rsidRDefault="00BE167F" w:rsidP="00A721D3">
      <w:bookmarkStart w:id="846" w:name="_Toc127883122"/>
      <w:r w:rsidRPr="00B50802">
        <w:t xml:space="preserve">The provision of affordable and secure housing </w:t>
      </w:r>
      <w:r w:rsidR="00090FF1" w:rsidRPr="00B50802">
        <w:t>can</w:t>
      </w:r>
      <w:r w:rsidRPr="00B50802">
        <w:t xml:space="preserve"> improve outcomes for people in transitional circumstances such as those leaving custody</w:t>
      </w:r>
      <w:r w:rsidR="00D41E64" w:rsidRPr="00B50802">
        <w:t>,</w:t>
      </w:r>
      <w:r w:rsidRPr="00B50802">
        <w:rPr>
          <w:rStyle w:val="FootnoteReference"/>
          <w:rFonts w:cs="Arial"/>
        </w:rPr>
        <w:footnoteReference w:id="5"/>
      </w:r>
      <w:r w:rsidRPr="00B50802">
        <w:t xml:space="preserve"> or young people leaving out</w:t>
      </w:r>
      <w:r w:rsidR="00D41E64" w:rsidRPr="00B50802">
        <w:t>-</w:t>
      </w:r>
      <w:r w:rsidRPr="00B50802">
        <w:t>of</w:t>
      </w:r>
      <w:r w:rsidR="00D41E64" w:rsidRPr="00B50802">
        <w:t>-</w:t>
      </w:r>
      <w:r w:rsidRPr="00B50802">
        <w:t>home care.</w:t>
      </w:r>
      <w:r w:rsidRPr="00B50802">
        <w:rPr>
          <w:rStyle w:val="FootnoteReference"/>
          <w:rFonts w:cs="Arial"/>
        </w:rPr>
        <w:footnoteReference w:id="6"/>
      </w:r>
      <w:r w:rsidRPr="00B50802">
        <w:t xml:space="preserve"> </w:t>
      </w:r>
      <w:r w:rsidR="003F4EE8" w:rsidRPr="00B50802">
        <w:t xml:space="preserve">Affordable and secure housing </w:t>
      </w:r>
      <w:r w:rsidR="007F76AF" w:rsidRPr="00B50802">
        <w:t xml:space="preserve">is </w:t>
      </w:r>
      <w:r w:rsidR="003F4EE8" w:rsidRPr="00B50802">
        <w:t xml:space="preserve">also </w:t>
      </w:r>
      <w:r w:rsidR="007F76AF" w:rsidRPr="00B50802">
        <w:t xml:space="preserve">critical to </w:t>
      </w:r>
      <w:r w:rsidR="003F4EE8" w:rsidRPr="00B50802">
        <w:t>enabl</w:t>
      </w:r>
      <w:r w:rsidR="007F76AF" w:rsidRPr="00B50802">
        <w:t>ing</w:t>
      </w:r>
      <w:r w:rsidR="003F4EE8" w:rsidRPr="00B50802">
        <w:t xml:space="preserve"> people to re-establish their lives after leaving </w:t>
      </w:r>
      <w:r w:rsidR="00971D21" w:rsidRPr="00B50802">
        <w:t>a violent situation</w:t>
      </w:r>
      <w:r w:rsidR="003F4EE8" w:rsidRPr="00B50802">
        <w:t>.</w:t>
      </w:r>
      <w:r w:rsidR="003F4EE8" w:rsidRPr="00B50802">
        <w:rPr>
          <w:rStyle w:val="FootnoteReference"/>
          <w:rFonts w:cs="Arial"/>
        </w:rPr>
        <w:footnoteReference w:id="7"/>
      </w:r>
    </w:p>
    <w:p w14:paraId="45AA5A95" w14:textId="77777777" w:rsidR="00C14110" w:rsidRPr="00B50802" w:rsidRDefault="00141A30" w:rsidP="00A721D3">
      <w:pPr>
        <w:rPr>
          <w:rFonts w:eastAsiaTheme="majorEastAsia" w:cstheme="majorBidi"/>
          <w:sz w:val="32"/>
          <w:szCs w:val="28"/>
        </w:rPr>
      </w:pPr>
      <w:r w:rsidRPr="00B50802">
        <w:t>A recent survey of 87 of Australia’s leading economists and housing experts reveal</w:t>
      </w:r>
      <w:r w:rsidR="00D41E64" w:rsidRPr="00B50802">
        <w:t>ed</w:t>
      </w:r>
      <w:r w:rsidRPr="00B50802">
        <w:t xml:space="preserve"> </w:t>
      </w:r>
      <w:r w:rsidR="009928BC" w:rsidRPr="00B50802">
        <w:br/>
      </w:r>
      <w:r w:rsidRPr="00B50802">
        <w:t xml:space="preserve">a consensus that addressing housing affordability and reducing homelessness </w:t>
      </w:r>
      <w:r w:rsidR="00BC35F2" w:rsidRPr="00B50802">
        <w:t>has</w:t>
      </w:r>
      <w:r w:rsidRPr="00B50802">
        <w:t xml:space="preserve"> profound impacts on productivity in the broader economy.</w:t>
      </w:r>
      <w:r w:rsidR="001D14EF" w:rsidRPr="00B50802">
        <w:t xml:space="preserve"> For example, </w:t>
      </w:r>
      <w:r w:rsidR="00BC35F2" w:rsidRPr="00B50802">
        <w:t xml:space="preserve">reducing </w:t>
      </w:r>
      <w:r w:rsidR="001D14EF" w:rsidRPr="00B50802">
        <w:t>costs</w:t>
      </w:r>
      <w:r w:rsidR="00BC35F2" w:rsidRPr="00B50802">
        <w:t xml:space="preserve"> and improving </w:t>
      </w:r>
      <w:r w:rsidR="001D14EF" w:rsidRPr="00B50802">
        <w:t>tenure, quality and proximity to work c</w:t>
      </w:r>
      <w:r w:rsidR="00BC35F2" w:rsidRPr="00B50802">
        <w:t>ould</w:t>
      </w:r>
      <w:r w:rsidR="001D14EF" w:rsidRPr="00B50802">
        <w:t xml:space="preserve"> increase participation in the labour market and boost overall productivity.</w:t>
      </w:r>
      <w:r w:rsidR="001D14EF" w:rsidRPr="00B50802">
        <w:rPr>
          <w:rStyle w:val="FootnoteReference"/>
          <w:rFonts w:cs="Arial"/>
        </w:rPr>
        <w:footnoteReference w:id="8"/>
      </w:r>
      <w:bookmarkStart w:id="847" w:name="_Toc126930656"/>
      <w:bookmarkStart w:id="848" w:name="_Toc126934941"/>
      <w:bookmarkStart w:id="849" w:name="_Toc126934960"/>
      <w:bookmarkStart w:id="850" w:name="_Toc127189071"/>
      <w:bookmarkStart w:id="851" w:name="_Toc127193503"/>
      <w:bookmarkStart w:id="852" w:name="_Toc127195497"/>
      <w:bookmarkEnd w:id="842"/>
      <w:bookmarkEnd w:id="843"/>
      <w:bookmarkEnd w:id="844"/>
      <w:bookmarkEnd w:id="845"/>
      <w:bookmarkEnd w:id="846"/>
    </w:p>
    <w:p w14:paraId="3361E630" w14:textId="77777777" w:rsidR="00090FF1" w:rsidRPr="00B50802" w:rsidRDefault="00090FF1">
      <w:pPr>
        <w:rPr>
          <w:rFonts w:ascii="Georgia" w:eastAsiaTheme="majorEastAsia" w:hAnsi="Georgia" w:cstheme="majorBidi"/>
          <w:color w:val="005A70"/>
          <w:sz w:val="36"/>
          <w:szCs w:val="36"/>
        </w:rPr>
      </w:pPr>
      <w:bookmarkStart w:id="853" w:name="_Toc132293089"/>
      <w:bookmarkStart w:id="854" w:name="_Toc132293441"/>
      <w:bookmarkStart w:id="855" w:name="_Toc132293466"/>
      <w:bookmarkStart w:id="856" w:name="_Toc132293555"/>
      <w:bookmarkStart w:id="857" w:name="_Toc132294169"/>
      <w:bookmarkStart w:id="858" w:name="_Toc132360622"/>
      <w:bookmarkStart w:id="859" w:name="_Toc132708334"/>
      <w:r w:rsidRPr="00B50802">
        <w:rPr>
          <w:rFonts w:ascii="Georgia" w:hAnsi="Georgia"/>
          <w:b/>
          <w:bCs/>
          <w:color w:val="005A70"/>
          <w:sz w:val="36"/>
          <w:szCs w:val="36"/>
        </w:rPr>
        <w:br w:type="page"/>
      </w:r>
    </w:p>
    <w:p w14:paraId="4DC89408" w14:textId="77777777" w:rsidR="002D62C2" w:rsidRPr="00B50802" w:rsidRDefault="00E02AB0" w:rsidP="002E6D5F">
      <w:pPr>
        <w:pStyle w:val="Heading2"/>
        <w:rPr>
          <w:b/>
          <w:bCs/>
        </w:rPr>
      </w:pPr>
      <w:bookmarkStart w:id="860" w:name="_Toc133839368"/>
      <w:bookmarkStart w:id="861" w:name="_Toc133840273"/>
      <w:bookmarkStart w:id="862" w:name="_Toc135162298"/>
      <w:bookmarkStart w:id="863" w:name="_Toc141972452"/>
      <w:bookmarkStart w:id="864" w:name="_Toc141972665"/>
      <w:bookmarkStart w:id="865" w:name="_Toc141972939"/>
      <w:bookmarkStart w:id="866" w:name="_Toc142042499"/>
      <w:bookmarkStart w:id="867" w:name="_Toc142042708"/>
      <w:bookmarkStart w:id="868" w:name="_Toc142051866"/>
      <w:r w:rsidRPr="00B50802">
        <w:lastRenderedPageBreak/>
        <w:t>2</w:t>
      </w:r>
      <w:hyperlink w:anchor="_2.3_The_housing" w:history="1">
        <w:bookmarkStart w:id="869" w:name="_Toc129360825"/>
        <w:bookmarkStart w:id="870" w:name="_Toc129360498"/>
        <w:bookmarkStart w:id="871" w:name="_Toc129360253"/>
        <w:bookmarkStart w:id="872" w:name="_Toc129359603"/>
        <w:bookmarkStart w:id="873" w:name="_Toc129359513"/>
        <w:bookmarkStart w:id="874" w:name="_Toc129356732"/>
        <w:bookmarkStart w:id="875" w:name="_Toc129354252"/>
        <w:bookmarkStart w:id="876" w:name="_Toc129354150"/>
        <w:bookmarkStart w:id="877" w:name="_Toc129355782"/>
        <w:bookmarkStart w:id="878" w:name="_Toc129353952"/>
        <w:bookmarkStart w:id="879" w:name="_Toc129351674"/>
        <w:bookmarkStart w:id="880" w:name="_Toc129349415"/>
        <w:bookmarkStart w:id="881" w:name="_Toc129348587"/>
        <w:bookmarkStart w:id="882" w:name="_Toc129348496"/>
        <w:bookmarkStart w:id="883" w:name="_Toc129346017"/>
        <w:bookmarkStart w:id="884" w:name="_Toc129345269"/>
        <w:bookmarkStart w:id="885" w:name="_Toc128126145"/>
        <w:bookmarkStart w:id="886" w:name="_Toc128125903"/>
        <w:bookmarkStart w:id="887" w:name="_Toc128064936"/>
        <w:bookmarkStart w:id="888" w:name="_Toc128065145"/>
        <w:bookmarkStart w:id="889" w:name="_Toc128064572"/>
        <w:bookmarkStart w:id="890" w:name="_Toc128063237"/>
        <w:bookmarkStart w:id="891" w:name="_Toc128062099"/>
        <w:bookmarkStart w:id="892" w:name="_Toc128056347"/>
        <w:bookmarkStart w:id="893" w:name="_Toc128054954"/>
        <w:bookmarkStart w:id="894" w:name="_Toc128049417"/>
        <w:bookmarkStart w:id="895" w:name="_Toc128048245"/>
        <w:bookmarkStart w:id="896" w:name="_Toc128047218"/>
        <w:bookmarkStart w:id="897" w:name="_Toc128046333"/>
        <w:bookmarkStart w:id="898" w:name="_Toc128044750"/>
        <w:bookmarkStart w:id="899" w:name="_Toc127971964"/>
        <w:bookmarkStart w:id="900" w:name="_Toc127970402"/>
        <w:bookmarkStart w:id="901" w:name="_Toc127969684"/>
        <w:bookmarkStart w:id="902" w:name="_Toc127968821"/>
        <w:bookmarkStart w:id="903" w:name="_Toc127968792"/>
        <w:bookmarkStart w:id="904" w:name="_Toc127957702"/>
        <w:bookmarkStart w:id="905" w:name="_Toc127964539"/>
        <w:bookmarkStart w:id="906" w:name="_Toc127964085"/>
        <w:bookmarkStart w:id="907" w:name="_Toc127963086"/>
        <w:bookmarkStart w:id="908" w:name="_Toc127962407"/>
        <w:bookmarkStart w:id="909" w:name="_Toc127960421"/>
        <w:bookmarkStart w:id="910" w:name="_Toc127960315"/>
        <w:bookmarkStart w:id="911" w:name="_Toc127958435"/>
        <w:bookmarkStart w:id="912" w:name="_Toc127954296"/>
        <w:bookmarkStart w:id="913" w:name="_Toc127949772"/>
        <w:bookmarkStart w:id="914" w:name="_Toc127892100"/>
        <w:bookmarkStart w:id="915" w:name="_Toc127885781"/>
        <w:bookmarkStart w:id="916" w:name="_Toc127884716"/>
        <w:bookmarkStart w:id="917" w:name="_Toc127883123"/>
        <w:bookmarkStart w:id="918" w:name="_Toc127881137"/>
        <w:bookmarkStart w:id="919" w:name="_Toc127873461"/>
        <w:bookmarkStart w:id="920" w:name="_Toc127285169"/>
        <w:bookmarkStart w:id="921" w:name="_Toc127281203"/>
        <w:bookmarkStart w:id="922" w:name="_Toc127272842"/>
        <w:bookmarkStart w:id="923" w:name="_Toc127272811"/>
        <w:bookmarkStart w:id="924" w:name="_Toc127361803"/>
        <w:bookmarkStart w:id="925" w:name="_Toc127367753"/>
        <w:bookmarkStart w:id="926" w:name="_Toc127367681"/>
        <w:bookmarkStart w:id="927" w:name="_Toc127974276"/>
        <w:bookmarkStart w:id="928" w:name="_Toc127974798"/>
        <w:bookmarkStart w:id="929" w:name="_Toc127975953"/>
        <w:bookmarkStart w:id="930" w:name="_Toc127976384"/>
        <w:bookmarkStart w:id="931" w:name="_Toc127977477"/>
        <w:bookmarkStart w:id="932" w:name="_Toc127977524"/>
        <w:bookmarkStart w:id="933" w:name="_Toc127977852"/>
        <w:bookmarkStart w:id="934" w:name="_Toc127978621"/>
        <w:bookmarkStart w:id="935" w:name="_Toc127981304"/>
        <w:bookmarkStart w:id="936" w:name="_Toc127981917"/>
        <w:bookmarkStart w:id="937" w:name="_Toc127982862"/>
        <w:bookmarkStart w:id="938" w:name="_Toc128037616"/>
        <w:bookmarkStart w:id="939" w:name="_Toc128039385"/>
        <w:bookmarkStart w:id="940" w:name="_Toc128040531"/>
        <w:bookmarkStart w:id="941" w:name="_Toc128041553"/>
        <w:bookmarkStart w:id="942" w:name="_Toc128043358"/>
        <w:r w:rsidR="00AD4EDA" w:rsidRPr="00B50802">
          <w:t>.</w:t>
        </w:r>
        <w:r w:rsidR="00D34B41" w:rsidRPr="00B50802">
          <w:t>2</w:t>
        </w:r>
        <w:r w:rsidR="002D62C2" w:rsidRPr="00B50802">
          <w:t xml:space="preserve"> The housing and homelessness system: </w:t>
        </w:r>
        <w:r w:rsidR="002E6D5F" w:rsidRPr="00B50802">
          <w:t>a</w:t>
        </w:r>
        <w:r w:rsidR="002D62C2" w:rsidRPr="00B50802">
          <w:t xml:space="preserve"> snapshot</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868"/>
      </w:hyperlink>
      <w:bookmarkEnd w:id="927"/>
      <w:bookmarkEnd w:id="928"/>
      <w:bookmarkEnd w:id="929"/>
      <w:bookmarkEnd w:id="930"/>
      <w:bookmarkEnd w:id="931"/>
      <w:bookmarkEnd w:id="932"/>
      <w:bookmarkEnd w:id="933"/>
      <w:bookmarkEnd w:id="934"/>
      <w:bookmarkEnd w:id="935"/>
      <w:bookmarkEnd w:id="936"/>
      <w:bookmarkEnd w:id="937"/>
      <w:bookmarkEnd w:id="938"/>
      <w:bookmarkEnd w:id="939"/>
    </w:p>
    <w:bookmarkEnd w:id="940"/>
    <w:bookmarkEnd w:id="941"/>
    <w:bookmarkEnd w:id="942"/>
    <w:p w14:paraId="22E3D385" w14:textId="77777777" w:rsidR="002E6D5F" w:rsidRPr="00B50802" w:rsidRDefault="00AD4EDA" w:rsidP="00AD4EDA">
      <w:r w:rsidRPr="00B50802">
        <w:t xml:space="preserve">The housing </w:t>
      </w:r>
      <w:r w:rsidR="00555AC0" w:rsidRPr="00B50802">
        <w:t xml:space="preserve">system in Australia </w:t>
      </w:r>
      <w:r w:rsidRPr="00B50802">
        <w:t xml:space="preserve">is made up of distinct, but interrelated forms of housing. </w:t>
      </w:r>
      <w:r w:rsidR="00241EEE" w:rsidRPr="00B50802">
        <w:t>M</w:t>
      </w:r>
      <w:r w:rsidRPr="00B50802">
        <w:t>ost Australians will transition through different types of housing in their lifetimes, though often not in a linear way.</w:t>
      </w:r>
      <w:r w:rsidR="009039C4" w:rsidRPr="00B50802">
        <w:t xml:space="preserve"> Some people </w:t>
      </w:r>
      <w:r w:rsidR="008112CF" w:rsidRPr="00B50802">
        <w:t>may</w:t>
      </w:r>
      <w:r w:rsidR="009039C4" w:rsidRPr="00B50802">
        <w:t xml:space="preserve"> need support to stabilise a</w:t>
      </w:r>
      <w:r w:rsidR="007640A5" w:rsidRPr="00B50802">
        <w:t> </w:t>
      </w:r>
      <w:r w:rsidR="009039C4" w:rsidRPr="00B50802">
        <w:t>living situation, others are able to live independently with assistance</w:t>
      </w:r>
      <w:r w:rsidR="007A0FDF" w:rsidRPr="00B50802">
        <w:t>. T</w:t>
      </w:r>
      <w:r w:rsidR="008112CF" w:rsidRPr="00B50802">
        <w:t xml:space="preserve">he majority </w:t>
      </w:r>
      <w:r w:rsidR="007A0FDF" w:rsidRPr="00B50802">
        <w:t>of</w:t>
      </w:r>
      <w:r w:rsidR="007640A5" w:rsidRPr="00B50802">
        <w:t> </w:t>
      </w:r>
      <w:r w:rsidR="007A0FDF" w:rsidRPr="00B50802">
        <w:t xml:space="preserve">households </w:t>
      </w:r>
      <w:r w:rsidR="009039C4" w:rsidRPr="00B50802">
        <w:t xml:space="preserve">are </w:t>
      </w:r>
      <w:r w:rsidR="00D32A6D" w:rsidRPr="00B50802">
        <w:t>private</w:t>
      </w:r>
      <w:r w:rsidR="009039C4" w:rsidRPr="00B50802">
        <w:t xml:space="preserve"> renters and </w:t>
      </w:r>
      <w:r w:rsidR="00A43E39" w:rsidRPr="00B50802">
        <w:t>homeowners</w:t>
      </w:r>
      <w:r w:rsidR="00D32A6D" w:rsidRPr="00B50802">
        <w:t>.</w:t>
      </w:r>
      <w:r w:rsidR="00540DF4" w:rsidRPr="00B50802">
        <w:rPr>
          <w:rStyle w:val="FootnoteReference"/>
        </w:rPr>
        <w:footnoteReference w:id="9"/>
      </w:r>
    </w:p>
    <w:p w14:paraId="19365C47" w14:textId="77777777" w:rsidR="002E6D5F" w:rsidRPr="00B50802" w:rsidRDefault="00540DF4" w:rsidP="002E6D5F">
      <w:r w:rsidRPr="00B50802">
        <w:rPr>
          <w:noProof/>
          <w:lang w:eastAsia="en-AU"/>
        </w:rPr>
        <w:drawing>
          <wp:inline distT="0" distB="0" distL="0" distR="0" wp14:anchorId="46546B36" wp14:editId="44BD49EE">
            <wp:extent cx="5730875" cy="1310640"/>
            <wp:effectExtent l="0" t="0" r="0" b="0"/>
            <wp:docPr id="43" name="Picture 43" descr="Six aspects of the housing system include: 'homelessness', 'crisis and transitional housing', 'social housing', affordable housing', 'private rental' and 'home 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875" cy="1310640"/>
                    </a:xfrm>
                    <a:prstGeom prst="rect">
                      <a:avLst/>
                    </a:prstGeom>
                    <a:noFill/>
                  </pic:spPr>
                </pic:pic>
              </a:graphicData>
            </a:graphic>
          </wp:inline>
        </w:drawing>
      </w:r>
    </w:p>
    <w:p w14:paraId="557EC3CB" w14:textId="7955ED7A" w:rsidR="002D2091" w:rsidRPr="00B50802" w:rsidRDefault="00E67DAB" w:rsidP="002E6D5F">
      <w:r w:rsidRPr="00B50802">
        <w:t>Access to secure and affordable housing is fundamental for the welfare of Australians</w:t>
      </w:r>
      <w:r w:rsidR="00321F2C" w:rsidRPr="00B50802">
        <w:t>.</w:t>
      </w:r>
      <w:r w:rsidRPr="00B50802">
        <w:t xml:space="preserve"> </w:t>
      </w:r>
      <w:r w:rsidR="00321F2C" w:rsidRPr="00B50802">
        <w:t>T</w:t>
      </w:r>
      <w:r w:rsidR="002F17D2" w:rsidRPr="00B50802">
        <w:t xml:space="preserve">he Australian housing </w:t>
      </w:r>
      <w:r w:rsidR="00AE110A" w:rsidRPr="00B50802">
        <w:t xml:space="preserve">and homelessness </w:t>
      </w:r>
      <w:r w:rsidR="002F17D2" w:rsidRPr="00B50802">
        <w:t>system need</w:t>
      </w:r>
      <w:r w:rsidR="001F0D8F" w:rsidRPr="00B50802">
        <w:t>s</w:t>
      </w:r>
      <w:r w:rsidR="002F17D2" w:rsidRPr="00B50802">
        <w:t xml:space="preserve"> to facilitate access to safe and secure housing while </w:t>
      </w:r>
      <w:r w:rsidR="00592B84" w:rsidRPr="00B50802">
        <w:t>meeting</w:t>
      </w:r>
      <w:r w:rsidR="002F17D2" w:rsidRPr="00B50802">
        <w:t xml:space="preserve"> the needs of a diverse and changing community.</w:t>
      </w:r>
    </w:p>
    <w:p w14:paraId="7B2A1ED4" w14:textId="3AD2169A" w:rsidR="000F0B79" w:rsidRPr="00B50802" w:rsidRDefault="00E67DAB" w:rsidP="00FF13A8">
      <w:r w:rsidRPr="00B50802">
        <w:t>C</w:t>
      </w:r>
      <w:r w:rsidR="002F17D2" w:rsidRPr="00B50802">
        <w:t>hanges</w:t>
      </w:r>
      <w:r w:rsidRPr="00B50802">
        <w:t xml:space="preserve"> to the housing market</w:t>
      </w:r>
      <w:r w:rsidR="00AD7491" w:rsidRPr="00B50802">
        <w:t xml:space="preserve"> have been particularly dramatic since the beginning of the COVID-1</w:t>
      </w:r>
      <w:r w:rsidR="002F17D2" w:rsidRPr="00B50802">
        <w:t>9 pandemic</w:t>
      </w:r>
      <w:r w:rsidR="001F0D8F" w:rsidRPr="00B50802">
        <w:t>,</w:t>
      </w:r>
      <w:r w:rsidR="00AD4EDA" w:rsidRPr="00B50802">
        <w:t xml:space="preserve"> due to a range of social and economic impacts </w:t>
      </w:r>
      <w:r w:rsidR="008112CF" w:rsidRPr="00B50802">
        <w:t xml:space="preserve">pushing </w:t>
      </w:r>
      <w:r w:rsidR="00AD4EDA" w:rsidRPr="00B50802">
        <w:t>up</w:t>
      </w:r>
      <w:r w:rsidR="002F17D2" w:rsidRPr="00B50802">
        <w:t xml:space="preserve"> home values, rents and housing debt. </w:t>
      </w:r>
      <w:r w:rsidR="00FF13A8" w:rsidRPr="00B50802" w:rsidDel="00C41362">
        <w:t xml:space="preserve">Despite the </w:t>
      </w:r>
      <w:r w:rsidR="00427EE2" w:rsidRPr="00B50802">
        <w:t>temporary</w:t>
      </w:r>
      <w:r w:rsidR="00FF13A8" w:rsidRPr="00B50802" w:rsidDel="00C41362">
        <w:t xml:space="preserve"> slowdown in population growth during the pandemic, demand for housing was strong, particularly in regional areas, and a fall in the </w:t>
      </w:r>
      <w:r w:rsidR="0081080C" w:rsidRPr="00B50802">
        <w:t>national</w:t>
      </w:r>
      <w:r w:rsidR="00FF13A8" w:rsidRPr="00B50802" w:rsidDel="00C41362">
        <w:t xml:space="preserve"> average household size contributed to </w:t>
      </w:r>
      <w:r w:rsidR="001F0D8F" w:rsidRPr="00B50802">
        <w:t xml:space="preserve">this </w:t>
      </w:r>
      <w:r w:rsidR="00FF13A8" w:rsidRPr="00B50802" w:rsidDel="00C41362">
        <w:t>demand.</w:t>
      </w:r>
    </w:p>
    <w:p w14:paraId="19EDB449" w14:textId="795F4DCB" w:rsidR="00FF13A8" w:rsidRPr="00B50802" w:rsidRDefault="00427EE2" w:rsidP="00FF13A8">
      <w:r w:rsidRPr="00B50802">
        <w:t>Rising</w:t>
      </w:r>
      <w:r w:rsidR="00FF13A8" w:rsidRPr="00B50802">
        <w:t xml:space="preserve"> housing costs remain a cost of living pressure for many people.</w:t>
      </w:r>
      <w:r w:rsidR="00540DF4" w:rsidRPr="00B50802">
        <w:rPr>
          <w:rStyle w:val="FootnoteReference"/>
        </w:rPr>
        <w:footnoteReference w:id="10"/>
      </w:r>
      <w:r w:rsidR="00540DF4" w:rsidRPr="00B50802">
        <w:t xml:space="preserve"> </w:t>
      </w:r>
      <w:r w:rsidR="00770867" w:rsidRPr="00B50802">
        <w:t>A</w:t>
      </w:r>
      <w:r w:rsidR="007640A5" w:rsidRPr="00B50802">
        <w:t>fter a </w:t>
      </w:r>
      <w:r w:rsidR="00770867" w:rsidRPr="00B50802">
        <w:t>period of negative rental growth from March 2020, rents have bounced back and risen</w:t>
      </w:r>
      <w:r w:rsidR="00604A90" w:rsidRPr="00B50802">
        <w:t>.</w:t>
      </w:r>
    </w:p>
    <w:p w14:paraId="7707D3D4" w14:textId="0024DFC5" w:rsidR="00C71B88" w:rsidRPr="00B50802" w:rsidRDefault="00E321E1" w:rsidP="00876331">
      <w:r w:rsidRPr="00B50802">
        <w:t xml:space="preserve">On Census night </w:t>
      </w:r>
      <w:r w:rsidR="007640A5" w:rsidRPr="00B50802">
        <w:t>in </w:t>
      </w:r>
      <w:r w:rsidRPr="00B50802">
        <w:t>2021</w:t>
      </w:r>
      <w:r w:rsidR="00FD1E4E" w:rsidRPr="00B50802">
        <w:t>,</w:t>
      </w:r>
      <w:r w:rsidRPr="00B50802">
        <w:t xml:space="preserve"> </w:t>
      </w:r>
      <w:r w:rsidR="00B3606E" w:rsidRPr="00B50802">
        <w:t>122,494</w:t>
      </w:r>
      <w:r w:rsidRPr="00B50802">
        <w:t xml:space="preserve"> people were </w:t>
      </w:r>
      <w:r w:rsidR="00D32A6D" w:rsidRPr="00B50802">
        <w:t>estimated</w:t>
      </w:r>
      <w:r w:rsidRPr="00B50802">
        <w:t xml:space="preserve"> as homeless compared </w:t>
      </w:r>
      <w:r w:rsidR="001F0D8F" w:rsidRPr="00B50802">
        <w:t xml:space="preserve">with </w:t>
      </w:r>
      <w:r w:rsidRPr="00B50802">
        <w:t>116,427 in 2016</w:t>
      </w:r>
      <w:r w:rsidR="001F0D8F" w:rsidRPr="00B50802">
        <w:t>.</w:t>
      </w:r>
      <w:r w:rsidR="00FD1E4E" w:rsidRPr="00B50802">
        <w:t xml:space="preserve"> </w:t>
      </w:r>
      <w:r w:rsidR="001F0D8F" w:rsidRPr="00B50802">
        <w:t>H</w:t>
      </w:r>
      <w:r w:rsidR="00FD1E4E" w:rsidRPr="00B50802">
        <w:t>owever</w:t>
      </w:r>
      <w:r w:rsidR="001F0D8F" w:rsidRPr="00B50802">
        <w:t>,</w:t>
      </w:r>
      <w:r w:rsidR="00FD1E4E" w:rsidRPr="00B50802">
        <w:t xml:space="preserve"> the rate of homelessness decreased from 50 per 10,000 people to 48 per 10,000 people over the same period</w:t>
      </w:r>
      <w:r w:rsidRPr="00B50802">
        <w:t>.</w:t>
      </w:r>
      <w:r w:rsidR="00624A16" w:rsidRPr="00B50802">
        <w:rPr>
          <w:rStyle w:val="FootnoteReference"/>
        </w:rPr>
        <w:footnoteReference w:id="11"/>
      </w:r>
      <w:r w:rsidR="00BC6DDF" w:rsidRPr="00B75F7D" w:rsidDel="00BC6DDF">
        <w:rPr>
          <w:rStyle w:val="FootnoteReference"/>
        </w:rPr>
        <w:t xml:space="preserve"> </w:t>
      </w:r>
    </w:p>
    <w:p w14:paraId="26B1B621" w14:textId="77777777" w:rsidR="000D4A19" w:rsidRPr="00C71B88" w:rsidRDefault="000D4A19" w:rsidP="000D4A19">
      <w:pPr>
        <w:pBdr>
          <w:top w:val="single" w:sz="24" w:space="1" w:color="005A70"/>
          <w:left w:val="single" w:sz="24" w:space="4" w:color="005A70"/>
          <w:bottom w:val="single" w:sz="24" w:space="1" w:color="005A70"/>
          <w:right w:val="single" w:sz="24" w:space="4" w:color="005A70"/>
        </w:pBdr>
        <w:shd w:val="clear" w:color="auto" w:fill="E9F7F6"/>
        <w:rPr>
          <w:b/>
          <w:bCs/>
          <w:lang w:val="en-GB"/>
        </w:rPr>
      </w:pPr>
      <w:r w:rsidRPr="00C71B88">
        <w:rPr>
          <w:b/>
          <w:bCs/>
          <w:lang w:val="en-GB"/>
        </w:rPr>
        <w:t>Use of data in the Issues Paper</w:t>
      </w:r>
    </w:p>
    <w:p w14:paraId="0AA4D18E" w14:textId="56638350" w:rsidR="000D4A19" w:rsidRPr="003872D2" w:rsidRDefault="000D4A19" w:rsidP="000D4A19">
      <w:pPr>
        <w:pBdr>
          <w:top w:val="single" w:sz="24" w:space="1" w:color="005A70"/>
          <w:left w:val="single" w:sz="24" w:space="4" w:color="005A70"/>
          <w:bottom w:val="single" w:sz="24" w:space="1" w:color="005A70"/>
          <w:right w:val="single" w:sz="24" w:space="4" w:color="005A70"/>
        </w:pBdr>
        <w:shd w:val="clear" w:color="auto" w:fill="E9F7F6"/>
        <w:rPr>
          <w:sz w:val="20"/>
          <w:szCs w:val="20"/>
        </w:rPr>
      </w:pPr>
      <w:r w:rsidRPr="00C71B88">
        <w:rPr>
          <w:sz w:val="20"/>
          <w:szCs w:val="20"/>
        </w:rPr>
        <w:t xml:space="preserve">This paper uses the </w:t>
      </w:r>
      <w:r w:rsidR="008861A9" w:rsidRPr="00B75F7D">
        <w:rPr>
          <w:sz w:val="20"/>
          <w:szCs w:val="20"/>
        </w:rPr>
        <w:t>most relevant</w:t>
      </w:r>
      <w:r w:rsidRPr="00C71B88">
        <w:rPr>
          <w:sz w:val="20"/>
          <w:szCs w:val="20"/>
        </w:rPr>
        <w:t xml:space="preserve"> available data as at </w:t>
      </w:r>
      <w:r>
        <w:rPr>
          <w:i/>
          <w:sz w:val="20"/>
          <w:szCs w:val="20"/>
        </w:rPr>
        <w:t>July</w:t>
      </w:r>
      <w:r w:rsidRPr="00C71B88">
        <w:rPr>
          <w:i/>
          <w:sz w:val="20"/>
          <w:szCs w:val="20"/>
        </w:rPr>
        <w:t xml:space="preserve"> 2023</w:t>
      </w:r>
      <w:r w:rsidRPr="00C71B88">
        <w:rPr>
          <w:sz w:val="20"/>
          <w:szCs w:val="20"/>
        </w:rPr>
        <w:t xml:space="preserve">. </w:t>
      </w:r>
      <w:r w:rsidR="00394C1C" w:rsidRPr="00B75F7D">
        <w:rPr>
          <w:sz w:val="20"/>
          <w:szCs w:val="20"/>
        </w:rPr>
        <w:t>We acknowledge that this paper uses</w:t>
      </w:r>
      <w:r>
        <w:rPr>
          <w:sz w:val="20"/>
          <w:szCs w:val="20"/>
        </w:rPr>
        <w:t xml:space="preserve"> different data sources across different time</w:t>
      </w:r>
      <w:r w:rsidR="0048717F" w:rsidRPr="00B75F7D">
        <w:rPr>
          <w:sz w:val="20"/>
          <w:szCs w:val="20"/>
        </w:rPr>
        <w:t>-</w:t>
      </w:r>
      <w:r>
        <w:rPr>
          <w:sz w:val="20"/>
          <w:szCs w:val="20"/>
        </w:rPr>
        <w:t>periods</w:t>
      </w:r>
      <w:r w:rsidR="00394C1C" w:rsidRPr="00B75F7D">
        <w:rPr>
          <w:sz w:val="20"/>
          <w:szCs w:val="20"/>
        </w:rPr>
        <w:t>. Trends</w:t>
      </w:r>
      <w:r>
        <w:rPr>
          <w:sz w:val="20"/>
          <w:szCs w:val="20"/>
        </w:rPr>
        <w:t xml:space="preserve"> may have</w:t>
      </w:r>
      <w:r w:rsidR="00394C1C" w:rsidRPr="00B75F7D">
        <w:rPr>
          <w:sz w:val="20"/>
          <w:szCs w:val="20"/>
        </w:rPr>
        <w:t xml:space="preserve"> </w:t>
      </w:r>
      <w:r>
        <w:rPr>
          <w:sz w:val="20"/>
          <w:szCs w:val="20"/>
        </w:rPr>
        <w:t xml:space="preserve">shifted since </w:t>
      </w:r>
      <w:r w:rsidR="00394C1C" w:rsidRPr="00B75F7D">
        <w:rPr>
          <w:sz w:val="20"/>
          <w:szCs w:val="20"/>
        </w:rPr>
        <w:t xml:space="preserve">the collection and publication of </w:t>
      </w:r>
      <w:r>
        <w:rPr>
          <w:sz w:val="20"/>
          <w:szCs w:val="20"/>
        </w:rPr>
        <w:t>data</w:t>
      </w:r>
      <w:r w:rsidR="00394C1C" w:rsidRPr="00B75F7D">
        <w:rPr>
          <w:sz w:val="20"/>
          <w:szCs w:val="20"/>
        </w:rPr>
        <w:t xml:space="preserve"> used in this paper.</w:t>
      </w:r>
      <w:r w:rsidRPr="003872D2">
        <w:rPr>
          <w:sz w:val="20"/>
          <w:szCs w:val="20"/>
        </w:rPr>
        <w:t xml:space="preserve"> </w:t>
      </w:r>
    </w:p>
    <w:p w14:paraId="29768585" w14:textId="77777777" w:rsidR="000D4A19" w:rsidRPr="00B50802" w:rsidRDefault="000D4A19" w:rsidP="00876331"/>
    <w:p w14:paraId="1EE8609D" w14:textId="7DDAA31E" w:rsidR="00CA6D3A" w:rsidRPr="00B50802" w:rsidRDefault="00AF1447">
      <w:pPr>
        <w:rPr>
          <w:rFonts w:asciiTheme="minorHAnsi" w:hAnsiTheme="minorHAnsi" w:cstheme="minorHAnsi"/>
          <w:sz w:val="20"/>
          <w:szCs w:val="20"/>
        </w:rPr>
      </w:pPr>
      <w:r>
        <w:rPr>
          <w:rFonts w:asciiTheme="minorHAnsi" w:hAnsiTheme="minorHAnsi" w:cstheme="minorHAnsi"/>
          <w:i/>
          <w:noProof/>
          <w:sz w:val="20"/>
          <w:szCs w:val="20"/>
          <w:lang w:eastAsia="en-AU"/>
        </w:rPr>
        <w:lastRenderedPageBreak/>
        <w:t xml:space="preserve"> </w:t>
      </w:r>
      <w:r w:rsidRPr="00AF1447">
        <w:rPr>
          <w:rFonts w:asciiTheme="minorHAnsi" w:hAnsiTheme="minorHAnsi" w:cstheme="minorHAnsi"/>
          <w:i/>
          <w:noProof/>
          <w:sz w:val="20"/>
          <w:szCs w:val="20"/>
          <w:lang w:eastAsia="en-AU"/>
        </w:rPr>
        <w:drawing>
          <wp:inline distT="0" distB="0" distL="0" distR="0" wp14:anchorId="45CDEB3C" wp14:editId="2FBD9D92">
            <wp:extent cx="5731510" cy="8110473"/>
            <wp:effectExtent l="0" t="0" r="2540" b="5080"/>
            <wp:docPr id="29" name="Picture 29" descr="Australia has a population of 26 million people. The population is projected to grow to around 30 million by 2033. Currently, the Australian population live in 11 million dwellings with a combined value of $9.8 trillion. The combined value is worth more than Australian super, listed stocks, and commercial property combined. &#10;The average Australian household has 2.5 people, and 3.1 people for First Nations households. Of that, 25.6% live alone, 3.9% live with non-family, and the majority of 70.5% live with family. 35% of Australians own a property with a mortgage, 31% own outright, 30.6% rent including social and affordable housing, and 3.4% in other ownership circumstances. &#10;The majority of the Australian population live in houses at 70.7%. 13.1% live in townhouses, and 16.2% in apartments. &#10;Over the last decade, the rate of homelessness have been relatively stable. Between 2011 to 2021, the rate of people homeless has ranged between 47 and 50 per 10,000. Since 2011, the proportion of households in social housing has declined.&#10;There are less rentals available in Australia. &#10;Australia’s house prices have increased faster than incomes.   &#10;After negative rental growth in early 2020, rents have since bounced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wnloads\Australia housing infographic (9).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8110473"/>
                    </a:xfrm>
                    <a:prstGeom prst="rect">
                      <a:avLst/>
                    </a:prstGeom>
                    <a:noFill/>
                    <a:ln>
                      <a:noFill/>
                    </a:ln>
                  </pic:spPr>
                </pic:pic>
              </a:graphicData>
            </a:graphic>
          </wp:inline>
        </w:drawing>
      </w:r>
      <w:r w:rsidR="004F462C" w:rsidRPr="00B50802">
        <w:rPr>
          <w:rFonts w:asciiTheme="minorHAnsi" w:hAnsiTheme="minorHAnsi" w:cstheme="minorHAnsi"/>
          <w:i/>
          <w:sz w:val="20"/>
          <w:szCs w:val="20"/>
        </w:rPr>
        <w:t>S</w:t>
      </w:r>
      <w:r w:rsidR="00393664" w:rsidRPr="00B50802">
        <w:rPr>
          <w:rFonts w:asciiTheme="minorHAnsi" w:hAnsiTheme="minorHAnsi" w:cstheme="minorHAnsi"/>
          <w:i/>
          <w:sz w:val="20"/>
          <w:szCs w:val="20"/>
        </w:rPr>
        <w:t>ource</w:t>
      </w:r>
      <w:r w:rsidR="00D32A6D" w:rsidRPr="00B50802">
        <w:rPr>
          <w:rFonts w:asciiTheme="minorHAnsi" w:hAnsiTheme="minorHAnsi" w:cstheme="minorHAnsi"/>
          <w:i/>
          <w:sz w:val="20"/>
          <w:szCs w:val="20"/>
        </w:rPr>
        <w:t>s</w:t>
      </w:r>
      <w:r w:rsidR="00393664" w:rsidRPr="00B50802">
        <w:rPr>
          <w:rFonts w:asciiTheme="minorHAnsi" w:hAnsiTheme="minorHAnsi" w:cstheme="minorHAnsi"/>
          <w:i/>
          <w:sz w:val="20"/>
          <w:szCs w:val="20"/>
        </w:rPr>
        <w:t xml:space="preserve">: </w:t>
      </w:r>
      <w:r w:rsidR="00242AC3" w:rsidRPr="00B50802">
        <w:rPr>
          <w:rFonts w:asciiTheme="minorHAnsi" w:hAnsiTheme="minorHAnsi" w:cstheme="minorHAnsi"/>
          <w:i/>
          <w:sz w:val="20"/>
          <w:szCs w:val="20"/>
        </w:rPr>
        <w:t xml:space="preserve">see </w:t>
      </w:r>
      <w:r w:rsidR="00393664" w:rsidRPr="00B50802">
        <w:rPr>
          <w:rFonts w:asciiTheme="minorHAnsi" w:hAnsiTheme="minorHAnsi" w:cstheme="minorHAnsi"/>
          <w:i/>
          <w:sz w:val="20"/>
          <w:szCs w:val="20"/>
        </w:rPr>
        <w:t>final page of this Issues Paper</w:t>
      </w:r>
      <w:r w:rsidR="00393664" w:rsidRPr="00B50802">
        <w:rPr>
          <w:rFonts w:asciiTheme="minorHAnsi" w:hAnsiTheme="minorHAnsi" w:cstheme="minorHAnsi"/>
          <w:sz w:val="20"/>
          <w:szCs w:val="20"/>
        </w:rPr>
        <w:t>.</w:t>
      </w:r>
    </w:p>
    <w:p w14:paraId="53CF3C3A" w14:textId="77777777" w:rsidR="00C5548F" w:rsidRPr="00B50802" w:rsidRDefault="00C5548F">
      <w:pPr>
        <w:rPr>
          <w:rFonts w:ascii="Georgia" w:eastAsiaTheme="majorEastAsia" w:hAnsi="Georgia" w:cstheme="majorBidi"/>
          <w:color w:val="005A70"/>
          <w:sz w:val="36"/>
          <w:szCs w:val="36"/>
        </w:rPr>
      </w:pPr>
      <w:bookmarkStart w:id="943" w:name="_Toc126836982"/>
      <w:bookmarkStart w:id="944" w:name="_Toc126845293"/>
      <w:bookmarkStart w:id="945" w:name="_Toc126852061"/>
      <w:bookmarkStart w:id="946" w:name="_Toc126854349"/>
      <w:bookmarkStart w:id="947" w:name="_Toc126857750"/>
      <w:bookmarkStart w:id="948" w:name="_Toc126920564"/>
      <w:bookmarkStart w:id="949" w:name="_Toc126921164"/>
      <w:bookmarkStart w:id="950" w:name="_Toc126925097"/>
      <w:bookmarkStart w:id="951" w:name="_Toc126926421"/>
      <w:bookmarkStart w:id="952" w:name="_Toc127361804"/>
      <w:bookmarkStart w:id="953" w:name="_Toc127367682"/>
      <w:bookmarkStart w:id="954" w:name="_Toc127367754"/>
      <w:bookmarkStart w:id="955" w:name="_Toc127873462"/>
      <w:bookmarkStart w:id="956" w:name="_Toc127881138"/>
      <w:bookmarkStart w:id="957" w:name="_Toc127883124"/>
      <w:bookmarkStart w:id="958" w:name="_Toc127884717"/>
      <w:bookmarkStart w:id="959" w:name="_Toc127885782"/>
      <w:bookmarkStart w:id="960" w:name="_Toc127892101"/>
      <w:bookmarkStart w:id="961" w:name="_Toc127949773"/>
      <w:bookmarkStart w:id="962" w:name="_Toc127954297"/>
      <w:bookmarkStart w:id="963" w:name="_Toc127958436"/>
      <w:bookmarkStart w:id="964" w:name="_Toc127960316"/>
      <w:bookmarkStart w:id="965" w:name="_Toc127960422"/>
      <w:bookmarkStart w:id="966" w:name="_Toc127962408"/>
      <w:bookmarkStart w:id="967" w:name="_Toc127963087"/>
      <w:bookmarkStart w:id="968" w:name="_Toc127964086"/>
      <w:bookmarkStart w:id="969" w:name="_Toc127964540"/>
      <w:bookmarkStart w:id="970" w:name="_Toc127957703"/>
      <w:bookmarkStart w:id="971" w:name="_Toc127968793"/>
      <w:bookmarkStart w:id="972" w:name="_Toc127968822"/>
      <w:bookmarkStart w:id="973" w:name="_Toc127969685"/>
      <w:bookmarkStart w:id="974" w:name="_Toc127970403"/>
      <w:bookmarkStart w:id="975" w:name="_Toc127971965"/>
      <w:bookmarkStart w:id="976" w:name="_Toc127974277"/>
      <w:bookmarkStart w:id="977" w:name="_Toc127974799"/>
      <w:bookmarkStart w:id="978" w:name="_Toc127975954"/>
      <w:bookmarkStart w:id="979" w:name="_Toc127976385"/>
      <w:bookmarkStart w:id="980" w:name="_Toc127977525"/>
      <w:bookmarkStart w:id="981" w:name="_Toc127977853"/>
      <w:bookmarkStart w:id="982" w:name="_Toc127978622"/>
      <w:bookmarkStart w:id="983" w:name="_Toc127981305"/>
      <w:bookmarkStart w:id="984" w:name="_Toc127981918"/>
      <w:bookmarkStart w:id="985" w:name="_Toc127982863"/>
      <w:bookmarkStart w:id="986" w:name="_Toc128037617"/>
      <w:bookmarkStart w:id="987" w:name="_Toc128039386"/>
      <w:bookmarkStart w:id="988" w:name="_Toc128040532"/>
      <w:bookmarkStart w:id="989" w:name="_Toc128041554"/>
      <w:bookmarkStart w:id="990" w:name="_Toc128043359"/>
      <w:bookmarkStart w:id="991" w:name="_Toc128044751"/>
      <w:bookmarkStart w:id="992" w:name="_Toc128046334"/>
      <w:bookmarkStart w:id="993" w:name="_Toc128047219"/>
      <w:bookmarkStart w:id="994" w:name="_Toc128048246"/>
      <w:bookmarkStart w:id="995" w:name="_Toc128049418"/>
      <w:bookmarkStart w:id="996" w:name="_Toc128054955"/>
      <w:bookmarkStart w:id="997" w:name="_Toc128062100"/>
      <w:bookmarkStart w:id="998" w:name="_Toc128063238"/>
      <w:bookmarkStart w:id="999" w:name="_Toc128064573"/>
      <w:bookmarkStart w:id="1000" w:name="_Toc128065146"/>
      <w:bookmarkStart w:id="1001" w:name="_Toc128064937"/>
      <w:bookmarkStart w:id="1002" w:name="_Toc128125904"/>
      <w:bookmarkStart w:id="1003" w:name="_Toc128126146"/>
      <w:bookmarkStart w:id="1004" w:name="_Toc129345270"/>
      <w:bookmarkStart w:id="1005" w:name="_Toc129346018"/>
      <w:bookmarkStart w:id="1006" w:name="_Toc129348497"/>
      <w:bookmarkStart w:id="1007" w:name="_Toc129348588"/>
      <w:bookmarkStart w:id="1008" w:name="_Toc129349416"/>
      <w:bookmarkStart w:id="1009" w:name="_Toc129351675"/>
      <w:bookmarkStart w:id="1010" w:name="_Toc129353953"/>
      <w:bookmarkStart w:id="1011" w:name="_Toc129355783"/>
      <w:bookmarkStart w:id="1012" w:name="_Toc129354151"/>
      <w:bookmarkStart w:id="1013" w:name="_Toc129354253"/>
      <w:bookmarkStart w:id="1014" w:name="_Toc129356733"/>
      <w:bookmarkStart w:id="1015" w:name="_Toc129359514"/>
      <w:bookmarkStart w:id="1016" w:name="_Toc129359604"/>
      <w:bookmarkStart w:id="1017" w:name="_Toc129360254"/>
      <w:bookmarkStart w:id="1018" w:name="_Toc129360499"/>
      <w:bookmarkStart w:id="1019" w:name="_Toc129360826"/>
      <w:bookmarkStart w:id="1020" w:name="_Toc132293090"/>
      <w:bookmarkStart w:id="1021" w:name="_Toc132293467"/>
      <w:bookmarkStart w:id="1022" w:name="_Toc132293556"/>
      <w:bookmarkStart w:id="1023" w:name="_Toc132294170"/>
      <w:bookmarkStart w:id="1024" w:name="_Toc132360623"/>
      <w:bookmarkStart w:id="1025" w:name="_Toc132708335"/>
      <w:bookmarkStart w:id="1026" w:name="_Toc133839369"/>
      <w:bookmarkStart w:id="1027" w:name="_Toc133840274"/>
      <w:r w:rsidRPr="00B50802">
        <w:br w:type="page"/>
      </w:r>
    </w:p>
    <w:p w14:paraId="50466B10" w14:textId="77777777" w:rsidR="00CA6D3A" w:rsidRPr="00B50802" w:rsidRDefault="00CA6D3A" w:rsidP="00393664">
      <w:pPr>
        <w:pStyle w:val="Heading2"/>
        <w:rPr>
          <w:b/>
          <w:bCs/>
        </w:rPr>
      </w:pPr>
      <w:bookmarkStart w:id="1028" w:name="_Toc135162299"/>
      <w:bookmarkStart w:id="1029" w:name="_Toc141972453"/>
      <w:bookmarkStart w:id="1030" w:name="_Toc141972666"/>
      <w:bookmarkStart w:id="1031" w:name="_Toc141972940"/>
      <w:bookmarkStart w:id="1032" w:name="_Toc142042500"/>
      <w:bookmarkStart w:id="1033" w:name="_Toc142042709"/>
      <w:bookmarkStart w:id="1034" w:name="_Toc142051867"/>
      <w:r w:rsidRPr="00B50802">
        <w:lastRenderedPageBreak/>
        <w:t>2.</w:t>
      </w:r>
      <w:bookmarkEnd w:id="943"/>
      <w:bookmarkEnd w:id="944"/>
      <w:bookmarkEnd w:id="945"/>
      <w:bookmarkEnd w:id="946"/>
      <w:bookmarkEnd w:id="947"/>
      <w:bookmarkEnd w:id="948"/>
      <w:bookmarkEnd w:id="949"/>
      <w:bookmarkEnd w:id="950"/>
      <w:bookmarkEnd w:id="951"/>
      <w:r w:rsidR="0083790C" w:rsidRPr="00B50802">
        <w:t xml:space="preserve">3 </w:t>
      </w:r>
      <w:r w:rsidRPr="00B50802">
        <w:t>What is the current approach of governments?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38863787" w14:textId="52E91A73" w:rsidR="00123E2D" w:rsidRPr="00B50802" w:rsidRDefault="00CA6D3A" w:rsidP="00242AC3">
      <w:r w:rsidRPr="00B50802">
        <w:t xml:space="preserve">All levels of government provide support </w:t>
      </w:r>
      <w:r w:rsidR="004C4128" w:rsidRPr="00B50802">
        <w:t>to improve</w:t>
      </w:r>
      <w:r w:rsidRPr="00B50802">
        <w:t xml:space="preserve"> housing </w:t>
      </w:r>
      <w:r w:rsidR="004C4128" w:rsidRPr="00B50802">
        <w:t xml:space="preserve">outcomes </w:t>
      </w:r>
      <w:r w:rsidRPr="00B50802">
        <w:t xml:space="preserve">and </w:t>
      </w:r>
      <w:r w:rsidR="00625CD6" w:rsidRPr="00B50802">
        <w:t xml:space="preserve">address </w:t>
      </w:r>
      <w:r w:rsidRPr="00B50802">
        <w:t xml:space="preserve">homelessness. </w:t>
      </w:r>
      <w:r w:rsidR="002938EE" w:rsidRPr="00B50802">
        <w:t>S</w:t>
      </w:r>
      <w:r w:rsidR="00451C27" w:rsidRPr="00B50802">
        <w:t>tate</w:t>
      </w:r>
      <w:r w:rsidR="002938EE" w:rsidRPr="00B50802">
        <w:t xml:space="preserve"> and territory governments</w:t>
      </w:r>
      <w:r w:rsidR="00451C27" w:rsidRPr="00B50802">
        <w:t xml:space="preserve"> </w:t>
      </w:r>
      <w:r w:rsidR="00D52568" w:rsidRPr="00B50802">
        <w:t>fund and retain responsibility</w:t>
      </w:r>
      <w:r w:rsidR="00451C27" w:rsidRPr="00B50802">
        <w:t xml:space="preserve"> for the day</w:t>
      </w:r>
      <w:r w:rsidR="00393664" w:rsidRPr="00B50802">
        <w:t>-</w:t>
      </w:r>
      <w:r w:rsidR="00451C27" w:rsidRPr="00B50802">
        <w:t>to</w:t>
      </w:r>
      <w:r w:rsidR="00393664" w:rsidRPr="00B50802">
        <w:t>-</w:t>
      </w:r>
      <w:r w:rsidR="00451C27" w:rsidRPr="00B50802">
        <w:t>day provision of housing and homelessness services within their jurisdictions</w:t>
      </w:r>
      <w:r w:rsidR="00123E2D" w:rsidRPr="00B50802">
        <w:t>.</w:t>
      </w:r>
      <w:r w:rsidR="002938EE" w:rsidRPr="00B50802">
        <w:t xml:space="preserve"> </w:t>
      </w:r>
      <w:r w:rsidR="00123E2D" w:rsidRPr="00B50802">
        <w:t>A</w:t>
      </w:r>
      <w:r w:rsidRPr="00B50802">
        <w:t xml:space="preserve">ssistance </w:t>
      </w:r>
      <w:r w:rsidR="008976B5" w:rsidRPr="00B50802">
        <w:t xml:space="preserve">also </w:t>
      </w:r>
      <w:r w:rsidRPr="00B50802">
        <w:t xml:space="preserve">comes in many forms and from a variety of government </w:t>
      </w:r>
      <w:r w:rsidR="00FC3CC7" w:rsidRPr="00B50802">
        <w:t>and non-government bodies.</w:t>
      </w:r>
      <w:r w:rsidR="002C327D" w:rsidRPr="00B50802">
        <w:t xml:space="preserve"> </w:t>
      </w:r>
    </w:p>
    <w:p w14:paraId="100D1368" w14:textId="5E1F0145" w:rsidR="008605FB" w:rsidRPr="00B50802" w:rsidRDefault="5B5DC2B6" w:rsidP="00242AC3">
      <w:r w:rsidRPr="00B50802">
        <w:t xml:space="preserve">Private industries </w:t>
      </w:r>
      <w:r w:rsidR="004A79D5" w:rsidRPr="00B50802">
        <w:t>and the not</w:t>
      </w:r>
      <w:r w:rsidR="008605FB" w:rsidRPr="00B50802">
        <w:t>-</w:t>
      </w:r>
      <w:r w:rsidR="004A79D5" w:rsidRPr="00B50802">
        <w:t>for</w:t>
      </w:r>
      <w:r w:rsidR="008605FB" w:rsidRPr="00B50802">
        <w:t>-</w:t>
      </w:r>
      <w:r w:rsidR="004A79D5" w:rsidRPr="00B50802">
        <w:t>profit and community sectors</w:t>
      </w:r>
      <w:r w:rsidRPr="00B50802">
        <w:t xml:space="preserve"> also have a significant influence on housing and homelessness. </w:t>
      </w:r>
      <w:r w:rsidR="004A79D5" w:rsidRPr="00B50802">
        <w:t>For example, l</w:t>
      </w:r>
      <w:r w:rsidRPr="00B50802">
        <w:t>ending institutions, the real estate industry and manufacturing and construction industries can all influence the affordability of housing</w:t>
      </w:r>
      <w:r w:rsidR="008156AC" w:rsidRPr="00B50802">
        <w:t xml:space="preserve"> (see </w:t>
      </w:r>
      <w:r w:rsidR="008156AC" w:rsidRPr="00B50802">
        <w:rPr>
          <w:i/>
          <w:iCs/>
        </w:rPr>
        <w:t>3.</w:t>
      </w:r>
      <w:r w:rsidR="00BC6DDF">
        <w:rPr>
          <w:i/>
          <w:iCs/>
        </w:rPr>
        <w:t>5</w:t>
      </w:r>
      <w:r w:rsidR="00FF772F" w:rsidRPr="00B50802">
        <w:rPr>
          <w:i/>
          <w:iCs/>
        </w:rPr>
        <w:t xml:space="preserve"> </w:t>
      </w:r>
      <w:r w:rsidR="00BC6DDF">
        <w:rPr>
          <w:i/>
          <w:iCs/>
        </w:rPr>
        <w:t>Housing costs, home ownership and the private rental market in Australia</w:t>
      </w:r>
      <w:r w:rsidR="008156AC" w:rsidRPr="00B50802">
        <w:t>)</w:t>
      </w:r>
      <w:r w:rsidRPr="00B50802">
        <w:t xml:space="preserve">. </w:t>
      </w:r>
      <w:r w:rsidR="001344D0" w:rsidRPr="00B50802">
        <w:t>T</w:t>
      </w:r>
      <w:r w:rsidR="004A79D5" w:rsidRPr="00B50802">
        <w:t xml:space="preserve">he community sector provides a range of supports and services across </w:t>
      </w:r>
      <w:r w:rsidR="004C4128" w:rsidRPr="00B50802">
        <w:t>the</w:t>
      </w:r>
      <w:r w:rsidR="004A79D5" w:rsidRPr="00B50802">
        <w:t xml:space="preserve"> housing </w:t>
      </w:r>
      <w:r w:rsidR="00241641" w:rsidRPr="00B50802">
        <w:t xml:space="preserve">system </w:t>
      </w:r>
      <w:r w:rsidR="001F6829" w:rsidRPr="00B50802">
        <w:t xml:space="preserve">(see </w:t>
      </w:r>
      <w:r w:rsidR="001F6829" w:rsidRPr="00B50802">
        <w:rPr>
          <w:i/>
          <w:iCs/>
        </w:rPr>
        <w:t xml:space="preserve">3.2 </w:t>
      </w:r>
      <w:r w:rsidR="00FF772F" w:rsidRPr="00B50802">
        <w:rPr>
          <w:i/>
          <w:iCs/>
        </w:rPr>
        <w:t>Homelessness services</w:t>
      </w:r>
      <w:r w:rsidR="00FF772F" w:rsidRPr="00B50802">
        <w:t xml:space="preserve"> </w:t>
      </w:r>
      <w:r w:rsidR="001F6829" w:rsidRPr="00B50802">
        <w:t xml:space="preserve">and </w:t>
      </w:r>
      <w:r w:rsidR="001F6829" w:rsidRPr="00B50802">
        <w:rPr>
          <w:i/>
          <w:iCs/>
        </w:rPr>
        <w:t>3.6</w:t>
      </w:r>
      <w:r w:rsidR="00FF772F" w:rsidRPr="00B50802">
        <w:rPr>
          <w:i/>
          <w:iCs/>
        </w:rPr>
        <w:t xml:space="preserve"> The importance of planning, zoning and development</w:t>
      </w:r>
      <w:r w:rsidR="008156AC" w:rsidRPr="00B50802">
        <w:t>)</w:t>
      </w:r>
      <w:r w:rsidR="004A79D5" w:rsidRPr="00B50802">
        <w:t xml:space="preserve">. </w:t>
      </w:r>
    </w:p>
    <w:p w14:paraId="60AE3CB2" w14:textId="77777777" w:rsidR="001236C3" w:rsidRPr="00B50802" w:rsidRDefault="001E59D6" w:rsidP="00242AC3">
      <w:r w:rsidRPr="00B50802">
        <w:t xml:space="preserve">The following section discusses </w:t>
      </w:r>
      <w:r w:rsidR="5B5DC2B6" w:rsidRPr="00B50802">
        <w:t>the roles governments can play.</w:t>
      </w:r>
      <w:r w:rsidR="001236C3" w:rsidRPr="00B50802">
        <w:t xml:space="preserve"> </w:t>
      </w:r>
    </w:p>
    <w:p w14:paraId="175B502F" w14:textId="77777777" w:rsidR="2C7BF222" w:rsidRPr="00E66CEA" w:rsidRDefault="5C2C8ADD" w:rsidP="00E66CEA">
      <w:pPr>
        <w:pStyle w:val="Bullet"/>
        <w:tabs>
          <w:tab w:val="clear" w:pos="520"/>
          <w:tab w:val="num" w:pos="0"/>
        </w:tabs>
        <w:spacing w:after="200"/>
        <w:ind w:left="0" w:firstLine="0"/>
        <w:rPr>
          <w:rFonts w:ascii="Georgia" w:hAnsi="Georgia"/>
          <w:b/>
          <w:sz w:val="28"/>
        </w:rPr>
      </w:pPr>
      <w:bookmarkStart w:id="1035" w:name="_Toc134784686"/>
      <w:bookmarkStart w:id="1036" w:name="_Toc135035205"/>
      <w:bookmarkStart w:id="1037" w:name="_Toc135060882"/>
      <w:bookmarkStart w:id="1038" w:name="_Toc135161353"/>
      <w:bookmarkStart w:id="1039" w:name="_Toc135162216"/>
      <w:bookmarkStart w:id="1040" w:name="_Toc135162300"/>
      <w:bookmarkStart w:id="1041" w:name="_Toc135162474"/>
      <w:bookmarkStart w:id="1042" w:name="_Toc135206053"/>
      <w:bookmarkStart w:id="1043" w:name="_Toc135206138"/>
      <w:bookmarkStart w:id="1044" w:name="_Toc139464296"/>
      <w:bookmarkStart w:id="1045" w:name="_Toc141969831"/>
      <w:bookmarkStart w:id="1046" w:name="_Toc141972454"/>
      <w:bookmarkStart w:id="1047" w:name="_Toc141972667"/>
      <w:bookmarkStart w:id="1048" w:name="_Toc141972941"/>
      <w:bookmarkStart w:id="1049" w:name="_Toc142042501"/>
      <w:bookmarkStart w:id="1050" w:name="_Toc142042710"/>
      <w:r w:rsidRPr="00E66CEA">
        <w:rPr>
          <w:rFonts w:ascii="Georgia" w:hAnsi="Georgia"/>
          <w:b/>
          <w:bCs/>
          <w:sz w:val="28"/>
        </w:rPr>
        <w:t>Roles and responsibilities of governments for housing and homelessness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251FD48C" w14:textId="1629A1D6" w:rsidR="2C7BF222" w:rsidRPr="00B50802" w:rsidRDefault="5C2C8ADD" w:rsidP="00393664">
      <w:r w:rsidRPr="00B50802">
        <w:t>The housing and homelessness sector in Australia is complex and multifaceted</w:t>
      </w:r>
      <w:r w:rsidR="00592B84" w:rsidRPr="00B50802">
        <w:t xml:space="preserve">. It </w:t>
      </w:r>
      <w:r w:rsidRPr="00B50802">
        <w:t xml:space="preserve">requires </w:t>
      </w:r>
      <w:r w:rsidR="009928BC" w:rsidRPr="00B50802">
        <w:br/>
      </w:r>
      <w:r w:rsidRPr="00B50802">
        <w:t xml:space="preserve">a collaborative effort. </w:t>
      </w:r>
    </w:p>
    <w:p w14:paraId="34FC3C0B" w14:textId="42D230D0" w:rsidR="00DC6072" w:rsidRPr="00B75F7D" w:rsidRDefault="001406AB" w:rsidP="00DC6072">
      <w:pPr>
        <w:pStyle w:val="Bullets"/>
        <w:ind w:left="0" w:firstLine="0"/>
      </w:pPr>
      <w:r w:rsidRPr="00B50802">
        <w:t>S</w:t>
      </w:r>
      <w:r w:rsidR="5C2C8ADD" w:rsidRPr="00B50802">
        <w:t>tate</w:t>
      </w:r>
      <w:r w:rsidR="00CC6A20" w:rsidRPr="00B50802">
        <w:t xml:space="preserve"> </w:t>
      </w:r>
      <w:r w:rsidR="003D2E80" w:rsidRPr="00B50802">
        <w:t>and</w:t>
      </w:r>
      <w:r w:rsidR="00CC6A20" w:rsidRPr="00B50802">
        <w:t xml:space="preserve"> local governments </w:t>
      </w:r>
      <w:r w:rsidR="5C2C8ADD" w:rsidRPr="00B50802">
        <w:t xml:space="preserve">are much closer to local housing markets, </w:t>
      </w:r>
      <w:r w:rsidR="004C4128" w:rsidRPr="00B50802">
        <w:t xml:space="preserve">with more direct </w:t>
      </w:r>
      <w:r w:rsidR="00587C65" w:rsidRPr="00B50802">
        <w:t>housing and homelessness levers</w:t>
      </w:r>
      <w:r w:rsidR="008D12C6">
        <w:t>. They</w:t>
      </w:r>
      <w:r w:rsidR="5C2C8ADD" w:rsidRPr="00B50802" w:rsidDel="008D12C6">
        <w:t xml:space="preserve"> </w:t>
      </w:r>
      <w:r w:rsidR="5C2C8ADD" w:rsidRPr="00B50802">
        <w:t xml:space="preserve">are responsible </w:t>
      </w:r>
      <w:r w:rsidR="00DC6072">
        <w:t>for</w:t>
      </w:r>
      <w:r w:rsidR="00576BEE">
        <w:t xml:space="preserve"> </w:t>
      </w:r>
      <w:r w:rsidR="00576BEE" w:rsidRPr="00B75F7D">
        <w:t>developing and implementing housing and planning policies including</w:t>
      </w:r>
      <w:r w:rsidR="000342A6" w:rsidRPr="00DC6072">
        <w:t xml:space="preserve"> </w:t>
      </w:r>
      <w:r w:rsidR="5C2C8ADD" w:rsidRPr="00DC6072">
        <w:t xml:space="preserve">overseeing </w:t>
      </w:r>
      <w:r w:rsidR="00026A78" w:rsidRPr="00DC6072">
        <w:t xml:space="preserve">planning, </w:t>
      </w:r>
      <w:r w:rsidR="5C2C8ADD" w:rsidRPr="00DC6072">
        <w:t>land release and zoning, land taxes, tenancy legislation,</w:t>
      </w:r>
      <w:r w:rsidR="00DC6072" w:rsidRPr="00B75F7D">
        <w:t xml:space="preserve"> </w:t>
      </w:r>
      <w:r w:rsidR="5C2C8ADD" w:rsidRPr="00DC6072">
        <w:t>and stamp duty.</w:t>
      </w:r>
      <w:r w:rsidR="00DC6072">
        <w:t xml:space="preserve"> </w:t>
      </w:r>
    </w:p>
    <w:p w14:paraId="5AF119CA" w14:textId="703A02EF" w:rsidR="004C4128" w:rsidRDefault="00DC6072" w:rsidP="00393664">
      <w:r>
        <w:t>S</w:t>
      </w:r>
      <w:r w:rsidR="004C4128" w:rsidRPr="00B50802">
        <w:t>tates are also responsible for providing and maintaining social housing assets, providing emergency accommodation and other homelessness services.</w:t>
      </w:r>
      <w:r w:rsidR="004C4128" w:rsidRPr="002C706F">
        <w:t xml:space="preserve"> </w:t>
      </w:r>
      <w:r w:rsidR="004C4128" w:rsidRPr="00B50802">
        <w:t>States are also required to address the needs of specific priority cohorts in their state homelessness plans. These include women and children affected by family violence, children and young people, Indigenous Australians, people experiencing repeat homelessness, people exiting institutions and care into homelessness, and older people.</w:t>
      </w:r>
      <w:r w:rsidR="004C4128" w:rsidRPr="00B50802">
        <w:rPr>
          <w:rStyle w:val="FootnoteReference"/>
          <w:rFonts w:cs="Arial"/>
          <w:bdr w:val="none" w:sz="0" w:space="0" w:color="auto" w:frame="1"/>
        </w:rPr>
        <w:footnoteReference w:id="12"/>
      </w:r>
    </w:p>
    <w:p w14:paraId="38C32F50" w14:textId="2A0A3783" w:rsidR="00DC6072" w:rsidRPr="00B75F7D" w:rsidRDefault="00DC6072" w:rsidP="00393664">
      <w:pPr>
        <w:rPr>
          <w:rFonts w:cs="Arial"/>
          <w:shd w:val="clear" w:color="auto" w:fill="FFFFFF"/>
        </w:rPr>
      </w:pPr>
      <w:r w:rsidRPr="00B75F7D">
        <w:rPr>
          <w:rFonts w:cs="Arial"/>
          <w:color w:val="212529"/>
          <w:shd w:val="clear" w:color="auto" w:fill="FFFFFF"/>
        </w:rPr>
        <w:t>Responsibility for planning and land use regulation is shared between</w:t>
      </w:r>
      <w:r w:rsidRPr="00B75F7D">
        <w:t xml:space="preserve"> local and state and territory governments. State and territory governments are responsible for </w:t>
      </w:r>
      <w:r w:rsidR="009C0BDE" w:rsidRPr="00B75F7D">
        <w:t>overarching planning and development policies</w:t>
      </w:r>
      <w:r w:rsidR="009C0BDE" w:rsidRPr="00B75F7D">
        <w:rPr>
          <w:rFonts w:cs="Arial"/>
        </w:rPr>
        <w:t xml:space="preserve">, </w:t>
      </w:r>
      <w:r w:rsidRPr="00B75F7D">
        <w:rPr>
          <w:rFonts w:cs="Arial"/>
        </w:rPr>
        <w:t>strategic plans for metropolitan and regional areas, coordinating and investing in major infrastructure</w:t>
      </w:r>
      <w:r w:rsidRPr="00B75F7D">
        <w:t xml:space="preserve"> L</w:t>
      </w:r>
      <w:r w:rsidRPr="00B75F7D">
        <w:rPr>
          <w:rFonts w:cs="Arial"/>
        </w:rPr>
        <w:t>ocal governm</w:t>
      </w:r>
      <w:r w:rsidRPr="00B75F7D">
        <w:rPr>
          <w:rFonts w:cs="Arial"/>
          <w:shd w:val="clear" w:color="auto" w:fill="FFFFFF"/>
        </w:rPr>
        <w:t xml:space="preserve">ents </w:t>
      </w:r>
      <w:r w:rsidRPr="00B75F7D">
        <w:rPr>
          <w:rFonts w:cs="Arial"/>
        </w:rPr>
        <w:t xml:space="preserve">are </w:t>
      </w:r>
      <w:r w:rsidRPr="00B75F7D">
        <w:rPr>
          <w:rFonts w:cs="Arial"/>
          <w:shd w:val="clear" w:color="auto" w:fill="FFFFFF"/>
        </w:rPr>
        <w:t>responsible for developing and implementing land use plans at the local level and processing the majority of development proposals.</w:t>
      </w:r>
      <w:r w:rsidR="00AF389D" w:rsidRPr="00B75F7D">
        <w:rPr>
          <w:rStyle w:val="FootnoteReference"/>
          <w:rFonts w:cs="Arial"/>
          <w:shd w:val="clear" w:color="auto" w:fill="FFFFFF"/>
        </w:rPr>
        <w:footnoteReference w:id="13"/>
      </w:r>
    </w:p>
    <w:p w14:paraId="23E5292A" w14:textId="2B04557D" w:rsidR="00A43E7F" w:rsidRPr="00A43E7F" w:rsidRDefault="00A43E7F" w:rsidP="00393664">
      <w:pPr>
        <w:rPr>
          <w:rFonts w:cs="Arial"/>
        </w:rPr>
      </w:pPr>
      <w:r w:rsidRPr="00B75F7D">
        <w:t xml:space="preserve">The Australian Government is responsible for coordinating national policies, which indirectly influence the affordability of housing, including tax settings, financial regulation, and income support policy. </w:t>
      </w:r>
      <w:r w:rsidRPr="00B75F7D">
        <w:rPr>
          <w:rStyle w:val="Strong"/>
          <w:rFonts w:cs="Arial"/>
          <w:b w:val="0"/>
        </w:rPr>
        <w:t>Australia’s central bank, the Reserve Bank of Australia influences the cost of home mortgages through monetary policy.</w:t>
      </w:r>
      <w:r w:rsidRPr="00B50802">
        <w:rPr>
          <w:rStyle w:val="Strong"/>
          <w:rFonts w:cs="Arial"/>
          <w:b w:val="0"/>
        </w:rPr>
        <w:t xml:space="preserve"> </w:t>
      </w:r>
    </w:p>
    <w:p w14:paraId="4B3A7C93" w14:textId="14A779C0" w:rsidR="2C7BF222" w:rsidRPr="00B50802" w:rsidRDefault="5C2C8ADD" w:rsidP="00393664">
      <w:r w:rsidRPr="00B50802">
        <w:lastRenderedPageBreak/>
        <w:t xml:space="preserve">Governments </w:t>
      </w:r>
      <w:r w:rsidR="004C4128" w:rsidRPr="00B50802">
        <w:t>can also</w:t>
      </w:r>
      <w:r w:rsidRPr="00B50802">
        <w:t xml:space="preserve"> provide direct support through interventions in response to market failure, economic </w:t>
      </w:r>
      <w:r w:rsidR="004C4128" w:rsidRPr="00B75F7D">
        <w:t>conditions</w:t>
      </w:r>
      <w:r w:rsidRPr="00B50802">
        <w:t xml:space="preserve">, disasters, </w:t>
      </w:r>
      <w:r w:rsidR="005A6F7A" w:rsidRPr="00B50802">
        <w:t xml:space="preserve">and </w:t>
      </w:r>
      <w:r w:rsidRPr="00B50802">
        <w:t xml:space="preserve">to assist specific vulnerable or disadvantaged groups. </w:t>
      </w:r>
    </w:p>
    <w:p w14:paraId="1DC9F855" w14:textId="77777777" w:rsidR="2C7BF222" w:rsidRPr="00B50802" w:rsidRDefault="005A6F7A" w:rsidP="00393664">
      <w:r w:rsidRPr="00B50802">
        <w:t>Additionally, g</w:t>
      </w:r>
      <w:r w:rsidR="5C2C8ADD" w:rsidRPr="00B50802">
        <w:t>overnments</w:t>
      </w:r>
      <w:r w:rsidR="00DB4C43" w:rsidRPr="00B50802">
        <w:t xml:space="preserve"> </w:t>
      </w:r>
      <w:r w:rsidR="5C2C8ADD" w:rsidRPr="00B50802">
        <w:t xml:space="preserve">provide </w:t>
      </w:r>
      <w:r w:rsidR="007056F5" w:rsidRPr="00B50802">
        <w:t xml:space="preserve">support and services related to </w:t>
      </w:r>
      <w:r w:rsidR="5C2C8ADD" w:rsidRPr="00B50802">
        <w:t>social security, health, disability, employment, aged care, child and family support, mental health, drug and alcohol</w:t>
      </w:r>
      <w:r w:rsidR="007056F5" w:rsidRPr="00B50802">
        <w:t>,</w:t>
      </w:r>
      <w:r w:rsidR="5C2C8ADD" w:rsidRPr="00B50802">
        <w:t xml:space="preserve"> and family and domestic violence</w:t>
      </w:r>
      <w:r w:rsidR="007056F5" w:rsidRPr="00B50802">
        <w:t xml:space="preserve"> </w:t>
      </w:r>
      <w:r w:rsidR="00F1405A" w:rsidRPr="00B50802">
        <w:t xml:space="preserve">– </w:t>
      </w:r>
      <w:r w:rsidR="5C2C8ADD" w:rsidRPr="00B50802">
        <w:t>often required for people accessing housing and homelessness support.</w:t>
      </w:r>
    </w:p>
    <w:p w14:paraId="6848A20E" w14:textId="77777777" w:rsidR="2C7BF222" w:rsidRPr="00E66CEA" w:rsidRDefault="008C377F" w:rsidP="00E66CEA">
      <w:pPr>
        <w:pStyle w:val="Bullet"/>
        <w:tabs>
          <w:tab w:val="clear" w:pos="520"/>
          <w:tab w:val="num" w:pos="0"/>
        </w:tabs>
        <w:spacing w:after="200"/>
        <w:ind w:left="0" w:firstLine="0"/>
        <w:rPr>
          <w:rStyle w:val="Strong"/>
          <w:b w:val="0"/>
          <w:bCs w:val="0"/>
        </w:rPr>
      </w:pPr>
      <w:bookmarkStart w:id="1051" w:name="_Toc134784687"/>
      <w:bookmarkStart w:id="1052" w:name="_Toc135035206"/>
      <w:bookmarkStart w:id="1053" w:name="_Toc135060883"/>
      <w:bookmarkStart w:id="1054" w:name="_Toc135161354"/>
      <w:bookmarkStart w:id="1055" w:name="_Toc135162217"/>
      <w:bookmarkStart w:id="1056" w:name="_Toc135162301"/>
      <w:bookmarkStart w:id="1057" w:name="_Toc135162475"/>
      <w:bookmarkStart w:id="1058" w:name="_Toc135206054"/>
      <w:bookmarkStart w:id="1059" w:name="_Toc135206139"/>
      <w:bookmarkStart w:id="1060" w:name="_Toc139464297"/>
      <w:bookmarkStart w:id="1061" w:name="_Toc141969832"/>
      <w:bookmarkStart w:id="1062" w:name="_Toc141972455"/>
      <w:bookmarkStart w:id="1063" w:name="_Toc141972668"/>
      <w:bookmarkStart w:id="1064" w:name="_Toc141972942"/>
      <w:bookmarkStart w:id="1065" w:name="_Toc142042502"/>
      <w:bookmarkStart w:id="1066" w:name="_Toc142042711"/>
      <w:r w:rsidRPr="00E66CEA">
        <w:rPr>
          <w:rFonts w:ascii="Georgia" w:hAnsi="Georgia"/>
          <w:b/>
          <w:sz w:val="28"/>
        </w:rPr>
        <w:t xml:space="preserve">National housing and homelessness </w:t>
      </w:r>
      <w:r w:rsidR="003D2E80" w:rsidRPr="00E66CEA">
        <w:rPr>
          <w:rFonts w:ascii="Georgia" w:hAnsi="Georgia"/>
          <w:b/>
          <w:sz w:val="28"/>
        </w:rPr>
        <w:t xml:space="preserve">strategies and </w:t>
      </w:r>
      <w:r w:rsidRPr="00E66CEA">
        <w:rPr>
          <w:rFonts w:ascii="Georgia" w:hAnsi="Georgia"/>
          <w:b/>
          <w:sz w:val="28"/>
        </w:rPr>
        <w:t>funding agreements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06AFABD3" w14:textId="661B440F" w:rsidR="00046981" w:rsidRPr="00B50802" w:rsidRDefault="009E056C">
      <w:pPr>
        <w:rPr>
          <w:rFonts w:eastAsiaTheme="majorEastAsia" w:cstheme="majorBidi"/>
          <w:bCs/>
          <w:i/>
          <w:iCs/>
        </w:rPr>
      </w:pPr>
      <w:r w:rsidRPr="00B50802">
        <w:t>G</w:t>
      </w:r>
      <w:r w:rsidR="006C0D40" w:rsidRPr="00B50802">
        <w:t>overnment</w:t>
      </w:r>
      <w:r w:rsidRPr="00B50802">
        <w:t>s</w:t>
      </w:r>
      <w:r w:rsidR="006C0D40" w:rsidRPr="00B50802">
        <w:t xml:space="preserve"> provide funding for housing and homelessness services through </w:t>
      </w:r>
      <w:r w:rsidR="007056F5" w:rsidRPr="00B50802">
        <w:t xml:space="preserve">several </w:t>
      </w:r>
      <w:r w:rsidR="006C0D40" w:rsidRPr="00B50802">
        <w:t xml:space="preserve">mechanisms, </w:t>
      </w:r>
      <w:r w:rsidRPr="00B50802">
        <w:t>including funding</w:t>
      </w:r>
      <w:r w:rsidR="00CC6A20" w:rsidRPr="00B50802">
        <w:t xml:space="preserve"> arrangements</w:t>
      </w:r>
      <w:r w:rsidRPr="00B50802">
        <w:t xml:space="preserve"> between the Commonwealth and the states</w:t>
      </w:r>
      <w:r w:rsidR="00CB7334" w:rsidRPr="00B50802">
        <w:t xml:space="preserve"> and territories</w:t>
      </w:r>
      <w:r w:rsidRPr="00B50802">
        <w:t>.</w:t>
      </w:r>
    </w:p>
    <w:p w14:paraId="1C5F72EE" w14:textId="104ED8F9" w:rsidR="00E12ACA" w:rsidRPr="00B50802" w:rsidRDefault="00EA4725" w:rsidP="00C40492">
      <w:pPr>
        <w:pStyle w:val="Heading4"/>
        <w:spacing w:after="240"/>
        <w:rPr>
          <w:b w:val="0"/>
          <w:i w:val="0"/>
        </w:rPr>
      </w:pPr>
      <w:r w:rsidRPr="00B50802">
        <w:rPr>
          <w:b w:val="0"/>
          <w:i w:val="0"/>
        </w:rPr>
        <w:t xml:space="preserve">The National Housing and Homelessness Agreement </w:t>
      </w:r>
      <w:r w:rsidR="00451319" w:rsidRPr="00B50802">
        <w:rPr>
          <w:b w:val="0"/>
          <w:i w:val="0"/>
        </w:rPr>
        <w:t xml:space="preserve">(NHHA) </w:t>
      </w:r>
      <w:r w:rsidRPr="00B50802">
        <w:rPr>
          <w:b w:val="0"/>
          <w:i w:val="0"/>
        </w:rPr>
        <w:t xml:space="preserve">is the major funding agreement between </w:t>
      </w:r>
      <w:r w:rsidR="009E056C" w:rsidRPr="00B50802">
        <w:rPr>
          <w:b w:val="0"/>
          <w:i w:val="0"/>
        </w:rPr>
        <w:t>the Commonwealth and the States</w:t>
      </w:r>
      <w:r w:rsidR="00451319" w:rsidRPr="00B50802">
        <w:rPr>
          <w:b w:val="0"/>
          <w:i w:val="0"/>
        </w:rPr>
        <w:t xml:space="preserve">. Under the NHHA, states have authority and responsibility for determining the types and locations for </w:t>
      </w:r>
      <w:r w:rsidR="00E44AFD" w:rsidRPr="00B50802">
        <w:rPr>
          <w:b w:val="0"/>
          <w:i w:val="0"/>
        </w:rPr>
        <w:t xml:space="preserve">state </w:t>
      </w:r>
      <w:r w:rsidR="00451319" w:rsidRPr="00B50802">
        <w:rPr>
          <w:b w:val="0"/>
          <w:i w:val="0"/>
        </w:rPr>
        <w:t>social housing and homelessness services</w:t>
      </w:r>
      <w:r w:rsidR="00E44AFD" w:rsidRPr="00B50802">
        <w:rPr>
          <w:b w:val="0"/>
          <w:i w:val="0"/>
        </w:rPr>
        <w:t>.</w:t>
      </w:r>
    </w:p>
    <w:p w14:paraId="1C78227F" w14:textId="3F0EDBD3" w:rsidR="00540DF4" w:rsidRPr="00B50802" w:rsidRDefault="001F5B4A" w:rsidP="004C4128">
      <w:pPr>
        <w:rPr>
          <w:sz w:val="20"/>
          <w:szCs w:val="20"/>
        </w:rPr>
      </w:pPr>
      <w:r w:rsidRPr="00B50802">
        <w:t>T</w:t>
      </w:r>
      <w:r w:rsidR="5C2C8ADD" w:rsidRPr="00B50802">
        <w:t>he NHHA</w:t>
      </w:r>
      <w:r w:rsidR="00451319" w:rsidRPr="00B50802">
        <w:t xml:space="preserve"> </w:t>
      </w:r>
      <w:r w:rsidRPr="00B50802">
        <w:t>commence</w:t>
      </w:r>
      <w:r w:rsidR="00CF0032" w:rsidRPr="00B50802">
        <w:t>d</w:t>
      </w:r>
      <w:r w:rsidRPr="00B50802">
        <w:t xml:space="preserve"> on 1 July 2018</w:t>
      </w:r>
      <w:r w:rsidR="5C2C8ADD" w:rsidRPr="00B50802">
        <w:t xml:space="preserve">. Under the </w:t>
      </w:r>
      <w:r w:rsidR="008870C8" w:rsidRPr="00B50802">
        <w:t>NHHA</w:t>
      </w:r>
      <w:r w:rsidR="5C2C8ADD" w:rsidRPr="00B50802">
        <w:t xml:space="preserve">, the </w:t>
      </w:r>
      <w:r w:rsidR="00EC2CD3" w:rsidRPr="00B50802">
        <w:t>Australian Government</w:t>
      </w:r>
      <w:r w:rsidR="00734FB7" w:rsidRPr="00B50802" w:rsidDel="002B2FD7">
        <w:t xml:space="preserve"> </w:t>
      </w:r>
      <w:r w:rsidR="002B2FD7" w:rsidRPr="00B50802">
        <w:t xml:space="preserve">has </w:t>
      </w:r>
      <w:r w:rsidR="00734FB7" w:rsidRPr="00B50802">
        <w:t>provided</w:t>
      </w:r>
      <w:r w:rsidR="5C2C8ADD" w:rsidRPr="00B50802">
        <w:t xml:space="preserve"> around $1.6 billion each year to the states to</w:t>
      </w:r>
      <w:r w:rsidR="00073236" w:rsidRPr="00B50802">
        <w:t xml:space="preserve"> support them to</w:t>
      </w:r>
      <w:r w:rsidR="5C2C8ADD" w:rsidRPr="00B50802">
        <w:t xml:space="preserve"> deliver </w:t>
      </w:r>
      <w:r w:rsidR="00625CD6" w:rsidRPr="00B50802">
        <w:t>on their</w:t>
      </w:r>
      <w:r w:rsidR="5C2C8ADD" w:rsidRPr="00B50802">
        <w:t xml:space="preserve"> housing and homelessness services and programs. </w:t>
      </w:r>
      <w:r w:rsidR="0074172E" w:rsidRPr="00B75F7D">
        <w:t>From 2018-19 to 2022-23 the Government has provided around $8 billion to states through the NHHA.</w:t>
      </w:r>
      <w:r w:rsidR="0074172E" w:rsidRPr="0074172E">
        <w:t xml:space="preserve"> </w:t>
      </w:r>
      <w:r w:rsidR="001919F5" w:rsidRPr="00B50802">
        <w:t>The s</w:t>
      </w:r>
      <w:r w:rsidR="5C2C8ADD" w:rsidRPr="00B50802">
        <w:t>tates use funding from the NHHA as well as their own state budgets to deliver housing and homelessness services.</w:t>
      </w:r>
    </w:p>
    <w:p w14:paraId="47D0324F" w14:textId="221C14D2" w:rsidR="00540DF4" w:rsidRPr="00B50802" w:rsidRDefault="00540DF4" w:rsidP="00D80D75">
      <w:pPr>
        <w:spacing w:line="240" w:lineRule="auto"/>
      </w:pPr>
      <w:r w:rsidRPr="00B50802">
        <w:t xml:space="preserve">General funding under the NHHA is distributed between </w:t>
      </w:r>
      <w:r w:rsidR="006B2A1D">
        <w:t>the</w:t>
      </w:r>
      <w:r w:rsidRPr="00B50802">
        <w:t xml:space="preserve"> states according to the share of the total population in each jurisdiction. Homelessness funding is distributed according to the share of the homeless population in each jurisdiction.</w:t>
      </w:r>
    </w:p>
    <w:p w14:paraId="1926E82E" w14:textId="77777777" w:rsidR="00D80D75" w:rsidRPr="00B50802" w:rsidRDefault="00D80D75" w:rsidP="00D80D75">
      <w:r w:rsidRPr="00B50802">
        <w:rPr>
          <w:rFonts w:cs="Arial"/>
        </w:rPr>
        <w:t xml:space="preserve">The Productivity Commission provided a detailed review of the NHHA and provided a series of recommendations that will be considered in the development of the Plan. You can read the review </w:t>
      </w:r>
      <w:r w:rsidR="00A43E39" w:rsidRPr="00B50802">
        <w:rPr>
          <w:rFonts w:cs="Arial"/>
        </w:rPr>
        <w:t>at</w:t>
      </w:r>
      <w:r w:rsidRPr="00B50802">
        <w:rPr>
          <w:rFonts w:cs="Arial"/>
        </w:rPr>
        <w:t xml:space="preserve"> </w:t>
      </w:r>
      <w:hyperlink r:id="rId80" w:history="1">
        <w:r w:rsidRPr="00B50802">
          <w:rPr>
            <w:rStyle w:val="Hyperlink"/>
            <w:rFonts w:cs="Arial"/>
          </w:rPr>
          <w:t>Study Report - Housing and Homelessness Agreement Review - Productivity Commission (pc.gov.au)</w:t>
        </w:r>
      </w:hyperlink>
    </w:p>
    <w:p w14:paraId="04A5DA45" w14:textId="54B04F69" w:rsidR="00D22C72" w:rsidRPr="00B50802" w:rsidRDefault="00D22C72" w:rsidP="00CA6D3A">
      <w:pPr>
        <w:rPr>
          <w:i/>
        </w:rPr>
      </w:pPr>
      <w:r w:rsidRPr="00B50802">
        <w:t>The NHHA funding is only a proportion of the total housing assistance dollars</w:t>
      </w:r>
      <w:r w:rsidR="000E042B" w:rsidRPr="00B50802">
        <w:t>. A</w:t>
      </w:r>
      <w:r w:rsidRPr="00B50802">
        <w:t>round</w:t>
      </w:r>
      <w:r w:rsidR="007B7112" w:rsidRPr="00B50802">
        <w:t xml:space="preserve"> $16</w:t>
      </w:r>
      <w:r w:rsidR="007D3668">
        <w:t> </w:t>
      </w:r>
      <w:r w:rsidR="007B7112" w:rsidRPr="00B50802">
        <w:t xml:space="preserve">billion </w:t>
      </w:r>
      <w:r w:rsidR="000E042B" w:rsidRPr="00B50802">
        <w:t>is spent annually</w:t>
      </w:r>
      <w:r w:rsidRPr="00B50802">
        <w:t xml:space="preserve"> on housing assistance by the Commonwealth, and state and territory governments.</w:t>
      </w:r>
      <w:r w:rsidR="00F36D6F" w:rsidRPr="00B50802">
        <w:rPr>
          <w:rStyle w:val="FootnoteReference"/>
        </w:rPr>
        <w:footnoteReference w:id="14"/>
      </w:r>
    </w:p>
    <w:p w14:paraId="69B34D53" w14:textId="77777777" w:rsidR="00ED03D5" w:rsidRPr="00B50802" w:rsidRDefault="006C0D40" w:rsidP="001B6B75">
      <w:pPr>
        <w:keepNext/>
        <w:keepLines/>
        <w:rPr>
          <w:bCs/>
          <w:i/>
          <w:iCs/>
        </w:rPr>
      </w:pPr>
      <w:r w:rsidRPr="00B50802">
        <w:rPr>
          <w:bCs/>
          <w:i/>
          <w:iCs/>
        </w:rPr>
        <w:lastRenderedPageBreak/>
        <w:t xml:space="preserve">The </w:t>
      </w:r>
      <w:r w:rsidR="00EC2CD3" w:rsidRPr="00B50802">
        <w:rPr>
          <w:bCs/>
          <w:i/>
          <w:iCs/>
        </w:rPr>
        <w:t>Australian Government</w:t>
      </w:r>
      <w:r w:rsidRPr="00B50802">
        <w:rPr>
          <w:bCs/>
          <w:i/>
          <w:iCs/>
        </w:rPr>
        <w:t xml:space="preserve"> also partners with states to deliver other </w:t>
      </w:r>
      <w:r w:rsidR="00DF6FA8" w:rsidRPr="00B50802">
        <w:rPr>
          <w:bCs/>
          <w:i/>
          <w:iCs/>
        </w:rPr>
        <w:t>strategies</w:t>
      </w:r>
      <w:r w:rsidR="00F027AF" w:rsidRPr="00B50802">
        <w:rPr>
          <w:bCs/>
          <w:i/>
          <w:iCs/>
        </w:rPr>
        <w:t xml:space="preserve"> and </w:t>
      </w:r>
      <w:r w:rsidRPr="00B50802">
        <w:rPr>
          <w:bCs/>
          <w:i/>
          <w:iCs/>
        </w:rPr>
        <w:t>agreements</w:t>
      </w:r>
    </w:p>
    <w:p w14:paraId="1EAA5534" w14:textId="77777777" w:rsidR="00DF6FA8" w:rsidRPr="00B50802" w:rsidRDefault="00DF6FA8" w:rsidP="001B6B75">
      <w:pPr>
        <w:keepNext/>
        <w:keepLines/>
      </w:pPr>
      <w:r w:rsidRPr="00B50802">
        <w:t xml:space="preserve">In addition to </w:t>
      </w:r>
      <w:r w:rsidR="00090FF1" w:rsidRPr="00B50802">
        <w:t xml:space="preserve">funding agreements such as the </w:t>
      </w:r>
      <w:r w:rsidRPr="00B50802">
        <w:t>NHHA</w:t>
      </w:r>
      <w:r w:rsidR="00CF0032" w:rsidRPr="00B50802">
        <w:t>,</w:t>
      </w:r>
      <w:r w:rsidRPr="00B50802">
        <w:t xml:space="preserve"> the </w:t>
      </w:r>
      <w:r w:rsidR="00EC2CD3" w:rsidRPr="00B50802">
        <w:t>Australian</w:t>
      </w:r>
      <w:r w:rsidR="00427531" w:rsidRPr="00B50802">
        <w:t xml:space="preserve"> G</w:t>
      </w:r>
      <w:r w:rsidRPr="00B50802">
        <w:t xml:space="preserve">overnment </w:t>
      </w:r>
      <w:r w:rsidR="00A95C6C" w:rsidRPr="00B50802">
        <w:t>has partnered</w:t>
      </w:r>
      <w:r w:rsidRPr="00B50802">
        <w:t xml:space="preserve"> with states to: </w:t>
      </w:r>
    </w:p>
    <w:p w14:paraId="11F4907E" w14:textId="38140877" w:rsidR="004538CC" w:rsidRPr="00B50802" w:rsidRDefault="00DA24CE" w:rsidP="00296045">
      <w:pPr>
        <w:pStyle w:val="Bullets"/>
        <w:keepNext/>
        <w:keepLines/>
        <w:numPr>
          <w:ilvl w:val="0"/>
          <w:numId w:val="30"/>
        </w:numPr>
        <w:ind w:left="709"/>
      </w:pPr>
      <w:r w:rsidRPr="00B50802">
        <w:rPr>
          <w:bdr w:val="none" w:sz="0" w:space="0" w:color="auto" w:frame="1"/>
        </w:rPr>
        <w:t>Reduce overcrowding in remote Norther</w:t>
      </w:r>
      <w:r w:rsidR="008A46E9" w:rsidRPr="00B50802">
        <w:rPr>
          <w:bdr w:val="none" w:sz="0" w:space="0" w:color="auto" w:frame="1"/>
        </w:rPr>
        <w:t>n</w:t>
      </w:r>
      <w:r w:rsidRPr="00B50802">
        <w:rPr>
          <w:bdr w:val="none" w:sz="0" w:space="0" w:color="auto" w:frame="1"/>
        </w:rPr>
        <w:t xml:space="preserve"> Territory communities. </w:t>
      </w:r>
      <w:r w:rsidR="00DF6FA8" w:rsidRPr="00B50802">
        <w:rPr>
          <w:i/>
          <w:iCs/>
          <w:bdr w:val="none" w:sz="0" w:space="0" w:color="auto" w:frame="1"/>
        </w:rPr>
        <w:t>The National Partnership for Remote Housing Northern Territory (NPRHNT)</w:t>
      </w:r>
      <w:r w:rsidR="00DF6FA8" w:rsidRPr="00B50802">
        <w:rPr>
          <w:bdr w:val="none" w:sz="0" w:space="0" w:color="auto" w:frame="1"/>
        </w:rPr>
        <w:t xml:space="preserve"> </w:t>
      </w:r>
      <w:r w:rsidR="00A7635A" w:rsidRPr="00B50802">
        <w:rPr>
          <w:bdr w:val="none" w:sz="0" w:space="0" w:color="auto" w:frame="1"/>
        </w:rPr>
        <w:t>is</w:t>
      </w:r>
      <w:r w:rsidR="00DF6FA8" w:rsidRPr="00B50802">
        <w:rPr>
          <w:bdr w:val="none" w:sz="0" w:space="0" w:color="auto" w:frame="1"/>
        </w:rPr>
        <w:t xml:space="preserve"> a joint $1.1 billion investment between the Australian Government and the N</w:t>
      </w:r>
      <w:r w:rsidR="001B6B75" w:rsidRPr="00B50802">
        <w:rPr>
          <w:bdr w:val="none" w:sz="0" w:space="0" w:color="auto" w:frame="1"/>
        </w:rPr>
        <w:t xml:space="preserve">orthern </w:t>
      </w:r>
      <w:r w:rsidR="00DF6FA8" w:rsidRPr="00B50802">
        <w:rPr>
          <w:bdr w:val="none" w:sz="0" w:space="0" w:color="auto" w:frame="1"/>
        </w:rPr>
        <w:t>T</w:t>
      </w:r>
      <w:r w:rsidR="001B6B75" w:rsidRPr="00B50802">
        <w:rPr>
          <w:bdr w:val="none" w:sz="0" w:space="0" w:color="auto" w:frame="1"/>
        </w:rPr>
        <w:t>erritory</w:t>
      </w:r>
      <w:r w:rsidR="00DF6FA8" w:rsidRPr="00B50802">
        <w:rPr>
          <w:bdr w:val="none" w:sz="0" w:space="0" w:color="auto" w:frame="1"/>
        </w:rPr>
        <w:t xml:space="preserve"> Government from 2018</w:t>
      </w:r>
      <w:r w:rsidR="0011284D" w:rsidRPr="00B50802">
        <w:rPr>
          <w:bdr w:val="none" w:sz="0" w:space="0" w:color="auto" w:frame="1"/>
        </w:rPr>
        <w:t>–</w:t>
      </w:r>
      <w:r w:rsidR="00DF6FA8" w:rsidRPr="00B50802">
        <w:rPr>
          <w:bdr w:val="none" w:sz="0" w:space="0" w:color="auto" w:frame="1"/>
        </w:rPr>
        <w:t>2023</w:t>
      </w:r>
      <w:r w:rsidR="009A74EE" w:rsidRPr="00B50802">
        <w:rPr>
          <w:bdr w:val="none" w:sz="0" w:space="0" w:color="auto" w:frame="1"/>
        </w:rPr>
        <w:t xml:space="preserve"> </w:t>
      </w:r>
      <w:r w:rsidRPr="00B50802">
        <w:rPr>
          <w:bdr w:val="none" w:sz="0" w:space="0" w:color="auto" w:frame="1"/>
        </w:rPr>
        <w:t xml:space="preserve">to increase </w:t>
      </w:r>
      <w:r w:rsidR="009A74EE" w:rsidRPr="00B50802">
        <w:rPr>
          <w:bdr w:val="none" w:sz="0" w:space="0" w:color="auto" w:frame="1"/>
        </w:rPr>
        <w:t>the supply and standard of public housing in remote communities and town camps</w:t>
      </w:r>
      <w:r w:rsidR="00DF6FA8" w:rsidRPr="00B50802">
        <w:rPr>
          <w:bdr w:val="none" w:sz="0" w:space="0" w:color="auto" w:frame="1"/>
        </w:rPr>
        <w:t>. In February</w:t>
      </w:r>
      <w:r w:rsidR="005260E9" w:rsidRPr="00B50802">
        <w:rPr>
          <w:bdr w:val="none" w:sz="0" w:space="0" w:color="auto" w:frame="1"/>
        </w:rPr>
        <w:t> </w:t>
      </w:r>
      <w:r w:rsidR="00DF6FA8" w:rsidRPr="00B50802">
        <w:rPr>
          <w:bdr w:val="none" w:sz="0" w:space="0" w:color="auto" w:frame="1"/>
        </w:rPr>
        <w:t xml:space="preserve">2023, the </w:t>
      </w:r>
      <w:r w:rsidR="00340A31" w:rsidRPr="00B50802">
        <w:rPr>
          <w:bdr w:val="none" w:sz="0" w:space="0" w:color="auto" w:frame="1"/>
        </w:rPr>
        <w:t>Australian Government</w:t>
      </w:r>
      <w:r w:rsidR="00DF6FA8" w:rsidRPr="00B50802">
        <w:rPr>
          <w:bdr w:val="none" w:sz="0" w:space="0" w:color="auto" w:frame="1"/>
        </w:rPr>
        <w:t xml:space="preserve"> announced a $111.7 million contribution to a new one-year partnership with the Northern Territory to begin </w:t>
      </w:r>
      <w:r w:rsidR="004C4128" w:rsidRPr="00B50802">
        <w:rPr>
          <w:bdr w:val="none" w:sz="0" w:space="0" w:color="auto" w:frame="1"/>
        </w:rPr>
        <w:t xml:space="preserve">after </w:t>
      </w:r>
      <w:r w:rsidR="00DF6FA8" w:rsidRPr="00B50802">
        <w:rPr>
          <w:bdr w:val="none" w:sz="0" w:space="0" w:color="auto" w:frame="1"/>
        </w:rPr>
        <w:t>the NPRHNT finishe</w:t>
      </w:r>
      <w:r w:rsidR="004C4128" w:rsidRPr="00B50802">
        <w:rPr>
          <w:bdr w:val="none" w:sz="0" w:space="0" w:color="auto" w:frame="1"/>
        </w:rPr>
        <w:t>d</w:t>
      </w:r>
      <w:r w:rsidR="00DF6FA8" w:rsidRPr="00B50802">
        <w:rPr>
          <w:bdr w:val="none" w:sz="0" w:space="0" w:color="auto" w:frame="1"/>
        </w:rPr>
        <w:t xml:space="preserve"> on 30 June 2023</w:t>
      </w:r>
      <w:r w:rsidR="00B158DC" w:rsidRPr="00B50802">
        <w:rPr>
          <w:bdr w:val="none" w:sz="0" w:space="0" w:color="auto" w:frame="1"/>
        </w:rPr>
        <w:t>, along with $100 million for housing and essential infrastructure on Northern Territory homelands</w:t>
      </w:r>
      <w:r w:rsidR="00DF6FA8" w:rsidRPr="00B50802">
        <w:rPr>
          <w:bdr w:val="none" w:sz="0" w:space="0" w:color="auto" w:frame="1"/>
        </w:rPr>
        <w:t xml:space="preserve">. </w:t>
      </w:r>
    </w:p>
    <w:p w14:paraId="3B512FBC" w14:textId="77777777" w:rsidR="00ED03D5" w:rsidRPr="00B50802" w:rsidRDefault="00A7635A" w:rsidP="00296045">
      <w:pPr>
        <w:pStyle w:val="Bullets"/>
        <w:numPr>
          <w:ilvl w:val="0"/>
          <w:numId w:val="30"/>
        </w:numPr>
        <w:ind w:left="709"/>
      </w:pPr>
      <w:r w:rsidRPr="00B50802">
        <w:t>Increase the accessibility and availability of affordable housing for people with disability.</w:t>
      </w:r>
      <w:r w:rsidRPr="00B50802">
        <w:rPr>
          <w:i/>
          <w:iCs/>
        </w:rPr>
        <w:t xml:space="preserve"> </w:t>
      </w:r>
      <w:r w:rsidR="00ED03D5" w:rsidRPr="00B50802">
        <w:rPr>
          <w:i/>
          <w:iCs/>
        </w:rPr>
        <w:t>Australia’s Disability Strategy 2021</w:t>
      </w:r>
      <w:r w:rsidR="0011284D" w:rsidRPr="00B50802">
        <w:rPr>
          <w:i/>
          <w:iCs/>
        </w:rPr>
        <w:t>–</w:t>
      </w:r>
      <w:r w:rsidR="00ED03D5" w:rsidRPr="00B50802">
        <w:rPr>
          <w:i/>
          <w:iCs/>
        </w:rPr>
        <w:t>2031</w:t>
      </w:r>
      <w:r w:rsidR="00726D34" w:rsidRPr="00B50802">
        <w:rPr>
          <w:i/>
          <w:iCs/>
        </w:rPr>
        <w:t xml:space="preserve"> </w:t>
      </w:r>
      <w:r w:rsidR="00726D34" w:rsidRPr="00B50802">
        <w:t xml:space="preserve">is a national framework </w:t>
      </w:r>
      <w:r w:rsidR="00C07E37" w:rsidRPr="00B50802">
        <w:t xml:space="preserve">to which </w:t>
      </w:r>
      <w:r w:rsidR="00726D34" w:rsidRPr="00B50802">
        <w:t xml:space="preserve">all governments in Australia have </w:t>
      </w:r>
      <w:r w:rsidR="00682C85" w:rsidRPr="00B50802">
        <w:t>committed</w:t>
      </w:r>
      <w:r w:rsidR="00C07E37" w:rsidRPr="00B50802">
        <w:rPr>
          <w:i/>
          <w:iCs/>
        </w:rPr>
        <w:t>.</w:t>
      </w:r>
      <w:r w:rsidR="00ED03D5" w:rsidRPr="00B50802">
        <w:t xml:space="preserve"> </w:t>
      </w:r>
      <w:r w:rsidR="00023FCA" w:rsidRPr="00B50802">
        <w:t xml:space="preserve">The strategy </w:t>
      </w:r>
      <w:r w:rsidR="00726D34" w:rsidRPr="00B50802">
        <w:t>includes an</w:t>
      </w:r>
      <w:r w:rsidR="00ED03D5" w:rsidRPr="00B50802">
        <w:t xml:space="preserve"> </w:t>
      </w:r>
      <w:r w:rsidR="00ED03D5" w:rsidRPr="00B50802">
        <w:rPr>
          <w:i/>
          <w:iCs/>
        </w:rPr>
        <w:t xml:space="preserve">Inclusive Homes and Communities Outcome Area </w:t>
      </w:r>
      <w:r w:rsidR="00ED03D5" w:rsidRPr="00B50802">
        <w:t>specific to housing for people with disability.</w:t>
      </w:r>
      <w:r w:rsidR="00726D34" w:rsidRPr="00B50802">
        <w:t xml:space="preserve"> </w:t>
      </w:r>
    </w:p>
    <w:p w14:paraId="34A11BD6" w14:textId="090846A7" w:rsidR="00406D52" w:rsidRPr="00B50802" w:rsidRDefault="00090FF1" w:rsidP="00296045">
      <w:pPr>
        <w:pStyle w:val="Bullets"/>
        <w:numPr>
          <w:ilvl w:val="0"/>
          <w:numId w:val="30"/>
        </w:numPr>
        <w:ind w:left="709"/>
        <w:rPr>
          <w:rStyle w:val="Strong"/>
          <w:b w:val="0"/>
          <w:bCs w:val="0"/>
        </w:rPr>
      </w:pPr>
      <w:r w:rsidRPr="00B50802">
        <w:rPr>
          <w:rStyle w:val="Strong"/>
          <w:b w:val="0"/>
          <w:bCs w:val="0"/>
        </w:rPr>
        <w:t xml:space="preserve">Ensure </w:t>
      </w:r>
      <w:r w:rsidR="00A7635A" w:rsidRPr="00B50802">
        <w:rPr>
          <w:rStyle w:val="Strong"/>
          <w:b w:val="0"/>
          <w:bCs w:val="0"/>
        </w:rPr>
        <w:t>women and children who escape family and domestic violence have access to safe and secure housing.</w:t>
      </w:r>
      <w:r w:rsidR="00A7635A" w:rsidRPr="00B50802">
        <w:rPr>
          <w:rStyle w:val="Strong"/>
          <w:b w:val="0"/>
          <w:bCs w:val="0"/>
          <w:i/>
          <w:iCs/>
        </w:rPr>
        <w:t xml:space="preserve"> </w:t>
      </w:r>
      <w:r w:rsidR="00ED03D5" w:rsidRPr="00B50802">
        <w:rPr>
          <w:rStyle w:val="Strong"/>
          <w:b w:val="0"/>
          <w:bCs w:val="0"/>
          <w:i/>
          <w:iCs/>
        </w:rPr>
        <w:t>The</w:t>
      </w:r>
      <w:r w:rsidR="00ED03D5" w:rsidRPr="00B50802">
        <w:rPr>
          <w:rStyle w:val="Strong"/>
          <w:b w:val="0"/>
          <w:bCs w:val="0"/>
        </w:rPr>
        <w:t xml:space="preserve"> </w:t>
      </w:r>
      <w:r w:rsidR="00ED03D5" w:rsidRPr="00B50802">
        <w:rPr>
          <w:rStyle w:val="Strong"/>
          <w:b w:val="0"/>
          <w:bCs w:val="0"/>
          <w:i/>
          <w:iCs/>
        </w:rPr>
        <w:t>National Plan to End Violence against Women and Children 2022–2032</w:t>
      </w:r>
      <w:r w:rsidR="00023FCA" w:rsidRPr="00B50802">
        <w:rPr>
          <w:rStyle w:val="Strong"/>
          <w:b w:val="0"/>
          <w:bCs w:val="0"/>
        </w:rPr>
        <w:t xml:space="preserve"> is the overarching national policy framework </w:t>
      </w:r>
      <w:r w:rsidR="00971DA0" w:rsidRPr="00B50802">
        <w:rPr>
          <w:rStyle w:val="Strong"/>
          <w:b w:val="0"/>
          <w:bCs w:val="0"/>
        </w:rPr>
        <w:t>which</w:t>
      </w:r>
      <w:r w:rsidR="00023FCA" w:rsidRPr="00B50802">
        <w:rPr>
          <w:rStyle w:val="Strong"/>
          <w:b w:val="0"/>
          <w:bCs w:val="0"/>
          <w:i/>
          <w:iCs/>
        </w:rPr>
        <w:t xml:space="preserve"> </w:t>
      </w:r>
      <w:r w:rsidR="00023FCA" w:rsidRPr="00B50802">
        <w:rPr>
          <w:rStyle w:val="Strong"/>
          <w:b w:val="0"/>
          <w:bCs w:val="0"/>
        </w:rPr>
        <w:t>will guide actions towards ending violence against women and children over the next 10 years. It</w:t>
      </w:r>
      <w:r w:rsidR="00023FCA" w:rsidRPr="00B50802">
        <w:rPr>
          <w:rStyle w:val="Strong"/>
          <w:b w:val="0"/>
          <w:bCs w:val="0"/>
          <w:i/>
          <w:iCs/>
        </w:rPr>
        <w:t xml:space="preserve"> </w:t>
      </w:r>
      <w:r w:rsidR="00023FCA" w:rsidRPr="00B50802">
        <w:rPr>
          <w:rStyle w:val="Strong"/>
          <w:b w:val="0"/>
          <w:bCs w:val="0"/>
        </w:rPr>
        <w:t>was release</w:t>
      </w:r>
      <w:r w:rsidR="00E77BDA" w:rsidRPr="00B50802">
        <w:rPr>
          <w:rStyle w:val="Strong"/>
          <w:b w:val="0"/>
          <w:bCs w:val="0"/>
        </w:rPr>
        <w:t>d</w:t>
      </w:r>
      <w:r w:rsidR="00023FCA" w:rsidRPr="00B50802">
        <w:rPr>
          <w:rStyle w:val="Strong"/>
          <w:b w:val="0"/>
          <w:bCs w:val="0"/>
        </w:rPr>
        <w:t xml:space="preserve"> in </w:t>
      </w:r>
      <w:r w:rsidR="00B84FBE" w:rsidRPr="00B50802">
        <w:rPr>
          <w:rStyle w:val="Strong"/>
          <w:b w:val="0"/>
          <w:bCs w:val="0"/>
        </w:rPr>
        <w:t xml:space="preserve">October </w:t>
      </w:r>
      <w:r w:rsidR="00023FCA" w:rsidRPr="00B50802">
        <w:rPr>
          <w:rStyle w:val="Strong"/>
          <w:b w:val="0"/>
          <w:bCs w:val="0"/>
        </w:rPr>
        <w:t>2022 by the Australian</w:t>
      </w:r>
      <w:r w:rsidR="00B84FBE" w:rsidRPr="00B50802">
        <w:rPr>
          <w:rStyle w:val="Strong"/>
          <w:b w:val="0"/>
          <w:bCs w:val="0"/>
        </w:rPr>
        <w:t xml:space="preserve">, </w:t>
      </w:r>
      <w:r w:rsidR="00023FCA" w:rsidRPr="00B50802">
        <w:rPr>
          <w:rStyle w:val="Strong"/>
          <w:b w:val="0"/>
          <w:bCs w:val="0"/>
        </w:rPr>
        <w:t>state and territory governments. It</w:t>
      </w:r>
      <w:r w:rsidR="007D3668">
        <w:rPr>
          <w:rStyle w:val="Strong"/>
          <w:b w:val="0"/>
          <w:bCs w:val="0"/>
        </w:rPr>
        <w:t> </w:t>
      </w:r>
      <w:r w:rsidR="00ED03D5" w:rsidRPr="00B50802">
        <w:rPr>
          <w:rStyle w:val="Strong"/>
          <w:b w:val="0"/>
          <w:bCs w:val="0"/>
        </w:rPr>
        <w:t>recognises that unaffordable or insecure housing is a major barrier to victim</w:t>
      </w:r>
      <w:r w:rsidR="007D3668">
        <w:rPr>
          <w:rStyle w:val="Strong"/>
          <w:b w:val="0"/>
          <w:bCs w:val="0"/>
        </w:rPr>
        <w:noBreakHyphen/>
      </w:r>
      <w:r w:rsidR="00ED03D5" w:rsidRPr="00B50802">
        <w:rPr>
          <w:rStyle w:val="Strong"/>
          <w:b w:val="0"/>
          <w:bCs w:val="0"/>
        </w:rPr>
        <w:t xml:space="preserve">survivors establishing safety after leaving a violence situation, and a key consideration in their decision to leave. </w:t>
      </w:r>
    </w:p>
    <w:p w14:paraId="17EEF63F" w14:textId="0C9F0EC8" w:rsidR="00C02162" w:rsidRPr="00B50802" w:rsidRDefault="00C02162" w:rsidP="00736AA4">
      <w:pPr>
        <w:pStyle w:val="Bullets"/>
        <w:ind w:left="0" w:firstLine="0"/>
      </w:pPr>
      <w:r w:rsidRPr="00B50802">
        <w:rPr>
          <w:rStyle w:val="Strong"/>
          <w:b w:val="0"/>
          <w:bCs w:val="0"/>
        </w:rPr>
        <w:t xml:space="preserve">In June 2023, the Australian Government </w:t>
      </w:r>
      <w:r w:rsidR="007D3FF9" w:rsidRPr="00B50802">
        <w:rPr>
          <w:rStyle w:val="Strong"/>
          <w:b w:val="0"/>
          <w:bCs w:val="0"/>
        </w:rPr>
        <w:t xml:space="preserve">also </w:t>
      </w:r>
      <w:r w:rsidRPr="00B50802">
        <w:rPr>
          <w:rStyle w:val="Strong"/>
          <w:b w:val="0"/>
          <w:bCs w:val="0"/>
        </w:rPr>
        <w:t>announced an immediate $2 billion Social Housing Accelerator payment to the states and territories in order to boost social housing stock.</w:t>
      </w:r>
    </w:p>
    <w:p w14:paraId="23B5A0BC" w14:textId="655BE75D" w:rsidR="001F7B81" w:rsidRPr="00B50802" w:rsidRDefault="001F7B81">
      <w:pPr>
        <w:rPr>
          <w:rFonts w:eastAsiaTheme="majorEastAsia" w:cstheme="majorBidi"/>
          <w:b/>
          <w:bCs/>
          <w:i/>
          <w:iCs/>
          <w:sz w:val="32"/>
          <w:szCs w:val="28"/>
        </w:rPr>
      </w:pPr>
      <w:r w:rsidRPr="00B50802">
        <w:rPr>
          <w:i/>
          <w:iCs/>
        </w:rPr>
        <w:br w:type="page"/>
      </w:r>
    </w:p>
    <w:p w14:paraId="09E4046C" w14:textId="77777777" w:rsidR="00C45ADF" w:rsidRPr="00B50802" w:rsidRDefault="00C45ADF" w:rsidP="00C45ADF">
      <w:pPr>
        <w:pStyle w:val="Heading1"/>
      </w:pPr>
      <w:bookmarkStart w:id="1067" w:name="_Toc129342837"/>
      <w:bookmarkStart w:id="1068" w:name="_Toc129344155"/>
      <w:bookmarkStart w:id="1069" w:name="_Toc129344351"/>
      <w:bookmarkStart w:id="1070" w:name="_Toc129346019"/>
      <w:bookmarkStart w:id="1071" w:name="_Toc129346691"/>
      <w:bookmarkStart w:id="1072" w:name="_Toc129346986"/>
      <w:bookmarkStart w:id="1073" w:name="_Toc129347480"/>
      <w:bookmarkStart w:id="1074" w:name="_Toc129347810"/>
      <w:bookmarkStart w:id="1075" w:name="_Toc129347829"/>
      <w:bookmarkStart w:id="1076" w:name="_Toc129347862"/>
      <w:bookmarkStart w:id="1077" w:name="_Toc129347764"/>
      <w:bookmarkStart w:id="1078" w:name="_Toc129347960"/>
      <w:bookmarkStart w:id="1079" w:name="_Toc129348067"/>
      <w:bookmarkStart w:id="1080" w:name="_Toc129348516"/>
      <w:bookmarkStart w:id="1081" w:name="_Toc129348570"/>
      <w:bookmarkStart w:id="1082" w:name="_Toc129348589"/>
      <w:bookmarkStart w:id="1083" w:name="_Toc129348613"/>
      <w:bookmarkStart w:id="1084" w:name="_Toc129348735"/>
      <w:bookmarkStart w:id="1085" w:name="_Toc129348827"/>
      <w:bookmarkStart w:id="1086" w:name="_Toc129348891"/>
      <w:bookmarkStart w:id="1087" w:name="_Toc129348963"/>
      <w:bookmarkStart w:id="1088" w:name="_Toc129348982"/>
      <w:bookmarkStart w:id="1089" w:name="_Toc129349003"/>
      <w:bookmarkStart w:id="1090" w:name="_Toc129349054"/>
      <w:bookmarkStart w:id="1091" w:name="_Toc129349162"/>
      <w:bookmarkStart w:id="1092" w:name="_Toc129349417"/>
      <w:bookmarkStart w:id="1093" w:name="_Toc129349549"/>
      <w:bookmarkStart w:id="1094" w:name="_Toc129349674"/>
      <w:bookmarkStart w:id="1095" w:name="_Toc129349752"/>
      <w:bookmarkStart w:id="1096" w:name="_Toc129349873"/>
      <w:bookmarkStart w:id="1097" w:name="_Toc129350245"/>
      <w:bookmarkStart w:id="1098" w:name="_Toc129350301"/>
      <w:bookmarkStart w:id="1099" w:name="_Toc129350638"/>
      <w:bookmarkStart w:id="1100" w:name="_Toc129350680"/>
      <w:bookmarkStart w:id="1101" w:name="_Toc129350714"/>
      <w:bookmarkStart w:id="1102" w:name="_Toc129350810"/>
      <w:bookmarkStart w:id="1103" w:name="_Toc129350906"/>
      <w:bookmarkStart w:id="1104" w:name="_Toc129350943"/>
      <w:bookmarkStart w:id="1105" w:name="_Toc129351350"/>
      <w:bookmarkStart w:id="1106" w:name="_Toc129351432"/>
      <w:bookmarkStart w:id="1107" w:name="_Toc129351676"/>
      <w:bookmarkStart w:id="1108" w:name="_Toc129351762"/>
      <w:bookmarkStart w:id="1109" w:name="_Toc129352164"/>
      <w:bookmarkStart w:id="1110" w:name="_Toc129352222"/>
      <w:bookmarkStart w:id="1111" w:name="_Toc129352460"/>
      <w:bookmarkStart w:id="1112" w:name="_Toc129352560"/>
      <w:bookmarkStart w:id="1113" w:name="_Toc129352955"/>
      <w:bookmarkStart w:id="1114" w:name="_Toc129353101"/>
      <w:bookmarkStart w:id="1115" w:name="_Toc129353181"/>
      <w:bookmarkStart w:id="1116" w:name="_Toc129353233"/>
      <w:bookmarkStart w:id="1117" w:name="_Toc129353302"/>
      <w:bookmarkStart w:id="1118" w:name="_Toc129353381"/>
      <w:bookmarkStart w:id="1119" w:name="_Toc129353400"/>
      <w:bookmarkStart w:id="1120" w:name="_Toc129353436"/>
      <w:bookmarkStart w:id="1121" w:name="_Toc129353502"/>
      <w:bookmarkStart w:id="1122" w:name="_Toc129353625"/>
      <w:bookmarkStart w:id="1123" w:name="_Toc129353860"/>
      <w:bookmarkStart w:id="1124" w:name="_Toc129354152"/>
      <w:bookmarkStart w:id="1125" w:name="_Toc129354254"/>
      <w:bookmarkStart w:id="1126" w:name="_Toc129354293"/>
      <w:bookmarkStart w:id="1127" w:name="_Toc129354442"/>
      <w:bookmarkStart w:id="1128" w:name="_Toc129354461"/>
      <w:bookmarkStart w:id="1129" w:name="_Toc129354480"/>
      <w:bookmarkStart w:id="1130" w:name="_Toc129354499"/>
      <w:bookmarkStart w:id="1131" w:name="_Toc129354532"/>
      <w:bookmarkStart w:id="1132" w:name="_Toc129354765"/>
      <w:bookmarkStart w:id="1133" w:name="_Toc129355128"/>
      <w:bookmarkStart w:id="1134" w:name="_Toc129355212"/>
      <w:bookmarkStart w:id="1135" w:name="_Toc129355446"/>
      <w:bookmarkStart w:id="1136" w:name="_Toc129355431"/>
      <w:bookmarkStart w:id="1137" w:name="_Toc129355535"/>
      <w:bookmarkStart w:id="1138" w:name="_Toc129355577"/>
      <w:bookmarkStart w:id="1139" w:name="_Toc129355784"/>
      <w:bookmarkStart w:id="1140" w:name="_Toc129356095"/>
      <w:bookmarkStart w:id="1141" w:name="_Toc129356249"/>
      <w:bookmarkStart w:id="1142" w:name="_Toc129356503"/>
      <w:bookmarkStart w:id="1143" w:name="_Toc129356565"/>
      <w:bookmarkStart w:id="1144" w:name="_Toc129356595"/>
      <w:bookmarkStart w:id="1145" w:name="_Toc129356682"/>
      <w:bookmarkStart w:id="1146" w:name="_Toc129354423"/>
      <w:bookmarkStart w:id="1147" w:name="_Toc129356833"/>
      <w:bookmarkStart w:id="1148" w:name="_Toc129356858"/>
      <w:bookmarkStart w:id="1149" w:name="_Toc129357059"/>
      <w:bookmarkStart w:id="1150" w:name="_Toc129357097"/>
      <w:bookmarkStart w:id="1151" w:name="_Toc129357307"/>
      <w:bookmarkStart w:id="1152" w:name="_Toc129358222"/>
      <w:bookmarkStart w:id="1153" w:name="_Toc129358250"/>
      <w:bookmarkStart w:id="1154" w:name="_Toc129358269"/>
      <w:bookmarkStart w:id="1155" w:name="_Toc129358450"/>
      <w:bookmarkStart w:id="1156" w:name="_Toc129358502"/>
      <w:bookmarkStart w:id="1157" w:name="_Toc129358521"/>
      <w:bookmarkStart w:id="1158" w:name="_Toc129358583"/>
      <w:bookmarkStart w:id="1159" w:name="_Toc129358806"/>
      <w:bookmarkStart w:id="1160" w:name="_Toc129358949"/>
      <w:bookmarkStart w:id="1161" w:name="_Toc129358922"/>
      <w:bookmarkStart w:id="1162" w:name="_Toc129358976"/>
      <w:bookmarkStart w:id="1163" w:name="_Toc129359000"/>
      <w:bookmarkStart w:id="1164" w:name="_Toc129359087"/>
      <w:bookmarkStart w:id="1165" w:name="_Toc129359106"/>
      <w:bookmarkStart w:id="1166" w:name="_Toc129359226"/>
      <w:bookmarkStart w:id="1167" w:name="_Toc129359452"/>
      <w:bookmarkStart w:id="1168" w:name="_Toc129359515"/>
      <w:bookmarkStart w:id="1169" w:name="_Toc129359428"/>
      <w:bookmarkStart w:id="1170" w:name="_Toc129359484"/>
      <w:bookmarkStart w:id="1171" w:name="_Toc129359605"/>
      <w:bookmarkStart w:id="1172" w:name="_Toc129359563"/>
      <w:bookmarkStart w:id="1173" w:name="_Toc129359645"/>
      <w:bookmarkStart w:id="1174" w:name="_Toc129359815"/>
      <w:bookmarkStart w:id="1175" w:name="_Toc129359858"/>
      <w:bookmarkStart w:id="1176" w:name="_Toc129359907"/>
      <w:bookmarkStart w:id="1177" w:name="_Toc129359926"/>
      <w:bookmarkStart w:id="1178" w:name="_Toc129359941"/>
      <w:bookmarkStart w:id="1179" w:name="_Toc129359960"/>
      <w:bookmarkStart w:id="1180" w:name="_Toc129360114"/>
      <w:bookmarkStart w:id="1181" w:name="_Toc129360186"/>
      <w:bookmarkStart w:id="1182" w:name="_Toc129360255"/>
      <w:bookmarkStart w:id="1183" w:name="_Toc129360328"/>
      <w:bookmarkStart w:id="1184" w:name="_Toc129360039"/>
      <w:bookmarkStart w:id="1185" w:name="_Toc129360500"/>
      <w:bookmarkStart w:id="1186" w:name="_Toc129360827"/>
      <w:bookmarkStart w:id="1187" w:name="_Toc129360931"/>
      <w:bookmarkStart w:id="1188" w:name="_Toc135162302"/>
      <w:bookmarkStart w:id="1189" w:name="_Toc141972456"/>
      <w:bookmarkStart w:id="1190" w:name="_Toc141972669"/>
      <w:bookmarkStart w:id="1191" w:name="_Toc141972943"/>
      <w:bookmarkStart w:id="1192" w:name="_Toc142042503"/>
      <w:bookmarkStart w:id="1193" w:name="_Toc142042712"/>
      <w:bookmarkStart w:id="1194" w:name="_Toc142051868"/>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B50802">
        <w:lastRenderedPageBreak/>
        <w:t>3. Focus areas</w:t>
      </w:r>
      <w:bookmarkEnd w:id="1188"/>
      <w:bookmarkEnd w:id="1189"/>
      <w:bookmarkEnd w:id="1190"/>
      <w:bookmarkEnd w:id="1191"/>
      <w:bookmarkEnd w:id="1192"/>
      <w:bookmarkEnd w:id="1193"/>
      <w:bookmarkEnd w:id="1194"/>
    </w:p>
    <w:p w14:paraId="0B8A5896" w14:textId="77777777" w:rsidR="002228CD" w:rsidRPr="00B50802" w:rsidRDefault="003E1285" w:rsidP="00B53052">
      <w:r w:rsidRPr="00B50802">
        <w:t>H</w:t>
      </w:r>
      <w:r w:rsidR="00514BD2" w:rsidRPr="00B50802">
        <w:t xml:space="preserve">ousing and homelessness policy </w:t>
      </w:r>
      <w:r w:rsidR="76EB9A5A" w:rsidRPr="00B50802">
        <w:t>interacts with</w:t>
      </w:r>
      <w:r w:rsidR="00514BD2" w:rsidRPr="00B50802">
        <w:t xml:space="preserve"> and is impacted by </w:t>
      </w:r>
      <w:r w:rsidR="004D74E9" w:rsidRPr="00B50802">
        <w:t xml:space="preserve">several </w:t>
      </w:r>
      <w:r w:rsidR="00514BD2" w:rsidRPr="00B50802">
        <w:t xml:space="preserve">different and interrelated policy settings. To understand and respond to this complex system, we are seeking stakeholder feedback on </w:t>
      </w:r>
      <w:r w:rsidR="76EB9A5A" w:rsidRPr="00B50802">
        <w:t xml:space="preserve">the following </w:t>
      </w:r>
      <w:r w:rsidR="00514BD2" w:rsidRPr="00B50802">
        <w:t>issues</w:t>
      </w:r>
      <w:r w:rsidR="004D74E9" w:rsidRPr="00B50802">
        <w:t>,</w:t>
      </w:r>
      <w:r w:rsidR="00514BD2" w:rsidRPr="00B50802">
        <w:t xml:space="preserve"> </w:t>
      </w:r>
      <w:r w:rsidR="76EB9A5A" w:rsidRPr="00B50802">
        <w:t>which span across the housing and homelessness spectrum</w:t>
      </w:r>
      <w:r w:rsidR="002228CD" w:rsidRPr="00B50802">
        <w:t xml:space="preserve">: </w:t>
      </w:r>
    </w:p>
    <w:p w14:paraId="5575328E" w14:textId="77777777" w:rsidR="002A75EA" w:rsidRPr="00B50802" w:rsidRDefault="002A75EA" w:rsidP="004D74E9">
      <w:pPr>
        <w:tabs>
          <w:tab w:val="left" w:pos="1134"/>
        </w:tabs>
        <w:ind w:left="720"/>
      </w:pPr>
      <w:r w:rsidRPr="00B50802">
        <w:rPr>
          <w:b/>
          <w:bCs/>
        </w:rPr>
        <w:t>3.1</w:t>
      </w:r>
      <w:r w:rsidR="004D74E9" w:rsidRPr="00B50802">
        <w:rPr>
          <w:b/>
          <w:bCs/>
        </w:rPr>
        <w:tab/>
      </w:r>
      <w:r w:rsidRPr="00B50802">
        <w:t xml:space="preserve">Homelessness </w:t>
      </w:r>
    </w:p>
    <w:p w14:paraId="0C21570B" w14:textId="77777777" w:rsidR="002A75EA" w:rsidRPr="00B50802" w:rsidRDefault="002A75EA" w:rsidP="004D74E9">
      <w:pPr>
        <w:tabs>
          <w:tab w:val="left" w:pos="1134"/>
        </w:tabs>
        <w:ind w:left="720"/>
      </w:pPr>
      <w:r w:rsidRPr="00B50802">
        <w:rPr>
          <w:b/>
          <w:bCs/>
        </w:rPr>
        <w:t>3.2</w:t>
      </w:r>
      <w:r w:rsidR="004D74E9" w:rsidRPr="00B50802">
        <w:rPr>
          <w:b/>
          <w:bCs/>
        </w:rPr>
        <w:tab/>
      </w:r>
      <w:r w:rsidRPr="00B50802">
        <w:t>Homelessness services</w:t>
      </w:r>
    </w:p>
    <w:p w14:paraId="7614F239" w14:textId="77777777" w:rsidR="002228CD" w:rsidRPr="00B50802" w:rsidRDefault="002228CD" w:rsidP="004D74E9">
      <w:pPr>
        <w:tabs>
          <w:tab w:val="left" w:pos="1134"/>
        </w:tabs>
        <w:ind w:left="720"/>
      </w:pPr>
      <w:r w:rsidRPr="00B50802">
        <w:rPr>
          <w:b/>
          <w:bCs/>
        </w:rPr>
        <w:t>3.3</w:t>
      </w:r>
      <w:r w:rsidR="004D74E9" w:rsidRPr="00B50802">
        <w:rPr>
          <w:b/>
          <w:bCs/>
        </w:rPr>
        <w:tab/>
      </w:r>
      <w:r w:rsidR="00E345C6" w:rsidRPr="00B50802">
        <w:t>Aboriginal and Torres Strait Islander housing</w:t>
      </w:r>
    </w:p>
    <w:p w14:paraId="1C9D5B83" w14:textId="77777777" w:rsidR="002A75EA" w:rsidRPr="00B50802" w:rsidRDefault="002228CD" w:rsidP="004D74E9">
      <w:pPr>
        <w:tabs>
          <w:tab w:val="left" w:pos="1134"/>
        </w:tabs>
        <w:ind w:left="720"/>
      </w:pPr>
      <w:r w:rsidRPr="00B50802">
        <w:rPr>
          <w:b/>
          <w:bCs/>
        </w:rPr>
        <w:t>3.4</w:t>
      </w:r>
      <w:r w:rsidR="004D74E9" w:rsidRPr="00B50802">
        <w:rPr>
          <w:b/>
          <w:bCs/>
        </w:rPr>
        <w:tab/>
      </w:r>
      <w:r w:rsidR="002A75EA" w:rsidRPr="00B50802">
        <w:t>Social housing</w:t>
      </w:r>
    </w:p>
    <w:p w14:paraId="5BCC6C28" w14:textId="77777777" w:rsidR="002A75EA" w:rsidRPr="00B50802" w:rsidRDefault="002A75EA" w:rsidP="004D74E9">
      <w:pPr>
        <w:tabs>
          <w:tab w:val="left" w:pos="1134"/>
        </w:tabs>
        <w:ind w:left="720"/>
      </w:pPr>
      <w:r w:rsidRPr="00B50802">
        <w:rPr>
          <w:b/>
          <w:bCs/>
        </w:rPr>
        <w:t>3.5</w:t>
      </w:r>
      <w:r w:rsidR="004D74E9" w:rsidRPr="00B50802">
        <w:rPr>
          <w:b/>
          <w:bCs/>
        </w:rPr>
        <w:tab/>
      </w:r>
      <w:r w:rsidRPr="00B50802">
        <w:t>Housing costs, home ownership and the rental market in Australia</w:t>
      </w:r>
    </w:p>
    <w:p w14:paraId="4C5E23E1" w14:textId="77777777" w:rsidR="00E345C6" w:rsidRPr="00B50802" w:rsidRDefault="002228CD" w:rsidP="004D74E9">
      <w:pPr>
        <w:tabs>
          <w:tab w:val="left" w:pos="1134"/>
        </w:tabs>
        <w:ind w:left="720"/>
      </w:pPr>
      <w:r w:rsidRPr="00B50802">
        <w:rPr>
          <w:b/>
          <w:bCs/>
        </w:rPr>
        <w:t>3.</w:t>
      </w:r>
      <w:r w:rsidR="002A75EA" w:rsidRPr="00B50802">
        <w:rPr>
          <w:b/>
          <w:bCs/>
        </w:rPr>
        <w:t>6</w:t>
      </w:r>
      <w:r w:rsidR="004D74E9" w:rsidRPr="00B50802">
        <w:rPr>
          <w:b/>
          <w:bCs/>
        </w:rPr>
        <w:tab/>
      </w:r>
      <w:r w:rsidR="00E345C6" w:rsidRPr="00B50802">
        <w:t>Planning, zoning and development</w:t>
      </w:r>
    </w:p>
    <w:p w14:paraId="5293576A" w14:textId="77777777" w:rsidR="00457CCF" w:rsidRPr="00B50802" w:rsidRDefault="008949B8" w:rsidP="004D74E9">
      <w:pPr>
        <w:tabs>
          <w:tab w:val="left" w:pos="1134"/>
        </w:tabs>
        <w:ind w:left="1134" w:hanging="414"/>
      </w:pPr>
      <w:r w:rsidRPr="00B50802">
        <w:rPr>
          <w:b/>
          <w:bCs/>
        </w:rPr>
        <w:t>3.7</w:t>
      </w:r>
      <w:r w:rsidR="004D74E9" w:rsidRPr="00B50802">
        <w:rPr>
          <w:b/>
          <w:bCs/>
        </w:rPr>
        <w:tab/>
      </w:r>
      <w:r w:rsidR="00E345C6" w:rsidRPr="00B50802">
        <w:t>The Impact of Climate change and Disasters on Housing Security, Sustainability and Health</w:t>
      </w:r>
    </w:p>
    <w:p w14:paraId="798D4DD4" w14:textId="77777777" w:rsidR="00597296" w:rsidRPr="00B50802" w:rsidRDefault="00597296" w:rsidP="00E2550E">
      <w:pPr>
        <w:pStyle w:val="Heading2"/>
      </w:pPr>
      <w:bookmarkStart w:id="1195" w:name="_Toc133839371"/>
      <w:bookmarkStart w:id="1196" w:name="_Toc133840276"/>
      <w:bookmarkStart w:id="1197" w:name="_Toc135162303"/>
      <w:bookmarkStart w:id="1198" w:name="_Toc141972457"/>
      <w:bookmarkStart w:id="1199" w:name="_Toc141972670"/>
      <w:bookmarkStart w:id="1200" w:name="_Toc141972944"/>
      <w:bookmarkStart w:id="1201" w:name="_Toc142042504"/>
      <w:bookmarkStart w:id="1202" w:name="_Toc142042713"/>
      <w:bookmarkStart w:id="1203" w:name="_Toc142051869"/>
      <w:bookmarkStart w:id="1204" w:name="_Toc127272815"/>
      <w:bookmarkStart w:id="1205" w:name="_Toc127272846"/>
      <w:bookmarkStart w:id="1206" w:name="_Toc127281207"/>
      <w:bookmarkStart w:id="1207" w:name="_Toc127285173"/>
      <w:bookmarkStart w:id="1208" w:name="_Toc126836984"/>
      <w:bookmarkStart w:id="1209" w:name="_Toc126845295"/>
      <w:bookmarkStart w:id="1210" w:name="_Toc126852063"/>
      <w:bookmarkStart w:id="1211" w:name="_Toc126854351"/>
      <w:bookmarkStart w:id="1212" w:name="_Toc126857752"/>
      <w:bookmarkStart w:id="1213" w:name="_Toc126920566"/>
      <w:bookmarkStart w:id="1214" w:name="_Toc126921166"/>
      <w:bookmarkStart w:id="1215" w:name="_Toc126925099"/>
      <w:bookmarkStart w:id="1216" w:name="_Toc126930659"/>
      <w:bookmarkStart w:id="1217" w:name="_Toc126934944"/>
      <w:bookmarkStart w:id="1218" w:name="_Toc126934963"/>
      <w:bookmarkStart w:id="1219" w:name="_Toc127189074"/>
      <w:bookmarkStart w:id="1220" w:name="_Toc127193506"/>
      <w:bookmarkStart w:id="1221" w:name="_Toc127195500"/>
      <w:bookmarkStart w:id="1222" w:name="_Toc126745767"/>
      <w:bookmarkStart w:id="1223" w:name="_Toc126754048"/>
      <w:bookmarkStart w:id="1224" w:name="_Toc126757186"/>
      <w:bookmarkStart w:id="1225" w:name="_Toc126763236"/>
      <w:r w:rsidRPr="00B50802">
        <w:t>3.</w:t>
      </w:r>
      <w:r w:rsidR="000B04A4" w:rsidRPr="00B50802">
        <w:t>1</w:t>
      </w:r>
      <w:r w:rsidRPr="00B50802">
        <w:t xml:space="preserve"> Homelessness</w:t>
      </w:r>
      <w:bookmarkEnd w:id="1195"/>
      <w:bookmarkEnd w:id="1196"/>
      <w:bookmarkEnd w:id="1197"/>
      <w:bookmarkEnd w:id="1198"/>
      <w:bookmarkEnd w:id="1199"/>
      <w:bookmarkEnd w:id="1200"/>
      <w:bookmarkEnd w:id="1201"/>
      <w:bookmarkEnd w:id="1202"/>
      <w:bookmarkEnd w:id="1203"/>
    </w:p>
    <w:p w14:paraId="3CEFB36E" w14:textId="504ADDED" w:rsidR="00597296" w:rsidRPr="00B50802" w:rsidRDefault="00597296" w:rsidP="00E2550E">
      <w:r w:rsidRPr="00B50802">
        <w:t xml:space="preserve">Census data shows the number of people who are homeless has increased over the past </w:t>
      </w:r>
      <w:r w:rsidR="00043488" w:rsidRPr="00B50802">
        <w:t>2</w:t>
      </w:r>
      <w:r w:rsidR="007D3668">
        <w:t> </w:t>
      </w:r>
      <w:r w:rsidRPr="00B50802">
        <w:t xml:space="preserve">decades. However, the rate of people experiencing homelessness per 10,000 people has </w:t>
      </w:r>
      <w:r w:rsidR="0070692A" w:rsidRPr="00B50802">
        <w:t>remained relatively stable</w:t>
      </w:r>
      <w:r w:rsidRPr="00B50802">
        <w:t xml:space="preserve">. On Census night in 2021, 122,494 people (48 per 10,000) were homeless. This compares </w:t>
      </w:r>
      <w:r w:rsidR="00863299" w:rsidRPr="00B50802">
        <w:t xml:space="preserve">with </w:t>
      </w:r>
      <w:r w:rsidRPr="00B50802">
        <w:t>95,314 people in 2001 (51 per 10,000), 89,733 people in</w:t>
      </w:r>
      <w:r w:rsidR="007D3668">
        <w:t> </w:t>
      </w:r>
      <w:r w:rsidRPr="00B50802">
        <w:t>2006 (45 per 10,000), 102,439 people in 2011 (48 per 10,000</w:t>
      </w:r>
      <w:r w:rsidR="007D3668">
        <w:t>)</w:t>
      </w:r>
      <w:r w:rsidRPr="00B50802">
        <w:t xml:space="preserve"> and 116,427 people in 2016 (50 per 10,000). </w:t>
      </w:r>
    </w:p>
    <w:p w14:paraId="52C34EB6" w14:textId="4CA2CE1A" w:rsidR="00597296" w:rsidRPr="00B50802" w:rsidRDefault="00597296" w:rsidP="00E2550E">
      <w:pPr>
        <w:rPr>
          <w:rFonts w:ascii="Georgia" w:eastAsia="Georgia" w:hAnsi="Georgia" w:cs="Georgia"/>
          <w:b/>
          <w:bCs/>
          <w:sz w:val="28"/>
          <w:szCs w:val="28"/>
        </w:rPr>
      </w:pPr>
      <w:r w:rsidRPr="00B50802">
        <w:t>While there is no single definition of homelessness, for statistical purposes in Australia, someone experiencing homelessness is someone who</w:t>
      </w:r>
      <w:r w:rsidR="00ED1014" w:rsidRPr="00B75F7D">
        <w:t>:</w:t>
      </w:r>
      <w:r w:rsidRPr="00B50802">
        <w:rPr>
          <w:rStyle w:val="FootnoteReference"/>
          <w:rFonts w:eastAsiaTheme="minorEastAsia"/>
        </w:rPr>
        <w:footnoteReference w:id="15"/>
      </w:r>
    </w:p>
    <w:p w14:paraId="29AF8E76" w14:textId="77777777" w:rsidR="00597296" w:rsidRPr="00B50802" w:rsidRDefault="00597296" w:rsidP="00296045">
      <w:pPr>
        <w:pStyle w:val="Bullets"/>
        <w:numPr>
          <w:ilvl w:val="0"/>
          <w:numId w:val="31"/>
        </w:numPr>
        <w:ind w:left="709"/>
      </w:pPr>
      <w:r w:rsidRPr="00B50802">
        <w:t xml:space="preserve">is in an improvised dwelling, tent or </w:t>
      </w:r>
      <w:r w:rsidRPr="00B50802">
        <w:rPr>
          <w:bCs/>
        </w:rPr>
        <w:t>sleeping rough</w:t>
      </w:r>
      <w:r w:rsidRPr="00B50802">
        <w:t>; or</w:t>
      </w:r>
    </w:p>
    <w:p w14:paraId="4EF8FF63" w14:textId="77777777" w:rsidR="00597296" w:rsidRPr="00B50802" w:rsidRDefault="00597296" w:rsidP="00296045">
      <w:pPr>
        <w:pStyle w:val="Bullets"/>
        <w:numPr>
          <w:ilvl w:val="0"/>
          <w:numId w:val="31"/>
        </w:numPr>
        <w:ind w:left="709"/>
      </w:pPr>
      <w:r w:rsidRPr="00B50802">
        <w:t xml:space="preserve">has no security of tenure e.g. temporary lodgings, supported accommodation </w:t>
      </w:r>
      <w:r w:rsidRPr="00B50802">
        <w:br/>
        <w:t>or couch surfing; or</w:t>
      </w:r>
    </w:p>
    <w:p w14:paraId="416A4D7C" w14:textId="77777777" w:rsidR="00597296" w:rsidRPr="00B50802" w:rsidRDefault="00597296" w:rsidP="00296045">
      <w:pPr>
        <w:pStyle w:val="Bullets"/>
        <w:numPr>
          <w:ilvl w:val="0"/>
          <w:numId w:val="31"/>
        </w:numPr>
        <w:ind w:left="709"/>
      </w:pPr>
      <w:r w:rsidRPr="00B50802">
        <w:t>does not have control of, and space for social relations for example; </w:t>
      </w:r>
      <w:r w:rsidRPr="00B50802">
        <w:rPr>
          <w:bCs/>
        </w:rPr>
        <w:t>severely crowded dwellings</w:t>
      </w:r>
      <w:r w:rsidRPr="00B50802">
        <w:t>; and</w:t>
      </w:r>
    </w:p>
    <w:p w14:paraId="262B63B1" w14:textId="77777777" w:rsidR="00597296" w:rsidRPr="00B50802" w:rsidRDefault="00597296" w:rsidP="00296045">
      <w:pPr>
        <w:pStyle w:val="Bullets"/>
        <w:numPr>
          <w:ilvl w:val="0"/>
          <w:numId w:val="31"/>
        </w:numPr>
        <w:ind w:left="709"/>
      </w:pPr>
      <w:r w:rsidRPr="00B50802">
        <w:t>does not have access to suitable alternatives.</w:t>
      </w:r>
    </w:p>
    <w:p w14:paraId="2B918B3B" w14:textId="77777777" w:rsidR="00C23F9F" w:rsidRPr="00B50802" w:rsidRDefault="00C23F9F">
      <w:r w:rsidRPr="00B50802">
        <w:br w:type="page"/>
      </w:r>
    </w:p>
    <w:p w14:paraId="09970FAF" w14:textId="1B272812" w:rsidR="00597296" w:rsidRPr="00B50802" w:rsidRDefault="00597296" w:rsidP="00E2550E">
      <w:r w:rsidRPr="00B50802">
        <w:lastRenderedPageBreak/>
        <w:t>Compared to most countries, Australia’s definition of homelessness is relatively broad and it</w:t>
      </w:r>
      <w:r w:rsidR="007D3668">
        <w:t> </w:t>
      </w:r>
      <w:r w:rsidRPr="00B50802">
        <w:t>is not defined solely as ‘rooflessness’. Increasing estimates of homelessness between 2006</w:t>
      </w:r>
      <w:r w:rsidR="007D3668">
        <w:t> </w:t>
      </w:r>
      <w:r w:rsidRPr="00B50802">
        <w:t xml:space="preserve">and 2016 were largely driven by increases in </w:t>
      </w:r>
      <w:r w:rsidRPr="00B50802">
        <w:rPr>
          <w:bCs/>
        </w:rPr>
        <w:t>severe overcrowding</w:t>
      </w:r>
      <w:r w:rsidR="00E343AF" w:rsidRPr="00B50802">
        <w:t>.</w:t>
      </w:r>
      <w:r w:rsidRPr="00B50802">
        <w:t xml:space="preserve"> Despite </w:t>
      </w:r>
      <w:r w:rsidR="00C126B6" w:rsidRPr="00B50802">
        <w:t xml:space="preserve">a </w:t>
      </w:r>
      <w:r w:rsidR="006A2BFF" w:rsidRPr="00B50802">
        <w:t>6% decrease between 2016 and 2021</w:t>
      </w:r>
      <w:r w:rsidR="001434BB" w:rsidRPr="00B50802">
        <w:t>,</w:t>
      </w:r>
      <w:r w:rsidR="006A2BFF" w:rsidRPr="00B50802">
        <w:t xml:space="preserve"> </w:t>
      </w:r>
      <w:r w:rsidRPr="00B50802">
        <w:t xml:space="preserve">people living in severely overcrowded dwellings still form the largest proportion of people experiencing homelessness </w:t>
      </w:r>
      <w:r w:rsidR="00AE2B6A" w:rsidRPr="00B50802">
        <w:t>–</w:t>
      </w:r>
      <w:r w:rsidR="00550FCC" w:rsidRPr="00B50802">
        <w:t xml:space="preserve"> </w:t>
      </w:r>
      <w:r w:rsidRPr="00B50802">
        <w:t>39% of all homelessness in</w:t>
      </w:r>
      <w:r w:rsidR="007D3668">
        <w:t> </w:t>
      </w:r>
      <w:r w:rsidRPr="00B50802">
        <w:t xml:space="preserve">2021. </w:t>
      </w:r>
    </w:p>
    <w:p w14:paraId="0341575D" w14:textId="77777777" w:rsidR="00597296" w:rsidRPr="00B50802" w:rsidRDefault="00597296" w:rsidP="00E2550E">
      <w:r w:rsidRPr="00B50802">
        <w:t xml:space="preserve">More visible forms of homelessness include people </w:t>
      </w:r>
      <w:r w:rsidRPr="00B50802">
        <w:rPr>
          <w:bCs/>
        </w:rPr>
        <w:t>sleeping rough</w:t>
      </w:r>
      <w:r w:rsidRPr="00B50802">
        <w:t xml:space="preserve"> (7,636 in 2021), who make up 6% of all people experiencing homelessness. Other people experiencing homelessness include those who are staying temporarily with other households or ‘couch surfing’ (16,597 in 2021), people relying on temporary (3,934 in 2021) or supported accommodation (24,291 in 2021)</w:t>
      </w:r>
      <w:r w:rsidR="00E343AF" w:rsidRPr="00B50802">
        <w:t>,</w:t>
      </w:r>
      <w:r w:rsidRPr="00B50802">
        <w:t xml:space="preserve"> and people living in boarding houses (22,137 in 2021).</w:t>
      </w:r>
    </w:p>
    <w:p w14:paraId="7CC13365" w14:textId="77777777" w:rsidR="00597296" w:rsidRPr="00B50802" w:rsidRDefault="00297338" w:rsidP="00297338">
      <w:pPr>
        <w:spacing w:before="240" w:line="240" w:lineRule="auto"/>
        <w:rPr>
          <w:rFonts w:eastAsiaTheme="minorEastAsia"/>
          <w:i/>
          <w:iCs/>
          <w:sz w:val="18"/>
          <w:szCs w:val="18"/>
        </w:rPr>
      </w:pPr>
      <w:r w:rsidRPr="00B50802">
        <w:rPr>
          <w:rFonts w:cs="Arial"/>
          <w:b/>
          <w:bCs/>
        </w:rPr>
        <w:t>People living in severely overcrowded dwellings made up 39% of all homelessness in 2021</w:t>
      </w:r>
      <w:r w:rsidRPr="00B50802">
        <w:rPr>
          <w:rFonts w:eastAsiaTheme="minorEastAsia"/>
          <w:noProof/>
          <w:lang w:eastAsia="en-AU"/>
        </w:rPr>
        <w:drawing>
          <wp:inline distT="0" distB="0" distL="0" distR="0" wp14:anchorId="42872415" wp14:editId="0B76E64F">
            <wp:extent cx="5730875" cy="2755900"/>
            <wp:effectExtent l="0" t="0" r="3175" b="6350"/>
            <wp:docPr id="225" name="Picture 225" descr="in 2021:&#10;There was a total of 122,494 people experiencing homelessness (an increase of 27,180 over 20 years).&#10;The rate of homelessness per 10,000 people was 48.2 (a decrease of 2.6 over 10 years).&#10;7,636 people were living in improvised dwellings, tents or sleeping out (a decrease of 1,310 over 20 years).&#10;24,291 people were living in supported accommodation (an increase of 10,871 over 20 years).&#10;16,597 people staying temporarily with other households (a decrease of 1,293 over 20 years).&#10;22,137 people living in boarding houses (an increase of 837 over 20 years).&#10;3,934 people staying in other temporary lodgings (an increase of 3,596 over 20 years).&#10;47,895 people living in severely crowded dwellings (an increase of 14,465 over 20 years)." title="People living in severely overcrowded dwellings made up 39% of all homelessnes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2755900"/>
                    </a:xfrm>
                    <a:prstGeom prst="rect">
                      <a:avLst/>
                    </a:prstGeom>
                    <a:noFill/>
                  </pic:spPr>
                </pic:pic>
              </a:graphicData>
            </a:graphic>
          </wp:inline>
        </w:drawing>
      </w:r>
      <w:r w:rsidR="00597296" w:rsidRPr="00B50802">
        <w:rPr>
          <w:rFonts w:eastAsiaTheme="minorEastAsia"/>
          <w:i/>
          <w:iCs/>
          <w:sz w:val="18"/>
          <w:szCs w:val="18"/>
        </w:rPr>
        <w:t>Source: ABS Census of Population and Housing</w:t>
      </w:r>
      <w:r w:rsidR="00605ABF" w:rsidRPr="00B50802">
        <w:rPr>
          <w:rFonts w:eastAsiaTheme="minorEastAsia"/>
          <w:i/>
          <w:iCs/>
          <w:sz w:val="18"/>
          <w:szCs w:val="18"/>
        </w:rPr>
        <w:t xml:space="preserve">, 2021. </w:t>
      </w:r>
    </w:p>
    <w:p w14:paraId="1ADD94C5" w14:textId="77777777" w:rsidR="002A45AF" w:rsidRPr="00B50802" w:rsidRDefault="002A45AF" w:rsidP="002A45AF">
      <w:r w:rsidRPr="00B50802">
        <w:t xml:space="preserve">Homelessness can have serious impacts on a person’s mental and physical health, their ability to participate in society, and their security and safety. </w:t>
      </w:r>
    </w:p>
    <w:p w14:paraId="41A10356" w14:textId="7D383D0C" w:rsidR="00D90334" w:rsidRPr="00B50802" w:rsidRDefault="00D90334" w:rsidP="00D90334">
      <w:r w:rsidRPr="00B50802">
        <w:t xml:space="preserve">Due to the significant and acute challenges faced by people sleeping rough and the large number of people who experience severe overcrowding, this section will focus on these two groups. However, the </w:t>
      </w:r>
      <w:r w:rsidR="0070692A" w:rsidRPr="00B50802">
        <w:t>development of</w:t>
      </w:r>
      <w:r w:rsidRPr="00B50802">
        <w:t xml:space="preserve"> the National Housing and Homelessness Plan will </w:t>
      </w:r>
      <w:r w:rsidR="0070692A" w:rsidRPr="00B50802">
        <w:t xml:space="preserve">include consideration of </w:t>
      </w:r>
      <w:r w:rsidRPr="00B50802">
        <w:t>all types of homelessness and the broad range of issues impacting homelessness in Australia. Submissions and views are invited on the full range of issues relating to homelessness or the risk of homelessness.</w:t>
      </w:r>
    </w:p>
    <w:p w14:paraId="58661F39" w14:textId="77777777" w:rsidR="00E66CEA" w:rsidRDefault="00E66CEA">
      <w:pPr>
        <w:rPr>
          <w:rFonts w:ascii="Georgia" w:eastAsia="Times New Roman" w:hAnsi="Georgia" w:cs="Calibri"/>
          <w:b/>
          <w:sz w:val="28"/>
          <w:szCs w:val="24"/>
          <w:lang w:eastAsia="en-AU"/>
        </w:rPr>
      </w:pPr>
      <w:bookmarkStart w:id="1226" w:name="_Toc134784690"/>
      <w:bookmarkStart w:id="1227" w:name="_Toc135035209"/>
      <w:bookmarkStart w:id="1228" w:name="_Toc135060886"/>
      <w:bookmarkStart w:id="1229" w:name="_Toc135161357"/>
      <w:bookmarkStart w:id="1230" w:name="_Toc135162220"/>
      <w:bookmarkStart w:id="1231" w:name="_Toc135162304"/>
      <w:bookmarkStart w:id="1232" w:name="_Toc135162478"/>
      <w:bookmarkStart w:id="1233" w:name="_Toc135206057"/>
      <w:bookmarkStart w:id="1234" w:name="_Toc135206142"/>
      <w:bookmarkStart w:id="1235" w:name="_Toc139464300"/>
      <w:bookmarkStart w:id="1236" w:name="_Toc141969835"/>
      <w:bookmarkStart w:id="1237" w:name="_Toc141972458"/>
      <w:bookmarkStart w:id="1238" w:name="_Toc141972671"/>
      <w:bookmarkStart w:id="1239" w:name="_Toc141972945"/>
      <w:bookmarkStart w:id="1240" w:name="_Toc142042505"/>
      <w:bookmarkStart w:id="1241" w:name="_Toc142042714"/>
      <w:r>
        <w:rPr>
          <w:rFonts w:ascii="Georgia" w:hAnsi="Georgia"/>
          <w:b/>
          <w:sz w:val="28"/>
        </w:rPr>
        <w:br w:type="page"/>
      </w:r>
    </w:p>
    <w:p w14:paraId="5909D5CE" w14:textId="79FF7631" w:rsidR="002B7429" w:rsidRPr="00B50802" w:rsidRDefault="002B7429" w:rsidP="00E66CEA">
      <w:pPr>
        <w:pStyle w:val="Bullet"/>
        <w:tabs>
          <w:tab w:val="clear" w:pos="520"/>
          <w:tab w:val="num" w:pos="0"/>
        </w:tabs>
        <w:spacing w:after="200"/>
        <w:ind w:left="0" w:firstLine="0"/>
      </w:pPr>
      <w:r w:rsidRPr="00E66CEA">
        <w:rPr>
          <w:rFonts w:ascii="Georgia" w:hAnsi="Georgia"/>
          <w:b/>
          <w:sz w:val="28"/>
        </w:rPr>
        <w:lastRenderedPageBreak/>
        <w:t>Contributing factors</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E66CEA">
        <w:rPr>
          <w:rFonts w:ascii="Georgia" w:hAnsi="Georgia"/>
          <w:b/>
          <w:sz w:val="28"/>
        </w:rPr>
        <w:t xml:space="preserve"> </w:t>
      </w:r>
    </w:p>
    <w:p w14:paraId="695C1853" w14:textId="05D36457" w:rsidR="00597296" w:rsidRPr="00B50802" w:rsidRDefault="00597296" w:rsidP="00D05D12">
      <w:pPr>
        <w:keepNext/>
        <w:keepLines/>
        <w:rPr>
          <w:b/>
          <w:bCs/>
        </w:rPr>
      </w:pPr>
      <w:r w:rsidRPr="00B50802">
        <w:t xml:space="preserve">Homelessness can affect anyone and can be caused by </w:t>
      </w:r>
      <w:r w:rsidR="005242AA" w:rsidRPr="00B50802">
        <w:t>numerous</w:t>
      </w:r>
      <w:r w:rsidRPr="00B50802">
        <w:t xml:space="preserve"> factors:</w:t>
      </w:r>
      <w:r w:rsidRPr="00B50802">
        <w:rPr>
          <w:rStyle w:val="FootnoteReference"/>
          <w:rFonts w:eastAsiaTheme="minorEastAsia"/>
        </w:rPr>
        <w:footnoteReference w:id="16"/>
      </w:r>
      <w:r w:rsidR="00E86A95" w:rsidRPr="00B50802">
        <w:br/>
      </w:r>
      <w:r w:rsidR="008A1B48" w:rsidRPr="00B50802">
        <w:br/>
      </w:r>
      <w:r w:rsidR="00297338" w:rsidRPr="00B50802">
        <w:rPr>
          <w:noProof/>
          <w:lang w:eastAsia="en-AU"/>
        </w:rPr>
        <w:t xml:space="preserve"> </w:t>
      </w:r>
      <w:r w:rsidR="00D50CFA">
        <w:rPr>
          <w:noProof/>
          <w:lang w:eastAsia="en-AU"/>
        </w:rPr>
        <w:drawing>
          <wp:inline distT="0" distB="0" distL="0" distR="0" wp14:anchorId="7FD3981E" wp14:editId="3DDDE1A9">
            <wp:extent cx="5232558" cy="3285811"/>
            <wp:effectExtent l="0" t="0" r="6350" b="0"/>
            <wp:docPr id="99" name="Picture 99" descr="accessibility due to a disability, low incomes, low educational attainment, unaffordable housing, family and domestic violence, family breakdown, mental and physical ill-health, unemployment, exists from institutions (eg. custody or out of home care), emergency events and natural disasters, trauma and lack of housing options." title="Homelessness can be a consequence of contributing factorsThese factors incl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41201" cy="3291239"/>
                    </a:xfrm>
                    <a:prstGeom prst="rect">
                      <a:avLst/>
                    </a:prstGeom>
                    <a:noFill/>
                  </pic:spPr>
                </pic:pic>
              </a:graphicData>
            </a:graphic>
          </wp:inline>
        </w:drawing>
      </w:r>
    </w:p>
    <w:p w14:paraId="0D1E15DA" w14:textId="77777777" w:rsidR="00597296" w:rsidRPr="00B50802" w:rsidRDefault="00844D7D" w:rsidP="00E2550E">
      <w:r w:rsidRPr="00B50802">
        <w:t>M</w:t>
      </w:r>
      <w:r w:rsidR="00597296" w:rsidRPr="00B50802">
        <w:t>ultiple and intersecting structural and systemic factors influence why people become homeless and certain groups are disproportionately more likely to experience homelessness.</w:t>
      </w:r>
    </w:p>
    <w:p w14:paraId="5638FCAC" w14:textId="77777777" w:rsidR="00597296" w:rsidRPr="00B50802" w:rsidRDefault="00597296" w:rsidP="00340A81">
      <w:pPr>
        <w:pStyle w:val="Heading4"/>
        <w:spacing w:after="200"/>
        <w:rPr>
          <w:b w:val="0"/>
        </w:rPr>
      </w:pPr>
      <w:r w:rsidRPr="00B50802">
        <w:rPr>
          <w:b w:val="0"/>
        </w:rPr>
        <w:t>Gender, sexuality and age</w:t>
      </w:r>
    </w:p>
    <w:p w14:paraId="63424054" w14:textId="77777777" w:rsidR="00597296" w:rsidRPr="00B50802" w:rsidRDefault="00597296" w:rsidP="0035390A">
      <w:pPr>
        <w:pStyle w:val="Bullets"/>
        <w:numPr>
          <w:ilvl w:val="0"/>
          <w:numId w:val="1"/>
        </w:numPr>
      </w:pPr>
      <w:r w:rsidRPr="00B50802">
        <w:t>While men were more likely to experience homelessness in Australia (56% of the homeless population), women accounted for 82% of the increase of people experiencing homelessness between 2016 and 2021.</w:t>
      </w:r>
      <w:r w:rsidRPr="00B50802">
        <w:rPr>
          <w:rStyle w:val="FootnoteReference"/>
          <w:color w:val="000000"/>
        </w:rPr>
        <w:footnoteReference w:id="17"/>
      </w:r>
    </w:p>
    <w:p w14:paraId="7FAABB4A" w14:textId="31A954DA" w:rsidR="00597296" w:rsidRPr="00B50802" w:rsidRDefault="00597296" w:rsidP="008A1350">
      <w:pPr>
        <w:pStyle w:val="Bullets"/>
        <w:numPr>
          <w:ilvl w:val="1"/>
          <w:numId w:val="1"/>
        </w:numPr>
        <w:rPr>
          <w:color w:val="000000"/>
        </w:rPr>
      </w:pPr>
      <w:r w:rsidRPr="00B50802">
        <w:t>Women’s homelessness is often described as ‘hidden’ or ‘invisible’ because women are more likely to stay with family or friends on a couch, in a garage, or in their car.</w:t>
      </w:r>
      <w:r w:rsidRPr="00B50802">
        <w:rPr>
          <w:rStyle w:val="FootnoteReference"/>
          <w:rFonts w:eastAsiaTheme="minorEastAsia"/>
        </w:rPr>
        <w:footnoteReference w:id="18"/>
      </w:r>
      <w:r w:rsidR="00ED1014" w:rsidRPr="00B75F7D">
        <w:t xml:space="preserve"> </w:t>
      </w:r>
      <w:r w:rsidR="0070692A" w:rsidRPr="00B50802">
        <w:t>A</w:t>
      </w:r>
      <w:r w:rsidRPr="00B50802">
        <w:t xml:space="preserve"> lack of housing options could prevent women from leaving violent situations or lead to them returning to living with perpetrators.</w:t>
      </w:r>
      <w:r w:rsidRPr="00B50802">
        <w:rPr>
          <w:rStyle w:val="FootnoteReference"/>
          <w:rFonts w:eastAsiaTheme="minorEastAsia"/>
        </w:rPr>
        <w:footnoteReference w:id="19"/>
      </w:r>
      <w:r w:rsidRPr="00B50802">
        <w:t xml:space="preserve"> </w:t>
      </w:r>
      <w:r w:rsidR="00D90334" w:rsidRPr="00B50802">
        <w:t>Based on the data available</w:t>
      </w:r>
      <w:r w:rsidRPr="00B50802">
        <w:t xml:space="preserve"> </w:t>
      </w:r>
      <w:r w:rsidR="00D90334" w:rsidRPr="00B50802">
        <w:t xml:space="preserve">it </w:t>
      </w:r>
      <w:r w:rsidRPr="00B50802">
        <w:t>is very difficult to assess and measure situations in</w:t>
      </w:r>
      <w:r w:rsidR="007D3668">
        <w:t> </w:t>
      </w:r>
      <w:r w:rsidRPr="00B50802">
        <w:t>which someone is displaced as a result of violence.</w:t>
      </w:r>
      <w:r w:rsidR="00D90334" w:rsidRPr="00B50802">
        <w:rPr>
          <w:rStyle w:val="FootnoteReference"/>
          <w:rFonts w:eastAsiaTheme="minorEastAsia"/>
        </w:rPr>
        <w:t xml:space="preserve"> </w:t>
      </w:r>
      <w:r w:rsidR="00D90334" w:rsidRPr="00B50802">
        <w:rPr>
          <w:rStyle w:val="FootnoteReference"/>
          <w:rFonts w:eastAsiaTheme="minorEastAsia"/>
        </w:rPr>
        <w:footnoteReference w:id="20"/>
      </w:r>
    </w:p>
    <w:p w14:paraId="224AF1D6" w14:textId="77777777" w:rsidR="00457F4A" w:rsidRPr="00B50802" w:rsidRDefault="00457F4A">
      <w:pPr>
        <w:rPr>
          <w:rFonts w:cs="Arial"/>
        </w:rPr>
      </w:pPr>
      <w:r w:rsidRPr="00B50802">
        <w:br w:type="page"/>
      </w:r>
    </w:p>
    <w:p w14:paraId="53E011D9" w14:textId="33D50BD6" w:rsidR="00597296" w:rsidRPr="00B50802" w:rsidRDefault="00597296" w:rsidP="008A6FEE">
      <w:pPr>
        <w:pStyle w:val="Bullets"/>
        <w:numPr>
          <w:ilvl w:val="0"/>
          <w:numId w:val="1"/>
        </w:numPr>
      </w:pPr>
      <w:r w:rsidRPr="00B50802">
        <w:lastRenderedPageBreak/>
        <w:t>Men accounted for 62% of older people experiencing homelessness in Australia in</w:t>
      </w:r>
      <w:r w:rsidR="007D3668">
        <w:t> </w:t>
      </w:r>
      <w:r w:rsidRPr="00B50802">
        <w:t>2021</w:t>
      </w:r>
      <w:r w:rsidR="00B226C4" w:rsidRPr="00B50802">
        <w:t>.</w:t>
      </w:r>
    </w:p>
    <w:p w14:paraId="5619975C" w14:textId="26D2F72C" w:rsidR="00597296" w:rsidRPr="00B50802" w:rsidRDefault="007501F2" w:rsidP="008A1350">
      <w:pPr>
        <w:pStyle w:val="Bullets"/>
        <w:numPr>
          <w:ilvl w:val="1"/>
          <w:numId w:val="1"/>
        </w:numPr>
      </w:pPr>
      <w:r w:rsidRPr="00B50802">
        <w:t>The number of o</w:t>
      </w:r>
      <w:r w:rsidR="00597296" w:rsidRPr="00B50802">
        <w:t>lder males (55 and over) experiencing homelessness increased from 11,760 in 2016 to 12,062 in 2021 (an increase of 3%), however</w:t>
      </w:r>
      <w:r w:rsidR="000C760E" w:rsidRPr="00B50802">
        <w:t>,</w:t>
      </w:r>
      <w:r w:rsidR="00597296" w:rsidRPr="00B50802">
        <w:t xml:space="preserve"> the rate of homelessness decreased from 39 per 10,000 in 2016 to</w:t>
      </w:r>
      <w:r w:rsidR="007D3668">
        <w:t> </w:t>
      </w:r>
      <w:r w:rsidR="00597296" w:rsidRPr="00B50802">
        <w:t>34 per 10,000 in 2021.</w:t>
      </w:r>
    </w:p>
    <w:p w14:paraId="2ED082FC" w14:textId="2D2EA2C1" w:rsidR="00CF6AB9" w:rsidRPr="00B50802" w:rsidRDefault="00597296" w:rsidP="008A6FEE">
      <w:pPr>
        <w:pStyle w:val="Bullets"/>
        <w:numPr>
          <w:ilvl w:val="0"/>
          <w:numId w:val="1"/>
        </w:numPr>
        <w:rPr>
          <w:rFonts w:eastAsiaTheme="minorEastAsia"/>
        </w:rPr>
      </w:pPr>
      <w:r w:rsidRPr="00B50802">
        <w:t>Older women (55 and over) were the fastest growing homelessness cohort between 2011 and 2016, however</w:t>
      </w:r>
      <w:r w:rsidR="00D1516B" w:rsidRPr="00B50802">
        <w:t>,</w:t>
      </w:r>
      <w:r w:rsidRPr="00B50802">
        <w:t xml:space="preserve"> this growth slowed between 2016 and 2021.</w:t>
      </w:r>
    </w:p>
    <w:p w14:paraId="103DB9DE" w14:textId="409CA215" w:rsidR="00597296" w:rsidRPr="00B50802" w:rsidRDefault="00CF6AB9" w:rsidP="008A1350">
      <w:pPr>
        <w:pStyle w:val="Bullets"/>
        <w:numPr>
          <w:ilvl w:val="1"/>
          <w:numId w:val="1"/>
        </w:numPr>
        <w:rPr>
          <w:rFonts w:eastAsiaTheme="minorEastAsia"/>
        </w:rPr>
      </w:pPr>
      <w:r w:rsidRPr="00B50802">
        <w:t>The number of o</w:t>
      </w:r>
      <w:r w:rsidR="00597296" w:rsidRPr="00B50802">
        <w:t>lder women experiencing homelessness increased from 6,872 in 2016 to 7,325 in 2021 (an increase of 7%), however</w:t>
      </w:r>
      <w:r w:rsidR="000C760E" w:rsidRPr="00B50802">
        <w:t>,</w:t>
      </w:r>
      <w:r w:rsidR="00597296" w:rsidRPr="00B50802">
        <w:t xml:space="preserve"> the rate of homelessness decreased from 20 per 10,000 in 2016 to 19 per 10,000 in</w:t>
      </w:r>
      <w:r w:rsidR="007D3668">
        <w:t> </w:t>
      </w:r>
      <w:r w:rsidR="00597296" w:rsidRPr="00B50802">
        <w:t>2021.</w:t>
      </w:r>
    </w:p>
    <w:p w14:paraId="2B103598" w14:textId="77777777" w:rsidR="00597296" w:rsidRPr="00B50802" w:rsidRDefault="00597296" w:rsidP="00BC6DDF">
      <w:pPr>
        <w:pStyle w:val="Bullets"/>
        <w:numPr>
          <w:ilvl w:val="0"/>
          <w:numId w:val="1"/>
        </w:numPr>
      </w:pPr>
      <w:r w:rsidRPr="00B50802">
        <w:rPr>
          <w:rFonts w:eastAsiaTheme="minorEastAsia"/>
        </w:rPr>
        <w:t xml:space="preserve">Young people (12 to 24 years) are overrepresented in Australian homelessness estimates (71 per 10,000 in 2021) </w:t>
      </w:r>
      <w:r w:rsidRPr="00B50802">
        <w:rPr>
          <w:color w:val="000000"/>
        </w:rPr>
        <w:t>and are more likely to experience severe overcrowding and be living in supported accommodation.</w:t>
      </w:r>
      <w:r w:rsidRPr="00B50802">
        <w:t xml:space="preserve"> In 2021, 37% of all homeless </w:t>
      </w:r>
      <w:r w:rsidR="003E1D06" w:rsidRPr="00B50802">
        <w:t xml:space="preserve">people </w:t>
      </w:r>
      <w:r w:rsidRPr="00B50802">
        <w:t xml:space="preserve">were aged 24 or </w:t>
      </w:r>
      <w:r w:rsidR="003E1D06" w:rsidRPr="00B50802">
        <w:t>younger</w:t>
      </w:r>
      <w:r w:rsidRPr="00B50802">
        <w:t>.</w:t>
      </w:r>
    </w:p>
    <w:p w14:paraId="4FFF7F25" w14:textId="3A76AC1E" w:rsidR="00F72B09" w:rsidRPr="00B50802" w:rsidRDefault="003E1D06" w:rsidP="008A1350">
      <w:pPr>
        <w:pStyle w:val="Bullets"/>
        <w:numPr>
          <w:ilvl w:val="1"/>
          <w:numId w:val="1"/>
        </w:numPr>
      </w:pPr>
      <w:r w:rsidRPr="00B50802">
        <w:t>S</w:t>
      </w:r>
      <w:r w:rsidR="00597296" w:rsidRPr="00B50802">
        <w:t xml:space="preserve">pecific cohorts of young people are disproportionately more </w:t>
      </w:r>
      <w:r w:rsidR="00D90334" w:rsidRPr="00B50802">
        <w:t>vulnerable. F</w:t>
      </w:r>
      <w:r w:rsidR="00597296" w:rsidRPr="00B50802">
        <w:t>or example, 30% of young people leaving formal out-of-home care experience homelessness within their first year of exiting care.</w:t>
      </w:r>
      <w:r w:rsidR="00597296" w:rsidRPr="00B50802">
        <w:rPr>
          <w:vertAlign w:val="superscript"/>
        </w:rPr>
        <w:footnoteReference w:id="21"/>
      </w:r>
      <w:r w:rsidR="005A17C3" w:rsidRPr="00B50802">
        <w:t xml:space="preserve"> </w:t>
      </w:r>
      <w:r w:rsidR="00597296" w:rsidRPr="00B50802">
        <w:t>A 2021 study by La</w:t>
      </w:r>
      <w:r w:rsidR="007D3668">
        <w:t> </w:t>
      </w:r>
      <w:r w:rsidR="00597296" w:rsidRPr="00B50802">
        <w:t>Trobe University found 23.6% of young LGBTQIA+ people aged 14 to 21 had experienced homelessness in their lifetime.</w:t>
      </w:r>
      <w:r w:rsidR="00597296" w:rsidRPr="00B50802">
        <w:rPr>
          <w:vertAlign w:val="superscript"/>
        </w:rPr>
        <w:footnoteReference w:id="22"/>
      </w:r>
      <w:r w:rsidR="005A17C3" w:rsidRPr="00B50802">
        <w:t xml:space="preserve"> </w:t>
      </w:r>
    </w:p>
    <w:p w14:paraId="27E4C7AF" w14:textId="517F84C3" w:rsidR="00597296" w:rsidRPr="00B50802" w:rsidRDefault="00F72B09" w:rsidP="008A1350">
      <w:pPr>
        <w:pStyle w:val="Bullets"/>
        <w:numPr>
          <w:ilvl w:val="1"/>
          <w:numId w:val="1"/>
        </w:numPr>
      </w:pPr>
      <w:r w:rsidRPr="00B50802">
        <w:t>People under the age of 12 were the fastest growing homelessness cohort in</w:t>
      </w:r>
      <w:r w:rsidR="007D3668">
        <w:t> </w:t>
      </w:r>
      <w:r w:rsidRPr="00B50802">
        <w:t xml:space="preserve">2021. </w:t>
      </w:r>
      <w:r w:rsidR="00597296" w:rsidRPr="00B50802">
        <w:t>The number of homeless children under 12 increased from 15,872 in</w:t>
      </w:r>
      <w:r w:rsidR="007D3668">
        <w:t> </w:t>
      </w:r>
      <w:r w:rsidR="00597296" w:rsidRPr="00B50802">
        <w:t>2016 to 17,646 in 2021 (</w:t>
      </w:r>
      <w:r w:rsidR="009D12B5" w:rsidRPr="00B50802">
        <w:t xml:space="preserve">an </w:t>
      </w:r>
      <w:r w:rsidR="00597296" w:rsidRPr="00B50802">
        <w:t>increase of 11.2%)</w:t>
      </w:r>
      <w:r w:rsidRPr="00B50802">
        <w:t>, and the rate of homelessness increased from 45 per 10,000 in</w:t>
      </w:r>
      <w:r w:rsidR="008A6FEE">
        <w:t xml:space="preserve"> </w:t>
      </w:r>
      <w:r w:rsidRPr="00B50802">
        <w:t>2016 to 48 per 10,000 in</w:t>
      </w:r>
      <w:r w:rsidR="007D3668">
        <w:t> </w:t>
      </w:r>
      <w:r w:rsidRPr="00B50802">
        <w:t>2021.</w:t>
      </w:r>
      <w:r w:rsidRPr="00B50802">
        <w:rPr>
          <w:rStyle w:val="FootnoteReference"/>
        </w:rPr>
        <w:footnoteReference w:id="23"/>
      </w:r>
    </w:p>
    <w:p w14:paraId="0ECD58A6" w14:textId="77777777" w:rsidR="00597296" w:rsidRPr="00B50802" w:rsidRDefault="00597296" w:rsidP="00340A81">
      <w:pPr>
        <w:pStyle w:val="Heading4"/>
        <w:spacing w:after="200"/>
        <w:rPr>
          <w:b w:val="0"/>
          <w:color w:val="000000"/>
        </w:rPr>
      </w:pPr>
      <w:r w:rsidRPr="00B50802">
        <w:rPr>
          <w:rFonts w:eastAsiaTheme="minorEastAsia"/>
          <w:b w:val="0"/>
        </w:rPr>
        <w:t>Cultural background</w:t>
      </w:r>
    </w:p>
    <w:p w14:paraId="76CE8422" w14:textId="7EFA85F6" w:rsidR="00597296" w:rsidRPr="00B50802" w:rsidRDefault="00597296" w:rsidP="00BC0294">
      <w:pPr>
        <w:pStyle w:val="Bullets"/>
        <w:numPr>
          <w:ilvl w:val="0"/>
          <w:numId w:val="24"/>
        </w:numPr>
        <w:ind w:left="709"/>
        <w:rPr>
          <w:color w:val="000000" w:themeColor="text1"/>
        </w:rPr>
      </w:pPr>
      <w:r w:rsidRPr="00B50802">
        <w:t>Aboriginal and Torres Strait Islander people</w:t>
      </w:r>
      <w:r w:rsidR="00186483" w:rsidRPr="00B50802">
        <w:t>s</w:t>
      </w:r>
      <w:r w:rsidRPr="00B50802">
        <w:t xml:space="preserve"> are around 9 times more likely to experience homelessness (307 per 10,000), compared with non-Indigenous </w:t>
      </w:r>
      <w:r w:rsidR="00ED1014" w:rsidRPr="00B75F7D">
        <w:t>people</w:t>
      </w:r>
      <w:r w:rsidRPr="00B75F7D">
        <w:t>.</w:t>
      </w:r>
      <w:r w:rsidRPr="00B50802">
        <w:t xml:space="preserve"> </w:t>
      </w:r>
      <w:r w:rsidR="006A4C9D" w:rsidRPr="00B50802">
        <w:t xml:space="preserve">Most </w:t>
      </w:r>
      <w:r w:rsidRPr="00B50802">
        <w:t>Aboriginal and Torres Strait Islander people</w:t>
      </w:r>
      <w:r w:rsidR="005450A8" w:rsidRPr="00B50802">
        <w:t>s</w:t>
      </w:r>
      <w:r w:rsidRPr="00B50802">
        <w:t xml:space="preserve"> experiencing homelessness are living in severely crowded dwellings.</w:t>
      </w:r>
      <w:r w:rsidRPr="00B50802">
        <w:rPr>
          <w:rStyle w:val="FootnoteReference"/>
          <w:color w:val="000000"/>
        </w:rPr>
        <w:footnoteReference w:id="24"/>
      </w:r>
    </w:p>
    <w:p w14:paraId="6BB01684" w14:textId="77777777" w:rsidR="00597296" w:rsidRPr="00B50802" w:rsidRDefault="00597296" w:rsidP="00BC0294">
      <w:pPr>
        <w:pStyle w:val="Bullets"/>
        <w:numPr>
          <w:ilvl w:val="0"/>
          <w:numId w:val="24"/>
        </w:numPr>
        <w:ind w:left="709"/>
      </w:pPr>
      <w:r w:rsidRPr="00B50802">
        <w:t>People born overseas are also overrepresented in Australian homelessness estimates, representing around 46% of all homelessness in 2021</w:t>
      </w:r>
      <w:r w:rsidRPr="00B50802">
        <w:rPr>
          <w:rFonts w:eastAsiaTheme="minorEastAsia"/>
        </w:rPr>
        <w:t>. The majority were living in severely overcrowded dwellings and boarding houses.</w:t>
      </w:r>
      <w:r w:rsidRPr="00B50802">
        <w:rPr>
          <w:rStyle w:val="FootnoteReference"/>
          <w:rFonts w:eastAsiaTheme="minorEastAsia"/>
        </w:rPr>
        <w:footnoteReference w:id="25"/>
      </w:r>
    </w:p>
    <w:p w14:paraId="5D5CC40E" w14:textId="77777777" w:rsidR="00C23F9F" w:rsidRPr="00B50802" w:rsidRDefault="00C23F9F">
      <w:pPr>
        <w:rPr>
          <w:i/>
        </w:rPr>
      </w:pPr>
      <w:r w:rsidRPr="00B50802">
        <w:rPr>
          <w:i/>
        </w:rPr>
        <w:br w:type="page"/>
      </w:r>
    </w:p>
    <w:p w14:paraId="4ADA41E6" w14:textId="77777777" w:rsidR="00597296" w:rsidRPr="00B50802" w:rsidRDefault="00597296" w:rsidP="00C5548F">
      <w:pPr>
        <w:rPr>
          <w:i/>
        </w:rPr>
      </w:pPr>
      <w:r w:rsidRPr="00B50802">
        <w:rPr>
          <w:i/>
        </w:rPr>
        <w:lastRenderedPageBreak/>
        <w:t>Other factors</w:t>
      </w:r>
    </w:p>
    <w:p w14:paraId="321EF537" w14:textId="5A2A3CE5" w:rsidR="00597296" w:rsidRPr="00B50802" w:rsidDel="00926EFE" w:rsidRDefault="004234CE" w:rsidP="004234CE">
      <w:pPr>
        <w:rPr>
          <w:rFonts w:eastAsiaTheme="minorEastAsia"/>
        </w:rPr>
      </w:pPr>
      <w:r w:rsidRPr="00B50802">
        <w:t>S</w:t>
      </w:r>
      <w:r w:rsidR="00597296" w:rsidRPr="00B50802">
        <w:t xml:space="preserve">tructural factors </w:t>
      </w:r>
      <w:r w:rsidRPr="00B50802">
        <w:t xml:space="preserve">may also </w:t>
      </w:r>
      <w:r w:rsidR="00597296" w:rsidRPr="00B50802">
        <w:t>influence the likelihood of someone becoming homeless. For</w:t>
      </w:r>
      <w:r w:rsidR="007D3668">
        <w:t> </w:t>
      </w:r>
      <w:r w:rsidR="00597296" w:rsidRPr="00B50802">
        <w:t>example, people exiting institutions are more likely to access homelessness services, with ex-prisoners the fastest growing client category for homelessness services over the past decade.</w:t>
      </w:r>
      <w:r w:rsidR="00597296" w:rsidRPr="00B50802">
        <w:rPr>
          <w:rStyle w:val="FootnoteReference"/>
          <w:rFonts w:cs="Arial"/>
        </w:rPr>
        <w:footnoteReference w:id="26"/>
      </w:r>
      <w:r w:rsidR="00597296" w:rsidRPr="00B50802">
        <w:t xml:space="preserve"> There are other groups within the homelessness population of Australia who may be experiencing homelessness at higher rates or experiencing barriers in accessing support </w:t>
      </w:r>
      <w:r w:rsidR="00CF7D4D" w:rsidRPr="00B50802">
        <w:t>(</w:t>
      </w:r>
      <w:r w:rsidR="00C23F9F" w:rsidRPr="00B50802">
        <w:t xml:space="preserve">such as </w:t>
      </w:r>
      <w:r w:rsidR="00597296" w:rsidRPr="00B50802">
        <w:t>people with disability and veterans</w:t>
      </w:r>
      <w:r w:rsidR="00CF7D4D" w:rsidRPr="00B50802">
        <w:t>)</w:t>
      </w:r>
      <w:r w:rsidR="00597296" w:rsidRPr="00B50802">
        <w:t>.</w:t>
      </w:r>
      <w:r w:rsidR="00597296" w:rsidRPr="00B50802">
        <w:rPr>
          <w:rStyle w:val="FootnoteReference"/>
          <w:rFonts w:cs="Arial"/>
        </w:rPr>
        <w:footnoteReference w:id="27"/>
      </w:r>
      <w:r w:rsidR="00597296" w:rsidRPr="00B50802">
        <w:t xml:space="preserve"> However, further data and research is needed to better understand homelessness for these groups and their service needs.</w:t>
      </w:r>
    </w:p>
    <w:p w14:paraId="68B1FE98" w14:textId="77777777" w:rsidR="00597296" w:rsidRPr="00E66CEA" w:rsidRDefault="00597296" w:rsidP="00E66CEA">
      <w:pPr>
        <w:pStyle w:val="Bullet"/>
        <w:tabs>
          <w:tab w:val="clear" w:pos="520"/>
          <w:tab w:val="num" w:pos="0"/>
        </w:tabs>
        <w:spacing w:after="200"/>
        <w:ind w:left="0" w:firstLine="0"/>
        <w:rPr>
          <w:rFonts w:ascii="Georgia" w:hAnsi="Georgia"/>
          <w:b/>
          <w:sz w:val="28"/>
        </w:rPr>
      </w:pPr>
      <w:bookmarkStart w:id="1242" w:name="_Toc134784691"/>
      <w:bookmarkStart w:id="1243" w:name="_Toc135035210"/>
      <w:bookmarkStart w:id="1244" w:name="_Toc135060887"/>
      <w:bookmarkStart w:id="1245" w:name="_Toc135161358"/>
      <w:bookmarkStart w:id="1246" w:name="_Toc135162221"/>
      <w:bookmarkStart w:id="1247" w:name="_Toc135162305"/>
      <w:bookmarkStart w:id="1248" w:name="_Toc135162479"/>
      <w:bookmarkStart w:id="1249" w:name="_Toc135206058"/>
      <w:bookmarkStart w:id="1250" w:name="_Toc135206143"/>
      <w:bookmarkStart w:id="1251" w:name="_Toc139464301"/>
      <w:bookmarkStart w:id="1252" w:name="_Toc141969836"/>
      <w:bookmarkStart w:id="1253" w:name="_Toc141972459"/>
      <w:bookmarkStart w:id="1254" w:name="_Toc141972672"/>
      <w:bookmarkStart w:id="1255" w:name="_Toc141972946"/>
      <w:bookmarkStart w:id="1256" w:name="_Toc142042506"/>
      <w:bookmarkStart w:id="1257" w:name="_Toc142042715"/>
      <w:r w:rsidRPr="00E66CEA">
        <w:rPr>
          <w:rFonts w:ascii="Georgia" w:hAnsi="Georgia"/>
          <w:b/>
          <w:sz w:val="28"/>
        </w:rPr>
        <w:t>People sleeping rough</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0F80EF3A" w14:textId="77777777" w:rsidR="00597296" w:rsidRPr="00B50802" w:rsidRDefault="009C3528" w:rsidP="009D43A7">
      <w:r w:rsidRPr="00B50802">
        <w:t xml:space="preserve">People often equate </w:t>
      </w:r>
      <w:r w:rsidR="00BF4A04" w:rsidRPr="00B50802">
        <w:t xml:space="preserve">being </w:t>
      </w:r>
      <w:r w:rsidRPr="00B50802">
        <w:t xml:space="preserve">homeless with sleeping rough because </w:t>
      </w:r>
      <w:r w:rsidR="00BF4A04" w:rsidRPr="00B50802">
        <w:t>this</w:t>
      </w:r>
      <w:r w:rsidRPr="00B50802">
        <w:t xml:space="preserve"> is the</w:t>
      </w:r>
      <w:r w:rsidR="00C80385" w:rsidRPr="00B50802">
        <w:t xml:space="preserve"> </w:t>
      </w:r>
      <w:r w:rsidRPr="00B50802">
        <w:t xml:space="preserve">most visible </w:t>
      </w:r>
      <w:r w:rsidR="00C80385" w:rsidRPr="00B50802">
        <w:t>form of homeless</w:t>
      </w:r>
      <w:r w:rsidR="00BF4A04" w:rsidRPr="00B50802">
        <w:t>ness</w:t>
      </w:r>
      <w:r w:rsidR="00C80385" w:rsidRPr="00B50802">
        <w:t xml:space="preserve">. </w:t>
      </w:r>
      <w:r w:rsidR="00597296" w:rsidRPr="00B50802">
        <w:t>People sleeping rough include people who are living on the streets, sleeping in parks, squatting, staying in cars or living in improvised dwellings. They are some of the most disadvantaged and vulnerable people in society.</w:t>
      </w:r>
      <w:r w:rsidR="00597296" w:rsidRPr="00B50802">
        <w:rPr>
          <w:rStyle w:val="FootnoteReference"/>
          <w:rFonts w:eastAsiaTheme="minorEastAsia"/>
        </w:rPr>
        <w:footnoteReference w:id="28"/>
      </w:r>
    </w:p>
    <w:p w14:paraId="60664E06" w14:textId="19093CE5" w:rsidR="00597296" w:rsidRPr="00B50802" w:rsidRDefault="00597296" w:rsidP="009D43A7">
      <w:r w:rsidRPr="00B50802">
        <w:t>The 2021 Census estimated around 7,636 people were sleeping rough.</w:t>
      </w:r>
      <w:r w:rsidRPr="00B50802">
        <w:rPr>
          <w:rStyle w:val="FootnoteReference"/>
          <w:rFonts w:eastAsiaTheme="minorEastAsia"/>
        </w:rPr>
        <w:footnoteReference w:id="29"/>
      </w:r>
      <w:r w:rsidRPr="00B50802">
        <w:t xml:space="preserve"> Of these, around 5,066 (66%) were male and around 2,566 (34%) were female. Around 6,831 were over 24</w:t>
      </w:r>
      <w:r w:rsidR="007D3668">
        <w:t> </w:t>
      </w:r>
      <w:r w:rsidRPr="00B50802">
        <w:t>years of age and around 808 were under 24 years of age. The highest numbers of people sleeping rough were in the 35</w:t>
      </w:r>
      <w:r w:rsidR="0011284D" w:rsidRPr="00B50802">
        <w:t>–</w:t>
      </w:r>
      <w:r w:rsidRPr="00B50802">
        <w:t>44 and 45</w:t>
      </w:r>
      <w:r w:rsidR="0011284D" w:rsidRPr="00B50802">
        <w:t>–</w:t>
      </w:r>
      <w:r w:rsidRPr="00B50802">
        <w:t>54 age groups (1,755 and 1,775 respectively).</w:t>
      </w:r>
    </w:p>
    <w:p w14:paraId="4FCC20BC" w14:textId="77777777" w:rsidR="00597296" w:rsidRPr="00B50802" w:rsidRDefault="00367BC0" w:rsidP="009D43A7">
      <w:r w:rsidRPr="00B50802">
        <w:t xml:space="preserve">A 2018 analysis of </w:t>
      </w:r>
      <w:r w:rsidR="003310B5" w:rsidRPr="00B50802">
        <w:t xml:space="preserve">rough sleepers </w:t>
      </w:r>
      <w:r w:rsidR="00367960" w:rsidRPr="00B50802">
        <w:t>who sought assistance from</w:t>
      </w:r>
      <w:r w:rsidRPr="00B50802">
        <w:t xml:space="preserve"> specialist homelessness services found </w:t>
      </w:r>
      <w:r w:rsidR="00367960" w:rsidRPr="00B50802">
        <w:t xml:space="preserve">they </w:t>
      </w:r>
      <w:r w:rsidR="00597296" w:rsidRPr="00B50802">
        <w:t>were more likely to be:</w:t>
      </w:r>
      <w:r w:rsidR="00597296" w:rsidRPr="00B50802">
        <w:rPr>
          <w:rStyle w:val="FootnoteReference"/>
          <w:rFonts w:eastAsiaTheme="minorEastAsia"/>
        </w:rPr>
        <w:footnoteReference w:id="30"/>
      </w:r>
      <w:r w:rsidR="00C02BC0" w:rsidRPr="00B50802">
        <w:rPr>
          <w:rFonts w:eastAsiaTheme="minorEastAsia"/>
          <w:noProof/>
          <w:lang w:eastAsia="en-AU"/>
        </w:rPr>
        <w:t xml:space="preserve"> </w:t>
      </w:r>
      <w:r w:rsidR="00C02BC0" w:rsidRPr="00B50802">
        <w:rPr>
          <w:rFonts w:eastAsiaTheme="minorEastAsia"/>
          <w:noProof/>
          <w:lang w:eastAsia="en-AU"/>
        </w:rPr>
        <w:drawing>
          <wp:inline distT="0" distB="0" distL="0" distR="0" wp14:anchorId="6393AECE" wp14:editId="7C48A97F">
            <wp:extent cx="5511165" cy="883920"/>
            <wp:effectExtent l="0" t="0" r="0" b="0"/>
            <wp:docPr id="228" name="Picture 228" descr="Male (66%), over 35 (54%), unemployed (94%), living alone (68%), or have mental health issue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1165" cy="883920"/>
                    </a:xfrm>
                    <a:prstGeom prst="rect">
                      <a:avLst/>
                    </a:prstGeom>
                    <a:noFill/>
                  </pic:spPr>
                </pic:pic>
              </a:graphicData>
            </a:graphic>
          </wp:inline>
        </w:drawing>
      </w:r>
    </w:p>
    <w:p w14:paraId="65109CFE" w14:textId="69EC6F2D" w:rsidR="007C38EF" w:rsidRPr="00B50802" w:rsidRDefault="00C40492" w:rsidP="00BC0294">
      <w:pPr>
        <w:pStyle w:val="Bullets"/>
        <w:numPr>
          <w:ilvl w:val="0"/>
          <w:numId w:val="32"/>
        </w:numPr>
      </w:pPr>
      <w:r w:rsidRPr="00B50802">
        <w:t>T</w:t>
      </w:r>
      <w:r w:rsidR="00597296" w:rsidRPr="00B50802">
        <w:t>he most common reasons for people sleeping rough to seek assistance from a</w:t>
      </w:r>
      <w:r w:rsidR="007D3668">
        <w:t> </w:t>
      </w:r>
      <w:r w:rsidR="00597296" w:rsidRPr="00B50802">
        <w:t>homelessness service were related to accommodation or financial difficulties.</w:t>
      </w:r>
    </w:p>
    <w:p w14:paraId="4963AE2A" w14:textId="77777777" w:rsidR="00597296" w:rsidRPr="00B50802" w:rsidRDefault="00C40492" w:rsidP="00BC0294">
      <w:pPr>
        <w:pStyle w:val="Bullets"/>
        <w:numPr>
          <w:ilvl w:val="0"/>
          <w:numId w:val="32"/>
        </w:numPr>
      </w:pPr>
      <w:r w:rsidRPr="00B50802">
        <w:t>Y</w:t>
      </w:r>
      <w:r w:rsidR="00597296" w:rsidRPr="00B50802">
        <w:t xml:space="preserve">ounger clients were more likely to seek these services than clients aged 50 and </w:t>
      </w:r>
      <w:r w:rsidR="00A43E39" w:rsidRPr="00B50802">
        <w:t>over were</w:t>
      </w:r>
      <w:r w:rsidR="00597296" w:rsidRPr="00B50802">
        <w:t xml:space="preserve">. </w:t>
      </w:r>
    </w:p>
    <w:p w14:paraId="101D5EB2" w14:textId="77777777" w:rsidR="00597296" w:rsidRPr="00B50802" w:rsidRDefault="00C40492" w:rsidP="00BC0294">
      <w:pPr>
        <w:pStyle w:val="Bullets"/>
        <w:numPr>
          <w:ilvl w:val="0"/>
          <w:numId w:val="32"/>
        </w:numPr>
      </w:pPr>
      <w:r w:rsidRPr="00B50802">
        <w:t>W</w:t>
      </w:r>
      <w:r w:rsidR="00597296" w:rsidRPr="00B50802">
        <w:t xml:space="preserve">omen sleeping rough were much more likely to seek assistance for family, domestic and sexual violence (around </w:t>
      </w:r>
      <w:r w:rsidR="00765903" w:rsidRPr="00B50802">
        <w:t xml:space="preserve">5 </w:t>
      </w:r>
      <w:r w:rsidR="00597296" w:rsidRPr="00B50802">
        <w:t>times as likely as male rough sleepers).</w:t>
      </w:r>
    </w:p>
    <w:p w14:paraId="51C6998C" w14:textId="77777777" w:rsidR="00D643AC" w:rsidRPr="00B50802" w:rsidRDefault="00C40492" w:rsidP="00BC0294">
      <w:pPr>
        <w:pStyle w:val="Bullets"/>
        <w:numPr>
          <w:ilvl w:val="0"/>
          <w:numId w:val="32"/>
        </w:numPr>
      </w:pPr>
      <w:r w:rsidRPr="00B50802">
        <w:t>A</w:t>
      </w:r>
      <w:r w:rsidR="00597296" w:rsidRPr="00B50802">
        <w:t xml:space="preserve">round </w:t>
      </w:r>
      <w:r w:rsidR="00765903" w:rsidRPr="00B50802">
        <w:t xml:space="preserve">1 </w:t>
      </w:r>
      <w:r w:rsidR="00597296" w:rsidRPr="00B50802">
        <w:t xml:space="preserve">in </w:t>
      </w:r>
      <w:r w:rsidR="00765903" w:rsidRPr="00B50802">
        <w:t xml:space="preserve">5 </w:t>
      </w:r>
      <w:r w:rsidR="00597296" w:rsidRPr="00B50802">
        <w:t>people sleeping rough were Aboriginal and Torres Strait Islander peoples</w:t>
      </w:r>
      <w:r w:rsidR="00D643AC" w:rsidRPr="00B50802">
        <w:t>.</w:t>
      </w:r>
      <w:r w:rsidR="00C02BC0" w:rsidRPr="00B50802">
        <w:rPr>
          <w:rStyle w:val="FootnoteReference"/>
          <w:rFonts w:eastAsiaTheme="minorEastAsia"/>
        </w:rPr>
        <w:footnoteReference w:id="31"/>
      </w:r>
    </w:p>
    <w:p w14:paraId="4AFD6341" w14:textId="71BDCF3A" w:rsidR="00597296" w:rsidRPr="00B50802" w:rsidRDefault="00C40492" w:rsidP="00BC0294">
      <w:pPr>
        <w:pStyle w:val="Bullets"/>
        <w:numPr>
          <w:ilvl w:val="0"/>
          <w:numId w:val="32"/>
        </w:numPr>
      </w:pPr>
      <w:r w:rsidRPr="00B50802">
        <w:lastRenderedPageBreak/>
        <w:t>M</w:t>
      </w:r>
      <w:r w:rsidR="00D643AC" w:rsidRPr="00B50802">
        <w:t xml:space="preserve">ost </w:t>
      </w:r>
      <w:r w:rsidR="00597296" w:rsidRPr="00B50802">
        <w:t>people sleeping rough were receiving services in major cities (</w:t>
      </w:r>
      <w:r w:rsidR="00597296" w:rsidRPr="00B50802">
        <w:rPr>
          <w:color w:val="111111"/>
          <w:shd w:val="clear" w:color="auto" w:fill="FFFFFF"/>
        </w:rPr>
        <w:t>populations of</w:t>
      </w:r>
      <w:r w:rsidR="007D3668">
        <w:rPr>
          <w:color w:val="111111"/>
          <w:shd w:val="clear" w:color="auto" w:fill="FFFFFF"/>
        </w:rPr>
        <w:t> </w:t>
      </w:r>
      <w:r w:rsidR="00597296" w:rsidRPr="00B50802">
        <w:rPr>
          <w:color w:val="111111"/>
          <w:shd w:val="clear" w:color="auto" w:fill="FFFFFF"/>
        </w:rPr>
        <w:t>100,000 people or more)</w:t>
      </w:r>
      <w:r w:rsidR="00597296" w:rsidRPr="00B50802">
        <w:t xml:space="preserve">. </w:t>
      </w:r>
    </w:p>
    <w:p w14:paraId="75D594D1" w14:textId="2878A69C" w:rsidR="00C5548F" w:rsidRDefault="00C40492" w:rsidP="00BC0294">
      <w:pPr>
        <w:pStyle w:val="Bullets"/>
        <w:numPr>
          <w:ilvl w:val="0"/>
          <w:numId w:val="32"/>
        </w:numPr>
      </w:pPr>
      <w:r w:rsidRPr="00B50802">
        <w:t>M</w:t>
      </w:r>
      <w:r w:rsidR="00597296" w:rsidRPr="00B50802">
        <w:t>any people sleeping rough will experience multiple episodes of homelessness.</w:t>
      </w:r>
      <w:r w:rsidR="00597296" w:rsidRPr="00B50802">
        <w:rPr>
          <w:rStyle w:val="FootnoteReference"/>
          <w:rFonts w:eastAsiaTheme="minorEastAsia"/>
        </w:rPr>
        <w:footnoteReference w:id="32"/>
      </w:r>
    </w:p>
    <w:p w14:paraId="18D86096" w14:textId="77777777" w:rsidR="00D50CFA" w:rsidRPr="00E66CEA" w:rsidRDefault="00D50CFA" w:rsidP="00E66CEA">
      <w:pPr>
        <w:pStyle w:val="Bullet"/>
        <w:tabs>
          <w:tab w:val="clear" w:pos="520"/>
          <w:tab w:val="num" w:pos="0"/>
        </w:tabs>
        <w:spacing w:after="200"/>
        <w:ind w:left="0" w:firstLine="0"/>
        <w:rPr>
          <w:rFonts w:ascii="Georgia" w:hAnsi="Georgia"/>
          <w:b/>
          <w:sz w:val="28"/>
        </w:rPr>
      </w:pPr>
      <w:bookmarkStart w:id="1258" w:name="_Toc141969837"/>
      <w:bookmarkStart w:id="1259" w:name="_Toc141972460"/>
      <w:bookmarkStart w:id="1260" w:name="_Toc141972673"/>
      <w:bookmarkStart w:id="1261" w:name="_Toc141972947"/>
      <w:bookmarkStart w:id="1262" w:name="_Toc142042507"/>
      <w:bookmarkStart w:id="1263" w:name="_Toc142042716"/>
      <w:r w:rsidRPr="00E66CEA">
        <w:rPr>
          <w:rFonts w:ascii="Georgia" w:hAnsi="Georgia"/>
          <w:b/>
          <w:sz w:val="28"/>
        </w:rPr>
        <w:t>Overcrowding</w:t>
      </w:r>
      <w:bookmarkEnd w:id="1258"/>
      <w:bookmarkEnd w:id="1259"/>
      <w:bookmarkEnd w:id="1260"/>
      <w:bookmarkEnd w:id="1261"/>
      <w:bookmarkEnd w:id="1262"/>
      <w:bookmarkEnd w:id="1263"/>
      <w:r w:rsidRPr="00E66CEA">
        <w:rPr>
          <w:rFonts w:ascii="Georgia" w:hAnsi="Georgia"/>
          <w:b/>
          <w:sz w:val="28"/>
        </w:rPr>
        <w:t xml:space="preserve"> </w:t>
      </w:r>
    </w:p>
    <w:p w14:paraId="691F1441" w14:textId="77777777" w:rsidR="00D50CFA" w:rsidRPr="00B50802" w:rsidRDefault="00D50CFA" w:rsidP="00D50CFA">
      <w:r w:rsidRPr="00B50802">
        <w:t>Overcrowding occurs when a household does not have enough space to accommodate all its members adequately.</w:t>
      </w:r>
      <w:r w:rsidRPr="00B50802">
        <w:rPr>
          <w:rStyle w:val="FootnoteReference"/>
          <w:rFonts w:eastAsiaTheme="minorEastAsia"/>
        </w:rPr>
        <w:footnoteReference w:id="33"/>
      </w:r>
      <w:r w:rsidRPr="00B50802">
        <w:t xml:space="preserve"> Overcrowding and poor quality housing are associated with poor health, education and employment outcomes, and increased family violence.</w:t>
      </w:r>
      <w:r w:rsidRPr="00B50802">
        <w:rPr>
          <w:rStyle w:val="FootnoteReference"/>
          <w:rFonts w:eastAsiaTheme="minorEastAsia"/>
        </w:rPr>
        <w:footnoteReference w:id="34"/>
      </w:r>
    </w:p>
    <w:p w14:paraId="6858F2AE" w14:textId="77777777" w:rsidR="00D50CFA" w:rsidRPr="00B50802" w:rsidRDefault="00D50CFA" w:rsidP="00D50CFA">
      <w:r w:rsidRPr="00B50802">
        <w:t>Australia uses the Canadian National Occupancy Standard (CNOS) to determine if someone is living in an overcrowded dwelling. The CNOS bedroom requirements uses the following criteria:</w:t>
      </w:r>
    </w:p>
    <w:p w14:paraId="3762DAB9" w14:textId="77777777" w:rsidR="00D50CFA" w:rsidRPr="00B50802" w:rsidRDefault="00D50CFA" w:rsidP="00296045">
      <w:pPr>
        <w:pStyle w:val="Bullets"/>
        <w:numPr>
          <w:ilvl w:val="0"/>
          <w:numId w:val="33"/>
        </w:numPr>
        <w:ind w:left="709"/>
      </w:pPr>
      <w:r w:rsidRPr="00B50802">
        <w:t>there should be no more than 2 people per bedroom</w:t>
      </w:r>
    </w:p>
    <w:p w14:paraId="666DB90E" w14:textId="77777777" w:rsidR="00D50CFA" w:rsidRPr="00B50802" w:rsidRDefault="00D50CFA" w:rsidP="00296045">
      <w:pPr>
        <w:pStyle w:val="Bullets"/>
        <w:numPr>
          <w:ilvl w:val="0"/>
          <w:numId w:val="33"/>
        </w:numPr>
        <w:ind w:left="709"/>
      </w:pPr>
      <w:r w:rsidRPr="00B50802">
        <w:t>children 5 years of age or older of the opposite sex should have separate bedrooms</w:t>
      </w:r>
    </w:p>
    <w:p w14:paraId="1A6143BA" w14:textId="77777777" w:rsidR="00D50CFA" w:rsidRPr="00B50802" w:rsidRDefault="00D50CFA" w:rsidP="00296045">
      <w:pPr>
        <w:pStyle w:val="Bullets"/>
        <w:numPr>
          <w:ilvl w:val="0"/>
          <w:numId w:val="33"/>
        </w:numPr>
        <w:ind w:left="709"/>
      </w:pPr>
      <w:r w:rsidRPr="00B50802">
        <w:t xml:space="preserve">single household members 18 years or older should have a separate bedroom, </w:t>
      </w:r>
      <w:r w:rsidRPr="00B50802">
        <w:br/>
        <w:t>as should parents or couples.</w:t>
      </w:r>
    </w:p>
    <w:p w14:paraId="206FF0CB" w14:textId="78C588EB" w:rsidR="00D50CFA" w:rsidRPr="00B50802" w:rsidRDefault="00D50CFA" w:rsidP="00D50CFA">
      <w:r w:rsidRPr="00B50802">
        <w:t>Using this measure, households that require at least one additional bedroom are considered to experience some degree of overcrowding, while households requiring 4 bedrooms or</w:t>
      </w:r>
      <w:r w:rsidR="007D3668">
        <w:t> </w:t>
      </w:r>
      <w:r w:rsidRPr="00B50802">
        <w:t>more are considered severely overcrowded and counted as homeless for Australian estimates.</w:t>
      </w:r>
    </w:p>
    <w:p w14:paraId="01755465" w14:textId="6BF2237A" w:rsidR="00D50CFA" w:rsidRPr="00B50802" w:rsidRDefault="00D50CFA" w:rsidP="00D50CFA">
      <w:pPr>
        <w:spacing w:before="240" w:line="240" w:lineRule="auto"/>
        <w:rPr>
          <w:rFonts w:eastAsiaTheme="minorEastAsia"/>
        </w:rPr>
      </w:pPr>
      <w:r w:rsidRPr="00B50802">
        <w:rPr>
          <w:rFonts w:eastAsiaTheme="minorEastAsia"/>
        </w:rPr>
        <w:t>It is noted that the CNOS is based on Western cultural norms and may not be as applicable to some key groups, such as migrants, overseas students and Indigenous people.</w:t>
      </w:r>
      <w:r w:rsidRPr="00B75F7D">
        <w:rPr>
          <w:rStyle w:val="FootnoteReference"/>
          <w:rFonts w:eastAsiaTheme="minorEastAsia"/>
        </w:rPr>
        <w:footnoteReference w:id="35"/>
      </w:r>
    </w:p>
    <w:p w14:paraId="0D336675" w14:textId="3800E4F8" w:rsidR="00D50CFA" w:rsidRPr="00B50802" w:rsidRDefault="00D50CFA" w:rsidP="00D50CFA">
      <w:r w:rsidRPr="00B50802">
        <w:t>Australia is one of the only countries in the Organisation for Economic Co-operation and Development to include severe levels of overcrowding as a form of homelessness.</w:t>
      </w:r>
      <w:r w:rsidRPr="00B50802">
        <w:rPr>
          <w:rStyle w:val="FootnoteReference"/>
          <w:rFonts w:eastAsiaTheme="minorEastAsia"/>
        </w:rPr>
        <w:footnoteReference w:id="36"/>
      </w:r>
    </w:p>
    <w:p w14:paraId="4129CF06" w14:textId="77967969" w:rsidR="00F44D85" w:rsidRPr="00B50802" w:rsidRDefault="00D50CFA" w:rsidP="00350FD1">
      <w:r w:rsidRPr="00B50802">
        <w:t>Between 2006 and 2016, severe overcrowding grew significantly and was the largest contributor of overall homelessness growth over this time, however severe overcrowding declined by 6% between 2016 and 2021. While severe overcrowding is more prevalent in</w:t>
      </w:r>
      <w:r w:rsidR="007D3668">
        <w:t> </w:t>
      </w:r>
      <w:r w:rsidRPr="00B50802">
        <w:t>remote Australia, especially in the Northern Territory, the largest increases in severe overcrowding have been in New South Wales and Victoria.</w:t>
      </w:r>
      <w:r w:rsidRPr="00B50802">
        <w:rPr>
          <w:rStyle w:val="FootnoteReference"/>
          <w:rFonts w:eastAsia="Arial" w:cs="Arial"/>
        </w:rPr>
        <w:footnoteReference w:id="37"/>
      </w:r>
    </w:p>
    <w:p w14:paraId="5BD28856" w14:textId="77777777" w:rsidR="00592FBA" w:rsidRPr="00E66CEA" w:rsidRDefault="00592FBA" w:rsidP="00E66CEA">
      <w:pPr>
        <w:pStyle w:val="Bullet"/>
        <w:framePr w:w="8854" w:hSpace="180" w:wrap="around" w:vAnchor="text" w:hAnchor="page" w:x="1333" w:y="94"/>
        <w:tabs>
          <w:tab w:val="clear" w:pos="520"/>
          <w:tab w:val="num" w:pos="142"/>
        </w:tabs>
        <w:spacing w:after="200"/>
        <w:ind w:left="142" w:firstLine="0"/>
        <w:rPr>
          <w:rFonts w:ascii="Georgia" w:hAnsi="Georgia"/>
          <w:b/>
          <w:sz w:val="28"/>
        </w:rPr>
      </w:pPr>
      <w:bookmarkStart w:id="1264" w:name="_Toc135035212"/>
      <w:bookmarkStart w:id="1265" w:name="_Toc135060889"/>
      <w:bookmarkStart w:id="1266" w:name="_Toc135161360"/>
      <w:bookmarkStart w:id="1267" w:name="_Toc135162307"/>
      <w:bookmarkStart w:id="1268" w:name="_Toc135162481"/>
      <w:bookmarkStart w:id="1269" w:name="_Toc135206060"/>
      <w:bookmarkStart w:id="1270" w:name="_Toc135206145"/>
      <w:bookmarkStart w:id="1271" w:name="_Toc139464303"/>
      <w:bookmarkStart w:id="1272" w:name="_Toc141969838"/>
      <w:bookmarkStart w:id="1273" w:name="_Toc141972461"/>
      <w:bookmarkStart w:id="1274" w:name="_Toc141972674"/>
      <w:bookmarkStart w:id="1275" w:name="_Toc141972948"/>
      <w:bookmarkStart w:id="1276" w:name="_Toc142042508"/>
      <w:bookmarkStart w:id="1277" w:name="_Toc142042717"/>
      <w:r w:rsidRPr="00E66CEA">
        <w:rPr>
          <w:rFonts w:ascii="Georgia" w:hAnsi="Georgia"/>
          <w:b/>
          <w:sz w:val="28"/>
        </w:rPr>
        <w:lastRenderedPageBreak/>
        <w:t>Questions for consideration</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36C53172" w14:textId="77777777" w:rsidR="00592FBA" w:rsidRPr="00B50802" w:rsidRDefault="00592FBA" w:rsidP="00F17FAF">
      <w:pPr>
        <w:pStyle w:val="ListParagraph"/>
        <w:framePr w:w="8854" w:hSpace="180" w:wrap="around" w:vAnchor="text" w:hAnchor="page" w:x="1333" w:y="94"/>
        <w:numPr>
          <w:ilvl w:val="0"/>
          <w:numId w:val="6"/>
        </w:numPr>
        <w:spacing w:line="264" w:lineRule="auto"/>
        <w:ind w:hanging="357"/>
        <w:contextualSpacing w:val="0"/>
      </w:pPr>
      <w:r w:rsidRPr="00B50802">
        <w:t>What are the different challenges for people experiencing homelessness in urban, regional, and rural areas?</w:t>
      </w:r>
    </w:p>
    <w:p w14:paraId="4606B2F6" w14:textId="6D947067" w:rsidR="00592FBA" w:rsidRPr="00B50802" w:rsidRDefault="00592FBA" w:rsidP="00F17FAF">
      <w:pPr>
        <w:pStyle w:val="ListParagraph"/>
        <w:framePr w:w="8854" w:hSpace="180" w:wrap="around" w:vAnchor="text" w:hAnchor="page" w:x="1333" w:y="94"/>
        <w:numPr>
          <w:ilvl w:val="0"/>
          <w:numId w:val="6"/>
        </w:numPr>
        <w:spacing w:line="264" w:lineRule="auto"/>
        <w:ind w:hanging="357"/>
        <w:contextualSpacing w:val="0"/>
        <w:rPr>
          <w:b/>
          <w:bCs/>
        </w:rPr>
      </w:pPr>
      <w:r w:rsidRPr="00B50802">
        <w:t xml:space="preserve">What short, medium, and long-term actions can governments take to </w:t>
      </w:r>
      <w:r w:rsidR="0044372D" w:rsidRPr="00B50802">
        <w:t xml:space="preserve">help </w:t>
      </w:r>
      <w:r w:rsidRPr="00B50802">
        <w:t>prevent homelessness or to support people who may be at risk of becoming homeless?</w:t>
      </w:r>
    </w:p>
    <w:p w14:paraId="0A0C6B53" w14:textId="77777777" w:rsidR="00592FBA" w:rsidRPr="00B50802" w:rsidRDefault="00592FBA" w:rsidP="00F17FAF">
      <w:pPr>
        <w:pStyle w:val="ListParagraph"/>
        <w:framePr w:w="8854" w:hSpace="180" w:wrap="around" w:vAnchor="text" w:hAnchor="page" w:x="1333" w:y="94"/>
        <w:numPr>
          <w:ilvl w:val="0"/>
          <w:numId w:val="6"/>
        </w:numPr>
        <w:spacing w:line="264" w:lineRule="auto"/>
        <w:ind w:hanging="357"/>
        <w:contextualSpacing w:val="0"/>
      </w:pPr>
      <w:r w:rsidRPr="00B50802">
        <w:t>How can the homelessness system more effectively respond to those at risk of, or already experiencing homelessness?</w:t>
      </w:r>
    </w:p>
    <w:p w14:paraId="197E0E78" w14:textId="77777777" w:rsidR="00592FBA" w:rsidRPr="00B50802" w:rsidRDefault="00592FBA" w:rsidP="00F17FAF">
      <w:pPr>
        <w:pStyle w:val="ListParagraph"/>
        <w:framePr w:w="8854" w:hSpace="180" w:wrap="around" w:vAnchor="text" w:hAnchor="page" w:x="1333" w:y="94"/>
        <w:numPr>
          <w:ilvl w:val="1"/>
          <w:numId w:val="6"/>
        </w:numPr>
        <w:spacing w:line="264" w:lineRule="auto"/>
        <w:ind w:hanging="357"/>
        <w:contextualSpacing w:val="0"/>
      </w:pPr>
      <w:r w:rsidRPr="00B50802">
        <w:t>How can the homelessness system ensure those at risk of homelessness or in crisis receive appropriate support to avoid homelessness or so they are less likely to fall back into homelessness?</w:t>
      </w:r>
    </w:p>
    <w:p w14:paraId="13FDD7BB" w14:textId="77777777" w:rsidR="00592FBA" w:rsidRPr="00B50802" w:rsidRDefault="00592FBA" w:rsidP="00F17FAF">
      <w:pPr>
        <w:pStyle w:val="ListParagraph"/>
        <w:framePr w:w="8854" w:hSpace="180" w:wrap="around" w:vAnchor="text" w:hAnchor="page" w:x="1333" w:y="94"/>
        <w:numPr>
          <w:ilvl w:val="1"/>
          <w:numId w:val="6"/>
        </w:numPr>
        <w:spacing w:line="264" w:lineRule="auto"/>
        <w:ind w:hanging="357"/>
        <w:contextualSpacing w:val="0"/>
      </w:pPr>
      <w:r w:rsidRPr="00B50802">
        <w:t>What actions can governments take to facilitate early intervention and preventative responses?</w:t>
      </w:r>
    </w:p>
    <w:p w14:paraId="0C49D503" w14:textId="77777777" w:rsidR="00592FBA" w:rsidRPr="00B50802" w:rsidRDefault="00592FBA" w:rsidP="00F17FAF">
      <w:pPr>
        <w:pStyle w:val="ListParagraph"/>
        <w:framePr w:w="8854" w:hSpace="180" w:wrap="around" w:vAnchor="text" w:hAnchor="page" w:x="1333" w:y="94"/>
        <w:numPr>
          <w:ilvl w:val="0"/>
          <w:numId w:val="6"/>
        </w:numPr>
        <w:spacing w:line="264" w:lineRule="auto"/>
        <w:ind w:hanging="357"/>
        <w:contextualSpacing w:val="0"/>
      </w:pPr>
      <w:r w:rsidRPr="00B50802">
        <w:t>How can governments capture better evidence on ‘hidden’ or ‘invisible’ homelessness (e.g. couch surfing, living in a car and overcrowding)?</w:t>
      </w:r>
    </w:p>
    <w:p w14:paraId="077D90C9" w14:textId="77777777" w:rsidR="00592FBA" w:rsidRPr="00B50802" w:rsidRDefault="00592FBA" w:rsidP="00F17FAF">
      <w:pPr>
        <w:pStyle w:val="ListParagraph"/>
        <w:framePr w:w="8854" w:hSpace="180" w:wrap="around" w:vAnchor="text" w:hAnchor="page" w:x="1333" w:y="94"/>
        <w:numPr>
          <w:ilvl w:val="0"/>
          <w:numId w:val="6"/>
        </w:numPr>
        <w:spacing w:after="240"/>
        <w:ind w:left="714" w:hanging="357"/>
        <w:contextualSpacing w:val="0"/>
        <w:rPr>
          <w:rFonts w:eastAsiaTheme="minorEastAsia"/>
          <w:b/>
        </w:rPr>
      </w:pPr>
      <w:r w:rsidRPr="00B50802">
        <w:t>Is the Canadian National Occupancy Standard measure of overcrowding, and the way it is applied in Australia to define homelessness, suitable for the Australian context?</w:t>
      </w:r>
    </w:p>
    <w:p w14:paraId="015F7027" w14:textId="49A33998" w:rsidR="00457F4A" w:rsidRPr="00B50802" w:rsidRDefault="009A4CC6">
      <w:pPr>
        <w:rPr>
          <w:rFonts w:ascii="Georgia" w:eastAsiaTheme="majorEastAsia" w:hAnsi="Georgia" w:cstheme="majorBidi"/>
          <w:color w:val="005A70"/>
          <w:sz w:val="36"/>
          <w:szCs w:val="36"/>
        </w:rPr>
      </w:pPr>
      <w:r w:rsidRPr="00B50802">
        <w:rPr>
          <w:noProof/>
          <w:lang w:eastAsia="en-AU"/>
        </w:rPr>
        <mc:AlternateContent>
          <mc:Choice Requires="wps">
            <w:drawing>
              <wp:anchor distT="0" distB="0" distL="114300" distR="114300" simplePos="0" relativeHeight="251658244" behindDoc="1" locked="0" layoutInCell="1" allowOverlap="1" wp14:anchorId="077AB5C7" wp14:editId="5624FFDC">
                <wp:simplePos x="0" y="0"/>
                <wp:positionH relativeFrom="margin">
                  <wp:align>right</wp:align>
                </wp:positionH>
                <wp:positionV relativeFrom="paragraph">
                  <wp:posOffset>44335</wp:posOffset>
                </wp:positionV>
                <wp:extent cx="5794170" cy="4067694"/>
                <wp:effectExtent l="0" t="0" r="16510" b="28575"/>
                <wp:wrapNone/>
                <wp:docPr id="23" name="Rectangle 23" descr="Decorative"/>
                <wp:cNvGraphicFramePr/>
                <a:graphic xmlns:a="http://schemas.openxmlformats.org/drawingml/2006/main">
                  <a:graphicData uri="http://schemas.microsoft.com/office/word/2010/wordprocessingShape">
                    <wps:wsp>
                      <wps:cNvSpPr/>
                      <wps:spPr>
                        <a:xfrm>
                          <a:off x="0" y="0"/>
                          <a:ext cx="5794170" cy="4067694"/>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B1B9D" id="Rectangle 23" o:spid="_x0000_s1026" alt="Decorative" style="position:absolute;margin-left:405.05pt;margin-top:3.5pt;width:456.25pt;height:320.3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" fillcolor="#daeef3" strokecolor="black [3213]" strokeweight=".25pt">
                <w10:wrap anchorx="margin"/>
              </v:rect>
            </w:pict>
          </mc:Fallback>
        </mc:AlternateContent>
      </w:r>
      <w:bookmarkStart w:id="1278" w:name="_Toc133839372"/>
      <w:bookmarkStart w:id="1279" w:name="_Toc133840277"/>
      <w:bookmarkStart w:id="1280" w:name="_Toc135162308"/>
      <w:r w:rsidR="00457F4A" w:rsidRPr="00B50802">
        <w:br w:type="page"/>
      </w:r>
    </w:p>
    <w:p w14:paraId="7106F5E1" w14:textId="227F1BEF" w:rsidR="00597296" w:rsidRPr="00B50802" w:rsidRDefault="00597296" w:rsidP="005D1545">
      <w:pPr>
        <w:pStyle w:val="Heading2"/>
      </w:pPr>
      <w:bookmarkStart w:id="1281" w:name="_Toc141972462"/>
      <w:bookmarkStart w:id="1282" w:name="_Toc141972675"/>
      <w:bookmarkStart w:id="1283" w:name="_Toc141972949"/>
      <w:bookmarkStart w:id="1284" w:name="_Toc142042509"/>
      <w:bookmarkStart w:id="1285" w:name="_Toc142042718"/>
      <w:bookmarkStart w:id="1286" w:name="_Toc142051870"/>
      <w:r w:rsidRPr="00B50802">
        <w:lastRenderedPageBreak/>
        <w:t>3.</w:t>
      </w:r>
      <w:r w:rsidR="000B04A4" w:rsidRPr="00B50802">
        <w:t>2</w:t>
      </w:r>
      <w:r w:rsidRPr="00B50802">
        <w:t xml:space="preserve"> Homelessness services</w:t>
      </w:r>
      <w:bookmarkEnd w:id="1278"/>
      <w:bookmarkEnd w:id="1279"/>
      <w:bookmarkEnd w:id="1280"/>
      <w:bookmarkEnd w:id="1281"/>
      <w:bookmarkEnd w:id="1282"/>
      <w:bookmarkEnd w:id="1283"/>
      <w:bookmarkEnd w:id="1284"/>
      <w:bookmarkEnd w:id="1285"/>
      <w:bookmarkEnd w:id="1286"/>
    </w:p>
    <w:p w14:paraId="3313BA24" w14:textId="77777777" w:rsidR="00597296" w:rsidRPr="00E66CEA" w:rsidRDefault="00597296" w:rsidP="00E66CEA">
      <w:pPr>
        <w:pStyle w:val="Bullet"/>
        <w:tabs>
          <w:tab w:val="clear" w:pos="520"/>
          <w:tab w:val="num" w:pos="567"/>
        </w:tabs>
        <w:spacing w:after="200"/>
        <w:ind w:left="0" w:firstLine="0"/>
        <w:rPr>
          <w:rFonts w:ascii="Georgia" w:hAnsi="Georgia"/>
          <w:b/>
          <w:sz w:val="28"/>
        </w:rPr>
      </w:pPr>
      <w:bookmarkStart w:id="1287" w:name="_Toc134784695"/>
      <w:bookmarkStart w:id="1288" w:name="_Toc135035214"/>
      <w:bookmarkStart w:id="1289" w:name="_Toc135060891"/>
      <w:bookmarkStart w:id="1290" w:name="_Toc135161362"/>
      <w:bookmarkStart w:id="1291" w:name="_Toc135162309"/>
      <w:bookmarkStart w:id="1292" w:name="_Toc135162483"/>
      <w:bookmarkStart w:id="1293" w:name="_Toc135206062"/>
      <w:bookmarkStart w:id="1294" w:name="_Toc135206147"/>
      <w:bookmarkStart w:id="1295" w:name="_Toc139464305"/>
      <w:bookmarkStart w:id="1296" w:name="_Toc141969840"/>
      <w:bookmarkStart w:id="1297" w:name="_Toc141972463"/>
      <w:bookmarkStart w:id="1298" w:name="_Toc141972676"/>
      <w:bookmarkStart w:id="1299" w:name="_Toc141972950"/>
      <w:bookmarkStart w:id="1300" w:name="_Toc142042510"/>
      <w:bookmarkStart w:id="1301" w:name="_Toc142042719"/>
      <w:r w:rsidRPr="00E66CEA">
        <w:rPr>
          <w:rFonts w:ascii="Georgia" w:hAnsi="Georgia"/>
          <w:b/>
          <w:sz w:val="28"/>
        </w:rPr>
        <w:t>Homelessness services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sidRPr="00E66CEA">
        <w:rPr>
          <w:rFonts w:ascii="Georgia" w:hAnsi="Georgia"/>
          <w:b/>
          <w:sz w:val="28"/>
        </w:rPr>
        <w:t xml:space="preserve"> </w:t>
      </w:r>
    </w:p>
    <w:p w14:paraId="7D8760A2" w14:textId="3A984963" w:rsidR="0044372D" w:rsidRPr="00B50802" w:rsidRDefault="00597296" w:rsidP="0044372D">
      <w:pPr>
        <w:rPr>
          <w:rFonts w:eastAsiaTheme="minorEastAsia"/>
        </w:rPr>
      </w:pPr>
      <w:r w:rsidRPr="00B50802">
        <w:rPr>
          <w:rFonts w:eastAsiaTheme="minorEastAsia"/>
        </w:rPr>
        <w:t xml:space="preserve">Governments across Australia fund a range of vital services to provide support to people who are experiencing homelessness or are at risk of homelessness. </w:t>
      </w:r>
      <w:r w:rsidR="0044372D" w:rsidRPr="00B50802">
        <w:rPr>
          <w:rFonts w:eastAsiaTheme="minorEastAsia"/>
        </w:rPr>
        <w:t xml:space="preserve">State and territory governments are responsible for the </w:t>
      </w:r>
      <w:r w:rsidR="0044372D" w:rsidRPr="00B50802" w:rsidDel="00E60288">
        <w:rPr>
          <w:rFonts w:eastAsiaTheme="minorEastAsia"/>
        </w:rPr>
        <w:t>day</w:t>
      </w:r>
      <w:r w:rsidR="00E60288" w:rsidRPr="00B50802">
        <w:rPr>
          <w:rFonts w:eastAsiaTheme="minorEastAsia"/>
        </w:rPr>
        <w:t>-to-day</w:t>
      </w:r>
      <w:r w:rsidR="0044372D" w:rsidRPr="00B50802">
        <w:rPr>
          <w:rFonts w:eastAsiaTheme="minorEastAsia"/>
        </w:rPr>
        <w:t xml:space="preserve"> delivery of homelessness services and directly fund specialist homelessness services.</w:t>
      </w:r>
      <w:r w:rsidR="0044372D" w:rsidRPr="00B50802">
        <w:rPr>
          <w:rStyle w:val="FootnoteReference"/>
          <w:rFonts w:eastAsiaTheme="minorEastAsia"/>
        </w:rPr>
        <w:footnoteReference w:id="38"/>
      </w:r>
      <w:r w:rsidR="0044372D" w:rsidRPr="00B50802">
        <w:rPr>
          <w:rFonts w:eastAsiaTheme="minorEastAsia"/>
        </w:rPr>
        <w:t> The Australian Government supports the delivery of homelessness services through dedicated homelessness funding under the National Housing and Homelessness Agreement (NHHA). States are required to match this funding.</w:t>
      </w:r>
    </w:p>
    <w:p w14:paraId="16D8C53B" w14:textId="386765D1" w:rsidR="00597296" w:rsidRPr="00B50802" w:rsidRDefault="00597296" w:rsidP="00597296">
      <w:pPr>
        <w:rPr>
          <w:rFonts w:eastAsiaTheme="minorEastAsia"/>
        </w:rPr>
      </w:pPr>
      <w:r w:rsidRPr="00B50802">
        <w:rPr>
          <w:rFonts w:eastAsiaTheme="minorEastAsia"/>
        </w:rPr>
        <w:t>There are also some homelessness services provided by philanthropic and not-for-profit organisations</w:t>
      </w:r>
      <w:r w:rsidR="006B25F8" w:rsidRPr="00B50802">
        <w:rPr>
          <w:rFonts w:eastAsiaTheme="minorEastAsia"/>
        </w:rPr>
        <w:t>.</w:t>
      </w:r>
    </w:p>
    <w:p w14:paraId="15132D39" w14:textId="53486F42" w:rsidR="00597296" w:rsidRPr="00B50802" w:rsidRDefault="00597296" w:rsidP="00597296">
      <w:pPr>
        <w:rPr>
          <w:rFonts w:eastAsiaTheme="minorEastAsia"/>
        </w:rPr>
      </w:pPr>
      <w:r w:rsidRPr="00B50802">
        <w:rPr>
          <w:rFonts w:eastAsiaTheme="minorEastAsia"/>
        </w:rPr>
        <w:t>Specialist homelessness services provide early intervention responses to prevent people becoming homeless, crisis responses, emergency accommodation and transitional housing, and a range of other services such as meals, access to storage lockers, shower or laundry facilities, family and domestic violence services, and financial advice and counselling.</w:t>
      </w:r>
    </w:p>
    <w:p w14:paraId="1BBA8D72" w14:textId="77777777" w:rsidR="00597296" w:rsidRPr="00B50802" w:rsidRDefault="00597296" w:rsidP="00597296">
      <w:r w:rsidRPr="00B50802">
        <w:t xml:space="preserve">Specialist homelessness services supported, on average, an estimated 71,000 people each day in 2021–22. </w:t>
      </w:r>
      <w:r w:rsidRPr="00B75F7D">
        <w:t xml:space="preserve">However, there were also people who approached agencies who were unable to be offered any assistance (unassisted requests for service) or who did not receive all the services required (client’s unmet need for services), with notable gaps in </w:t>
      </w:r>
      <w:r w:rsidR="00252B94" w:rsidRPr="00B75F7D">
        <w:t xml:space="preserve">providing </w:t>
      </w:r>
      <w:r w:rsidRPr="00B75F7D">
        <w:t>short-term or emergency accommodation</w:t>
      </w:r>
      <w:r w:rsidRPr="00B50802">
        <w:t>.</w:t>
      </w:r>
      <w:r w:rsidRPr="00B50802">
        <w:rPr>
          <w:rStyle w:val="FootnoteReference"/>
        </w:rPr>
        <w:footnoteReference w:id="39"/>
      </w:r>
      <w:r w:rsidRPr="00B50802">
        <w:t xml:space="preserve"> In addition, some people, particularly those with complex support requirements, as well as non-residents and unaccompanied young people, face barriers caused by fragmented or </w:t>
      </w:r>
      <w:r w:rsidR="002A45AF" w:rsidRPr="00B50802">
        <w:t xml:space="preserve">difficult to navigate </w:t>
      </w:r>
      <w:r w:rsidR="00252B94" w:rsidRPr="00B50802">
        <w:t>services</w:t>
      </w:r>
      <w:r w:rsidRPr="00B50802">
        <w:t>.</w:t>
      </w:r>
    </w:p>
    <w:p w14:paraId="5ED1088F" w14:textId="77777777" w:rsidR="00597296" w:rsidRPr="00B50802" w:rsidRDefault="00597296" w:rsidP="00597296">
      <w:pPr>
        <w:rPr>
          <w:rFonts w:eastAsiaTheme="minorEastAsia"/>
        </w:rPr>
      </w:pPr>
      <w:r w:rsidRPr="00B50802">
        <w:rPr>
          <w:rFonts w:eastAsiaTheme="minorEastAsia"/>
        </w:rPr>
        <w:t xml:space="preserve">Mainstream services have regular contact with large sections of the community, including those experiencing </w:t>
      </w:r>
      <w:r w:rsidR="00252B94" w:rsidRPr="00B50802">
        <w:rPr>
          <w:rFonts w:eastAsiaTheme="minorEastAsia"/>
        </w:rPr>
        <w:t xml:space="preserve">or at risk of </w:t>
      </w:r>
      <w:r w:rsidRPr="00B50802">
        <w:rPr>
          <w:rFonts w:eastAsiaTheme="minorEastAsia"/>
        </w:rPr>
        <w:t xml:space="preserve">homelessness. </w:t>
      </w:r>
      <w:r w:rsidR="000C69BA" w:rsidRPr="00B50802">
        <w:rPr>
          <w:rFonts w:eastAsiaTheme="minorEastAsia"/>
        </w:rPr>
        <w:t xml:space="preserve">This </w:t>
      </w:r>
      <w:r w:rsidRPr="00B50802">
        <w:rPr>
          <w:rFonts w:eastAsiaTheme="minorEastAsia"/>
        </w:rPr>
        <w:t>include</w:t>
      </w:r>
      <w:r w:rsidR="000C69BA" w:rsidRPr="00B50802">
        <w:rPr>
          <w:rFonts w:eastAsiaTheme="minorEastAsia"/>
        </w:rPr>
        <w:t>s</w:t>
      </w:r>
      <w:r w:rsidRPr="00B50802">
        <w:rPr>
          <w:rFonts w:eastAsiaTheme="minorEastAsia"/>
        </w:rPr>
        <w:t xml:space="preserve">, but </w:t>
      </w:r>
      <w:r w:rsidR="000C69BA" w:rsidRPr="00B50802">
        <w:rPr>
          <w:rFonts w:eastAsiaTheme="minorEastAsia"/>
        </w:rPr>
        <w:t xml:space="preserve">is </w:t>
      </w:r>
      <w:r w:rsidRPr="00B50802">
        <w:rPr>
          <w:rFonts w:eastAsiaTheme="minorEastAsia"/>
        </w:rPr>
        <w:t xml:space="preserve">not limited to, health services, employment services, Centrelink, education and training services, </w:t>
      </w:r>
      <w:r w:rsidR="000C69BA" w:rsidRPr="00B50802">
        <w:rPr>
          <w:rFonts w:eastAsiaTheme="minorEastAsia"/>
        </w:rPr>
        <w:t xml:space="preserve">and </w:t>
      </w:r>
      <w:r w:rsidRPr="00B50802">
        <w:rPr>
          <w:rFonts w:eastAsiaTheme="minorEastAsia"/>
        </w:rPr>
        <w:t xml:space="preserve">family and children services. It is important mainstream services are able to identify people who are experiencing </w:t>
      </w:r>
      <w:r w:rsidR="00476983" w:rsidRPr="00B50802">
        <w:rPr>
          <w:rFonts w:eastAsiaTheme="minorEastAsia"/>
        </w:rPr>
        <w:t xml:space="preserve">or at risk of </w:t>
      </w:r>
      <w:r w:rsidRPr="00B50802">
        <w:rPr>
          <w:rFonts w:eastAsiaTheme="minorEastAsia"/>
        </w:rPr>
        <w:t xml:space="preserve">homelessness and take the necessary steps to ensure they receive the support they need. </w:t>
      </w:r>
    </w:p>
    <w:p w14:paraId="5E304719" w14:textId="7084BE91" w:rsidR="00457F4A" w:rsidRPr="00B50802" w:rsidRDefault="00597296">
      <w:pPr>
        <w:rPr>
          <w:rFonts w:cs="Arial"/>
        </w:rPr>
      </w:pPr>
      <w:r w:rsidRPr="00B50802">
        <w:rPr>
          <w:rFonts w:cs="Arial"/>
        </w:rPr>
        <w:t xml:space="preserve">For both specialist homelessness services and mainstream services, attracting and retaining a suitable workforce is critical to ensuring people who are experiencing </w:t>
      </w:r>
      <w:r w:rsidR="00476983" w:rsidRPr="00B50802">
        <w:rPr>
          <w:rFonts w:cs="Arial"/>
        </w:rPr>
        <w:t xml:space="preserve">or at risk of </w:t>
      </w:r>
      <w:r w:rsidRPr="00B50802">
        <w:rPr>
          <w:rFonts w:cs="Arial"/>
        </w:rPr>
        <w:t>homelessness receive the services they need.</w:t>
      </w:r>
    </w:p>
    <w:p w14:paraId="2F8FA8C1" w14:textId="77777777" w:rsidR="00457F4A" w:rsidRPr="00B50802" w:rsidRDefault="00457F4A">
      <w:pPr>
        <w:rPr>
          <w:rFonts w:cs="Arial"/>
        </w:rPr>
      </w:pPr>
      <w:r w:rsidRPr="00B50802">
        <w:rPr>
          <w:rFonts w:cs="Arial"/>
        </w:rPr>
        <w:br w:type="page"/>
      </w:r>
    </w:p>
    <w:p w14:paraId="044CFCF7" w14:textId="5D7997E5" w:rsidR="005C5D1B" w:rsidRPr="00B50802" w:rsidRDefault="005C5D1B" w:rsidP="003743CA">
      <w:pPr>
        <w:pStyle w:val="Bullet"/>
        <w:jc w:val="right"/>
      </w:pPr>
    </w:p>
    <w:p w14:paraId="6B4F9678" w14:textId="17EBC2A8" w:rsidR="009E7DD3" w:rsidRPr="00B50802" w:rsidRDefault="00403195" w:rsidP="00476983">
      <w:pPr>
        <w:rPr>
          <w:rFonts w:cs="Arial"/>
        </w:rPr>
      </w:pPr>
      <w:r w:rsidRPr="00B50802">
        <w:rPr>
          <w:rFonts w:cs="Arial"/>
          <w:b/>
          <w:noProof/>
          <w:color w:val="005A70"/>
          <w:lang w:eastAsia="en-AU"/>
        </w:rPr>
        <mc:AlternateContent>
          <mc:Choice Requires="wpg">
            <w:drawing>
              <wp:anchor distT="0" distB="0" distL="114300" distR="114300" simplePos="0" relativeHeight="251658245" behindDoc="0" locked="0" layoutInCell="1" allowOverlap="1" wp14:anchorId="090F2527" wp14:editId="38D1B301">
                <wp:simplePos x="0" y="0"/>
                <wp:positionH relativeFrom="column">
                  <wp:posOffset>-214184</wp:posOffset>
                </wp:positionH>
                <wp:positionV relativeFrom="paragraph">
                  <wp:posOffset>87802</wp:posOffset>
                </wp:positionV>
                <wp:extent cx="6158575" cy="4835610"/>
                <wp:effectExtent l="0" t="0" r="13970" b="22225"/>
                <wp:wrapNone/>
                <wp:docPr id="259" name="Group 259" descr="Decorative"/>
                <wp:cNvGraphicFramePr/>
                <a:graphic xmlns:a="http://schemas.openxmlformats.org/drawingml/2006/main">
                  <a:graphicData uri="http://schemas.microsoft.com/office/word/2010/wordprocessingGroup">
                    <wpg:wgp>
                      <wpg:cNvGrpSpPr/>
                      <wpg:grpSpPr>
                        <a:xfrm>
                          <a:off x="0" y="0"/>
                          <a:ext cx="6158575" cy="4835610"/>
                          <a:chOff x="139148" y="-49426"/>
                          <a:chExt cx="6158575" cy="4835610"/>
                        </a:xfrm>
                      </wpg:grpSpPr>
                      <wps:wsp>
                        <wps:cNvPr id="260" name="Freeform 14" descr="Decorative"/>
                        <wps:cNvSpPr>
                          <a:spLocks noChangeAspect="1"/>
                        </wps:cNvSpPr>
                        <wps:spPr bwMode="gray">
                          <a:xfrm>
                            <a:off x="256716" y="30623"/>
                            <a:ext cx="510540" cy="473710"/>
                          </a:xfrm>
                          <a:custGeom>
                            <a:avLst/>
                            <a:gdLst>
                              <a:gd name="T0" fmla="*/ 3 w 349"/>
                              <a:gd name="T1" fmla="*/ 0 h 380"/>
                              <a:gd name="T2" fmla="*/ 94 w 349"/>
                              <a:gd name="T3" fmla="*/ 21 h 380"/>
                              <a:gd name="T4" fmla="*/ 164 w 349"/>
                              <a:gd name="T5" fmla="*/ 65 h 380"/>
                              <a:gd name="T6" fmla="*/ 185 w 349"/>
                              <a:gd name="T7" fmla="*/ 61 h 380"/>
                              <a:gd name="T8" fmla="*/ 240 w 349"/>
                              <a:gd name="T9" fmla="*/ 85 h 380"/>
                              <a:gd name="T10" fmla="*/ 246 w 349"/>
                              <a:gd name="T11" fmla="*/ 42 h 380"/>
                              <a:gd name="T12" fmla="*/ 310 w 349"/>
                              <a:gd name="T13" fmla="*/ 9 h 380"/>
                              <a:gd name="T14" fmla="*/ 349 w 349"/>
                              <a:gd name="T15" fmla="*/ 46 h 380"/>
                              <a:gd name="T16" fmla="*/ 322 w 349"/>
                              <a:gd name="T17" fmla="*/ 237 h 380"/>
                              <a:gd name="T18" fmla="*/ 298 w 349"/>
                              <a:gd name="T19" fmla="*/ 204 h 380"/>
                              <a:gd name="T20" fmla="*/ 287 w 349"/>
                              <a:gd name="T21" fmla="*/ 327 h 380"/>
                              <a:gd name="T22" fmla="*/ 263 w 349"/>
                              <a:gd name="T23" fmla="*/ 327 h 380"/>
                              <a:gd name="T24" fmla="*/ 229 w 349"/>
                              <a:gd name="T25" fmla="*/ 275 h 380"/>
                              <a:gd name="T26" fmla="*/ 229 w 349"/>
                              <a:gd name="T27" fmla="*/ 327 h 380"/>
                              <a:gd name="T28" fmla="*/ 155 w 349"/>
                              <a:gd name="T29" fmla="*/ 380 h 380"/>
                              <a:gd name="T30" fmla="*/ 73 w 349"/>
                              <a:gd name="T31" fmla="*/ 330 h 380"/>
                              <a:gd name="T32" fmla="*/ 32 w 349"/>
                              <a:gd name="T33" fmla="*/ 190 h 380"/>
                              <a:gd name="T34" fmla="*/ 71 w 349"/>
                              <a:gd name="T35" fmla="*/ 194 h 380"/>
                              <a:gd name="T36" fmla="*/ 0 w 349"/>
                              <a:gd name="T37" fmla="*/ 123 h 380"/>
                              <a:gd name="T38" fmla="*/ 3 w 349"/>
                              <a:gd name="T39" fmla="*/ 0 h 380"/>
                              <a:gd name="T40" fmla="*/ 3 w 349"/>
                              <a:gd name="T41" fmla="*/ 0 h 3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49"/>
                              <a:gd name="T64" fmla="*/ 0 h 380"/>
                              <a:gd name="T65" fmla="*/ 349 w 349"/>
                              <a:gd name="T66" fmla="*/ 380 h 38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49" h="380">
                                <a:moveTo>
                                  <a:pt x="3" y="0"/>
                                </a:moveTo>
                                <a:lnTo>
                                  <a:pt x="94" y="21"/>
                                </a:lnTo>
                                <a:lnTo>
                                  <a:pt x="164" y="65"/>
                                </a:lnTo>
                                <a:lnTo>
                                  <a:pt x="185" y="61"/>
                                </a:lnTo>
                                <a:lnTo>
                                  <a:pt x="240" y="85"/>
                                </a:lnTo>
                                <a:lnTo>
                                  <a:pt x="246" y="42"/>
                                </a:lnTo>
                                <a:lnTo>
                                  <a:pt x="310" y="9"/>
                                </a:lnTo>
                                <a:lnTo>
                                  <a:pt x="349" y="46"/>
                                </a:lnTo>
                                <a:lnTo>
                                  <a:pt x="322" y="237"/>
                                </a:lnTo>
                                <a:lnTo>
                                  <a:pt x="298" y="204"/>
                                </a:lnTo>
                                <a:lnTo>
                                  <a:pt x="287" y="327"/>
                                </a:lnTo>
                                <a:lnTo>
                                  <a:pt x="263" y="327"/>
                                </a:lnTo>
                                <a:lnTo>
                                  <a:pt x="229" y="275"/>
                                </a:lnTo>
                                <a:lnTo>
                                  <a:pt x="229" y="327"/>
                                </a:lnTo>
                                <a:lnTo>
                                  <a:pt x="155" y="380"/>
                                </a:lnTo>
                                <a:lnTo>
                                  <a:pt x="73" y="330"/>
                                </a:lnTo>
                                <a:lnTo>
                                  <a:pt x="32" y="190"/>
                                </a:lnTo>
                                <a:lnTo>
                                  <a:pt x="71" y="194"/>
                                </a:lnTo>
                                <a:lnTo>
                                  <a:pt x="0" y="123"/>
                                </a:lnTo>
                                <a:lnTo>
                                  <a:pt x="3" y="0"/>
                                </a:lnTo>
                                <a:close/>
                              </a:path>
                            </a:pathLst>
                          </a:custGeom>
                          <a:solidFill>
                            <a:srgbClr val="005A70"/>
                          </a:solidFill>
                          <a:ln w="12700">
                            <a:solidFill>
                              <a:schemeClr val="bg1"/>
                            </a:solidFill>
                            <a:round/>
                            <a:headEnd/>
                            <a:tailEnd/>
                          </a:ln>
                        </wps:spPr>
                        <wps:bodyPr/>
                      </wps:wsp>
                      <wps:wsp>
                        <wps:cNvPr id="261" name="Rectangle 261"/>
                        <wps:cNvSpPr/>
                        <wps:spPr>
                          <a:xfrm>
                            <a:off x="139148" y="-49426"/>
                            <a:ext cx="6158575" cy="4835610"/>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A0E53" id="Group 259" o:spid="_x0000_s1026" alt="Decorative" style="position:absolute;margin-left:-16.85pt;margin-top:6.9pt;width:484.95pt;height:380.75pt;z-index:251658245;mso-width-relative:margin;mso-height-relative:margin" coordorigin="1391,-494" coordsize="61585,4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">
                <v:shape id="Freeform 14" o:spid="_x0000_s1027" alt="Decorative" style="position:absolute;left:2567;top:306;width:5105;height:4737;visibility:visible;mso-wrap-style:square;v-text-anchor:top" coordsize="349,38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" path="m3,l94,21r70,44l185,61r55,24l246,42,310,9r39,37l322,237,298,204,287,327r-24,l229,275r,52l155,380,73,330,32,190r39,4l,123,3,xe" fillcolor="#005a70" strokecolor="white [3212]" strokeweight="1pt">
                  <v:path arrowok="t" o:connecttype="custom" o:connectlocs="4389,0;137509,26179;239910,81029;270630,76043;351088,105961;359865,52357;453488,11219;510540,57344;471043,295445;435934,254307;419842,407640;384734,407640;334996,342816;334996,407640;226744,473710;106789,411380;46812,236855;103863,241841;0,153332;4389,0;4389,0" o:connectangles="0,0,0,0,0,0,0,0,0,0,0,0,0,0,0,0,0,0,0,0,0" textboxrect="0,0,349,380"/>
                  <o:lock v:ext="edit" aspectratio="t"/>
                </v:shape>
                <v:rect id="Rectangle 261" o:spid="_x0000_s1028" style="position:absolute;left:1391;top:-494;width:61586;height:48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" filled="f" strokecolor="#005a70" strokeweight="2pt"/>
              </v:group>
            </w:pict>
          </mc:Fallback>
        </mc:AlternateContent>
      </w:r>
    </w:p>
    <w:p w14:paraId="674C64D0" w14:textId="77777777" w:rsidR="009E7DD3" w:rsidRPr="00B50802" w:rsidRDefault="009E7DD3" w:rsidP="009E7DD3">
      <w:pPr>
        <w:pStyle w:val="Bullet"/>
        <w:jc w:val="right"/>
        <w:rPr>
          <w:rFonts w:eastAsiaTheme="minorHAnsi" w:cs="Arial"/>
          <w:color w:val="005A70"/>
        </w:rPr>
      </w:pPr>
      <w:r w:rsidRPr="00B50802">
        <w:rPr>
          <w:rFonts w:ascii="Arial" w:eastAsiaTheme="minorHAnsi" w:hAnsi="Arial" w:cs="Arial"/>
          <w:b/>
          <w:color w:val="005A70"/>
        </w:rPr>
        <w:t>Case study – Tasmania Housing Connect</w:t>
      </w:r>
    </w:p>
    <w:p w14:paraId="78C47D10" w14:textId="25259E22" w:rsidR="009E7DD3" w:rsidRPr="00B50802" w:rsidRDefault="009E7DD3" w:rsidP="009E7DD3">
      <w:r w:rsidRPr="00B50802">
        <w:br/>
        <w:t>Housing Connect is a single entry point to access all housing and homelessness services in</w:t>
      </w:r>
      <w:r w:rsidR="007D3668">
        <w:t> </w:t>
      </w:r>
      <w:r w:rsidRPr="00B50802">
        <w:t>Tasmania. Housing Connect consists of 3 diverse types of services: Front Door; Housing Support; and Crisis and Transitional Accommodation.</w:t>
      </w:r>
    </w:p>
    <w:p w14:paraId="24FED888" w14:textId="77777777" w:rsidR="009E7DD3" w:rsidRPr="00B50802" w:rsidRDefault="009E7DD3" w:rsidP="009E7DD3">
      <w:r w:rsidRPr="00B50802">
        <w:t>Front Door provides immediate assistance, assessment and referral for people who need help with housing or who are homeless. Front Door staff connect eligible Tasmanians to appropriate housing assistance and services including:</w:t>
      </w:r>
    </w:p>
    <w:p w14:paraId="5FC5ADD9" w14:textId="77777777" w:rsidR="009E7DD3" w:rsidRPr="00B50802" w:rsidRDefault="009E7DD3" w:rsidP="00F17FAF">
      <w:pPr>
        <w:pStyle w:val="ListParagraph"/>
        <w:numPr>
          <w:ilvl w:val="0"/>
          <w:numId w:val="4"/>
        </w:numPr>
        <w:ind w:left="714" w:hanging="357"/>
        <w:contextualSpacing w:val="0"/>
      </w:pPr>
      <w:r w:rsidRPr="00B50802">
        <w:t>affordable private rentals</w:t>
      </w:r>
    </w:p>
    <w:p w14:paraId="3DAB52DF" w14:textId="77777777" w:rsidR="009E7DD3" w:rsidRPr="00B50802" w:rsidRDefault="009E7DD3" w:rsidP="00F17FAF">
      <w:pPr>
        <w:pStyle w:val="ListParagraph"/>
        <w:numPr>
          <w:ilvl w:val="0"/>
          <w:numId w:val="4"/>
        </w:numPr>
        <w:ind w:left="714" w:hanging="357"/>
        <w:contextualSpacing w:val="0"/>
      </w:pPr>
      <w:r w:rsidRPr="00B50802">
        <w:t>social housing</w:t>
      </w:r>
    </w:p>
    <w:p w14:paraId="70970435" w14:textId="77777777" w:rsidR="009E7DD3" w:rsidRPr="00B50802" w:rsidRDefault="009E7DD3" w:rsidP="00F17FAF">
      <w:pPr>
        <w:pStyle w:val="ListParagraph"/>
        <w:numPr>
          <w:ilvl w:val="0"/>
          <w:numId w:val="4"/>
        </w:numPr>
        <w:ind w:left="714" w:hanging="357"/>
        <w:contextualSpacing w:val="0"/>
      </w:pPr>
      <w:r w:rsidRPr="00B50802">
        <w:t>supported accommodation</w:t>
      </w:r>
    </w:p>
    <w:p w14:paraId="6C89653B" w14:textId="77777777" w:rsidR="009E7DD3" w:rsidRPr="00B50802" w:rsidRDefault="009E7DD3" w:rsidP="00F17FAF">
      <w:pPr>
        <w:pStyle w:val="ListParagraph"/>
        <w:numPr>
          <w:ilvl w:val="0"/>
          <w:numId w:val="4"/>
        </w:numPr>
        <w:ind w:left="714" w:hanging="357"/>
        <w:contextualSpacing w:val="0"/>
      </w:pPr>
      <w:r w:rsidRPr="00B50802">
        <w:t>crisis and transitional accommodation.</w:t>
      </w:r>
    </w:p>
    <w:p w14:paraId="6DFD6B90" w14:textId="3D45CB3E" w:rsidR="009E7DD3" w:rsidRPr="00B50802" w:rsidRDefault="009E7DD3" w:rsidP="009E7DD3">
      <w:pPr>
        <w:spacing w:before="200"/>
      </w:pPr>
      <w:r w:rsidRPr="00B50802">
        <w:t>Housing Support services assist Tasmanians who need more intensive help to access or</w:t>
      </w:r>
      <w:r w:rsidR="007D3668">
        <w:t> </w:t>
      </w:r>
      <w:r w:rsidRPr="00B50802">
        <w:t>maintain housing. Sometimes this might involve connecting people with other specialist services, such as family and domestic violence services.</w:t>
      </w:r>
    </w:p>
    <w:p w14:paraId="2E145924" w14:textId="47DE28CB" w:rsidR="009E7DD3" w:rsidRPr="00B50802" w:rsidRDefault="009E7DD3" w:rsidP="009E7DD3">
      <w:r w:rsidRPr="00B50802">
        <w:t>Crisis and Transitional Accommodation services provide short-term or emergency accommodation to Tasmanians who are in housing crisis (homeless or at high risk of</w:t>
      </w:r>
      <w:r w:rsidR="007D3668">
        <w:t> </w:t>
      </w:r>
      <w:r w:rsidRPr="00B50802">
        <w:t>homelessness). The focus of this support is to address immediate needs while working with Housing Support services to help people find safe, longer-term accommodation that suits the person’s needs.</w:t>
      </w:r>
    </w:p>
    <w:p w14:paraId="20D800F8" w14:textId="52E27EA9" w:rsidR="00350FD1" w:rsidRDefault="00350FD1" w:rsidP="00350FD1">
      <w:pPr>
        <w:pStyle w:val="Bullet"/>
        <w:ind w:right="95"/>
        <w:jc w:val="right"/>
        <w:rPr>
          <w:rFonts w:ascii="Georgia" w:eastAsia="Georgia" w:hAnsi="Georgia" w:cs="Georgia"/>
          <w:b/>
          <w:sz w:val="28"/>
          <w:szCs w:val="28"/>
        </w:rPr>
      </w:pPr>
      <w:r w:rsidRPr="00B50802">
        <w:rPr>
          <w:rFonts w:eastAsiaTheme="minorEastAsia"/>
          <w:noProof/>
        </w:rPr>
        <mc:AlternateContent>
          <mc:Choice Requires="wpg">
            <w:drawing>
              <wp:anchor distT="0" distB="0" distL="114300" distR="114300" simplePos="0" relativeHeight="251658310" behindDoc="0" locked="0" layoutInCell="1" allowOverlap="1" wp14:anchorId="6A0C8180" wp14:editId="569D76FC">
                <wp:simplePos x="0" y="0"/>
                <wp:positionH relativeFrom="margin">
                  <wp:align>center</wp:align>
                </wp:positionH>
                <wp:positionV relativeFrom="paragraph">
                  <wp:posOffset>80121</wp:posOffset>
                </wp:positionV>
                <wp:extent cx="6159600" cy="2421774"/>
                <wp:effectExtent l="0" t="0" r="12700" b="17145"/>
                <wp:wrapNone/>
                <wp:docPr id="234" name="Group 234" descr="Decorative"/>
                <wp:cNvGraphicFramePr/>
                <a:graphic xmlns:a="http://schemas.openxmlformats.org/drawingml/2006/main">
                  <a:graphicData uri="http://schemas.microsoft.com/office/word/2010/wordprocessingGroup">
                    <wpg:wgp>
                      <wpg:cNvGrpSpPr/>
                      <wpg:grpSpPr>
                        <a:xfrm>
                          <a:off x="0" y="0"/>
                          <a:ext cx="6159600" cy="2421774"/>
                          <a:chOff x="115635" y="112889"/>
                          <a:chExt cx="5763419" cy="2422798"/>
                        </a:xfrm>
                      </wpg:grpSpPr>
                      <wpg:grpSp>
                        <wpg:cNvPr id="264" name="Group 264" descr="Common Ground is a supportive housing model with growing prevalence in jurisdictions across Australia. The model is based on housing first principles, including that people have a right to access a home without a requirement to participate in services or treatment as part of their tenancy. The model provides people with permanent accommodation and the support to help them achieve stability in their lives. Residents pay rent but it is capped at a fixed percentage of income or at below market rate. Developments typically have on-site support services linked to other existing community services, security patrols, and programs and activities to encourage learning, and cooperation and engagement with the local community. Common Ground developments can be expensive but research has found them to be cost effective in the long-run.&#10;" title="Case Study – Common Ground"/>
                        <wpg:cNvGrpSpPr/>
                        <wpg:grpSpPr>
                          <a:xfrm>
                            <a:off x="191911" y="140414"/>
                            <a:ext cx="580390" cy="446403"/>
                            <a:chOff x="46254" y="153993"/>
                            <a:chExt cx="581025" cy="447065"/>
                          </a:xfrm>
                        </wpg:grpSpPr>
                        <wps:wsp>
                          <wps:cNvPr id="265" name="Freeform 268" descr="Decorative"/>
                          <wps:cNvSpPr>
                            <a:spLocks/>
                          </wps:cNvSpPr>
                          <wps:spPr bwMode="auto">
                            <a:xfrm>
                              <a:off x="46254" y="153993"/>
                              <a:ext cx="581025" cy="380365"/>
                            </a:xfrm>
                            <a:custGeom>
                              <a:avLst/>
                              <a:gdLst>
                                <a:gd name="T0" fmla="*/ 2147483646 w 757"/>
                                <a:gd name="T1" fmla="*/ 2147483646 h 577"/>
                                <a:gd name="T2" fmla="*/ 2147483646 w 757"/>
                                <a:gd name="T3" fmla="*/ 2147483646 h 577"/>
                                <a:gd name="T4" fmla="*/ 0 w 757"/>
                                <a:gd name="T5" fmla="*/ 2147483646 h 577"/>
                                <a:gd name="T6" fmla="*/ 2147483646 w 757"/>
                                <a:gd name="T7" fmla="*/ 2147483646 h 577"/>
                                <a:gd name="T8" fmla="*/ 2147483646 w 757"/>
                                <a:gd name="T9" fmla="*/ 2147483646 h 577"/>
                                <a:gd name="T10" fmla="*/ 2147483646 w 757"/>
                                <a:gd name="T11" fmla="*/ 2147483646 h 577"/>
                                <a:gd name="T12" fmla="*/ 2147483646 w 757"/>
                                <a:gd name="T13" fmla="*/ 2147483646 h 577"/>
                                <a:gd name="T14" fmla="*/ 2147483646 w 757"/>
                                <a:gd name="T15" fmla="*/ 2147483646 h 577"/>
                                <a:gd name="T16" fmla="*/ 2147483646 w 757"/>
                                <a:gd name="T17" fmla="*/ 2147483646 h 577"/>
                                <a:gd name="T18" fmla="*/ 2147483646 w 757"/>
                                <a:gd name="T19" fmla="*/ 2147483646 h 577"/>
                                <a:gd name="T20" fmla="*/ 2147483646 w 757"/>
                                <a:gd name="T21" fmla="*/ 0 h 577"/>
                                <a:gd name="T22" fmla="*/ 2147483646 w 757"/>
                                <a:gd name="T23" fmla="*/ 2147483646 h 577"/>
                                <a:gd name="T24" fmla="*/ 2147483646 w 757"/>
                                <a:gd name="T25" fmla="*/ 2147483646 h 577"/>
                                <a:gd name="T26" fmla="*/ 2147483646 w 757"/>
                                <a:gd name="T27" fmla="*/ 2147483646 h 577"/>
                                <a:gd name="T28" fmla="*/ 2147483646 w 757"/>
                                <a:gd name="T29" fmla="*/ 2147483646 h 577"/>
                                <a:gd name="T30" fmla="*/ 2147483646 w 757"/>
                                <a:gd name="T31" fmla="*/ 2147483646 h 577"/>
                                <a:gd name="T32" fmla="*/ 2147483646 w 757"/>
                                <a:gd name="T33" fmla="*/ 2147483646 h 577"/>
                                <a:gd name="T34" fmla="*/ 2147483646 w 757"/>
                                <a:gd name="T35" fmla="*/ 2147483646 h 577"/>
                                <a:gd name="T36" fmla="*/ 2147483646 w 757"/>
                                <a:gd name="T37" fmla="*/ 2147483646 h 577"/>
                                <a:gd name="T38" fmla="*/ 2147483646 w 757"/>
                                <a:gd name="T39" fmla="*/ 2147483646 h 577"/>
                                <a:gd name="T40" fmla="*/ 2147483646 w 757"/>
                                <a:gd name="T41" fmla="*/ 2147483646 h 577"/>
                                <a:gd name="T42" fmla="*/ 2147483646 w 757"/>
                                <a:gd name="T43" fmla="*/ 2147483646 h 577"/>
                                <a:gd name="T44" fmla="*/ 2147483646 w 757"/>
                                <a:gd name="T45" fmla="*/ 2147483646 h 577"/>
                                <a:gd name="T46" fmla="*/ 2147483646 w 757"/>
                                <a:gd name="T47" fmla="*/ 2147483646 h 577"/>
                                <a:gd name="T48" fmla="*/ 2147483646 w 757"/>
                                <a:gd name="T49" fmla="*/ 2147483646 h 577"/>
                                <a:gd name="T50" fmla="*/ 2147483646 w 757"/>
                                <a:gd name="T51" fmla="*/ 2147483646 h 577"/>
                                <a:gd name="T52" fmla="*/ 2147483646 w 757"/>
                                <a:gd name="T53" fmla="*/ 2147483646 h 577"/>
                                <a:gd name="T54" fmla="*/ 2147483646 w 757"/>
                                <a:gd name="T55" fmla="*/ 2147483646 h 577"/>
                                <a:gd name="T56" fmla="*/ 2147483646 w 757"/>
                                <a:gd name="T57" fmla="*/ 2147483646 h 577"/>
                                <a:gd name="T58" fmla="*/ 2147483646 w 757"/>
                                <a:gd name="T59" fmla="*/ 2147483646 h 577"/>
                                <a:gd name="T60" fmla="*/ 2147483646 w 757"/>
                                <a:gd name="T61" fmla="*/ 2147483646 h 577"/>
                                <a:gd name="T62" fmla="*/ 2147483646 w 757"/>
                                <a:gd name="T63" fmla="*/ 2147483646 h 577"/>
                                <a:gd name="T64" fmla="*/ 2147483646 w 757"/>
                                <a:gd name="T65" fmla="*/ 2147483646 h 577"/>
                                <a:gd name="T66" fmla="*/ 2147483646 w 757"/>
                                <a:gd name="T67" fmla="*/ 2147483646 h 577"/>
                                <a:gd name="T68" fmla="*/ 2147483646 w 757"/>
                                <a:gd name="T69" fmla="*/ 2147483646 h 577"/>
                                <a:gd name="T70" fmla="*/ 2147483646 w 757"/>
                                <a:gd name="T71" fmla="*/ 2147483646 h 5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7" h="577">
                                  <a:moveTo>
                                    <a:pt x="30" y="463"/>
                                  </a:moveTo>
                                  <a:lnTo>
                                    <a:pt x="36" y="415"/>
                                  </a:lnTo>
                                  <a:lnTo>
                                    <a:pt x="30" y="385"/>
                                  </a:lnTo>
                                  <a:lnTo>
                                    <a:pt x="6" y="307"/>
                                  </a:lnTo>
                                  <a:lnTo>
                                    <a:pt x="6" y="283"/>
                                  </a:lnTo>
                                  <a:lnTo>
                                    <a:pt x="0" y="247"/>
                                  </a:lnTo>
                                  <a:lnTo>
                                    <a:pt x="6" y="217"/>
                                  </a:lnTo>
                                  <a:lnTo>
                                    <a:pt x="30" y="193"/>
                                  </a:lnTo>
                                  <a:lnTo>
                                    <a:pt x="78" y="175"/>
                                  </a:lnTo>
                                  <a:lnTo>
                                    <a:pt x="114" y="151"/>
                                  </a:lnTo>
                                  <a:lnTo>
                                    <a:pt x="144" y="145"/>
                                  </a:lnTo>
                                  <a:lnTo>
                                    <a:pt x="156" y="109"/>
                                  </a:lnTo>
                                  <a:lnTo>
                                    <a:pt x="180" y="97"/>
                                  </a:lnTo>
                                  <a:lnTo>
                                    <a:pt x="204" y="90"/>
                                  </a:lnTo>
                                  <a:lnTo>
                                    <a:pt x="240" y="60"/>
                                  </a:lnTo>
                                  <a:lnTo>
                                    <a:pt x="264" y="48"/>
                                  </a:lnTo>
                                  <a:lnTo>
                                    <a:pt x="282" y="60"/>
                                  </a:lnTo>
                                  <a:lnTo>
                                    <a:pt x="300" y="66"/>
                                  </a:lnTo>
                                  <a:lnTo>
                                    <a:pt x="312" y="42"/>
                                  </a:lnTo>
                                  <a:lnTo>
                                    <a:pt x="330" y="24"/>
                                  </a:lnTo>
                                  <a:lnTo>
                                    <a:pt x="360" y="18"/>
                                  </a:lnTo>
                                  <a:lnTo>
                                    <a:pt x="372" y="0"/>
                                  </a:lnTo>
                                  <a:lnTo>
                                    <a:pt x="396" y="6"/>
                                  </a:lnTo>
                                  <a:lnTo>
                                    <a:pt x="438" y="12"/>
                                  </a:lnTo>
                                  <a:lnTo>
                                    <a:pt x="432" y="36"/>
                                  </a:lnTo>
                                  <a:lnTo>
                                    <a:pt x="420" y="66"/>
                                  </a:lnTo>
                                  <a:lnTo>
                                    <a:pt x="438" y="78"/>
                                  </a:lnTo>
                                  <a:lnTo>
                                    <a:pt x="468" y="78"/>
                                  </a:lnTo>
                                  <a:lnTo>
                                    <a:pt x="492" y="115"/>
                                  </a:lnTo>
                                  <a:lnTo>
                                    <a:pt x="510" y="109"/>
                                  </a:lnTo>
                                  <a:lnTo>
                                    <a:pt x="540" y="90"/>
                                  </a:lnTo>
                                  <a:lnTo>
                                    <a:pt x="540" y="30"/>
                                  </a:lnTo>
                                  <a:lnTo>
                                    <a:pt x="564" y="0"/>
                                  </a:lnTo>
                                  <a:lnTo>
                                    <a:pt x="576" y="42"/>
                                  </a:lnTo>
                                  <a:lnTo>
                                    <a:pt x="582" y="54"/>
                                  </a:lnTo>
                                  <a:lnTo>
                                    <a:pt x="594" y="60"/>
                                  </a:lnTo>
                                  <a:lnTo>
                                    <a:pt x="612" y="121"/>
                                  </a:lnTo>
                                  <a:lnTo>
                                    <a:pt x="642" y="151"/>
                                  </a:lnTo>
                                  <a:lnTo>
                                    <a:pt x="678" y="163"/>
                                  </a:lnTo>
                                  <a:lnTo>
                                    <a:pt x="690" y="199"/>
                                  </a:lnTo>
                                  <a:lnTo>
                                    <a:pt x="708" y="211"/>
                                  </a:lnTo>
                                  <a:lnTo>
                                    <a:pt x="714" y="241"/>
                                  </a:lnTo>
                                  <a:lnTo>
                                    <a:pt x="751" y="265"/>
                                  </a:lnTo>
                                  <a:lnTo>
                                    <a:pt x="751" y="289"/>
                                  </a:lnTo>
                                  <a:lnTo>
                                    <a:pt x="757" y="325"/>
                                  </a:lnTo>
                                  <a:lnTo>
                                    <a:pt x="757" y="379"/>
                                  </a:lnTo>
                                  <a:lnTo>
                                    <a:pt x="714" y="469"/>
                                  </a:lnTo>
                                  <a:lnTo>
                                    <a:pt x="696" y="523"/>
                                  </a:lnTo>
                                  <a:lnTo>
                                    <a:pt x="696" y="547"/>
                                  </a:lnTo>
                                  <a:lnTo>
                                    <a:pt x="684" y="547"/>
                                  </a:lnTo>
                                  <a:lnTo>
                                    <a:pt x="660" y="559"/>
                                  </a:lnTo>
                                  <a:lnTo>
                                    <a:pt x="636" y="577"/>
                                  </a:lnTo>
                                  <a:lnTo>
                                    <a:pt x="618" y="577"/>
                                  </a:lnTo>
                                  <a:lnTo>
                                    <a:pt x="594" y="559"/>
                                  </a:lnTo>
                                  <a:lnTo>
                                    <a:pt x="576" y="571"/>
                                  </a:lnTo>
                                  <a:lnTo>
                                    <a:pt x="534" y="553"/>
                                  </a:lnTo>
                                  <a:lnTo>
                                    <a:pt x="498" y="535"/>
                                  </a:lnTo>
                                  <a:lnTo>
                                    <a:pt x="480" y="505"/>
                                  </a:lnTo>
                                  <a:lnTo>
                                    <a:pt x="468" y="481"/>
                                  </a:lnTo>
                                  <a:lnTo>
                                    <a:pt x="444" y="487"/>
                                  </a:lnTo>
                                  <a:lnTo>
                                    <a:pt x="420" y="463"/>
                                  </a:lnTo>
                                  <a:lnTo>
                                    <a:pt x="378" y="421"/>
                                  </a:lnTo>
                                  <a:lnTo>
                                    <a:pt x="312" y="409"/>
                                  </a:lnTo>
                                  <a:lnTo>
                                    <a:pt x="264" y="415"/>
                                  </a:lnTo>
                                  <a:lnTo>
                                    <a:pt x="204" y="433"/>
                                  </a:lnTo>
                                  <a:lnTo>
                                    <a:pt x="198" y="451"/>
                                  </a:lnTo>
                                  <a:lnTo>
                                    <a:pt x="162" y="457"/>
                                  </a:lnTo>
                                  <a:lnTo>
                                    <a:pt x="138" y="457"/>
                                  </a:lnTo>
                                  <a:lnTo>
                                    <a:pt x="120" y="475"/>
                                  </a:lnTo>
                                  <a:lnTo>
                                    <a:pt x="84" y="487"/>
                                  </a:lnTo>
                                  <a:lnTo>
                                    <a:pt x="60" y="487"/>
                                  </a:lnTo>
                                  <a:lnTo>
                                    <a:pt x="30" y="463"/>
                                  </a:lnTo>
                                  <a:close/>
                                </a:path>
                              </a:pathLst>
                            </a:custGeom>
                            <a:solidFill>
                              <a:srgbClr val="005A70"/>
                            </a:solidFill>
                            <a:ln w="9525" cap="flat" cmpd="sng">
                              <a:solidFill>
                                <a:sysClr val="window" lastClr="FFFFFF"/>
                              </a:solidFill>
                              <a:prstDash val="solid"/>
                              <a:round/>
                              <a:headEnd type="none" w="med" len="med"/>
                              <a:tailEnd type="none" w="med" len="med"/>
                            </a:ln>
                            <a:effectLst/>
                          </wps:spPr>
                          <wps:bodyPr/>
                        </wps:wsp>
                        <wps:wsp>
                          <wps:cNvPr id="267" name="Freeform 269" descr="Decorative"/>
                          <wps:cNvSpPr>
                            <a:spLocks/>
                          </wps:cNvSpPr>
                          <wps:spPr bwMode="auto">
                            <a:xfrm>
                              <a:off x="501675" y="552484"/>
                              <a:ext cx="51304" cy="48574"/>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solidFill>
                              <a:srgbClr val="005A70"/>
                            </a:solidFill>
                            <a:ln w="9525">
                              <a:solidFill>
                                <a:sysClr val="window" lastClr="FFFFFF"/>
                              </a:solidFill>
                              <a:round/>
                              <a:headEnd/>
                              <a:tailEnd/>
                            </a:ln>
                          </wps:spPr>
                          <wps:bodyPr/>
                        </wps:wsp>
                      </wpg:grpSp>
                      <wps:wsp>
                        <wps:cNvPr id="268" name="Rectangle 268"/>
                        <wps:cNvSpPr/>
                        <wps:spPr>
                          <a:xfrm>
                            <a:off x="115635" y="112889"/>
                            <a:ext cx="5763419" cy="2422798"/>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9C0D9" id="Group 234" o:spid="_x0000_s1026" alt="Decorative" style="position:absolute;margin-left:0;margin-top:6.3pt;width:485pt;height:190.7pt;z-index:251658310;mso-position-horizontal:center;mso-position-horizontal-relative:margin;mso-width-relative:margin;mso-height-relative:margin" coordorigin="1156,1128" coordsize="57634,2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">
                <v:group id="Group 264" o:spid="_x0000_s1027" alt="Common Ground is a supportive housing model with growing prevalence in jurisdictions across Australia. The model is based on housing first principles, including that people have a right to access a home without a requirement to participate in services or treatment as part of their tenancy. The model provides people with permanent accommodation and the support to help them achieve stability in their lives. Residents pay rent but it is capped at a fixed percentage of income or at below market rate. Developments typically have on-site support services linked to other existing community services, security patrols, and programs and activities to encourage learning, and cooperation and engagement with the local community. Common Ground developments can be expensive but research has found them to be cost effective in the long-run.&#10;" style="position:absolute;left:1919;top:1404;width:5804;height:4464" coordorigin="462,1539" coordsize="581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68" o:spid="_x0000_s1028" alt="Decorative" style="position:absolute;left:462;top:1539;width:5810;height:3804;visibility:visible;mso-wrap-style:square;v-text-anchor:top" coordsize="7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" path="m30,463r6,-48l30,385,6,307r,-24l,247,6,217,30,193,78,175r36,-24l144,145r12,-36l180,97r24,-7l240,60,264,48r18,12l300,66,312,42,330,24r30,-6l372,r24,6l438,12r-6,24l420,66r18,12l468,78r24,37l510,109,540,90r,-60l564,r12,42l582,54r12,6l612,121r30,30l678,163r12,36l708,211r6,30l751,265r,24l757,325r,54l714,469r-18,54l696,547r-12,l660,559r-24,18l618,577,594,559r-18,12l534,553,498,535,480,505,468,481r-24,6l420,463,378,421,312,409r-48,6l204,433r-6,18l162,457r-24,l120,475,84,487r-24,l30,463xe" fillcolor="#005a70" strokecolor="window">
                    <v:path arrowok="t" o:connecttype="custom" o:connectlocs="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69" o:spid="_x0000_s1029" alt="Decorative" style="position:absolute;left:5016;top:5524;width:513;height:486;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" path="m,18l12,48r6,24l36,91,48,66,66,30,66,,42,12,,18xe" fillcolor="#005a70" strokecolor="window">
                    <v:path arrowok="t" o:connecttype="custom" o:connectlocs="0,2147483646;2147483646,2147483646;2147483646,2147483646;2147483646,2147483646;2147483646,2147483646;2147483646,2147483646;2147483646,0;2147483646,2147483646;0,2147483646" o:connectangles="0,0,0,0,0,0,0,0,0"/>
                  </v:shape>
                </v:group>
                <v:rect id="Rectangle 268" o:spid="_x0000_s1030" style="position:absolute;left:1156;top:1128;width:57634;height:24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" filled="f" strokecolor="#005a70" strokeweight="2pt"/>
                <w10:wrap anchorx="margin"/>
              </v:group>
            </w:pict>
          </mc:Fallback>
        </mc:AlternateContent>
      </w:r>
    </w:p>
    <w:p w14:paraId="2E8C2C90" w14:textId="3496EB47" w:rsidR="00350FD1" w:rsidRDefault="00350FD1" w:rsidP="00350FD1">
      <w:pPr>
        <w:pStyle w:val="Bullet"/>
        <w:ind w:right="95"/>
        <w:jc w:val="right"/>
        <w:rPr>
          <w:rFonts w:ascii="Arial" w:eastAsiaTheme="minorHAnsi" w:hAnsi="Arial" w:cs="Arial"/>
          <w:b/>
          <w:color w:val="005A70"/>
        </w:rPr>
      </w:pPr>
      <w:r w:rsidRPr="00B75F7D">
        <w:rPr>
          <w:rFonts w:ascii="Arial" w:eastAsiaTheme="minorHAnsi" w:hAnsi="Arial" w:cs="Arial"/>
          <w:b/>
          <w:color w:val="005A70"/>
        </w:rPr>
        <w:t>Case study – Common Ground</w:t>
      </w:r>
    </w:p>
    <w:p w14:paraId="1CCCC58E" w14:textId="77777777" w:rsidR="00350FD1" w:rsidRPr="00A6408D" w:rsidRDefault="00350FD1" w:rsidP="00350FD1">
      <w:pPr>
        <w:pStyle w:val="Bullet"/>
        <w:ind w:right="95"/>
        <w:jc w:val="right"/>
        <w:rPr>
          <w:rFonts w:eastAsiaTheme="minorHAnsi" w:cs="Arial"/>
          <w:color w:val="005A70"/>
        </w:rPr>
      </w:pPr>
    </w:p>
    <w:p w14:paraId="206B4A46" w14:textId="278CEBFD" w:rsidR="00350FD1" w:rsidRDefault="00350FD1" w:rsidP="00350FD1">
      <w:r w:rsidRPr="00B75F7D">
        <w:t>Common Ground is a supportive housing model with growing prevalence in jurisdictions across Australia. The model is based on housing first principles, including that people have a</w:t>
      </w:r>
      <w:r w:rsidR="007D3668">
        <w:t> </w:t>
      </w:r>
      <w:r w:rsidRPr="00B75F7D">
        <w:t>right to access a home without a requirement to participate in services or treatment as part of their tenancy. The model provides people with permanent accommodation and the support to help them achieve stability in their lives. Residents pay rent but it is capped at a</w:t>
      </w:r>
      <w:r w:rsidR="007D3668">
        <w:t> </w:t>
      </w:r>
      <w:r w:rsidRPr="00B75F7D">
        <w:t>fixed percentage of income or at below market rate. Developments typically have on-site support services linked to other existing community services, security patrols, and programs and activities to encourage learning as well as cooperation and engagement with the local community. While Common Ground developments can be expensive, research has found them to be cost effective in the long run.</w:t>
      </w:r>
    </w:p>
    <w:p w14:paraId="2E4D8388" w14:textId="77777777" w:rsidR="00350FD1" w:rsidRDefault="00350FD1">
      <w:pPr>
        <w:rPr>
          <w:rFonts w:ascii="Georgia" w:eastAsia="Georgia" w:hAnsi="Georgia" w:cstheme="majorBidi"/>
          <w:b/>
          <w:bCs/>
          <w:sz w:val="28"/>
          <w:szCs w:val="28"/>
        </w:rPr>
      </w:pPr>
      <w:bookmarkStart w:id="1302" w:name="_Toc134784696"/>
      <w:bookmarkStart w:id="1303" w:name="_Toc135035215"/>
      <w:bookmarkStart w:id="1304" w:name="_Toc135060892"/>
      <w:bookmarkStart w:id="1305" w:name="_Toc135161363"/>
      <w:bookmarkStart w:id="1306" w:name="_Toc135162310"/>
      <w:bookmarkStart w:id="1307" w:name="_Toc135162484"/>
      <w:bookmarkStart w:id="1308" w:name="_Toc135206063"/>
      <w:bookmarkStart w:id="1309" w:name="_Toc135206148"/>
      <w:bookmarkStart w:id="1310" w:name="_Toc139464306"/>
      <w:r>
        <w:rPr>
          <w:rFonts w:eastAsia="Georgia"/>
        </w:rPr>
        <w:br w:type="page"/>
      </w:r>
    </w:p>
    <w:p w14:paraId="3FD8F9DF" w14:textId="77777777" w:rsidR="00597296" w:rsidRPr="00E66CEA" w:rsidRDefault="00597296" w:rsidP="00E66CEA">
      <w:pPr>
        <w:pStyle w:val="Bullet"/>
        <w:tabs>
          <w:tab w:val="clear" w:pos="520"/>
          <w:tab w:val="num" w:pos="567"/>
        </w:tabs>
        <w:spacing w:after="200"/>
        <w:ind w:left="0" w:firstLine="0"/>
        <w:rPr>
          <w:rFonts w:ascii="Georgia" w:hAnsi="Georgia"/>
          <w:b/>
          <w:sz w:val="28"/>
        </w:rPr>
      </w:pPr>
      <w:bookmarkStart w:id="1311" w:name="_Toc141969841"/>
      <w:bookmarkStart w:id="1312" w:name="_Toc141972464"/>
      <w:bookmarkStart w:id="1313" w:name="_Toc141972677"/>
      <w:bookmarkStart w:id="1314" w:name="_Toc141972951"/>
      <w:bookmarkStart w:id="1315" w:name="_Toc142042511"/>
      <w:bookmarkStart w:id="1316" w:name="_Toc142042720"/>
      <w:r w:rsidRPr="00E66CEA">
        <w:rPr>
          <w:rFonts w:ascii="Georgia" w:hAnsi="Georgia"/>
          <w:b/>
          <w:sz w:val="28"/>
        </w:rPr>
        <w:lastRenderedPageBreak/>
        <w:t>Preventing homelessness before it occurs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E66CEA">
        <w:rPr>
          <w:rFonts w:ascii="Georgia" w:hAnsi="Georgia"/>
          <w:b/>
          <w:sz w:val="28"/>
        </w:rPr>
        <w:t xml:space="preserve"> </w:t>
      </w:r>
    </w:p>
    <w:p w14:paraId="01F6BFB3" w14:textId="77777777" w:rsidR="00597296" w:rsidRPr="00B50802" w:rsidRDefault="00597296" w:rsidP="00672F5D">
      <w:r w:rsidRPr="00B50802">
        <w:t>Crisis service interventions are designed to reduce potential or permanent adverse impacts of a person experiencing crisis. Whil</w:t>
      </w:r>
      <w:r w:rsidR="004538E6" w:rsidRPr="00B50802">
        <w:t>e</w:t>
      </w:r>
      <w:r w:rsidRPr="00B50802">
        <w:t xml:space="preserve"> critical to supporting people experiencing homelessness, crisis service interventions are short-term and costly.</w:t>
      </w:r>
    </w:p>
    <w:p w14:paraId="7224E7C7" w14:textId="35F70AB2" w:rsidR="00597296" w:rsidRPr="00B50802" w:rsidRDefault="00597296" w:rsidP="00672F5D">
      <w:r w:rsidRPr="00B50802">
        <w:t>For someone at risk of homelessness, early intervention, as opposed to crisis intervention, can prevent their situation from getting worse and improv</w:t>
      </w:r>
      <w:r w:rsidR="0044372D" w:rsidRPr="00B50802">
        <w:t>e</w:t>
      </w:r>
      <w:r w:rsidRPr="00B50802">
        <w:t xml:space="preserve"> long-term outcomes. Early intervention responses could include </w:t>
      </w:r>
      <w:r w:rsidR="004538E6" w:rsidRPr="00B50802">
        <w:t xml:space="preserve">providing </w:t>
      </w:r>
      <w:r w:rsidRPr="00B50802">
        <w:t xml:space="preserve">appropriate services to meet a person’s needs before they reach crisis point, or tenancy support services to help maintain tenancies and avoid evictions. </w:t>
      </w:r>
      <w:r w:rsidR="0044372D" w:rsidRPr="00B50802">
        <w:t>E</w:t>
      </w:r>
      <w:r w:rsidRPr="00B50802">
        <w:t>arly access to support services may prevent people from falling into crisis.</w:t>
      </w:r>
    </w:p>
    <w:p w14:paraId="0CDCAE84" w14:textId="1453E4DE" w:rsidR="00597296" w:rsidRPr="00B50802" w:rsidRDefault="00597296" w:rsidP="00672F5D">
      <w:r w:rsidRPr="00B50802">
        <w:t xml:space="preserve">While a greater focus on prevention and early intervention </w:t>
      </w:r>
      <w:r w:rsidR="0044372D" w:rsidRPr="00B50802">
        <w:t xml:space="preserve">could improve outcomes </w:t>
      </w:r>
      <w:r w:rsidRPr="00B50802">
        <w:t>across all groups, the longer-term positive impacts are likely to be more significant for children and young people (aged 24 or less)</w:t>
      </w:r>
      <w:r w:rsidR="0026666C" w:rsidRPr="00B50802">
        <w:t>.</w:t>
      </w:r>
      <w:r w:rsidRPr="00B50802">
        <w:rPr>
          <w:rStyle w:val="FootnoteReference"/>
        </w:rPr>
        <w:footnoteReference w:id="40"/>
      </w:r>
    </w:p>
    <w:p w14:paraId="091FB3AE" w14:textId="6FB74409" w:rsidR="00597296" w:rsidRPr="00B50802" w:rsidRDefault="00597296" w:rsidP="00672F5D">
      <w:r w:rsidRPr="00B50802">
        <w:t xml:space="preserve">For children and young people, early intervention improves their level of engagement with family, education, training, employment and community. </w:t>
      </w:r>
      <w:r w:rsidRPr="00B50802" w:rsidDel="00CD27FF">
        <w:t>Children and young people experiencing homelessness are also at increased risk of being homeless later in life.</w:t>
      </w:r>
      <w:r w:rsidRPr="00B50802" w:rsidDel="00CD27FF">
        <w:rPr>
          <w:rStyle w:val="FootnoteReference"/>
        </w:rPr>
        <w:footnoteReference w:id="41"/>
      </w:r>
      <w:r w:rsidRPr="00B50802" w:rsidDel="00CD27FF">
        <w:rPr>
          <w:rStyle w:val="FootnoteReference"/>
        </w:rPr>
        <w:t xml:space="preserve"> </w:t>
      </w:r>
      <w:r w:rsidRPr="00B50802">
        <w:t>The</w:t>
      </w:r>
      <w:r w:rsidR="007D3668">
        <w:t> </w:t>
      </w:r>
      <w:r w:rsidRPr="00B50802">
        <w:t>service needs of young people experiencing homelessness are different to adults experiencing homelessness,</w:t>
      </w:r>
      <w:r w:rsidRPr="00B50802" w:rsidDel="00587C65">
        <w:t xml:space="preserve"> </w:t>
      </w:r>
      <w:r w:rsidRPr="00B50802">
        <w:t>reflecting the developmental needs of adolescents and young people, and a particular focus on engagement with education and training.</w:t>
      </w:r>
      <w:r w:rsidRPr="00B50802">
        <w:rPr>
          <w:rStyle w:val="FootnoteReference"/>
        </w:rPr>
        <w:footnoteReference w:id="42"/>
      </w:r>
    </w:p>
    <w:p w14:paraId="203CD6C1" w14:textId="77777777" w:rsidR="00350FD1" w:rsidRDefault="00597296" w:rsidP="000A3A02">
      <w:r w:rsidRPr="00B50802">
        <w:t xml:space="preserve">In 2021 in Australia, young people aged 19 to 24 experienced homelessness at a higher rate (91 per 10,000) compared </w:t>
      </w:r>
      <w:r w:rsidR="00C40492" w:rsidRPr="00B50802">
        <w:t>to</w:t>
      </w:r>
      <w:r w:rsidR="008E29A6" w:rsidRPr="00B50802">
        <w:t xml:space="preserve"> </w:t>
      </w:r>
      <w:r w:rsidRPr="00B50802">
        <w:t>all other age groups measured in the Census.</w:t>
      </w:r>
      <w:r w:rsidRPr="00B50802">
        <w:rPr>
          <w:rStyle w:val="FootnoteReference"/>
        </w:rPr>
        <w:footnoteReference w:id="43"/>
      </w:r>
      <w:r w:rsidRPr="00B50802">
        <w:t xml:space="preserve"> An early intervention approach could reduce the likelihood of this cohort experiencing homelessness later in life.</w:t>
      </w:r>
    </w:p>
    <w:p w14:paraId="79E1F177" w14:textId="77777777" w:rsidR="00350FD1" w:rsidRDefault="00350FD1">
      <w:r>
        <w:br w:type="page"/>
      </w:r>
    </w:p>
    <w:p w14:paraId="6EAE2250" w14:textId="77777777" w:rsidR="005913DD" w:rsidRPr="00B50802" w:rsidRDefault="005913DD" w:rsidP="007D3668">
      <w:pPr>
        <w:pBdr>
          <w:top w:val="single" w:sz="4" w:space="1" w:color="auto"/>
          <w:left w:val="single" w:sz="4" w:space="1" w:color="auto"/>
          <w:bottom w:val="single" w:sz="4" w:space="4" w:color="auto"/>
          <w:right w:val="single" w:sz="4" w:space="1" w:color="auto"/>
        </w:pBdr>
        <w:shd w:val="clear" w:color="auto" w:fill="F2F2F2" w:themeFill="background1" w:themeFillShade="F2"/>
        <w:ind w:right="-613"/>
        <w:jc w:val="center"/>
        <w:rPr>
          <w:b/>
          <w:bCs/>
          <w:color w:val="000000" w:themeColor="text1"/>
        </w:rPr>
      </w:pPr>
      <w:r w:rsidRPr="00B50802">
        <w:rPr>
          <w:rFonts w:ascii="Georgia" w:eastAsia="Georgia" w:hAnsi="Georgia" w:cs="Georgia"/>
          <w:b/>
          <w:bCs/>
          <w:sz w:val="28"/>
          <w:szCs w:val="28"/>
        </w:rPr>
        <w:lastRenderedPageBreak/>
        <w:br/>
      </w:r>
      <w:r w:rsidRPr="00B50802">
        <w:rPr>
          <w:noProof/>
          <w:lang w:eastAsia="en-AU"/>
        </w:rPr>
        <mc:AlternateContent>
          <mc:Choice Requires="wpg">
            <w:drawing>
              <wp:anchor distT="0" distB="0" distL="114300" distR="114300" simplePos="0" relativeHeight="251658298" behindDoc="0" locked="0" layoutInCell="1" allowOverlap="1" wp14:anchorId="6D088C7D" wp14:editId="7C027CB6">
                <wp:simplePos x="0" y="0"/>
                <wp:positionH relativeFrom="margin">
                  <wp:posOffset>61982</wp:posOffset>
                </wp:positionH>
                <wp:positionV relativeFrom="paragraph">
                  <wp:posOffset>75031</wp:posOffset>
                </wp:positionV>
                <wp:extent cx="581128" cy="453865"/>
                <wp:effectExtent l="0" t="0" r="28575" b="22860"/>
                <wp:wrapNone/>
                <wp:docPr id="280" name="Group 280" descr="Decorative"/>
                <wp:cNvGraphicFramePr/>
                <a:graphic xmlns:a="http://schemas.openxmlformats.org/drawingml/2006/main">
                  <a:graphicData uri="http://schemas.microsoft.com/office/word/2010/wordprocessingGroup">
                    <wpg:wgp>
                      <wpg:cNvGrpSpPr/>
                      <wpg:grpSpPr>
                        <a:xfrm>
                          <a:off x="0" y="0"/>
                          <a:ext cx="581128" cy="453865"/>
                          <a:chOff x="0" y="0"/>
                          <a:chExt cx="581128" cy="453865"/>
                        </a:xfrm>
                        <a:noFill/>
                      </wpg:grpSpPr>
                      <wps:wsp>
                        <wps:cNvPr id="282" name="Freeform 282"/>
                        <wps:cNvSpPr>
                          <a:spLocks/>
                        </wps:cNvSpPr>
                        <wps:spPr bwMode="auto">
                          <a:xfrm>
                            <a:off x="0" y="0"/>
                            <a:ext cx="581128" cy="380781"/>
                          </a:xfrm>
                          <a:custGeom>
                            <a:avLst/>
                            <a:gdLst>
                              <a:gd name="T0" fmla="*/ 2147483646 w 757"/>
                              <a:gd name="T1" fmla="*/ 2147483646 h 577"/>
                              <a:gd name="T2" fmla="*/ 2147483646 w 757"/>
                              <a:gd name="T3" fmla="*/ 2147483646 h 577"/>
                              <a:gd name="T4" fmla="*/ 0 w 757"/>
                              <a:gd name="T5" fmla="*/ 2147483646 h 577"/>
                              <a:gd name="T6" fmla="*/ 2147483646 w 757"/>
                              <a:gd name="T7" fmla="*/ 2147483646 h 577"/>
                              <a:gd name="T8" fmla="*/ 2147483646 w 757"/>
                              <a:gd name="T9" fmla="*/ 2147483646 h 577"/>
                              <a:gd name="T10" fmla="*/ 2147483646 w 757"/>
                              <a:gd name="T11" fmla="*/ 2147483646 h 577"/>
                              <a:gd name="T12" fmla="*/ 2147483646 w 757"/>
                              <a:gd name="T13" fmla="*/ 2147483646 h 577"/>
                              <a:gd name="T14" fmla="*/ 2147483646 w 757"/>
                              <a:gd name="T15" fmla="*/ 2147483646 h 577"/>
                              <a:gd name="T16" fmla="*/ 2147483646 w 757"/>
                              <a:gd name="T17" fmla="*/ 2147483646 h 577"/>
                              <a:gd name="T18" fmla="*/ 2147483646 w 757"/>
                              <a:gd name="T19" fmla="*/ 2147483646 h 577"/>
                              <a:gd name="T20" fmla="*/ 2147483646 w 757"/>
                              <a:gd name="T21" fmla="*/ 0 h 577"/>
                              <a:gd name="T22" fmla="*/ 2147483646 w 757"/>
                              <a:gd name="T23" fmla="*/ 2147483646 h 577"/>
                              <a:gd name="T24" fmla="*/ 2147483646 w 757"/>
                              <a:gd name="T25" fmla="*/ 2147483646 h 577"/>
                              <a:gd name="T26" fmla="*/ 2147483646 w 757"/>
                              <a:gd name="T27" fmla="*/ 2147483646 h 577"/>
                              <a:gd name="T28" fmla="*/ 2147483646 w 757"/>
                              <a:gd name="T29" fmla="*/ 2147483646 h 577"/>
                              <a:gd name="T30" fmla="*/ 2147483646 w 757"/>
                              <a:gd name="T31" fmla="*/ 2147483646 h 577"/>
                              <a:gd name="T32" fmla="*/ 2147483646 w 757"/>
                              <a:gd name="T33" fmla="*/ 2147483646 h 577"/>
                              <a:gd name="T34" fmla="*/ 2147483646 w 757"/>
                              <a:gd name="T35" fmla="*/ 2147483646 h 577"/>
                              <a:gd name="T36" fmla="*/ 2147483646 w 757"/>
                              <a:gd name="T37" fmla="*/ 2147483646 h 577"/>
                              <a:gd name="T38" fmla="*/ 2147483646 w 757"/>
                              <a:gd name="T39" fmla="*/ 2147483646 h 577"/>
                              <a:gd name="T40" fmla="*/ 2147483646 w 757"/>
                              <a:gd name="T41" fmla="*/ 2147483646 h 577"/>
                              <a:gd name="T42" fmla="*/ 2147483646 w 757"/>
                              <a:gd name="T43" fmla="*/ 2147483646 h 577"/>
                              <a:gd name="T44" fmla="*/ 2147483646 w 757"/>
                              <a:gd name="T45" fmla="*/ 2147483646 h 577"/>
                              <a:gd name="T46" fmla="*/ 2147483646 w 757"/>
                              <a:gd name="T47" fmla="*/ 2147483646 h 577"/>
                              <a:gd name="T48" fmla="*/ 2147483646 w 757"/>
                              <a:gd name="T49" fmla="*/ 2147483646 h 577"/>
                              <a:gd name="T50" fmla="*/ 2147483646 w 757"/>
                              <a:gd name="T51" fmla="*/ 2147483646 h 577"/>
                              <a:gd name="T52" fmla="*/ 2147483646 w 757"/>
                              <a:gd name="T53" fmla="*/ 2147483646 h 577"/>
                              <a:gd name="T54" fmla="*/ 2147483646 w 757"/>
                              <a:gd name="T55" fmla="*/ 2147483646 h 577"/>
                              <a:gd name="T56" fmla="*/ 2147483646 w 757"/>
                              <a:gd name="T57" fmla="*/ 2147483646 h 577"/>
                              <a:gd name="T58" fmla="*/ 2147483646 w 757"/>
                              <a:gd name="T59" fmla="*/ 2147483646 h 577"/>
                              <a:gd name="T60" fmla="*/ 2147483646 w 757"/>
                              <a:gd name="T61" fmla="*/ 2147483646 h 577"/>
                              <a:gd name="T62" fmla="*/ 2147483646 w 757"/>
                              <a:gd name="T63" fmla="*/ 2147483646 h 577"/>
                              <a:gd name="T64" fmla="*/ 2147483646 w 757"/>
                              <a:gd name="T65" fmla="*/ 2147483646 h 577"/>
                              <a:gd name="T66" fmla="*/ 2147483646 w 757"/>
                              <a:gd name="T67" fmla="*/ 2147483646 h 577"/>
                              <a:gd name="T68" fmla="*/ 2147483646 w 757"/>
                              <a:gd name="T69" fmla="*/ 2147483646 h 577"/>
                              <a:gd name="T70" fmla="*/ 2147483646 w 757"/>
                              <a:gd name="T71" fmla="*/ 2147483646 h 5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7" h="577">
                                <a:moveTo>
                                  <a:pt x="30" y="463"/>
                                </a:moveTo>
                                <a:lnTo>
                                  <a:pt x="36" y="415"/>
                                </a:lnTo>
                                <a:lnTo>
                                  <a:pt x="30" y="385"/>
                                </a:lnTo>
                                <a:lnTo>
                                  <a:pt x="6" y="307"/>
                                </a:lnTo>
                                <a:lnTo>
                                  <a:pt x="6" y="283"/>
                                </a:lnTo>
                                <a:lnTo>
                                  <a:pt x="0" y="247"/>
                                </a:lnTo>
                                <a:lnTo>
                                  <a:pt x="6" y="217"/>
                                </a:lnTo>
                                <a:lnTo>
                                  <a:pt x="30" y="193"/>
                                </a:lnTo>
                                <a:lnTo>
                                  <a:pt x="78" y="175"/>
                                </a:lnTo>
                                <a:lnTo>
                                  <a:pt x="114" y="151"/>
                                </a:lnTo>
                                <a:lnTo>
                                  <a:pt x="144" y="145"/>
                                </a:lnTo>
                                <a:lnTo>
                                  <a:pt x="156" y="109"/>
                                </a:lnTo>
                                <a:lnTo>
                                  <a:pt x="180" y="97"/>
                                </a:lnTo>
                                <a:lnTo>
                                  <a:pt x="204" y="90"/>
                                </a:lnTo>
                                <a:lnTo>
                                  <a:pt x="240" y="60"/>
                                </a:lnTo>
                                <a:lnTo>
                                  <a:pt x="264" y="48"/>
                                </a:lnTo>
                                <a:lnTo>
                                  <a:pt x="282" y="60"/>
                                </a:lnTo>
                                <a:lnTo>
                                  <a:pt x="300" y="66"/>
                                </a:lnTo>
                                <a:lnTo>
                                  <a:pt x="312" y="42"/>
                                </a:lnTo>
                                <a:lnTo>
                                  <a:pt x="330" y="24"/>
                                </a:lnTo>
                                <a:lnTo>
                                  <a:pt x="360" y="18"/>
                                </a:lnTo>
                                <a:lnTo>
                                  <a:pt x="372" y="0"/>
                                </a:lnTo>
                                <a:lnTo>
                                  <a:pt x="396" y="6"/>
                                </a:lnTo>
                                <a:lnTo>
                                  <a:pt x="438" y="12"/>
                                </a:lnTo>
                                <a:lnTo>
                                  <a:pt x="432" y="36"/>
                                </a:lnTo>
                                <a:lnTo>
                                  <a:pt x="420" y="66"/>
                                </a:lnTo>
                                <a:lnTo>
                                  <a:pt x="438" y="78"/>
                                </a:lnTo>
                                <a:lnTo>
                                  <a:pt x="468" y="78"/>
                                </a:lnTo>
                                <a:lnTo>
                                  <a:pt x="492" y="115"/>
                                </a:lnTo>
                                <a:lnTo>
                                  <a:pt x="510" y="109"/>
                                </a:lnTo>
                                <a:lnTo>
                                  <a:pt x="540" y="90"/>
                                </a:lnTo>
                                <a:lnTo>
                                  <a:pt x="540" y="30"/>
                                </a:lnTo>
                                <a:lnTo>
                                  <a:pt x="564" y="0"/>
                                </a:lnTo>
                                <a:lnTo>
                                  <a:pt x="576" y="42"/>
                                </a:lnTo>
                                <a:lnTo>
                                  <a:pt x="582" y="54"/>
                                </a:lnTo>
                                <a:lnTo>
                                  <a:pt x="594" y="60"/>
                                </a:lnTo>
                                <a:lnTo>
                                  <a:pt x="612" y="121"/>
                                </a:lnTo>
                                <a:lnTo>
                                  <a:pt x="642" y="151"/>
                                </a:lnTo>
                                <a:lnTo>
                                  <a:pt x="678" y="163"/>
                                </a:lnTo>
                                <a:lnTo>
                                  <a:pt x="690" y="199"/>
                                </a:lnTo>
                                <a:lnTo>
                                  <a:pt x="708" y="211"/>
                                </a:lnTo>
                                <a:lnTo>
                                  <a:pt x="714" y="241"/>
                                </a:lnTo>
                                <a:lnTo>
                                  <a:pt x="751" y="265"/>
                                </a:lnTo>
                                <a:lnTo>
                                  <a:pt x="751" y="289"/>
                                </a:lnTo>
                                <a:lnTo>
                                  <a:pt x="757" y="325"/>
                                </a:lnTo>
                                <a:lnTo>
                                  <a:pt x="757" y="379"/>
                                </a:lnTo>
                                <a:lnTo>
                                  <a:pt x="714" y="469"/>
                                </a:lnTo>
                                <a:lnTo>
                                  <a:pt x="696" y="523"/>
                                </a:lnTo>
                                <a:lnTo>
                                  <a:pt x="696" y="547"/>
                                </a:lnTo>
                                <a:lnTo>
                                  <a:pt x="684" y="547"/>
                                </a:lnTo>
                                <a:lnTo>
                                  <a:pt x="660" y="559"/>
                                </a:lnTo>
                                <a:lnTo>
                                  <a:pt x="636" y="577"/>
                                </a:lnTo>
                                <a:lnTo>
                                  <a:pt x="618" y="577"/>
                                </a:lnTo>
                                <a:lnTo>
                                  <a:pt x="594" y="559"/>
                                </a:lnTo>
                                <a:lnTo>
                                  <a:pt x="576" y="571"/>
                                </a:lnTo>
                                <a:lnTo>
                                  <a:pt x="534" y="553"/>
                                </a:lnTo>
                                <a:lnTo>
                                  <a:pt x="498" y="535"/>
                                </a:lnTo>
                                <a:lnTo>
                                  <a:pt x="480" y="505"/>
                                </a:lnTo>
                                <a:lnTo>
                                  <a:pt x="468" y="481"/>
                                </a:lnTo>
                                <a:lnTo>
                                  <a:pt x="444" y="487"/>
                                </a:lnTo>
                                <a:lnTo>
                                  <a:pt x="420" y="463"/>
                                </a:lnTo>
                                <a:lnTo>
                                  <a:pt x="378" y="421"/>
                                </a:lnTo>
                                <a:lnTo>
                                  <a:pt x="312" y="409"/>
                                </a:lnTo>
                                <a:lnTo>
                                  <a:pt x="264" y="415"/>
                                </a:lnTo>
                                <a:lnTo>
                                  <a:pt x="204" y="433"/>
                                </a:lnTo>
                                <a:lnTo>
                                  <a:pt x="198" y="451"/>
                                </a:lnTo>
                                <a:lnTo>
                                  <a:pt x="162" y="457"/>
                                </a:lnTo>
                                <a:lnTo>
                                  <a:pt x="138" y="457"/>
                                </a:lnTo>
                                <a:lnTo>
                                  <a:pt x="120" y="475"/>
                                </a:lnTo>
                                <a:lnTo>
                                  <a:pt x="84" y="487"/>
                                </a:lnTo>
                                <a:lnTo>
                                  <a:pt x="60" y="487"/>
                                </a:lnTo>
                                <a:lnTo>
                                  <a:pt x="30" y="463"/>
                                </a:lnTo>
                                <a:close/>
                              </a:path>
                            </a:pathLst>
                          </a:custGeom>
                          <a:grpFill/>
                          <a:ln w="12700" cap="flat" cmpd="sng">
                            <a:solidFill>
                              <a:schemeClr val="tx1"/>
                            </a:solidFill>
                            <a:prstDash val="solid"/>
                            <a:round/>
                            <a:headEnd type="none" w="med" len="med"/>
                            <a:tailEnd type="none" w="med" len="med"/>
                          </a:ln>
                          <a:effectLst/>
                        </wps:spPr>
                        <wps:bodyPr/>
                      </wps:wsp>
                      <wps:wsp>
                        <wps:cNvPr id="283" name="Freeform 283"/>
                        <wps:cNvSpPr>
                          <a:spLocks/>
                        </wps:cNvSpPr>
                        <wps:spPr bwMode="auto">
                          <a:xfrm>
                            <a:off x="450073" y="405605"/>
                            <a:ext cx="50800" cy="48260"/>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grpFill/>
                          <a:ln w="12700">
                            <a:solidFill>
                              <a:schemeClr val="tx1"/>
                            </a:solidFill>
                            <a:round/>
                            <a:headEnd/>
                            <a:tailEnd/>
                          </a:ln>
                        </wps:spPr>
                        <wps:bodyPr/>
                      </wps:wsp>
                    </wpg:wgp>
                  </a:graphicData>
                </a:graphic>
              </wp:anchor>
            </w:drawing>
          </mc:Choice>
          <mc:Fallback>
            <w:pict>
              <v:group w14:anchorId="231C56D0" id="Group 280" o:spid="_x0000_s1026" alt="Decorative" style="position:absolute;margin-left:4.9pt;margin-top:5.9pt;width:45.75pt;height:35.75pt;z-index:251658298;mso-position-horizontal-relative:margin" coordsize="581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">
                <v:shape id="Freeform 282" o:spid="_x0000_s1027" style="position:absolute;width:5811;height:3807;visibility:visible;mso-wrap-style:square;v-text-anchor:top" coordsize="7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" path="m30,463r6,-48l30,385,6,307r,-24l,247,6,217,30,193,78,175r36,-24l144,145r12,-36l180,97r24,-7l240,60,264,48r18,12l300,66,312,42,330,24r30,-6l372,r24,6l438,12r-6,24l420,66r18,12l468,78r24,37l510,109,540,90r,-60l564,r12,42l582,54r12,6l612,121r30,30l678,163r12,36l708,211r6,30l751,265r,24l757,325r,54l714,469r-18,54l696,547r-12,l660,559r-24,18l618,577,594,559r-18,12l534,553,498,535,480,505,468,481r-24,6l420,463,378,421,312,409r-48,6l204,433r-6,18l162,457r-24,l120,475,84,487r-24,l30,463xe" filled="f" strokecolor="black [3213]" strokeweight="1pt">
                  <v:path arrowok="t" o:connecttype="custom" o:connectlocs="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83" o:spid="_x0000_s1028" style="position:absolute;left:4500;top:4056;width:508;height:482;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" path="m,18l12,48r6,24l36,91,48,66,66,30,66,,42,12,,18xe" filled="f" strokecolor="black [3213]" strokeweight="1pt">
                  <v:path arrowok="t" o:connecttype="custom" o:connectlocs="0,2147483646;2147483646,2147483646;2147483646,2147483646;2147483646,2147483646;2147483646,2147483646;2147483646,2147483646;2147483646,0;2147483646,2147483646;0,2147483646" o:connectangles="0,0,0,0,0,0,0,0,0"/>
                </v:shape>
                <w10:wrap anchorx="margin"/>
              </v:group>
            </w:pict>
          </mc:Fallback>
        </mc:AlternateContent>
      </w:r>
      <w:r w:rsidRPr="00B75F7D">
        <w:rPr>
          <w:b/>
          <w:color w:val="000000" w:themeColor="text1"/>
        </w:rPr>
        <w:t>The Reconnect Program</w:t>
      </w:r>
    </w:p>
    <w:p w14:paraId="28E6675D" w14:textId="77777777" w:rsidR="00CF6EEF" w:rsidRDefault="00CF6EEF"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clear" w:pos="520"/>
          <w:tab w:val="num" w:pos="142"/>
          <w:tab w:val="left" w:pos="284"/>
        </w:tabs>
        <w:spacing w:line="256" w:lineRule="auto"/>
        <w:ind w:left="0" w:right="-613" w:firstLine="0"/>
        <w:contextualSpacing/>
        <w:rPr>
          <w:rFonts w:ascii="Arial" w:hAnsi="Arial" w:cstheme="minorHAnsi"/>
          <w:color w:val="000000" w:themeColor="text1"/>
          <w:szCs w:val="22"/>
        </w:rPr>
      </w:pPr>
    </w:p>
    <w:p w14:paraId="29674D87" w14:textId="3E1AE595" w:rsidR="005913DD" w:rsidRPr="00B75F7D"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clear" w:pos="520"/>
          <w:tab w:val="num" w:pos="142"/>
          <w:tab w:val="left" w:pos="284"/>
        </w:tabs>
        <w:spacing w:line="256" w:lineRule="auto"/>
        <w:ind w:left="0" w:right="-613" w:firstLine="0"/>
        <w:contextualSpacing/>
        <w:rPr>
          <w:rFonts w:ascii="Arial" w:hAnsi="Arial" w:cstheme="minorHAnsi"/>
          <w:color w:val="000000" w:themeColor="text1"/>
          <w:szCs w:val="22"/>
        </w:rPr>
      </w:pPr>
      <w:r w:rsidRPr="00B75F7D">
        <w:rPr>
          <w:rFonts w:ascii="Arial" w:hAnsi="Arial" w:cstheme="minorHAnsi"/>
          <w:color w:val="000000" w:themeColor="text1"/>
          <w:szCs w:val="22"/>
        </w:rPr>
        <w:t>The Australian Government’s Reconnect Program is a community-based early intervention and prevention program for young people aged 12 to 18 years (or 12 to 21 years in the case of newly arrived youth) who are homeless or at risk of homelessness, and their families.</w:t>
      </w:r>
    </w:p>
    <w:p w14:paraId="7B15EE42" w14:textId="77777777" w:rsidR="005913DD" w:rsidRPr="00B75F7D"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left" w:pos="720"/>
        </w:tabs>
        <w:spacing w:line="256" w:lineRule="auto"/>
        <w:ind w:left="0" w:right="-613" w:firstLine="0"/>
        <w:contextualSpacing/>
        <w:rPr>
          <w:rFonts w:ascii="Arial" w:hAnsi="Arial" w:cstheme="minorHAnsi"/>
          <w:color w:val="000000" w:themeColor="text1"/>
          <w:szCs w:val="22"/>
        </w:rPr>
      </w:pPr>
    </w:p>
    <w:p w14:paraId="13625F5A" w14:textId="64289876" w:rsidR="005913DD" w:rsidRPr="00B75F7D"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left" w:pos="720"/>
        </w:tabs>
        <w:spacing w:line="256" w:lineRule="auto"/>
        <w:ind w:left="0" w:right="-613" w:firstLine="0"/>
        <w:contextualSpacing/>
        <w:rPr>
          <w:rFonts w:ascii="Arial" w:hAnsi="Arial" w:cstheme="minorHAnsi"/>
          <w:color w:val="000000" w:themeColor="text1"/>
          <w:szCs w:val="22"/>
        </w:rPr>
      </w:pPr>
      <w:r w:rsidRPr="00B75F7D">
        <w:rPr>
          <w:rFonts w:ascii="Arial" w:hAnsi="Arial" w:cstheme="minorHAnsi"/>
          <w:color w:val="000000" w:themeColor="text1"/>
          <w:szCs w:val="22"/>
        </w:rPr>
        <w:t>The aim is to prevent homelessness by intervening early with families and young people to</w:t>
      </w:r>
      <w:r w:rsidR="007D3668">
        <w:rPr>
          <w:rFonts w:ascii="Arial" w:hAnsi="Arial" w:cstheme="minorHAnsi"/>
          <w:color w:val="000000" w:themeColor="text1"/>
          <w:szCs w:val="22"/>
        </w:rPr>
        <w:t> </w:t>
      </w:r>
      <w:r w:rsidRPr="00B75F7D">
        <w:rPr>
          <w:rFonts w:ascii="Arial" w:hAnsi="Arial" w:cstheme="minorHAnsi"/>
          <w:color w:val="000000" w:themeColor="text1"/>
          <w:szCs w:val="22"/>
        </w:rPr>
        <w:t>stabilise and improve their housing situation and improve their level of engagement with family, education, training, employment and community.</w:t>
      </w:r>
    </w:p>
    <w:p w14:paraId="3FF0BF76" w14:textId="77777777" w:rsidR="005913DD" w:rsidRPr="00B75F7D"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left" w:pos="720"/>
        </w:tabs>
        <w:spacing w:line="256" w:lineRule="auto"/>
        <w:ind w:left="0" w:right="-613" w:firstLine="0"/>
        <w:contextualSpacing/>
        <w:rPr>
          <w:rFonts w:ascii="Arial" w:hAnsi="Arial" w:cstheme="minorHAnsi"/>
          <w:color w:val="000000" w:themeColor="text1"/>
          <w:szCs w:val="22"/>
        </w:rPr>
      </w:pPr>
    </w:p>
    <w:p w14:paraId="11EDDB73" w14:textId="799ACF28" w:rsidR="005913DD" w:rsidRPr="00B75F7D"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left" w:pos="720"/>
        </w:tabs>
        <w:spacing w:line="254" w:lineRule="auto"/>
        <w:ind w:left="0" w:right="-613" w:firstLine="0"/>
        <w:contextualSpacing/>
        <w:rPr>
          <w:rFonts w:ascii="Arial" w:hAnsi="Arial" w:cstheme="minorHAnsi"/>
          <w:color w:val="000000" w:themeColor="text1"/>
          <w:szCs w:val="22"/>
        </w:rPr>
      </w:pPr>
      <w:r w:rsidRPr="00B75F7D">
        <w:rPr>
          <w:rFonts w:ascii="Arial" w:hAnsi="Arial" w:cstheme="minorHAnsi"/>
          <w:color w:val="000000" w:themeColor="text1"/>
          <w:szCs w:val="22"/>
        </w:rPr>
        <w:t>Reconnect helps over 7,500 young people each year to improve their relationships with their family, stay at school and to participate in their local community.</w:t>
      </w:r>
    </w:p>
    <w:p w14:paraId="430A3854" w14:textId="05BB8885" w:rsidR="005913DD" w:rsidRPr="00B75F7D"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left" w:pos="720"/>
        </w:tabs>
        <w:spacing w:line="254" w:lineRule="auto"/>
        <w:ind w:left="0" w:right="-613" w:firstLine="0"/>
        <w:contextualSpacing/>
        <w:rPr>
          <w:rFonts w:ascii="Arial" w:hAnsi="Arial" w:cstheme="minorHAnsi"/>
          <w:color w:val="000000" w:themeColor="text1"/>
          <w:szCs w:val="22"/>
        </w:rPr>
      </w:pPr>
    </w:p>
    <w:p w14:paraId="76DC6ED6" w14:textId="0B148B75" w:rsidR="005913DD" w:rsidRPr="00B50802" w:rsidRDefault="005913DD" w:rsidP="007D3668">
      <w:pPr>
        <w:pStyle w:val="Bullet"/>
        <w:pBdr>
          <w:top w:val="single" w:sz="4" w:space="1" w:color="auto"/>
          <w:left w:val="single" w:sz="4" w:space="1" w:color="auto"/>
          <w:bottom w:val="single" w:sz="4" w:space="4" w:color="auto"/>
          <w:right w:val="single" w:sz="4" w:space="1" w:color="auto"/>
        </w:pBdr>
        <w:shd w:val="clear" w:color="auto" w:fill="F2F2F2" w:themeFill="background1" w:themeFillShade="F2"/>
        <w:tabs>
          <w:tab w:val="left" w:pos="720"/>
        </w:tabs>
        <w:spacing w:line="254" w:lineRule="auto"/>
        <w:ind w:left="0" w:right="-613" w:firstLine="0"/>
        <w:contextualSpacing/>
        <w:rPr>
          <w:rFonts w:ascii="Arial" w:hAnsi="Arial" w:cstheme="minorHAnsi"/>
          <w:color w:val="000000" w:themeColor="text1"/>
          <w:szCs w:val="22"/>
        </w:rPr>
      </w:pPr>
      <w:r w:rsidRPr="00B75F7D">
        <w:rPr>
          <w:rFonts w:ascii="Arial" w:hAnsi="Arial" w:cstheme="minorHAnsi"/>
          <w:color w:val="000000" w:themeColor="text1"/>
          <w:szCs w:val="22"/>
        </w:rPr>
        <w:t>Reconnect services provide counselling, group work, mediation and practical support to the whole family, to help break the cycle of homelessness. Reconnect works collaboratively with schools and a range of services to make sure all clients presenting or referred to Reconnect either receive assistance or are directed to more appropriate services, such as specialised mental health services.</w:t>
      </w:r>
    </w:p>
    <w:p w14:paraId="5E490A63" w14:textId="5A6A90D7" w:rsidR="00122707" w:rsidRDefault="001C0DAD">
      <w:pPr>
        <w:rPr>
          <w:rFonts w:ascii="Georgia" w:eastAsia="Georgia" w:hAnsi="Georgia" w:cs="Georgia"/>
          <w:b/>
          <w:bCs/>
          <w:sz w:val="28"/>
          <w:szCs w:val="28"/>
        </w:rPr>
      </w:pPr>
      <w:r w:rsidRPr="00122707">
        <w:rPr>
          <w:noProof/>
          <w:lang w:eastAsia="en-AU"/>
        </w:rPr>
        <mc:AlternateContent>
          <mc:Choice Requires="wps">
            <w:drawing>
              <wp:anchor distT="0" distB="0" distL="114300" distR="114300" simplePos="0" relativeHeight="251658305" behindDoc="0" locked="0" layoutInCell="1" allowOverlap="1" wp14:anchorId="0248D372" wp14:editId="45499641">
                <wp:simplePos x="0" y="0"/>
                <wp:positionH relativeFrom="margin">
                  <wp:posOffset>-40193</wp:posOffset>
                </wp:positionH>
                <wp:positionV relativeFrom="paragraph">
                  <wp:posOffset>193452</wp:posOffset>
                </wp:positionV>
                <wp:extent cx="6178550" cy="3074795"/>
                <wp:effectExtent l="0" t="0" r="12700" b="11430"/>
                <wp:wrapNone/>
                <wp:docPr id="71" name="Rectangle 71" descr="Decorative"/>
                <wp:cNvGraphicFramePr/>
                <a:graphic xmlns:a="http://schemas.openxmlformats.org/drawingml/2006/main">
                  <a:graphicData uri="http://schemas.microsoft.com/office/word/2010/wordprocessingShape">
                    <wps:wsp>
                      <wps:cNvSpPr/>
                      <wps:spPr>
                        <a:xfrm>
                          <a:off x="0" y="0"/>
                          <a:ext cx="6178550" cy="3074795"/>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AD4C" id="Rectangle 71" o:spid="_x0000_s1026" alt="Decorative" style="position:absolute;margin-left:-3.15pt;margin-top:15.25pt;width:486.5pt;height:242.1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" filled="f" strokecolor="#005a70" strokeweight="2pt">
                <w10:wrap anchorx="margin"/>
              </v:rect>
            </w:pict>
          </mc:Fallback>
        </mc:AlternateContent>
      </w:r>
      <w:r w:rsidRPr="00122707">
        <w:rPr>
          <w:rFonts w:eastAsia="Georgia"/>
          <w:noProof/>
          <w:lang w:eastAsia="en-AU"/>
        </w:rPr>
        <mc:AlternateContent>
          <mc:Choice Requires="wpg">
            <w:drawing>
              <wp:anchor distT="0" distB="0" distL="114300" distR="114300" simplePos="0" relativeHeight="251658306" behindDoc="0" locked="0" layoutInCell="1" allowOverlap="1" wp14:anchorId="5C9F8FC2" wp14:editId="45436517">
                <wp:simplePos x="0" y="0"/>
                <wp:positionH relativeFrom="margin">
                  <wp:posOffset>49830</wp:posOffset>
                </wp:positionH>
                <wp:positionV relativeFrom="paragraph">
                  <wp:posOffset>269561</wp:posOffset>
                </wp:positionV>
                <wp:extent cx="701040" cy="557530"/>
                <wp:effectExtent l="0" t="0" r="22860" b="13970"/>
                <wp:wrapSquare wrapText="bothSides"/>
                <wp:docPr id="72" name="Group 72" descr="Decorative" title="Decorative"/>
                <wp:cNvGraphicFramePr/>
                <a:graphic xmlns:a="http://schemas.openxmlformats.org/drawingml/2006/main">
                  <a:graphicData uri="http://schemas.microsoft.com/office/word/2010/wordprocessingGroup">
                    <wpg:wgp>
                      <wpg:cNvGrpSpPr/>
                      <wpg:grpSpPr>
                        <a:xfrm>
                          <a:off x="0" y="0"/>
                          <a:ext cx="701040" cy="557530"/>
                          <a:chOff x="71254" y="106538"/>
                          <a:chExt cx="701612" cy="557882"/>
                        </a:xfrm>
                      </wpg:grpSpPr>
                      <wps:wsp>
                        <wps:cNvPr id="73" name="Freeform 19"/>
                        <wps:cNvSpPr>
                          <a:spLocks noChangeAspect="1"/>
                        </wps:cNvSpPr>
                        <wps:spPr bwMode="gray">
                          <a:xfrm>
                            <a:off x="71254" y="106538"/>
                            <a:ext cx="701612" cy="557882"/>
                          </a:xfrm>
                          <a:custGeom>
                            <a:avLst/>
                            <a:gdLst>
                              <a:gd name="T0" fmla="*/ 0 w 1425"/>
                              <a:gd name="T1" fmla="*/ 0 h 1154"/>
                              <a:gd name="T2" fmla="*/ 902 w 1425"/>
                              <a:gd name="T3" fmla="*/ 81 h 1154"/>
                              <a:gd name="T4" fmla="*/ 952 w 1425"/>
                              <a:gd name="T5" fmla="*/ 19 h 1154"/>
                              <a:gd name="T6" fmla="*/ 1072 w 1425"/>
                              <a:gd name="T7" fmla="*/ 19 h 1154"/>
                              <a:gd name="T8" fmla="*/ 1133 w 1425"/>
                              <a:gd name="T9" fmla="*/ 80 h 1154"/>
                              <a:gd name="T10" fmla="*/ 1234 w 1425"/>
                              <a:gd name="T11" fmla="*/ 80 h 1154"/>
                              <a:gd name="T12" fmla="*/ 1275 w 1425"/>
                              <a:gd name="T13" fmla="*/ 19 h 1154"/>
                              <a:gd name="T14" fmla="*/ 1416 w 1425"/>
                              <a:gd name="T15" fmla="*/ 19 h 1154"/>
                              <a:gd name="T16" fmla="*/ 1425 w 1425"/>
                              <a:gd name="T17" fmla="*/ 55 h 1154"/>
                              <a:gd name="T18" fmla="*/ 1323 w 1425"/>
                              <a:gd name="T19" fmla="*/ 414 h 1154"/>
                              <a:gd name="T20" fmla="*/ 1226 w 1425"/>
                              <a:gd name="T21" fmla="*/ 441 h 1154"/>
                              <a:gd name="T22" fmla="*/ 1220 w 1425"/>
                              <a:gd name="T23" fmla="*/ 511 h 1154"/>
                              <a:gd name="T24" fmla="*/ 1212 w 1425"/>
                              <a:gd name="T25" fmla="*/ 549 h 1154"/>
                              <a:gd name="T26" fmla="*/ 1066 w 1425"/>
                              <a:gd name="T27" fmla="*/ 771 h 1154"/>
                              <a:gd name="T28" fmla="*/ 928 w 1425"/>
                              <a:gd name="T29" fmla="*/ 890 h 1154"/>
                              <a:gd name="T30" fmla="*/ 870 w 1425"/>
                              <a:gd name="T31" fmla="*/ 1154 h 1154"/>
                              <a:gd name="T32" fmla="*/ 709 w 1425"/>
                              <a:gd name="T33" fmla="*/ 1072 h 1154"/>
                              <a:gd name="T34" fmla="*/ 668 w 1425"/>
                              <a:gd name="T35" fmla="*/ 951 h 1154"/>
                              <a:gd name="T36" fmla="*/ 405 w 1425"/>
                              <a:gd name="T37" fmla="*/ 890 h 1154"/>
                              <a:gd name="T38" fmla="*/ 325 w 1425"/>
                              <a:gd name="T39" fmla="*/ 911 h 1154"/>
                              <a:gd name="T40" fmla="*/ 223 w 1425"/>
                              <a:gd name="T41" fmla="*/ 809 h 1154"/>
                              <a:gd name="T42" fmla="*/ 223 w 1425"/>
                              <a:gd name="T43" fmla="*/ 728 h 1154"/>
                              <a:gd name="T44" fmla="*/ 164 w 1425"/>
                              <a:gd name="T45" fmla="*/ 750 h 1154"/>
                              <a:gd name="T46" fmla="*/ 103 w 1425"/>
                              <a:gd name="T47" fmla="*/ 646 h 1154"/>
                              <a:gd name="T48" fmla="*/ 0 w 1425"/>
                              <a:gd name="T49" fmla="*/ 646 h 1154"/>
                              <a:gd name="T50" fmla="*/ 0 w 1425"/>
                              <a:gd name="T51" fmla="*/ 0 h 1154"/>
                              <a:gd name="T52" fmla="*/ 0 w 1425"/>
                              <a:gd name="T53" fmla="*/ 0 h 11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425"/>
                              <a:gd name="T82" fmla="*/ 0 h 1154"/>
                              <a:gd name="T83" fmla="*/ 1425 w 1425"/>
                              <a:gd name="T84" fmla="*/ 1154 h 11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425" h="1154">
                                <a:moveTo>
                                  <a:pt x="0" y="0"/>
                                </a:moveTo>
                                <a:lnTo>
                                  <a:pt x="902" y="81"/>
                                </a:lnTo>
                                <a:lnTo>
                                  <a:pt x="952" y="19"/>
                                </a:lnTo>
                                <a:lnTo>
                                  <a:pt x="1072" y="19"/>
                                </a:lnTo>
                                <a:lnTo>
                                  <a:pt x="1133" y="80"/>
                                </a:lnTo>
                                <a:lnTo>
                                  <a:pt x="1234" y="80"/>
                                </a:lnTo>
                                <a:lnTo>
                                  <a:pt x="1275" y="19"/>
                                </a:lnTo>
                                <a:lnTo>
                                  <a:pt x="1416" y="19"/>
                                </a:lnTo>
                                <a:lnTo>
                                  <a:pt x="1425" y="55"/>
                                </a:lnTo>
                                <a:lnTo>
                                  <a:pt x="1323" y="414"/>
                                </a:lnTo>
                                <a:lnTo>
                                  <a:pt x="1226" y="441"/>
                                </a:lnTo>
                                <a:lnTo>
                                  <a:pt x="1220" y="511"/>
                                </a:lnTo>
                                <a:lnTo>
                                  <a:pt x="1212" y="549"/>
                                </a:lnTo>
                                <a:lnTo>
                                  <a:pt x="1066" y="771"/>
                                </a:lnTo>
                                <a:lnTo>
                                  <a:pt x="928" y="890"/>
                                </a:lnTo>
                                <a:lnTo>
                                  <a:pt x="870" y="1154"/>
                                </a:lnTo>
                                <a:lnTo>
                                  <a:pt x="709" y="1072"/>
                                </a:lnTo>
                                <a:lnTo>
                                  <a:pt x="668" y="951"/>
                                </a:lnTo>
                                <a:lnTo>
                                  <a:pt x="405" y="890"/>
                                </a:lnTo>
                                <a:lnTo>
                                  <a:pt x="325" y="911"/>
                                </a:lnTo>
                                <a:lnTo>
                                  <a:pt x="223" y="809"/>
                                </a:lnTo>
                                <a:lnTo>
                                  <a:pt x="223" y="728"/>
                                </a:lnTo>
                                <a:lnTo>
                                  <a:pt x="164" y="750"/>
                                </a:lnTo>
                                <a:lnTo>
                                  <a:pt x="103" y="646"/>
                                </a:lnTo>
                                <a:lnTo>
                                  <a:pt x="0" y="646"/>
                                </a:lnTo>
                                <a:lnTo>
                                  <a:pt x="0" y="0"/>
                                </a:lnTo>
                                <a:close/>
                              </a:path>
                            </a:pathLst>
                          </a:custGeom>
                          <a:noFill/>
                          <a:ln w="19050">
                            <a:solidFill>
                              <a:srgbClr val="005A70"/>
                            </a:solidFill>
                            <a:round/>
                            <a:headEnd/>
                            <a:tailEnd/>
                          </a:ln>
                        </wps:spPr>
                        <wps:bodyPr/>
                      </wps:wsp>
                      <wps:wsp>
                        <wps:cNvPr id="74" name="Oval 74"/>
                        <wps:cNvSpPr/>
                        <wps:spPr>
                          <a:xfrm>
                            <a:off x="451264" y="403420"/>
                            <a:ext cx="45710" cy="4569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DDA72E" id="Group 72" o:spid="_x0000_s1026" alt="Title: Decorative - Description: Decorative" style="position:absolute;margin-left:3.9pt;margin-top:21.25pt;width:55.2pt;height:43.9pt;z-index:251658306;mso-position-horizontal-relative:margin" coordorigin="712,1065" coordsize="701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">
                <v:shape id="Freeform 19" o:spid="_x0000_s1027" style="position:absolute;left:712;top:1065;width:7016;height:5579;visibility:visible;mso-wrap-style:square;v-text-anchor:top" coordsize="1425,115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" path="m,l902,81,952,19r120,l1133,80r101,l1275,19r141,l1425,55,1323,414r-97,27l1220,511r-8,38l1066,771,928,890r-58,264l709,1072,668,951,405,890r-80,21l223,809r,-81l164,750,103,646,,646,,xe" filled="f" strokecolor="#005a70" strokeweight="1.5pt">
                  <v:path arrowok="t" o:connecttype="custom" o:connectlocs="0,0;444108,39158;468726,9185;527809,9185;557843,38675;607571,38675;627758,9185;697181,9185;701612,26589;651391,200141;603632,213194;600678,247034;596739,265405;524855,372727;456909,430256;428353,557882;349083,518240;328896,459745;199406,430256;160017,440408;109796,391098;109796,351939;80747,362575;50713,312298;0,312298;0,0;0,0" o:connectangles="0,0,0,0,0,0,0,0,0,0,0,0,0,0,0,0,0,0,0,0,0,0,0,0,0,0,0" textboxrect="0,0,1425,1154"/>
                  <o:lock v:ext="edit" aspectratio="t"/>
                </v:shape>
                <v:oval id="Oval 74" o:spid="_x0000_s1028" style="position:absolute;left:4512;top:403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" fillcolor="#4f81bd [3204]" strokecolor="#243f60 [1604]" strokeweight="2pt"/>
                <w10:wrap type="square" anchorx="margin"/>
              </v:group>
            </w:pict>
          </mc:Fallback>
        </mc:AlternateContent>
      </w:r>
    </w:p>
    <w:p w14:paraId="6D0782FC" w14:textId="4E52B38B" w:rsidR="00122707" w:rsidRPr="00B50802" w:rsidRDefault="00122707" w:rsidP="00122707">
      <w:pPr>
        <w:pStyle w:val="Bullet"/>
        <w:jc w:val="right"/>
        <w:rPr>
          <w:rFonts w:eastAsiaTheme="minorHAnsi" w:cs="Arial"/>
          <w:color w:val="005A70"/>
        </w:rPr>
      </w:pPr>
      <w:r w:rsidRPr="00B50802">
        <w:rPr>
          <w:rFonts w:ascii="Arial" w:eastAsiaTheme="minorHAnsi" w:hAnsi="Arial" w:cs="Arial"/>
          <w:b/>
          <w:color w:val="005A70"/>
        </w:rPr>
        <w:t>Case study – Australian Capital Territory Client Support Fund</w:t>
      </w:r>
    </w:p>
    <w:p w14:paraId="5438F3A2" w14:textId="7D25E199" w:rsidR="00122707" w:rsidRPr="00B50802" w:rsidRDefault="00122707" w:rsidP="00122707">
      <w:r w:rsidRPr="00B50802">
        <w:br/>
      </w:r>
      <w:r w:rsidRPr="00B50802">
        <w:br/>
        <w:t xml:space="preserve">The Client Support Fund (CSF) was initially established by the Australian Capital Territory (ACT) Government to assist the Specialist Homelessness Sector in the ACT with the challenges posed by COVID-19. </w:t>
      </w:r>
    </w:p>
    <w:p w14:paraId="27E771E2" w14:textId="77777777" w:rsidR="00122707" w:rsidRPr="00B50802" w:rsidRDefault="00122707" w:rsidP="00122707">
      <w:r w:rsidRPr="00B50802">
        <w:t xml:space="preserve">The CSF provides additional resourcing through a new fee-for-service model and the provision of Housing ACT properties to increase the sector’s capacity to respond to service demands from individuals and families experiencing or at risk of homelessness. </w:t>
      </w:r>
    </w:p>
    <w:p w14:paraId="7508B162" w14:textId="11A9A291" w:rsidR="00122707" w:rsidRPr="00B50802" w:rsidRDefault="00122707" w:rsidP="00122707">
      <w:r w:rsidRPr="00B50802">
        <w:t>A key benefit of the CSF model is it has enabled the ACT’s central intake service to work with homelessness services to develop tailored and flexible support and/or accommodation packages to meet the individual needs and circumstances of clients experiencing or at risk of</w:t>
      </w:r>
      <w:r w:rsidR="001B1C96">
        <w:t> </w:t>
      </w:r>
      <w:r w:rsidRPr="00B50802">
        <w:t>homelessness. The model has supported clients who may otherwise have faced barriers to accessing the homelessness services system.</w:t>
      </w:r>
    </w:p>
    <w:p w14:paraId="59077AF6" w14:textId="3DC46252" w:rsidR="008535A7" w:rsidRPr="00B50802" w:rsidRDefault="008535A7">
      <w:pPr>
        <w:rPr>
          <w:rFonts w:ascii="Georgia" w:eastAsia="Georgia" w:hAnsi="Georgia" w:cs="Georgia"/>
          <w:b/>
          <w:bCs/>
          <w:sz w:val="28"/>
          <w:szCs w:val="28"/>
          <w:lang w:eastAsia="en-AU"/>
        </w:rPr>
      </w:pPr>
    </w:p>
    <w:p w14:paraId="48DBE6EE" w14:textId="77777777" w:rsidR="00350FD1" w:rsidRDefault="00350FD1">
      <w:pPr>
        <w:rPr>
          <w:rFonts w:cs="Arial"/>
          <w:bCs/>
          <w:color w:val="005A70"/>
          <w:sz w:val="28"/>
          <w:szCs w:val="28"/>
        </w:rPr>
      </w:pPr>
      <w:r>
        <w:rPr>
          <w:rFonts w:cs="Arial"/>
          <w:b/>
          <w:color w:val="005A70"/>
        </w:rPr>
        <w:br w:type="page"/>
      </w:r>
    </w:p>
    <w:p w14:paraId="48094210" w14:textId="69EACAE5" w:rsidR="00597296" w:rsidRPr="00E66CEA" w:rsidRDefault="00597296" w:rsidP="00E66CEA">
      <w:pPr>
        <w:pStyle w:val="Bullet"/>
        <w:tabs>
          <w:tab w:val="clear" w:pos="520"/>
          <w:tab w:val="num" w:pos="567"/>
        </w:tabs>
        <w:spacing w:after="200"/>
        <w:ind w:left="0" w:firstLine="0"/>
        <w:rPr>
          <w:rFonts w:ascii="Georgia" w:hAnsi="Georgia"/>
          <w:b/>
          <w:sz w:val="28"/>
        </w:rPr>
      </w:pPr>
      <w:bookmarkStart w:id="1317" w:name="_Toc134784697"/>
      <w:bookmarkStart w:id="1318" w:name="_Toc135035216"/>
      <w:bookmarkStart w:id="1319" w:name="_Toc135060893"/>
      <w:bookmarkStart w:id="1320" w:name="_Toc135161364"/>
      <w:bookmarkStart w:id="1321" w:name="_Toc135162311"/>
      <w:bookmarkStart w:id="1322" w:name="_Toc135162485"/>
      <w:bookmarkStart w:id="1323" w:name="_Toc135206064"/>
      <w:bookmarkStart w:id="1324" w:name="_Toc135206149"/>
      <w:bookmarkStart w:id="1325" w:name="_Toc139464307"/>
      <w:bookmarkStart w:id="1326" w:name="_Toc141969842"/>
      <w:bookmarkStart w:id="1327" w:name="_Toc141972465"/>
      <w:bookmarkStart w:id="1328" w:name="_Toc141972678"/>
      <w:bookmarkStart w:id="1329" w:name="_Toc141972952"/>
      <w:bookmarkStart w:id="1330" w:name="_Toc142042512"/>
      <w:bookmarkStart w:id="1331" w:name="_Toc142042721"/>
      <w:r w:rsidRPr="00E66CEA">
        <w:rPr>
          <w:rFonts w:ascii="Georgia" w:hAnsi="Georgia"/>
          <w:b/>
          <w:sz w:val="28"/>
        </w:rPr>
        <w:lastRenderedPageBreak/>
        <w:t>Breaking the cycle of homelessness</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E66CEA">
        <w:rPr>
          <w:rFonts w:ascii="Georgia" w:hAnsi="Georgia"/>
          <w:b/>
          <w:sz w:val="28"/>
        </w:rPr>
        <w:t xml:space="preserve"> </w:t>
      </w:r>
    </w:p>
    <w:p w14:paraId="2638499D" w14:textId="4FF9A607" w:rsidR="00597296" w:rsidRPr="00B50802" w:rsidRDefault="00597296" w:rsidP="00913DA4">
      <w:r w:rsidRPr="00B50802">
        <w:t>Constant or episodic homelessness over a long period is referred to as chronic homelessness. In 2018</w:t>
      </w:r>
      <w:r w:rsidR="00BE25BA" w:rsidRPr="00B50802">
        <w:t>–</w:t>
      </w:r>
      <w:r w:rsidRPr="00B50802">
        <w:t>19 the number of homelessness services clients who were homeless for more than 7 months over a 24</w:t>
      </w:r>
      <w:r w:rsidR="00BE25BA" w:rsidRPr="00B50802">
        <w:t>-</w:t>
      </w:r>
      <w:r w:rsidRPr="00B50802">
        <w:t>month period was 29,482, which increased to</w:t>
      </w:r>
      <w:r w:rsidR="001B1C96">
        <w:t> </w:t>
      </w:r>
      <w:r w:rsidRPr="00B50802">
        <w:t>35,215 in 2021</w:t>
      </w:r>
      <w:r w:rsidR="00BE25BA" w:rsidRPr="00B50802">
        <w:t>–</w:t>
      </w:r>
      <w:r w:rsidRPr="00B50802">
        <w:t>22.</w:t>
      </w:r>
      <w:r w:rsidRPr="00B50802">
        <w:rPr>
          <w:rStyle w:val="FootnoteReference"/>
        </w:rPr>
        <w:footnoteReference w:id="44"/>
      </w:r>
      <w:r w:rsidRPr="00B50802">
        <w:t xml:space="preserve"> Research has shown people experiencing chronic homelessness are among the heaviest service users, even though they make up a small proportion of the total number of people experiencing homelessness.</w:t>
      </w:r>
      <w:r w:rsidRPr="00B50802">
        <w:rPr>
          <w:rStyle w:val="FootnoteReference"/>
        </w:rPr>
        <w:footnoteReference w:id="45"/>
      </w:r>
    </w:p>
    <w:p w14:paraId="586CD1CB" w14:textId="77777777" w:rsidR="00597296" w:rsidRPr="00B50802" w:rsidRDefault="00597296" w:rsidP="00913DA4">
      <w:r w:rsidRPr="00B50802">
        <w:t>Someone experiencing chronic homelessness typically has complex support needs such as physical and/or mental health conditions</w:t>
      </w:r>
      <w:r w:rsidR="008E7FB9" w:rsidRPr="00B50802">
        <w:t xml:space="preserve"> </w:t>
      </w:r>
      <w:r w:rsidR="000D4538" w:rsidRPr="00B50802">
        <w:t xml:space="preserve">and </w:t>
      </w:r>
      <w:r w:rsidRPr="00B50802">
        <w:t>substance misuse</w:t>
      </w:r>
      <w:r w:rsidR="000D4538" w:rsidRPr="00B50802">
        <w:t>,</w:t>
      </w:r>
      <w:r w:rsidRPr="00B50802">
        <w:t xml:space="preserve"> and may face barriers </w:t>
      </w:r>
      <w:r w:rsidRPr="00B50802">
        <w:br/>
        <w:t>to accessing a full range of support and sustaining secure housing.</w:t>
      </w:r>
      <w:r w:rsidR="008E7FB9" w:rsidRPr="00B50802">
        <w:rPr>
          <w:rStyle w:val="FootnoteReference"/>
        </w:rPr>
        <w:footnoteReference w:id="46"/>
      </w:r>
      <w:r w:rsidRPr="00B50802">
        <w:t xml:space="preserve"> Breaking the cycle </w:t>
      </w:r>
      <w:r w:rsidRPr="00B50802">
        <w:br/>
        <w:t xml:space="preserve">of chronic homelessness involves addressing someone’s complex and individual needs and facilitating their pathway out of homelessness. To achieve this, a combination of support services </w:t>
      </w:r>
      <w:r w:rsidR="000D4538" w:rsidRPr="00B50802">
        <w:t xml:space="preserve">is </w:t>
      </w:r>
      <w:r w:rsidRPr="00B50802">
        <w:t>required and may include long-term or even permanent support to prevent future homelessness.</w:t>
      </w:r>
    </w:p>
    <w:p w14:paraId="61B936B4" w14:textId="6997ACCB" w:rsidR="0007378B" w:rsidRPr="00B50802" w:rsidRDefault="00350FD1" w:rsidP="0007378B">
      <w:r w:rsidRPr="00B50802">
        <w:rPr>
          <w:rFonts w:eastAsiaTheme="minorEastAsia"/>
          <w:noProof/>
          <w:lang w:eastAsia="en-AU"/>
        </w:rPr>
        <mc:AlternateContent>
          <mc:Choice Requires="wpg">
            <w:drawing>
              <wp:anchor distT="0" distB="0" distL="114300" distR="114300" simplePos="0" relativeHeight="251658307" behindDoc="0" locked="0" layoutInCell="1" allowOverlap="1" wp14:anchorId="6CF4FA5B" wp14:editId="3B52BA35">
                <wp:simplePos x="0" y="0"/>
                <wp:positionH relativeFrom="margin">
                  <wp:posOffset>-51729</wp:posOffset>
                </wp:positionH>
                <wp:positionV relativeFrom="paragraph">
                  <wp:posOffset>848995</wp:posOffset>
                </wp:positionV>
                <wp:extent cx="5903595" cy="3080385"/>
                <wp:effectExtent l="0" t="0" r="20955" b="24765"/>
                <wp:wrapNone/>
                <wp:docPr id="80" name="Group 80" descr="Decorative"/>
                <wp:cNvGraphicFramePr/>
                <a:graphic xmlns:a="http://schemas.openxmlformats.org/drawingml/2006/main">
                  <a:graphicData uri="http://schemas.microsoft.com/office/word/2010/wordprocessingGroup">
                    <wpg:wgp>
                      <wpg:cNvGrpSpPr/>
                      <wpg:grpSpPr>
                        <a:xfrm>
                          <a:off x="0" y="0"/>
                          <a:ext cx="5903595" cy="3080385"/>
                          <a:chOff x="-19879" y="-49748"/>
                          <a:chExt cx="5903844" cy="3081959"/>
                        </a:xfrm>
                      </wpg:grpSpPr>
                      <wps:wsp>
                        <wps:cNvPr id="81" name="Rectangle 81"/>
                        <wps:cNvSpPr/>
                        <wps:spPr>
                          <a:xfrm>
                            <a:off x="-19879" y="-49748"/>
                            <a:ext cx="5903844" cy="3081959"/>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reeform 19" descr="Decorative"/>
                        <wps:cNvSpPr>
                          <a:spLocks noChangeAspect="1"/>
                        </wps:cNvSpPr>
                        <wps:spPr bwMode="gray">
                          <a:xfrm>
                            <a:off x="49696" y="29817"/>
                            <a:ext cx="639730" cy="509309"/>
                          </a:xfrm>
                          <a:custGeom>
                            <a:avLst/>
                            <a:gdLst>
                              <a:gd name="T0" fmla="*/ 0 w 1425"/>
                              <a:gd name="T1" fmla="*/ 0 h 1154"/>
                              <a:gd name="T2" fmla="*/ 902 w 1425"/>
                              <a:gd name="T3" fmla="*/ 81 h 1154"/>
                              <a:gd name="T4" fmla="*/ 952 w 1425"/>
                              <a:gd name="T5" fmla="*/ 19 h 1154"/>
                              <a:gd name="T6" fmla="*/ 1072 w 1425"/>
                              <a:gd name="T7" fmla="*/ 19 h 1154"/>
                              <a:gd name="T8" fmla="*/ 1133 w 1425"/>
                              <a:gd name="T9" fmla="*/ 80 h 1154"/>
                              <a:gd name="T10" fmla="*/ 1234 w 1425"/>
                              <a:gd name="T11" fmla="*/ 80 h 1154"/>
                              <a:gd name="T12" fmla="*/ 1275 w 1425"/>
                              <a:gd name="T13" fmla="*/ 19 h 1154"/>
                              <a:gd name="T14" fmla="*/ 1416 w 1425"/>
                              <a:gd name="T15" fmla="*/ 19 h 1154"/>
                              <a:gd name="T16" fmla="*/ 1425 w 1425"/>
                              <a:gd name="T17" fmla="*/ 55 h 1154"/>
                              <a:gd name="T18" fmla="*/ 1323 w 1425"/>
                              <a:gd name="T19" fmla="*/ 414 h 1154"/>
                              <a:gd name="T20" fmla="*/ 1226 w 1425"/>
                              <a:gd name="T21" fmla="*/ 441 h 1154"/>
                              <a:gd name="T22" fmla="*/ 1220 w 1425"/>
                              <a:gd name="T23" fmla="*/ 511 h 1154"/>
                              <a:gd name="T24" fmla="*/ 1212 w 1425"/>
                              <a:gd name="T25" fmla="*/ 549 h 1154"/>
                              <a:gd name="T26" fmla="*/ 1066 w 1425"/>
                              <a:gd name="T27" fmla="*/ 771 h 1154"/>
                              <a:gd name="T28" fmla="*/ 928 w 1425"/>
                              <a:gd name="T29" fmla="*/ 890 h 1154"/>
                              <a:gd name="T30" fmla="*/ 870 w 1425"/>
                              <a:gd name="T31" fmla="*/ 1154 h 1154"/>
                              <a:gd name="T32" fmla="*/ 709 w 1425"/>
                              <a:gd name="T33" fmla="*/ 1072 h 1154"/>
                              <a:gd name="T34" fmla="*/ 668 w 1425"/>
                              <a:gd name="T35" fmla="*/ 951 h 1154"/>
                              <a:gd name="T36" fmla="*/ 405 w 1425"/>
                              <a:gd name="T37" fmla="*/ 890 h 1154"/>
                              <a:gd name="T38" fmla="*/ 325 w 1425"/>
                              <a:gd name="T39" fmla="*/ 911 h 1154"/>
                              <a:gd name="T40" fmla="*/ 223 w 1425"/>
                              <a:gd name="T41" fmla="*/ 809 h 1154"/>
                              <a:gd name="T42" fmla="*/ 223 w 1425"/>
                              <a:gd name="T43" fmla="*/ 728 h 1154"/>
                              <a:gd name="T44" fmla="*/ 164 w 1425"/>
                              <a:gd name="T45" fmla="*/ 750 h 1154"/>
                              <a:gd name="T46" fmla="*/ 103 w 1425"/>
                              <a:gd name="T47" fmla="*/ 646 h 1154"/>
                              <a:gd name="T48" fmla="*/ 0 w 1425"/>
                              <a:gd name="T49" fmla="*/ 646 h 1154"/>
                              <a:gd name="T50" fmla="*/ 0 w 1425"/>
                              <a:gd name="T51" fmla="*/ 0 h 1154"/>
                              <a:gd name="T52" fmla="*/ 0 w 1425"/>
                              <a:gd name="T53" fmla="*/ 0 h 11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425"/>
                              <a:gd name="T82" fmla="*/ 0 h 1154"/>
                              <a:gd name="T83" fmla="*/ 1425 w 1425"/>
                              <a:gd name="T84" fmla="*/ 1154 h 11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425" h="1154">
                                <a:moveTo>
                                  <a:pt x="0" y="0"/>
                                </a:moveTo>
                                <a:lnTo>
                                  <a:pt x="902" y="81"/>
                                </a:lnTo>
                                <a:lnTo>
                                  <a:pt x="952" y="19"/>
                                </a:lnTo>
                                <a:lnTo>
                                  <a:pt x="1072" y="19"/>
                                </a:lnTo>
                                <a:lnTo>
                                  <a:pt x="1133" y="80"/>
                                </a:lnTo>
                                <a:lnTo>
                                  <a:pt x="1234" y="80"/>
                                </a:lnTo>
                                <a:lnTo>
                                  <a:pt x="1275" y="19"/>
                                </a:lnTo>
                                <a:lnTo>
                                  <a:pt x="1416" y="19"/>
                                </a:lnTo>
                                <a:lnTo>
                                  <a:pt x="1425" y="55"/>
                                </a:lnTo>
                                <a:lnTo>
                                  <a:pt x="1323" y="414"/>
                                </a:lnTo>
                                <a:lnTo>
                                  <a:pt x="1226" y="441"/>
                                </a:lnTo>
                                <a:lnTo>
                                  <a:pt x="1220" y="511"/>
                                </a:lnTo>
                                <a:lnTo>
                                  <a:pt x="1212" y="549"/>
                                </a:lnTo>
                                <a:lnTo>
                                  <a:pt x="1066" y="771"/>
                                </a:lnTo>
                                <a:lnTo>
                                  <a:pt x="928" y="890"/>
                                </a:lnTo>
                                <a:lnTo>
                                  <a:pt x="870" y="1154"/>
                                </a:lnTo>
                                <a:lnTo>
                                  <a:pt x="709" y="1072"/>
                                </a:lnTo>
                                <a:lnTo>
                                  <a:pt x="668" y="951"/>
                                </a:lnTo>
                                <a:lnTo>
                                  <a:pt x="405" y="890"/>
                                </a:lnTo>
                                <a:lnTo>
                                  <a:pt x="325" y="911"/>
                                </a:lnTo>
                                <a:lnTo>
                                  <a:pt x="223" y="809"/>
                                </a:lnTo>
                                <a:lnTo>
                                  <a:pt x="223" y="728"/>
                                </a:lnTo>
                                <a:lnTo>
                                  <a:pt x="164" y="750"/>
                                </a:lnTo>
                                <a:lnTo>
                                  <a:pt x="103" y="646"/>
                                </a:lnTo>
                                <a:lnTo>
                                  <a:pt x="0" y="646"/>
                                </a:lnTo>
                                <a:lnTo>
                                  <a:pt x="0" y="0"/>
                                </a:lnTo>
                                <a:close/>
                              </a:path>
                            </a:pathLst>
                          </a:custGeom>
                          <a:solidFill>
                            <a:srgbClr val="005A70"/>
                          </a:solidFill>
                          <a:ln w="12700">
                            <a:solidFill>
                              <a:schemeClr val="bg1"/>
                            </a:solidFill>
                            <a:round/>
                            <a:headEnd/>
                            <a:tailEnd/>
                          </a:ln>
                        </wps:spPr>
                        <wps:bodyPr/>
                      </wps:wsp>
                    </wpg:wgp>
                  </a:graphicData>
                </a:graphic>
                <wp14:sizeRelV relativeFrom="margin">
                  <wp14:pctHeight>0</wp14:pctHeight>
                </wp14:sizeRelV>
              </wp:anchor>
            </w:drawing>
          </mc:Choice>
          <mc:Fallback>
            <w:pict>
              <v:group w14:anchorId="344B1085" id="Group 80" o:spid="_x0000_s1026" alt="Decorative" style="position:absolute;margin-left:-4.05pt;margin-top:66.85pt;width:464.85pt;height:242.55pt;z-index:251658307;mso-position-horizontal-relative:margin;mso-height-relative:margin" coordorigin="-198,-497" coordsize="59038,3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">
                <v:rect id="Rectangle 81" o:spid="_x0000_s1027" style="position:absolute;left:-198;top:-497;width:59037;height:30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" filled="f" strokecolor="#005a70" strokeweight="2pt"/>
                <v:shape id="Freeform 19" o:spid="_x0000_s1028" alt="Decorative" style="position:absolute;left:496;top:298;width:6398;height:5093;visibility:visible;mso-wrap-style:square;v-text-anchor:top" coordsize="1425,115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" path="m,l902,81,952,19r120,l1133,80r101,l1275,19r141,l1425,55,1323,414r-97,27l1220,511r-8,38l1066,771,928,890r-58,264l709,1072,668,951,405,890r-80,21l223,809r,-81l164,750,103,646,,646,,xe" fillcolor="#005a70" strokecolor="white [3212]" strokeweight="1pt">
                  <v:path arrowok="t" o:connecttype="custom" o:connectlocs="0,0;404938,35749;427385,8386;481257,8386;508641,35307;553984,35307;572390,8386;635690,8386;639730,24274;593939,182716;550392,194632;547699,225526;544107,242297;478563,340275;416610,392795;390572,509309;318294,473119;299887,419717;181818,392795;145903,402063;100112,357046;100112,321297;73625,331007;46240,285107;0,285107;0,0;0,0" o:connectangles="0,0,0,0,0,0,0,0,0,0,0,0,0,0,0,0,0,0,0,0,0,0,0,0,0,0,0" textboxrect="0,0,1425,1154"/>
                  <o:lock v:ext="edit" aspectratio="t"/>
                </v:shape>
                <w10:wrap anchorx="margin"/>
              </v:group>
            </w:pict>
          </mc:Fallback>
        </mc:AlternateContent>
      </w:r>
      <w:r w:rsidR="00597296" w:rsidRPr="00B50802">
        <w:t>A lack of trust in services, accessibility and/or experiences of cultural or other safety issues can result in delayed service presentations. For those who do not present to services, targeted and assertive outreach programs may be required to facilitate access to support and transition out of chronic homelessness.</w:t>
      </w:r>
      <w:r w:rsidRPr="00350FD1">
        <w:rPr>
          <w:rFonts w:eastAsiaTheme="minorEastAsia"/>
          <w:noProof/>
          <w:lang w:eastAsia="en-AU"/>
        </w:rPr>
        <w:t xml:space="preserve"> </w:t>
      </w:r>
    </w:p>
    <w:p w14:paraId="2A38C7AE" w14:textId="2BDA1D02" w:rsidR="00350FD1" w:rsidRPr="00B75F7D" w:rsidRDefault="00350FD1" w:rsidP="00350FD1">
      <w:pPr>
        <w:jc w:val="right"/>
        <w:rPr>
          <w:b/>
          <w:color w:val="005A70"/>
          <w:szCs w:val="24"/>
          <w:lang w:eastAsia="en-AU"/>
        </w:rPr>
      </w:pPr>
    </w:p>
    <w:p w14:paraId="0598118F" w14:textId="7FB3173A" w:rsidR="00350FD1" w:rsidRDefault="00350FD1" w:rsidP="00350FD1">
      <w:pPr>
        <w:jc w:val="right"/>
      </w:pPr>
      <w:r w:rsidRPr="00B75F7D">
        <w:rPr>
          <w:b/>
          <w:color w:val="005A70"/>
          <w:szCs w:val="24"/>
          <w:lang w:eastAsia="en-AU"/>
        </w:rPr>
        <w:t>Case Study – New South Wales Mental Health In-Reach Service</w:t>
      </w:r>
    </w:p>
    <w:p w14:paraId="2AC78020" w14:textId="6AE27D6E" w:rsidR="00350FD1" w:rsidRPr="00B75F7D" w:rsidRDefault="00350FD1" w:rsidP="00350FD1">
      <w:pPr>
        <w:pStyle w:val="Bullets"/>
        <w:ind w:left="0" w:firstLine="0"/>
        <w:rPr>
          <w:b/>
          <w:color w:val="005A70"/>
          <w:szCs w:val="24"/>
          <w:lang w:eastAsia="en-AU"/>
        </w:rPr>
      </w:pPr>
      <w:r w:rsidRPr="00B75F7D">
        <w:t>The Mental Health In-Reach Service is a 2-year, $1.1 million investment to support people rough sleeping or at risk of rough sleeping, who are in-patients in mental health units in</w:t>
      </w:r>
      <w:r w:rsidR="001B1C96">
        <w:t> </w:t>
      </w:r>
      <w:r w:rsidRPr="00B75F7D">
        <w:t>Sydney, South Eastern Sydney and the Central Coast Local Health Districts (LHDs). The service commenced in July 2022, providing specialist case coordination to support people into long-term accommodation with wrap-around support to stay housed.</w:t>
      </w:r>
    </w:p>
    <w:p w14:paraId="428B0EB0" w14:textId="541A6EF5" w:rsidR="00350FD1" w:rsidRPr="00A6408D" w:rsidRDefault="00350FD1" w:rsidP="00350FD1">
      <w:pPr>
        <w:pStyle w:val="Bullets"/>
        <w:spacing w:after="240"/>
        <w:ind w:left="0" w:firstLine="0"/>
      </w:pPr>
      <w:r w:rsidRPr="00B75F7D">
        <w:t>Based on assertive outreach models (an evidence-based practice to combat street homelessness) and housing first principles, the program provides assertive ‘in-reach’ to</w:t>
      </w:r>
      <w:r w:rsidR="001B1C96">
        <w:t> </w:t>
      </w:r>
      <w:r w:rsidRPr="00B75F7D">
        <w:t>people while they are in mental health units. The model is a partnership between non</w:t>
      </w:r>
      <w:r w:rsidR="001B1C96">
        <w:noBreakHyphen/>
      </w:r>
      <w:r w:rsidRPr="00B75F7D">
        <w:t>government organisations delivering caseworker supports for up to 12 months, LHDs delivering clinical supports and the New South Wales Department of Communities and Justice providing housing support. The program seeks to break cycles of homelessness and prevent discharges from mental health facilities into rough sleeping.</w:t>
      </w:r>
    </w:p>
    <w:p w14:paraId="10C31E56" w14:textId="77777777" w:rsidR="003C3F46" w:rsidRPr="00A6408D" w:rsidRDefault="003C3F46" w:rsidP="003C3F46"/>
    <w:p w14:paraId="286F8FFA" w14:textId="39C3F9A2" w:rsidR="003C3F46" w:rsidRDefault="003C3F46" w:rsidP="003C3F46">
      <w:r w:rsidRPr="00A6408D">
        <w:br w:type="page"/>
      </w:r>
    </w:p>
    <w:p w14:paraId="5D57A3AE" w14:textId="61E18E12" w:rsidR="0007378B" w:rsidRPr="00B50802" w:rsidRDefault="00350FD1" w:rsidP="00350FD1">
      <w:pPr>
        <w:jc w:val="right"/>
        <w:rPr>
          <w:rFonts w:cs="Arial"/>
          <w:color w:val="005A70"/>
        </w:rPr>
      </w:pPr>
      <w:r w:rsidRPr="00B50802">
        <w:rPr>
          <w:noProof/>
          <w:lang w:eastAsia="en-AU"/>
        </w:rPr>
        <w:lastRenderedPageBreak/>
        <mc:AlternateContent>
          <mc:Choice Requires="wpg">
            <w:drawing>
              <wp:anchor distT="0" distB="0" distL="114300" distR="114300" simplePos="0" relativeHeight="251658308" behindDoc="0" locked="0" layoutInCell="1" allowOverlap="1" wp14:anchorId="783724B3" wp14:editId="3926ECA7">
                <wp:simplePos x="0" y="0"/>
                <wp:positionH relativeFrom="margin">
                  <wp:posOffset>-109001</wp:posOffset>
                </wp:positionH>
                <wp:positionV relativeFrom="paragraph">
                  <wp:posOffset>-96890</wp:posOffset>
                </wp:positionV>
                <wp:extent cx="6041932" cy="3185261"/>
                <wp:effectExtent l="0" t="0" r="16510" b="15240"/>
                <wp:wrapNone/>
                <wp:docPr id="83" name="Group 83" descr="Decorative"/>
                <wp:cNvGraphicFramePr/>
                <a:graphic xmlns:a="http://schemas.openxmlformats.org/drawingml/2006/main">
                  <a:graphicData uri="http://schemas.microsoft.com/office/word/2010/wordprocessingGroup">
                    <wpg:wgp>
                      <wpg:cNvGrpSpPr/>
                      <wpg:grpSpPr>
                        <a:xfrm>
                          <a:off x="0" y="0"/>
                          <a:ext cx="6041932" cy="3185261"/>
                          <a:chOff x="-109005" y="0"/>
                          <a:chExt cx="6042157" cy="3548227"/>
                        </a:xfrm>
                      </wpg:grpSpPr>
                      <wpg:grpSp>
                        <wpg:cNvPr id="84" name="Group 84" descr="The Gold Coast Homelessness Action Plan 2024 outlines the City's roles, responsibilities, and strategic responses to homelessness. The City of Gold Coast Council recognise that although homelessness policy is led by other levels of governments, there is also a role to play at the local level. The plan has been developed through extensive consultation with the Gold Coast Homelessness Network, local community organisations and the Queensland Government. &#10;Working with key partners, the City’s goal is to ensure that any experience of homelessness on the Gold Coast is rare, brief and non-recurring. It identifies four strategic priorities: safe public spaces, strong support networks, reducing homelessness, and diverse housing. The Action Plan contains 30 actions within the City’s remit as a local government to respond to homelessness and to support and build the capacity of local homelessness and welfare organisations." title="Case Study – Gold Coast Homelessness Action Plan  "/>
                        <wpg:cNvGrpSpPr/>
                        <wpg:grpSpPr>
                          <a:xfrm>
                            <a:off x="218661" y="29817"/>
                            <a:ext cx="897890" cy="608330"/>
                            <a:chOff x="77190" y="41563"/>
                            <a:chExt cx="897890" cy="608503"/>
                          </a:xfrm>
                        </wpg:grpSpPr>
                        <wps:wsp>
                          <wps:cNvPr id="85" name="Freeform 85" descr="Decorative"/>
                          <wps:cNvSpPr>
                            <a:spLocks noEditPoints="1"/>
                          </wps:cNvSpPr>
                          <wps:spPr bwMode="auto">
                            <a:xfrm>
                              <a:off x="409699" y="41563"/>
                              <a:ext cx="259715" cy="368935"/>
                            </a:xfrm>
                            <a:custGeom>
                              <a:avLst/>
                              <a:gdLst>
                                <a:gd name="T0" fmla="*/ 55 w 110"/>
                                <a:gd name="T1" fmla="*/ 76 h 162"/>
                                <a:gd name="T2" fmla="*/ 34 w 110"/>
                                <a:gd name="T3" fmla="*/ 55 h 162"/>
                                <a:gd name="T4" fmla="*/ 55 w 110"/>
                                <a:gd name="T5" fmla="*/ 33 h 162"/>
                                <a:gd name="T6" fmla="*/ 76 w 110"/>
                                <a:gd name="T7" fmla="*/ 55 h 162"/>
                                <a:gd name="T8" fmla="*/ 55 w 110"/>
                                <a:gd name="T9" fmla="*/ 76 h 162"/>
                                <a:gd name="T10" fmla="*/ 110 w 110"/>
                                <a:gd name="T11" fmla="*/ 55 h 162"/>
                                <a:gd name="T12" fmla="*/ 55 w 110"/>
                                <a:gd name="T13" fmla="*/ 0 h 162"/>
                                <a:gd name="T14" fmla="*/ 0 w 110"/>
                                <a:gd name="T15" fmla="*/ 55 h 162"/>
                                <a:gd name="T16" fmla="*/ 5 w 110"/>
                                <a:gd name="T17" fmla="*/ 77 h 162"/>
                                <a:gd name="T18" fmla="*/ 5 w 110"/>
                                <a:gd name="T19" fmla="*/ 77 h 162"/>
                                <a:gd name="T20" fmla="*/ 6 w 110"/>
                                <a:gd name="T21" fmla="*/ 79 h 162"/>
                                <a:gd name="T22" fmla="*/ 10 w 110"/>
                                <a:gd name="T23" fmla="*/ 86 h 162"/>
                                <a:gd name="T24" fmla="*/ 53 w 110"/>
                                <a:gd name="T25" fmla="*/ 162 h 162"/>
                                <a:gd name="T26" fmla="*/ 98 w 110"/>
                                <a:gd name="T27" fmla="*/ 88 h 162"/>
                                <a:gd name="T28" fmla="*/ 105 w 110"/>
                                <a:gd name="T29" fmla="*/ 78 h 162"/>
                                <a:gd name="T30" fmla="*/ 105 w 110"/>
                                <a:gd name="T31" fmla="*/ 77 h 162"/>
                                <a:gd name="T32" fmla="*/ 105 w 110"/>
                                <a:gd name="T33" fmla="*/ 77 h 162"/>
                                <a:gd name="T34" fmla="*/ 110 w 110"/>
                                <a:gd name="T35" fmla="*/ 5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0" h="162">
                                  <a:moveTo>
                                    <a:pt x="55" y="76"/>
                                  </a:moveTo>
                                  <a:cubicBezTo>
                                    <a:pt x="43" y="76"/>
                                    <a:pt x="34" y="67"/>
                                    <a:pt x="34" y="55"/>
                                  </a:cubicBezTo>
                                  <a:cubicBezTo>
                                    <a:pt x="34" y="43"/>
                                    <a:pt x="43" y="33"/>
                                    <a:pt x="55" y="33"/>
                                  </a:cubicBezTo>
                                  <a:cubicBezTo>
                                    <a:pt x="67" y="33"/>
                                    <a:pt x="76" y="43"/>
                                    <a:pt x="76" y="55"/>
                                  </a:cubicBezTo>
                                  <a:cubicBezTo>
                                    <a:pt x="76" y="67"/>
                                    <a:pt x="67" y="76"/>
                                    <a:pt x="55" y="76"/>
                                  </a:cubicBezTo>
                                  <a:moveTo>
                                    <a:pt x="110" y="55"/>
                                  </a:moveTo>
                                  <a:cubicBezTo>
                                    <a:pt x="110" y="25"/>
                                    <a:pt x="85" y="0"/>
                                    <a:pt x="55" y="0"/>
                                  </a:cubicBezTo>
                                  <a:cubicBezTo>
                                    <a:pt x="25" y="0"/>
                                    <a:pt x="0" y="25"/>
                                    <a:pt x="0" y="55"/>
                                  </a:cubicBezTo>
                                  <a:cubicBezTo>
                                    <a:pt x="0" y="63"/>
                                    <a:pt x="2" y="70"/>
                                    <a:pt x="5" y="77"/>
                                  </a:cubicBezTo>
                                  <a:cubicBezTo>
                                    <a:pt x="5" y="77"/>
                                    <a:pt x="5" y="77"/>
                                    <a:pt x="5" y="77"/>
                                  </a:cubicBezTo>
                                  <a:cubicBezTo>
                                    <a:pt x="6" y="79"/>
                                    <a:pt x="6" y="79"/>
                                    <a:pt x="6" y="79"/>
                                  </a:cubicBezTo>
                                  <a:cubicBezTo>
                                    <a:pt x="7" y="81"/>
                                    <a:pt x="8" y="84"/>
                                    <a:pt x="10" y="86"/>
                                  </a:cubicBezTo>
                                  <a:cubicBezTo>
                                    <a:pt x="53" y="162"/>
                                    <a:pt x="53" y="162"/>
                                    <a:pt x="53" y="162"/>
                                  </a:cubicBezTo>
                                  <a:cubicBezTo>
                                    <a:pt x="98" y="88"/>
                                    <a:pt x="98" y="88"/>
                                    <a:pt x="98" y="88"/>
                                  </a:cubicBezTo>
                                  <a:cubicBezTo>
                                    <a:pt x="101" y="85"/>
                                    <a:pt x="103" y="82"/>
                                    <a:pt x="105" y="78"/>
                                  </a:cubicBezTo>
                                  <a:cubicBezTo>
                                    <a:pt x="105" y="77"/>
                                    <a:pt x="105" y="77"/>
                                    <a:pt x="105" y="77"/>
                                  </a:cubicBezTo>
                                  <a:cubicBezTo>
                                    <a:pt x="105" y="77"/>
                                    <a:pt x="105" y="77"/>
                                    <a:pt x="105" y="77"/>
                                  </a:cubicBezTo>
                                  <a:cubicBezTo>
                                    <a:pt x="108" y="70"/>
                                    <a:pt x="110" y="63"/>
                                    <a:pt x="110" y="55"/>
                                  </a:cubicBezTo>
                                </a:path>
                              </a:pathLst>
                            </a:custGeom>
                            <a:solidFill>
                              <a:srgbClr val="005A70"/>
                            </a:solidFill>
                            <a:ln>
                              <a:noFill/>
                            </a:ln>
                            <a:extLst/>
                          </wps:spPr>
                          <wps:bodyPr vert="horz" wrap="square" lIns="91440" tIns="45720" rIns="91440" bIns="45720" numCol="1" anchor="t" anchorCtr="0" compatLnSpc="1">
                            <a:prstTxWarp prst="textNoShape">
                              <a:avLst/>
                            </a:prstTxWarp>
                          </wps:bodyPr>
                        </wps:wsp>
                        <wps:wsp>
                          <wps:cNvPr id="86" name="Freeform 86" descr="Decorative"/>
                          <wps:cNvSpPr>
                            <a:spLocks noEditPoints="1"/>
                          </wps:cNvSpPr>
                          <wps:spPr bwMode="auto">
                            <a:xfrm>
                              <a:off x="77190" y="249381"/>
                              <a:ext cx="897890" cy="400685"/>
                            </a:xfrm>
                            <a:custGeom>
                              <a:avLst/>
                              <a:gdLst>
                                <a:gd name="T0" fmla="*/ 51 w 566"/>
                                <a:gd name="T1" fmla="*/ 225 h 263"/>
                                <a:gd name="T2" fmla="*/ 517 w 566"/>
                                <a:gd name="T3" fmla="*/ 225 h 263"/>
                                <a:gd name="T4" fmla="*/ 463 w 566"/>
                                <a:gd name="T5" fmla="*/ 38 h 263"/>
                                <a:gd name="T6" fmla="*/ 106 w 566"/>
                                <a:gd name="T7" fmla="*/ 38 h 263"/>
                                <a:gd name="T8" fmla="*/ 51 w 566"/>
                                <a:gd name="T9" fmla="*/ 225 h 263"/>
                                <a:gd name="T10" fmla="*/ 566 w 566"/>
                                <a:gd name="T11" fmla="*/ 263 h 263"/>
                                <a:gd name="T12" fmla="*/ 0 w 566"/>
                                <a:gd name="T13" fmla="*/ 263 h 263"/>
                                <a:gd name="T14" fmla="*/ 77 w 566"/>
                                <a:gd name="T15" fmla="*/ 0 h 263"/>
                                <a:gd name="T16" fmla="*/ 491 w 566"/>
                                <a:gd name="T17" fmla="*/ 0 h 263"/>
                                <a:gd name="T18" fmla="*/ 566 w 566"/>
                                <a:gd name="T19" fmla="*/ 26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6" h="263">
                                  <a:moveTo>
                                    <a:pt x="51" y="225"/>
                                  </a:moveTo>
                                  <a:lnTo>
                                    <a:pt x="517" y="225"/>
                                  </a:lnTo>
                                  <a:lnTo>
                                    <a:pt x="463" y="38"/>
                                  </a:lnTo>
                                  <a:lnTo>
                                    <a:pt x="106" y="38"/>
                                  </a:lnTo>
                                  <a:lnTo>
                                    <a:pt x="51" y="225"/>
                                  </a:lnTo>
                                  <a:close/>
                                  <a:moveTo>
                                    <a:pt x="566" y="263"/>
                                  </a:moveTo>
                                  <a:lnTo>
                                    <a:pt x="0" y="263"/>
                                  </a:lnTo>
                                  <a:lnTo>
                                    <a:pt x="77" y="0"/>
                                  </a:lnTo>
                                  <a:lnTo>
                                    <a:pt x="491" y="0"/>
                                  </a:lnTo>
                                  <a:lnTo>
                                    <a:pt x="566" y="263"/>
                                  </a:lnTo>
                                  <a:close/>
                                </a:path>
                              </a:pathLst>
                            </a:custGeom>
                            <a:solidFill>
                              <a:srgbClr val="005A70"/>
                            </a:solidFill>
                            <a:ln>
                              <a:noFill/>
                            </a:ln>
                            <a:extLst/>
                          </wps:spPr>
                          <wps:bodyPr vert="horz" wrap="square" lIns="91440" tIns="45720" rIns="91440" bIns="45720" numCol="1" anchor="t" anchorCtr="0" compatLnSpc="1">
                            <a:prstTxWarp prst="textNoShape">
                              <a:avLst/>
                            </a:prstTxWarp>
                          </wps:bodyPr>
                        </wps:wsp>
                        <wps:wsp>
                          <wps:cNvPr id="87" name="Freeform 87" descr="Decorative"/>
                          <wps:cNvSpPr>
                            <a:spLocks/>
                          </wps:cNvSpPr>
                          <wps:spPr bwMode="auto">
                            <a:xfrm>
                              <a:off x="261257" y="463137"/>
                              <a:ext cx="50165" cy="40640"/>
                            </a:xfrm>
                            <a:custGeom>
                              <a:avLst/>
                              <a:gdLst>
                                <a:gd name="T0" fmla="*/ 15 w 22"/>
                                <a:gd name="T1" fmla="*/ 18 h 18"/>
                                <a:gd name="T2" fmla="*/ 13 w 22"/>
                                <a:gd name="T3" fmla="*/ 17 h 18"/>
                                <a:gd name="T4" fmla="*/ 4 w 22"/>
                                <a:gd name="T5" fmla="*/ 13 h 18"/>
                                <a:gd name="T6" fmla="*/ 1 w 22"/>
                                <a:gd name="T7" fmla="*/ 4 h 18"/>
                                <a:gd name="T8" fmla="*/ 10 w 22"/>
                                <a:gd name="T9" fmla="*/ 2 h 18"/>
                                <a:gd name="T10" fmla="*/ 18 w 22"/>
                                <a:gd name="T11" fmla="*/ 6 h 18"/>
                                <a:gd name="T12" fmla="*/ 21 w 22"/>
                                <a:gd name="T13" fmla="*/ 14 h 18"/>
                                <a:gd name="T14" fmla="*/ 15 w 22"/>
                                <a:gd name="T15" fmla="*/ 18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18">
                                  <a:moveTo>
                                    <a:pt x="15" y="18"/>
                                  </a:moveTo>
                                  <a:cubicBezTo>
                                    <a:pt x="14" y="18"/>
                                    <a:pt x="13" y="18"/>
                                    <a:pt x="13" y="17"/>
                                  </a:cubicBezTo>
                                  <a:cubicBezTo>
                                    <a:pt x="7" y="15"/>
                                    <a:pt x="4" y="13"/>
                                    <a:pt x="4" y="13"/>
                                  </a:cubicBezTo>
                                  <a:cubicBezTo>
                                    <a:pt x="1" y="11"/>
                                    <a:pt x="0" y="7"/>
                                    <a:pt x="1" y="4"/>
                                  </a:cubicBezTo>
                                  <a:cubicBezTo>
                                    <a:pt x="3" y="1"/>
                                    <a:pt x="7" y="0"/>
                                    <a:pt x="10" y="2"/>
                                  </a:cubicBezTo>
                                  <a:cubicBezTo>
                                    <a:pt x="10" y="2"/>
                                    <a:pt x="13" y="4"/>
                                    <a:pt x="18" y="6"/>
                                  </a:cubicBezTo>
                                  <a:cubicBezTo>
                                    <a:pt x="21" y="7"/>
                                    <a:pt x="22" y="11"/>
                                    <a:pt x="21" y="14"/>
                                  </a:cubicBezTo>
                                  <a:cubicBezTo>
                                    <a:pt x="20" y="16"/>
                                    <a:pt x="17" y="18"/>
                                    <a:pt x="15" y="18"/>
                                  </a:cubicBezTo>
                                </a:path>
                              </a:pathLst>
                            </a:custGeom>
                            <a:solidFill>
                              <a:srgbClr val="005A70"/>
                            </a:solidFill>
                            <a:ln>
                              <a:noFill/>
                            </a:ln>
                            <a:extLst/>
                          </wps:spPr>
                          <wps:bodyPr vert="horz" wrap="square" lIns="91440" tIns="45720" rIns="91440" bIns="45720" numCol="1" anchor="t" anchorCtr="0" compatLnSpc="1">
                            <a:prstTxWarp prst="textNoShape">
                              <a:avLst/>
                            </a:prstTxWarp>
                          </wps:bodyPr>
                        </wps:wsp>
                        <wps:wsp>
                          <wps:cNvPr id="88" name="Freeform 88" descr="Decorative"/>
                          <wps:cNvSpPr>
                            <a:spLocks noEditPoints="1"/>
                          </wps:cNvSpPr>
                          <wps:spPr bwMode="auto">
                            <a:xfrm>
                              <a:off x="320634" y="463137"/>
                              <a:ext cx="163195" cy="55880"/>
                            </a:xfrm>
                            <a:custGeom>
                              <a:avLst/>
                              <a:gdLst>
                                <a:gd name="T0" fmla="*/ 45 w 69"/>
                                <a:gd name="T1" fmla="*/ 21 h 25"/>
                                <a:gd name="T2" fmla="*/ 39 w 69"/>
                                <a:gd name="T3" fmla="*/ 17 h 25"/>
                                <a:gd name="T4" fmla="*/ 43 w 69"/>
                                <a:gd name="T5" fmla="*/ 9 h 25"/>
                                <a:gd name="T6" fmla="*/ 50 w 69"/>
                                <a:gd name="T7" fmla="*/ 6 h 25"/>
                                <a:gd name="T8" fmla="*/ 59 w 69"/>
                                <a:gd name="T9" fmla="*/ 2 h 25"/>
                                <a:gd name="T10" fmla="*/ 67 w 69"/>
                                <a:gd name="T11" fmla="*/ 5 h 25"/>
                                <a:gd name="T12" fmla="*/ 64 w 69"/>
                                <a:gd name="T13" fmla="*/ 13 h 25"/>
                                <a:gd name="T14" fmla="*/ 55 w 69"/>
                                <a:gd name="T15" fmla="*/ 17 h 25"/>
                                <a:gd name="T16" fmla="*/ 46 w 69"/>
                                <a:gd name="T17" fmla="*/ 21 h 25"/>
                                <a:gd name="T18" fmla="*/ 45 w 69"/>
                                <a:gd name="T19" fmla="*/ 21 h 25"/>
                                <a:gd name="T20" fmla="*/ 25 w 69"/>
                                <a:gd name="T21" fmla="*/ 25 h 25"/>
                                <a:gd name="T22" fmla="*/ 6 w 69"/>
                                <a:gd name="T23" fmla="*/ 22 h 25"/>
                                <a:gd name="T24" fmla="*/ 1 w 69"/>
                                <a:gd name="T25" fmla="*/ 15 h 25"/>
                                <a:gd name="T26" fmla="*/ 8 w 69"/>
                                <a:gd name="T27" fmla="*/ 10 h 25"/>
                                <a:gd name="T28" fmla="*/ 25 w 69"/>
                                <a:gd name="T29" fmla="*/ 12 h 25"/>
                                <a:gd name="T30" fmla="*/ 26 w 69"/>
                                <a:gd name="T31" fmla="*/ 12 h 25"/>
                                <a:gd name="T32" fmla="*/ 32 w 69"/>
                                <a:gd name="T33" fmla="*/ 18 h 25"/>
                                <a:gd name="T34" fmla="*/ 26 w 69"/>
                                <a:gd name="T35" fmla="*/ 25 h 25"/>
                                <a:gd name="T36" fmla="*/ 25 w 69"/>
                                <a:gd name="T3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25">
                                  <a:moveTo>
                                    <a:pt x="45" y="21"/>
                                  </a:moveTo>
                                  <a:cubicBezTo>
                                    <a:pt x="42" y="21"/>
                                    <a:pt x="39" y="20"/>
                                    <a:pt x="39" y="17"/>
                                  </a:cubicBezTo>
                                  <a:cubicBezTo>
                                    <a:pt x="38" y="14"/>
                                    <a:pt x="39" y="10"/>
                                    <a:pt x="43" y="9"/>
                                  </a:cubicBezTo>
                                  <a:cubicBezTo>
                                    <a:pt x="45" y="8"/>
                                    <a:pt x="47" y="7"/>
                                    <a:pt x="50" y="6"/>
                                  </a:cubicBezTo>
                                  <a:cubicBezTo>
                                    <a:pt x="53" y="5"/>
                                    <a:pt x="56" y="3"/>
                                    <a:pt x="59" y="2"/>
                                  </a:cubicBezTo>
                                  <a:cubicBezTo>
                                    <a:pt x="62" y="0"/>
                                    <a:pt x="66" y="2"/>
                                    <a:pt x="67" y="5"/>
                                  </a:cubicBezTo>
                                  <a:cubicBezTo>
                                    <a:pt x="69" y="8"/>
                                    <a:pt x="67" y="11"/>
                                    <a:pt x="64" y="13"/>
                                  </a:cubicBezTo>
                                  <a:cubicBezTo>
                                    <a:pt x="61" y="14"/>
                                    <a:pt x="58" y="16"/>
                                    <a:pt x="55" y="17"/>
                                  </a:cubicBezTo>
                                  <a:cubicBezTo>
                                    <a:pt x="53" y="19"/>
                                    <a:pt x="50" y="20"/>
                                    <a:pt x="46" y="21"/>
                                  </a:cubicBezTo>
                                  <a:cubicBezTo>
                                    <a:pt x="46" y="21"/>
                                    <a:pt x="45" y="21"/>
                                    <a:pt x="45" y="21"/>
                                  </a:cubicBezTo>
                                  <a:moveTo>
                                    <a:pt x="25" y="25"/>
                                  </a:moveTo>
                                  <a:cubicBezTo>
                                    <a:pt x="19" y="25"/>
                                    <a:pt x="12" y="24"/>
                                    <a:pt x="6" y="22"/>
                                  </a:cubicBezTo>
                                  <a:cubicBezTo>
                                    <a:pt x="2" y="22"/>
                                    <a:pt x="0" y="18"/>
                                    <a:pt x="1" y="15"/>
                                  </a:cubicBezTo>
                                  <a:cubicBezTo>
                                    <a:pt x="2" y="12"/>
                                    <a:pt x="5" y="10"/>
                                    <a:pt x="8" y="10"/>
                                  </a:cubicBezTo>
                                  <a:cubicBezTo>
                                    <a:pt x="14" y="11"/>
                                    <a:pt x="19" y="12"/>
                                    <a:pt x="25" y="12"/>
                                  </a:cubicBezTo>
                                  <a:cubicBezTo>
                                    <a:pt x="26" y="12"/>
                                    <a:pt x="26" y="12"/>
                                    <a:pt x="26" y="12"/>
                                  </a:cubicBezTo>
                                  <a:cubicBezTo>
                                    <a:pt x="29" y="12"/>
                                    <a:pt x="32" y="15"/>
                                    <a:pt x="32" y="18"/>
                                  </a:cubicBezTo>
                                  <a:cubicBezTo>
                                    <a:pt x="32" y="22"/>
                                    <a:pt x="29" y="24"/>
                                    <a:pt x="26" y="25"/>
                                  </a:cubicBezTo>
                                  <a:lnTo>
                                    <a:pt x="25" y="25"/>
                                  </a:lnTo>
                                  <a:close/>
                                </a:path>
                              </a:pathLst>
                            </a:custGeom>
                            <a:solidFill>
                              <a:srgbClr val="005A70"/>
                            </a:solidFill>
                            <a:ln>
                              <a:noFill/>
                            </a:ln>
                            <a:extLst/>
                          </wps:spPr>
                          <wps:bodyPr vert="horz" wrap="square" lIns="91440" tIns="45720" rIns="91440" bIns="45720" numCol="1" anchor="t" anchorCtr="0" compatLnSpc="1">
                            <a:prstTxWarp prst="textNoShape">
                              <a:avLst/>
                            </a:prstTxWarp>
                          </wps:bodyPr>
                        </wps:wsp>
                        <wps:wsp>
                          <wps:cNvPr id="89" name="Freeform 89" descr="Decorative"/>
                          <wps:cNvSpPr>
                            <a:spLocks noEditPoints="1"/>
                          </wps:cNvSpPr>
                          <wps:spPr bwMode="auto">
                            <a:xfrm>
                              <a:off x="492826" y="421574"/>
                              <a:ext cx="252095" cy="59055"/>
                            </a:xfrm>
                            <a:custGeom>
                              <a:avLst/>
                              <a:gdLst>
                                <a:gd name="T0" fmla="*/ 44 w 107"/>
                                <a:gd name="T1" fmla="*/ 15 h 26"/>
                                <a:gd name="T2" fmla="*/ 37 w 107"/>
                                <a:gd name="T3" fmla="*/ 10 h 26"/>
                                <a:gd name="T4" fmla="*/ 42 w 107"/>
                                <a:gd name="T5" fmla="*/ 3 h 26"/>
                                <a:gd name="T6" fmla="*/ 62 w 107"/>
                                <a:gd name="T7" fmla="*/ 0 h 26"/>
                                <a:gd name="T8" fmla="*/ 69 w 107"/>
                                <a:gd name="T9" fmla="*/ 6 h 26"/>
                                <a:gd name="T10" fmla="*/ 63 w 107"/>
                                <a:gd name="T11" fmla="*/ 13 h 26"/>
                                <a:gd name="T12" fmla="*/ 45 w 107"/>
                                <a:gd name="T13" fmla="*/ 15 h 26"/>
                                <a:gd name="T14" fmla="*/ 44 w 107"/>
                                <a:gd name="T15" fmla="*/ 15 h 26"/>
                                <a:gd name="T16" fmla="*/ 100 w 107"/>
                                <a:gd name="T17" fmla="*/ 17 h 26"/>
                                <a:gd name="T18" fmla="*/ 97 w 107"/>
                                <a:gd name="T19" fmla="*/ 17 h 26"/>
                                <a:gd name="T20" fmla="*/ 81 w 107"/>
                                <a:gd name="T21" fmla="*/ 13 h 26"/>
                                <a:gd name="T22" fmla="*/ 75 w 107"/>
                                <a:gd name="T23" fmla="*/ 6 h 26"/>
                                <a:gd name="T24" fmla="*/ 82 w 107"/>
                                <a:gd name="T25" fmla="*/ 0 h 26"/>
                                <a:gd name="T26" fmla="*/ 102 w 107"/>
                                <a:gd name="T27" fmla="*/ 5 h 26"/>
                                <a:gd name="T28" fmla="*/ 105 w 107"/>
                                <a:gd name="T29" fmla="*/ 13 h 26"/>
                                <a:gd name="T30" fmla="*/ 100 w 107"/>
                                <a:gd name="T31" fmla="*/ 17 h 26"/>
                                <a:gd name="T32" fmla="*/ 7 w 107"/>
                                <a:gd name="T33" fmla="*/ 26 h 26"/>
                                <a:gd name="T34" fmla="*/ 1 w 107"/>
                                <a:gd name="T35" fmla="*/ 22 h 26"/>
                                <a:gd name="T36" fmla="*/ 5 w 107"/>
                                <a:gd name="T37" fmla="*/ 14 h 26"/>
                                <a:gd name="T38" fmla="*/ 23 w 107"/>
                                <a:gd name="T39" fmla="*/ 8 h 26"/>
                                <a:gd name="T40" fmla="*/ 31 w 107"/>
                                <a:gd name="T41" fmla="*/ 12 h 26"/>
                                <a:gd name="T42" fmla="*/ 27 w 107"/>
                                <a:gd name="T43" fmla="*/ 20 h 26"/>
                                <a:gd name="T44" fmla="*/ 9 w 107"/>
                                <a:gd name="T45" fmla="*/ 26 h 26"/>
                                <a:gd name="T46" fmla="*/ 7 w 107"/>
                                <a:gd name="T4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7" h="26">
                                  <a:moveTo>
                                    <a:pt x="44" y="15"/>
                                  </a:moveTo>
                                  <a:cubicBezTo>
                                    <a:pt x="41" y="15"/>
                                    <a:pt x="38" y="13"/>
                                    <a:pt x="37" y="10"/>
                                  </a:cubicBezTo>
                                  <a:cubicBezTo>
                                    <a:pt x="37" y="7"/>
                                    <a:pt x="39" y="4"/>
                                    <a:pt x="42" y="3"/>
                                  </a:cubicBezTo>
                                  <a:cubicBezTo>
                                    <a:pt x="49" y="2"/>
                                    <a:pt x="56" y="1"/>
                                    <a:pt x="62" y="0"/>
                                  </a:cubicBezTo>
                                  <a:cubicBezTo>
                                    <a:pt x="65" y="0"/>
                                    <a:pt x="68" y="3"/>
                                    <a:pt x="69" y="6"/>
                                  </a:cubicBezTo>
                                  <a:cubicBezTo>
                                    <a:pt x="69" y="9"/>
                                    <a:pt x="66" y="12"/>
                                    <a:pt x="63" y="13"/>
                                  </a:cubicBezTo>
                                  <a:cubicBezTo>
                                    <a:pt x="57" y="13"/>
                                    <a:pt x="51" y="14"/>
                                    <a:pt x="45" y="15"/>
                                  </a:cubicBezTo>
                                  <a:lnTo>
                                    <a:pt x="44" y="15"/>
                                  </a:lnTo>
                                  <a:close/>
                                  <a:moveTo>
                                    <a:pt x="100" y="17"/>
                                  </a:moveTo>
                                  <a:cubicBezTo>
                                    <a:pt x="99" y="17"/>
                                    <a:pt x="98" y="17"/>
                                    <a:pt x="97" y="17"/>
                                  </a:cubicBezTo>
                                  <a:cubicBezTo>
                                    <a:pt x="92" y="15"/>
                                    <a:pt x="87" y="13"/>
                                    <a:pt x="81" y="13"/>
                                  </a:cubicBezTo>
                                  <a:cubicBezTo>
                                    <a:pt x="77" y="12"/>
                                    <a:pt x="75" y="9"/>
                                    <a:pt x="75" y="6"/>
                                  </a:cubicBezTo>
                                  <a:cubicBezTo>
                                    <a:pt x="75" y="3"/>
                                    <a:pt x="79" y="0"/>
                                    <a:pt x="82" y="0"/>
                                  </a:cubicBezTo>
                                  <a:cubicBezTo>
                                    <a:pt x="89" y="1"/>
                                    <a:pt x="96" y="3"/>
                                    <a:pt x="102" y="5"/>
                                  </a:cubicBezTo>
                                  <a:cubicBezTo>
                                    <a:pt x="105" y="6"/>
                                    <a:pt x="107" y="10"/>
                                    <a:pt x="105" y="13"/>
                                  </a:cubicBezTo>
                                  <a:cubicBezTo>
                                    <a:pt x="105" y="16"/>
                                    <a:pt x="102" y="17"/>
                                    <a:pt x="100" y="17"/>
                                  </a:cubicBezTo>
                                  <a:moveTo>
                                    <a:pt x="7" y="26"/>
                                  </a:moveTo>
                                  <a:cubicBezTo>
                                    <a:pt x="5" y="26"/>
                                    <a:pt x="2" y="25"/>
                                    <a:pt x="1" y="22"/>
                                  </a:cubicBezTo>
                                  <a:cubicBezTo>
                                    <a:pt x="0" y="19"/>
                                    <a:pt x="2" y="15"/>
                                    <a:pt x="5" y="14"/>
                                  </a:cubicBezTo>
                                  <a:cubicBezTo>
                                    <a:pt x="11" y="12"/>
                                    <a:pt x="17" y="10"/>
                                    <a:pt x="23" y="8"/>
                                  </a:cubicBezTo>
                                  <a:cubicBezTo>
                                    <a:pt x="27" y="7"/>
                                    <a:pt x="30" y="9"/>
                                    <a:pt x="31" y="12"/>
                                  </a:cubicBezTo>
                                  <a:cubicBezTo>
                                    <a:pt x="32" y="15"/>
                                    <a:pt x="30" y="19"/>
                                    <a:pt x="27" y="20"/>
                                  </a:cubicBezTo>
                                  <a:cubicBezTo>
                                    <a:pt x="21" y="21"/>
                                    <a:pt x="15" y="23"/>
                                    <a:pt x="9" y="26"/>
                                  </a:cubicBezTo>
                                  <a:cubicBezTo>
                                    <a:pt x="9" y="26"/>
                                    <a:pt x="8" y="26"/>
                                    <a:pt x="7" y="26"/>
                                  </a:cubicBezTo>
                                </a:path>
                              </a:pathLst>
                            </a:custGeom>
                            <a:solidFill>
                              <a:srgbClr val="005A70"/>
                            </a:solidFill>
                            <a:ln>
                              <a:noFill/>
                            </a:ln>
                            <a:extLst/>
                          </wps:spPr>
                          <wps:bodyPr vert="horz" wrap="square" lIns="91440" tIns="45720" rIns="91440" bIns="45720" numCol="1" anchor="t" anchorCtr="0" compatLnSpc="1">
                            <a:prstTxWarp prst="textNoShape">
                              <a:avLst/>
                            </a:prstTxWarp>
                          </wps:bodyPr>
                        </wps:wsp>
                        <wps:wsp>
                          <wps:cNvPr id="90" name="Freeform 90" descr="Decorative"/>
                          <wps:cNvSpPr>
                            <a:spLocks/>
                          </wps:cNvSpPr>
                          <wps:spPr bwMode="auto">
                            <a:xfrm>
                              <a:off x="748145" y="451262"/>
                              <a:ext cx="46990" cy="45720"/>
                            </a:xfrm>
                            <a:custGeom>
                              <a:avLst/>
                              <a:gdLst>
                                <a:gd name="T0" fmla="*/ 13 w 20"/>
                                <a:gd name="T1" fmla="*/ 20 h 20"/>
                                <a:gd name="T2" fmla="*/ 8 w 20"/>
                                <a:gd name="T3" fmla="*/ 17 h 20"/>
                                <a:gd name="T4" fmla="*/ 3 w 20"/>
                                <a:gd name="T5" fmla="*/ 11 h 20"/>
                                <a:gd name="T6" fmla="*/ 2 w 20"/>
                                <a:gd name="T7" fmla="*/ 3 h 20"/>
                                <a:gd name="T8" fmla="*/ 11 w 20"/>
                                <a:gd name="T9" fmla="*/ 2 h 20"/>
                                <a:gd name="T10" fmla="*/ 18 w 20"/>
                                <a:gd name="T11" fmla="*/ 10 h 20"/>
                                <a:gd name="T12" fmla="*/ 17 w 20"/>
                                <a:gd name="T13" fmla="*/ 18 h 20"/>
                                <a:gd name="T14" fmla="*/ 13 w 20"/>
                                <a:gd name="T15" fmla="*/ 2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13" y="20"/>
                                  </a:moveTo>
                                  <a:cubicBezTo>
                                    <a:pt x="11" y="20"/>
                                    <a:pt x="10" y="19"/>
                                    <a:pt x="8" y="17"/>
                                  </a:cubicBezTo>
                                  <a:cubicBezTo>
                                    <a:pt x="7" y="15"/>
                                    <a:pt x="5" y="13"/>
                                    <a:pt x="3" y="11"/>
                                  </a:cubicBezTo>
                                  <a:cubicBezTo>
                                    <a:pt x="0" y="9"/>
                                    <a:pt x="0" y="5"/>
                                    <a:pt x="2" y="3"/>
                                  </a:cubicBezTo>
                                  <a:cubicBezTo>
                                    <a:pt x="4" y="0"/>
                                    <a:pt x="8" y="0"/>
                                    <a:pt x="11" y="2"/>
                                  </a:cubicBezTo>
                                  <a:cubicBezTo>
                                    <a:pt x="14" y="4"/>
                                    <a:pt x="16" y="7"/>
                                    <a:pt x="18" y="10"/>
                                  </a:cubicBezTo>
                                  <a:cubicBezTo>
                                    <a:pt x="20" y="12"/>
                                    <a:pt x="20" y="16"/>
                                    <a:pt x="17" y="18"/>
                                  </a:cubicBezTo>
                                  <a:cubicBezTo>
                                    <a:pt x="16" y="19"/>
                                    <a:pt x="15" y="20"/>
                                    <a:pt x="13" y="20"/>
                                  </a:cubicBezTo>
                                </a:path>
                              </a:pathLst>
                            </a:custGeom>
                            <a:solidFill>
                              <a:srgbClr val="005A70"/>
                            </a:solidFill>
                            <a:ln>
                              <a:noFill/>
                            </a:ln>
                            <a:extLst/>
                          </wps:spPr>
                          <wps:bodyPr vert="horz" wrap="square" lIns="91440" tIns="45720" rIns="91440" bIns="45720" numCol="1" anchor="t" anchorCtr="0" compatLnSpc="1">
                            <a:prstTxWarp prst="textNoShape">
                              <a:avLst/>
                            </a:prstTxWarp>
                          </wps:bodyPr>
                        </wps:wsp>
                      </wpg:grpSp>
                      <wps:wsp>
                        <wps:cNvPr id="91" name="Rectangle 91"/>
                        <wps:cNvSpPr/>
                        <wps:spPr>
                          <a:xfrm>
                            <a:off x="-109005" y="0"/>
                            <a:ext cx="6042157" cy="3548227"/>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30B7F" id="Group 83" o:spid="_x0000_s1026" alt="Decorative" style="position:absolute;margin-left:-8.6pt;margin-top:-7.65pt;width:475.75pt;height:250.8pt;z-index:251658308;mso-position-horizontal-relative:margin;mso-width-relative:margin;mso-height-relative:margin" coordorigin="-1090" coordsize="60421,3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">
                <v:group id="Group 84" o:spid="_x0000_s1027" alt="The Gold Coast Homelessness Action Plan 2024 outlines the City's roles, responsibilities, and strategic responses to homelessness. The City of Gold Coast Council recognise that although homelessness policy is led by other levels of governments, there is also a role to play at the local level. The plan has been developed through extensive consultation with the Gold Coast Homelessness Network, local community organisations and the Queensland Government. &#10;Working with key partners, the City’s goal is to ensure that any experience of homelessness on the Gold Coast is rare, brief and non-recurring. It identifies four strategic priorities: safe public spaces, strong support networks, reducing homelessness, and diverse housing. The Action Plan contains 30 actions within the City’s remit as a local government to respond to homelessness and to support and build the capacity of local homelessness and welfare organisations." style="position:absolute;left:2186;top:298;width:8979;height:6083" coordorigin="771,415" coordsize="8978,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5" o:spid="_x0000_s1028" alt="Decorative" style="position:absolute;left:4096;top:415;width:2598;height:3689;visibility:visible;mso-wrap-style:square;v-text-anchor:top" coordsize="1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" path="m55,76c43,76,34,67,34,55,34,43,43,33,55,33v12,,21,10,21,22c76,67,67,76,55,76m110,55c110,25,85,,55,,25,,,25,,55v,8,2,15,5,22c5,77,5,77,5,77v1,2,1,2,1,2c7,81,8,84,10,86v43,76,43,76,43,76c98,88,98,88,98,88v3,-3,5,-6,7,-10c105,77,105,77,105,77v,,,,,c108,70,110,63,110,55e" fillcolor="#005a70" stroked="f">
                    <v:path arrowok="t" o:connecttype="custom" o:connectlocs="129858,173081;80276,125256;129858,75153;179439,125256;129858,173081;259715,125256;129858,0;0,125256;11805,175358;11805,175358;14166,179913;23610,195854;125135,368935;231382,200409;247910,177635;247910,175358;247910,175358;259715,125256" o:connectangles="0,0,0,0,0,0,0,0,0,0,0,0,0,0,0,0,0,0"/>
                    <o:lock v:ext="edit" verticies="t"/>
                  </v:shape>
                  <v:shape id="Freeform 86" o:spid="_x0000_s1029" alt="Decorative" style="position:absolute;left:771;top:2493;width:8979;height:4007;visibility:visible;mso-wrap-style:square;v-text-anchor:top" coordsize="5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" path="m51,225r466,l463,38r-357,l51,225xm566,263l,263,77,,491,r75,263xe" fillcolor="#005a70" stroked="f">
                    <v:path arrowok="t" o:connecttype="custom" o:connectlocs="80905,342791;820157,342791;734493,57894;168156,57894;80905,342791;897890,400685;0,400685;122151,0;778912,0;897890,400685" o:connectangles="0,0,0,0,0,0,0,0,0,0"/>
                    <o:lock v:ext="edit" verticies="t"/>
                  </v:shape>
                  <v:shape id="Freeform 87" o:spid="_x0000_s1030" alt="Decorative" style="position:absolute;left:2612;top:4631;width:502;height:406;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" path="m15,18v-1,,-2,,-2,-1c7,15,4,13,4,13,1,11,,7,1,4,3,1,7,,10,2v,,3,2,8,4c21,7,22,11,21,14v-1,2,-4,4,-6,4e" fillcolor="#005a70" stroked="f">
                    <v:path arrowok="t" o:connecttype="custom" o:connectlocs="34203,40640;29643,38382;9121,29351;2280,9031;22802,4516;41044,13547;47885,31609;34203,40640" o:connectangles="0,0,0,0,0,0,0,0"/>
                  </v:shape>
                  <v:shape id="Freeform 88" o:spid="_x0000_s1031" alt="Decorative" style="position:absolute;left:3206;top:4631;width:1632;height:559;visibility:visible;mso-wrap-style:square;v-text-anchor:top" coordsize="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" path="m45,21v-3,,-6,-1,-6,-4c38,14,39,10,43,9,45,8,47,7,50,6,53,5,56,3,59,2v3,-2,7,,8,3c69,8,67,11,64,13v-3,1,-6,3,-9,4c53,19,50,20,46,21v,,-1,,-1,m25,25c19,25,12,24,6,22,2,22,,18,1,15,2,12,5,10,8,10v6,1,11,2,17,2c26,12,26,12,26,12v3,,6,3,6,6c32,22,29,24,26,25r-1,xe" fillcolor="#005a70" stroked="f">
                    <v:path arrowok="t" o:connecttype="custom" o:connectlocs="106432,46939;92241,37998;101701,20117;118257,13411;139544,4470;158465,11176;151369,29058;130083,37998;108797,46939;106432,46939;59129,55880;14191,49174;2365,33528;18921,22352;59129,26822;61494,26822;75685,40234;61494,55880;59129,55880" o:connectangles="0,0,0,0,0,0,0,0,0,0,0,0,0,0,0,0,0,0,0"/>
                    <o:lock v:ext="edit" verticies="t"/>
                  </v:shape>
                  <v:shape id="Freeform 89" o:spid="_x0000_s1032" alt="Decorative" style="position:absolute;left:4928;top:4215;width:2521;height:591;visibility:visible;mso-wrap-style:square;v-text-anchor:top" coordsize="1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" path="m44,15v-3,,-6,-2,-7,-5c37,7,39,4,42,3,49,2,56,1,62,v3,,6,3,7,6c69,9,66,12,63,13v-6,,-12,1,-18,2l44,15xm100,17v-1,,-2,,-3,c92,15,87,13,81,13,77,12,75,9,75,6,75,3,79,,82,v7,1,14,3,20,5c105,6,107,10,105,13v,3,-3,4,-5,4m7,26c5,26,2,25,1,22,,19,2,15,5,14,11,12,17,10,23,8v4,-1,7,1,8,4c32,15,30,19,27,20,21,21,15,23,9,26v,,-1,,-2,e" fillcolor="#005a70" stroked="f">
                    <v:path arrowok="t" o:connecttype="custom" o:connectlocs="103665,34070;87173,22713;98953,6814;146074,0;162566,13628;148430,29528;106021,34070;103665,34070;235603,38613;228535,38613;190838,29528;176702,13628;193194,0;240315,11357;247383,29528;235603,38613;16492,59055;2356,49970;11780,31799;54189,18171;73037,27256;63613,45427;21204,59055;16492,59055" o:connectangles="0,0,0,0,0,0,0,0,0,0,0,0,0,0,0,0,0,0,0,0,0,0,0,0"/>
                    <o:lock v:ext="edit" verticies="t"/>
                  </v:shape>
                  <v:shape id="Freeform 90" o:spid="_x0000_s1033" alt="Decorative" style="position:absolute;left:7481;top:4512;width:470;height:45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" path="m13,20v-2,,-3,-1,-5,-3c7,15,5,13,3,11,,9,,5,2,3,4,,8,,11,2v3,2,5,5,7,8c20,12,20,16,17,18v-1,1,-2,2,-4,2e" fillcolor="#005a70" stroked="f">
                    <v:path arrowok="t" o:connecttype="custom" o:connectlocs="30544,45720;18796,38862;7049,25146;4699,6858;25845,4572;42291,22860;39942,41148;30544,45720" o:connectangles="0,0,0,0,0,0,0,0"/>
                  </v:shape>
                </v:group>
                <v:rect id="Rectangle 91" o:spid="_x0000_s1034" style="position:absolute;left:-1090;width:60421;height:3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" filled="f" strokecolor="#005a70" strokeweight="2pt"/>
                <w10:wrap anchorx="margin"/>
              </v:group>
            </w:pict>
          </mc:Fallback>
        </mc:AlternateContent>
      </w:r>
      <w:r w:rsidR="0007378B" w:rsidRPr="00B50802">
        <w:rPr>
          <w:rFonts w:cs="Arial"/>
          <w:b/>
          <w:color w:val="005A70"/>
        </w:rPr>
        <w:t>Case study – Gold Coast Homelessness Action Plan</w:t>
      </w:r>
    </w:p>
    <w:p w14:paraId="062F3A75" w14:textId="3E746C25" w:rsidR="0007378B" w:rsidRPr="00B50802" w:rsidRDefault="0007378B" w:rsidP="004C59D1">
      <w:pPr>
        <w:pStyle w:val="Bullet"/>
        <w:jc w:val="right"/>
      </w:pPr>
    </w:p>
    <w:p w14:paraId="136597D8" w14:textId="77777777" w:rsidR="00653847" w:rsidRPr="00B50802" w:rsidRDefault="00653847" w:rsidP="004C59D1">
      <w:pPr>
        <w:pStyle w:val="Bullet"/>
        <w:jc w:val="right"/>
      </w:pPr>
    </w:p>
    <w:p w14:paraId="5CE251BA" w14:textId="3A1401E3" w:rsidR="0007378B" w:rsidRPr="00350FD1" w:rsidRDefault="0007378B" w:rsidP="00350FD1">
      <w:pPr>
        <w:pStyle w:val="Bullets"/>
        <w:ind w:left="0" w:firstLine="0"/>
      </w:pPr>
      <w:r w:rsidRPr="00350FD1">
        <w:t>The City of Gold Coast Council recognises that although homelessness policy is led by</w:t>
      </w:r>
      <w:r w:rsidR="001B1C96">
        <w:t> </w:t>
      </w:r>
      <w:r w:rsidR="0044372D" w:rsidRPr="00350FD1">
        <w:t xml:space="preserve">state </w:t>
      </w:r>
      <w:r w:rsidRPr="00350FD1">
        <w:t>governments</w:t>
      </w:r>
      <w:r w:rsidR="00E60288" w:rsidRPr="00B75F7D">
        <w:t>,</w:t>
      </w:r>
      <w:r w:rsidRPr="00350FD1">
        <w:t xml:space="preserve"> there is also a role to play at the local level. The Gold Coast Homelessness Action Plan 2024 outlines the City’s roles, responsibilities, and strategic responses to</w:t>
      </w:r>
      <w:r w:rsidR="001B1C96">
        <w:t> </w:t>
      </w:r>
      <w:r w:rsidRPr="00350FD1">
        <w:t>homelessness. The plan has been developed through extensive consultation with the Gold Coast Homelessness Network, local community organisations and the Queensland Government.</w:t>
      </w:r>
    </w:p>
    <w:p w14:paraId="71662163" w14:textId="04A8CE0F" w:rsidR="0007378B" w:rsidRPr="00350FD1" w:rsidRDefault="0007378B" w:rsidP="00350FD1">
      <w:pPr>
        <w:pStyle w:val="Bullets"/>
        <w:ind w:left="0" w:firstLine="0"/>
      </w:pPr>
      <w:r w:rsidRPr="00350FD1">
        <w:t xml:space="preserve">Working with key partners, the City’s goal is to ensure that any experience of homelessness on the Gold Coast is rare, brief and non-recurring. The Action Plan identifies 4 strategic priorities: safe public spaces; strong support networks; reducing homelessness; and diverse housing. </w:t>
      </w:r>
      <w:r w:rsidRPr="00B50802">
        <w:rPr>
          <w:rFonts w:cstheme="minorHAnsi"/>
        </w:rPr>
        <w:t>It contains 30 actions within the City’s remit as a local government to respond to</w:t>
      </w:r>
      <w:r w:rsidR="001B1C96">
        <w:rPr>
          <w:rFonts w:cstheme="minorHAnsi"/>
        </w:rPr>
        <w:t> </w:t>
      </w:r>
      <w:r w:rsidRPr="00B50802">
        <w:rPr>
          <w:rFonts w:cstheme="minorHAnsi"/>
        </w:rPr>
        <w:t>homelessness and to support and build the capacity of local homelessness and welfare organisations.</w:t>
      </w:r>
    </w:p>
    <w:p w14:paraId="761BC47A" w14:textId="0B66DF8B" w:rsidR="0007378B" w:rsidRPr="00B50802" w:rsidRDefault="00350FD1" w:rsidP="0007378B">
      <w:pPr>
        <w:pStyle w:val="Bullet"/>
        <w:jc w:val="right"/>
        <w:rPr>
          <w:rFonts w:ascii="Arial" w:eastAsiaTheme="minorHAnsi" w:hAnsi="Arial" w:cs="Arial"/>
          <w:b/>
          <w:color w:val="005A70"/>
        </w:rPr>
      </w:pPr>
      <w:r w:rsidRPr="00B50802">
        <w:rPr>
          <w:noProof/>
        </w:rPr>
        <mc:AlternateContent>
          <mc:Choice Requires="wps">
            <w:drawing>
              <wp:anchor distT="0" distB="0" distL="114300" distR="114300" simplePos="0" relativeHeight="251658247" behindDoc="0" locked="0" layoutInCell="1" allowOverlap="1" wp14:anchorId="570950D1" wp14:editId="03E93607">
                <wp:simplePos x="0" y="0"/>
                <wp:positionH relativeFrom="margin">
                  <wp:posOffset>-109002</wp:posOffset>
                </wp:positionH>
                <wp:positionV relativeFrom="paragraph">
                  <wp:posOffset>131281</wp:posOffset>
                </wp:positionV>
                <wp:extent cx="6049573" cy="3978549"/>
                <wp:effectExtent l="0" t="0" r="27940" b="22225"/>
                <wp:wrapNone/>
                <wp:docPr id="55" name="Rectangle 55" descr="Decorative"/>
                <wp:cNvGraphicFramePr/>
                <a:graphic xmlns:a="http://schemas.openxmlformats.org/drawingml/2006/main">
                  <a:graphicData uri="http://schemas.microsoft.com/office/word/2010/wordprocessingShape">
                    <wps:wsp>
                      <wps:cNvSpPr/>
                      <wps:spPr>
                        <a:xfrm>
                          <a:off x="0" y="0"/>
                          <a:ext cx="6049573" cy="3978549"/>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6CED8" id="Rectangle 55" o:spid="_x0000_s1026" alt="Decorative" style="position:absolute;margin-left:-8.6pt;margin-top:10.35pt;width:476.35pt;height:31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" filled="f" strokecolor="#005a70" strokeweight="2pt">
                <w10:wrap anchorx="margin"/>
              </v:rect>
            </w:pict>
          </mc:Fallback>
        </mc:AlternateContent>
      </w:r>
    </w:p>
    <w:p w14:paraId="224D83B8" w14:textId="753AF9A8" w:rsidR="0007378B" w:rsidRPr="00B50802" w:rsidRDefault="00350FD1" w:rsidP="0007378B">
      <w:pPr>
        <w:pStyle w:val="Bullet"/>
        <w:jc w:val="right"/>
        <w:rPr>
          <w:rFonts w:ascii="Arial" w:eastAsiaTheme="minorHAnsi" w:hAnsi="Arial" w:cs="Arial"/>
          <w:b/>
          <w:color w:val="005A70"/>
        </w:rPr>
      </w:pPr>
      <w:r w:rsidRPr="00B50802">
        <w:rPr>
          <w:noProof/>
        </w:rPr>
        <mc:AlternateContent>
          <mc:Choice Requires="wps">
            <w:drawing>
              <wp:anchor distT="0" distB="0" distL="114300" distR="114300" simplePos="0" relativeHeight="251658246" behindDoc="0" locked="0" layoutInCell="1" allowOverlap="1" wp14:anchorId="712546C8" wp14:editId="7FEAA7F2">
                <wp:simplePos x="0" y="0"/>
                <wp:positionH relativeFrom="margin">
                  <wp:align>left</wp:align>
                </wp:positionH>
                <wp:positionV relativeFrom="paragraph">
                  <wp:posOffset>4932</wp:posOffset>
                </wp:positionV>
                <wp:extent cx="551815" cy="643890"/>
                <wp:effectExtent l="0" t="0" r="19685" b="22860"/>
                <wp:wrapSquare wrapText="bothSides"/>
                <wp:docPr id="284" name="Freeform 18"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551815" cy="643890"/>
                        </a:xfrm>
                        <a:custGeom>
                          <a:avLst/>
                          <a:gdLst>
                            <a:gd name="T0" fmla="*/ 0 w 1352"/>
                            <a:gd name="T1" fmla="*/ 0 h 1538"/>
                            <a:gd name="T2" fmla="*/ 59 w 1352"/>
                            <a:gd name="T3" fmla="*/ 739 h 1538"/>
                            <a:gd name="T4" fmla="*/ 343 w 1352"/>
                            <a:gd name="T5" fmla="*/ 716 h 1538"/>
                            <a:gd name="T6" fmla="*/ 398 w 1352"/>
                            <a:gd name="T7" fmla="*/ 768 h 1538"/>
                            <a:gd name="T8" fmla="*/ 517 w 1352"/>
                            <a:gd name="T9" fmla="*/ 732 h 1538"/>
                            <a:gd name="T10" fmla="*/ 584 w 1352"/>
                            <a:gd name="T11" fmla="*/ 818 h 1538"/>
                            <a:gd name="T12" fmla="*/ 625 w 1352"/>
                            <a:gd name="T13" fmla="*/ 797 h 1538"/>
                            <a:gd name="T14" fmla="*/ 789 w 1352"/>
                            <a:gd name="T15" fmla="*/ 1113 h 1538"/>
                            <a:gd name="T16" fmla="*/ 886 w 1352"/>
                            <a:gd name="T17" fmla="*/ 994 h 1538"/>
                            <a:gd name="T18" fmla="*/ 1002 w 1352"/>
                            <a:gd name="T19" fmla="*/ 791 h 1538"/>
                            <a:gd name="T20" fmla="*/ 1040 w 1352"/>
                            <a:gd name="T21" fmla="*/ 882 h 1538"/>
                            <a:gd name="T22" fmla="*/ 964 w 1352"/>
                            <a:gd name="T23" fmla="*/ 1026 h 1538"/>
                            <a:gd name="T24" fmla="*/ 964 w 1352"/>
                            <a:gd name="T25" fmla="*/ 1113 h 1538"/>
                            <a:gd name="T26" fmla="*/ 842 w 1352"/>
                            <a:gd name="T27" fmla="*/ 1156 h 1538"/>
                            <a:gd name="T28" fmla="*/ 1002 w 1352"/>
                            <a:gd name="T29" fmla="*/ 1142 h 1538"/>
                            <a:gd name="T30" fmla="*/ 1052 w 1352"/>
                            <a:gd name="T31" fmla="*/ 1053 h 1538"/>
                            <a:gd name="T32" fmla="*/ 1096 w 1352"/>
                            <a:gd name="T33" fmla="*/ 1133 h 1538"/>
                            <a:gd name="T34" fmla="*/ 1044 w 1352"/>
                            <a:gd name="T35" fmla="*/ 1177 h 1538"/>
                            <a:gd name="T36" fmla="*/ 1151 w 1352"/>
                            <a:gd name="T37" fmla="*/ 1171 h 1538"/>
                            <a:gd name="T38" fmla="*/ 1196 w 1352"/>
                            <a:gd name="T39" fmla="*/ 1309 h 1538"/>
                            <a:gd name="T40" fmla="*/ 1200 w 1352"/>
                            <a:gd name="T41" fmla="*/ 1422 h 1538"/>
                            <a:gd name="T42" fmla="*/ 1333 w 1352"/>
                            <a:gd name="T43" fmla="*/ 1538 h 1538"/>
                            <a:gd name="T44" fmla="*/ 1352 w 1352"/>
                            <a:gd name="T45" fmla="*/ 1009 h 1538"/>
                            <a:gd name="T46" fmla="*/ 1352 w 1352"/>
                            <a:gd name="T47" fmla="*/ 363 h 1538"/>
                            <a:gd name="T48" fmla="*/ 1352 w 1352"/>
                            <a:gd name="T49" fmla="*/ 39 h 1538"/>
                            <a:gd name="T50" fmla="*/ 1029 w 1352"/>
                            <a:gd name="T51" fmla="*/ 0 h 1538"/>
                            <a:gd name="T52" fmla="*/ 0 w 1352"/>
                            <a:gd name="T53" fmla="*/ 0 h 1538"/>
                            <a:gd name="T54" fmla="*/ 0 w 1352"/>
                            <a:gd name="T55" fmla="*/ 0 h 153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352"/>
                            <a:gd name="T85" fmla="*/ 0 h 1538"/>
                            <a:gd name="T86" fmla="*/ 1352 w 1352"/>
                            <a:gd name="T87" fmla="*/ 1538 h 153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352" h="1538">
                              <a:moveTo>
                                <a:pt x="0" y="0"/>
                              </a:moveTo>
                              <a:lnTo>
                                <a:pt x="59" y="739"/>
                              </a:lnTo>
                              <a:lnTo>
                                <a:pt x="343" y="716"/>
                              </a:lnTo>
                              <a:lnTo>
                                <a:pt x="398" y="768"/>
                              </a:lnTo>
                              <a:lnTo>
                                <a:pt x="517" y="732"/>
                              </a:lnTo>
                              <a:lnTo>
                                <a:pt x="584" y="818"/>
                              </a:lnTo>
                              <a:lnTo>
                                <a:pt x="625" y="797"/>
                              </a:lnTo>
                              <a:lnTo>
                                <a:pt x="789" y="1113"/>
                              </a:lnTo>
                              <a:lnTo>
                                <a:pt x="886" y="994"/>
                              </a:lnTo>
                              <a:lnTo>
                                <a:pt x="1002" y="791"/>
                              </a:lnTo>
                              <a:lnTo>
                                <a:pt x="1040" y="882"/>
                              </a:lnTo>
                              <a:lnTo>
                                <a:pt x="964" y="1026"/>
                              </a:lnTo>
                              <a:lnTo>
                                <a:pt x="964" y="1113"/>
                              </a:lnTo>
                              <a:lnTo>
                                <a:pt x="842" y="1156"/>
                              </a:lnTo>
                              <a:lnTo>
                                <a:pt x="1002" y="1142"/>
                              </a:lnTo>
                              <a:lnTo>
                                <a:pt x="1052" y="1053"/>
                              </a:lnTo>
                              <a:lnTo>
                                <a:pt x="1096" y="1133"/>
                              </a:lnTo>
                              <a:lnTo>
                                <a:pt x="1044" y="1177"/>
                              </a:lnTo>
                              <a:lnTo>
                                <a:pt x="1151" y="1171"/>
                              </a:lnTo>
                              <a:lnTo>
                                <a:pt x="1196" y="1309"/>
                              </a:lnTo>
                              <a:lnTo>
                                <a:pt x="1200" y="1422"/>
                              </a:lnTo>
                              <a:lnTo>
                                <a:pt x="1333" y="1538"/>
                              </a:lnTo>
                              <a:lnTo>
                                <a:pt x="1352" y="1009"/>
                              </a:lnTo>
                              <a:lnTo>
                                <a:pt x="1352" y="363"/>
                              </a:lnTo>
                              <a:lnTo>
                                <a:pt x="1352" y="39"/>
                              </a:lnTo>
                              <a:lnTo>
                                <a:pt x="1029" y="0"/>
                              </a:lnTo>
                              <a:lnTo>
                                <a:pt x="0" y="0"/>
                              </a:lnTo>
                              <a:close/>
                            </a:path>
                          </a:pathLst>
                        </a:custGeom>
                        <a:solidFill>
                          <a:srgbClr val="005A70"/>
                        </a:solidFill>
                        <a:ln w="12700">
                          <a:solidFill>
                            <a:schemeClr val="bg1"/>
                          </a:solidFill>
                          <a:round/>
                          <a:headEnd/>
                          <a:tailEnd/>
                        </a:ln>
                      </wps:spPr>
                      <wps:bodyPr/>
                    </wps:wsp>
                  </a:graphicData>
                </a:graphic>
              </wp:anchor>
            </w:drawing>
          </mc:Choice>
          <mc:Fallback>
            <w:pict>
              <v:shape w14:anchorId="70780B4A" id="Freeform 18" o:spid="_x0000_s1026" alt="Decorative" style="position:absolute;margin-left:0;margin-top:.4pt;width:43.45pt;height:50.7pt;z-index:251658246;visibility:visible;mso-wrap-style:square;mso-wrap-distance-left:9pt;mso-wrap-distance-top:0;mso-wrap-distance-right:9pt;mso-wrap-distance-bottom:0;mso-position-horizontal:left;mso-position-horizontal-relative:margin;mso-position-vertical:absolute;mso-position-vertical-relative:text;v-text-anchor:top" coordsize="1352,1538"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" path="m,l59,739,343,716r55,52l517,732r67,86l625,797r164,316l886,994,1002,791r38,91l964,1026r,87l842,1156r160,-14l1052,1053r44,80l1044,1177r107,-6l1196,1309r4,113l1333,1538r19,-529l1352,363r,-324l1029,,,xe" fillcolor="#005a70" strokecolor="white [3212]" strokeweight="1pt">
                <v:path arrowok="t" o:connecttype="custom" o:connectlocs="0,0;24081,309385;139994,299756;162443,321526;211012,306455;238358,342459;255092,333667;322028,465962;361618,416142;408963,331155;424473,369253;393454,429539;393454,465962;343660,483964;408963,478103;429371,440843;447329,474335;426106,492756;469777,490244;488144,548018;489777,595326;544060,643890;551815,422422;551815,151971;551815,16328;419983,0;0,0;0,0" o:connectangles="0,0,0,0,0,0,0,0,0,0,0,0,0,0,0,0,0,0,0,0,0,0,0,0,0,0,0,0" textboxrect="0,0,1352,1538"/>
                <o:lock v:ext="edit" aspectratio="t"/>
                <w10:wrap type="square" anchorx="margin"/>
              </v:shape>
            </w:pict>
          </mc:Fallback>
        </mc:AlternateContent>
      </w:r>
    </w:p>
    <w:p w14:paraId="12C2E604" w14:textId="257DBCA3" w:rsidR="0007378B" w:rsidRPr="00B50802" w:rsidRDefault="0007378B" w:rsidP="0007378B">
      <w:pPr>
        <w:pStyle w:val="Bullet"/>
        <w:jc w:val="right"/>
        <w:rPr>
          <w:rFonts w:eastAsiaTheme="minorHAnsi" w:cs="Arial"/>
          <w:color w:val="005A70"/>
        </w:rPr>
      </w:pPr>
      <w:r w:rsidRPr="00B50802">
        <w:rPr>
          <w:rFonts w:ascii="Arial" w:eastAsiaTheme="minorHAnsi" w:hAnsi="Arial" w:cs="Arial"/>
          <w:b/>
          <w:color w:val="005A70"/>
        </w:rPr>
        <w:t>Case study – South Australia Aspire Social Impact Bond</w:t>
      </w:r>
    </w:p>
    <w:p w14:paraId="59FED575" w14:textId="445A004C" w:rsidR="0007378B" w:rsidRPr="00B50802" w:rsidRDefault="0007378B" w:rsidP="0007378B">
      <w:pPr>
        <w:pStyle w:val="Bullet"/>
        <w:jc w:val="right"/>
        <w:rPr>
          <w:rFonts w:eastAsiaTheme="minorHAnsi" w:cs="Arial"/>
          <w:color w:val="005A70"/>
        </w:rPr>
      </w:pPr>
    </w:p>
    <w:p w14:paraId="204FD793" w14:textId="44A4F0B7" w:rsidR="0007378B" w:rsidRPr="00350FD1" w:rsidRDefault="0007378B" w:rsidP="00350FD1">
      <w:pPr>
        <w:pStyle w:val="Bullets"/>
        <w:ind w:left="0" w:firstLine="0"/>
      </w:pPr>
      <w:r w:rsidRPr="00B50802">
        <w:br/>
      </w:r>
      <w:r w:rsidRPr="00350FD1">
        <w:t>The Aspire Social Impact Bond (Aspire SIB) is Australia’s first homelessness-focused Social Impact Bond. It offers investors the opportunity to generate a competitive financial return while making a lasting difference to the lives of people experiencing homelessness in</w:t>
      </w:r>
      <w:r w:rsidR="001B1C96">
        <w:t> </w:t>
      </w:r>
      <w:r w:rsidRPr="00350FD1">
        <w:t>Adelaide.</w:t>
      </w:r>
    </w:p>
    <w:p w14:paraId="320DF5B9" w14:textId="2E2376BD" w:rsidR="0007378B" w:rsidRPr="00350FD1" w:rsidRDefault="0007378B" w:rsidP="00350FD1">
      <w:pPr>
        <w:pStyle w:val="Bullets"/>
        <w:ind w:left="0" w:firstLine="0"/>
      </w:pPr>
      <w:r w:rsidRPr="00350FD1">
        <w:t>Investor returns are determined by South Australian Government payments to the Aspire SIB Trust, based on savings generated by the program. The more effective Aspire SIB is</w:t>
      </w:r>
      <w:r w:rsidR="001B1C96">
        <w:t> </w:t>
      </w:r>
      <w:r w:rsidRPr="00350FD1">
        <w:t>and the greater the cost savings it delivers to government, the greater the return on</w:t>
      </w:r>
      <w:r w:rsidR="001B1C96">
        <w:t> </w:t>
      </w:r>
      <w:r w:rsidRPr="00350FD1">
        <w:t xml:space="preserve">investment. </w:t>
      </w:r>
    </w:p>
    <w:p w14:paraId="5C989372" w14:textId="77777777" w:rsidR="0007378B" w:rsidRPr="00350FD1" w:rsidRDefault="0007378B" w:rsidP="00350FD1">
      <w:pPr>
        <w:pStyle w:val="Bullets"/>
        <w:ind w:left="0" w:firstLine="0"/>
      </w:pPr>
      <w:r w:rsidRPr="00350FD1">
        <w:t>The bond funds the Aspire Program, which is delivered by Hutt St Centre, an Adelaide</w:t>
      </w:r>
      <w:r w:rsidRPr="00350FD1">
        <w:noBreakHyphen/>
        <w:t>based homelessness services specialist, in partnership with community housing providers including Common Ground Adelaide and Unity Housing.</w:t>
      </w:r>
    </w:p>
    <w:p w14:paraId="645D6310" w14:textId="1D337749" w:rsidR="0007378B" w:rsidRPr="00350FD1" w:rsidRDefault="0007378B" w:rsidP="00350FD1">
      <w:pPr>
        <w:pStyle w:val="Bullets"/>
        <w:ind w:left="0" w:firstLine="0"/>
      </w:pPr>
      <w:r w:rsidRPr="00350FD1">
        <w:t xml:space="preserve">Under the Aspire service model, participants are provided stable accommodation, job readiness training, pathways to employment and life skills development. Importantly, </w:t>
      </w:r>
      <w:r w:rsidR="00A96E63">
        <w:t>t</w:t>
      </w:r>
      <w:r w:rsidRPr="00B50802">
        <w:t>hey</w:t>
      </w:r>
      <w:r w:rsidRPr="00350FD1">
        <w:t xml:space="preserve"> also have the long-term support of a dedicated ‘Navigator’ to help them connect with wider support services and identify and achieve their aspirations.</w:t>
      </w:r>
    </w:p>
    <w:p w14:paraId="369F18EB" w14:textId="77777777" w:rsidR="004538CC" w:rsidRPr="00B50802" w:rsidRDefault="004538CC" w:rsidP="004C59D1">
      <w:pPr>
        <w:pStyle w:val="Bullet"/>
        <w:jc w:val="right"/>
        <w:rPr>
          <w:rStyle w:val="Heading3Char"/>
        </w:rPr>
      </w:pPr>
      <w:bookmarkStart w:id="1332" w:name="_Toc134784698"/>
      <w:bookmarkStart w:id="1333" w:name="_Toc135035217"/>
      <w:bookmarkStart w:id="1334" w:name="_Toc135060894"/>
      <w:bookmarkStart w:id="1335" w:name="_Toc135161365"/>
      <w:bookmarkStart w:id="1336" w:name="_Toc135162312"/>
      <w:bookmarkStart w:id="1337" w:name="_Toc135162486"/>
      <w:bookmarkStart w:id="1338" w:name="_Toc135206065"/>
      <w:bookmarkStart w:id="1339" w:name="_Toc135206150"/>
      <w:bookmarkStart w:id="1340" w:name="_Toc139464308"/>
      <w:r w:rsidRPr="00B50802">
        <w:rPr>
          <w:rStyle w:val="Heading3Char"/>
        </w:rPr>
        <w:br w:type="page"/>
      </w:r>
    </w:p>
    <w:p w14:paraId="20A81F17" w14:textId="77777777" w:rsidR="00AB2134" w:rsidRPr="007D4ADA" w:rsidRDefault="00597296" w:rsidP="00E66CEA">
      <w:pPr>
        <w:pStyle w:val="Bullet"/>
        <w:tabs>
          <w:tab w:val="clear" w:pos="520"/>
          <w:tab w:val="num" w:pos="567"/>
        </w:tabs>
        <w:spacing w:after="200"/>
        <w:ind w:left="0" w:firstLine="0"/>
        <w:rPr>
          <w:rFonts w:ascii="Georgia" w:hAnsi="Georgia"/>
          <w:b/>
          <w:bCs/>
          <w:sz w:val="28"/>
        </w:rPr>
      </w:pPr>
      <w:bookmarkStart w:id="1341" w:name="_Toc141969843"/>
      <w:bookmarkStart w:id="1342" w:name="_Toc141972466"/>
      <w:bookmarkStart w:id="1343" w:name="_Toc141972679"/>
      <w:bookmarkStart w:id="1344" w:name="_Toc141972953"/>
      <w:bookmarkStart w:id="1345" w:name="_Toc142042513"/>
      <w:bookmarkStart w:id="1346" w:name="_Toc142042722"/>
      <w:r w:rsidRPr="007D4ADA">
        <w:rPr>
          <w:rFonts w:ascii="Georgia" w:hAnsi="Georgia"/>
          <w:b/>
          <w:bCs/>
          <w:sz w:val="28"/>
        </w:rPr>
        <w:lastRenderedPageBreak/>
        <w:t>Service system responses to homelessness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6DAE572B" w14:textId="71593FBD" w:rsidR="00597296" w:rsidRPr="007D4ADA" w:rsidRDefault="00AB2134" w:rsidP="007D4ADA">
      <w:pPr>
        <w:pStyle w:val="Bullet"/>
        <w:tabs>
          <w:tab w:val="clear" w:pos="520"/>
          <w:tab w:val="num" w:pos="0"/>
        </w:tabs>
        <w:ind w:left="0" w:firstLine="0"/>
        <w:rPr>
          <w:rFonts w:ascii="Arial" w:hAnsi="Arial" w:cs="Arial"/>
        </w:rPr>
      </w:pPr>
      <w:r w:rsidRPr="007D4ADA">
        <w:rPr>
          <w:rFonts w:ascii="Arial" w:hAnsi="Arial" w:cs="Arial"/>
        </w:rPr>
        <w:t xml:space="preserve">Research has identified service system responses to homelessness to improve </w:t>
      </w:r>
      <w:r w:rsidR="00493961" w:rsidRPr="007D4ADA">
        <w:rPr>
          <w:rFonts w:ascii="Arial" w:hAnsi="Arial" w:cs="Arial"/>
        </w:rPr>
        <w:t>outcomes</w:t>
      </w:r>
      <w:r w:rsidRPr="007D4ADA">
        <w:rPr>
          <w:rFonts w:ascii="Arial" w:hAnsi="Arial" w:cs="Arial"/>
        </w:rPr>
        <w:t xml:space="preserve"> for people at risk or experiencing homelessness.</w:t>
      </w:r>
      <w:r w:rsidRPr="007D4ADA">
        <w:rPr>
          <w:rStyle w:val="FootnoteReference"/>
          <w:rFonts w:ascii="Arial" w:hAnsi="Arial" w:cs="Arial"/>
        </w:rPr>
        <w:footnoteReference w:id="47"/>
      </w:r>
      <w:r w:rsidRPr="007D4ADA">
        <w:rPr>
          <w:rFonts w:ascii="Arial" w:hAnsi="Arial" w:cs="Arial"/>
        </w:rPr>
        <w:t xml:space="preserve"> Some of the proposed</w:t>
      </w:r>
      <w:r w:rsidR="00B7505C" w:rsidRPr="007D4ADA">
        <w:rPr>
          <w:rFonts w:ascii="Arial" w:hAnsi="Arial" w:cs="Arial"/>
        </w:rPr>
        <w:t xml:space="preserve"> changes</w:t>
      </w:r>
      <w:r w:rsidRPr="007D4ADA">
        <w:rPr>
          <w:rFonts w:ascii="Arial" w:hAnsi="Arial" w:cs="Arial"/>
        </w:rPr>
        <w:t xml:space="preserve"> include </w:t>
      </w:r>
      <w:r w:rsidR="00E45AD2" w:rsidRPr="007D4ADA">
        <w:rPr>
          <w:rFonts w:ascii="Arial" w:hAnsi="Arial" w:cs="Arial"/>
        </w:rPr>
        <w:t xml:space="preserve">strengthening service coordination and integration, </w:t>
      </w:r>
      <w:r w:rsidR="00A56489" w:rsidRPr="007D4ADA">
        <w:rPr>
          <w:rFonts w:ascii="Arial" w:hAnsi="Arial" w:cs="Arial"/>
        </w:rPr>
        <w:t>a </w:t>
      </w:r>
      <w:r w:rsidRPr="007D4ADA">
        <w:rPr>
          <w:rFonts w:ascii="Arial" w:hAnsi="Arial" w:cs="Arial"/>
        </w:rPr>
        <w:t>focus on intervening</w:t>
      </w:r>
      <w:r w:rsidR="00E45AD2" w:rsidRPr="007D4ADA">
        <w:rPr>
          <w:rFonts w:ascii="Arial" w:hAnsi="Arial" w:cs="Arial"/>
        </w:rPr>
        <w:t xml:space="preserve"> early, and </w:t>
      </w:r>
      <w:r w:rsidRPr="007D4ADA">
        <w:rPr>
          <w:rFonts w:ascii="Arial" w:hAnsi="Arial" w:cs="Arial"/>
        </w:rPr>
        <w:t>housing first principles.</w:t>
      </w:r>
      <w:r w:rsidR="007D4ADA">
        <w:rPr>
          <w:rFonts w:ascii="Arial" w:hAnsi="Arial" w:cs="Arial"/>
        </w:rPr>
        <w:br/>
      </w:r>
    </w:p>
    <w:p w14:paraId="002FFEF3" w14:textId="6EA3B972" w:rsidR="002C3B0D" w:rsidRPr="005913DD" w:rsidRDefault="007E22F3" w:rsidP="007D4ADA">
      <w:pPr>
        <w:pStyle w:val="Bullet"/>
        <w:spacing w:after="200"/>
        <w:ind w:left="522" w:hanging="522"/>
        <w:rPr>
          <w:rFonts w:eastAsia="Georgia"/>
        </w:rPr>
      </w:pPr>
      <w:bookmarkStart w:id="1347" w:name="_Toc141972467"/>
      <w:bookmarkStart w:id="1348" w:name="_Toc141972680"/>
      <w:bookmarkStart w:id="1349" w:name="_Toc141972954"/>
      <w:bookmarkStart w:id="1350" w:name="_Toc142042514"/>
      <w:bookmarkStart w:id="1351" w:name="_Toc142042723"/>
      <w:r w:rsidRPr="00B50802">
        <w:rPr>
          <w:rStyle w:val="Strong"/>
          <w:b w:val="0"/>
          <w:noProof/>
        </w:rPr>
        <w:drawing>
          <wp:inline distT="0" distB="0" distL="0" distR="0" wp14:anchorId="3BA35015" wp14:editId="3806579B">
            <wp:extent cx="5727700" cy="5857875"/>
            <wp:effectExtent l="0" t="0" r="0" b="0"/>
            <wp:docPr id="232" name="Picture 232" descr="A responsive and coordinated service system&#10;The best outcomes for people who are homeless or at risk of homelessness are achieved if specialist and mainstream services work together closely. Improving information sharing and referral pathways can prevent people falling into homelessness, or provide a more holistic service response to those who have become homeless.&#10;A better coordinated service system will be less complex and easier to access and navigate for service users. It will also help ensure the service response meets the needs of our diverse community and reflects the diverse experiences of homelessness.&#10;&#10;Intervening early is key. &#10;Intervening early for someone experiencing or at risk of homelessness can prevent their situation from getting worse, improving long-term outcomes. &#10;This is particularly so for young people, as those who experience youth homelessness are more at risk of experiencing disadvantage and homelessness over their lifetime. Intervening early and stabilising a young person’s housing situation improves their level of engagement with family, education, training, employment and community.&#10;&#10;Housing first principles.&#10;&#10;The housing first approach to homelessness is a response to homelessness which prioritises safe and secure housing for people experiencing homelessness. Once housing is secured, an individual's other health and wellbeing needs can be addressed (although there are no requirements for an individual to engage in support services in order for them to maintain accommod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7700" cy="5857875"/>
                    </a:xfrm>
                    <a:prstGeom prst="rect">
                      <a:avLst/>
                    </a:prstGeom>
                    <a:noFill/>
                    <a:ln>
                      <a:noFill/>
                    </a:ln>
                  </pic:spPr>
                </pic:pic>
              </a:graphicData>
            </a:graphic>
          </wp:inline>
        </w:drawing>
      </w:r>
      <w:r w:rsidR="00084EEA" w:rsidRPr="00B50802">
        <w:br w:type="page"/>
      </w:r>
      <w:r w:rsidR="005913DD" w:rsidRPr="00B75F7D">
        <w:rPr>
          <w:rFonts w:eastAsiaTheme="minorEastAsia"/>
          <w:b/>
          <w:noProof/>
        </w:rPr>
        <w:lastRenderedPageBreak/>
        <mc:AlternateContent>
          <mc:Choice Requires="wps">
            <w:drawing>
              <wp:anchor distT="0" distB="0" distL="114300" distR="114300" simplePos="0" relativeHeight="251658248" behindDoc="1" locked="0" layoutInCell="1" allowOverlap="1" wp14:anchorId="297B46B8" wp14:editId="41064EDD">
                <wp:simplePos x="0" y="0"/>
                <wp:positionH relativeFrom="margin">
                  <wp:posOffset>-38100</wp:posOffset>
                </wp:positionH>
                <wp:positionV relativeFrom="paragraph">
                  <wp:posOffset>-50800</wp:posOffset>
                </wp:positionV>
                <wp:extent cx="5844845" cy="4006850"/>
                <wp:effectExtent l="0" t="0" r="22860" b="12700"/>
                <wp:wrapNone/>
                <wp:docPr id="242" name="Rectangle 242" descr="Decorative"/>
                <wp:cNvGraphicFramePr/>
                <a:graphic xmlns:a="http://schemas.openxmlformats.org/drawingml/2006/main">
                  <a:graphicData uri="http://schemas.microsoft.com/office/word/2010/wordprocessingShape">
                    <wps:wsp>
                      <wps:cNvSpPr/>
                      <wps:spPr>
                        <a:xfrm>
                          <a:off x="0" y="0"/>
                          <a:ext cx="5844845" cy="4006850"/>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43E27" id="Rectangle 242" o:spid="_x0000_s1026" alt="Decorative" style="position:absolute;margin-left:-3pt;margin-top:-4pt;width:460.2pt;height:315.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" fillcolor="#daeef3" strokecolor="black [3213]" strokeweight=".25pt">
                <w10:wrap anchorx="margin"/>
              </v:rect>
            </w:pict>
          </mc:Fallback>
        </mc:AlternateContent>
      </w:r>
      <w:r w:rsidR="00084EEA" w:rsidRPr="00B50802">
        <w:t xml:space="preserve"> </w:t>
      </w:r>
      <w:bookmarkStart w:id="1352" w:name="_Toc135035218"/>
      <w:bookmarkStart w:id="1353" w:name="_Toc135060895"/>
      <w:bookmarkStart w:id="1354" w:name="_Toc135161366"/>
      <w:bookmarkStart w:id="1355" w:name="_Toc135162313"/>
      <w:bookmarkStart w:id="1356" w:name="_Toc135162487"/>
      <w:bookmarkStart w:id="1357" w:name="_Toc135206066"/>
      <w:bookmarkStart w:id="1358" w:name="_Toc135206151"/>
      <w:bookmarkStart w:id="1359" w:name="_Toc139464309"/>
      <w:r w:rsidR="002C3B0D" w:rsidRPr="007D4ADA">
        <w:rPr>
          <w:rStyle w:val="Style1Char"/>
        </w:rPr>
        <w:t>Questions for consideration</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4C545405" w14:textId="0CF36EF2" w:rsidR="002C3B0D" w:rsidRPr="00B50802" w:rsidRDefault="002C3B0D" w:rsidP="00F17FAF">
      <w:pPr>
        <w:pStyle w:val="ListParagraph"/>
        <w:numPr>
          <w:ilvl w:val="0"/>
          <w:numId w:val="7"/>
        </w:numPr>
        <w:ind w:left="714" w:hanging="357"/>
        <w:contextualSpacing w:val="0"/>
      </w:pPr>
      <w:r w:rsidRPr="00B50802">
        <w:t>What are the main challenges in addressing chronic and repeat homelessness?</w:t>
      </w:r>
    </w:p>
    <w:p w14:paraId="5A280FF2" w14:textId="605C2576" w:rsidR="002C3B0D" w:rsidRPr="00B50802" w:rsidRDefault="002C3B0D" w:rsidP="00F17FAF">
      <w:pPr>
        <w:pStyle w:val="ListParagraph"/>
        <w:numPr>
          <w:ilvl w:val="0"/>
          <w:numId w:val="7"/>
        </w:numPr>
        <w:ind w:left="714" w:hanging="357"/>
        <w:contextualSpacing w:val="0"/>
        <w:rPr>
          <w:rFonts w:eastAsiaTheme="minorEastAsia"/>
        </w:rPr>
      </w:pPr>
      <w:r w:rsidRPr="00B50802">
        <w:t>What housing or dwelling models may need to be considered to provide appropriate options for people experiencing chronic and repeat homelessness?</w:t>
      </w:r>
    </w:p>
    <w:p w14:paraId="4DF88DC1" w14:textId="22F9FF66" w:rsidR="002C3B0D" w:rsidRPr="00B50802" w:rsidRDefault="002C3B0D" w:rsidP="00F17FAF">
      <w:pPr>
        <w:pStyle w:val="ListParagraph"/>
        <w:numPr>
          <w:ilvl w:val="0"/>
          <w:numId w:val="7"/>
        </w:numPr>
        <w:ind w:left="714" w:hanging="357"/>
        <w:contextualSpacing w:val="0"/>
      </w:pPr>
      <w:r w:rsidRPr="00B50802">
        <w:t xml:space="preserve">What are the medium and longer-term steps </w:t>
      </w:r>
      <w:r w:rsidR="00D53A8E" w:rsidRPr="00B50802">
        <w:t xml:space="preserve">that </w:t>
      </w:r>
      <w:r w:rsidRPr="00B50802">
        <w:t xml:space="preserve">can </w:t>
      </w:r>
      <w:r w:rsidR="00D53A8E" w:rsidRPr="00B50802">
        <w:t xml:space="preserve">be </w:t>
      </w:r>
      <w:r w:rsidRPr="00B50802">
        <w:t>take</w:t>
      </w:r>
      <w:r w:rsidR="00D53A8E" w:rsidRPr="00B50802">
        <w:t>n</w:t>
      </w:r>
      <w:r w:rsidRPr="00B50802">
        <w:t xml:space="preserve"> to ensure we have a</w:t>
      </w:r>
      <w:r w:rsidR="001B1C96">
        <w:t> </w:t>
      </w:r>
      <w:r w:rsidRPr="00B50802">
        <w:t xml:space="preserve">more consistent and coordinated service system to support people who are experiencing or at risk of homelessness? </w:t>
      </w:r>
    </w:p>
    <w:p w14:paraId="536312F5" w14:textId="2B562419" w:rsidR="002C3B0D" w:rsidRPr="00B50802" w:rsidRDefault="002C3B0D" w:rsidP="00F17FAF">
      <w:pPr>
        <w:pStyle w:val="ListParagraph"/>
        <w:numPr>
          <w:ilvl w:val="0"/>
          <w:numId w:val="7"/>
        </w:numPr>
        <w:ind w:left="714" w:hanging="357"/>
        <w:contextualSpacing w:val="0"/>
      </w:pPr>
      <w:r w:rsidRPr="00B50802">
        <w:t>What are the best specific early intervention approaches to prevent someone becoming homeless?</w:t>
      </w:r>
    </w:p>
    <w:p w14:paraId="1ADB25C9" w14:textId="77777777" w:rsidR="002C3B0D" w:rsidRPr="00B50802" w:rsidRDefault="002C3B0D" w:rsidP="00F17FAF">
      <w:pPr>
        <w:pStyle w:val="ListParagraph"/>
        <w:numPr>
          <w:ilvl w:val="0"/>
          <w:numId w:val="7"/>
        </w:numPr>
        <w:ind w:left="714" w:hanging="357"/>
        <w:contextualSpacing w:val="0"/>
      </w:pPr>
      <w:r w:rsidRPr="00B50802">
        <w:t>In what areas of the homelessness service response are people who are experiencing or at risk of homelessness not getting the support they need?</w:t>
      </w:r>
    </w:p>
    <w:p w14:paraId="64454F42" w14:textId="7A6F6DD8" w:rsidR="002C3B0D" w:rsidRPr="00B50802" w:rsidRDefault="002C3B0D" w:rsidP="00F17FAF">
      <w:pPr>
        <w:pStyle w:val="ListParagraph"/>
        <w:numPr>
          <w:ilvl w:val="0"/>
          <w:numId w:val="7"/>
        </w:numPr>
        <w:ind w:left="714" w:hanging="357"/>
        <w:contextualSpacing w:val="0"/>
      </w:pPr>
      <w:r w:rsidRPr="00B50802">
        <w:t>How can the availability of accessible (</w:t>
      </w:r>
      <w:r w:rsidRPr="00B50802">
        <w:rPr>
          <w:rStyle w:val="ui-provider"/>
        </w:rPr>
        <w:t xml:space="preserve">particularly in </w:t>
      </w:r>
      <w:r w:rsidR="0004766E" w:rsidRPr="00B75F7D">
        <w:rPr>
          <w:rStyle w:val="ui-provider"/>
        </w:rPr>
        <w:t xml:space="preserve">relation to </w:t>
      </w:r>
      <w:r w:rsidRPr="00B50802">
        <w:rPr>
          <w:rStyle w:val="ui-provider"/>
        </w:rPr>
        <w:t>the physical environment</w:t>
      </w:r>
      <w:r w:rsidRPr="00B50802">
        <w:t xml:space="preserve">) crisis and/or transitional accommodation </w:t>
      </w:r>
      <w:r w:rsidR="00D53A8E" w:rsidRPr="00B50802">
        <w:t xml:space="preserve">be increased </w:t>
      </w:r>
      <w:r w:rsidRPr="00B50802">
        <w:t>in the short to</w:t>
      </w:r>
      <w:r w:rsidR="001B1C96">
        <w:t> </w:t>
      </w:r>
      <w:r w:rsidRPr="00B50802">
        <w:t>medium-term?</w:t>
      </w:r>
    </w:p>
    <w:p w14:paraId="51FE7C81" w14:textId="77777777" w:rsidR="002C3B0D" w:rsidRPr="00B50802" w:rsidRDefault="002C3B0D" w:rsidP="00F17FAF">
      <w:pPr>
        <w:pStyle w:val="ListParagraph"/>
        <w:numPr>
          <w:ilvl w:val="0"/>
          <w:numId w:val="7"/>
        </w:numPr>
        <w:spacing w:after="0"/>
        <w:ind w:left="709" w:hanging="357"/>
        <w:contextualSpacing w:val="0"/>
        <w:rPr>
          <w:rFonts w:eastAsiaTheme="minorEastAsia"/>
          <w:b/>
          <w:bCs/>
          <w:iCs/>
        </w:rPr>
      </w:pPr>
      <w:r w:rsidRPr="00B50802">
        <w:t>What strategies can be used to build awareness of available services and supports for people who are at risk of homelessness or experiencing homelessness?</w:t>
      </w:r>
    </w:p>
    <w:p w14:paraId="5A6EFF10" w14:textId="77777777" w:rsidR="008F31A2" w:rsidRPr="00B50802" w:rsidRDefault="008F31A2">
      <w:pPr>
        <w:rPr>
          <w:rFonts w:ascii="Georgia" w:eastAsiaTheme="majorEastAsia" w:hAnsi="Georgia" w:cstheme="majorBidi"/>
          <w:color w:val="005A70"/>
          <w:sz w:val="36"/>
          <w:szCs w:val="36"/>
        </w:rPr>
      </w:pPr>
      <w:bookmarkStart w:id="1360" w:name="_Toc127873481"/>
      <w:bookmarkStart w:id="1361" w:name="_Toc127881157"/>
      <w:bookmarkStart w:id="1362" w:name="_Toc127883132"/>
      <w:bookmarkStart w:id="1363" w:name="_Toc127884725"/>
      <w:bookmarkStart w:id="1364" w:name="_Toc127885790"/>
      <w:bookmarkStart w:id="1365" w:name="_Toc127892109"/>
      <w:bookmarkStart w:id="1366" w:name="_Toc127949781"/>
      <w:bookmarkStart w:id="1367" w:name="_Toc127954305"/>
      <w:bookmarkStart w:id="1368" w:name="_Toc127958444"/>
      <w:bookmarkStart w:id="1369" w:name="_Toc127960324"/>
      <w:bookmarkStart w:id="1370" w:name="_Toc127960430"/>
      <w:bookmarkStart w:id="1371" w:name="_Toc127962416"/>
      <w:bookmarkStart w:id="1372" w:name="_Toc127963095"/>
      <w:bookmarkStart w:id="1373" w:name="_Toc127964094"/>
      <w:bookmarkStart w:id="1374" w:name="_Toc127964548"/>
      <w:bookmarkStart w:id="1375" w:name="_Toc127957711"/>
      <w:bookmarkStart w:id="1376" w:name="_Toc127968801"/>
      <w:bookmarkStart w:id="1377" w:name="_Toc127968830"/>
      <w:bookmarkStart w:id="1378" w:name="_Toc127969693"/>
      <w:bookmarkStart w:id="1379" w:name="_Toc127970411"/>
      <w:bookmarkStart w:id="1380" w:name="_Toc127971973"/>
      <w:bookmarkStart w:id="1381" w:name="_Toc127974285"/>
      <w:bookmarkStart w:id="1382" w:name="_Toc127974807"/>
      <w:bookmarkStart w:id="1383" w:name="_Toc127975962"/>
      <w:bookmarkStart w:id="1384" w:name="_Toc127976393"/>
      <w:bookmarkStart w:id="1385" w:name="_Toc127977533"/>
      <w:bookmarkStart w:id="1386" w:name="_Toc127977861"/>
      <w:bookmarkStart w:id="1387" w:name="_Toc127978630"/>
      <w:bookmarkStart w:id="1388" w:name="_Toc127981691"/>
      <w:bookmarkStart w:id="1389" w:name="_Toc127981313"/>
      <w:bookmarkStart w:id="1390" w:name="_Toc127981926"/>
      <w:bookmarkStart w:id="1391" w:name="_Toc127982871"/>
      <w:bookmarkStart w:id="1392" w:name="_Toc128037625"/>
      <w:bookmarkStart w:id="1393" w:name="_Toc128038080"/>
      <w:bookmarkStart w:id="1394" w:name="_Toc128039394"/>
      <w:bookmarkStart w:id="1395" w:name="_Toc128040540"/>
      <w:bookmarkStart w:id="1396" w:name="_Toc128041562"/>
      <w:bookmarkStart w:id="1397" w:name="_Toc128043367"/>
      <w:bookmarkStart w:id="1398" w:name="_Toc128044759"/>
      <w:bookmarkStart w:id="1399" w:name="_Toc128044807"/>
      <w:bookmarkStart w:id="1400" w:name="_Toc128046342"/>
      <w:bookmarkStart w:id="1401" w:name="_Toc128047227"/>
      <w:bookmarkStart w:id="1402" w:name="_Toc128048254"/>
      <w:bookmarkStart w:id="1403" w:name="_Toc128049426"/>
      <w:bookmarkStart w:id="1404" w:name="_Toc128054963"/>
      <w:bookmarkStart w:id="1405" w:name="_Toc128062108"/>
      <w:bookmarkStart w:id="1406" w:name="_Toc128063246"/>
      <w:bookmarkStart w:id="1407" w:name="_Toc128064581"/>
      <w:bookmarkStart w:id="1408" w:name="_Toc128065154"/>
      <w:bookmarkStart w:id="1409" w:name="_Toc128064945"/>
      <w:bookmarkStart w:id="1410" w:name="_Toc128125912"/>
      <w:bookmarkStart w:id="1411" w:name="_Toc128126154"/>
      <w:bookmarkStart w:id="1412" w:name="_Toc129345278"/>
      <w:bookmarkStart w:id="1413" w:name="_Toc129346027"/>
      <w:bookmarkStart w:id="1414" w:name="_Toc129348505"/>
      <w:bookmarkStart w:id="1415" w:name="_Toc129348597"/>
      <w:bookmarkStart w:id="1416" w:name="_Toc129349425"/>
      <w:bookmarkStart w:id="1417" w:name="_Toc129351684"/>
      <w:bookmarkStart w:id="1418" w:name="_Toc129353961"/>
      <w:bookmarkStart w:id="1419" w:name="_Toc129354160"/>
      <w:bookmarkStart w:id="1420" w:name="_Toc129354262"/>
      <w:bookmarkStart w:id="1421" w:name="_Toc129356741"/>
      <w:bookmarkStart w:id="1422" w:name="_Toc129359523"/>
      <w:bookmarkStart w:id="1423" w:name="_Toc129359613"/>
      <w:bookmarkStart w:id="1424" w:name="_Toc129360263"/>
      <w:bookmarkStart w:id="1425" w:name="_Toc129360508"/>
      <w:bookmarkStart w:id="1426" w:name="_Toc129360835"/>
      <w:bookmarkStart w:id="1427" w:name="_Toc126937143"/>
      <w:bookmarkStart w:id="1428" w:name="_Toc132293094"/>
      <w:bookmarkStart w:id="1429" w:name="_Toc132293471"/>
      <w:bookmarkStart w:id="1430" w:name="_Toc132293560"/>
      <w:bookmarkStart w:id="1431" w:name="_Toc132294174"/>
      <w:bookmarkStart w:id="1432" w:name="_Toc132360627"/>
      <w:bookmarkStart w:id="1433" w:name="_Toc132708339"/>
      <w:bookmarkStart w:id="1434" w:name="_Toc133839373"/>
      <w:bookmarkStart w:id="1435" w:name="_Toc133840278"/>
      <w:bookmarkStart w:id="1436" w:name="_Toc135162314"/>
      <w:bookmarkStart w:id="1437" w:name="_Toc126757187"/>
      <w:bookmarkStart w:id="1438" w:name="_Toc126763237"/>
      <w:bookmarkStart w:id="1439" w:name="_Toc126827633"/>
      <w:bookmarkStart w:id="1440" w:name="_Toc126836986"/>
      <w:bookmarkStart w:id="1441" w:name="_Toc126845298"/>
      <w:bookmarkStart w:id="1442" w:name="_Toc126852066"/>
      <w:bookmarkStart w:id="1443" w:name="_Toc126854354"/>
      <w:bookmarkStart w:id="1444" w:name="_Toc126857755"/>
      <w:bookmarkStart w:id="1445" w:name="_Toc126920569"/>
      <w:bookmarkStart w:id="1446" w:name="_Toc126921169"/>
      <w:bookmarkStart w:id="1447" w:name="_Toc126925102"/>
      <w:bookmarkStart w:id="1448" w:name="_Toc126930665"/>
      <w:bookmarkStart w:id="1449" w:name="_Toc126934950"/>
      <w:bookmarkStart w:id="1450" w:name="_Toc126934969"/>
      <w:bookmarkStart w:id="1451" w:name="_Toc127361807"/>
      <w:bookmarkStart w:id="1452" w:name="_Toc127367685"/>
      <w:bookmarkStart w:id="1453" w:name="_Toc127367757"/>
      <w:bookmarkStart w:id="1454" w:name="_Toc127873467"/>
      <w:bookmarkStart w:id="1455" w:name="_Toc127881143"/>
      <w:bookmarkStart w:id="1456" w:name="_Toc127883127"/>
      <w:bookmarkStart w:id="1457" w:name="_Toc127884720"/>
      <w:bookmarkStart w:id="1458" w:name="_Toc127885785"/>
      <w:bookmarkStart w:id="1459" w:name="_Toc127892104"/>
      <w:bookmarkStart w:id="1460" w:name="_Toc127949776"/>
      <w:bookmarkStart w:id="1461" w:name="_Toc127954300"/>
      <w:bookmarkStart w:id="1462" w:name="_Toc127958439"/>
      <w:bookmarkStart w:id="1463" w:name="_Toc127960319"/>
      <w:bookmarkStart w:id="1464" w:name="_Toc127960425"/>
      <w:bookmarkStart w:id="1465" w:name="_Toc127962411"/>
      <w:bookmarkStart w:id="1466" w:name="_Toc127963090"/>
      <w:bookmarkStart w:id="1467" w:name="_Toc127964089"/>
      <w:bookmarkStart w:id="1468" w:name="_Toc127964543"/>
      <w:bookmarkStart w:id="1469" w:name="_Toc127957706"/>
      <w:bookmarkStart w:id="1470" w:name="_Toc127968796"/>
      <w:bookmarkStart w:id="1471" w:name="_Toc127968825"/>
      <w:bookmarkStart w:id="1472" w:name="_Toc127969688"/>
      <w:bookmarkStart w:id="1473" w:name="_Toc127970406"/>
      <w:bookmarkStart w:id="1474" w:name="_Toc127971968"/>
      <w:bookmarkStart w:id="1475" w:name="_Toc127974280"/>
      <w:bookmarkStart w:id="1476" w:name="_Toc127974802"/>
      <w:bookmarkStart w:id="1477" w:name="_Toc127975957"/>
      <w:bookmarkStart w:id="1478" w:name="_Toc127976388"/>
      <w:bookmarkStart w:id="1479" w:name="_Toc127977528"/>
      <w:bookmarkStart w:id="1480" w:name="_Toc127977856"/>
      <w:bookmarkStart w:id="1481" w:name="_Toc127978625"/>
      <w:bookmarkStart w:id="1482" w:name="_Toc127981686"/>
      <w:bookmarkStart w:id="1483" w:name="_Toc127981308"/>
      <w:bookmarkStart w:id="1484" w:name="_Toc127981921"/>
      <w:bookmarkStart w:id="1485" w:name="_Toc127982866"/>
      <w:bookmarkStart w:id="1486" w:name="_Toc128037620"/>
      <w:bookmarkStart w:id="1487" w:name="_Toc128039389"/>
      <w:bookmarkStart w:id="1488" w:name="_Toc128040535"/>
      <w:bookmarkStart w:id="1489" w:name="_Toc128041557"/>
      <w:bookmarkStart w:id="1490" w:name="_Toc128043362"/>
      <w:bookmarkStart w:id="1491" w:name="_Toc128044754"/>
      <w:bookmarkStart w:id="1492" w:name="_Toc128044802"/>
      <w:bookmarkStart w:id="1493" w:name="_Toc128046337"/>
      <w:bookmarkStart w:id="1494" w:name="_Toc128047222"/>
      <w:bookmarkStart w:id="1495" w:name="_Toc128048249"/>
      <w:bookmarkStart w:id="1496" w:name="_Toc128049421"/>
      <w:bookmarkStart w:id="1497" w:name="_Toc128054958"/>
      <w:bookmarkStart w:id="1498" w:name="_Toc128062103"/>
      <w:bookmarkStart w:id="1499" w:name="_Toc128063241"/>
      <w:bookmarkStart w:id="1500" w:name="_Toc128064576"/>
      <w:bookmarkStart w:id="1501" w:name="_Toc128065149"/>
      <w:bookmarkStart w:id="1502" w:name="_Toc128064940"/>
      <w:bookmarkStart w:id="1503" w:name="_Toc128125907"/>
      <w:bookmarkStart w:id="1504" w:name="_Toc128126149"/>
      <w:bookmarkStart w:id="1505" w:name="_Toc129345273"/>
      <w:bookmarkStart w:id="1506" w:name="_Toc129346022"/>
      <w:bookmarkStart w:id="1507" w:name="_Toc129348500"/>
      <w:bookmarkStart w:id="1508" w:name="_Toc129348592"/>
      <w:bookmarkStart w:id="1509" w:name="_Toc129349420"/>
      <w:bookmarkStart w:id="1510" w:name="_Toc129351679"/>
      <w:bookmarkStart w:id="1511" w:name="_Toc129353956"/>
      <w:bookmarkStart w:id="1512" w:name="_Toc129355787"/>
      <w:bookmarkStart w:id="1513" w:name="_Toc129354155"/>
      <w:bookmarkStart w:id="1514" w:name="_Toc129354257"/>
      <w:bookmarkStart w:id="1515" w:name="_Toc129356736"/>
      <w:bookmarkStart w:id="1516" w:name="_Toc129359518"/>
      <w:bookmarkStart w:id="1517" w:name="_Toc129359608"/>
      <w:bookmarkStart w:id="1518" w:name="_Toc129360258"/>
      <w:bookmarkStart w:id="1519" w:name="_Toc129360503"/>
      <w:bookmarkStart w:id="1520" w:name="_Toc129360830"/>
      <w:r w:rsidRPr="00B50802">
        <w:br w:type="page"/>
      </w:r>
    </w:p>
    <w:p w14:paraId="1515BDE5" w14:textId="2F75EF6D" w:rsidR="00AF6F67" w:rsidRPr="00B50802" w:rsidRDefault="00AF6F67" w:rsidP="0022183E">
      <w:pPr>
        <w:pStyle w:val="Heading2"/>
      </w:pPr>
      <w:bookmarkStart w:id="1521" w:name="_Toc141972468"/>
      <w:bookmarkStart w:id="1522" w:name="_Toc141972681"/>
      <w:bookmarkStart w:id="1523" w:name="_Toc141972955"/>
      <w:bookmarkStart w:id="1524" w:name="_Toc142042515"/>
      <w:bookmarkStart w:id="1525" w:name="_Toc142042724"/>
      <w:bookmarkStart w:id="1526" w:name="_Toc142051871"/>
      <w:r w:rsidRPr="00B50802">
        <w:lastRenderedPageBreak/>
        <w:t>3.3 Aboriginal and Torres Strait Islander Housing</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521"/>
      <w:bookmarkEnd w:id="1522"/>
      <w:bookmarkEnd w:id="1523"/>
      <w:bookmarkEnd w:id="1524"/>
      <w:bookmarkEnd w:id="1525"/>
      <w:bookmarkEnd w:id="1526"/>
    </w:p>
    <w:p w14:paraId="39533F01" w14:textId="77777777" w:rsidR="008F31A2" w:rsidRPr="00B50802" w:rsidRDefault="008F31A2" w:rsidP="008F31A2">
      <w:pPr>
        <w:pBdr>
          <w:top w:val="single" w:sz="18" w:space="1" w:color="005A70"/>
          <w:left w:val="single" w:sz="18" w:space="4" w:color="005A70"/>
          <w:bottom w:val="single" w:sz="18" w:space="1" w:color="005A70"/>
          <w:right w:val="single" w:sz="18" w:space="4" w:color="005A70"/>
        </w:pBdr>
        <w:shd w:val="clear" w:color="auto" w:fill="E9F7F6"/>
        <w:rPr>
          <w:rFonts w:cs="Arial"/>
          <w:sz w:val="20"/>
        </w:rPr>
      </w:pPr>
      <w:r w:rsidRPr="00B50802">
        <w:rPr>
          <w:rFonts w:cs="Arial"/>
          <w:sz w:val="20"/>
        </w:rPr>
        <w:t xml:space="preserve">Australian governments are working with Aboriginal and Torres Strait Islander people, their communities, organisations and businesses to implement the new National Agreement on Closing the Gap at the national, state and territory, and local levels. The National Agreement on Closing the Gap includes specific actions aimed at improving housing in Aboriginal and Torres Strait Islander communities. </w:t>
      </w:r>
    </w:p>
    <w:p w14:paraId="49A4D8C9" w14:textId="74AE398D" w:rsidR="008F31A2" w:rsidRPr="00B50802" w:rsidRDefault="008F31A2" w:rsidP="008F31A2">
      <w:pPr>
        <w:pBdr>
          <w:top w:val="single" w:sz="18" w:space="1" w:color="005A70"/>
          <w:left w:val="single" w:sz="18" w:space="4" w:color="005A70"/>
          <w:bottom w:val="single" w:sz="18" w:space="1" w:color="005A70"/>
          <w:right w:val="single" w:sz="18" w:space="4" w:color="005A70"/>
        </w:pBdr>
        <w:shd w:val="clear" w:color="auto" w:fill="E9F7F6"/>
        <w:rPr>
          <w:rFonts w:cs="Arial"/>
          <w:sz w:val="20"/>
        </w:rPr>
      </w:pPr>
      <w:r w:rsidRPr="00B50802">
        <w:rPr>
          <w:rFonts w:cs="Arial"/>
          <w:i/>
          <w:sz w:val="20"/>
        </w:rPr>
        <w:t>More information on how Indigenous Australians and governments are working in partnership is</w:t>
      </w:r>
      <w:r w:rsidR="001B1C96">
        <w:rPr>
          <w:rFonts w:cs="Arial"/>
          <w:i/>
          <w:sz w:val="20"/>
        </w:rPr>
        <w:t> </w:t>
      </w:r>
      <w:r w:rsidRPr="00B50802">
        <w:rPr>
          <w:rFonts w:cs="Arial"/>
          <w:i/>
          <w:sz w:val="20"/>
        </w:rPr>
        <w:t>included on page 40</w:t>
      </w:r>
      <w:r w:rsidRPr="00B50802">
        <w:rPr>
          <w:rFonts w:cs="Arial"/>
          <w:sz w:val="20"/>
        </w:rPr>
        <w:t>.</w:t>
      </w:r>
    </w:p>
    <w:p w14:paraId="7E22A7E6" w14:textId="2B5837B8" w:rsidR="00AF6F67" w:rsidRPr="00B50802" w:rsidRDefault="00AF6F67" w:rsidP="0022183E">
      <w:r w:rsidRPr="00B50802">
        <w:t xml:space="preserve">Aboriginal and Torres Strait Islander </w:t>
      </w:r>
      <w:r w:rsidR="00DC0786" w:rsidRPr="00B50802">
        <w:t xml:space="preserve">peoples </w:t>
      </w:r>
      <w:r w:rsidRPr="00B50802">
        <w:t>experience housing inequality at a</w:t>
      </w:r>
      <w:r w:rsidR="001B1C96">
        <w:t> </w:t>
      </w:r>
      <w:r w:rsidRPr="00B50802">
        <w:t xml:space="preserve">disproportionate rate compared </w:t>
      </w:r>
      <w:r w:rsidR="00DC0786" w:rsidRPr="00B50802">
        <w:t xml:space="preserve">with </w:t>
      </w:r>
      <w:r w:rsidRPr="00B50802">
        <w:t>non-Indigenous Australians.</w:t>
      </w:r>
      <w:r w:rsidR="00074FD2" w:rsidRPr="00B50802">
        <w:rPr>
          <w:rStyle w:val="FootnoteReference"/>
        </w:rPr>
        <w:footnoteReference w:id="48"/>
      </w:r>
      <w:r w:rsidRPr="00B50802">
        <w:t xml:space="preserve"> The P</w:t>
      </w:r>
      <w:r w:rsidR="00DC0786" w:rsidRPr="00B50802">
        <w:t xml:space="preserve">roductivity </w:t>
      </w:r>
      <w:r w:rsidRPr="00B50802">
        <w:t>C</w:t>
      </w:r>
      <w:r w:rsidR="00DC0786" w:rsidRPr="00B50802">
        <w:t>ommission</w:t>
      </w:r>
      <w:r w:rsidRPr="00B50802">
        <w:t xml:space="preserve"> review of the National Housing and Homelessness Agreement </w:t>
      </w:r>
      <w:r w:rsidR="00DC0786" w:rsidRPr="00B50802">
        <w:t xml:space="preserve">found that </w:t>
      </w:r>
      <w:r w:rsidRPr="00B50802">
        <w:t>Aboriginal and Torres Strait Islander households, compared with other households, are:</w:t>
      </w:r>
    </w:p>
    <w:p w14:paraId="262B0D21" w14:textId="52133989" w:rsidR="00AF6F67" w:rsidRPr="00B50802" w:rsidRDefault="00AF6F67" w:rsidP="00F17FAF">
      <w:pPr>
        <w:pStyle w:val="Bullets"/>
        <w:numPr>
          <w:ilvl w:val="0"/>
          <w:numId w:val="21"/>
        </w:numPr>
      </w:pPr>
      <w:r w:rsidRPr="00B50802">
        <w:t>half as likely to own their own home (with or without a mortgage)</w:t>
      </w:r>
    </w:p>
    <w:p w14:paraId="5C2A84B3" w14:textId="46930FF1" w:rsidR="00AF6F67" w:rsidRPr="00B50802" w:rsidRDefault="00AF6F67" w:rsidP="00F17FAF">
      <w:pPr>
        <w:pStyle w:val="Bullets"/>
        <w:numPr>
          <w:ilvl w:val="0"/>
          <w:numId w:val="21"/>
        </w:numPr>
      </w:pPr>
      <w:r w:rsidRPr="00B50802">
        <w:t>6 times more likely to live in social housing</w:t>
      </w:r>
    </w:p>
    <w:p w14:paraId="4CF614C3" w14:textId="77777777" w:rsidR="00AF6F67" w:rsidRPr="00B50802" w:rsidRDefault="00AF6F67" w:rsidP="00F17FAF">
      <w:pPr>
        <w:pStyle w:val="Bullets"/>
        <w:numPr>
          <w:ilvl w:val="0"/>
          <w:numId w:val="21"/>
        </w:numPr>
      </w:pPr>
      <w:r w:rsidRPr="00B50802">
        <w:t>3 times more likely to live in overcrowded dwellings.</w:t>
      </w:r>
    </w:p>
    <w:p w14:paraId="17874B25" w14:textId="08750815" w:rsidR="00AF6F67" w:rsidRPr="00B50802" w:rsidRDefault="00AF6F67" w:rsidP="0022183E">
      <w:r w:rsidRPr="00B50802">
        <w:t xml:space="preserve">Aboriginal and Torres Strait Islander people, compared with other Australians, </w:t>
      </w:r>
      <w:r w:rsidR="00FB0115">
        <w:t>were</w:t>
      </w:r>
      <w:r w:rsidRPr="00B50802">
        <w:t>:</w:t>
      </w:r>
    </w:p>
    <w:p w14:paraId="1A5BA22F" w14:textId="12D75BDB" w:rsidR="00F16116" w:rsidRPr="00B50802" w:rsidRDefault="000D1FCA" w:rsidP="00F17FAF">
      <w:pPr>
        <w:pStyle w:val="Bullets"/>
        <w:numPr>
          <w:ilvl w:val="0"/>
          <w:numId w:val="22"/>
        </w:numPr>
      </w:pPr>
      <w:r>
        <w:t>9</w:t>
      </w:r>
      <w:r w:rsidR="00AF6F67" w:rsidRPr="00B50802">
        <w:t xml:space="preserve"> times more likely to be classified as homeless</w:t>
      </w:r>
      <w:r w:rsidR="00FB0115">
        <w:t xml:space="preserve"> in 2021</w:t>
      </w:r>
      <w:r w:rsidRPr="00B50802">
        <w:rPr>
          <w:rStyle w:val="FootnoteReference"/>
        </w:rPr>
        <w:footnoteReference w:id="49"/>
      </w:r>
    </w:p>
    <w:p w14:paraId="2FE0BE0D" w14:textId="6AEBA916" w:rsidR="00F16116" w:rsidRPr="00B50802" w:rsidRDefault="000D1FCA" w:rsidP="00F17FAF">
      <w:pPr>
        <w:pStyle w:val="Bullets"/>
        <w:numPr>
          <w:ilvl w:val="0"/>
          <w:numId w:val="22"/>
        </w:numPr>
      </w:pPr>
      <w:r>
        <w:t>13</w:t>
      </w:r>
      <w:r w:rsidR="00AF6F67" w:rsidRPr="00B50802">
        <w:t xml:space="preserve"> times more likely to live in severely overcrowded dwellings</w:t>
      </w:r>
      <w:r w:rsidR="00FB0115">
        <w:t xml:space="preserve"> in 2021</w:t>
      </w:r>
      <w:r w:rsidRPr="00B50802">
        <w:rPr>
          <w:rStyle w:val="FootnoteReference"/>
        </w:rPr>
        <w:footnoteReference w:id="50"/>
      </w:r>
    </w:p>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14:paraId="250B9DC6" w14:textId="5E826422" w:rsidR="00AF6F67" w:rsidRPr="00B50802" w:rsidRDefault="00AF6F67" w:rsidP="00F17FAF">
      <w:pPr>
        <w:pStyle w:val="Bullets"/>
        <w:numPr>
          <w:ilvl w:val="0"/>
          <w:numId w:val="22"/>
        </w:numPr>
      </w:pPr>
      <w:r w:rsidRPr="00B50802">
        <w:t>10 times more likely to access specialist homelessness services</w:t>
      </w:r>
      <w:r w:rsidR="00FB0115">
        <w:t xml:space="preserve"> in 2021-22</w:t>
      </w:r>
      <w:r w:rsidRPr="00B50802">
        <w:t>.</w:t>
      </w:r>
      <w:r w:rsidRPr="00B50802">
        <w:rPr>
          <w:rStyle w:val="FootnoteReference"/>
        </w:rPr>
        <w:footnoteReference w:id="51"/>
      </w:r>
    </w:p>
    <w:p w14:paraId="49B08614" w14:textId="77777777" w:rsidR="00AF6F67" w:rsidRPr="009274D8" w:rsidRDefault="00AF6F67" w:rsidP="00590BF8">
      <w:pPr>
        <w:rPr>
          <w:rFonts w:ascii="Georgia" w:eastAsia="Times New Roman" w:hAnsi="Georgia" w:cs="Calibri"/>
          <w:b/>
          <w:sz w:val="28"/>
          <w:szCs w:val="24"/>
          <w:lang w:eastAsia="en-AU"/>
        </w:rPr>
      </w:pPr>
      <w:bookmarkStart w:id="1527" w:name="_Toc134784701"/>
      <w:bookmarkStart w:id="1528" w:name="_Toc135035220"/>
      <w:bookmarkStart w:id="1529" w:name="_Toc135060897"/>
      <w:bookmarkStart w:id="1530" w:name="_Toc135161368"/>
      <w:bookmarkStart w:id="1531" w:name="_Toc135162315"/>
      <w:bookmarkStart w:id="1532" w:name="_Toc135162489"/>
      <w:bookmarkStart w:id="1533" w:name="_Toc135206068"/>
      <w:bookmarkStart w:id="1534" w:name="_Toc135206153"/>
      <w:bookmarkStart w:id="1535" w:name="_Toc139464311"/>
      <w:bookmarkStart w:id="1536" w:name="_Toc141969846"/>
      <w:bookmarkStart w:id="1537" w:name="_Toc141972469"/>
      <w:bookmarkStart w:id="1538" w:name="_Toc141972682"/>
      <w:bookmarkStart w:id="1539" w:name="_Toc141972956"/>
      <w:bookmarkStart w:id="1540" w:name="_Toc142042516"/>
      <w:bookmarkStart w:id="1541" w:name="_Toc142042725"/>
      <w:r w:rsidRPr="009274D8">
        <w:rPr>
          <w:rFonts w:ascii="Georgia" w:eastAsia="Times New Roman" w:hAnsi="Georgia" w:cs="Calibri"/>
          <w:b/>
          <w:sz w:val="28"/>
          <w:szCs w:val="24"/>
          <w:lang w:eastAsia="en-AU"/>
        </w:rPr>
        <w:t>Overcrowding</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Pr="009274D8">
        <w:rPr>
          <w:rFonts w:ascii="Georgia" w:eastAsia="Times New Roman" w:hAnsi="Georgia" w:cs="Calibri"/>
          <w:b/>
          <w:sz w:val="28"/>
          <w:szCs w:val="24"/>
          <w:lang w:eastAsia="en-AU"/>
        </w:rPr>
        <w:t xml:space="preserve"> </w:t>
      </w:r>
    </w:p>
    <w:p w14:paraId="14147C3E" w14:textId="1B89D085" w:rsidR="00AF6F67" w:rsidRPr="001B1C96" w:rsidDel="55011CC0" w:rsidRDefault="009A5FC2" w:rsidP="00691BFB">
      <w:pPr>
        <w:rPr>
          <w:rFonts w:ascii="Calibri" w:eastAsia="Calibri" w:hAnsi="Calibri" w:cs="Calibri"/>
          <w:sz w:val="24"/>
          <w:szCs w:val="24"/>
        </w:rPr>
      </w:pPr>
      <w:r w:rsidRPr="00B50802">
        <w:rPr>
          <w:rFonts w:eastAsiaTheme="minorEastAsia"/>
        </w:rPr>
        <w:t>O</w:t>
      </w:r>
      <w:r w:rsidR="00AF6F67" w:rsidRPr="00B50802">
        <w:rPr>
          <w:rFonts w:eastAsiaTheme="minorEastAsia"/>
        </w:rPr>
        <w:t>vercrowding remains a significant issue in many Indigenous communities, particularly in</w:t>
      </w:r>
      <w:r w:rsidR="001B1C96">
        <w:rPr>
          <w:rFonts w:eastAsiaTheme="minorEastAsia"/>
        </w:rPr>
        <w:t> </w:t>
      </w:r>
      <w:r w:rsidR="00AF6F67" w:rsidRPr="00B50802">
        <w:rPr>
          <w:rFonts w:eastAsiaTheme="minorEastAsia"/>
        </w:rPr>
        <w:t>remote areas. Overcrowding can affect physical, mental, social and emotional wellbeing. Overcrowding disproportionately impacts Indigenous Australians.</w:t>
      </w:r>
      <w:r w:rsidR="00AF6F67" w:rsidRPr="00B50802">
        <w:rPr>
          <w:rStyle w:val="FootnoteReference"/>
          <w:rFonts w:eastAsiaTheme="minorEastAsia"/>
        </w:rPr>
        <w:footnoteReference w:id="52"/>
      </w:r>
    </w:p>
    <w:p w14:paraId="70EF1B3B" w14:textId="211762B9" w:rsidR="00AF6F67" w:rsidRPr="00B50802" w:rsidRDefault="00AF6F67" w:rsidP="00691BFB">
      <w:pPr>
        <w:rPr>
          <w:rStyle w:val="Strong"/>
          <w:b w:val="0"/>
          <w:bCs w:val="0"/>
        </w:rPr>
      </w:pPr>
      <w:r w:rsidRPr="00B50802">
        <w:t>The National Agreement on Closing the Gap includes a specific overcrowding target (Target</w:t>
      </w:r>
      <w:r w:rsidR="001B1C96">
        <w:t> </w:t>
      </w:r>
      <w:r w:rsidRPr="00B50802">
        <w:t>9a). Target 9a commits all levels of government to increasing the proportion of</w:t>
      </w:r>
      <w:r w:rsidR="001B1C96">
        <w:t> </w:t>
      </w:r>
      <w:r w:rsidRPr="00B50802">
        <w:t>Aboriginal and Torres Strait Islander people living in appropriately sized (not overcrowded) housing to 88</w:t>
      </w:r>
      <w:r w:rsidR="00660B57" w:rsidRPr="00B50802">
        <w:t>%</w:t>
      </w:r>
      <w:r w:rsidRPr="00B50802">
        <w:t xml:space="preserve"> by 2031.</w:t>
      </w:r>
    </w:p>
    <w:p w14:paraId="1FF495EE" w14:textId="385DC811" w:rsidR="00AF6F67" w:rsidRPr="00B50802" w:rsidRDefault="00AF6F67" w:rsidP="00691BFB">
      <w:r w:rsidRPr="00B50802">
        <w:t xml:space="preserve">Rates of overcrowding vary widely from state to state. </w:t>
      </w:r>
      <w:r w:rsidR="00590BF8" w:rsidRPr="00B50802">
        <w:t xml:space="preserve">In the Northern Territory, </w:t>
      </w:r>
      <w:r w:rsidRPr="00B50802">
        <w:t>56.6% of</w:t>
      </w:r>
      <w:r w:rsidR="001B1C96">
        <w:t> </w:t>
      </w:r>
      <w:r w:rsidRPr="00B50802">
        <w:t>Aboriginal and Torres Strait Islander people</w:t>
      </w:r>
      <w:r w:rsidR="00590BF8" w:rsidRPr="00B50802">
        <w:t>s</w:t>
      </w:r>
      <w:r w:rsidRPr="00B50802">
        <w:t xml:space="preserve"> live in overcrowded dwellings compared </w:t>
      </w:r>
      <w:r w:rsidR="00590BF8" w:rsidRPr="00B50802">
        <w:t xml:space="preserve">with </w:t>
      </w:r>
      <w:r w:rsidRPr="00B50802">
        <w:t xml:space="preserve">around 10% in Victoria, Tasmania and the ACT. </w:t>
      </w:r>
      <w:r w:rsidR="00590BF8" w:rsidRPr="00B50802">
        <w:t>I</w:t>
      </w:r>
      <w:r w:rsidRPr="00B50802">
        <w:t>n contrast</w:t>
      </w:r>
      <w:r w:rsidR="00590BF8" w:rsidRPr="00B50802">
        <w:t>,</w:t>
      </w:r>
      <w:r w:rsidRPr="00B50802">
        <w:t xml:space="preserve"> 9.3% of non-Indigenous people </w:t>
      </w:r>
      <w:r w:rsidRPr="00B50802">
        <w:lastRenderedPageBreak/>
        <w:t>live in overcrowded dwellings in the N</w:t>
      </w:r>
      <w:r w:rsidR="00590BF8" w:rsidRPr="00B50802">
        <w:t xml:space="preserve">orthern </w:t>
      </w:r>
      <w:r w:rsidRPr="00B50802">
        <w:t>T</w:t>
      </w:r>
      <w:r w:rsidR="00590BF8" w:rsidRPr="00B50802">
        <w:t>erritory</w:t>
      </w:r>
      <w:r w:rsidRPr="00B50802">
        <w:t xml:space="preserve"> and between 5</w:t>
      </w:r>
      <w:r w:rsidR="00590BF8" w:rsidRPr="00B50802">
        <w:t>%</w:t>
      </w:r>
      <w:r w:rsidRPr="00B50802">
        <w:t xml:space="preserve"> and 7% in Victoria, Tasmania and the ACT.</w:t>
      </w:r>
    </w:p>
    <w:p w14:paraId="052889BB" w14:textId="77777777" w:rsidR="00C02BC0" w:rsidRPr="00B50802" w:rsidRDefault="00AF6F67" w:rsidP="00207334">
      <w:pPr>
        <w:rPr>
          <w:rFonts w:eastAsia="Times New Roman"/>
          <w:lang w:eastAsia="en-AU"/>
        </w:rPr>
      </w:pPr>
      <w:r w:rsidRPr="00B50802">
        <w:rPr>
          <w:rFonts w:eastAsia="Arial" w:cs="Arial"/>
          <w:lang w:eastAsia="en-AU"/>
        </w:rPr>
        <w:t xml:space="preserve">While available data shows a decline in overcrowding for Indigenous Australians, from </w:t>
      </w:r>
      <w:r w:rsidRPr="00B50802">
        <w:rPr>
          <w:rFonts w:eastAsia="Arial" w:cs="Arial"/>
        </w:rPr>
        <w:t>32.4% in 1996 to 18.6% in 2021,</w:t>
      </w:r>
      <w:r w:rsidRPr="00B50802">
        <w:rPr>
          <w:rStyle w:val="FootnoteReference"/>
          <w:rFonts w:eastAsia="Arial" w:cs="Arial"/>
        </w:rPr>
        <w:footnoteReference w:id="53"/>
      </w:r>
      <w:r w:rsidRPr="00B50802">
        <w:rPr>
          <w:rFonts w:eastAsia="Arial" w:cs="Arial"/>
          <w:lang w:eastAsia="en-AU"/>
        </w:rPr>
        <w:t xml:space="preserve"> more work </w:t>
      </w:r>
      <w:r w:rsidR="00590BF8" w:rsidRPr="00B50802">
        <w:rPr>
          <w:rFonts w:eastAsia="Arial" w:cs="Arial"/>
          <w:lang w:eastAsia="en-AU"/>
        </w:rPr>
        <w:t xml:space="preserve">is </w:t>
      </w:r>
      <w:r w:rsidRPr="00B50802">
        <w:rPr>
          <w:rFonts w:eastAsia="Arial" w:cs="Arial"/>
          <w:lang w:eastAsia="en-AU"/>
        </w:rPr>
        <w:t>required to close the gap between Indigenous and non-Indigenous Australians</w:t>
      </w:r>
      <w:r w:rsidR="00BC29FC" w:rsidRPr="00B50802">
        <w:rPr>
          <w:rFonts w:eastAsia="Arial" w:cs="Arial"/>
          <w:lang w:eastAsia="en-AU"/>
        </w:rPr>
        <w:t>’</w:t>
      </w:r>
      <w:r w:rsidRPr="00B50802">
        <w:rPr>
          <w:rFonts w:eastAsia="Arial" w:cs="Arial"/>
          <w:lang w:eastAsia="en-AU"/>
        </w:rPr>
        <w:t xml:space="preserve"> access to safe and adequate housing. Significant further effort is needed to improve Indigenous Australians’ housing and homelessness outcomes across the spectrum.</w:t>
      </w:r>
    </w:p>
    <w:p w14:paraId="5EDB8940" w14:textId="5C055121" w:rsidR="004163A5" w:rsidRPr="009274D8" w:rsidRDefault="004163A5" w:rsidP="009274D8">
      <w:pPr>
        <w:pStyle w:val="Bullet"/>
        <w:rPr>
          <w:rStyle w:val="BulletChar"/>
          <w:b/>
          <w:i/>
          <w:vertAlign w:val="superscript"/>
          <w:lang w:eastAsia="en-US"/>
        </w:rPr>
      </w:pPr>
      <w:r w:rsidRPr="009274D8">
        <w:rPr>
          <w:rStyle w:val="BulletChar"/>
          <w:rFonts w:ascii="Arial" w:hAnsi="Arial" w:cs="Arial"/>
          <w:b/>
          <w:i/>
        </w:rPr>
        <w:t>People living in appropriately sized (not overcrowded) dwellings</w:t>
      </w:r>
      <w:r w:rsidR="009274D8" w:rsidRPr="009274D8">
        <w:rPr>
          <w:rStyle w:val="BulletChar"/>
          <w:b/>
          <w:i/>
          <w:vertAlign w:val="superscript"/>
        </w:rPr>
        <w:footnoteReference w:id="54"/>
      </w:r>
    </w:p>
    <w:tbl>
      <w:tblPr>
        <w:tblW w:w="4863" w:type="pct"/>
        <w:tblLook w:val="04A0" w:firstRow="1" w:lastRow="0" w:firstColumn="1" w:lastColumn="0" w:noHBand="0" w:noVBand="1"/>
        <w:tblCaption w:val="Overcrowding rates by state and territory"/>
      </w:tblPr>
      <w:tblGrid>
        <w:gridCol w:w="1072"/>
        <w:gridCol w:w="1617"/>
        <w:gridCol w:w="1407"/>
        <w:gridCol w:w="1617"/>
        <w:gridCol w:w="1407"/>
        <w:gridCol w:w="1649"/>
      </w:tblGrid>
      <w:tr w:rsidR="004163A5" w:rsidRPr="009274D8" w14:paraId="1066F721" w14:textId="77777777" w:rsidTr="00E66CEA">
        <w:trPr>
          <w:trHeight w:val="606"/>
          <w:tblHeader/>
        </w:trPr>
        <w:tc>
          <w:tcPr>
            <w:tcW w:w="594" w:type="pct"/>
            <w:tcBorders>
              <w:top w:val="single" w:sz="4" w:space="0" w:color="auto"/>
              <w:left w:val="single" w:sz="4" w:space="0" w:color="auto"/>
              <w:bottom w:val="single" w:sz="4" w:space="0" w:color="auto"/>
              <w:right w:val="single" w:sz="4" w:space="0" w:color="auto"/>
            </w:tcBorders>
            <w:shd w:val="clear" w:color="auto" w:fill="500778"/>
            <w:noWrap/>
            <w:vAlign w:val="center"/>
            <w:hideMark/>
          </w:tcPr>
          <w:p w14:paraId="272D4C7F" w14:textId="77777777" w:rsidR="004163A5" w:rsidRPr="009274D8" w:rsidRDefault="004163A5" w:rsidP="009274D8">
            <w:pPr>
              <w:pStyle w:val="Bullet"/>
              <w:rPr>
                <w:rFonts w:ascii="Arial" w:hAnsi="Arial" w:cs="Arial"/>
                <w:color w:val="FFFFFF" w:themeColor="background1"/>
                <w:sz w:val="18"/>
                <w:szCs w:val="22"/>
              </w:rPr>
            </w:pPr>
          </w:p>
        </w:tc>
        <w:tc>
          <w:tcPr>
            <w:tcW w:w="852" w:type="pct"/>
            <w:tcBorders>
              <w:top w:val="single" w:sz="4" w:space="0" w:color="auto"/>
              <w:left w:val="nil"/>
              <w:bottom w:val="single" w:sz="4" w:space="0" w:color="auto"/>
              <w:right w:val="single" w:sz="4" w:space="0" w:color="auto"/>
            </w:tcBorders>
            <w:shd w:val="clear" w:color="auto" w:fill="500778"/>
            <w:vAlign w:val="center"/>
          </w:tcPr>
          <w:p w14:paraId="0FDC5B5D"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2016</w:t>
            </w:r>
          </w:p>
          <w:p w14:paraId="13A9AD3E"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non-Indigenous</w:t>
            </w:r>
          </w:p>
        </w:tc>
        <w:tc>
          <w:tcPr>
            <w:tcW w:w="854" w:type="pct"/>
            <w:tcBorders>
              <w:top w:val="single" w:sz="4" w:space="0" w:color="auto"/>
              <w:left w:val="single" w:sz="4" w:space="0" w:color="auto"/>
              <w:bottom w:val="single" w:sz="4" w:space="0" w:color="auto"/>
              <w:right w:val="single" w:sz="4" w:space="0" w:color="auto"/>
            </w:tcBorders>
            <w:shd w:val="clear" w:color="auto" w:fill="500778"/>
            <w:noWrap/>
            <w:vAlign w:val="center"/>
            <w:hideMark/>
          </w:tcPr>
          <w:p w14:paraId="6F67EEAD"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2016</w:t>
            </w:r>
          </w:p>
          <w:p w14:paraId="013C43CF"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Indigenous</w:t>
            </w:r>
          </w:p>
        </w:tc>
        <w:tc>
          <w:tcPr>
            <w:tcW w:w="853" w:type="pct"/>
            <w:tcBorders>
              <w:top w:val="single" w:sz="4" w:space="0" w:color="auto"/>
              <w:left w:val="nil"/>
              <w:bottom w:val="single" w:sz="4" w:space="0" w:color="auto"/>
              <w:right w:val="single" w:sz="4" w:space="0" w:color="auto"/>
            </w:tcBorders>
            <w:shd w:val="clear" w:color="auto" w:fill="500778"/>
            <w:vAlign w:val="center"/>
          </w:tcPr>
          <w:p w14:paraId="0002117A"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2021</w:t>
            </w:r>
          </w:p>
          <w:p w14:paraId="6A652E6A"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non-Indigenous</w:t>
            </w:r>
          </w:p>
        </w:tc>
        <w:tc>
          <w:tcPr>
            <w:tcW w:w="854" w:type="pct"/>
            <w:tcBorders>
              <w:top w:val="single" w:sz="4" w:space="0" w:color="auto"/>
              <w:left w:val="single" w:sz="4" w:space="0" w:color="auto"/>
              <w:bottom w:val="single" w:sz="4" w:space="0" w:color="auto"/>
              <w:right w:val="single" w:sz="4" w:space="0" w:color="auto"/>
            </w:tcBorders>
            <w:shd w:val="clear" w:color="auto" w:fill="500778"/>
            <w:noWrap/>
            <w:vAlign w:val="center"/>
            <w:hideMark/>
          </w:tcPr>
          <w:p w14:paraId="46B28D95"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2021</w:t>
            </w:r>
          </w:p>
          <w:p w14:paraId="4AEE5E5A"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Indigenous</w:t>
            </w:r>
          </w:p>
        </w:tc>
        <w:tc>
          <w:tcPr>
            <w:tcW w:w="992" w:type="pct"/>
            <w:tcBorders>
              <w:top w:val="single" w:sz="4" w:space="0" w:color="auto"/>
              <w:left w:val="nil"/>
              <w:bottom w:val="single" w:sz="4" w:space="0" w:color="auto"/>
              <w:right w:val="single" w:sz="4" w:space="0" w:color="auto"/>
            </w:tcBorders>
            <w:shd w:val="clear" w:color="auto" w:fill="500778"/>
            <w:vAlign w:val="center"/>
            <w:hideMark/>
          </w:tcPr>
          <w:p w14:paraId="35A678A4"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 point change Indigenous</w:t>
            </w:r>
          </w:p>
          <w:p w14:paraId="4E6EEC2A" w14:textId="77777777" w:rsidR="004163A5" w:rsidRPr="009274D8" w:rsidRDefault="004163A5" w:rsidP="009274D8">
            <w:pPr>
              <w:pStyle w:val="Bullet"/>
              <w:rPr>
                <w:rFonts w:ascii="Arial" w:hAnsi="Arial" w:cs="Arial"/>
                <w:color w:val="FFFFFF" w:themeColor="background1"/>
                <w:sz w:val="18"/>
                <w:szCs w:val="22"/>
              </w:rPr>
            </w:pPr>
            <w:r w:rsidRPr="009274D8">
              <w:rPr>
                <w:rFonts w:ascii="Arial" w:hAnsi="Arial" w:cs="Arial"/>
                <w:color w:val="FFFFFF" w:themeColor="background1"/>
                <w:sz w:val="18"/>
                <w:szCs w:val="22"/>
              </w:rPr>
              <w:t>2016-2021</w:t>
            </w:r>
          </w:p>
        </w:tc>
      </w:tr>
      <w:tr w:rsidR="004163A5" w:rsidRPr="009274D8" w14:paraId="3357F2DA"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92367BB" w14:textId="77777777" w:rsidR="004163A5" w:rsidRPr="009274D8" w:rsidRDefault="004163A5" w:rsidP="009274D8">
            <w:pPr>
              <w:pStyle w:val="Bullet"/>
              <w:rPr>
                <w:rFonts w:ascii="Arial" w:hAnsi="Arial" w:cs="Arial"/>
                <w:szCs w:val="22"/>
              </w:rPr>
            </w:pPr>
            <w:r w:rsidRPr="009274D8">
              <w:rPr>
                <w:rFonts w:ascii="Arial" w:hAnsi="Arial" w:cs="Arial"/>
                <w:szCs w:val="22"/>
              </w:rPr>
              <w:t>NSW</w:t>
            </w:r>
          </w:p>
        </w:tc>
        <w:tc>
          <w:tcPr>
            <w:tcW w:w="852" w:type="pct"/>
            <w:tcBorders>
              <w:top w:val="single" w:sz="4" w:space="0" w:color="auto"/>
              <w:left w:val="nil"/>
              <w:bottom w:val="single" w:sz="4" w:space="0" w:color="auto"/>
              <w:right w:val="single" w:sz="4" w:space="0" w:color="auto"/>
            </w:tcBorders>
          </w:tcPr>
          <w:p w14:paraId="3E4F5A5C" w14:textId="77777777" w:rsidR="004163A5" w:rsidRPr="009274D8" w:rsidRDefault="004163A5" w:rsidP="009274D8">
            <w:pPr>
              <w:pStyle w:val="Bullet"/>
              <w:rPr>
                <w:rFonts w:ascii="Arial" w:hAnsi="Arial" w:cs="Arial"/>
                <w:szCs w:val="22"/>
              </w:rPr>
            </w:pPr>
            <w:r w:rsidRPr="009274D8">
              <w:rPr>
                <w:rFonts w:ascii="Arial" w:hAnsi="Arial" w:cs="Arial"/>
                <w:szCs w:val="22"/>
              </w:rPr>
              <w:t>90.4%</w:t>
            </w:r>
          </w:p>
        </w:tc>
        <w:tc>
          <w:tcPr>
            <w:tcW w:w="854" w:type="pct"/>
            <w:tcBorders>
              <w:top w:val="nil"/>
              <w:left w:val="single" w:sz="4" w:space="0" w:color="auto"/>
              <w:bottom w:val="single" w:sz="4" w:space="0" w:color="auto"/>
              <w:right w:val="single" w:sz="4" w:space="0" w:color="auto"/>
            </w:tcBorders>
            <w:shd w:val="clear" w:color="auto" w:fill="auto"/>
            <w:noWrap/>
            <w:hideMark/>
          </w:tcPr>
          <w:p w14:paraId="054A44B5" w14:textId="77777777" w:rsidR="004163A5" w:rsidRPr="009274D8" w:rsidRDefault="004163A5" w:rsidP="009274D8">
            <w:pPr>
              <w:pStyle w:val="Bullet"/>
              <w:rPr>
                <w:rFonts w:ascii="Arial" w:hAnsi="Arial" w:cs="Arial"/>
                <w:szCs w:val="22"/>
              </w:rPr>
            </w:pPr>
            <w:r w:rsidRPr="009274D8">
              <w:rPr>
                <w:rFonts w:ascii="Arial" w:hAnsi="Arial" w:cs="Arial"/>
                <w:szCs w:val="22"/>
              </w:rPr>
              <w:t>85.9%</w:t>
            </w:r>
          </w:p>
        </w:tc>
        <w:tc>
          <w:tcPr>
            <w:tcW w:w="853" w:type="pct"/>
            <w:tcBorders>
              <w:top w:val="nil"/>
              <w:left w:val="nil"/>
              <w:bottom w:val="single" w:sz="4" w:space="0" w:color="auto"/>
              <w:right w:val="single" w:sz="4" w:space="0" w:color="auto"/>
            </w:tcBorders>
            <w:shd w:val="clear" w:color="auto" w:fill="F1F5F9"/>
          </w:tcPr>
          <w:p w14:paraId="0D3A7999" w14:textId="77777777" w:rsidR="004163A5" w:rsidRPr="009274D8" w:rsidRDefault="004163A5" w:rsidP="009274D8">
            <w:pPr>
              <w:pStyle w:val="Bullet"/>
              <w:rPr>
                <w:rFonts w:ascii="Arial" w:hAnsi="Arial" w:cs="Arial"/>
                <w:szCs w:val="22"/>
              </w:rPr>
            </w:pPr>
            <w:r w:rsidRPr="009274D8">
              <w:rPr>
                <w:rFonts w:ascii="Arial" w:hAnsi="Arial" w:cs="Arial"/>
                <w:szCs w:val="22"/>
              </w:rPr>
              <w:t>91.6%</w:t>
            </w:r>
          </w:p>
        </w:tc>
        <w:tc>
          <w:tcPr>
            <w:tcW w:w="854" w:type="pct"/>
            <w:tcBorders>
              <w:top w:val="nil"/>
              <w:left w:val="single" w:sz="4" w:space="0" w:color="auto"/>
              <w:bottom w:val="single" w:sz="4" w:space="0" w:color="auto"/>
              <w:right w:val="single" w:sz="4" w:space="0" w:color="auto"/>
            </w:tcBorders>
            <w:shd w:val="clear" w:color="auto" w:fill="F1F5F9"/>
            <w:noWrap/>
            <w:hideMark/>
          </w:tcPr>
          <w:p w14:paraId="17578BA5" w14:textId="77777777" w:rsidR="004163A5" w:rsidRPr="009274D8" w:rsidRDefault="004163A5" w:rsidP="009274D8">
            <w:pPr>
              <w:pStyle w:val="Bullet"/>
              <w:rPr>
                <w:rFonts w:ascii="Arial" w:hAnsi="Arial" w:cs="Arial"/>
                <w:szCs w:val="22"/>
              </w:rPr>
            </w:pPr>
            <w:r w:rsidRPr="009274D8">
              <w:rPr>
                <w:rFonts w:ascii="Arial" w:hAnsi="Arial" w:cs="Arial"/>
                <w:szCs w:val="22"/>
              </w:rPr>
              <w:t>87.5%</w:t>
            </w:r>
          </w:p>
        </w:tc>
        <w:tc>
          <w:tcPr>
            <w:tcW w:w="992" w:type="pct"/>
            <w:tcBorders>
              <w:top w:val="nil"/>
              <w:left w:val="nil"/>
              <w:bottom w:val="single" w:sz="4" w:space="0" w:color="auto"/>
              <w:right w:val="single" w:sz="4" w:space="0" w:color="auto"/>
            </w:tcBorders>
            <w:shd w:val="clear" w:color="auto" w:fill="auto"/>
            <w:noWrap/>
            <w:hideMark/>
          </w:tcPr>
          <w:p w14:paraId="1495011A" w14:textId="77777777" w:rsidR="004163A5" w:rsidRPr="009274D8" w:rsidRDefault="004163A5" w:rsidP="009274D8">
            <w:pPr>
              <w:pStyle w:val="Bullet"/>
              <w:rPr>
                <w:rFonts w:ascii="Arial" w:hAnsi="Arial" w:cs="Arial"/>
                <w:szCs w:val="22"/>
              </w:rPr>
            </w:pPr>
            <w:r w:rsidRPr="009274D8">
              <w:rPr>
                <w:rFonts w:ascii="Arial" w:hAnsi="Arial" w:cs="Arial"/>
                <w:szCs w:val="22"/>
              </w:rPr>
              <w:t>1.6</w:t>
            </w:r>
          </w:p>
        </w:tc>
      </w:tr>
      <w:tr w:rsidR="004163A5" w:rsidRPr="009274D8" w14:paraId="71887BEA"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00C55B5" w14:textId="77777777" w:rsidR="004163A5" w:rsidRPr="009274D8" w:rsidRDefault="004163A5" w:rsidP="009274D8">
            <w:pPr>
              <w:pStyle w:val="Bullet"/>
              <w:rPr>
                <w:rFonts w:ascii="Arial" w:hAnsi="Arial" w:cs="Arial"/>
                <w:szCs w:val="22"/>
              </w:rPr>
            </w:pPr>
            <w:r w:rsidRPr="009274D8">
              <w:rPr>
                <w:rFonts w:ascii="Arial" w:hAnsi="Arial" w:cs="Arial"/>
                <w:szCs w:val="22"/>
              </w:rPr>
              <w:t>Vic</w:t>
            </w:r>
          </w:p>
        </w:tc>
        <w:tc>
          <w:tcPr>
            <w:tcW w:w="852" w:type="pct"/>
            <w:tcBorders>
              <w:top w:val="single" w:sz="4" w:space="0" w:color="auto"/>
              <w:left w:val="nil"/>
              <w:bottom w:val="single" w:sz="4" w:space="0" w:color="auto"/>
              <w:right w:val="single" w:sz="4" w:space="0" w:color="auto"/>
            </w:tcBorders>
          </w:tcPr>
          <w:p w14:paraId="0440E9A8" w14:textId="77777777" w:rsidR="004163A5" w:rsidRPr="009274D8" w:rsidRDefault="004163A5" w:rsidP="009274D8">
            <w:pPr>
              <w:pStyle w:val="Bullet"/>
              <w:rPr>
                <w:rFonts w:ascii="Arial" w:hAnsi="Arial" w:cs="Arial"/>
                <w:szCs w:val="22"/>
              </w:rPr>
            </w:pPr>
            <w:r w:rsidRPr="009274D8">
              <w:rPr>
                <w:rFonts w:ascii="Arial" w:hAnsi="Arial" w:cs="Arial"/>
                <w:szCs w:val="22"/>
              </w:rPr>
              <w:t>92.8%</w:t>
            </w:r>
          </w:p>
        </w:tc>
        <w:tc>
          <w:tcPr>
            <w:tcW w:w="854" w:type="pct"/>
            <w:tcBorders>
              <w:top w:val="nil"/>
              <w:left w:val="single" w:sz="4" w:space="0" w:color="auto"/>
              <w:bottom w:val="single" w:sz="4" w:space="0" w:color="auto"/>
              <w:right w:val="single" w:sz="4" w:space="0" w:color="auto"/>
            </w:tcBorders>
            <w:shd w:val="clear" w:color="auto" w:fill="auto"/>
            <w:noWrap/>
            <w:hideMark/>
          </w:tcPr>
          <w:p w14:paraId="495090E5" w14:textId="77777777" w:rsidR="004163A5" w:rsidRPr="009274D8" w:rsidRDefault="004163A5" w:rsidP="009274D8">
            <w:pPr>
              <w:pStyle w:val="Bullet"/>
              <w:rPr>
                <w:rFonts w:ascii="Arial" w:hAnsi="Arial" w:cs="Arial"/>
                <w:szCs w:val="22"/>
              </w:rPr>
            </w:pPr>
            <w:r w:rsidRPr="009274D8">
              <w:rPr>
                <w:rFonts w:ascii="Arial" w:hAnsi="Arial" w:cs="Arial"/>
                <w:szCs w:val="22"/>
              </w:rPr>
              <w:t>87.6%</w:t>
            </w:r>
          </w:p>
        </w:tc>
        <w:tc>
          <w:tcPr>
            <w:tcW w:w="853" w:type="pct"/>
            <w:tcBorders>
              <w:top w:val="nil"/>
              <w:left w:val="nil"/>
              <w:bottom w:val="single" w:sz="4" w:space="0" w:color="auto"/>
              <w:right w:val="single" w:sz="4" w:space="0" w:color="auto"/>
            </w:tcBorders>
            <w:shd w:val="clear" w:color="auto" w:fill="F1F5F9"/>
          </w:tcPr>
          <w:p w14:paraId="32D38A3E" w14:textId="77777777" w:rsidR="004163A5" w:rsidRPr="009274D8" w:rsidRDefault="004163A5" w:rsidP="009274D8">
            <w:pPr>
              <w:pStyle w:val="Bullet"/>
              <w:rPr>
                <w:rFonts w:ascii="Arial" w:hAnsi="Arial" w:cs="Arial"/>
                <w:szCs w:val="22"/>
              </w:rPr>
            </w:pPr>
            <w:r w:rsidRPr="009274D8">
              <w:rPr>
                <w:rFonts w:ascii="Arial" w:hAnsi="Arial" w:cs="Arial"/>
                <w:szCs w:val="22"/>
              </w:rPr>
              <w:t>93.7%</w:t>
            </w:r>
          </w:p>
        </w:tc>
        <w:tc>
          <w:tcPr>
            <w:tcW w:w="854" w:type="pct"/>
            <w:tcBorders>
              <w:top w:val="nil"/>
              <w:left w:val="single" w:sz="4" w:space="0" w:color="auto"/>
              <w:bottom w:val="single" w:sz="4" w:space="0" w:color="auto"/>
              <w:right w:val="single" w:sz="4" w:space="0" w:color="auto"/>
            </w:tcBorders>
            <w:shd w:val="clear" w:color="auto" w:fill="F1F5F9"/>
            <w:noWrap/>
            <w:hideMark/>
          </w:tcPr>
          <w:p w14:paraId="786B3952" w14:textId="77777777" w:rsidR="004163A5" w:rsidRPr="009274D8" w:rsidRDefault="004163A5" w:rsidP="009274D8">
            <w:pPr>
              <w:pStyle w:val="Bullet"/>
              <w:rPr>
                <w:rFonts w:ascii="Arial" w:hAnsi="Arial" w:cs="Arial"/>
                <w:bCs/>
                <w:szCs w:val="22"/>
              </w:rPr>
            </w:pPr>
            <w:r w:rsidRPr="009274D8">
              <w:rPr>
                <w:rFonts w:ascii="Arial" w:hAnsi="Arial" w:cs="Arial"/>
                <w:bCs/>
                <w:szCs w:val="22"/>
              </w:rPr>
              <w:t>88.8%</w:t>
            </w:r>
          </w:p>
        </w:tc>
        <w:tc>
          <w:tcPr>
            <w:tcW w:w="992" w:type="pct"/>
            <w:tcBorders>
              <w:top w:val="nil"/>
              <w:left w:val="nil"/>
              <w:bottom w:val="single" w:sz="4" w:space="0" w:color="auto"/>
              <w:right w:val="single" w:sz="4" w:space="0" w:color="auto"/>
            </w:tcBorders>
            <w:shd w:val="clear" w:color="auto" w:fill="auto"/>
            <w:noWrap/>
            <w:hideMark/>
          </w:tcPr>
          <w:p w14:paraId="448305F6" w14:textId="77777777" w:rsidR="004163A5" w:rsidRPr="009274D8" w:rsidRDefault="004163A5" w:rsidP="009274D8">
            <w:pPr>
              <w:pStyle w:val="Bullet"/>
              <w:rPr>
                <w:rFonts w:ascii="Arial" w:hAnsi="Arial" w:cs="Arial"/>
                <w:szCs w:val="22"/>
              </w:rPr>
            </w:pPr>
            <w:r w:rsidRPr="009274D8">
              <w:rPr>
                <w:rFonts w:ascii="Arial" w:hAnsi="Arial" w:cs="Arial"/>
                <w:szCs w:val="22"/>
              </w:rPr>
              <w:t>1.2</w:t>
            </w:r>
          </w:p>
        </w:tc>
      </w:tr>
      <w:tr w:rsidR="004163A5" w:rsidRPr="009274D8" w14:paraId="5E6D7340"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C06C023" w14:textId="77777777" w:rsidR="004163A5" w:rsidRPr="009274D8" w:rsidRDefault="004163A5" w:rsidP="009274D8">
            <w:pPr>
              <w:pStyle w:val="Bullet"/>
              <w:rPr>
                <w:rFonts w:ascii="Arial" w:hAnsi="Arial" w:cs="Arial"/>
                <w:szCs w:val="22"/>
              </w:rPr>
            </w:pPr>
            <w:r w:rsidRPr="009274D8">
              <w:rPr>
                <w:rFonts w:ascii="Arial" w:hAnsi="Arial" w:cs="Arial"/>
                <w:szCs w:val="22"/>
              </w:rPr>
              <w:t>QLD</w:t>
            </w:r>
          </w:p>
        </w:tc>
        <w:tc>
          <w:tcPr>
            <w:tcW w:w="852" w:type="pct"/>
            <w:tcBorders>
              <w:top w:val="single" w:sz="4" w:space="0" w:color="auto"/>
              <w:left w:val="nil"/>
              <w:bottom w:val="single" w:sz="4" w:space="0" w:color="auto"/>
              <w:right w:val="single" w:sz="4" w:space="0" w:color="auto"/>
            </w:tcBorders>
          </w:tcPr>
          <w:p w14:paraId="4A05C991" w14:textId="77777777" w:rsidR="004163A5" w:rsidRPr="009274D8" w:rsidRDefault="004163A5" w:rsidP="009274D8">
            <w:pPr>
              <w:pStyle w:val="Bullet"/>
              <w:rPr>
                <w:rFonts w:ascii="Arial" w:hAnsi="Arial" w:cs="Arial"/>
                <w:szCs w:val="22"/>
              </w:rPr>
            </w:pPr>
            <w:r w:rsidRPr="009274D8">
              <w:rPr>
                <w:rFonts w:ascii="Arial" w:hAnsi="Arial" w:cs="Arial"/>
                <w:szCs w:val="22"/>
              </w:rPr>
              <w:t>94.6%</w:t>
            </w:r>
          </w:p>
        </w:tc>
        <w:tc>
          <w:tcPr>
            <w:tcW w:w="854" w:type="pct"/>
            <w:tcBorders>
              <w:top w:val="nil"/>
              <w:left w:val="single" w:sz="4" w:space="0" w:color="auto"/>
              <w:bottom w:val="single" w:sz="4" w:space="0" w:color="auto"/>
              <w:right w:val="single" w:sz="4" w:space="0" w:color="auto"/>
            </w:tcBorders>
            <w:shd w:val="clear" w:color="auto" w:fill="auto"/>
            <w:noWrap/>
            <w:hideMark/>
          </w:tcPr>
          <w:p w14:paraId="5B12AB1F" w14:textId="77777777" w:rsidR="004163A5" w:rsidRPr="009274D8" w:rsidRDefault="004163A5" w:rsidP="009274D8">
            <w:pPr>
              <w:pStyle w:val="Bullet"/>
              <w:rPr>
                <w:rFonts w:ascii="Arial" w:hAnsi="Arial" w:cs="Arial"/>
                <w:szCs w:val="22"/>
              </w:rPr>
            </w:pPr>
            <w:r w:rsidRPr="009274D8">
              <w:rPr>
                <w:rFonts w:ascii="Arial" w:hAnsi="Arial" w:cs="Arial"/>
                <w:szCs w:val="22"/>
              </w:rPr>
              <w:t>79.4%</w:t>
            </w:r>
          </w:p>
        </w:tc>
        <w:tc>
          <w:tcPr>
            <w:tcW w:w="853" w:type="pct"/>
            <w:tcBorders>
              <w:top w:val="nil"/>
              <w:left w:val="nil"/>
              <w:bottom w:val="single" w:sz="4" w:space="0" w:color="auto"/>
              <w:right w:val="single" w:sz="4" w:space="0" w:color="auto"/>
            </w:tcBorders>
            <w:shd w:val="clear" w:color="auto" w:fill="F1F5F9"/>
          </w:tcPr>
          <w:p w14:paraId="763BB03B" w14:textId="77777777" w:rsidR="004163A5" w:rsidRPr="009274D8" w:rsidRDefault="004163A5" w:rsidP="009274D8">
            <w:pPr>
              <w:pStyle w:val="Bullet"/>
              <w:rPr>
                <w:rFonts w:ascii="Arial" w:hAnsi="Arial" w:cs="Arial"/>
                <w:szCs w:val="22"/>
              </w:rPr>
            </w:pPr>
            <w:r w:rsidRPr="009274D8">
              <w:rPr>
                <w:rFonts w:ascii="Arial" w:hAnsi="Arial" w:cs="Arial"/>
                <w:szCs w:val="22"/>
              </w:rPr>
              <w:t>94.8%</w:t>
            </w:r>
          </w:p>
        </w:tc>
        <w:tc>
          <w:tcPr>
            <w:tcW w:w="854" w:type="pct"/>
            <w:tcBorders>
              <w:top w:val="nil"/>
              <w:left w:val="single" w:sz="4" w:space="0" w:color="auto"/>
              <w:bottom w:val="single" w:sz="4" w:space="0" w:color="auto"/>
              <w:right w:val="single" w:sz="4" w:space="0" w:color="auto"/>
            </w:tcBorders>
            <w:shd w:val="clear" w:color="auto" w:fill="F1F5F9"/>
            <w:noWrap/>
            <w:hideMark/>
          </w:tcPr>
          <w:p w14:paraId="6AE4BDD1" w14:textId="77777777" w:rsidR="004163A5" w:rsidRPr="009274D8" w:rsidRDefault="004163A5" w:rsidP="009274D8">
            <w:pPr>
              <w:pStyle w:val="Bullet"/>
              <w:rPr>
                <w:rFonts w:ascii="Arial" w:hAnsi="Arial" w:cs="Arial"/>
                <w:szCs w:val="22"/>
              </w:rPr>
            </w:pPr>
            <w:r w:rsidRPr="009274D8">
              <w:rPr>
                <w:rFonts w:ascii="Arial" w:hAnsi="Arial" w:cs="Arial"/>
                <w:szCs w:val="22"/>
              </w:rPr>
              <w:t>81.2%</w:t>
            </w:r>
          </w:p>
        </w:tc>
        <w:tc>
          <w:tcPr>
            <w:tcW w:w="992" w:type="pct"/>
            <w:tcBorders>
              <w:top w:val="nil"/>
              <w:left w:val="nil"/>
              <w:bottom w:val="single" w:sz="4" w:space="0" w:color="auto"/>
              <w:right w:val="single" w:sz="4" w:space="0" w:color="auto"/>
            </w:tcBorders>
            <w:shd w:val="clear" w:color="auto" w:fill="auto"/>
            <w:noWrap/>
            <w:hideMark/>
          </w:tcPr>
          <w:p w14:paraId="6452FAD4" w14:textId="77777777" w:rsidR="004163A5" w:rsidRPr="009274D8" w:rsidRDefault="004163A5" w:rsidP="009274D8">
            <w:pPr>
              <w:pStyle w:val="Bullet"/>
              <w:rPr>
                <w:rFonts w:ascii="Arial" w:hAnsi="Arial" w:cs="Arial"/>
                <w:szCs w:val="22"/>
              </w:rPr>
            </w:pPr>
            <w:r w:rsidRPr="009274D8">
              <w:rPr>
                <w:rFonts w:ascii="Arial" w:hAnsi="Arial" w:cs="Arial"/>
                <w:szCs w:val="22"/>
              </w:rPr>
              <w:t>1.8</w:t>
            </w:r>
          </w:p>
        </w:tc>
      </w:tr>
      <w:tr w:rsidR="004163A5" w:rsidRPr="009274D8" w14:paraId="4133A1E9"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7EB4F18" w14:textId="77777777" w:rsidR="004163A5" w:rsidRPr="009274D8" w:rsidRDefault="004163A5" w:rsidP="009274D8">
            <w:pPr>
              <w:pStyle w:val="Bullet"/>
              <w:rPr>
                <w:rFonts w:ascii="Arial" w:hAnsi="Arial" w:cs="Arial"/>
                <w:szCs w:val="22"/>
              </w:rPr>
            </w:pPr>
            <w:r w:rsidRPr="009274D8">
              <w:rPr>
                <w:rFonts w:ascii="Arial" w:hAnsi="Arial" w:cs="Arial"/>
                <w:szCs w:val="22"/>
              </w:rPr>
              <w:t>WA</w:t>
            </w:r>
          </w:p>
        </w:tc>
        <w:tc>
          <w:tcPr>
            <w:tcW w:w="852" w:type="pct"/>
            <w:tcBorders>
              <w:top w:val="single" w:sz="4" w:space="0" w:color="auto"/>
              <w:left w:val="nil"/>
              <w:bottom w:val="single" w:sz="4" w:space="0" w:color="auto"/>
              <w:right w:val="single" w:sz="4" w:space="0" w:color="auto"/>
            </w:tcBorders>
          </w:tcPr>
          <w:p w14:paraId="09461454" w14:textId="77777777" w:rsidR="004163A5" w:rsidRPr="009274D8" w:rsidRDefault="004163A5" w:rsidP="009274D8">
            <w:pPr>
              <w:pStyle w:val="Bullet"/>
              <w:rPr>
                <w:rFonts w:ascii="Arial" w:hAnsi="Arial" w:cs="Arial"/>
                <w:szCs w:val="22"/>
              </w:rPr>
            </w:pPr>
            <w:r w:rsidRPr="009274D8">
              <w:rPr>
                <w:rFonts w:ascii="Arial" w:hAnsi="Arial" w:cs="Arial"/>
                <w:szCs w:val="22"/>
              </w:rPr>
              <w:t>95.5%</w:t>
            </w:r>
          </w:p>
        </w:tc>
        <w:tc>
          <w:tcPr>
            <w:tcW w:w="854" w:type="pct"/>
            <w:tcBorders>
              <w:top w:val="nil"/>
              <w:left w:val="single" w:sz="4" w:space="0" w:color="auto"/>
              <w:bottom w:val="single" w:sz="4" w:space="0" w:color="auto"/>
              <w:right w:val="single" w:sz="4" w:space="0" w:color="auto"/>
            </w:tcBorders>
            <w:shd w:val="clear" w:color="auto" w:fill="auto"/>
            <w:noWrap/>
            <w:hideMark/>
          </w:tcPr>
          <w:p w14:paraId="60868E5D" w14:textId="77777777" w:rsidR="004163A5" w:rsidRPr="009274D8" w:rsidRDefault="004163A5" w:rsidP="009274D8">
            <w:pPr>
              <w:pStyle w:val="Bullet"/>
              <w:rPr>
                <w:rFonts w:ascii="Arial" w:hAnsi="Arial" w:cs="Arial"/>
                <w:szCs w:val="22"/>
              </w:rPr>
            </w:pPr>
            <w:r w:rsidRPr="009274D8">
              <w:rPr>
                <w:rFonts w:ascii="Arial" w:hAnsi="Arial" w:cs="Arial"/>
                <w:szCs w:val="22"/>
              </w:rPr>
              <w:t>75.2%</w:t>
            </w:r>
          </w:p>
        </w:tc>
        <w:tc>
          <w:tcPr>
            <w:tcW w:w="853" w:type="pct"/>
            <w:tcBorders>
              <w:top w:val="nil"/>
              <w:left w:val="nil"/>
              <w:bottom w:val="single" w:sz="4" w:space="0" w:color="auto"/>
              <w:right w:val="single" w:sz="4" w:space="0" w:color="auto"/>
            </w:tcBorders>
            <w:shd w:val="clear" w:color="auto" w:fill="F1F5F9"/>
          </w:tcPr>
          <w:p w14:paraId="25107A4D" w14:textId="77777777" w:rsidR="004163A5" w:rsidRPr="009274D8" w:rsidRDefault="004163A5" w:rsidP="009274D8">
            <w:pPr>
              <w:pStyle w:val="Bullet"/>
              <w:rPr>
                <w:rFonts w:ascii="Arial" w:hAnsi="Arial" w:cs="Arial"/>
                <w:szCs w:val="22"/>
              </w:rPr>
            </w:pPr>
            <w:r w:rsidRPr="009274D8">
              <w:rPr>
                <w:rFonts w:ascii="Arial" w:hAnsi="Arial" w:cs="Arial"/>
                <w:szCs w:val="22"/>
              </w:rPr>
              <w:t>96.2%</w:t>
            </w:r>
          </w:p>
        </w:tc>
        <w:tc>
          <w:tcPr>
            <w:tcW w:w="854" w:type="pct"/>
            <w:tcBorders>
              <w:top w:val="nil"/>
              <w:left w:val="single" w:sz="4" w:space="0" w:color="auto"/>
              <w:bottom w:val="single" w:sz="4" w:space="0" w:color="auto"/>
              <w:right w:val="single" w:sz="4" w:space="0" w:color="auto"/>
            </w:tcBorders>
            <w:shd w:val="clear" w:color="auto" w:fill="F1F5F9"/>
            <w:noWrap/>
            <w:hideMark/>
          </w:tcPr>
          <w:p w14:paraId="0430A0C3" w14:textId="77777777" w:rsidR="004163A5" w:rsidRPr="009274D8" w:rsidRDefault="004163A5" w:rsidP="009274D8">
            <w:pPr>
              <w:pStyle w:val="Bullet"/>
              <w:rPr>
                <w:rFonts w:ascii="Arial" w:hAnsi="Arial" w:cs="Arial"/>
                <w:szCs w:val="22"/>
              </w:rPr>
            </w:pPr>
            <w:r w:rsidRPr="009274D8">
              <w:rPr>
                <w:rFonts w:ascii="Arial" w:hAnsi="Arial" w:cs="Arial"/>
                <w:szCs w:val="22"/>
              </w:rPr>
              <w:t>78.8%</w:t>
            </w:r>
          </w:p>
        </w:tc>
        <w:tc>
          <w:tcPr>
            <w:tcW w:w="992" w:type="pct"/>
            <w:tcBorders>
              <w:top w:val="nil"/>
              <w:left w:val="nil"/>
              <w:bottom w:val="single" w:sz="4" w:space="0" w:color="auto"/>
              <w:right w:val="single" w:sz="4" w:space="0" w:color="auto"/>
            </w:tcBorders>
            <w:shd w:val="clear" w:color="auto" w:fill="auto"/>
            <w:noWrap/>
            <w:hideMark/>
          </w:tcPr>
          <w:p w14:paraId="58940293" w14:textId="77777777" w:rsidR="004163A5" w:rsidRPr="009274D8" w:rsidRDefault="004163A5" w:rsidP="009274D8">
            <w:pPr>
              <w:pStyle w:val="Bullet"/>
              <w:rPr>
                <w:rFonts w:ascii="Arial" w:hAnsi="Arial" w:cs="Arial"/>
                <w:szCs w:val="22"/>
              </w:rPr>
            </w:pPr>
            <w:r w:rsidRPr="009274D8">
              <w:rPr>
                <w:rFonts w:ascii="Arial" w:hAnsi="Arial" w:cs="Arial"/>
                <w:szCs w:val="22"/>
              </w:rPr>
              <w:t>3.6</w:t>
            </w:r>
          </w:p>
        </w:tc>
      </w:tr>
      <w:tr w:rsidR="004163A5" w:rsidRPr="009274D8" w14:paraId="29248B8D"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4D73FAF" w14:textId="77777777" w:rsidR="004163A5" w:rsidRPr="009274D8" w:rsidRDefault="004163A5" w:rsidP="009274D8">
            <w:pPr>
              <w:pStyle w:val="Bullet"/>
              <w:rPr>
                <w:rFonts w:ascii="Arial" w:hAnsi="Arial" w:cs="Arial"/>
                <w:szCs w:val="22"/>
              </w:rPr>
            </w:pPr>
            <w:r w:rsidRPr="009274D8">
              <w:rPr>
                <w:rFonts w:ascii="Arial" w:hAnsi="Arial" w:cs="Arial"/>
                <w:szCs w:val="22"/>
              </w:rPr>
              <w:t>SA</w:t>
            </w:r>
          </w:p>
        </w:tc>
        <w:tc>
          <w:tcPr>
            <w:tcW w:w="852" w:type="pct"/>
            <w:tcBorders>
              <w:top w:val="single" w:sz="4" w:space="0" w:color="auto"/>
              <w:left w:val="nil"/>
              <w:bottom w:val="single" w:sz="4" w:space="0" w:color="auto"/>
              <w:right w:val="single" w:sz="4" w:space="0" w:color="auto"/>
            </w:tcBorders>
          </w:tcPr>
          <w:p w14:paraId="00B306D4" w14:textId="77777777" w:rsidR="004163A5" w:rsidRPr="009274D8" w:rsidRDefault="004163A5" w:rsidP="009274D8">
            <w:pPr>
              <w:pStyle w:val="Bullet"/>
              <w:rPr>
                <w:rFonts w:ascii="Arial" w:hAnsi="Arial" w:cs="Arial"/>
                <w:szCs w:val="22"/>
              </w:rPr>
            </w:pPr>
            <w:r w:rsidRPr="009274D8">
              <w:rPr>
                <w:rFonts w:ascii="Arial" w:hAnsi="Arial" w:cs="Arial"/>
                <w:szCs w:val="22"/>
              </w:rPr>
              <w:t>94.6%</w:t>
            </w:r>
          </w:p>
        </w:tc>
        <w:tc>
          <w:tcPr>
            <w:tcW w:w="854" w:type="pct"/>
            <w:tcBorders>
              <w:top w:val="nil"/>
              <w:left w:val="single" w:sz="4" w:space="0" w:color="auto"/>
              <w:bottom w:val="single" w:sz="4" w:space="0" w:color="auto"/>
              <w:right w:val="single" w:sz="4" w:space="0" w:color="auto"/>
            </w:tcBorders>
            <w:shd w:val="clear" w:color="auto" w:fill="auto"/>
            <w:noWrap/>
            <w:hideMark/>
          </w:tcPr>
          <w:p w14:paraId="6F199601" w14:textId="77777777" w:rsidR="004163A5" w:rsidRPr="009274D8" w:rsidRDefault="004163A5" w:rsidP="009274D8">
            <w:pPr>
              <w:pStyle w:val="Bullet"/>
              <w:rPr>
                <w:rFonts w:ascii="Arial" w:hAnsi="Arial" w:cs="Arial"/>
                <w:szCs w:val="22"/>
              </w:rPr>
            </w:pPr>
            <w:r w:rsidRPr="009274D8">
              <w:rPr>
                <w:rFonts w:ascii="Arial" w:hAnsi="Arial" w:cs="Arial"/>
                <w:szCs w:val="22"/>
              </w:rPr>
              <w:t>82.5%</w:t>
            </w:r>
          </w:p>
        </w:tc>
        <w:tc>
          <w:tcPr>
            <w:tcW w:w="853" w:type="pct"/>
            <w:tcBorders>
              <w:top w:val="nil"/>
              <w:left w:val="nil"/>
              <w:bottom w:val="single" w:sz="4" w:space="0" w:color="auto"/>
              <w:right w:val="single" w:sz="4" w:space="0" w:color="auto"/>
            </w:tcBorders>
            <w:shd w:val="clear" w:color="auto" w:fill="F1F5F9"/>
          </w:tcPr>
          <w:p w14:paraId="439C9DE6" w14:textId="77777777" w:rsidR="004163A5" w:rsidRPr="009274D8" w:rsidRDefault="004163A5" w:rsidP="009274D8">
            <w:pPr>
              <w:pStyle w:val="Bullet"/>
              <w:rPr>
                <w:rFonts w:ascii="Arial" w:hAnsi="Arial" w:cs="Arial"/>
                <w:szCs w:val="22"/>
              </w:rPr>
            </w:pPr>
            <w:r w:rsidRPr="009274D8">
              <w:rPr>
                <w:rFonts w:ascii="Arial" w:hAnsi="Arial" w:cs="Arial"/>
                <w:szCs w:val="22"/>
              </w:rPr>
              <w:t>94.5%</w:t>
            </w:r>
          </w:p>
        </w:tc>
        <w:tc>
          <w:tcPr>
            <w:tcW w:w="854" w:type="pct"/>
            <w:tcBorders>
              <w:top w:val="nil"/>
              <w:left w:val="single" w:sz="4" w:space="0" w:color="auto"/>
              <w:bottom w:val="single" w:sz="4" w:space="0" w:color="auto"/>
              <w:right w:val="single" w:sz="4" w:space="0" w:color="auto"/>
            </w:tcBorders>
            <w:shd w:val="clear" w:color="auto" w:fill="F1F5F9"/>
            <w:noWrap/>
            <w:hideMark/>
          </w:tcPr>
          <w:p w14:paraId="6A625765" w14:textId="77777777" w:rsidR="004163A5" w:rsidRPr="009274D8" w:rsidRDefault="004163A5" w:rsidP="009274D8">
            <w:pPr>
              <w:pStyle w:val="Bullet"/>
              <w:rPr>
                <w:rFonts w:ascii="Arial" w:hAnsi="Arial" w:cs="Arial"/>
                <w:szCs w:val="22"/>
              </w:rPr>
            </w:pPr>
            <w:r w:rsidRPr="009274D8">
              <w:rPr>
                <w:rFonts w:ascii="Arial" w:hAnsi="Arial" w:cs="Arial"/>
                <w:szCs w:val="22"/>
              </w:rPr>
              <w:t>82.8%</w:t>
            </w:r>
          </w:p>
        </w:tc>
        <w:tc>
          <w:tcPr>
            <w:tcW w:w="992" w:type="pct"/>
            <w:tcBorders>
              <w:top w:val="nil"/>
              <w:left w:val="nil"/>
              <w:bottom w:val="single" w:sz="4" w:space="0" w:color="auto"/>
              <w:right w:val="single" w:sz="4" w:space="0" w:color="auto"/>
            </w:tcBorders>
            <w:shd w:val="clear" w:color="auto" w:fill="auto"/>
            <w:noWrap/>
            <w:hideMark/>
          </w:tcPr>
          <w:p w14:paraId="59BFAB89" w14:textId="77777777" w:rsidR="004163A5" w:rsidRPr="009274D8" w:rsidRDefault="004163A5" w:rsidP="009274D8">
            <w:pPr>
              <w:pStyle w:val="Bullet"/>
              <w:rPr>
                <w:rFonts w:ascii="Arial" w:hAnsi="Arial" w:cs="Arial"/>
                <w:szCs w:val="22"/>
              </w:rPr>
            </w:pPr>
            <w:r w:rsidRPr="009274D8">
              <w:rPr>
                <w:rFonts w:ascii="Arial" w:hAnsi="Arial" w:cs="Arial"/>
                <w:szCs w:val="22"/>
              </w:rPr>
              <w:t>0.3</w:t>
            </w:r>
          </w:p>
        </w:tc>
      </w:tr>
      <w:tr w:rsidR="004163A5" w:rsidRPr="009274D8" w14:paraId="207CA48D"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A0A5F75" w14:textId="77777777" w:rsidR="004163A5" w:rsidRPr="009274D8" w:rsidRDefault="004163A5" w:rsidP="009274D8">
            <w:pPr>
              <w:pStyle w:val="Bullet"/>
              <w:rPr>
                <w:rFonts w:ascii="Arial" w:hAnsi="Arial" w:cs="Arial"/>
                <w:szCs w:val="22"/>
              </w:rPr>
            </w:pPr>
            <w:r w:rsidRPr="009274D8">
              <w:rPr>
                <w:rFonts w:ascii="Arial" w:hAnsi="Arial" w:cs="Arial"/>
                <w:szCs w:val="22"/>
              </w:rPr>
              <w:t>Tas</w:t>
            </w:r>
          </w:p>
        </w:tc>
        <w:tc>
          <w:tcPr>
            <w:tcW w:w="852" w:type="pct"/>
            <w:tcBorders>
              <w:top w:val="single" w:sz="4" w:space="0" w:color="auto"/>
              <w:left w:val="nil"/>
              <w:bottom w:val="single" w:sz="4" w:space="0" w:color="auto"/>
              <w:right w:val="single" w:sz="4" w:space="0" w:color="auto"/>
            </w:tcBorders>
          </w:tcPr>
          <w:p w14:paraId="7AFD1764" w14:textId="77777777" w:rsidR="004163A5" w:rsidRPr="009274D8" w:rsidRDefault="004163A5" w:rsidP="009274D8">
            <w:pPr>
              <w:pStyle w:val="Bullet"/>
              <w:rPr>
                <w:rFonts w:ascii="Arial" w:hAnsi="Arial" w:cs="Arial"/>
                <w:szCs w:val="22"/>
              </w:rPr>
            </w:pPr>
            <w:r w:rsidRPr="009274D8">
              <w:rPr>
                <w:rFonts w:ascii="Arial" w:hAnsi="Arial" w:cs="Arial"/>
                <w:szCs w:val="22"/>
              </w:rPr>
              <w:t>95.2%</w:t>
            </w:r>
          </w:p>
        </w:tc>
        <w:tc>
          <w:tcPr>
            <w:tcW w:w="854" w:type="pct"/>
            <w:tcBorders>
              <w:top w:val="nil"/>
              <w:left w:val="single" w:sz="4" w:space="0" w:color="auto"/>
              <w:bottom w:val="single" w:sz="4" w:space="0" w:color="auto"/>
              <w:right w:val="single" w:sz="4" w:space="0" w:color="auto"/>
            </w:tcBorders>
            <w:shd w:val="clear" w:color="auto" w:fill="auto"/>
            <w:noWrap/>
            <w:hideMark/>
          </w:tcPr>
          <w:p w14:paraId="5A775C53" w14:textId="77777777" w:rsidR="004163A5" w:rsidRPr="009274D8" w:rsidRDefault="004163A5" w:rsidP="009274D8">
            <w:pPr>
              <w:pStyle w:val="Bullet"/>
              <w:rPr>
                <w:rFonts w:ascii="Arial" w:hAnsi="Arial" w:cs="Arial"/>
                <w:szCs w:val="22"/>
              </w:rPr>
            </w:pPr>
            <w:r w:rsidRPr="009274D8">
              <w:rPr>
                <w:rFonts w:ascii="Arial" w:hAnsi="Arial" w:cs="Arial"/>
                <w:szCs w:val="22"/>
              </w:rPr>
              <w:t>89.9%</w:t>
            </w:r>
          </w:p>
        </w:tc>
        <w:tc>
          <w:tcPr>
            <w:tcW w:w="853" w:type="pct"/>
            <w:tcBorders>
              <w:top w:val="nil"/>
              <w:left w:val="nil"/>
              <w:bottom w:val="single" w:sz="4" w:space="0" w:color="auto"/>
              <w:right w:val="single" w:sz="4" w:space="0" w:color="auto"/>
            </w:tcBorders>
            <w:shd w:val="clear" w:color="auto" w:fill="F1F5F9"/>
          </w:tcPr>
          <w:p w14:paraId="301DC5E1" w14:textId="77777777" w:rsidR="004163A5" w:rsidRPr="009274D8" w:rsidRDefault="004163A5" w:rsidP="009274D8">
            <w:pPr>
              <w:pStyle w:val="Bullet"/>
              <w:rPr>
                <w:rFonts w:ascii="Arial" w:hAnsi="Arial" w:cs="Arial"/>
                <w:szCs w:val="22"/>
              </w:rPr>
            </w:pPr>
            <w:r w:rsidRPr="009274D8">
              <w:rPr>
                <w:rFonts w:ascii="Arial" w:hAnsi="Arial" w:cs="Arial"/>
                <w:szCs w:val="22"/>
              </w:rPr>
              <w:t>93.6%</w:t>
            </w:r>
          </w:p>
        </w:tc>
        <w:tc>
          <w:tcPr>
            <w:tcW w:w="854" w:type="pct"/>
            <w:tcBorders>
              <w:top w:val="nil"/>
              <w:left w:val="single" w:sz="4" w:space="0" w:color="auto"/>
              <w:bottom w:val="single" w:sz="4" w:space="0" w:color="auto"/>
              <w:right w:val="single" w:sz="4" w:space="0" w:color="auto"/>
            </w:tcBorders>
            <w:shd w:val="clear" w:color="auto" w:fill="F1F5F9"/>
            <w:noWrap/>
            <w:hideMark/>
          </w:tcPr>
          <w:p w14:paraId="013D0788" w14:textId="77777777" w:rsidR="004163A5" w:rsidRPr="009274D8" w:rsidRDefault="004163A5" w:rsidP="009274D8">
            <w:pPr>
              <w:pStyle w:val="Bullet"/>
              <w:rPr>
                <w:rFonts w:ascii="Arial" w:hAnsi="Arial" w:cs="Arial"/>
                <w:bCs/>
                <w:szCs w:val="22"/>
              </w:rPr>
            </w:pPr>
            <w:r w:rsidRPr="009274D8">
              <w:rPr>
                <w:rFonts w:ascii="Arial" w:hAnsi="Arial" w:cs="Arial"/>
                <w:bCs/>
                <w:szCs w:val="22"/>
              </w:rPr>
              <w:t>88.8%</w:t>
            </w:r>
          </w:p>
        </w:tc>
        <w:tc>
          <w:tcPr>
            <w:tcW w:w="992" w:type="pct"/>
            <w:tcBorders>
              <w:top w:val="nil"/>
              <w:left w:val="nil"/>
              <w:bottom w:val="single" w:sz="4" w:space="0" w:color="auto"/>
              <w:right w:val="single" w:sz="4" w:space="0" w:color="auto"/>
            </w:tcBorders>
            <w:shd w:val="clear" w:color="auto" w:fill="auto"/>
            <w:noWrap/>
            <w:hideMark/>
          </w:tcPr>
          <w:p w14:paraId="1D56A820" w14:textId="77777777" w:rsidR="004163A5" w:rsidRPr="009274D8" w:rsidRDefault="004163A5" w:rsidP="009274D8">
            <w:pPr>
              <w:pStyle w:val="Bullet"/>
              <w:rPr>
                <w:rFonts w:ascii="Arial" w:hAnsi="Arial" w:cs="Arial"/>
                <w:szCs w:val="22"/>
              </w:rPr>
            </w:pPr>
            <w:r w:rsidRPr="009274D8">
              <w:rPr>
                <w:rFonts w:ascii="Arial" w:hAnsi="Arial" w:cs="Arial"/>
                <w:szCs w:val="22"/>
              </w:rPr>
              <w:t>-1.1</w:t>
            </w:r>
          </w:p>
        </w:tc>
      </w:tr>
      <w:tr w:rsidR="004163A5" w:rsidRPr="009274D8" w14:paraId="2D898B58" w14:textId="77777777" w:rsidTr="00E66CEA">
        <w:trPr>
          <w:trHeight w:val="181"/>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8C17ACB" w14:textId="77777777" w:rsidR="004163A5" w:rsidRPr="009274D8" w:rsidRDefault="004163A5" w:rsidP="009274D8">
            <w:pPr>
              <w:pStyle w:val="Bullet"/>
              <w:rPr>
                <w:rFonts w:ascii="Arial" w:hAnsi="Arial" w:cs="Arial"/>
                <w:szCs w:val="22"/>
              </w:rPr>
            </w:pPr>
            <w:r w:rsidRPr="009274D8">
              <w:rPr>
                <w:rFonts w:ascii="Arial" w:hAnsi="Arial" w:cs="Arial"/>
                <w:szCs w:val="22"/>
              </w:rPr>
              <w:t>ACT</w:t>
            </w:r>
          </w:p>
        </w:tc>
        <w:tc>
          <w:tcPr>
            <w:tcW w:w="852" w:type="pct"/>
            <w:tcBorders>
              <w:top w:val="single" w:sz="4" w:space="0" w:color="auto"/>
              <w:left w:val="nil"/>
              <w:bottom w:val="single" w:sz="4" w:space="0" w:color="auto"/>
              <w:right w:val="single" w:sz="4" w:space="0" w:color="auto"/>
            </w:tcBorders>
          </w:tcPr>
          <w:p w14:paraId="61909D77" w14:textId="77777777" w:rsidR="004163A5" w:rsidRPr="009274D8" w:rsidRDefault="004163A5" w:rsidP="009274D8">
            <w:pPr>
              <w:pStyle w:val="Bullet"/>
              <w:rPr>
                <w:rFonts w:ascii="Arial" w:hAnsi="Arial" w:cs="Arial"/>
                <w:szCs w:val="22"/>
              </w:rPr>
            </w:pPr>
            <w:r w:rsidRPr="009274D8">
              <w:rPr>
                <w:rFonts w:ascii="Arial" w:hAnsi="Arial" w:cs="Arial"/>
                <w:szCs w:val="22"/>
              </w:rPr>
              <w:t>95.1%</w:t>
            </w:r>
          </w:p>
        </w:tc>
        <w:tc>
          <w:tcPr>
            <w:tcW w:w="854" w:type="pct"/>
            <w:tcBorders>
              <w:top w:val="nil"/>
              <w:left w:val="single" w:sz="4" w:space="0" w:color="auto"/>
              <w:bottom w:val="single" w:sz="4" w:space="0" w:color="auto"/>
              <w:right w:val="single" w:sz="4" w:space="0" w:color="auto"/>
            </w:tcBorders>
            <w:shd w:val="clear" w:color="auto" w:fill="auto"/>
            <w:noWrap/>
            <w:hideMark/>
          </w:tcPr>
          <w:p w14:paraId="03F5CCFA" w14:textId="77777777" w:rsidR="004163A5" w:rsidRPr="009274D8" w:rsidRDefault="004163A5" w:rsidP="009274D8">
            <w:pPr>
              <w:pStyle w:val="Bullet"/>
              <w:rPr>
                <w:rFonts w:ascii="Arial" w:hAnsi="Arial" w:cs="Arial"/>
                <w:szCs w:val="22"/>
              </w:rPr>
            </w:pPr>
            <w:r w:rsidRPr="009274D8">
              <w:rPr>
                <w:rFonts w:ascii="Arial" w:hAnsi="Arial" w:cs="Arial"/>
                <w:szCs w:val="22"/>
              </w:rPr>
              <w:t>91.6%</w:t>
            </w:r>
          </w:p>
        </w:tc>
        <w:tc>
          <w:tcPr>
            <w:tcW w:w="853" w:type="pct"/>
            <w:tcBorders>
              <w:top w:val="nil"/>
              <w:left w:val="nil"/>
              <w:bottom w:val="single" w:sz="4" w:space="0" w:color="auto"/>
              <w:right w:val="single" w:sz="4" w:space="0" w:color="auto"/>
            </w:tcBorders>
            <w:shd w:val="clear" w:color="auto" w:fill="F1F5F9"/>
          </w:tcPr>
          <w:p w14:paraId="07C55822" w14:textId="77777777" w:rsidR="004163A5" w:rsidRPr="009274D8" w:rsidRDefault="004163A5" w:rsidP="009274D8">
            <w:pPr>
              <w:pStyle w:val="Bullet"/>
              <w:rPr>
                <w:rFonts w:ascii="Arial" w:hAnsi="Arial" w:cs="Arial"/>
                <w:szCs w:val="22"/>
              </w:rPr>
            </w:pPr>
            <w:r w:rsidRPr="009274D8">
              <w:rPr>
                <w:rFonts w:ascii="Arial" w:hAnsi="Arial" w:cs="Arial"/>
                <w:szCs w:val="22"/>
              </w:rPr>
              <w:t>94.1%</w:t>
            </w:r>
          </w:p>
        </w:tc>
        <w:tc>
          <w:tcPr>
            <w:tcW w:w="854" w:type="pct"/>
            <w:tcBorders>
              <w:top w:val="nil"/>
              <w:left w:val="single" w:sz="4" w:space="0" w:color="auto"/>
              <w:bottom w:val="single" w:sz="4" w:space="0" w:color="auto"/>
              <w:right w:val="single" w:sz="4" w:space="0" w:color="auto"/>
            </w:tcBorders>
            <w:shd w:val="clear" w:color="auto" w:fill="F1F5F9"/>
            <w:noWrap/>
            <w:hideMark/>
          </w:tcPr>
          <w:p w14:paraId="38D2C481" w14:textId="77777777" w:rsidR="004163A5" w:rsidRPr="009274D8" w:rsidRDefault="004163A5" w:rsidP="009274D8">
            <w:pPr>
              <w:pStyle w:val="Bullet"/>
              <w:rPr>
                <w:rFonts w:ascii="Arial" w:hAnsi="Arial" w:cs="Arial"/>
                <w:bCs/>
                <w:szCs w:val="22"/>
              </w:rPr>
            </w:pPr>
            <w:r w:rsidRPr="009274D8">
              <w:rPr>
                <w:rFonts w:ascii="Arial" w:hAnsi="Arial" w:cs="Arial"/>
                <w:bCs/>
                <w:szCs w:val="22"/>
              </w:rPr>
              <w:t>90.7%</w:t>
            </w:r>
          </w:p>
        </w:tc>
        <w:tc>
          <w:tcPr>
            <w:tcW w:w="992" w:type="pct"/>
            <w:tcBorders>
              <w:top w:val="nil"/>
              <w:left w:val="nil"/>
              <w:bottom w:val="single" w:sz="4" w:space="0" w:color="auto"/>
              <w:right w:val="single" w:sz="4" w:space="0" w:color="auto"/>
            </w:tcBorders>
            <w:shd w:val="clear" w:color="auto" w:fill="auto"/>
            <w:noWrap/>
            <w:hideMark/>
          </w:tcPr>
          <w:p w14:paraId="08C94C87" w14:textId="77777777" w:rsidR="004163A5" w:rsidRPr="009274D8" w:rsidRDefault="004163A5" w:rsidP="009274D8">
            <w:pPr>
              <w:pStyle w:val="Bullet"/>
              <w:rPr>
                <w:rFonts w:ascii="Arial" w:hAnsi="Arial" w:cs="Arial"/>
                <w:szCs w:val="22"/>
              </w:rPr>
            </w:pPr>
            <w:r w:rsidRPr="009274D8">
              <w:rPr>
                <w:rFonts w:ascii="Arial" w:hAnsi="Arial" w:cs="Arial"/>
                <w:szCs w:val="22"/>
              </w:rPr>
              <w:t>-0.9</w:t>
            </w:r>
          </w:p>
        </w:tc>
      </w:tr>
      <w:tr w:rsidR="004163A5" w:rsidRPr="009274D8" w14:paraId="5126E357" w14:textId="77777777" w:rsidTr="00E66CEA">
        <w:trPr>
          <w:trHeight w:val="57"/>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0B38092" w14:textId="77777777" w:rsidR="004163A5" w:rsidRPr="009274D8" w:rsidRDefault="004163A5" w:rsidP="009274D8">
            <w:pPr>
              <w:pStyle w:val="Bullet"/>
              <w:rPr>
                <w:rFonts w:ascii="Arial" w:hAnsi="Arial" w:cs="Arial"/>
                <w:szCs w:val="22"/>
              </w:rPr>
            </w:pPr>
            <w:r w:rsidRPr="009274D8">
              <w:rPr>
                <w:rFonts w:ascii="Arial" w:hAnsi="Arial" w:cs="Arial"/>
                <w:szCs w:val="22"/>
              </w:rPr>
              <w:t>NT</w:t>
            </w:r>
          </w:p>
        </w:tc>
        <w:tc>
          <w:tcPr>
            <w:tcW w:w="852" w:type="pct"/>
            <w:tcBorders>
              <w:top w:val="single" w:sz="4" w:space="0" w:color="auto"/>
              <w:left w:val="nil"/>
              <w:bottom w:val="single" w:sz="4" w:space="0" w:color="auto"/>
              <w:right w:val="single" w:sz="4" w:space="0" w:color="auto"/>
            </w:tcBorders>
          </w:tcPr>
          <w:p w14:paraId="51580D19" w14:textId="77777777" w:rsidR="004163A5" w:rsidRPr="009274D8" w:rsidRDefault="004163A5" w:rsidP="009274D8">
            <w:pPr>
              <w:pStyle w:val="Bullet"/>
              <w:rPr>
                <w:rFonts w:ascii="Arial" w:hAnsi="Arial" w:cs="Arial"/>
                <w:szCs w:val="22"/>
              </w:rPr>
            </w:pPr>
            <w:r w:rsidRPr="009274D8">
              <w:rPr>
                <w:rFonts w:ascii="Arial" w:hAnsi="Arial" w:cs="Arial"/>
                <w:szCs w:val="22"/>
              </w:rPr>
              <w:t>90.2%</w:t>
            </w:r>
          </w:p>
        </w:tc>
        <w:tc>
          <w:tcPr>
            <w:tcW w:w="854" w:type="pct"/>
            <w:tcBorders>
              <w:top w:val="nil"/>
              <w:left w:val="single" w:sz="4" w:space="0" w:color="auto"/>
              <w:bottom w:val="single" w:sz="4" w:space="0" w:color="auto"/>
              <w:right w:val="single" w:sz="4" w:space="0" w:color="auto"/>
            </w:tcBorders>
            <w:shd w:val="clear" w:color="auto" w:fill="auto"/>
            <w:noWrap/>
            <w:hideMark/>
          </w:tcPr>
          <w:p w14:paraId="39FB4A6E" w14:textId="77777777" w:rsidR="004163A5" w:rsidRPr="009274D8" w:rsidRDefault="004163A5" w:rsidP="009274D8">
            <w:pPr>
              <w:pStyle w:val="Bullet"/>
              <w:rPr>
                <w:rFonts w:ascii="Arial" w:hAnsi="Arial" w:cs="Arial"/>
                <w:szCs w:val="22"/>
              </w:rPr>
            </w:pPr>
            <w:r w:rsidRPr="009274D8">
              <w:rPr>
                <w:rFonts w:ascii="Arial" w:hAnsi="Arial" w:cs="Arial"/>
                <w:szCs w:val="22"/>
              </w:rPr>
              <w:t>38.4%</w:t>
            </w:r>
          </w:p>
        </w:tc>
        <w:tc>
          <w:tcPr>
            <w:tcW w:w="853" w:type="pct"/>
            <w:tcBorders>
              <w:top w:val="nil"/>
              <w:left w:val="nil"/>
              <w:bottom w:val="single" w:sz="4" w:space="0" w:color="auto"/>
              <w:right w:val="single" w:sz="4" w:space="0" w:color="auto"/>
            </w:tcBorders>
            <w:shd w:val="clear" w:color="auto" w:fill="F1F5F9"/>
          </w:tcPr>
          <w:p w14:paraId="78632956" w14:textId="77777777" w:rsidR="004163A5" w:rsidRPr="009274D8" w:rsidRDefault="004163A5" w:rsidP="009274D8">
            <w:pPr>
              <w:pStyle w:val="Bullet"/>
              <w:rPr>
                <w:rFonts w:ascii="Arial" w:hAnsi="Arial" w:cs="Arial"/>
                <w:szCs w:val="22"/>
              </w:rPr>
            </w:pPr>
            <w:r w:rsidRPr="009274D8">
              <w:rPr>
                <w:rFonts w:ascii="Arial" w:hAnsi="Arial" w:cs="Arial"/>
                <w:szCs w:val="22"/>
              </w:rPr>
              <w:t>90.7%</w:t>
            </w:r>
          </w:p>
        </w:tc>
        <w:tc>
          <w:tcPr>
            <w:tcW w:w="854" w:type="pct"/>
            <w:tcBorders>
              <w:top w:val="nil"/>
              <w:left w:val="single" w:sz="4" w:space="0" w:color="auto"/>
              <w:bottom w:val="single" w:sz="4" w:space="0" w:color="auto"/>
              <w:right w:val="single" w:sz="4" w:space="0" w:color="auto"/>
            </w:tcBorders>
            <w:shd w:val="clear" w:color="auto" w:fill="F1F5F9"/>
            <w:noWrap/>
            <w:hideMark/>
          </w:tcPr>
          <w:p w14:paraId="0F35BE1C" w14:textId="77777777" w:rsidR="004163A5" w:rsidRPr="009274D8" w:rsidRDefault="004163A5" w:rsidP="009274D8">
            <w:pPr>
              <w:pStyle w:val="Bullet"/>
              <w:rPr>
                <w:rFonts w:ascii="Arial" w:hAnsi="Arial" w:cs="Arial"/>
                <w:szCs w:val="22"/>
              </w:rPr>
            </w:pPr>
            <w:r w:rsidRPr="009274D8">
              <w:rPr>
                <w:rFonts w:ascii="Arial" w:hAnsi="Arial" w:cs="Arial"/>
                <w:szCs w:val="22"/>
              </w:rPr>
              <w:t>43.4%</w:t>
            </w:r>
          </w:p>
        </w:tc>
        <w:tc>
          <w:tcPr>
            <w:tcW w:w="992" w:type="pct"/>
            <w:tcBorders>
              <w:top w:val="nil"/>
              <w:left w:val="nil"/>
              <w:bottom w:val="single" w:sz="4" w:space="0" w:color="auto"/>
              <w:right w:val="single" w:sz="4" w:space="0" w:color="auto"/>
            </w:tcBorders>
            <w:shd w:val="clear" w:color="auto" w:fill="auto"/>
            <w:noWrap/>
            <w:hideMark/>
          </w:tcPr>
          <w:p w14:paraId="1BCAE103" w14:textId="77777777" w:rsidR="004163A5" w:rsidRPr="009274D8" w:rsidRDefault="004163A5" w:rsidP="009274D8">
            <w:pPr>
              <w:pStyle w:val="Bullet"/>
              <w:rPr>
                <w:rFonts w:ascii="Arial" w:hAnsi="Arial" w:cs="Arial"/>
                <w:szCs w:val="22"/>
              </w:rPr>
            </w:pPr>
            <w:r w:rsidRPr="009274D8">
              <w:rPr>
                <w:rFonts w:ascii="Arial" w:hAnsi="Arial" w:cs="Arial"/>
                <w:szCs w:val="22"/>
              </w:rPr>
              <w:t>5.0</w:t>
            </w:r>
          </w:p>
        </w:tc>
      </w:tr>
      <w:tr w:rsidR="004163A5" w:rsidRPr="009274D8" w14:paraId="22AB9088" w14:textId="77777777" w:rsidTr="00E66CEA">
        <w:trPr>
          <w:trHeight w:val="181"/>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C63BC" w14:textId="77777777" w:rsidR="004163A5" w:rsidRPr="009274D8" w:rsidRDefault="004163A5" w:rsidP="009274D8">
            <w:pPr>
              <w:pStyle w:val="Bullet"/>
              <w:rPr>
                <w:rFonts w:ascii="Arial" w:hAnsi="Arial" w:cs="Arial"/>
                <w:szCs w:val="22"/>
              </w:rPr>
            </w:pPr>
            <w:r w:rsidRPr="009274D8">
              <w:rPr>
                <w:rFonts w:ascii="Arial" w:hAnsi="Arial" w:cs="Arial"/>
                <w:szCs w:val="22"/>
              </w:rPr>
              <w:t>Australia</w:t>
            </w:r>
          </w:p>
        </w:tc>
        <w:tc>
          <w:tcPr>
            <w:tcW w:w="852" w:type="pct"/>
            <w:tcBorders>
              <w:top w:val="single" w:sz="4" w:space="0" w:color="auto"/>
              <w:left w:val="nil"/>
              <w:bottom w:val="single" w:sz="4" w:space="0" w:color="auto"/>
              <w:right w:val="single" w:sz="4" w:space="0" w:color="auto"/>
            </w:tcBorders>
          </w:tcPr>
          <w:p w14:paraId="16BB090D" w14:textId="77777777" w:rsidR="004163A5" w:rsidRPr="009274D8" w:rsidRDefault="004163A5" w:rsidP="009274D8">
            <w:pPr>
              <w:pStyle w:val="Bullet"/>
              <w:rPr>
                <w:rFonts w:ascii="Arial" w:hAnsi="Arial" w:cs="Arial"/>
                <w:szCs w:val="22"/>
              </w:rPr>
            </w:pPr>
            <w:r w:rsidRPr="009274D8">
              <w:rPr>
                <w:rFonts w:ascii="Arial" w:hAnsi="Arial" w:cs="Arial"/>
                <w:szCs w:val="22"/>
              </w:rPr>
              <w:t>92.9%</w:t>
            </w:r>
          </w:p>
        </w:tc>
        <w:tc>
          <w:tcPr>
            <w:tcW w:w="854" w:type="pct"/>
            <w:tcBorders>
              <w:top w:val="single" w:sz="4" w:space="0" w:color="auto"/>
              <w:left w:val="single" w:sz="4" w:space="0" w:color="auto"/>
              <w:bottom w:val="single" w:sz="4" w:space="0" w:color="auto"/>
              <w:right w:val="single" w:sz="4" w:space="0" w:color="auto"/>
            </w:tcBorders>
            <w:shd w:val="clear" w:color="auto" w:fill="auto"/>
            <w:noWrap/>
            <w:hideMark/>
          </w:tcPr>
          <w:p w14:paraId="205704D3" w14:textId="77777777" w:rsidR="004163A5" w:rsidRPr="009274D8" w:rsidRDefault="004163A5" w:rsidP="009274D8">
            <w:pPr>
              <w:pStyle w:val="Bullet"/>
              <w:rPr>
                <w:rFonts w:ascii="Arial" w:hAnsi="Arial" w:cs="Arial"/>
                <w:szCs w:val="22"/>
              </w:rPr>
            </w:pPr>
            <w:r w:rsidRPr="009274D8">
              <w:rPr>
                <w:rFonts w:ascii="Arial" w:hAnsi="Arial" w:cs="Arial"/>
                <w:szCs w:val="22"/>
              </w:rPr>
              <w:t>78.9%</w:t>
            </w:r>
          </w:p>
        </w:tc>
        <w:tc>
          <w:tcPr>
            <w:tcW w:w="853" w:type="pct"/>
            <w:tcBorders>
              <w:top w:val="single" w:sz="4" w:space="0" w:color="auto"/>
              <w:left w:val="nil"/>
              <w:bottom w:val="single" w:sz="4" w:space="0" w:color="auto"/>
              <w:right w:val="single" w:sz="4" w:space="0" w:color="auto"/>
            </w:tcBorders>
            <w:shd w:val="clear" w:color="auto" w:fill="F1F5F9"/>
          </w:tcPr>
          <w:p w14:paraId="4560E8F8" w14:textId="77777777" w:rsidR="004163A5" w:rsidRPr="009274D8" w:rsidRDefault="004163A5" w:rsidP="009274D8">
            <w:pPr>
              <w:pStyle w:val="Bullet"/>
              <w:rPr>
                <w:rFonts w:ascii="Arial" w:hAnsi="Arial" w:cs="Arial"/>
                <w:szCs w:val="22"/>
              </w:rPr>
            </w:pPr>
            <w:r w:rsidRPr="009274D8">
              <w:rPr>
                <w:rFonts w:ascii="Arial" w:hAnsi="Arial" w:cs="Arial"/>
                <w:szCs w:val="22"/>
              </w:rPr>
              <w:t>93.5%</w:t>
            </w:r>
          </w:p>
        </w:tc>
        <w:tc>
          <w:tcPr>
            <w:tcW w:w="854" w:type="pct"/>
            <w:tcBorders>
              <w:top w:val="single" w:sz="4" w:space="0" w:color="auto"/>
              <w:left w:val="single" w:sz="4" w:space="0" w:color="auto"/>
              <w:bottom w:val="single" w:sz="4" w:space="0" w:color="auto"/>
              <w:right w:val="single" w:sz="4" w:space="0" w:color="auto"/>
            </w:tcBorders>
            <w:shd w:val="clear" w:color="auto" w:fill="F1F5F9"/>
            <w:noWrap/>
            <w:hideMark/>
          </w:tcPr>
          <w:p w14:paraId="31D65586" w14:textId="77777777" w:rsidR="004163A5" w:rsidRPr="009274D8" w:rsidRDefault="004163A5" w:rsidP="009274D8">
            <w:pPr>
              <w:pStyle w:val="Bullet"/>
              <w:rPr>
                <w:rFonts w:ascii="Arial" w:hAnsi="Arial" w:cs="Arial"/>
                <w:szCs w:val="22"/>
              </w:rPr>
            </w:pPr>
            <w:r w:rsidRPr="009274D8">
              <w:rPr>
                <w:rFonts w:ascii="Arial" w:hAnsi="Arial" w:cs="Arial"/>
                <w:szCs w:val="22"/>
              </w:rPr>
              <w:t>81.4%</w:t>
            </w:r>
          </w:p>
        </w:tc>
        <w:tc>
          <w:tcPr>
            <w:tcW w:w="992" w:type="pct"/>
            <w:tcBorders>
              <w:top w:val="single" w:sz="4" w:space="0" w:color="auto"/>
              <w:left w:val="nil"/>
              <w:bottom w:val="single" w:sz="4" w:space="0" w:color="auto"/>
              <w:right w:val="single" w:sz="4" w:space="0" w:color="auto"/>
            </w:tcBorders>
            <w:shd w:val="clear" w:color="auto" w:fill="auto"/>
            <w:noWrap/>
            <w:hideMark/>
          </w:tcPr>
          <w:p w14:paraId="069BD0F2" w14:textId="77777777" w:rsidR="004163A5" w:rsidRPr="009274D8" w:rsidRDefault="004163A5" w:rsidP="009274D8">
            <w:pPr>
              <w:pStyle w:val="Bullet"/>
              <w:rPr>
                <w:rFonts w:ascii="Arial" w:hAnsi="Arial" w:cs="Arial"/>
                <w:szCs w:val="22"/>
              </w:rPr>
            </w:pPr>
            <w:r w:rsidRPr="009274D8">
              <w:rPr>
                <w:rFonts w:ascii="Arial" w:hAnsi="Arial" w:cs="Arial"/>
                <w:szCs w:val="22"/>
              </w:rPr>
              <w:t>2.5</w:t>
            </w:r>
          </w:p>
        </w:tc>
      </w:tr>
    </w:tbl>
    <w:p w14:paraId="0FEF2018" w14:textId="13A96130" w:rsidR="00776A13" w:rsidRPr="00B50802" w:rsidRDefault="00776A13" w:rsidP="00AF6F67">
      <w:pPr>
        <w:rPr>
          <w:rFonts w:eastAsia="Times New Roman" w:cs="Arial"/>
          <w:sz w:val="2"/>
          <w:lang w:eastAsia="en-AU"/>
        </w:rPr>
      </w:pPr>
    </w:p>
    <w:p w14:paraId="63AEFFC9" w14:textId="77777777" w:rsidR="00AF6F67" w:rsidRPr="009274D8" w:rsidRDefault="00AF6F67" w:rsidP="009274D8">
      <w:pPr>
        <w:rPr>
          <w:rFonts w:ascii="Georgia" w:eastAsia="Times New Roman" w:hAnsi="Georgia" w:cs="Calibri"/>
          <w:b/>
          <w:sz w:val="28"/>
          <w:szCs w:val="24"/>
          <w:lang w:eastAsia="en-AU"/>
        </w:rPr>
      </w:pPr>
      <w:bookmarkStart w:id="1542" w:name="_Toc134784702"/>
      <w:bookmarkStart w:id="1543" w:name="_Toc135035221"/>
      <w:bookmarkStart w:id="1544" w:name="_Toc135060898"/>
      <w:bookmarkStart w:id="1545" w:name="_Toc135161369"/>
      <w:bookmarkStart w:id="1546" w:name="_Toc135162316"/>
      <w:bookmarkStart w:id="1547" w:name="_Toc135162490"/>
      <w:bookmarkStart w:id="1548" w:name="_Toc135206069"/>
      <w:bookmarkStart w:id="1549" w:name="_Toc135206154"/>
      <w:bookmarkStart w:id="1550" w:name="_Toc139464312"/>
      <w:bookmarkStart w:id="1551" w:name="_Toc141969847"/>
      <w:bookmarkStart w:id="1552" w:name="_Toc141972470"/>
      <w:bookmarkStart w:id="1553" w:name="_Toc141972683"/>
      <w:bookmarkStart w:id="1554" w:name="_Toc141972957"/>
      <w:bookmarkStart w:id="1555" w:name="_Toc142042517"/>
      <w:bookmarkStart w:id="1556" w:name="_Toc142042726"/>
      <w:r w:rsidRPr="009274D8">
        <w:rPr>
          <w:rFonts w:ascii="Georgia" w:eastAsia="Times New Roman" w:hAnsi="Georgia" w:cs="Calibri"/>
          <w:b/>
          <w:sz w:val="28"/>
          <w:szCs w:val="24"/>
          <w:lang w:eastAsia="en-AU"/>
        </w:rPr>
        <w:t>Policy considerations and the unique housing experiences of Aboriginal and Torres Strait Islander peoples</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4B97BA04" w14:textId="77777777" w:rsidR="00616252" w:rsidRPr="00B50802" w:rsidRDefault="00AF6F67" w:rsidP="00AF6F67">
      <w:r w:rsidRPr="00B50802">
        <w:t>Aboriginal and Torres Strait Islander peoples living in remote or very remote areas are more likely to live in social housing and less likely to own their own home than Aboriginal and Torres Strait Islander people</w:t>
      </w:r>
      <w:r w:rsidR="00616252" w:rsidRPr="00B50802">
        <w:t>s</w:t>
      </w:r>
      <w:r w:rsidRPr="00B50802">
        <w:t xml:space="preserve"> living in non-remote areas. </w:t>
      </w:r>
    </w:p>
    <w:p w14:paraId="4E0E2324" w14:textId="5250305E" w:rsidR="001B1C96" w:rsidRDefault="00AF6F67" w:rsidP="00074FD2">
      <w:r w:rsidRPr="00B50802">
        <w:t xml:space="preserve">Compared </w:t>
      </w:r>
      <w:r w:rsidR="00616252" w:rsidRPr="00B50802">
        <w:t xml:space="preserve">with </w:t>
      </w:r>
      <w:r w:rsidRPr="00B50802">
        <w:t>non-Indigenous Australians, Aboriginal and Torres Strait</w:t>
      </w:r>
      <w:r w:rsidRPr="00B50802" w:rsidDel="00AC28B0">
        <w:t xml:space="preserve"> </w:t>
      </w:r>
      <w:r w:rsidRPr="00B50802">
        <w:t xml:space="preserve">Islander peoples living in remote communities are more likely to be renting through </w:t>
      </w:r>
      <w:r w:rsidR="00BC29FC" w:rsidRPr="00B50802">
        <w:t xml:space="preserve">social </w:t>
      </w:r>
      <w:r w:rsidR="00074FD2" w:rsidRPr="00B50802">
        <w:t>housing (66.1% vs 3.9%).</w:t>
      </w:r>
      <w:r w:rsidR="00074FD2" w:rsidRPr="00B50802">
        <w:rPr>
          <w:rStyle w:val="FootnoteReference"/>
        </w:rPr>
        <w:footnoteReference w:id="55"/>
      </w:r>
      <w:r w:rsidR="00074FD2" w:rsidRPr="00B50802">
        <w:t xml:space="preserve"> Aboriginal and Torres Strait Islander people have significantly lower home ownerships rates, particularly in remote areas (12.9% vs 53.8%).</w:t>
      </w:r>
      <w:r w:rsidR="00074FD2" w:rsidRPr="00B50802">
        <w:rPr>
          <w:rStyle w:val="FootnoteReference"/>
        </w:rPr>
        <w:footnoteReference w:id="56"/>
      </w:r>
    </w:p>
    <w:p w14:paraId="14C765AB" w14:textId="0CF49C7A" w:rsidR="00AF6F67" w:rsidRPr="00B50802" w:rsidRDefault="001B1C96" w:rsidP="00074FD2">
      <w:pPr>
        <w:rPr>
          <w:i/>
          <w:sz w:val="20"/>
          <w:szCs w:val="20"/>
        </w:rPr>
      </w:pPr>
      <w:r w:rsidRPr="00B50802">
        <w:rPr>
          <w:noProof/>
          <w:lang w:eastAsia="en-AU"/>
        </w:rPr>
        <w:lastRenderedPageBreak/>
        <w:drawing>
          <wp:inline distT="0" distB="0" distL="0" distR="0" wp14:anchorId="06CA4EB0" wp14:editId="1A397601">
            <wp:extent cx="2462597" cy="2371411"/>
            <wp:effectExtent l="0" t="0" r="0" b="0"/>
            <wp:docPr id="28" name="Picture 28" descr="In remote and very remote areas 12.9% of Indigenous peoples are home owners (compared to 53.8% of non-Indigenous people).&#10;&#10;In non-remote areas, 41.7% of Indigenous peoples are home owners (compared to 68.1% of non-Indigenous peoples)." title="% of home owners in total population by Indigenous status and remotenes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4456" cy="2430979"/>
                    </a:xfrm>
                    <a:prstGeom prst="rect">
                      <a:avLst/>
                    </a:prstGeom>
                    <a:noFill/>
                  </pic:spPr>
                </pic:pic>
              </a:graphicData>
            </a:graphic>
          </wp:inline>
        </w:drawing>
      </w:r>
      <w:r w:rsidRPr="00B50802">
        <w:rPr>
          <w:noProof/>
          <w:lang w:eastAsia="en-AU"/>
        </w:rPr>
        <w:drawing>
          <wp:inline distT="0" distB="0" distL="0" distR="0" wp14:anchorId="2DAD81C9" wp14:editId="7458D422">
            <wp:extent cx="2518962" cy="2363281"/>
            <wp:effectExtent l="0" t="0" r="0" b="0"/>
            <wp:docPr id="27" name="Picture 27" descr="In remote and very remote areas 66.1% of Indigenous peoples are in social housing (compared to 3.9% of non-Indigenous people).&#10;&#10;In non-remote areas, 16.5% of Indigenous peoples arein social housing (compared to 2.4% of non-Indigenous peoples)." title="% of persons in social housing by Indigenous status and remotenes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7495" cy="2418196"/>
                    </a:xfrm>
                    <a:prstGeom prst="rect">
                      <a:avLst/>
                    </a:prstGeom>
                    <a:noFill/>
                  </pic:spPr>
                </pic:pic>
              </a:graphicData>
            </a:graphic>
          </wp:inline>
        </w:drawing>
      </w:r>
      <w:r w:rsidRPr="00B50802">
        <w:rPr>
          <w:noProof/>
          <w:lang w:eastAsia="en-AU"/>
        </w:rPr>
        <w:drawing>
          <wp:inline distT="0" distB="0" distL="0" distR="0" wp14:anchorId="7EB06983" wp14:editId="428BC46D">
            <wp:extent cx="5731510" cy="5691505"/>
            <wp:effectExtent l="0" t="0" r="2540" b="0"/>
            <wp:docPr id="8" name="Picture 8" descr="Mobility&#10;On average, Aboriginal and Torres Strait Islander peoples are more likely to relocate regularly across their lifetime. This is due to a need to access health, housing, employment and education services as well as cultural, family and &#10;kinship obligations. &#10;&#10;Temporary relocation can put pressure on available accommodation in remote communities, service towns and urban centres. Lack of appropriate short-term accommodation means Indigenous peoples can experience homelessness when temporarily moving. &#10;&#10;Climate&#10;Research has found that the impacts of climate change disproportionally impact disadvantaged populations including Indigenous populations. Climate is also a factor impacting on increased costs of construction and maintenance in remote communities and as such these challenges particularly impact Aboriginal and Torres Strait Islander peoples.  &#10;For further information on the climate change impacts on regional and remote Aboriginal and Torres Strait Islander communities please see Chapter 3.7.  &#10;&#10;Cultural Values&#10;For Aboriginal and Torres Strait Islander peoples, housing is much more than just shelter, it is a link to traditional lands and a connection to Country. Policies related to Aboriginal and Torres Strait Islander housing must take these considerations into account." title="Policy considerations and the unique housing experiences of Aborigional and Torres Strait Islander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5691505"/>
                    </a:xfrm>
                    <a:prstGeom prst="rect">
                      <a:avLst/>
                    </a:prstGeom>
                    <a:noFill/>
                    <a:ln>
                      <a:noFill/>
                    </a:ln>
                  </pic:spPr>
                </pic:pic>
              </a:graphicData>
            </a:graphic>
          </wp:inline>
        </w:drawing>
      </w:r>
      <w:r w:rsidR="00C61CCF" w:rsidRPr="00B50802">
        <w:rPr>
          <w:i/>
          <w:sz w:val="20"/>
          <w:szCs w:val="20"/>
        </w:rPr>
        <w:t xml:space="preserve">Source: refer to </w:t>
      </w:r>
      <w:r w:rsidR="00A43E39" w:rsidRPr="00B50802">
        <w:rPr>
          <w:i/>
          <w:sz w:val="20"/>
          <w:szCs w:val="20"/>
        </w:rPr>
        <w:t xml:space="preserve">footnotes </w:t>
      </w:r>
      <w:r w:rsidR="00247DA8" w:rsidRPr="00B50802">
        <w:rPr>
          <w:i/>
          <w:sz w:val="20"/>
          <w:szCs w:val="20"/>
        </w:rPr>
        <w:footnoteReference w:id="57"/>
      </w:r>
      <w:r w:rsidR="00A43E39" w:rsidRPr="00B50802">
        <w:rPr>
          <w:i/>
          <w:sz w:val="20"/>
          <w:szCs w:val="20"/>
        </w:rPr>
        <w:t xml:space="preserve">, </w:t>
      </w:r>
      <w:r w:rsidR="00247DA8" w:rsidRPr="00B50802">
        <w:rPr>
          <w:i/>
          <w:sz w:val="20"/>
          <w:szCs w:val="20"/>
        </w:rPr>
        <w:footnoteReference w:id="58"/>
      </w:r>
      <w:r w:rsidR="00C61CCF" w:rsidRPr="00B50802">
        <w:rPr>
          <w:i/>
          <w:sz w:val="20"/>
          <w:szCs w:val="20"/>
        </w:rPr>
        <w:t xml:space="preserve">, </w:t>
      </w:r>
      <w:r w:rsidR="00247DA8" w:rsidRPr="00B50802">
        <w:rPr>
          <w:i/>
          <w:sz w:val="20"/>
          <w:szCs w:val="20"/>
        </w:rPr>
        <w:footnoteReference w:id="59"/>
      </w:r>
      <w:r w:rsidR="00C61CCF" w:rsidRPr="00B50802">
        <w:rPr>
          <w:i/>
          <w:sz w:val="20"/>
          <w:szCs w:val="20"/>
        </w:rPr>
        <w:t xml:space="preserve">, </w:t>
      </w:r>
      <w:r w:rsidR="00247DA8" w:rsidRPr="00B50802">
        <w:rPr>
          <w:i/>
          <w:sz w:val="20"/>
          <w:szCs w:val="20"/>
        </w:rPr>
        <w:footnoteReference w:id="60"/>
      </w:r>
      <w:r w:rsidR="00C61CCF" w:rsidRPr="00B50802">
        <w:rPr>
          <w:i/>
          <w:sz w:val="20"/>
          <w:szCs w:val="20"/>
        </w:rPr>
        <w:t xml:space="preserve">, </w:t>
      </w:r>
      <w:r w:rsidR="00247DA8" w:rsidRPr="00B50802">
        <w:rPr>
          <w:i/>
          <w:sz w:val="20"/>
          <w:szCs w:val="20"/>
        </w:rPr>
        <w:footnoteReference w:id="61"/>
      </w:r>
      <w:r w:rsidR="00EE48CD" w:rsidRPr="00B50802">
        <w:rPr>
          <w:i/>
          <w:sz w:val="20"/>
          <w:szCs w:val="20"/>
        </w:rPr>
        <w:t>.</w:t>
      </w:r>
    </w:p>
    <w:p w14:paraId="40940B91" w14:textId="77777777" w:rsidR="000D194F" w:rsidRPr="00B50802" w:rsidRDefault="000D194F" w:rsidP="002C3B0D">
      <w:pPr>
        <w:pStyle w:val="Bullet"/>
        <w:jc w:val="right"/>
        <w:rPr>
          <w:rFonts w:ascii="Arial" w:eastAsiaTheme="minorHAnsi" w:hAnsi="Arial" w:cs="Arial"/>
          <w:b/>
          <w:color w:val="005A70"/>
        </w:rPr>
      </w:pPr>
    </w:p>
    <w:p w14:paraId="4C2C95D6" w14:textId="77777777" w:rsidR="002C3B0D" w:rsidRPr="00B50802" w:rsidRDefault="00B0485B" w:rsidP="002C3B0D">
      <w:pPr>
        <w:pStyle w:val="Bullet"/>
        <w:jc w:val="right"/>
        <w:rPr>
          <w:rFonts w:eastAsiaTheme="minorHAnsi" w:cs="Arial"/>
          <w:color w:val="005A70"/>
        </w:rPr>
      </w:pPr>
      <w:r w:rsidRPr="00B50802">
        <w:rPr>
          <w:rFonts w:ascii="Georgia" w:hAnsi="Georgia"/>
          <w:b/>
          <w:bCs/>
          <w:noProof/>
          <w:sz w:val="28"/>
          <w:szCs w:val="28"/>
        </w:rPr>
        <w:lastRenderedPageBreak/>
        <mc:AlternateContent>
          <mc:Choice Requires="wps">
            <w:drawing>
              <wp:anchor distT="0" distB="0" distL="114300" distR="114300" simplePos="0" relativeHeight="251658249" behindDoc="0" locked="0" layoutInCell="1" allowOverlap="1" wp14:anchorId="1E695138" wp14:editId="4EB655C4">
                <wp:simplePos x="0" y="0"/>
                <wp:positionH relativeFrom="margin">
                  <wp:posOffset>-59636</wp:posOffset>
                </wp:positionH>
                <wp:positionV relativeFrom="paragraph">
                  <wp:posOffset>-99391</wp:posOffset>
                </wp:positionV>
                <wp:extent cx="5939459" cy="4415481"/>
                <wp:effectExtent l="0" t="0" r="23495" b="23495"/>
                <wp:wrapNone/>
                <wp:docPr id="153" name="Rectangle 153" descr="Decorative"/>
                <wp:cNvGraphicFramePr/>
                <a:graphic xmlns:a="http://schemas.openxmlformats.org/drawingml/2006/main">
                  <a:graphicData uri="http://schemas.microsoft.com/office/word/2010/wordprocessingShape">
                    <wps:wsp>
                      <wps:cNvSpPr/>
                      <wps:spPr>
                        <a:xfrm>
                          <a:off x="0" y="0"/>
                          <a:ext cx="5939459" cy="4415481"/>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4ECD8" id="Rectangle 153" o:spid="_x0000_s1026" alt="Decorative" style="position:absolute;margin-left:-4.7pt;margin-top:-7.85pt;width:467.65pt;height:347.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" filled="f" strokecolor="#005a70" strokeweight="2pt">
                <w10:wrap anchorx="margin"/>
              </v:rect>
            </w:pict>
          </mc:Fallback>
        </mc:AlternateContent>
      </w:r>
      <w:r w:rsidR="0005571D" w:rsidRPr="00B50802">
        <w:rPr>
          <w:rFonts w:cs="Arial"/>
          <w:b/>
          <w:noProof/>
          <w:color w:val="005A70"/>
        </w:rPr>
        <w:drawing>
          <wp:anchor distT="0" distB="0" distL="114300" distR="114300" simplePos="0" relativeHeight="251658258" behindDoc="1" locked="0" layoutInCell="1" allowOverlap="1" wp14:anchorId="232204F2" wp14:editId="44050D87">
            <wp:simplePos x="0" y="0"/>
            <wp:positionH relativeFrom="margin">
              <wp:posOffset>-9774</wp:posOffset>
            </wp:positionH>
            <wp:positionV relativeFrom="paragraph">
              <wp:posOffset>-49668</wp:posOffset>
            </wp:positionV>
            <wp:extent cx="433070" cy="658495"/>
            <wp:effectExtent l="0" t="0" r="5080" b="8255"/>
            <wp:wrapNone/>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070" cy="658495"/>
                    </a:xfrm>
                    <a:prstGeom prst="rect">
                      <a:avLst/>
                    </a:prstGeom>
                    <a:noFill/>
                  </pic:spPr>
                </pic:pic>
              </a:graphicData>
            </a:graphic>
            <wp14:sizeRelH relativeFrom="page">
              <wp14:pctWidth>0</wp14:pctWidth>
            </wp14:sizeRelH>
            <wp14:sizeRelV relativeFrom="page">
              <wp14:pctHeight>0</wp14:pctHeight>
            </wp14:sizeRelV>
          </wp:anchor>
        </w:drawing>
      </w:r>
      <w:r w:rsidR="0005571D" w:rsidRPr="00B50802">
        <w:rPr>
          <w:rFonts w:ascii="Arial" w:eastAsiaTheme="minorHAnsi" w:hAnsi="Arial" w:cs="Arial"/>
          <w:b/>
          <w:color w:val="005A70"/>
        </w:rPr>
        <w:br/>
      </w:r>
      <w:r w:rsidR="002C3B0D" w:rsidRPr="00B50802">
        <w:rPr>
          <w:rFonts w:ascii="Arial" w:eastAsiaTheme="minorHAnsi" w:hAnsi="Arial" w:cs="Arial"/>
          <w:b/>
          <w:color w:val="005A70"/>
        </w:rPr>
        <w:t>Case study – Western Australia North West Aboriginal Housing Fund</w:t>
      </w:r>
    </w:p>
    <w:p w14:paraId="657CFD72" w14:textId="77777777" w:rsidR="002C3B0D" w:rsidRPr="00B50802" w:rsidRDefault="002C3B0D" w:rsidP="002C3B0D"/>
    <w:p w14:paraId="0713DBEE" w14:textId="73181EC9" w:rsidR="002C3B0D" w:rsidRPr="00B50802" w:rsidRDefault="002C3B0D" w:rsidP="002C3B0D">
      <w:pPr>
        <w:rPr>
          <w:rStyle w:val="ui-provider"/>
        </w:rPr>
      </w:pPr>
      <w:r w:rsidRPr="00B50802">
        <w:rPr>
          <w:rStyle w:val="ui-provider"/>
        </w:rPr>
        <w:t>The North West Aboriginal Housing Fund is a $200 million initiative which commenced in</w:t>
      </w:r>
      <w:r w:rsidR="001B1C96">
        <w:rPr>
          <w:rStyle w:val="ui-provider"/>
        </w:rPr>
        <w:t> </w:t>
      </w:r>
      <w:r w:rsidRPr="00B50802">
        <w:rPr>
          <w:rStyle w:val="ui-provider"/>
        </w:rPr>
        <w:t>2016 to improve the lives of Aboriginal people living in the state’s north.</w:t>
      </w:r>
    </w:p>
    <w:p w14:paraId="1FE8E0F3" w14:textId="77777777" w:rsidR="002C3B0D" w:rsidRPr="00B50802" w:rsidRDefault="002C3B0D" w:rsidP="002C3B0D">
      <w:pPr>
        <w:rPr>
          <w:rStyle w:val="ui-provider"/>
        </w:rPr>
      </w:pPr>
      <w:r w:rsidRPr="00B50802">
        <w:rPr>
          <w:rStyle w:val="ui-provider"/>
        </w:rPr>
        <w:t>A call for Expressions of Interest sought ideas from Aboriginal groups and organisations for projects that established pathways for Aboriginal economic independence through the development of a sustainable, transformed housing market in the Kimberley and Pilbara, providing supports for achieving better education and employment outcomes.</w:t>
      </w:r>
    </w:p>
    <w:p w14:paraId="440A998D" w14:textId="77777777" w:rsidR="002C3B0D" w:rsidRPr="00B50802" w:rsidRDefault="002C3B0D" w:rsidP="002C3B0D">
      <w:pPr>
        <w:rPr>
          <w:rStyle w:val="ui-provider"/>
        </w:rPr>
      </w:pPr>
      <w:r w:rsidRPr="00B50802">
        <w:rPr>
          <w:rStyle w:val="ui-provider"/>
        </w:rPr>
        <w:t>Nine projects were selected for funding including: projects providing transitional housing and supports in a rent-to-buy style program; the construction of houses for employees of an Aboriginal Medical Service; the construction of housing with capacity building supports for entry level workers in the construction sector; the construction of homes for use as employee housing; and a home ownership program in the Kimberley. </w:t>
      </w:r>
    </w:p>
    <w:p w14:paraId="65B196CE" w14:textId="77777777" w:rsidR="002C3B0D" w:rsidRPr="00B50802" w:rsidRDefault="002C3B0D" w:rsidP="002C3B0D">
      <w:pPr>
        <w:rPr>
          <w:rStyle w:val="ui-provider"/>
        </w:rPr>
      </w:pPr>
      <w:r w:rsidRPr="00B50802">
        <w:rPr>
          <w:rStyle w:val="ui-provider"/>
        </w:rPr>
        <w:t>To date the Fund’s ‘live’ investments have facilitated the development of 105 new affordable homes and supported 202 families. Six families have purchased a home of their own.</w:t>
      </w:r>
    </w:p>
    <w:p w14:paraId="68F33BD8" w14:textId="77777777" w:rsidR="002C3B0D" w:rsidRPr="00B50802" w:rsidRDefault="002C3B0D" w:rsidP="002C3B0D">
      <w:pPr>
        <w:rPr>
          <w:rStyle w:val="ui-provider"/>
        </w:rPr>
      </w:pPr>
      <w:r w:rsidRPr="00B50802">
        <w:rPr>
          <w:rStyle w:val="ui-provider"/>
        </w:rPr>
        <w:t>The success of the program can be measured in the achievements of the people who signed up to the opportunity for safe, stable and secure housing while they worked towards their goals, such as employment and promotions, financial security, graduating children and home ownership. </w:t>
      </w:r>
    </w:p>
    <w:p w14:paraId="564BB398" w14:textId="77777777" w:rsidR="00AF6F67" w:rsidRPr="009274D8" w:rsidRDefault="00AF6F67" w:rsidP="009274D8">
      <w:pPr>
        <w:rPr>
          <w:rFonts w:ascii="Georgia" w:eastAsia="Times New Roman" w:hAnsi="Georgia" w:cs="Calibri"/>
          <w:b/>
          <w:sz w:val="28"/>
          <w:szCs w:val="24"/>
          <w:lang w:eastAsia="en-AU"/>
        </w:rPr>
      </w:pPr>
      <w:bookmarkStart w:id="1557" w:name="_Toc134784703"/>
      <w:bookmarkStart w:id="1558" w:name="_Toc135035222"/>
      <w:bookmarkStart w:id="1559" w:name="_Toc135060899"/>
      <w:bookmarkStart w:id="1560" w:name="_Toc135161370"/>
      <w:bookmarkStart w:id="1561" w:name="_Toc135162317"/>
      <w:bookmarkStart w:id="1562" w:name="_Toc135162491"/>
      <w:bookmarkStart w:id="1563" w:name="_Toc135206070"/>
      <w:bookmarkStart w:id="1564" w:name="_Toc135206155"/>
      <w:bookmarkStart w:id="1565" w:name="_Toc139464313"/>
      <w:bookmarkStart w:id="1566" w:name="_Toc141969848"/>
      <w:bookmarkStart w:id="1567" w:name="_Toc141972471"/>
      <w:bookmarkStart w:id="1568" w:name="_Toc141972684"/>
      <w:bookmarkStart w:id="1569" w:name="_Toc141972958"/>
      <w:bookmarkStart w:id="1570" w:name="_Toc142042518"/>
      <w:bookmarkStart w:id="1571" w:name="_Toc142042727"/>
      <w:r w:rsidRPr="009274D8">
        <w:rPr>
          <w:rFonts w:ascii="Georgia" w:eastAsia="Times New Roman" w:hAnsi="Georgia" w:cs="Calibri"/>
          <w:b/>
          <w:sz w:val="28"/>
          <w:szCs w:val="24"/>
          <w:lang w:eastAsia="en-AU"/>
        </w:rPr>
        <w:t xml:space="preserve">Australian Government </w:t>
      </w:r>
      <w:r w:rsidR="0072222A" w:rsidRPr="009274D8">
        <w:rPr>
          <w:rFonts w:ascii="Georgia" w:eastAsia="Times New Roman" w:hAnsi="Georgia" w:cs="Calibri"/>
          <w:b/>
          <w:sz w:val="28"/>
          <w:szCs w:val="24"/>
          <w:lang w:eastAsia="en-AU"/>
        </w:rPr>
        <w:t xml:space="preserve">funding for </w:t>
      </w:r>
      <w:r w:rsidRPr="009274D8">
        <w:rPr>
          <w:rFonts w:ascii="Georgia" w:eastAsia="Times New Roman" w:hAnsi="Georgia" w:cs="Calibri"/>
          <w:b/>
          <w:sz w:val="28"/>
          <w:szCs w:val="24"/>
          <w:lang w:eastAsia="en-AU"/>
        </w:rPr>
        <w:t>Aboriginal and Torres Strait Islander housing</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3135BE2A" w14:textId="6D903F6E" w:rsidR="00AF6F67" w:rsidRPr="00B50802" w:rsidRDefault="00AF6F67" w:rsidP="00691BFB">
      <w:pPr>
        <w:rPr>
          <w:rFonts w:cs="Arial"/>
        </w:rPr>
      </w:pPr>
      <w:r w:rsidRPr="00B50802">
        <w:rPr>
          <w:rFonts w:cs="Arial"/>
        </w:rPr>
        <w:t xml:space="preserve">The Australian Government has committed </w:t>
      </w:r>
      <w:r w:rsidR="005110E4" w:rsidRPr="00B50802">
        <w:rPr>
          <w:rFonts w:cs="Arial"/>
        </w:rPr>
        <w:t>to</w:t>
      </w:r>
      <w:r w:rsidRPr="00B50802">
        <w:rPr>
          <w:rFonts w:cs="Arial"/>
        </w:rPr>
        <w:t xml:space="preserve"> several new initiatives to support Aboriginal and Torres Strait Islander housing. These include:</w:t>
      </w:r>
    </w:p>
    <w:p w14:paraId="75CD12F8" w14:textId="77777777" w:rsidR="00AF6F67" w:rsidRPr="00B50802" w:rsidRDefault="00AF6F67" w:rsidP="00296045">
      <w:pPr>
        <w:pStyle w:val="Bullets"/>
        <w:numPr>
          <w:ilvl w:val="0"/>
          <w:numId w:val="34"/>
        </w:numPr>
        <w:ind w:left="709"/>
      </w:pPr>
      <w:r w:rsidRPr="00B50802">
        <w:t>$200 million from the returns from the Housing Australia Future Fund for the repair, maintenance and improvements of housing in remote Indigenous communities</w:t>
      </w:r>
    </w:p>
    <w:p w14:paraId="575D9965" w14:textId="77777777" w:rsidR="00AF6F67" w:rsidRPr="00B50802" w:rsidRDefault="00AF6F67" w:rsidP="00296045">
      <w:pPr>
        <w:pStyle w:val="Bullets"/>
        <w:numPr>
          <w:ilvl w:val="0"/>
          <w:numId w:val="34"/>
        </w:numPr>
        <w:ind w:left="709"/>
      </w:pPr>
      <w:r w:rsidRPr="00B50802">
        <w:t>$100 million for housing and essential infrastructure on Northern Territory homelands</w:t>
      </w:r>
    </w:p>
    <w:p w14:paraId="3CD2A7B6" w14:textId="6101BDB2" w:rsidR="00AF6F67" w:rsidRPr="00B50802" w:rsidRDefault="00AF6F67" w:rsidP="00296045">
      <w:pPr>
        <w:pStyle w:val="Bullets"/>
        <w:numPr>
          <w:ilvl w:val="0"/>
          <w:numId w:val="34"/>
        </w:numPr>
        <w:ind w:left="709"/>
      </w:pPr>
      <w:r w:rsidRPr="00B75F7D">
        <w:t>$111.7 million</w:t>
      </w:r>
      <w:r w:rsidRPr="00B50802">
        <w:t xml:space="preserve"> to a new one-year partnership with the Northern Territory Government to accelerate building of new remote housing, targeted at addressing the worst overcrowding</w:t>
      </w:r>
    </w:p>
    <w:p w14:paraId="7878B9CB" w14:textId="77777777" w:rsidR="007422BD" w:rsidRPr="00B50802" w:rsidRDefault="00AF6F67" w:rsidP="00296045">
      <w:pPr>
        <w:pStyle w:val="Bullets"/>
        <w:numPr>
          <w:ilvl w:val="0"/>
          <w:numId w:val="34"/>
        </w:numPr>
        <w:ind w:left="709"/>
      </w:pPr>
      <w:r w:rsidRPr="00B50802">
        <w:t xml:space="preserve">$9.2 million over </w:t>
      </w:r>
      <w:r w:rsidR="003021A5" w:rsidRPr="00B50802">
        <w:t xml:space="preserve">3 </w:t>
      </w:r>
      <w:r w:rsidRPr="00B50802">
        <w:t>years from 2022</w:t>
      </w:r>
      <w:r w:rsidR="003021A5" w:rsidRPr="00B50802">
        <w:t>–</w:t>
      </w:r>
      <w:r w:rsidRPr="00B50802">
        <w:t>23 to establish the Housing Policy Partnership under Priority Reform One of the National Agreement on Closing the Gap.</w:t>
      </w:r>
    </w:p>
    <w:p w14:paraId="4A7CA84B" w14:textId="5967EF10" w:rsidR="00AF6F67" w:rsidRPr="00B50802" w:rsidRDefault="003021A5" w:rsidP="00691BFB">
      <w:pPr>
        <w:rPr>
          <w:rFonts w:cs="Arial"/>
        </w:rPr>
      </w:pPr>
      <w:r w:rsidRPr="00B50802">
        <w:rPr>
          <w:rFonts w:cs="Arial"/>
        </w:rPr>
        <w:lastRenderedPageBreak/>
        <w:t xml:space="preserve">This is in addition to Australian </w:t>
      </w:r>
      <w:r w:rsidR="00AF6F67" w:rsidRPr="00B50802">
        <w:rPr>
          <w:rFonts w:cs="Arial"/>
        </w:rPr>
        <w:t>Government invest</w:t>
      </w:r>
      <w:r w:rsidRPr="00B50802">
        <w:rPr>
          <w:rFonts w:cs="Arial"/>
        </w:rPr>
        <w:t>ment of</w:t>
      </w:r>
      <w:r w:rsidR="00AF6F67" w:rsidRPr="00B50802">
        <w:rPr>
          <w:rFonts w:cs="Arial"/>
        </w:rPr>
        <w:t>:</w:t>
      </w:r>
    </w:p>
    <w:p w14:paraId="2B510F5A" w14:textId="0A957B0D" w:rsidR="00AF6F67" w:rsidRPr="00B50802" w:rsidRDefault="00AF6F67" w:rsidP="00296045">
      <w:pPr>
        <w:pStyle w:val="Bullets"/>
        <w:numPr>
          <w:ilvl w:val="0"/>
          <w:numId w:val="35"/>
        </w:numPr>
        <w:ind w:left="709"/>
      </w:pPr>
      <w:r w:rsidRPr="00B50802">
        <w:t>$550 million from 2018</w:t>
      </w:r>
      <w:r w:rsidR="003021A5" w:rsidRPr="00B50802">
        <w:t>–</w:t>
      </w:r>
      <w:r w:rsidRPr="00B50802">
        <w:t>23, matched by the Northern Territory government, for the National Partnership for Remote Housing in the Northern Territory (NPRHNT) to help reduce overcrowding through increasing the supply and standard of public housing in</w:t>
      </w:r>
      <w:r w:rsidR="001B1C96">
        <w:t> </w:t>
      </w:r>
      <w:r w:rsidRPr="00B50802">
        <w:t xml:space="preserve">remote communities and town camps </w:t>
      </w:r>
    </w:p>
    <w:p w14:paraId="5FC6BBD2" w14:textId="77777777" w:rsidR="00AF6F67" w:rsidRPr="00B50802" w:rsidRDefault="00AF6F67" w:rsidP="00296045">
      <w:pPr>
        <w:pStyle w:val="Bullets"/>
        <w:numPr>
          <w:ilvl w:val="0"/>
          <w:numId w:val="35"/>
        </w:numPr>
        <w:ind w:left="709"/>
      </w:pPr>
      <w:r w:rsidRPr="00B50802">
        <w:t>$150 million in the 2020</w:t>
      </w:r>
      <w:r w:rsidR="003021A5" w:rsidRPr="00B50802">
        <w:t>–</w:t>
      </w:r>
      <w:r w:rsidRPr="00B50802">
        <w:t xml:space="preserve">21 Budget over </w:t>
      </w:r>
      <w:r w:rsidR="003021A5" w:rsidRPr="00B50802">
        <w:t xml:space="preserve">3 </w:t>
      </w:r>
      <w:r w:rsidRPr="00B50802">
        <w:t xml:space="preserve">years to Indigenous Business Australia (IBA) to deliver 360 new construction loans in regional Australia through the Indigenous Home Ownership Program. </w:t>
      </w:r>
    </w:p>
    <w:p w14:paraId="6620561B" w14:textId="77777777" w:rsidR="002C3B0D" w:rsidRPr="00B50802" w:rsidRDefault="001B1C96" w:rsidP="002C3B0D">
      <w:pPr>
        <w:rPr>
          <w:rFonts w:cs="Arial"/>
        </w:rPr>
      </w:pPr>
      <w:r w:rsidRPr="00B50802">
        <w:rPr>
          <w:rFonts w:cs="Arial"/>
          <w:noProof/>
          <w:lang w:eastAsia="en-AU"/>
        </w:rPr>
        <mc:AlternateContent>
          <mc:Choice Requires="wps">
            <w:drawing>
              <wp:anchor distT="0" distB="0" distL="114300" distR="114300" simplePos="0" relativeHeight="251658250" behindDoc="0" locked="0" layoutInCell="1" allowOverlap="1" wp14:anchorId="73C1F8C0" wp14:editId="06D38C2F">
                <wp:simplePos x="0" y="0"/>
                <wp:positionH relativeFrom="column">
                  <wp:posOffset>-29210</wp:posOffset>
                </wp:positionH>
                <wp:positionV relativeFrom="paragraph">
                  <wp:posOffset>463246</wp:posOffset>
                </wp:positionV>
                <wp:extent cx="5979216" cy="2927268"/>
                <wp:effectExtent l="0" t="0" r="21590" b="26035"/>
                <wp:wrapNone/>
                <wp:docPr id="10" name="Rectangle 10" descr="Decorative"/>
                <wp:cNvGraphicFramePr/>
                <a:graphic xmlns:a="http://schemas.openxmlformats.org/drawingml/2006/main">
                  <a:graphicData uri="http://schemas.microsoft.com/office/word/2010/wordprocessingShape">
                    <wps:wsp>
                      <wps:cNvSpPr/>
                      <wps:spPr>
                        <a:xfrm>
                          <a:off x="0" y="0"/>
                          <a:ext cx="5979216" cy="2927268"/>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228CC" id="Rectangle 10" o:spid="_x0000_s1026" alt="Decorative" style="position:absolute;margin-left:-2.3pt;margin-top:36.5pt;width:470.8pt;height:23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" filled="f" strokecolor="#005a70" strokeweight="2pt"/>
            </w:pict>
          </mc:Fallback>
        </mc:AlternateContent>
      </w:r>
      <w:r w:rsidR="003021A5" w:rsidRPr="00B50802">
        <w:t>The s</w:t>
      </w:r>
      <w:r w:rsidR="00AC25A4" w:rsidRPr="00B50802">
        <w:t>tate</w:t>
      </w:r>
      <w:r w:rsidR="003021A5" w:rsidRPr="00B50802">
        <w:t>s</w:t>
      </w:r>
      <w:r w:rsidR="002A45AF" w:rsidRPr="00B50802">
        <w:t>’</w:t>
      </w:r>
      <w:r w:rsidR="00AC25A4" w:rsidRPr="00B50802">
        <w:t xml:space="preserve"> Aboriginal and Torres Strait Islander housing funding policies and programs </w:t>
      </w:r>
      <w:r w:rsidR="00DE6AB6" w:rsidRPr="00B50802">
        <w:t xml:space="preserve">can be found in state and territory </w:t>
      </w:r>
      <w:hyperlink r:id="rId89" w:history="1">
        <w:r w:rsidR="00DE6AB6" w:rsidRPr="00B50802">
          <w:rPr>
            <w:rStyle w:val="Hyperlink"/>
          </w:rPr>
          <w:t>Closing the Gap Implementation Plans</w:t>
        </w:r>
      </w:hyperlink>
      <w:r w:rsidR="00DE6AB6" w:rsidRPr="00B50802">
        <w:t>.</w:t>
      </w:r>
    </w:p>
    <w:p w14:paraId="5D5B0205" w14:textId="0B0172B1" w:rsidR="002C3B0D" w:rsidRPr="00B50802" w:rsidRDefault="001B1C96" w:rsidP="001B1C96">
      <w:pPr>
        <w:jc w:val="right"/>
      </w:pPr>
      <w:r w:rsidRPr="00B50802">
        <w:rPr>
          <w:rFonts w:cs="Arial"/>
          <w:noProof/>
          <w:lang w:eastAsia="en-AU"/>
        </w:rPr>
        <w:drawing>
          <wp:anchor distT="0" distB="0" distL="114300" distR="114300" simplePos="0" relativeHeight="251658311" behindDoc="1" locked="0" layoutInCell="1" allowOverlap="1" wp14:anchorId="3AAAF3FD" wp14:editId="0A0A2544">
            <wp:simplePos x="0" y="0"/>
            <wp:positionH relativeFrom="margin">
              <wp:posOffset>95052</wp:posOffset>
            </wp:positionH>
            <wp:positionV relativeFrom="paragraph">
              <wp:posOffset>3926</wp:posOffset>
            </wp:positionV>
            <wp:extent cx="481330" cy="646430"/>
            <wp:effectExtent l="0" t="0" r="0" b="1270"/>
            <wp:wrapNone/>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330" cy="646430"/>
                    </a:xfrm>
                    <a:prstGeom prst="rect">
                      <a:avLst/>
                    </a:prstGeom>
                    <a:noFill/>
                  </pic:spPr>
                </pic:pic>
              </a:graphicData>
            </a:graphic>
          </wp:anchor>
        </w:drawing>
      </w:r>
      <w:r>
        <w:rPr>
          <w:rFonts w:cs="Arial"/>
          <w:b/>
          <w:color w:val="005A70"/>
        </w:rPr>
        <w:br/>
      </w:r>
      <w:r w:rsidRPr="00B50802">
        <w:rPr>
          <w:rFonts w:cs="Arial"/>
          <w:b/>
          <w:color w:val="005A70"/>
        </w:rPr>
        <w:t xml:space="preserve"> </w:t>
      </w:r>
      <w:r w:rsidR="002C3B0D" w:rsidRPr="00B50802">
        <w:rPr>
          <w:rFonts w:cs="Arial"/>
          <w:b/>
          <w:color w:val="005A70"/>
        </w:rPr>
        <w:t xml:space="preserve">Case study – Northern Territory Batten Road Integrated </w:t>
      </w:r>
      <w:r w:rsidR="002C3B0D" w:rsidRPr="00B50802">
        <w:rPr>
          <w:rFonts w:cs="Arial"/>
          <w:b/>
          <w:color w:val="005A70"/>
        </w:rPr>
        <w:br/>
        <w:t>Homelessness Supported Accommodation Service</w:t>
      </w:r>
    </w:p>
    <w:p w14:paraId="07695C77" w14:textId="77777777" w:rsidR="002C3B0D" w:rsidRPr="00B50802" w:rsidRDefault="002C3B0D" w:rsidP="002C3B0D">
      <w:pPr>
        <w:jc w:val="both"/>
      </w:pPr>
      <w:r w:rsidRPr="00B50802">
        <w:t>The Batten Road Integrated Homelessness Supported Accommodation Service provides short-term visitor accommodation and access to longer-term accommodation and case management to support Aboriginal people experiencing homelessness.</w:t>
      </w:r>
    </w:p>
    <w:p w14:paraId="700CE68B" w14:textId="77777777" w:rsidR="002C3B0D" w:rsidRPr="00B50802" w:rsidRDefault="002C3B0D" w:rsidP="002C3B0D">
      <w:pPr>
        <w:jc w:val="both"/>
      </w:pPr>
      <w:r w:rsidRPr="00B50802">
        <w:t>The service can provide short and medium-term accommodation for up to 300 people including singles, couples and families with children. It is delivered through an alliance partnership between Mission Australia and Yilli Rreung Housing Aboriginal Corporation.</w:t>
      </w:r>
    </w:p>
    <w:p w14:paraId="39F54DDE" w14:textId="23EAD1D7" w:rsidR="002C3B0D" w:rsidRPr="00B50802" w:rsidRDefault="002C3B0D" w:rsidP="00BC29FC">
      <w:pPr>
        <w:spacing w:after="240"/>
      </w:pPr>
      <w:r w:rsidRPr="00B50802">
        <w:t>Mission Australia delivers case management and support, and coordinates a range of</w:t>
      </w:r>
      <w:r w:rsidR="001B1C96">
        <w:t> </w:t>
      </w:r>
      <w:r w:rsidRPr="00B50802">
        <w:t>government and non-government organisations to deliver broad-reaching integrated on</w:t>
      </w:r>
      <w:r w:rsidR="001B1C96">
        <w:noBreakHyphen/>
      </w:r>
      <w:r w:rsidRPr="00B50802">
        <w:t>site services for people experiencing homelessness. Yilli Rreung Housing Aboriginal Corporation deliver property and facility management of the accommodation facility.</w:t>
      </w:r>
    </w:p>
    <w:p w14:paraId="12B922BB" w14:textId="77777777" w:rsidR="00AF6F67" w:rsidRPr="009274D8" w:rsidRDefault="00AF6F67" w:rsidP="009274D8">
      <w:pPr>
        <w:rPr>
          <w:rFonts w:ascii="Georgia" w:eastAsia="Times New Roman" w:hAnsi="Georgia" w:cs="Calibri"/>
          <w:b/>
          <w:sz w:val="28"/>
          <w:szCs w:val="24"/>
          <w:lang w:eastAsia="en-AU"/>
        </w:rPr>
      </w:pPr>
      <w:bookmarkStart w:id="1572" w:name="_Toc134784704"/>
      <w:bookmarkStart w:id="1573" w:name="_Toc135035223"/>
      <w:bookmarkStart w:id="1574" w:name="_Toc135060900"/>
      <w:bookmarkStart w:id="1575" w:name="_Toc135161371"/>
      <w:bookmarkStart w:id="1576" w:name="_Toc135162318"/>
      <w:bookmarkStart w:id="1577" w:name="_Toc135162492"/>
      <w:bookmarkStart w:id="1578" w:name="_Toc135206071"/>
      <w:bookmarkStart w:id="1579" w:name="_Toc135206156"/>
      <w:bookmarkStart w:id="1580" w:name="_Toc139464314"/>
      <w:bookmarkStart w:id="1581" w:name="_Toc141969849"/>
      <w:bookmarkStart w:id="1582" w:name="_Toc141972472"/>
      <w:bookmarkStart w:id="1583" w:name="_Toc141972685"/>
      <w:bookmarkStart w:id="1584" w:name="_Toc141972959"/>
      <w:bookmarkStart w:id="1585" w:name="_Toc142042519"/>
      <w:bookmarkStart w:id="1586" w:name="_Toc142042728"/>
      <w:r w:rsidRPr="009274D8">
        <w:rPr>
          <w:rFonts w:ascii="Georgia" w:eastAsia="Times New Roman" w:hAnsi="Georgia" w:cs="Calibri"/>
          <w:b/>
          <w:sz w:val="28"/>
          <w:szCs w:val="24"/>
          <w:lang w:eastAsia="en-AU"/>
        </w:rPr>
        <w:t xml:space="preserve">Indigenous Australians and </w:t>
      </w:r>
      <w:r w:rsidR="0072222A" w:rsidRPr="009274D8">
        <w:rPr>
          <w:rFonts w:ascii="Georgia" w:eastAsia="Times New Roman" w:hAnsi="Georgia" w:cs="Calibri"/>
          <w:b/>
          <w:sz w:val="28"/>
          <w:szCs w:val="24"/>
          <w:lang w:eastAsia="en-AU"/>
        </w:rPr>
        <w:t>g</w:t>
      </w:r>
      <w:r w:rsidRPr="009274D8">
        <w:rPr>
          <w:rFonts w:ascii="Georgia" w:eastAsia="Times New Roman" w:hAnsi="Georgia" w:cs="Calibri"/>
          <w:b/>
          <w:sz w:val="28"/>
          <w:szCs w:val="24"/>
          <w:lang w:eastAsia="en-AU"/>
        </w:rPr>
        <w:t>overnment</w:t>
      </w:r>
      <w:r w:rsidR="0072222A" w:rsidRPr="009274D8">
        <w:rPr>
          <w:rFonts w:ascii="Georgia" w:eastAsia="Times New Roman" w:hAnsi="Georgia" w:cs="Calibri"/>
          <w:b/>
          <w:sz w:val="28"/>
          <w:szCs w:val="24"/>
          <w:lang w:eastAsia="en-AU"/>
        </w:rPr>
        <w:t>s</w:t>
      </w:r>
      <w:r w:rsidRPr="009274D8">
        <w:rPr>
          <w:rFonts w:ascii="Georgia" w:eastAsia="Times New Roman" w:hAnsi="Georgia" w:cs="Calibri"/>
          <w:b/>
          <w:sz w:val="28"/>
          <w:szCs w:val="24"/>
          <w:lang w:eastAsia="en-AU"/>
        </w:rPr>
        <w:t xml:space="preserve"> working in partnership</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637614AE" w14:textId="2E5CA1D8" w:rsidR="00AF6F67" w:rsidRPr="00B50802" w:rsidRDefault="00AF6F67" w:rsidP="001A0532">
      <w:r w:rsidRPr="00B50802">
        <w:t xml:space="preserve">Under the National Agreement on Closing the Gap, the </w:t>
      </w:r>
      <w:r w:rsidR="001A0532" w:rsidRPr="00B50802">
        <w:t xml:space="preserve">Australian </w:t>
      </w:r>
      <w:r w:rsidRPr="00B50802">
        <w:t xml:space="preserve">Government is working </w:t>
      </w:r>
      <w:r w:rsidR="00F33F53" w:rsidRPr="00B50802">
        <w:br/>
      </w:r>
      <w:r w:rsidRPr="00B50802">
        <w:t>in partnership with the Coalition of Peaks</w:t>
      </w:r>
      <w:r w:rsidR="00227C79" w:rsidRPr="00B75F7D">
        <w:t>,</w:t>
      </w:r>
      <w:r w:rsidR="0015250C" w:rsidRPr="00B50802">
        <w:t xml:space="preserve"> the National Aboriginal and Torres Strait Islander Housing Association (NATSIHA),</w:t>
      </w:r>
      <w:r w:rsidRPr="00B50802">
        <w:t xml:space="preserve"> and all states and territories to support specific actions aimed at improving housing in Aboriginal and Torres Strait Islander communities. </w:t>
      </w:r>
      <w:r w:rsidR="00072E46" w:rsidRPr="00B50802">
        <w:t>In</w:t>
      </w:r>
      <w:r w:rsidR="001B1C96">
        <w:t> </w:t>
      </w:r>
      <w:r w:rsidR="00072E46" w:rsidRPr="00B50802">
        <w:t>response to listening to Aboriginal and Torres Strait Islander Australians, t</w:t>
      </w:r>
      <w:r w:rsidRPr="00B50802">
        <w:t>hese actions include establishing a Housing Policy Partnership under Priority Reform One (Clause 38).</w:t>
      </w:r>
    </w:p>
    <w:p w14:paraId="4404529E" w14:textId="5F2801CE" w:rsidR="00AF6F67" w:rsidRPr="00B50802" w:rsidRDefault="00AF6F67" w:rsidP="00AF6F67">
      <w:r w:rsidRPr="00B50802">
        <w:t xml:space="preserve">The Housing Policy Partnership will provide a forum for Indigenous Australians to have </w:t>
      </w:r>
      <w:r w:rsidR="00F33F53" w:rsidRPr="00B50802">
        <w:br/>
      </w:r>
      <w:r w:rsidRPr="00B50802">
        <w:t>a genuine say in the design and delivery of housing services. This aligns with a foundational principle of the National Agreement on Closing the Gap</w:t>
      </w:r>
      <w:r w:rsidR="00C149CD" w:rsidRPr="00B75F7D">
        <w:t>:</w:t>
      </w:r>
      <w:r w:rsidRPr="00B50802">
        <w:t xml:space="preserve"> when Aboriginal and Torres Strait Islander people have a genuine say in the design and delivery of services </w:t>
      </w:r>
      <w:r w:rsidR="00C149CD" w:rsidRPr="00B75F7D">
        <w:t>that</w:t>
      </w:r>
      <w:r w:rsidRPr="00B50802">
        <w:t xml:space="preserve"> affect them, better life outcomes are achieved (Clause 6).</w:t>
      </w:r>
    </w:p>
    <w:p w14:paraId="42A7483E" w14:textId="77777777" w:rsidR="001B1C96" w:rsidRDefault="001B1C96">
      <w:r>
        <w:br w:type="page"/>
      </w:r>
    </w:p>
    <w:p w14:paraId="74E25774" w14:textId="77777777" w:rsidR="00AF6F67" w:rsidRPr="00B50802" w:rsidRDefault="00AF6F67" w:rsidP="00AF6F67">
      <w:r w:rsidRPr="00B50802">
        <w:lastRenderedPageBreak/>
        <w:t xml:space="preserve">It is envisaged the Housing Policy Partnership will have a role in the development of the Plan to ensure the voices and perspectives of Aboriginal and Torres Strait Islander people are incorporated in stakeholder consultation. The Housing Policy Partnership will identify strategic priorities for government consideration through shared decision-making, ensuring the Plan aligns </w:t>
      </w:r>
      <w:r w:rsidR="00537179" w:rsidRPr="00B50802">
        <w:t xml:space="preserve">and supports </w:t>
      </w:r>
      <w:r w:rsidRPr="00B50802">
        <w:t>the Priority Reforms of the National Agreement on Closing the Gap.</w:t>
      </w:r>
    </w:p>
    <w:p w14:paraId="3FD7B3C5" w14:textId="77777777" w:rsidR="002C3B0D" w:rsidRPr="00B50802" w:rsidRDefault="0005571D" w:rsidP="002C3B0D">
      <w:pPr>
        <w:jc w:val="center"/>
        <w:rPr>
          <w:b/>
          <w:bCs/>
        </w:rPr>
      </w:pPr>
      <w:r w:rsidRPr="00B50802">
        <w:rPr>
          <w:noProof/>
          <w:lang w:eastAsia="en-AU"/>
        </w:rPr>
        <mc:AlternateContent>
          <mc:Choice Requires="wps">
            <w:drawing>
              <wp:anchor distT="0" distB="0" distL="114300" distR="114300" simplePos="0" relativeHeight="251658252" behindDoc="1" locked="0" layoutInCell="1" allowOverlap="1" wp14:anchorId="652C50F3" wp14:editId="7AE803F3">
                <wp:simplePos x="0" y="0"/>
                <wp:positionH relativeFrom="margin">
                  <wp:posOffset>-69574</wp:posOffset>
                </wp:positionH>
                <wp:positionV relativeFrom="paragraph">
                  <wp:posOffset>-49696</wp:posOffset>
                </wp:positionV>
                <wp:extent cx="5858593" cy="2355574"/>
                <wp:effectExtent l="0" t="0" r="27940" b="26035"/>
                <wp:wrapNone/>
                <wp:docPr id="125" name="Rectangle 125" descr="Decorative"/>
                <wp:cNvGraphicFramePr/>
                <a:graphic xmlns:a="http://schemas.openxmlformats.org/drawingml/2006/main">
                  <a:graphicData uri="http://schemas.microsoft.com/office/word/2010/wordprocessingShape">
                    <wps:wsp>
                      <wps:cNvSpPr/>
                      <wps:spPr>
                        <a:xfrm>
                          <a:off x="0" y="0"/>
                          <a:ext cx="5858593" cy="2355574"/>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696B" id="Rectangle 125" o:spid="_x0000_s1026" alt="Decorative" style="position:absolute;margin-left:-5.5pt;margin-top:-3.9pt;width:461.3pt;height:185.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" fillcolor="#f2f2f2 [3052]" strokecolor="black [3213]" strokeweight=".25pt">
                <w10:wrap anchorx="margin"/>
              </v:rect>
            </w:pict>
          </mc:Fallback>
        </mc:AlternateContent>
      </w:r>
      <w:r w:rsidR="002C3B0D" w:rsidRPr="00B50802">
        <w:rPr>
          <w:noProof/>
          <w:lang w:eastAsia="en-AU"/>
        </w:rPr>
        <w:drawing>
          <wp:anchor distT="0" distB="0" distL="114300" distR="114300" simplePos="0" relativeHeight="251658251" behindDoc="0" locked="0" layoutInCell="1" allowOverlap="1" wp14:anchorId="26876AEE" wp14:editId="31EC800F">
            <wp:simplePos x="0" y="0"/>
            <wp:positionH relativeFrom="margin">
              <wp:posOffset>180340</wp:posOffset>
            </wp:positionH>
            <wp:positionV relativeFrom="paragraph">
              <wp:posOffset>23136</wp:posOffset>
            </wp:positionV>
            <wp:extent cx="591185" cy="463550"/>
            <wp:effectExtent l="0" t="0" r="0" b="0"/>
            <wp:wrapNone/>
            <wp:docPr id="26" name="Picture 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185" cy="463550"/>
                    </a:xfrm>
                    <a:prstGeom prst="rect">
                      <a:avLst/>
                    </a:prstGeom>
                    <a:noFill/>
                  </pic:spPr>
                </pic:pic>
              </a:graphicData>
            </a:graphic>
            <wp14:sizeRelH relativeFrom="page">
              <wp14:pctWidth>0</wp14:pctWidth>
            </wp14:sizeRelH>
            <wp14:sizeRelV relativeFrom="page">
              <wp14:pctHeight>0</wp14:pctHeight>
            </wp14:sizeRelV>
          </wp:anchor>
        </w:drawing>
      </w:r>
      <w:r w:rsidR="002C3B0D" w:rsidRPr="00B50802">
        <w:rPr>
          <w:b/>
          <w:bCs/>
        </w:rPr>
        <w:t xml:space="preserve">Safe and Supported: the National Framework for </w:t>
      </w:r>
      <w:r w:rsidR="002C3B0D" w:rsidRPr="00B50802">
        <w:rPr>
          <w:b/>
          <w:bCs/>
        </w:rPr>
        <w:br/>
        <w:t>Protecting Australia’s Children 2021–2031</w:t>
      </w:r>
    </w:p>
    <w:p w14:paraId="51185A7E" w14:textId="37B1A992" w:rsidR="002C3B0D" w:rsidRPr="00B50802" w:rsidRDefault="002C3B0D" w:rsidP="002C3B0D">
      <w:r w:rsidRPr="00B50802">
        <w:rPr>
          <w:i/>
        </w:rPr>
        <w:t>Safe and Supported: the National Framework for Protecting Australia’s Children 2021–2031</w:t>
      </w:r>
      <w:r w:rsidRPr="00B50802">
        <w:t xml:space="preserve"> sets out how all governments, Aboriginal and Torres Strait Islander leaders and the non</w:t>
      </w:r>
      <w:r w:rsidR="0058273D">
        <w:noBreakHyphen/>
      </w:r>
      <w:r w:rsidRPr="00B50802">
        <w:t xml:space="preserve">government sector will work together to help children, young people and families in need of support reach their full potential by growing up safe and supported, free from harm and neglect. </w:t>
      </w:r>
    </w:p>
    <w:p w14:paraId="2E546A04" w14:textId="77777777" w:rsidR="002C3B0D" w:rsidRPr="00B50802" w:rsidRDefault="002C3B0D" w:rsidP="002C3B0D">
      <w:r w:rsidRPr="00B50802">
        <w:t xml:space="preserve">Action 8 of the </w:t>
      </w:r>
      <w:r w:rsidRPr="00B50802">
        <w:rPr>
          <w:i/>
        </w:rPr>
        <w:t xml:space="preserve">Safe and Supported: Aboriginal and Torres Strait Islander First Action Plan 2023–2026 </w:t>
      </w:r>
      <w:r w:rsidRPr="00B50802">
        <w:t>acknowledges that there is a need to better connect Aboriginal and Torres Strait Islander child and family service systems with other social supports, including housing, education, employment, health, disability, social and emotional wellbeing, justice and family</w:t>
      </w:r>
      <w:r w:rsidR="00B70C2B" w:rsidRPr="00B50802">
        <w:t>.</w:t>
      </w:r>
    </w:p>
    <w:p w14:paraId="7773F7E9" w14:textId="77777777" w:rsidR="002C3B0D" w:rsidRPr="00B50802" w:rsidRDefault="00B0485B" w:rsidP="002C3B0D">
      <w:r w:rsidRPr="00B75F7D">
        <w:rPr>
          <w:noProof/>
          <w:lang w:eastAsia="en-AU"/>
        </w:rPr>
        <mc:AlternateContent>
          <mc:Choice Requires="wps">
            <w:drawing>
              <wp:anchor distT="0" distB="0" distL="114300" distR="114300" simplePos="0" relativeHeight="251658254" behindDoc="0" locked="0" layoutInCell="1" allowOverlap="1" wp14:anchorId="7B6F3179" wp14:editId="78641819">
                <wp:simplePos x="0" y="0"/>
                <wp:positionH relativeFrom="column">
                  <wp:posOffset>-50800</wp:posOffset>
                </wp:positionH>
                <wp:positionV relativeFrom="paragraph">
                  <wp:posOffset>95250</wp:posOffset>
                </wp:positionV>
                <wp:extent cx="5850503" cy="3562350"/>
                <wp:effectExtent l="0" t="0" r="17145" b="19050"/>
                <wp:wrapNone/>
                <wp:docPr id="32" name="Rectangle 32" descr="Decorative"/>
                <wp:cNvGraphicFramePr/>
                <a:graphic xmlns:a="http://schemas.openxmlformats.org/drawingml/2006/main">
                  <a:graphicData uri="http://schemas.microsoft.com/office/word/2010/wordprocessingShape">
                    <wps:wsp>
                      <wps:cNvSpPr/>
                      <wps:spPr>
                        <a:xfrm>
                          <a:off x="0" y="0"/>
                          <a:ext cx="5850503" cy="3562350"/>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98F3C" id="Rectangle 32" o:spid="_x0000_s1026" alt="Decorative" style="position:absolute;margin-left:-4pt;margin-top:7.5pt;width:460.65pt;height:28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" filled="f" strokecolor="#005a70" strokeweight="2pt"/>
            </w:pict>
          </mc:Fallback>
        </mc:AlternateContent>
      </w:r>
      <w:r w:rsidRPr="00B50802">
        <w:rPr>
          <w:noProof/>
          <w:lang w:eastAsia="en-AU"/>
        </w:rPr>
        <w:drawing>
          <wp:anchor distT="0" distB="0" distL="114300" distR="114300" simplePos="0" relativeHeight="251658253" behindDoc="0" locked="0" layoutInCell="1" allowOverlap="1" wp14:anchorId="255604BB" wp14:editId="76A92986">
            <wp:simplePos x="0" y="0"/>
            <wp:positionH relativeFrom="column">
              <wp:posOffset>61595</wp:posOffset>
            </wp:positionH>
            <wp:positionV relativeFrom="paragraph">
              <wp:posOffset>179722</wp:posOffset>
            </wp:positionV>
            <wp:extent cx="768350" cy="585470"/>
            <wp:effectExtent l="0" t="0" r="0" b="5080"/>
            <wp:wrapThrough wrapText="bothSides">
              <wp:wrapPolygon edited="0">
                <wp:start x="0" y="0"/>
                <wp:lineTo x="0" y="20382"/>
                <wp:lineTo x="10175" y="21085"/>
                <wp:lineTo x="13924" y="21085"/>
                <wp:lineTo x="20886" y="17570"/>
                <wp:lineTo x="20886" y="14759"/>
                <wp:lineTo x="18744" y="10542"/>
                <wp:lineTo x="15531" y="7731"/>
                <wp:lineTo x="4284" y="0"/>
                <wp:lineTo x="0" y="0"/>
              </wp:wrapPolygon>
            </wp:wrapThrough>
            <wp:docPr id="128" name="Picture 1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8350" cy="585470"/>
                    </a:xfrm>
                    <a:prstGeom prst="rect">
                      <a:avLst/>
                    </a:prstGeom>
                    <a:noFill/>
                  </pic:spPr>
                </pic:pic>
              </a:graphicData>
            </a:graphic>
          </wp:anchor>
        </w:drawing>
      </w:r>
    </w:p>
    <w:p w14:paraId="36FAAB64" w14:textId="77777777" w:rsidR="002C3B0D" w:rsidRPr="00B50802" w:rsidRDefault="002C3B0D" w:rsidP="002C3B0D">
      <w:pPr>
        <w:pStyle w:val="Bullet"/>
        <w:jc w:val="right"/>
        <w:rPr>
          <w:rFonts w:eastAsiaTheme="minorHAnsi" w:cs="Arial"/>
          <w:color w:val="005A70"/>
        </w:rPr>
      </w:pPr>
      <w:r w:rsidRPr="00B50802">
        <w:rPr>
          <w:rFonts w:ascii="Arial" w:eastAsiaTheme="minorHAnsi" w:hAnsi="Arial" w:cs="Arial"/>
          <w:b/>
          <w:color w:val="005A70"/>
        </w:rPr>
        <w:t>Case study – Victoria Enabling Aboriginal and</w:t>
      </w:r>
      <w:r w:rsidRPr="00B50802">
        <w:rPr>
          <w:rFonts w:ascii="Arial" w:eastAsiaTheme="minorHAnsi" w:hAnsi="Arial" w:cs="Arial"/>
          <w:b/>
          <w:color w:val="005A70"/>
        </w:rPr>
        <w:br/>
        <w:t>Torres Strait Islander Self-Determination</w:t>
      </w:r>
      <w:r w:rsidRPr="00B50802">
        <w:rPr>
          <w:rFonts w:ascii="Arial" w:eastAsiaTheme="minorHAnsi" w:hAnsi="Arial" w:cs="Arial"/>
          <w:b/>
          <w:color w:val="005A70"/>
        </w:rPr>
        <w:br/>
        <w:t xml:space="preserve">  </w:t>
      </w:r>
    </w:p>
    <w:p w14:paraId="498DFE02" w14:textId="77777777" w:rsidR="002C3B0D" w:rsidRPr="00B50802" w:rsidRDefault="002C3B0D" w:rsidP="002C3B0D">
      <w:r w:rsidRPr="00B50802">
        <w:t>Victoria is supporting Aboriginal and Torres Strait Islander self-determination through several initiatives.</w:t>
      </w:r>
    </w:p>
    <w:p w14:paraId="67567508" w14:textId="1CDA300D" w:rsidR="002C3B0D" w:rsidRPr="00B50802" w:rsidRDefault="002C3B0D" w:rsidP="002C3B0D">
      <w:r w:rsidRPr="00B50802">
        <w:t>The</w:t>
      </w:r>
      <w:r w:rsidRPr="00B50802">
        <w:rPr>
          <w:rFonts w:cs="Arial"/>
          <w:color w:val="000000"/>
        </w:rPr>
        <w:t> $5.3 billion </w:t>
      </w:r>
      <w:r w:rsidRPr="00B50802">
        <w:rPr>
          <w:rFonts w:cs="Arial"/>
          <w:iCs/>
          <w:color w:val="000000"/>
        </w:rPr>
        <w:t>Big Housing Build </w:t>
      </w:r>
      <w:r w:rsidRPr="00B50802">
        <w:rPr>
          <w:rFonts w:cs="Arial"/>
          <w:color w:val="000000"/>
        </w:rPr>
        <w:t xml:space="preserve">will construct more than 12,000 new homes throughout metro and regional Victoria. A total of </w:t>
      </w:r>
      <w:r w:rsidRPr="00B50802">
        <w:t>10</w:t>
      </w:r>
      <w:r w:rsidR="00DD3A4F" w:rsidRPr="00B75F7D">
        <w:t xml:space="preserve"> per cent</w:t>
      </w:r>
      <w:r w:rsidRPr="00B50802">
        <w:t xml:space="preserve"> of net new social housing from the Big Housing Build will be targeted to meet the needs of Aboriginal and Torres Strait Islander Victorians. This amounts to a social housing pipeline of 820 dwellings across Victoria by 2025.</w:t>
      </w:r>
    </w:p>
    <w:p w14:paraId="7AD499BB" w14:textId="77777777" w:rsidR="002C3B0D" w:rsidRPr="00B50802" w:rsidRDefault="002C3B0D" w:rsidP="002C3B0D">
      <w:r w:rsidRPr="00B50802">
        <w:t>The Victorian Government has transitioned ownership and control of 1,448 Director of Housing owned properties to Aboriginal Housing Victoria, starting in 2017.</w:t>
      </w:r>
    </w:p>
    <w:p w14:paraId="491A955E" w14:textId="77777777" w:rsidR="002C3B0D" w:rsidRPr="00B50802" w:rsidRDefault="002C3B0D" w:rsidP="002C3B0D">
      <w:r w:rsidRPr="00B50802">
        <w:t>The Victorian Government has also provided $35 million for upgrades and maintenance of properties for Victorian Aboriginal communities. Aboriginal Housing Victoria is the lead for this project alongside numerous Victorian Aboriginal organisations who will receive upgrades to their properties.</w:t>
      </w:r>
    </w:p>
    <w:p w14:paraId="1BE1097F" w14:textId="77777777" w:rsidR="00AF6F67" w:rsidRPr="009274D8" w:rsidRDefault="00AF6F67" w:rsidP="009274D8">
      <w:pPr>
        <w:rPr>
          <w:rFonts w:ascii="Georgia" w:eastAsia="Times New Roman" w:hAnsi="Georgia" w:cs="Calibri"/>
          <w:b/>
          <w:sz w:val="28"/>
          <w:szCs w:val="24"/>
          <w:lang w:eastAsia="en-AU"/>
        </w:rPr>
      </w:pPr>
      <w:bookmarkStart w:id="1587" w:name="_Toc134784705"/>
      <w:bookmarkStart w:id="1588" w:name="_Toc135035224"/>
      <w:bookmarkStart w:id="1589" w:name="_Toc135060901"/>
      <w:bookmarkStart w:id="1590" w:name="_Toc135161372"/>
      <w:bookmarkStart w:id="1591" w:name="_Toc135162319"/>
      <w:bookmarkStart w:id="1592" w:name="_Toc135162493"/>
      <w:bookmarkStart w:id="1593" w:name="_Toc135206072"/>
      <w:bookmarkStart w:id="1594" w:name="_Toc135206157"/>
      <w:bookmarkStart w:id="1595" w:name="_Toc139464315"/>
      <w:bookmarkStart w:id="1596" w:name="_Toc141969850"/>
      <w:bookmarkStart w:id="1597" w:name="_Toc141972473"/>
      <w:bookmarkStart w:id="1598" w:name="_Toc141972686"/>
      <w:bookmarkStart w:id="1599" w:name="_Toc141972960"/>
      <w:bookmarkStart w:id="1600" w:name="_Toc142042520"/>
      <w:bookmarkStart w:id="1601" w:name="_Toc142042729"/>
      <w:r w:rsidRPr="009274D8">
        <w:rPr>
          <w:rFonts w:ascii="Georgia" w:eastAsia="Times New Roman" w:hAnsi="Georgia" w:cs="Calibri"/>
          <w:b/>
          <w:sz w:val="28"/>
          <w:szCs w:val="24"/>
          <w:lang w:eastAsia="en-AU"/>
        </w:rPr>
        <w:t>Aboriginal and Torres Strait Islander specific social housing</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sidRPr="009274D8">
        <w:rPr>
          <w:rFonts w:ascii="Georgia" w:eastAsia="Times New Roman" w:hAnsi="Georgia" w:cs="Calibri"/>
          <w:b/>
          <w:sz w:val="28"/>
          <w:szCs w:val="24"/>
          <w:lang w:eastAsia="en-AU"/>
        </w:rPr>
        <w:t xml:space="preserve"> </w:t>
      </w:r>
    </w:p>
    <w:p w14:paraId="23361884" w14:textId="797231FE" w:rsidR="00AF6F67" w:rsidRPr="00B50802" w:rsidRDefault="00AA5B07" w:rsidP="006D5066">
      <w:pPr>
        <w:keepNext/>
        <w:keepLines/>
      </w:pPr>
      <w:r w:rsidRPr="00B50802">
        <w:rPr>
          <w:rStyle w:val="ui-provider"/>
        </w:rPr>
        <w:t>Indigenous community housing providers, including community controlled housing organisations</w:t>
      </w:r>
      <w:r w:rsidRPr="00B50802">
        <w:t xml:space="preserve">, </w:t>
      </w:r>
      <w:r w:rsidR="00AF6F67" w:rsidRPr="00B50802">
        <w:t xml:space="preserve">provide culturally appropriate community housing for Aboriginal and Torres Strait Islander </w:t>
      </w:r>
      <w:r w:rsidR="00C17D6D" w:rsidRPr="00B75F7D">
        <w:t>peoples</w:t>
      </w:r>
      <w:r w:rsidR="00AF6F67" w:rsidRPr="00B75F7D">
        <w:t>.</w:t>
      </w:r>
      <w:r w:rsidR="00AF6F67" w:rsidRPr="00B50802">
        <w:t xml:space="preserve"> </w:t>
      </w:r>
      <w:r w:rsidR="002B6562" w:rsidRPr="00B50802">
        <w:t>Aboriginal and Torres Strait Islander Community Controlled Housing Organisations (ATSICCHOs) are Indigenous organisations that own or are accountable for community housing.</w:t>
      </w:r>
    </w:p>
    <w:p w14:paraId="182D774D" w14:textId="77777777" w:rsidR="001B1C96" w:rsidRDefault="001B1C96">
      <w:r>
        <w:br w:type="page"/>
      </w:r>
    </w:p>
    <w:p w14:paraId="6D574F73" w14:textId="77777777" w:rsidR="00AF6F67" w:rsidRPr="00B50802" w:rsidRDefault="00AF6F67" w:rsidP="00AF6F67">
      <w:r w:rsidRPr="00B50802">
        <w:lastRenderedPageBreak/>
        <w:t>Indigenous Australians may also reside in state</w:t>
      </w:r>
      <w:r w:rsidR="0057237A" w:rsidRPr="00B50802">
        <w:t>-</w:t>
      </w:r>
      <w:r w:rsidRPr="00B50802">
        <w:t>owned and managed Indigenous housing (SOMIH). SOMIH dwellings are allocated only to Aboriginal and Torres Strait Islander tenants, and can be managed by government Aboriginal and Torres Strait Islander housing agencies.</w:t>
      </w:r>
      <w:r w:rsidRPr="00B50802">
        <w:rPr>
          <w:rStyle w:val="FootnoteReference"/>
        </w:rPr>
        <w:footnoteReference w:id="62"/>
      </w:r>
    </w:p>
    <w:p w14:paraId="3034D75A" w14:textId="77777777" w:rsidR="00E3194A" w:rsidRPr="00B50802" w:rsidRDefault="00AF6F67" w:rsidP="00AF6F67">
      <w:r w:rsidRPr="00B50802">
        <w:t>The approach to policy and funding programs for the Indigenous social housing sector has changed over time. In the 1980s, the Aboriginal Rental Housing Program, the Community Housing and Infrastructure program (CHIP) and the Aboriginal and Torres Strait Islander Council (ATSIC) were established</w:t>
      </w:r>
      <w:r w:rsidR="0057237A" w:rsidRPr="00B50802">
        <w:t>,</w:t>
      </w:r>
      <w:r w:rsidRPr="00B50802">
        <w:t xml:space="preserve"> providing increased funding and more opportunity for Aboriginal and Torres Strait Islander people to directly administer housing programs.</w:t>
      </w:r>
      <w:r w:rsidRPr="00B50802">
        <w:rPr>
          <w:rStyle w:val="FootnoteReference"/>
        </w:rPr>
        <w:footnoteReference w:id="63"/>
      </w:r>
      <w:r w:rsidRPr="00B50802">
        <w:t xml:space="preserve"> </w:t>
      </w:r>
    </w:p>
    <w:p w14:paraId="76365895" w14:textId="52ECE4E9" w:rsidR="00AF6F67" w:rsidRPr="00B50802" w:rsidRDefault="00AF6F67" w:rsidP="00AF6F67">
      <w:r w:rsidRPr="00B50802">
        <w:t>However, by 2007 both ATSIC and CHIP had ended and funds were redirected away from Aboriginal and Torres Strait Islander organisations to mainstream state government or non</w:t>
      </w:r>
      <w:r w:rsidR="001B1C96">
        <w:noBreakHyphen/>
      </w:r>
      <w:r w:rsidRPr="00B50802">
        <w:t>government organisations.</w:t>
      </w:r>
      <w:r w:rsidRPr="00B50802">
        <w:rPr>
          <w:rStyle w:val="FootnoteReference"/>
        </w:rPr>
        <w:footnoteReference w:id="64"/>
      </w:r>
      <w:r w:rsidRPr="00B50802">
        <w:t xml:space="preserve"> </w:t>
      </w:r>
      <w:r w:rsidR="0057237A" w:rsidRPr="00B50802">
        <w:t>Since then</w:t>
      </w:r>
      <w:r w:rsidRPr="00B50802">
        <w:t xml:space="preserve">, the number of ATSICCHOs </w:t>
      </w:r>
      <w:r w:rsidR="0057237A" w:rsidRPr="00B50802">
        <w:t xml:space="preserve">has </w:t>
      </w:r>
      <w:r w:rsidRPr="00B50802">
        <w:t>declined due to a range of factors including difficulties accessing mainstream competitive funding and the regulatory environment</w:t>
      </w:r>
      <w:r w:rsidR="0057237A" w:rsidRPr="00B50802">
        <w:t>.</w:t>
      </w:r>
      <w:r w:rsidR="00282716" w:rsidRPr="00B50802">
        <w:rPr>
          <w:rStyle w:val="FootnoteReference"/>
        </w:rPr>
        <w:footnoteReference w:id="65"/>
      </w:r>
      <w:r w:rsidRPr="00B50802">
        <w:t xml:space="preserve"> However, ATSICCHOs remain the preferred housing service for many Indigenous Australians due to the cultural appropriateness and holistic nature of the housing and support services they provide</w:t>
      </w:r>
      <w:r w:rsidR="0057237A" w:rsidRPr="00B50802">
        <w:t>.</w:t>
      </w:r>
      <w:r w:rsidR="00282716" w:rsidRPr="00B50802">
        <w:rPr>
          <w:rStyle w:val="FootnoteReference"/>
        </w:rPr>
        <w:footnoteReference w:id="66"/>
      </w:r>
      <w:r w:rsidRPr="00B50802">
        <w:t xml:space="preserve">  </w:t>
      </w:r>
    </w:p>
    <w:p w14:paraId="1DF13182" w14:textId="22846733" w:rsidR="0000740E" w:rsidRPr="00B50802" w:rsidRDefault="0000740E" w:rsidP="00AF6F67">
      <w:r w:rsidRPr="00B50802">
        <w:t>The lack of growth in the ATSICCHO sector requires some Indigenous Australians to access social housing from mainstream providers. It is also important to note Indigenous Australians may also choose to reside in social housing provided by mainstream organisations or</w:t>
      </w:r>
      <w:r w:rsidR="001B1C96">
        <w:t> </w:t>
      </w:r>
      <w:r w:rsidRPr="00B50802">
        <w:t xml:space="preserve">government departments. </w:t>
      </w:r>
    </w:p>
    <w:p w14:paraId="490518ED" w14:textId="77777777" w:rsidR="00AF6F67" w:rsidRPr="00B50802" w:rsidRDefault="00AF6F67" w:rsidP="00DD7DE1">
      <w:pPr>
        <w:pStyle w:val="Heading4"/>
        <w:spacing w:after="200"/>
        <w:rPr>
          <w:b w:val="0"/>
        </w:rPr>
      </w:pPr>
      <w:r w:rsidRPr="00B50802">
        <w:rPr>
          <w:b w:val="0"/>
        </w:rPr>
        <w:t xml:space="preserve">The Housing Sector Strengthening Plan </w:t>
      </w:r>
    </w:p>
    <w:p w14:paraId="639A07A0" w14:textId="65DE51BB" w:rsidR="00AF6F67" w:rsidRPr="00B50802" w:rsidRDefault="00AF6F67" w:rsidP="0057237A">
      <w:r w:rsidRPr="00B50802">
        <w:t>The community-controlled housing sector provides culturally appropriate housing and rent subsidies</w:t>
      </w:r>
      <w:r w:rsidR="00B70C2B" w:rsidRPr="00B50802">
        <w:t xml:space="preserve">; </w:t>
      </w:r>
      <w:r w:rsidRPr="00B50802">
        <w:t>however</w:t>
      </w:r>
      <w:r w:rsidR="0057237A" w:rsidRPr="00B50802">
        <w:t>,</w:t>
      </w:r>
      <w:r w:rsidRPr="00B50802">
        <w:t xml:space="preserve"> </w:t>
      </w:r>
      <w:r w:rsidR="0057237A" w:rsidRPr="00B50802">
        <w:t xml:space="preserve">the sector </w:t>
      </w:r>
      <w:r w:rsidRPr="00B50802">
        <w:t xml:space="preserve">faces challenges </w:t>
      </w:r>
      <w:r w:rsidR="0057237A" w:rsidRPr="00B50802">
        <w:t xml:space="preserve">in building </w:t>
      </w:r>
      <w:r w:rsidRPr="00B50802">
        <w:t>its capacity.</w:t>
      </w:r>
    </w:p>
    <w:p w14:paraId="27236290" w14:textId="78EBA9F4" w:rsidR="00E573D1" w:rsidRPr="00B50802" w:rsidDel="00B151D5" w:rsidRDefault="00AF6F67" w:rsidP="00E361E1">
      <w:pPr>
        <w:spacing w:after="0"/>
        <w:rPr>
          <w:rFonts w:ascii="Georgia" w:hAnsi="Georgia"/>
          <w:b/>
          <w:color w:val="005A70"/>
          <w:sz w:val="36"/>
          <w:szCs w:val="36"/>
        </w:rPr>
      </w:pPr>
      <w:r w:rsidRPr="00B50802">
        <w:rPr>
          <w:i/>
        </w:rPr>
        <w:t>The</w:t>
      </w:r>
      <w:r w:rsidRPr="00B50802">
        <w:t xml:space="preserve"> </w:t>
      </w:r>
      <w:r w:rsidRPr="00B50802">
        <w:rPr>
          <w:i/>
        </w:rPr>
        <w:t>Housing Sector Strengthening Plan</w:t>
      </w:r>
      <w:r w:rsidRPr="00B50802">
        <w:t xml:space="preserve">, under Priority Reform 2 of </w:t>
      </w:r>
      <w:r w:rsidRPr="00B50802">
        <w:rPr>
          <w:i/>
        </w:rPr>
        <w:t>the National Agreement on Closing the Gap</w:t>
      </w:r>
      <w:r w:rsidRPr="00B50802">
        <w:t xml:space="preserve">, was endorsed in August 2022 by the Joint Council on Closing the Gap. </w:t>
      </w:r>
      <w:r w:rsidRPr="00B50802">
        <w:rPr>
          <w:i/>
        </w:rPr>
        <w:t>The Housing Sector Strengthening Plan</w:t>
      </w:r>
      <w:r w:rsidRPr="00B50802">
        <w:t xml:space="preserve"> is a resource to be used over </w:t>
      </w:r>
      <w:r w:rsidR="007D037C" w:rsidRPr="00B50802">
        <w:t xml:space="preserve">3 </w:t>
      </w:r>
      <w:r w:rsidRPr="00B50802">
        <w:t>years to 2025 to</w:t>
      </w:r>
      <w:r w:rsidR="001B1C96">
        <w:t> </w:t>
      </w:r>
      <w:r w:rsidRPr="00B50802">
        <w:t xml:space="preserve">prioritise, partner and negotiate beneficial sector-strengthening strategies, which can help address challenges the ATSICCHO sector is facing. </w:t>
      </w:r>
    </w:p>
    <w:p w14:paraId="1388F533" w14:textId="77777777" w:rsidR="002C3B0D" w:rsidRPr="00B50802" w:rsidDel="00B151D5" w:rsidRDefault="002C3B0D" w:rsidP="002C3B0D">
      <w:pPr>
        <w:spacing w:after="0"/>
        <w:rPr>
          <w:rFonts w:ascii="Georgia" w:hAnsi="Georgia"/>
          <w:b/>
          <w:color w:val="005A70"/>
          <w:sz w:val="36"/>
          <w:szCs w:val="36"/>
        </w:rPr>
      </w:pPr>
    </w:p>
    <w:p w14:paraId="08335290" w14:textId="77777777" w:rsidR="002C3B0D" w:rsidRPr="009274D8" w:rsidRDefault="002C3B0D" w:rsidP="009274D8">
      <w:pPr>
        <w:framePr w:hSpace="180" w:wrap="around" w:vAnchor="text" w:hAnchor="margin" w:y="178"/>
        <w:rPr>
          <w:rFonts w:ascii="Georgia" w:eastAsia="Times New Roman" w:hAnsi="Georgia" w:cs="Calibri"/>
          <w:b/>
          <w:sz w:val="28"/>
          <w:szCs w:val="24"/>
          <w:lang w:eastAsia="en-AU"/>
        </w:rPr>
      </w:pPr>
      <w:bookmarkStart w:id="1602" w:name="_Toc134784706"/>
      <w:bookmarkStart w:id="1603" w:name="_Toc135035225"/>
      <w:bookmarkStart w:id="1604" w:name="_Toc135060902"/>
      <w:bookmarkStart w:id="1605" w:name="_Toc135161373"/>
      <w:bookmarkStart w:id="1606" w:name="_Toc135162320"/>
      <w:bookmarkStart w:id="1607" w:name="_Toc135162494"/>
      <w:bookmarkStart w:id="1608" w:name="_Toc135206073"/>
      <w:bookmarkStart w:id="1609" w:name="_Toc135206158"/>
      <w:bookmarkStart w:id="1610" w:name="_Toc139464316"/>
      <w:bookmarkStart w:id="1611" w:name="_Toc141969851"/>
      <w:bookmarkStart w:id="1612" w:name="_Toc141972474"/>
      <w:bookmarkStart w:id="1613" w:name="_Toc141972687"/>
      <w:bookmarkStart w:id="1614" w:name="_Toc141972961"/>
      <w:bookmarkStart w:id="1615" w:name="_Toc142042521"/>
      <w:bookmarkStart w:id="1616" w:name="_Toc142042730"/>
      <w:r w:rsidRPr="009274D8">
        <w:rPr>
          <w:rFonts w:ascii="Georgia" w:eastAsia="Times New Roman" w:hAnsi="Georgia" w:cs="Calibri"/>
          <w:b/>
          <w:sz w:val="28"/>
          <w:szCs w:val="24"/>
          <w:lang w:eastAsia="en-AU"/>
        </w:rPr>
        <w:lastRenderedPageBreak/>
        <w:t>Questions for consideration</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68E6CF2E" w14:textId="611C192E" w:rsidR="002C3B0D" w:rsidRPr="00B50802" w:rsidRDefault="002C3B0D" w:rsidP="00F17FAF">
      <w:pPr>
        <w:pStyle w:val="ListParagraph"/>
        <w:framePr w:hSpace="180" w:wrap="around" w:vAnchor="text" w:hAnchor="margin" w:y="178"/>
        <w:numPr>
          <w:ilvl w:val="0"/>
          <w:numId w:val="10"/>
        </w:numPr>
        <w:ind w:left="714" w:hanging="357"/>
        <w:contextualSpacing w:val="0"/>
      </w:pPr>
      <w:r w:rsidRPr="00B50802">
        <w:t>What are the main cultural, social and economic factors that must be considered by governments and providers (including ATSICCHOs) when considering how to improve housing outcomes for Aboriginal and Torres Strait Islander people?</w:t>
      </w:r>
      <w:r w:rsidR="00FC13A7" w:rsidRPr="00B75F7D">
        <w:t xml:space="preserve"> </w:t>
      </w:r>
      <w:r w:rsidRPr="00B50802">
        <w:t>How can governments best work with communities and the Aboriginal community controlled housing sector to support better housing outcomes for Aboriginal and Torres Strait Islander people, including embedding the Priority Reforms of the National Agreement on Closing the Gap</w:t>
      </w:r>
      <w:r w:rsidR="002600D7" w:rsidRPr="00B50802">
        <w:t xml:space="preserve"> and promoting self-</w:t>
      </w:r>
      <w:r w:rsidRPr="00B50802">
        <w:t>determination?</w:t>
      </w:r>
    </w:p>
    <w:p w14:paraId="3624178C" w14:textId="2194D13B" w:rsidR="007A383B" w:rsidRPr="00B50802" w:rsidRDefault="007A383B" w:rsidP="00F17FAF">
      <w:pPr>
        <w:pStyle w:val="ListParagraph"/>
        <w:framePr w:hSpace="180" w:wrap="around" w:vAnchor="text" w:hAnchor="margin" w:y="178"/>
        <w:numPr>
          <w:ilvl w:val="0"/>
          <w:numId w:val="10"/>
        </w:numPr>
        <w:ind w:left="714" w:hanging="357"/>
        <w:contextualSpacing w:val="0"/>
      </w:pPr>
      <w:r w:rsidRPr="00B50802">
        <w:t>How can governments best work with communities and the Aboriginal community controlled housing sector to support better housing outcomes for Aboriginal and Torres Strait Islander people, including embedding the Priority Reforms of the National Agreement on Closing the Gap and promoting self-determination?</w:t>
      </w:r>
    </w:p>
    <w:p w14:paraId="79A705C7" w14:textId="0A388A73" w:rsidR="002C3B0D" w:rsidRPr="00B50802" w:rsidRDefault="002C3B0D" w:rsidP="00F17FAF">
      <w:pPr>
        <w:pStyle w:val="ListParagraph"/>
        <w:framePr w:hSpace="180" w:wrap="around" w:vAnchor="text" w:hAnchor="margin" w:y="178"/>
        <w:numPr>
          <w:ilvl w:val="0"/>
          <w:numId w:val="10"/>
        </w:numPr>
        <w:ind w:left="709" w:hanging="357"/>
        <w:contextualSpacing w:val="0"/>
      </w:pPr>
      <w:r w:rsidRPr="00B50802">
        <w:t>How can governments ensure diverse Aboriginal and Torres Strait Islander voices are included in the development of housing and homelessness policies and programs?</w:t>
      </w:r>
    </w:p>
    <w:p w14:paraId="17959CFB" w14:textId="77777777" w:rsidR="002C3B0D" w:rsidRPr="00B50802" w:rsidRDefault="002C3B0D" w:rsidP="00F17FAF">
      <w:pPr>
        <w:pStyle w:val="ListParagraph"/>
        <w:framePr w:hSpace="180" w:wrap="around" w:vAnchor="text" w:hAnchor="margin" w:y="178"/>
        <w:numPr>
          <w:ilvl w:val="0"/>
          <w:numId w:val="10"/>
        </w:numPr>
        <w:ind w:left="709" w:hanging="357"/>
        <w:contextualSpacing w:val="0"/>
      </w:pPr>
      <w:r w:rsidRPr="00B50802">
        <w:t>What are the ideal short, medium and long-term policies and programs government can pursue to improve the supply of housing for Aboriginal and Torres Strait Islander people, including increasing the capacity and capability of ATSICCHOs?</w:t>
      </w:r>
    </w:p>
    <w:p w14:paraId="61B3FC0F" w14:textId="77777777" w:rsidR="002C3B0D" w:rsidRPr="00B50802" w:rsidRDefault="002C3B0D" w:rsidP="002C3B0D">
      <w:pPr>
        <w:framePr w:hSpace="180" w:wrap="around" w:vAnchor="text" w:hAnchor="margin" w:y="178"/>
        <w:rPr>
          <w:rStyle w:val="Strong"/>
          <w:rFonts w:ascii="Georgia" w:hAnsi="Georgia"/>
          <w:b w:val="0"/>
          <w:color w:val="005A70"/>
          <w:sz w:val="36"/>
          <w:szCs w:val="36"/>
        </w:rPr>
      </w:pPr>
      <w:r w:rsidRPr="00B50802">
        <w:br w:type="page"/>
      </w:r>
    </w:p>
    <w:bookmarkStart w:id="1617" w:name="_Toc135161374"/>
    <w:bookmarkStart w:id="1618" w:name="_Toc141972475"/>
    <w:bookmarkStart w:id="1619" w:name="_Toc141972688"/>
    <w:bookmarkStart w:id="1620" w:name="_Toc141972962"/>
    <w:bookmarkStart w:id="1621" w:name="_Toc142042522"/>
    <w:bookmarkStart w:id="1622" w:name="_Toc142042731"/>
    <w:bookmarkStart w:id="1623" w:name="_Toc142051872"/>
    <w:p w14:paraId="50D9B21A" w14:textId="77777777" w:rsidR="002A75EA" w:rsidRPr="00B50802" w:rsidRDefault="002C3B0D" w:rsidP="00D95093">
      <w:pPr>
        <w:pStyle w:val="Heading2"/>
        <w:rPr>
          <w:rStyle w:val="Strong"/>
          <w:b w:val="0"/>
          <w:bCs w:val="0"/>
        </w:rPr>
      </w:pPr>
      <w:r w:rsidRPr="00B50802">
        <w:rPr>
          <w:b/>
          <w:noProof/>
          <w:spacing w:val="13"/>
          <w:sz w:val="28"/>
          <w:szCs w:val="28"/>
          <w:lang w:eastAsia="en-AU"/>
        </w:rPr>
        <mc:AlternateContent>
          <mc:Choice Requires="wps">
            <w:drawing>
              <wp:anchor distT="0" distB="0" distL="114300" distR="114300" simplePos="0" relativeHeight="251658255" behindDoc="1" locked="0" layoutInCell="1" allowOverlap="1" wp14:anchorId="525F20DE" wp14:editId="4605E994">
                <wp:simplePos x="0" y="0"/>
                <wp:positionH relativeFrom="column">
                  <wp:posOffset>-53439</wp:posOffset>
                </wp:positionH>
                <wp:positionV relativeFrom="paragraph">
                  <wp:posOffset>29688</wp:posOffset>
                </wp:positionV>
                <wp:extent cx="5847715" cy="3996047"/>
                <wp:effectExtent l="0" t="0" r="19685" b="24130"/>
                <wp:wrapNone/>
                <wp:docPr id="137" name="Rectangle 137" descr="Decorative"/>
                <wp:cNvGraphicFramePr/>
                <a:graphic xmlns:a="http://schemas.openxmlformats.org/drawingml/2006/main">
                  <a:graphicData uri="http://schemas.microsoft.com/office/word/2010/wordprocessingShape">
                    <wps:wsp>
                      <wps:cNvSpPr/>
                      <wps:spPr>
                        <a:xfrm>
                          <a:off x="0" y="0"/>
                          <a:ext cx="5847715" cy="3996047"/>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6E33F" id="Rectangle 137" o:spid="_x0000_s1026" alt="Decorative" style="position:absolute;margin-left:-4.2pt;margin-top:2.35pt;width:460.45pt;height:314.65pt;z-index:-25165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" fillcolor="#daeef3" strokecolor="black [3213]" strokeweight=".25pt"/>
            </w:pict>
          </mc:Fallback>
        </mc:AlternateContent>
      </w:r>
      <w:bookmarkEnd w:id="1617"/>
      <w:r w:rsidR="00E573D1" w:rsidRPr="00B50802">
        <w:br w:type="page"/>
      </w:r>
      <w:bookmarkStart w:id="1624" w:name="_Toc133839374"/>
      <w:bookmarkStart w:id="1625" w:name="_Toc133840279"/>
      <w:bookmarkStart w:id="1626" w:name="_Toc135162321"/>
      <w:r w:rsidR="002A75EA" w:rsidRPr="00B50802">
        <w:lastRenderedPageBreak/>
        <w:t>3.4 Social housing</w:t>
      </w:r>
      <w:bookmarkEnd w:id="1618"/>
      <w:bookmarkEnd w:id="1619"/>
      <w:bookmarkEnd w:id="1620"/>
      <w:bookmarkEnd w:id="1621"/>
      <w:bookmarkEnd w:id="1622"/>
      <w:bookmarkEnd w:id="1624"/>
      <w:bookmarkEnd w:id="1625"/>
      <w:bookmarkEnd w:id="1626"/>
      <w:bookmarkEnd w:id="1623"/>
    </w:p>
    <w:p w14:paraId="4A926371" w14:textId="77777777" w:rsidR="002A75EA" w:rsidRPr="009274D8" w:rsidRDefault="002A75EA" w:rsidP="009274D8">
      <w:pPr>
        <w:rPr>
          <w:rFonts w:ascii="Georgia" w:eastAsia="Times New Roman" w:hAnsi="Georgia" w:cs="Calibri"/>
          <w:b/>
          <w:sz w:val="28"/>
          <w:szCs w:val="24"/>
          <w:lang w:eastAsia="en-AU"/>
        </w:rPr>
      </w:pPr>
      <w:bookmarkStart w:id="1627" w:name="_Toc134784708"/>
      <w:bookmarkStart w:id="1628" w:name="_Toc135035227"/>
      <w:bookmarkStart w:id="1629" w:name="_Toc135060904"/>
      <w:bookmarkStart w:id="1630" w:name="_Toc135161376"/>
      <w:bookmarkStart w:id="1631" w:name="_Toc135162322"/>
      <w:bookmarkStart w:id="1632" w:name="_Toc135162496"/>
      <w:bookmarkStart w:id="1633" w:name="_Toc135206075"/>
      <w:bookmarkStart w:id="1634" w:name="_Toc135206160"/>
      <w:bookmarkStart w:id="1635" w:name="_Toc139464318"/>
      <w:bookmarkStart w:id="1636" w:name="_Toc141969853"/>
      <w:bookmarkStart w:id="1637" w:name="_Toc141972476"/>
      <w:bookmarkStart w:id="1638" w:name="_Toc141972689"/>
      <w:bookmarkStart w:id="1639" w:name="_Toc141972963"/>
      <w:bookmarkStart w:id="1640" w:name="_Toc142042523"/>
      <w:bookmarkStart w:id="1641" w:name="_Toc142042732"/>
      <w:r w:rsidRPr="009274D8">
        <w:rPr>
          <w:rFonts w:ascii="Georgia" w:eastAsia="Times New Roman" w:hAnsi="Georgia" w:cs="Calibri"/>
          <w:b/>
          <w:sz w:val="28"/>
          <w:szCs w:val="24"/>
          <w:lang w:eastAsia="en-AU"/>
        </w:rPr>
        <w:t>The importance of social housing</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535D56F4" w14:textId="1CBCAA5B" w:rsidR="008F31A2" w:rsidRPr="00B50802" w:rsidRDefault="00200F04" w:rsidP="002A75EA">
      <w:pPr>
        <w:rPr>
          <w:rFonts w:cs="Arial"/>
        </w:rPr>
      </w:pPr>
      <w:r>
        <w:rPr>
          <w:rFonts w:cs="Arial"/>
        </w:rPr>
        <w:t>S</w:t>
      </w:r>
      <w:r w:rsidR="001742F7" w:rsidRPr="00B50802">
        <w:rPr>
          <w:rFonts w:cs="Arial"/>
        </w:rPr>
        <w:t xml:space="preserve">tates are </w:t>
      </w:r>
      <w:r>
        <w:rPr>
          <w:rFonts w:cs="Arial"/>
        </w:rPr>
        <w:t xml:space="preserve">primarily </w:t>
      </w:r>
      <w:r w:rsidR="001742F7" w:rsidRPr="00B50802">
        <w:rPr>
          <w:rFonts w:cs="Arial"/>
        </w:rPr>
        <w:t xml:space="preserve">responsible for providing and maintaining social housing assets. </w:t>
      </w:r>
      <w:r w:rsidR="008F31A2" w:rsidRPr="00B50802">
        <w:rPr>
          <w:rFonts w:cs="Arial"/>
        </w:rPr>
        <w:t xml:space="preserve">Section </w:t>
      </w:r>
      <w:r w:rsidR="008F31A2" w:rsidRPr="00B50802">
        <w:rPr>
          <w:rFonts w:cs="Arial"/>
          <w:i/>
          <w:iCs/>
        </w:rPr>
        <w:t>2.3 Current approaches of government</w:t>
      </w:r>
      <w:r w:rsidR="008F31A2" w:rsidRPr="00B50802">
        <w:rPr>
          <w:rFonts w:cs="Arial"/>
        </w:rPr>
        <w:t xml:space="preserve"> details the funding arrangements for social housing. Under the NHHA, states and territories have primary responsibility for the funding, ongoing management and regulation of social housing and for tenant outcomes within social housing. While the states and territories manage public housing, community housing organisations are not for profit organisations that provide safe, secure, affordable rental housing. Community housing models vary across jurisdictions, with a variety of groups, </w:t>
      </w:r>
      <w:r w:rsidR="008F31A2" w:rsidRPr="008D12C6">
        <w:rPr>
          <w:rFonts w:cs="Arial"/>
        </w:rPr>
        <w:t xml:space="preserve">including </w:t>
      </w:r>
      <w:r w:rsidR="00A43E7F" w:rsidRPr="00B75F7D">
        <w:rPr>
          <w:rFonts w:cs="Arial"/>
        </w:rPr>
        <w:t>state and territory</w:t>
      </w:r>
      <w:r w:rsidR="00A43E7F">
        <w:rPr>
          <w:rFonts w:cs="Arial"/>
        </w:rPr>
        <w:t xml:space="preserve"> </w:t>
      </w:r>
      <w:r w:rsidR="008F31A2" w:rsidRPr="00B50802">
        <w:rPr>
          <w:rFonts w:cs="Arial"/>
        </w:rPr>
        <w:t>government</w:t>
      </w:r>
      <w:r w:rsidR="00A43E7F">
        <w:rPr>
          <w:rFonts w:cs="Arial"/>
        </w:rPr>
        <w:t>s</w:t>
      </w:r>
      <w:r w:rsidR="008F31A2" w:rsidRPr="00B50802">
        <w:rPr>
          <w:rFonts w:cs="Arial"/>
        </w:rPr>
        <w:t>, owning the underlying stock.</w:t>
      </w:r>
      <w:r w:rsidR="008F31A2" w:rsidRPr="00B50802">
        <w:rPr>
          <w:rStyle w:val="FootnoteReference"/>
          <w:rFonts w:cs="Arial"/>
        </w:rPr>
        <w:footnoteReference w:id="67"/>
      </w:r>
    </w:p>
    <w:p w14:paraId="6CFDB147" w14:textId="15936A2F" w:rsidR="002A75EA" w:rsidRPr="00B50802" w:rsidRDefault="002A75EA" w:rsidP="002A75EA">
      <w:pPr>
        <w:rPr>
          <w:rFonts w:cs="Arial"/>
        </w:rPr>
      </w:pPr>
      <w:r w:rsidRPr="00B50802">
        <w:rPr>
          <w:rFonts w:cs="Arial"/>
        </w:rPr>
        <w:t xml:space="preserve">Social housing is secure and affordable housing for people with a housing need who are not able to access housing in the private market. The </w:t>
      </w:r>
      <w:r w:rsidR="00083ABA" w:rsidRPr="00B50802">
        <w:rPr>
          <w:rFonts w:cs="Arial"/>
        </w:rPr>
        <w:t>3</w:t>
      </w:r>
      <w:r w:rsidR="00083ABA" w:rsidRPr="00B50802" w:rsidDel="00597296">
        <w:rPr>
          <w:rFonts w:cs="Arial"/>
        </w:rPr>
        <w:t xml:space="preserve"> </w:t>
      </w:r>
      <w:r w:rsidRPr="00B50802">
        <w:rPr>
          <w:rFonts w:cs="Arial"/>
        </w:rPr>
        <w:t>main types of social housing are</w:t>
      </w:r>
      <w:r w:rsidR="00083ABA" w:rsidRPr="00B50802">
        <w:rPr>
          <w:rFonts w:cs="Arial"/>
        </w:rPr>
        <w:t>:</w:t>
      </w:r>
      <w:r w:rsidRPr="00B50802">
        <w:rPr>
          <w:rFonts w:cs="Arial"/>
        </w:rPr>
        <w:t xml:space="preserve"> public housing</w:t>
      </w:r>
      <w:r w:rsidR="00083ABA" w:rsidRPr="00B50802">
        <w:rPr>
          <w:rFonts w:cs="Arial"/>
        </w:rPr>
        <w:t>,</w:t>
      </w:r>
      <w:r w:rsidRPr="00B50802">
        <w:rPr>
          <w:rFonts w:cs="Arial"/>
        </w:rPr>
        <w:t xml:space="preserve"> which is delivered</w:t>
      </w:r>
      <w:r w:rsidR="00826B22" w:rsidRPr="00B50802">
        <w:rPr>
          <w:rFonts w:cs="Arial"/>
        </w:rPr>
        <w:t xml:space="preserve"> </w:t>
      </w:r>
      <w:r w:rsidRPr="00B50802">
        <w:rPr>
          <w:rFonts w:cs="Arial"/>
        </w:rPr>
        <w:t>by state and territory government agencies</w:t>
      </w:r>
      <w:r w:rsidR="00083ABA" w:rsidRPr="00B50802">
        <w:rPr>
          <w:rFonts w:cs="Arial"/>
        </w:rPr>
        <w:t>;</w:t>
      </w:r>
      <w:r w:rsidRPr="00B50802">
        <w:rPr>
          <w:rFonts w:cs="Arial"/>
        </w:rPr>
        <w:t xml:space="preserve"> state</w:t>
      </w:r>
      <w:r w:rsidR="00083ABA" w:rsidRPr="00B50802">
        <w:rPr>
          <w:rFonts w:cs="Arial"/>
        </w:rPr>
        <w:t>-</w:t>
      </w:r>
      <w:r w:rsidRPr="00B50802">
        <w:rPr>
          <w:rFonts w:cs="Arial"/>
        </w:rPr>
        <w:t>owned and managed Indigenous housing (SOMIH)</w:t>
      </w:r>
      <w:r w:rsidR="00083ABA" w:rsidRPr="00B50802">
        <w:rPr>
          <w:rFonts w:cs="Arial"/>
        </w:rPr>
        <w:t>;</w:t>
      </w:r>
      <w:r w:rsidRPr="00B50802">
        <w:rPr>
          <w:rFonts w:cs="Arial"/>
        </w:rPr>
        <w:t xml:space="preserve"> community housing</w:t>
      </w:r>
      <w:r w:rsidR="00D042B2" w:rsidRPr="00B50802">
        <w:rPr>
          <w:rFonts w:cs="Arial"/>
        </w:rPr>
        <w:t xml:space="preserve"> including Indigenou</w:t>
      </w:r>
      <w:r w:rsidR="00A4012B" w:rsidRPr="00B50802">
        <w:rPr>
          <w:rFonts w:cs="Arial"/>
        </w:rPr>
        <w:t>s</w:t>
      </w:r>
      <w:r w:rsidR="00D042B2" w:rsidRPr="00B50802">
        <w:rPr>
          <w:rFonts w:cs="Arial"/>
        </w:rPr>
        <w:t xml:space="preserve"> community housing</w:t>
      </w:r>
      <w:r w:rsidR="00A4012B" w:rsidRPr="00B50802">
        <w:rPr>
          <w:rFonts w:cs="Arial"/>
        </w:rPr>
        <w:t>,</w:t>
      </w:r>
      <w:r w:rsidR="00D042B2" w:rsidRPr="00B50802">
        <w:rPr>
          <w:rFonts w:cs="Arial"/>
        </w:rPr>
        <w:t xml:space="preserve"> </w:t>
      </w:r>
      <w:r w:rsidR="007265FA" w:rsidRPr="00B50802">
        <w:rPr>
          <w:rFonts w:cs="Arial"/>
        </w:rPr>
        <w:t>w</w:t>
      </w:r>
      <w:r w:rsidRPr="00B50802">
        <w:rPr>
          <w:rFonts w:cs="Arial"/>
        </w:rPr>
        <w:t xml:space="preserve">hich is delivered by non-government organisations, often supported by state government contributions. </w:t>
      </w:r>
    </w:p>
    <w:p w14:paraId="5B86D8B8" w14:textId="48027007" w:rsidR="002A75EA" w:rsidRPr="00B50802" w:rsidRDefault="002A75EA" w:rsidP="002A75EA">
      <w:pPr>
        <w:rPr>
          <w:rFonts w:cs="Arial"/>
        </w:rPr>
      </w:pPr>
      <w:r w:rsidRPr="00B50802">
        <w:rPr>
          <w:rFonts w:cs="Arial"/>
        </w:rPr>
        <w:t>In 2020</w:t>
      </w:r>
      <w:r w:rsidR="00083ABA" w:rsidRPr="00B50802">
        <w:rPr>
          <w:rFonts w:cs="Arial"/>
        </w:rPr>
        <w:t>–</w:t>
      </w:r>
      <w:r w:rsidRPr="00B50802">
        <w:rPr>
          <w:rFonts w:cs="Arial"/>
        </w:rPr>
        <w:t xml:space="preserve">21, around 790,000 Australians lived in over 440,000 social houses across the country. The majority of social housing is public housing (around 68%). </w:t>
      </w:r>
      <w:r w:rsidR="00083ABA" w:rsidRPr="00B50802">
        <w:rPr>
          <w:rFonts w:cs="Arial"/>
        </w:rPr>
        <w:t>T</w:t>
      </w:r>
      <w:r w:rsidRPr="00B50802">
        <w:rPr>
          <w:rFonts w:cs="Arial"/>
        </w:rPr>
        <w:t>he total stock of</w:t>
      </w:r>
      <w:r w:rsidR="001B1C96">
        <w:rPr>
          <w:rFonts w:cs="Arial"/>
        </w:rPr>
        <w:t> </w:t>
      </w:r>
      <w:r w:rsidRPr="00B50802">
        <w:rPr>
          <w:rFonts w:cs="Arial"/>
        </w:rPr>
        <w:t>social housing has increased slightly over the last 15 years</w:t>
      </w:r>
      <w:r w:rsidR="00F76A47">
        <w:rPr>
          <w:rFonts w:cs="Arial"/>
        </w:rPr>
        <w:t xml:space="preserve">, </w:t>
      </w:r>
      <w:r w:rsidR="00F76A47" w:rsidRPr="00B75F7D">
        <w:rPr>
          <w:rFonts w:cs="Arial"/>
        </w:rPr>
        <w:t>however the number of</w:t>
      </w:r>
      <w:r w:rsidR="001B1C96">
        <w:rPr>
          <w:rFonts w:cs="Arial"/>
        </w:rPr>
        <w:t> </w:t>
      </w:r>
      <w:r w:rsidR="00F76A47" w:rsidRPr="00B75F7D">
        <w:rPr>
          <w:rFonts w:cs="Arial"/>
        </w:rPr>
        <w:t>dwellings per 1,000 people has decreased</w:t>
      </w:r>
      <w:r w:rsidRPr="00B75F7D">
        <w:rPr>
          <w:rFonts w:cs="Arial"/>
        </w:rPr>
        <w:t>.</w:t>
      </w:r>
      <w:r w:rsidRPr="00B50802">
        <w:rPr>
          <w:rFonts w:cs="Arial"/>
        </w:rPr>
        <w:t xml:space="preserve"> Community housing has grown significantly and now makes up around 25% of all social housing, compared </w:t>
      </w:r>
      <w:r w:rsidR="00083ABA" w:rsidRPr="00B50802">
        <w:rPr>
          <w:rFonts w:cs="Arial"/>
        </w:rPr>
        <w:t xml:space="preserve">with </w:t>
      </w:r>
      <w:r w:rsidRPr="00B50802">
        <w:rPr>
          <w:rFonts w:cs="Arial"/>
        </w:rPr>
        <w:t>7.9% in 2006.</w:t>
      </w:r>
      <w:r w:rsidRPr="00B50802">
        <w:rPr>
          <w:rStyle w:val="FootnoteReference"/>
          <w:rFonts w:cs="Arial"/>
        </w:rPr>
        <w:footnoteReference w:id="68"/>
      </w:r>
      <w:r w:rsidRPr="00B50802">
        <w:rPr>
          <w:rFonts w:cs="Arial"/>
        </w:rPr>
        <w:t xml:space="preserve"> </w:t>
      </w:r>
    </w:p>
    <w:p w14:paraId="696DB4E1" w14:textId="074185EF" w:rsidR="00363F4E" w:rsidRPr="00B50802" w:rsidRDefault="002A75EA" w:rsidP="002A75EA">
      <w:pPr>
        <w:rPr>
          <w:rFonts w:cs="Arial"/>
        </w:rPr>
      </w:pPr>
      <w:r w:rsidRPr="00B50802">
        <w:rPr>
          <w:rFonts w:cs="Arial"/>
        </w:rPr>
        <w:t xml:space="preserve">Social housing is important social infrastructure. </w:t>
      </w:r>
      <w:r w:rsidR="00083ABA" w:rsidRPr="00B50802">
        <w:rPr>
          <w:rFonts w:cs="Arial"/>
        </w:rPr>
        <w:t xml:space="preserve">It </w:t>
      </w:r>
      <w:r w:rsidRPr="00B50802">
        <w:rPr>
          <w:rFonts w:cs="Arial"/>
        </w:rPr>
        <w:t>provides a stable base from which people can participate in society, form families, and enjoy retirement. Social housing also has impacts on productivity and participation</w:t>
      </w:r>
      <w:r w:rsidR="006001E8" w:rsidRPr="00B50802">
        <w:rPr>
          <w:rFonts w:cs="Arial"/>
        </w:rPr>
        <w:t>,</w:t>
      </w:r>
      <w:r w:rsidRPr="00B50802">
        <w:rPr>
          <w:rFonts w:cs="Arial"/>
        </w:rPr>
        <w:t xml:space="preserve"> and well-located social housing with amenity assists tenants </w:t>
      </w:r>
      <w:r w:rsidR="006001E8" w:rsidRPr="00B50802">
        <w:rPr>
          <w:rFonts w:cs="Arial"/>
        </w:rPr>
        <w:t xml:space="preserve">to </w:t>
      </w:r>
      <w:r w:rsidRPr="00B50802">
        <w:rPr>
          <w:rFonts w:cs="Arial"/>
        </w:rPr>
        <w:t>build and maintain social and economic wellbeing.</w:t>
      </w:r>
    </w:p>
    <w:p w14:paraId="0AD9E363" w14:textId="12E73DCA" w:rsidR="002A75EA" w:rsidRPr="00B50802" w:rsidRDefault="002A75EA" w:rsidP="002A75EA">
      <w:pPr>
        <w:rPr>
          <w:rFonts w:cs="Arial"/>
        </w:rPr>
      </w:pPr>
      <w:r w:rsidRPr="00B50802">
        <w:rPr>
          <w:rFonts w:cs="Arial"/>
        </w:rPr>
        <w:t>Eligibility for social housing differs between states but is generally determined by a range of</w:t>
      </w:r>
      <w:r w:rsidR="001B1C96">
        <w:rPr>
          <w:rFonts w:cs="Arial"/>
        </w:rPr>
        <w:t> </w:t>
      </w:r>
      <w:r w:rsidRPr="00B50802">
        <w:rPr>
          <w:rFonts w:cs="Arial"/>
        </w:rPr>
        <w:t>factors such as income and assets and the ability to access and sustain a tenancy in the private rental market. States also consider if applicants have specific requirements, such as</w:t>
      </w:r>
      <w:r w:rsidR="007D14E5">
        <w:rPr>
          <w:rFonts w:cs="Arial"/>
        </w:rPr>
        <w:t> </w:t>
      </w:r>
      <w:r w:rsidRPr="00B50802">
        <w:rPr>
          <w:rFonts w:cs="Arial"/>
        </w:rPr>
        <w:t>accessibility needs or locational needs. Rents in social housing are set at a percentage of</w:t>
      </w:r>
      <w:r w:rsidR="007D14E5">
        <w:rPr>
          <w:rFonts w:cs="Arial"/>
        </w:rPr>
        <w:t> </w:t>
      </w:r>
      <w:r w:rsidRPr="00B50802">
        <w:rPr>
          <w:rFonts w:cs="Arial"/>
        </w:rPr>
        <w:t>household income, usually between 25% and 30%.</w:t>
      </w:r>
      <w:r w:rsidRPr="00B50802">
        <w:rPr>
          <w:rStyle w:val="FootnoteReference"/>
          <w:rFonts w:cs="Arial"/>
        </w:rPr>
        <w:footnoteReference w:id="69"/>
      </w:r>
      <w:r w:rsidRPr="00B50802">
        <w:rPr>
          <w:rFonts w:cs="Arial"/>
        </w:rPr>
        <w:t xml:space="preserve"> Community housing tenants are eligible for and may receive </w:t>
      </w:r>
      <w:r w:rsidR="006001E8" w:rsidRPr="00B50802">
        <w:rPr>
          <w:rFonts w:cs="Arial"/>
        </w:rPr>
        <w:t>Commonwealth Rent Assistance (</w:t>
      </w:r>
      <w:r w:rsidR="00B13E82" w:rsidRPr="00B50802">
        <w:rPr>
          <w:rFonts w:cs="Arial"/>
        </w:rPr>
        <w:t>CRA</w:t>
      </w:r>
      <w:r w:rsidR="006001E8" w:rsidRPr="00B50802">
        <w:rPr>
          <w:rFonts w:cs="Arial"/>
        </w:rPr>
        <w:t>),</w:t>
      </w:r>
      <w:r w:rsidRPr="00B50802">
        <w:rPr>
          <w:rFonts w:cs="Arial"/>
        </w:rPr>
        <w:t xml:space="preserve"> which is </w:t>
      </w:r>
      <w:r w:rsidR="002A515B">
        <w:rPr>
          <w:rFonts w:cs="Arial"/>
        </w:rPr>
        <w:t>usually</w:t>
      </w:r>
      <w:r w:rsidRPr="00B50802">
        <w:rPr>
          <w:rFonts w:cs="Arial"/>
        </w:rPr>
        <w:t xml:space="preserve"> included in their rent paid to community housing organisations. </w:t>
      </w:r>
    </w:p>
    <w:p w14:paraId="63F510C6" w14:textId="77777777" w:rsidR="002A75EA" w:rsidRPr="00B50802" w:rsidRDefault="002A75EA" w:rsidP="002A75EA">
      <w:pPr>
        <w:rPr>
          <w:rFonts w:cs="Arial"/>
        </w:rPr>
      </w:pPr>
      <w:r w:rsidRPr="00B50802">
        <w:rPr>
          <w:rFonts w:cs="Arial"/>
        </w:rPr>
        <w:t>Tenants of social housing are more likely to be female, Aboriginal and Torres Strait Islander peoples, from single-person households, have a disability, and be aged over 65 years</w:t>
      </w:r>
      <w:r w:rsidRPr="00B50802" w:rsidDel="00E632B9">
        <w:rPr>
          <w:rFonts w:cs="Arial"/>
        </w:rPr>
        <w:t>.</w:t>
      </w:r>
      <w:r w:rsidRPr="00B50802">
        <w:rPr>
          <w:rStyle w:val="FootnoteReference"/>
          <w:rFonts w:cs="Arial"/>
        </w:rPr>
        <w:footnoteReference w:id="70"/>
      </w:r>
    </w:p>
    <w:p w14:paraId="23CA7EC3" w14:textId="77777777" w:rsidR="002A75EA" w:rsidRPr="00B50802" w:rsidRDefault="002A75EA" w:rsidP="002A75EA">
      <w:pPr>
        <w:rPr>
          <w:rFonts w:cs="Arial"/>
        </w:rPr>
      </w:pPr>
      <w:r w:rsidRPr="00B50802">
        <w:rPr>
          <w:rFonts w:cs="Arial"/>
        </w:rPr>
        <w:br w:type="page"/>
      </w:r>
    </w:p>
    <w:p w14:paraId="2A6DD203" w14:textId="79CC4869" w:rsidR="002A75EA" w:rsidRPr="00B50802" w:rsidRDefault="002A75EA" w:rsidP="002A75EA">
      <w:pPr>
        <w:rPr>
          <w:rFonts w:cs="Arial"/>
        </w:rPr>
      </w:pPr>
      <w:r w:rsidRPr="00B50802">
        <w:rPr>
          <w:rFonts w:cs="Arial"/>
        </w:rPr>
        <w:lastRenderedPageBreak/>
        <w:t xml:space="preserve">The Australian Government provides support for social housing through the NHHA, as well as further support for community housing through </w:t>
      </w:r>
      <w:r w:rsidR="00A6036F" w:rsidRPr="00B50802">
        <w:rPr>
          <w:rFonts w:cs="Arial"/>
        </w:rPr>
        <w:t>National Housing Finance and Investment Corporation (</w:t>
      </w:r>
      <w:r w:rsidRPr="00B50802">
        <w:rPr>
          <w:rFonts w:cs="Arial"/>
        </w:rPr>
        <w:t>NHFIC</w:t>
      </w:r>
      <w:r w:rsidR="00074FD2" w:rsidRPr="00B50802">
        <w:rPr>
          <w:rFonts w:cs="Arial"/>
        </w:rPr>
        <w:t>)</w:t>
      </w:r>
      <w:r w:rsidRPr="00B50802">
        <w:rPr>
          <w:rFonts w:ascii="Times New Roman" w:hAnsi="Times New Roman" w:cs="Times New Roman"/>
          <w:sz w:val="24"/>
          <w:szCs w:val="24"/>
        </w:rPr>
        <w:t>.</w:t>
      </w:r>
      <w:r w:rsidRPr="00B50802">
        <w:rPr>
          <w:rFonts w:cs="Arial"/>
        </w:rPr>
        <w:t xml:space="preserve"> NHFIC provides support for social and affordable housing through the Australian Housing Bond Aggregator and the National Housing Infrastructure Fund.</w:t>
      </w:r>
    </w:p>
    <w:p w14:paraId="521E8864" w14:textId="584BBBA8" w:rsidR="002A75EA" w:rsidRPr="00B50802" w:rsidRDefault="002A75EA" w:rsidP="002A75EA">
      <w:pPr>
        <w:rPr>
          <w:rFonts w:cs="Arial"/>
        </w:rPr>
      </w:pPr>
      <w:r w:rsidRPr="00B50802">
        <w:rPr>
          <w:rFonts w:cs="Arial"/>
        </w:rPr>
        <w:t xml:space="preserve">The social housing sector has changed over the decades with </w:t>
      </w:r>
      <w:r w:rsidR="00A6036F" w:rsidRPr="00B50802">
        <w:rPr>
          <w:rFonts w:cs="Arial"/>
        </w:rPr>
        <w:t xml:space="preserve">3 </w:t>
      </w:r>
      <w:r w:rsidRPr="00B50802">
        <w:rPr>
          <w:rFonts w:cs="Arial"/>
        </w:rPr>
        <w:t>broad trends evident</w:t>
      </w:r>
      <w:r w:rsidR="00A6036F" w:rsidRPr="00B50802">
        <w:rPr>
          <w:rFonts w:cs="Arial"/>
        </w:rPr>
        <w:t>:</w:t>
      </w:r>
      <w:r w:rsidRPr="00B50802">
        <w:rPr>
          <w:rStyle w:val="FootnoteReference"/>
          <w:rFonts w:cs="Arial"/>
        </w:rPr>
        <w:footnoteReference w:id="71"/>
      </w:r>
    </w:p>
    <w:p w14:paraId="78635338" w14:textId="77777777" w:rsidR="002A75EA" w:rsidRPr="00B50802" w:rsidRDefault="001340C7" w:rsidP="002A75EA">
      <w:pPr>
        <w:spacing w:after="0"/>
        <w:rPr>
          <w:rFonts w:cs="Arial"/>
          <w:bCs/>
        </w:rPr>
      </w:pPr>
      <w:r w:rsidRPr="00B50802">
        <w:rPr>
          <w:noProof/>
          <w:lang w:eastAsia="en-AU"/>
        </w:rPr>
        <w:drawing>
          <wp:inline distT="0" distB="0" distL="0" distR="0" wp14:anchorId="1AE98FFB" wp14:editId="0172852F">
            <wp:extent cx="5731510" cy="2465070"/>
            <wp:effectExtent l="0" t="0" r="0" b="0"/>
            <wp:docPr id="52" name="Picture 52" descr="In the 1940s- 1960: Rental housing for low-wage workers and families with a focus on home ownership&#10;&#10;In the 1970s-1980s: Affordable rental housing for low-income earners (mainly social security recipients).&#10;&#10;From the 1990s onwards: Prioritised housing for low-income households with high and/or complex n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1510" cy="2465070"/>
                    </a:xfrm>
                    <a:prstGeom prst="rect">
                      <a:avLst/>
                    </a:prstGeom>
                    <a:noFill/>
                    <a:ln>
                      <a:noFill/>
                    </a:ln>
                  </pic:spPr>
                </pic:pic>
              </a:graphicData>
            </a:graphic>
          </wp:inline>
        </w:drawing>
      </w:r>
    </w:p>
    <w:p w14:paraId="157C84F5" w14:textId="77777777" w:rsidR="002A75EA" w:rsidRPr="00B50802" w:rsidRDefault="002A75EA" w:rsidP="002A75EA">
      <w:pPr>
        <w:spacing w:after="0"/>
        <w:rPr>
          <w:rStyle w:val="Strong"/>
          <w:rFonts w:ascii="Georgia" w:hAnsi="Georgia"/>
          <w:sz w:val="28"/>
          <w:szCs w:val="28"/>
        </w:rPr>
      </w:pPr>
    </w:p>
    <w:p w14:paraId="650556FC" w14:textId="77777777" w:rsidR="002A75EA" w:rsidRPr="009274D8" w:rsidRDefault="002A75EA" w:rsidP="009274D8">
      <w:pPr>
        <w:rPr>
          <w:rFonts w:ascii="Georgia" w:eastAsia="Times New Roman" w:hAnsi="Georgia" w:cs="Calibri"/>
          <w:b/>
          <w:sz w:val="28"/>
          <w:szCs w:val="24"/>
          <w:lang w:eastAsia="en-AU"/>
        </w:rPr>
      </w:pPr>
      <w:bookmarkStart w:id="1642" w:name="_Toc134784709"/>
      <w:bookmarkStart w:id="1643" w:name="_Toc135035228"/>
      <w:bookmarkStart w:id="1644" w:name="_Toc135060905"/>
      <w:bookmarkStart w:id="1645" w:name="_Toc135161377"/>
      <w:bookmarkStart w:id="1646" w:name="_Toc135162323"/>
      <w:bookmarkStart w:id="1647" w:name="_Toc135162497"/>
      <w:bookmarkStart w:id="1648" w:name="_Toc135206076"/>
      <w:bookmarkStart w:id="1649" w:name="_Toc135206161"/>
      <w:bookmarkStart w:id="1650" w:name="_Toc139464319"/>
      <w:bookmarkStart w:id="1651" w:name="_Toc141969854"/>
      <w:bookmarkStart w:id="1652" w:name="_Toc141972477"/>
      <w:bookmarkStart w:id="1653" w:name="_Toc141972690"/>
      <w:bookmarkStart w:id="1654" w:name="_Toc141972964"/>
      <w:bookmarkStart w:id="1655" w:name="_Toc142042524"/>
      <w:bookmarkStart w:id="1656" w:name="_Toc142042733"/>
      <w:r w:rsidRPr="009274D8">
        <w:rPr>
          <w:rFonts w:ascii="Georgia" w:eastAsia="Times New Roman" w:hAnsi="Georgia" w:cs="Calibri"/>
          <w:b/>
          <w:sz w:val="28"/>
          <w:szCs w:val="24"/>
          <w:lang w:eastAsia="en-AU"/>
        </w:rPr>
        <w:t>The demand and supply of social housing</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18E6F34A" w14:textId="77777777" w:rsidR="002A75EA" w:rsidRPr="00B50802" w:rsidRDefault="002A75EA" w:rsidP="002A75EA">
      <w:pPr>
        <w:rPr>
          <w:rFonts w:cs="Arial"/>
        </w:rPr>
      </w:pPr>
      <w:r w:rsidRPr="00B50802">
        <w:rPr>
          <w:rFonts w:cs="Arial"/>
        </w:rPr>
        <w:t>While the amount of social housing increased by 4.6% between 2011 and 2021, this has not kept pace with population growth</w:t>
      </w:r>
      <w:r w:rsidR="00591849" w:rsidRPr="00B50802">
        <w:rPr>
          <w:rFonts w:cs="Arial"/>
        </w:rPr>
        <w:t>,</w:t>
      </w:r>
      <w:r w:rsidRPr="00B50802">
        <w:rPr>
          <w:rFonts w:cs="Arial"/>
        </w:rPr>
        <w:t xml:space="preserve"> which increased by </w:t>
      </w:r>
      <w:r w:rsidR="00074FD2" w:rsidRPr="00B50802">
        <w:rPr>
          <w:rFonts w:cs="Arial"/>
        </w:rPr>
        <w:t xml:space="preserve">15.0% </w:t>
      </w:r>
      <w:r w:rsidRPr="00B50802">
        <w:rPr>
          <w:rFonts w:cs="Arial"/>
        </w:rPr>
        <w:t>during the same period.</w:t>
      </w:r>
      <w:r w:rsidRPr="00B50802">
        <w:rPr>
          <w:rStyle w:val="FootnoteReference"/>
          <w:rFonts w:cs="Arial"/>
        </w:rPr>
        <w:footnoteReference w:id="72"/>
      </w:r>
      <w:r w:rsidRPr="00B50802">
        <w:rPr>
          <w:rFonts w:cs="Arial"/>
        </w:rPr>
        <w:t xml:space="preserve"> The social housing stock of 440,000 dwellings across Australia in 2021 makes up 4.2% of all housing, </w:t>
      </w:r>
      <w:r w:rsidR="00591849" w:rsidRPr="00B50802">
        <w:rPr>
          <w:rFonts w:cs="Arial"/>
        </w:rPr>
        <w:t xml:space="preserve">a </w:t>
      </w:r>
      <w:r w:rsidRPr="00B50802">
        <w:rPr>
          <w:rFonts w:cs="Arial"/>
        </w:rPr>
        <w:t>decrease from 4.8% of all housing in Australia since 2011.</w:t>
      </w:r>
      <w:r w:rsidRPr="00B50802">
        <w:rPr>
          <w:rStyle w:val="FootnoteReference"/>
          <w:rFonts w:cs="Arial"/>
        </w:rPr>
        <w:footnoteReference w:id="73"/>
      </w:r>
      <w:r w:rsidRPr="00B50802">
        <w:rPr>
          <w:rFonts w:cs="Arial"/>
        </w:rPr>
        <w:t xml:space="preserve"> </w:t>
      </w:r>
    </w:p>
    <w:p w14:paraId="6F102D61" w14:textId="7C6AD570" w:rsidR="002A75EA" w:rsidRPr="00B50802" w:rsidRDefault="00A3699D" w:rsidP="002A75EA">
      <w:pPr>
        <w:rPr>
          <w:rFonts w:cs="Arial"/>
        </w:rPr>
      </w:pPr>
      <w:r w:rsidRPr="00B50802">
        <w:rPr>
          <w:rFonts w:cs="Arial"/>
        </w:rPr>
        <w:t>Whilst social housing provides security for tenants, the availability of social housing stock</w:t>
      </w:r>
      <w:r w:rsidR="002A75EA" w:rsidRPr="00B50802">
        <w:rPr>
          <w:rFonts w:cs="Arial"/>
        </w:rPr>
        <w:t xml:space="preserve"> is</w:t>
      </w:r>
      <w:r w:rsidR="007D14E5">
        <w:rPr>
          <w:rFonts w:cs="Arial"/>
        </w:rPr>
        <w:t> </w:t>
      </w:r>
      <w:r w:rsidR="002A75EA" w:rsidRPr="00B50802">
        <w:rPr>
          <w:rFonts w:cs="Arial"/>
        </w:rPr>
        <w:t xml:space="preserve">also impacted by the relatively longer length of tenure that social housing households have in their dwellings compared </w:t>
      </w:r>
      <w:r w:rsidR="00591849" w:rsidRPr="00B50802">
        <w:rPr>
          <w:rFonts w:cs="Arial"/>
        </w:rPr>
        <w:t xml:space="preserve">with </w:t>
      </w:r>
      <w:r w:rsidR="002A75EA" w:rsidRPr="00B50802">
        <w:rPr>
          <w:rFonts w:cs="Arial"/>
        </w:rPr>
        <w:t>the private market. In the 2019</w:t>
      </w:r>
      <w:r w:rsidR="00591849" w:rsidRPr="00B50802">
        <w:rPr>
          <w:rFonts w:cs="Arial"/>
        </w:rPr>
        <w:t>–</w:t>
      </w:r>
      <w:r w:rsidR="002A75EA" w:rsidRPr="00B50802">
        <w:rPr>
          <w:rFonts w:cs="Arial"/>
        </w:rPr>
        <w:t>20 ABS survey of</w:t>
      </w:r>
      <w:r w:rsidR="007D14E5">
        <w:rPr>
          <w:rFonts w:cs="Arial"/>
        </w:rPr>
        <w:t> </w:t>
      </w:r>
      <w:r w:rsidR="002A75EA" w:rsidRPr="00B50802">
        <w:rPr>
          <w:rFonts w:cs="Arial"/>
        </w:rPr>
        <w:t xml:space="preserve">Housing Mobility and Conditions, </w:t>
      </w:r>
      <w:r w:rsidR="00591849" w:rsidRPr="00B50802">
        <w:rPr>
          <w:rFonts w:cs="Arial"/>
        </w:rPr>
        <w:t xml:space="preserve">most </w:t>
      </w:r>
      <w:r w:rsidR="002A75EA" w:rsidRPr="00B50802">
        <w:rPr>
          <w:rFonts w:cs="Arial"/>
        </w:rPr>
        <w:t>social housing tenants had not moved in the past 5</w:t>
      </w:r>
      <w:r w:rsidR="007D14E5">
        <w:rPr>
          <w:rFonts w:cs="Arial"/>
        </w:rPr>
        <w:t> </w:t>
      </w:r>
      <w:r w:rsidR="002A75EA" w:rsidRPr="00B50802">
        <w:rPr>
          <w:rFonts w:cs="Arial"/>
        </w:rPr>
        <w:t>years,</w:t>
      </w:r>
      <w:r w:rsidR="002600D7" w:rsidRPr="00B50802">
        <w:rPr>
          <w:rStyle w:val="FootnoteReference"/>
          <w:rFonts w:cs="Arial"/>
        </w:rPr>
        <w:footnoteReference w:id="74"/>
      </w:r>
      <w:r w:rsidR="002600D7" w:rsidRPr="00B50802">
        <w:rPr>
          <w:rFonts w:cs="Arial"/>
        </w:rPr>
        <w:t xml:space="preserve"> </w:t>
      </w:r>
      <w:r w:rsidR="002A75EA" w:rsidRPr="00B50802">
        <w:rPr>
          <w:rFonts w:cs="Arial"/>
        </w:rPr>
        <w:t xml:space="preserve">while the average private renter had moved twice in the </w:t>
      </w:r>
      <w:r w:rsidR="00591849" w:rsidRPr="00B50802">
        <w:rPr>
          <w:rFonts w:cs="Arial"/>
        </w:rPr>
        <w:t>same period</w:t>
      </w:r>
      <w:r w:rsidR="002A75EA" w:rsidRPr="00B50802">
        <w:rPr>
          <w:rFonts w:cs="Arial"/>
        </w:rPr>
        <w:t>.</w:t>
      </w:r>
      <w:r w:rsidR="00074FD2" w:rsidRPr="00B50802">
        <w:rPr>
          <w:rStyle w:val="FootnoteReference"/>
          <w:rFonts w:cs="Arial"/>
        </w:rPr>
        <w:t xml:space="preserve"> </w:t>
      </w:r>
      <w:r w:rsidR="00074FD2" w:rsidRPr="00B50802">
        <w:rPr>
          <w:rStyle w:val="FootnoteReference"/>
          <w:rFonts w:cs="Arial"/>
        </w:rPr>
        <w:footnoteReference w:id="75"/>
      </w:r>
      <w:r w:rsidR="002A75EA" w:rsidRPr="00B50802">
        <w:rPr>
          <w:rFonts w:cs="Arial"/>
        </w:rPr>
        <w:t xml:space="preserve"> Some states have policies, such as more frequent checks in income eligibility, to ensure social housing is available to those most in need.</w:t>
      </w:r>
      <w:r w:rsidR="002A75EA" w:rsidRPr="00B50802">
        <w:rPr>
          <w:rStyle w:val="FootnoteReference"/>
          <w:rFonts w:cs="Arial"/>
        </w:rPr>
        <w:footnoteReference w:id="76"/>
      </w:r>
    </w:p>
    <w:p w14:paraId="5AA9D7B9" w14:textId="77777777" w:rsidR="002A75EA" w:rsidRPr="00B50802" w:rsidRDefault="002A75EA" w:rsidP="002A75EA">
      <w:r w:rsidRPr="00B50802">
        <w:br w:type="page"/>
      </w:r>
    </w:p>
    <w:p w14:paraId="40C5CD37" w14:textId="5C0B97A5" w:rsidR="00597296" w:rsidRPr="00B50802" w:rsidRDefault="00591849" w:rsidP="00597296">
      <w:r w:rsidRPr="00B50802">
        <w:lastRenderedPageBreak/>
        <w:t>T</w:t>
      </w:r>
      <w:r w:rsidR="00597296" w:rsidRPr="00B50802">
        <w:t>he Productivity Commission</w:t>
      </w:r>
      <w:r w:rsidRPr="00B50802">
        <w:t>’</w:t>
      </w:r>
      <w:r w:rsidR="00597296" w:rsidRPr="00B50802">
        <w:t>s review of the NHHA noted that any increased market supply of housing, achieved through better designed planning regulations, would benefit households on low and moderate incomes through increas</w:t>
      </w:r>
      <w:r w:rsidRPr="00B50802">
        <w:t>ed</w:t>
      </w:r>
      <w:r w:rsidR="00597296" w:rsidRPr="00B50802">
        <w:t xml:space="preserve"> </w:t>
      </w:r>
      <w:r w:rsidR="00EF34DB" w:rsidRPr="00B50802">
        <w:t>mainstream supply of</w:t>
      </w:r>
      <w:r w:rsidR="00597296" w:rsidRPr="00B50802">
        <w:t xml:space="preserve"> housing and improved private rental market conditions.</w:t>
      </w:r>
      <w:r w:rsidR="00597296" w:rsidRPr="00B50802">
        <w:rPr>
          <w:rStyle w:val="FootnoteReference"/>
        </w:rPr>
        <w:footnoteReference w:id="77"/>
      </w:r>
      <w:r w:rsidR="00597296" w:rsidRPr="00B50802">
        <w:t xml:space="preserve"> </w:t>
      </w:r>
    </w:p>
    <w:p w14:paraId="7F5E9E3A" w14:textId="77777777" w:rsidR="00B0485B" w:rsidRPr="00B50802" w:rsidRDefault="001340C7" w:rsidP="00B0485B">
      <w:pPr>
        <w:spacing w:after="240"/>
        <w:rPr>
          <w:rFonts w:cs="Arial"/>
          <w:bCs/>
          <w:i/>
          <w:sz w:val="16"/>
          <w:szCs w:val="16"/>
        </w:rPr>
      </w:pPr>
      <w:r w:rsidRPr="00B50802">
        <w:rPr>
          <w:noProof/>
          <w:lang w:eastAsia="en-AU"/>
        </w:rPr>
        <w:drawing>
          <wp:inline distT="0" distB="0" distL="0" distR="0" wp14:anchorId="379D20E9" wp14:editId="216C1087">
            <wp:extent cx="5730875" cy="2908300"/>
            <wp:effectExtent l="0" t="0" r="3175" b="6350"/>
            <wp:docPr id="146" name="Picture 146" descr="The total number of dwellings for all program types combined has risen from 408,812 in 2006 to 440,192. However, the percentage of dwellings per 1,000 people in the population has decreased from 20 percent in 2006 to 17 percent in 2021. The number of public housing dwellings decreased from 341,378 in 2006 to 299,520 in 2021.  The number of community housing dwellings increased from 32,349 in 2006 to 108,519 in 2021." title="Social Housing Dwellings by program type and per 1,000 population 2006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875" cy="2908300"/>
                    </a:xfrm>
                    <a:prstGeom prst="rect">
                      <a:avLst/>
                    </a:prstGeom>
                    <a:noFill/>
                  </pic:spPr>
                </pic:pic>
              </a:graphicData>
            </a:graphic>
          </wp:inline>
        </w:drawing>
      </w:r>
      <w:r w:rsidR="00B0485B" w:rsidRPr="00B50802">
        <w:rPr>
          <w:rFonts w:cs="Arial"/>
          <w:bCs/>
          <w:i/>
          <w:sz w:val="16"/>
          <w:szCs w:val="16"/>
        </w:rPr>
        <w:t xml:space="preserve">Source: AIHW Housing Assistance in Australia 2022 Social housing dwellings, ABS 3101.0 Estimated Resident population. </w:t>
      </w:r>
    </w:p>
    <w:p w14:paraId="6BE922CF" w14:textId="09484C56" w:rsidR="002A75EA" w:rsidRPr="00B50802" w:rsidRDefault="002A75EA" w:rsidP="002A75EA">
      <w:pPr>
        <w:rPr>
          <w:rFonts w:cs="Arial"/>
        </w:rPr>
      </w:pPr>
      <w:r w:rsidRPr="00B50802">
        <w:rPr>
          <w:rFonts w:cs="Arial"/>
        </w:rPr>
        <w:t>There are a number of factors which influence demand and supply for social housing. Demand for social housing is driven by the availability of appropriate and affordable private rental housing</w:t>
      </w:r>
      <w:r w:rsidR="00D618C7" w:rsidRPr="00B50802">
        <w:rPr>
          <w:rFonts w:cs="Arial"/>
        </w:rPr>
        <w:t>,</w:t>
      </w:r>
      <w:r w:rsidRPr="00B50802">
        <w:rPr>
          <w:rFonts w:cs="Arial"/>
        </w:rPr>
        <w:t xml:space="preserve"> and a</w:t>
      </w:r>
      <w:r w:rsidRPr="00B50802">
        <w:rPr>
          <w:rStyle w:val="ui-provider"/>
        </w:rPr>
        <w:t xml:space="preserve"> shortage of affordable and safe housing can create significant costs for </w:t>
      </w:r>
      <w:r w:rsidRPr="00FE7E79">
        <w:rPr>
          <w:rStyle w:val="ui-provider"/>
        </w:rPr>
        <w:t xml:space="preserve">governments. </w:t>
      </w:r>
      <w:r w:rsidR="00874C96" w:rsidRPr="00FE7E79">
        <w:rPr>
          <w:rStyle w:val="ui-provider"/>
        </w:rPr>
        <w:t>These significant costs may include for example additional capital expenditure for social housing and greater ongoing subsidies for social housing provision</w:t>
      </w:r>
      <w:r w:rsidRPr="00FE7E79">
        <w:rPr>
          <w:rStyle w:val="ui-provider"/>
        </w:rPr>
        <w:t>.</w:t>
      </w:r>
      <w:r w:rsidRPr="00FE7E79">
        <w:rPr>
          <w:rFonts w:cs="Arial"/>
        </w:rPr>
        <w:t xml:space="preserve"> There</w:t>
      </w:r>
      <w:r w:rsidRPr="00B50802">
        <w:rPr>
          <w:rFonts w:cs="Arial"/>
        </w:rPr>
        <w:t xml:space="preserve"> will always be a level of</w:t>
      </w:r>
      <w:r w:rsidR="007D14E5">
        <w:rPr>
          <w:rFonts w:cs="Arial"/>
        </w:rPr>
        <w:t> </w:t>
      </w:r>
      <w:r w:rsidRPr="00B50802">
        <w:rPr>
          <w:rFonts w:cs="Arial"/>
        </w:rPr>
        <w:t>inherent demand for below market</w:t>
      </w:r>
      <w:r w:rsidR="00F4065D" w:rsidRPr="00B50802">
        <w:rPr>
          <w:rFonts w:cs="Arial"/>
        </w:rPr>
        <w:t xml:space="preserve"> </w:t>
      </w:r>
      <w:r w:rsidRPr="00B50802">
        <w:rPr>
          <w:rFonts w:cs="Arial"/>
        </w:rPr>
        <w:t>rate housing, and as a result, there will always be a demand for social housing.</w:t>
      </w:r>
      <w:r w:rsidRPr="00B50802">
        <w:rPr>
          <w:rStyle w:val="FootnoteReference"/>
          <w:rFonts w:cs="Arial"/>
        </w:rPr>
        <w:footnoteReference w:id="78"/>
      </w:r>
      <w:r w:rsidRPr="00B50802">
        <w:rPr>
          <w:rStyle w:val="FootnoteReference"/>
          <w:rFonts w:cs="Arial"/>
        </w:rPr>
        <w:t xml:space="preserve"> </w:t>
      </w:r>
    </w:p>
    <w:p w14:paraId="69E95642" w14:textId="3C4E3F89" w:rsidR="00597296" w:rsidRPr="00B50802" w:rsidRDefault="002A75EA">
      <w:pPr>
        <w:rPr>
          <w:rFonts w:cs="Arial"/>
        </w:rPr>
      </w:pPr>
      <w:r w:rsidRPr="00B50802">
        <w:rPr>
          <w:rFonts w:cs="Arial"/>
        </w:rPr>
        <w:t xml:space="preserve">There are difficulties in measuring the demand for social housing. </w:t>
      </w:r>
      <w:r w:rsidR="00C36985" w:rsidRPr="00B50802">
        <w:rPr>
          <w:rFonts w:cs="Arial"/>
        </w:rPr>
        <w:t>D</w:t>
      </w:r>
      <w:r w:rsidRPr="00B50802">
        <w:rPr>
          <w:rFonts w:cs="Arial"/>
        </w:rPr>
        <w:t>emand for social housing is usually measured by waiting lists or registers</w:t>
      </w:r>
      <w:r w:rsidR="00C36985" w:rsidRPr="00B50802">
        <w:rPr>
          <w:rFonts w:cs="Arial"/>
        </w:rPr>
        <w:t>,</w:t>
      </w:r>
      <w:r w:rsidRPr="00B50802">
        <w:rPr>
          <w:rFonts w:cs="Arial"/>
        </w:rPr>
        <w:t xml:space="preserve"> with priority given to those in greatest need, for example</w:t>
      </w:r>
      <w:r w:rsidR="00C36985" w:rsidRPr="00B50802">
        <w:rPr>
          <w:rFonts w:cs="Arial"/>
        </w:rPr>
        <w:t>,</w:t>
      </w:r>
      <w:r w:rsidRPr="00B50802">
        <w:rPr>
          <w:rFonts w:cs="Arial"/>
        </w:rPr>
        <w:t xml:space="preserve"> those who are homeless or experiencing domestic and family violence. Almost 40% of households on the waiting list in 2021 across Australia were assessed as being in</w:t>
      </w:r>
      <w:r w:rsidR="007D14E5">
        <w:rPr>
          <w:rFonts w:cs="Arial"/>
        </w:rPr>
        <w:t> </w:t>
      </w:r>
      <w:r w:rsidRPr="00B50802">
        <w:rPr>
          <w:rFonts w:cs="Arial"/>
        </w:rPr>
        <w:t>‘greatest need’.</w:t>
      </w:r>
      <w:r w:rsidRPr="00B50802">
        <w:rPr>
          <w:rStyle w:val="FootnoteReference"/>
          <w:rFonts w:cs="Arial"/>
        </w:rPr>
        <w:footnoteReference w:id="79"/>
      </w:r>
    </w:p>
    <w:p w14:paraId="379F13F1" w14:textId="77777777" w:rsidR="002A75EA" w:rsidRPr="00B50802" w:rsidRDefault="002A75EA" w:rsidP="002A75EA">
      <w:pPr>
        <w:rPr>
          <w:rFonts w:cs="Arial"/>
        </w:rPr>
      </w:pPr>
      <w:r w:rsidRPr="00B50802">
        <w:rPr>
          <w:rFonts w:cs="Arial"/>
        </w:rPr>
        <w:t xml:space="preserve">While waiting lists provide some measure of unmet demand for social housing by </w:t>
      </w:r>
      <w:r w:rsidRPr="00B50802">
        <w:rPr>
          <w:rFonts w:cs="Arial"/>
          <w:bCs/>
        </w:rPr>
        <w:br/>
      </w:r>
      <w:r w:rsidRPr="00B50802">
        <w:rPr>
          <w:rFonts w:cs="Arial"/>
        </w:rPr>
        <w:t xml:space="preserve">low-income households, </w:t>
      </w:r>
      <w:r w:rsidR="00BE7EB0" w:rsidRPr="00B50802">
        <w:rPr>
          <w:rFonts w:cs="Arial"/>
        </w:rPr>
        <w:t>the</w:t>
      </w:r>
      <w:r w:rsidR="00E7099E" w:rsidRPr="00B50802">
        <w:rPr>
          <w:rFonts w:cs="Arial"/>
        </w:rPr>
        <w:t>re</w:t>
      </w:r>
      <w:r w:rsidR="00BE7EB0" w:rsidRPr="00B50802">
        <w:rPr>
          <w:rFonts w:cs="Arial"/>
        </w:rPr>
        <w:t xml:space="preserve"> </w:t>
      </w:r>
      <w:r w:rsidR="00E7099E" w:rsidRPr="00B50802">
        <w:rPr>
          <w:rFonts w:cs="Arial"/>
        </w:rPr>
        <w:t xml:space="preserve">are </w:t>
      </w:r>
      <w:r w:rsidRPr="00B50802">
        <w:rPr>
          <w:rFonts w:cs="Arial"/>
        </w:rPr>
        <w:t xml:space="preserve">shortcomings </w:t>
      </w:r>
      <w:r w:rsidR="00BE7EB0" w:rsidRPr="00B50802">
        <w:rPr>
          <w:rFonts w:cs="Arial"/>
        </w:rPr>
        <w:t xml:space="preserve">of using </w:t>
      </w:r>
      <w:r w:rsidRPr="00B50802">
        <w:rPr>
          <w:rFonts w:cs="Arial"/>
        </w:rPr>
        <w:t xml:space="preserve">waitlists and registers as the sole indicator for unmet demand: </w:t>
      </w:r>
    </w:p>
    <w:p w14:paraId="6CCCE8F4" w14:textId="77777777" w:rsidR="002A75EA" w:rsidRPr="00B50802" w:rsidRDefault="002A75EA" w:rsidP="00CF65E3">
      <w:pPr>
        <w:pStyle w:val="Bullets"/>
        <w:numPr>
          <w:ilvl w:val="0"/>
          <w:numId w:val="36"/>
        </w:numPr>
        <w:ind w:left="709"/>
      </w:pPr>
      <w:r w:rsidRPr="00B50802">
        <w:t>social housing is not available in all areas and in the required dwelling type</w:t>
      </w:r>
    </w:p>
    <w:p w14:paraId="0C11C1C5" w14:textId="77777777" w:rsidR="002A75EA" w:rsidRPr="00B50802" w:rsidRDefault="002A75EA" w:rsidP="00CF65E3">
      <w:pPr>
        <w:pStyle w:val="Bullets"/>
        <w:numPr>
          <w:ilvl w:val="0"/>
          <w:numId w:val="36"/>
        </w:numPr>
        <w:ind w:left="709"/>
      </w:pPr>
      <w:r w:rsidRPr="00B50802">
        <w:t>waiting lists refer to households</w:t>
      </w:r>
      <w:r w:rsidR="00BE7EB0" w:rsidRPr="00B50802">
        <w:t>,</w:t>
      </w:r>
      <w:r w:rsidRPr="00B50802">
        <w:t xml:space="preserve"> not individuals seeking social housing </w:t>
      </w:r>
    </w:p>
    <w:p w14:paraId="2043500D" w14:textId="77777777" w:rsidR="002A75EA" w:rsidRPr="00B50802" w:rsidRDefault="002A75EA" w:rsidP="00CF65E3">
      <w:pPr>
        <w:pStyle w:val="Bullets"/>
        <w:numPr>
          <w:ilvl w:val="0"/>
          <w:numId w:val="36"/>
        </w:numPr>
        <w:ind w:left="709"/>
      </w:pPr>
      <w:r w:rsidRPr="00B50802">
        <w:t>applicants are subject to income</w:t>
      </w:r>
      <w:r w:rsidR="00BE7EB0" w:rsidRPr="00B50802">
        <w:t>,</w:t>
      </w:r>
      <w:r w:rsidRPr="00B50802">
        <w:t xml:space="preserve"> asset and other eligibility criteria which vary </w:t>
      </w:r>
      <w:r w:rsidR="002A5251" w:rsidRPr="00B50802">
        <w:t xml:space="preserve">over time and </w:t>
      </w:r>
      <w:r w:rsidRPr="00B50802">
        <w:t xml:space="preserve">between states </w:t>
      </w:r>
    </w:p>
    <w:p w14:paraId="5162C003" w14:textId="51952214" w:rsidR="002A75EA" w:rsidRPr="00B50802" w:rsidRDefault="002A75EA" w:rsidP="00CF65E3">
      <w:pPr>
        <w:pStyle w:val="Bullets"/>
        <w:numPr>
          <w:ilvl w:val="0"/>
          <w:numId w:val="36"/>
        </w:numPr>
        <w:ind w:left="709"/>
      </w:pPr>
      <w:r w:rsidRPr="00B50802">
        <w:lastRenderedPageBreak/>
        <w:t>households may not apply due to housing quality and waiting time concerns.</w:t>
      </w:r>
      <w:r w:rsidRPr="00B50802">
        <w:rPr>
          <w:rStyle w:val="FootnoteReference"/>
        </w:rPr>
        <w:footnoteReference w:id="80"/>
      </w:r>
    </w:p>
    <w:p w14:paraId="546D2342" w14:textId="0D7969B4" w:rsidR="002A75EA" w:rsidRPr="00B50802" w:rsidRDefault="002A75EA" w:rsidP="002A75EA">
      <w:pPr>
        <w:rPr>
          <w:rFonts w:cs="Arial"/>
          <w:bCs/>
        </w:rPr>
      </w:pPr>
      <w:r w:rsidRPr="00B50802">
        <w:rPr>
          <w:rFonts w:cs="Arial"/>
        </w:rPr>
        <w:t>Several stakeholders have modelled housing need</w:t>
      </w:r>
      <w:r w:rsidR="00E60288" w:rsidRPr="00B50802">
        <w:rPr>
          <w:rFonts w:cs="Arial"/>
        </w:rPr>
        <w:t xml:space="preserve">, including </w:t>
      </w:r>
      <w:r w:rsidRPr="00B50802">
        <w:rPr>
          <w:rFonts w:cs="Arial"/>
        </w:rPr>
        <w:t>the</w:t>
      </w:r>
      <w:r w:rsidR="00E60288" w:rsidRPr="00B50802">
        <w:rPr>
          <w:rFonts w:cs="Arial"/>
        </w:rPr>
        <w:t xml:space="preserve"> number of</w:t>
      </w:r>
      <w:r w:rsidRPr="00B50802">
        <w:rPr>
          <w:rFonts w:cs="Arial"/>
        </w:rPr>
        <w:t xml:space="preserve"> social housing dwellings </w:t>
      </w:r>
      <w:r w:rsidR="001742F7" w:rsidRPr="00B50802">
        <w:rPr>
          <w:rFonts w:cs="Arial"/>
        </w:rPr>
        <w:t xml:space="preserve">which may be </w:t>
      </w:r>
      <w:r w:rsidRPr="00B50802">
        <w:rPr>
          <w:rFonts w:cs="Arial"/>
        </w:rPr>
        <w:t>required to meet this need. It is important to note the underlying assumptions and approaches to modelling these estimates vary:</w:t>
      </w:r>
    </w:p>
    <w:p w14:paraId="79EE7197" w14:textId="77777777" w:rsidR="002A75EA" w:rsidRPr="00B50802" w:rsidRDefault="002A75EA" w:rsidP="00CF65E3">
      <w:pPr>
        <w:pStyle w:val="Bullets"/>
        <w:numPr>
          <w:ilvl w:val="0"/>
          <w:numId w:val="37"/>
        </w:numPr>
        <w:ind w:left="709"/>
      </w:pPr>
      <w:r w:rsidRPr="00B50802">
        <w:t xml:space="preserve">Research prepared for the Community Housing Industry Association estimates </w:t>
      </w:r>
      <w:r w:rsidRPr="00B50802">
        <w:rPr>
          <w:bCs/>
        </w:rPr>
        <w:br/>
      </w:r>
      <w:r w:rsidRPr="00B50802">
        <w:t xml:space="preserve">in 2021 there were around 437,000 households in the lowest income group and 203,500 households in the second lowest income group with unmet demand for housing </w:t>
      </w:r>
      <w:r w:rsidR="00BE7EB0" w:rsidRPr="00B50802">
        <w:t xml:space="preserve">with </w:t>
      </w:r>
      <w:r w:rsidRPr="00B50802">
        <w:t xml:space="preserve">these households experiencing homelessness, </w:t>
      </w:r>
      <w:r w:rsidR="0072222A" w:rsidRPr="00B50802">
        <w:t>experiencing overcrowding</w:t>
      </w:r>
      <w:r w:rsidRPr="00B50802">
        <w:t xml:space="preserve"> or spending </w:t>
      </w:r>
      <w:r w:rsidR="00BE7EB0" w:rsidRPr="00B50802">
        <w:t xml:space="preserve">more than </w:t>
      </w:r>
      <w:r w:rsidRPr="00B50802">
        <w:t>30% of their income on rent. Combined</w:t>
      </w:r>
      <w:r w:rsidR="00BE7EB0" w:rsidRPr="00B50802">
        <w:t>,</w:t>
      </w:r>
      <w:r w:rsidRPr="00B50802">
        <w:t xml:space="preserve"> this represents around 641,000 households whose affordable housing needs were not being met.</w:t>
      </w:r>
      <w:r w:rsidRPr="00B50802">
        <w:rPr>
          <w:rStyle w:val="FootnoteReference"/>
        </w:rPr>
        <w:footnoteReference w:id="81"/>
      </w:r>
      <w:r w:rsidRPr="00B50802">
        <w:t xml:space="preserve"> </w:t>
      </w:r>
    </w:p>
    <w:p w14:paraId="4B88AD29" w14:textId="77777777" w:rsidR="002A75EA" w:rsidRPr="00B50802" w:rsidRDefault="002A75EA" w:rsidP="00CF65E3">
      <w:pPr>
        <w:pStyle w:val="Bullets"/>
        <w:numPr>
          <w:ilvl w:val="0"/>
          <w:numId w:val="37"/>
        </w:numPr>
        <w:ind w:left="709"/>
      </w:pPr>
      <w:r w:rsidRPr="00B50802">
        <w:t>Research prepared by the Australian Housing and Urban Research Institute estimates that 727,300 social housing dwellings will be required</w:t>
      </w:r>
      <w:r w:rsidR="00BE7EB0" w:rsidRPr="00B50802">
        <w:t xml:space="preserve"> between 2016 and 2036</w:t>
      </w:r>
      <w:r w:rsidRPr="00B50802">
        <w:t xml:space="preserve">. This is in addition to the 384,600 social housing dwellings available </w:t>
      </w:r>
      <w:r w:rsidRPr="00B50802">
        <w:br/>
        <w:t>in 2016</w:t>
      </w:r>
      <w:r w:rsidR="00C36985" w:rsidRPr="00B50802">
        <w:t>.</w:t>
      </w:r>
      <w:r w:rsidRPr="00B50802">
        <w:rPr>
          <w:rStyle w:val="FootnoteReference"/>
        </w:rPr>
        <w:footnoteReference w:id="82"/>
      </w:r>
    </w:p>
    <w:p w14:paraId="5567C8BF" w14:textId="5D6B5948" w:rsidR="002A75EA" w:rsidRPr="00B50802" w:rsidRDefault="00E01925" w:rsidP="002A75EA">
      <w:pPr>
        <w:rPr>
          <w:rFonts w:cs="Arial"/>
        </w:rPr>
      </w:pPr>
      <w:r>
        <w:rPr>
          <w:rFonts w:cs="Arial"/>
        </w:rPr>
        <w:t>D</w:t>
      </w:r>
      <w:r w:rsidR="002A75EA" w:rsidRPr="00B50802">
        <w:rPr>
          <w:rFonts w:cs="Arial"/>
        </w:rPr>
        <w:t xml:space="preserve">emand and target groups for social housing are not well-defined concepts, and </w:t>
      </w:r>
      <w:r w:rsidR="00BB4ED6" w:rsidRPr="00B50802">
        <w:rPr>
          <w:rFonts w:cs="Arial"/>
        </w:rPr>
        <w:t xml:space="preserve">increasing </w:t>
      </w:r>
      <w:r w:rsidR="002A75EA" w:rsidRPr="00B50802">
        <w:rPr>
          <w:rFonts w:cs="Arial"/>
        </w:rPr>
        <w:t>the stock of social and affordable housing is one of several options for governments to better meet the</w:t>
      </w:r>
      <w:r w:rsidR="00B0485B" w:rsidRPr="00B50802">
        <w:rPr>
          <w:rFonts w:cs="Arial"/>
        </w:rPr>
        <w:t xml:space="preserve"> housing needs of Australians. </w:t>
      </w:r>
    </w:p>
    <w:p w14:paraId="098D32D6" w14:textId="77777777" w:rsidR="002A75EA" w:rsidRPr="009274D8" w:rsidRDefault="002A75EA" w:rsidP="009274D8">
      <w:pPr>
        <w:rPr>
          <w:rFonts w:ascii="Georgia" w:eastAsia="Times New Roman" w:hAnsi="Georgia" w:cs="Calibri"/>
          <w:b/>
          <w:sz w:val="28"/>
          <w:szCs w:val="24"/>
          <w:lang w:eastAsia="en-AU"/>
        </w:rPr>
      </w:pPr>
      <w:bookmarkStart w:id="1657" w:name="_Toc134784710"/>
      <w:bookmarkStart w:id="1658" w:name="_Toc135035229"/>
      <w:bookmarkStart w:id="1659" w:name="_Toc135060906"/>
      <w:bookmarkStart w:id="1660" w:name="_Toc135161378"/>
      <w:bookmarkStart w:id="1661" w:name="_Toc135162324"/>
      <w:bookmarkStart w:id="1662" w:name="_Toc135162498"/>
      <w:bookmarkStart w:id="1663" w:name="_Toc135206077"/>
      <w:bookmarkStart w:id="1664" w:name="_Toc135206162"/>
      <w:bookmarkStart w:id="1665" w:name="_Toc139464320"/>
      <w:bookmarkStart w:id="1666" w:name="_Toc141969855"/>
      <w:bookmarkStart w:id="1667" w:name="_Toc141972478"/>
      <w:bookmarkStart w:id="1668" w:name="_Toc141972691"/>
      <w:bookmarkStart w:id="1669" w:name="_Toc141972965"/>
      <w:bookmarkStart w:id="1670" w:name="_Toc142042525"/>
      <w:bookmarkStart w:id="1671" w:name="_Toc142042734"/>
      <w:r w:rsidRPr="009274D8">
        <w:rPr>
          <w:rFonts w:ascii="Georgia" w:eastAsia="Times New Roman" w:hAnsi="Georgia" w:cs="Calibri"/>
          <w:b/>
          <w:sz w:val="28"/>
          <w:szCs w:val="24"/>
          <w:lang w:eastAsia="en-AU"/>
        </w:rPr>
        <w:t>Features of social housing</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sidRPr="009274D8">
        <w:rPr>
          <w:rFonts w:ascii="Georgia" w:eastAsia="Times New Roman" w:hAnsi="Georgia" w:cs="Calibri"/>
          <w:b/>
          <w:sz w:val="28"/>
          <w:szCs w:val="24"/>
          <w:lang w:eastAsia="en-AU"/>
        </w:rPr>
        <w:t xml:space="preserve"> </w:t>
      </w:r>
    </w:p>
    <w:p w14:paraId="08E4015B" w14:textId="052BD8CA" w:rsidR="002A75EA" w:rsidRPr="00B50802" w:rsidRDefault="002A75EA" w:rsidP="002A75EA">
      <w:pPr>
        <w:rPr>
          <w:rFonts w:cs="Arial"/>
        </w:rPr>
      </w:pPr>
      <w:r w:rsidRPr="00B50802">
        <w:rPr>
          <w:rFonts w:cs="Arial"/>
        </w:rPr>
        <w:t xml:space="preserve">Tenancy allocation for social dwellings is decided by </w:t>
      </w:r>
      <w:r w:rsidR="00BB4ED6" w:rsidRPr="00B50802">
        <w:rPr>
          <w:rFonts w:cs="Arial"/>
        </w:rPr>
        <w:t xml:space="preserve">the </w:t>
      </w:r>
      <w:r w:rsidRPr="00B50802">
        <w:rPr>
          <w:rFonts w:cs="Arial"/>
        </w:rPr>
        <w:t xml:space="preserve">policy settings </w:t>
      </w:r>
      <w:r w:rsidR="00BB4ED6" w:rsidRPr="00B50802">
        <w:rPr>
          <w:rFonts w:cs="Arial"/>
        </w:rPr>
        <w:t xml:space="preserve">of </w:t>
      </w:r>
      <w:r w:rsidRPr="00B50802">
        <w:rPr>
          <w:rFonts w:cs="Arial"/>
        </w:rPr>
        <w:t xml:space="preserve">individual states and community housing organisations. As the demand for social housing is currently much higher than available supply, states and providers allocate dwellings to households who can demonstrate both economic and social disadvantage, referred to as ‘greatest needs’ households. </w:t>
      </w:r>
      <w:r w:rsidRPr="00B50802" w:rsidDel="00976653">
        <w:rPr>
          <w:rFonts w:cs="Arial"/>
        </w:rPr>
        <w:t xml:space="preserve">Community housing organisations usually have </w:t>
      </w:r>
      <w:r w:rsidR="009327FE" w:rsidRPr="00B50802">
        <w:rPr>
          <w:rFonts w:cs="Arial"/>
        </w:rPr>
        <w:t xml:space="preserve">more </w:t>
      </w:r>
      <w:r w:rsidRPr="00B50802" w:rsidDel="00976653">
        <w:rPr>
          <w:rFonts w:cs="Arial"/>
        </w:rPr>
        <w:t>flexibility in tenancy allocation</w:t>
      </w:r>
      <w:r w:rsidRPr="00B50802">
        <w:rPr>
          <w:rFonts w:cs="Arial"/>
        </w:rPr>
        <w:t xml:space="preserve"> compared to </w:t>
      </w:r>
      <w:r w:rsidR="003F69FE" w:rsidRPr="00B50802">
        <w:rPr>
          <w:rFonts w:cs="Arial"/>
        </w:rPr>
        <w:t>government providers.</w:t>
      </w:r>
    </w:p>
    <w:p w14:paraId="06C3A878" w14:textId="49C4902D" w:rsidR="00AC3C07" w:rsidRPr="00B50802" w:rsidRDefault="002A75EA" w:rsidP="0072222A">
      <w:pPr>
        <w:rPr>
          <w:rFonts w:cs="Arial"/>
        </w:rPr>
      </w:pPr>
      <w:r w:rsidRPr="00B50802" w:rsidDel="00D16284">
        <w:rPr>
          <w:rFonts w:cs="Arial"/>
        </w:rPr>
        <w:t xml:space="preserve">Research suggests that current </w:t>
      </w:r>
      <w:r w:rsidR="00AC3C07" w:rsidRPr="00B50802">
        <w:rPr>
          <w:rFonts w:cs="Arial"/>
        </w:rPr>
        <w:t xml:space="preserve">social housing </w:t>
      </w:r>
      <w:r w:rsidRPr="00B50802" w:rsidDel="00D16284">
        <w:rPr>
          <w:rFonts w:cs="Arial"/>
        </w:rPr>
        <w:t xml:space="preserve">prioritisation and allocation practices are </w:t>
      </w:r>
      <w:r w:rsidR="00AC3C07" w:rsidRPr="00B50802">
        <w:rPr>
          <w:rFonts w:cs="Arial"/>
        </w:rPr>
        <w:t>focused on those with greatest needs</w:t>
      </w:r>
      <w:r w:rsidR="004D7354" w:rsidRPr="00B75F7D">
        <w:rPr>
          <w:rFonts w:cs="Arial"/>
        </w:rPr>
        <w:t>.</w:t>
      </w:r>
      <w:r w:rsidR="00AC3C07" w:rsidRPr="00B50802">
        <w:rPr>
          <w:rFonts w:cs="Arial"/>
        </w:rPr>
        <w:t xml:space="preserve"> </w:t>
      </w:r>
      <w:r w:rsidR="00037E27" w:rsidRPr="00B50802">
        <w:rPr>
          <w:rFonts w:cs="Arial"/>
        </w:rPr>
        <w:t>C</w:t>
      </w:r>
      <w:r w:rsidRPr="00B50802">
        <w:rPr>
          <w:rFonts w:cs="Arial"/>
        </w:rPr>
        <w:t xml:space="preserve">urrent </w:t>
      </w:r>
      <w:r w:rsidR="00037E27" w:rsidRPr="00B50802">
        <w:rPr>
          <w:rFonts w:cs="Arial"/>
        </w:rPr>
        <w:t>prioritisation and</w:t>
      </w:r>
      <w:r w:rsidRPr="00B50802">
        <w:rPr>
          <w:rFonts w:cs="Arial"/>
        </w:rPr>
        <w:t xml:space="preserve"> allocation approach</w:t>
      </w:r>
      <w:r w:rsidR="00037E27" w:rsidRPr="00B50802">
        <w:rPr>
          <w:rFonts w:cs="Arial"/>
        </w:rPr>
        <w:t xml:space="preserve">es generally </w:t>
      </w:r>
      <w:r w:rsidRPr="00B50802">
        <w:rPr>
          <w:rFonts w:cs="Arial"/>
        </w:rPr>
        <w:t xml:space="preserve">exclude </w:t>
      </w:r>
      <w:r w:rsidR="00037E27" w:rsidRPr="00B50802">
        <w:rPr>
          <w:rFonts w:cs="Arial"/>
        </w:rPr>
        <w:t>households</w:t>
      </w:r>
      <w:r w:rsidRPr="00B50802">
        <w:rPr>
          <w:rFonts w:cs="Arial"/>
        </w:rPr>
        <w:t xml:space="preserve"> who are seeking housing support but whose needs are not as great as others. </w:t>
      </w:r>
      <w:r w:rsidR="00037E27" w:rsidRPr="00B50802">
        <w:rPr>
          <w:rFonts w:cs="Arial"/>
        </w:rPr>
        <w:t xml:space="preserve">Some suggest that a more multi-dimensional model </w:t>
      </w:r>
      <w:r w:rsidR="004D7354" w:rsidRPr="00B75F7D">
        <w:rPr>
          <w:rFonts w:cs="Arial"/>
        </w:rPr>
        <w:t>may be</w:t>
      </w:r>
      <w:r w:rsidR="004D7354" w:rsidRPr="00B50802">
        <w:rPr>
          <w:rFonts w:cs="Arial"/>
        </w:rPr>
        <w:t xml:space="preserve"> </w:t>
      </w:r>
      <w:r w:rsidR="00037E27" w:rsidRPr="00B50802">
        <w:rPr>
          <w:rFonts w:cs="Arial"/>
        </w:rPr>
        <w:t>appropriate, responding to housing need from households with no need for greater social supports and to</w:t>
      </w:r>
      <w:r w:rsidR="007D14E5">
        <w:rPr>
          <w:rFonts w:cs="Arial"/>
        </w:rPr>
        <w:t> </w:t>
      </w:r>
      <w:r w:rsidR="00037E27" w:rsidRPr="00B50802">
        <w:rPr>
          <w:rFonts w:cs="Arial"/>
        </w:rPr>
        <w:t>households requiring an affordable housing option, thus resulting in a more comprehensive and integrated housing support system</w:t>
      </w:r>
      <w:r w:rsidR="003103FB" w:rsidRPr="00B75F7D">
        <w:rPr>
          <w:rFonts w:cs="Arial"/>
        </w:rPr>
        <w:t>.</w:t>
      </w:r>
      <w:r w:rsidR="00037E27" w:rsidRPr="00B50802">
        <w:rPr>
          <w:rStyle w:val="FootnoteReference"/>
          <w:rFonts w:cs="Arial"/>
        </w:rPr>
        <w:footnoteReference w:id="83"/>
      </w:r>
    </w:p>
    <w:p w14:paraId="4C356743" w14:textId="77777777" w:rsidR="004538CC" w:rsidRPr="00B50802" w:rsidRDefault="004538CC">
      <w:pPr>
        <w:rPr>
          <w:rFonts w:cs="Arial"/>
        </w:rPr>
      </w:pPr>
      <w:r w:rsidRPr="00B50802">
        <w:rPr>
          <w:rFonts w:cs="Arial"/>
        </w:rPr>
        <w:br w:type="page"/>
      </w:r>
    </w:p>
    <w:p w14:paraId="2E14A9B8" w14:textId="56BF0B91" w:rsidR="002A75EA" w:rsidRPr="00B50802" w:rsidRDefault="00CA0540" w:rsidP="0072222A">
      <w:pPr>
        <w:rPr>
          <w:rFonts w:cs="Arial"/>
        </w:rPr>
      </w:pPr>
      <w:r w:rsidRPr="00B50802">
        <w:rPr>
          <w:rFonts w:cs="Arial"/>
        </w:rPr>
        <w:lastRenderedPageBreak/>
        <w:t>Other l</w:t>
      </w:r>
      <w:r w:rsidR="0072222A" w:rsidRPr="00B50802">
        <w:rPr>
          <w:rFonts w:cs="Arial"/>
        </w:rPr>
        <w:t>imitations to social housing and housing assistance that have been identified include:</w:t>
      </w:r>
    </w:p>
    <w:p w14:paraId="1EB5BAB7" w14:textId="77777777" w:rsidR="00597296" w:rsidRPr="00B50802" w:rsidRDefault="0072222A" w:rsidP="00F17FAF">
      <w:pPr>
        <w:pStyle w:val="ListParagraph"/>
        <w:numPr>
          <w:ilvl w:val="0"/>
          <w:numId w:val="15"/>
        </w:numPr>
        <w:contextualSpacing w:val="0"/>
      </w:pPr>
      <w:r w:rsidRPr="00B50802">
        <w:t xml:space="preserve">Utilisation - </w:t>
      </w:r>
      <w:r w:rsidR="002A75EA" w:rsidRPr="00B50802">
        <w:t>Although new social housing eases pressure on demand, many existing social dwellings are underutilised. Between 2017 and 2021, the proportion of underutilised dwellings was 17% for public housing,</w:t>
      </w:r>
      <w:r w:rsidR="002A75EA" w:rsidRPr="00B50802" w:rsidDel="00A64AFD">
        <w:t xml:space="preserve"> </w:t>
      </w:r>
      <w:r w:rsidR="002A75EA" w:rsidRPr="00B50802">
        <w:t>10</w:t>
      </w:r>
      <w:r w:rsidR="008F2453" w:rsidRPr="00B50802">
        <w:t>–</w:t>
      </w:r>
      <w:r w:rsidR="002A75EA" w:rsidRPr="00B50802">
        <w:t>11% for community housing and 26</w:t>
      </w:r>
      <w:r w:rsidR="008F2453" w:rsidRPr="00B50802">
        <w:t>–</w:t>
      </w:r>
      <w:r w:rsidR="002A75EA" w:rsidRPr="00B50802">
        <w:t>27% for SOMIH.</w:t>
      </w:r>
      <w:r w:rsidR="002A75EA" w:rsidRPr="00B50802">
        <w:rPr>
          <w:rStyle w:val="FootnoteReference"/>
        </w:rPr>
        <w:footnoteReference w:id="84"/>
      </w:r>
      <w:r w:rsidR="002A75EA" w:rsidRPr="00B50802">
        <w:t xml:space="preserve"> When households start to age and children leave home, there are often no smaller social dwellings available in the area for ‘down-sized’ households to move into.</w:t>
      </w:r>
      <w:r w:rsidR="002A75EA" w:rsidRPr="00B50802">
        <w:rPr>
          <w:rStyle w:val="FootnoteReference"/>
        </w:rPr>
        <w:footnoteReference w:id="85"/>
      </w:r>
    </w:p>
    <w:p w14:paraId="3CC8CB48" w14:textId="5F01C0C6" w:rsidR="0072222A" w:rsidRPr="00B50802" w:rsidRDefault="002A75EA" w:rsidP="00F17FAF">
      <w:pPr>
        <w:pStyle w:val="ListParagraph"/>
        <w:numPr>
          <w:ilvl w:val="1"/>
          <w:numId w:val="15"/>
        </w:numPr>
        <w:contextualSpacing w:val="0"/>
      </w:pPr>
      <w:r w:rsidRPr="00B50802">
        <w:t>At the same time, in 2021, around 4% of public housing dwellings and 4% of</w:t>
      </w:r>
      <w:r w:rsidR="007D14E5">
        <w:t> </w:t>
      </w:r>
      <w:r w:rsidRPr="00B50802">
        <w:t>community dwellings were assessed as overcrowded, while 25% of SOMIH households were living in overcrowded dwellings.</w:t>
      </w:r>
      <w:r w:rsidRPr="00B50802">
        <w:rPr>
          <w:rStyle w:val="FootnoteReference"/>
        </w:rPr>
        <w:footnoteReference w:id="86"/>
      </w:r>
      <w:r w:rsidRPr="00B50802">
        <w:t xml:space="preserve"> The issues of underutilisation and overcrowding can be described as ‘mismatches’ between social housing stock and tenants’ household composition, need and preferred location. </w:t>
      </w:r>
    </w:p>
    <w:p w14:paraId="7E2B69F6" w14:textId="661ED2A1" w:rsidR="00E86A95" w:rsidRPr="00B50802" w:rsidRDefault="0072222A" w:rsidP="00F17FAF">
      <w:pPr>
        <w:pStyle w:val="ListParagraph"/>
        <w:numPr>
          <w:ilvl w:val="0"/>
          <w:numId w:val="15"/>
        </w:numPr>
        <w:contextualSpacing w:val="0"/>
      </w:pPr>
      <w:r w:rsidRPr="00B50802">
        <w:t xml:space="preserve">Quality - </w:t>
      </w:r>
      <w:r w:rsidR="002A75EA" w:rsidRPr="00B50802">
        <w:t>Poor quality housing negatively impacts tenants</w:t>
      </w:r>
      <w:r w:rsidR="005B7E94" w:rsidRPr="00B50802">
        <w:t>’</w:t>
      </w:r>
      <w:r w:rsidR="002A75EA" w:rsidRPr="00B50802">
        <w:t xml:space="preserve"> health, safety and ability to</w:t>
      </w:r>
      <w:r w:rsidR="007D14E5">
        <w:t> </w:t>
      </w:r>
      <w:r w:rsidR="002A75EA" w:rsidRPr="00B50802">
        <w:t>participate in society</w:t>
      </w:r>
      <w:r w:rsidR="005B7E94" w:rsidRPr="00B50802">
        <w:t>.</w:t>
      </w:r>
      <w:r w:rsidR="002A75EA" w:rsidRPr="00B50802">
        <w:rPr>
          <w:rStyle w:val="FootnoteReference"/>
        </w:rPr>
        <w:footnoteReference w:id="87"/>
      </w:r>
      <w:r w:rsidR="002A75EA" w:rsidRPr="00B50802">
        <w:t xml:space="preserve"> </w:t>
      </w:r>
      <w:r w:rsidR="005B7E94" w:rsidRPr="00B50802">
        <w:t>H</w:t>
      </w:r>
      <w:r w:rsidR="002A75EA" w:rsidRPr="00B50802">
        <w:t>owever</w:t>
      </w:r>
      <w:r w:rsidR="005B7E94" w:rsidRPr="00B50802">
        <w:t>,</w:t>
      </w:r>
      <w:r w:rsidR="002A75EA" w:rsidRPr="00B50802">
        <w:t xml:space="preserve"> an increasing number of social housing tenants are living in dwellings </w:t>
      </w:r>
      <w:r w:rsidR="005B7E94" w:rsidRPr="00B50802">
        <w:t xml:space="preserve">that </w:t>
      </w:r>
      <w:r w:rsidR="002A75EA" w:rsidRPr="00B50802">
        <w:t>do not meet agreed minimum acceptable standards. According to the Productivity Commission</w:t>
      </w:r>
      <w:r w:rsidR="005B7E94" w:rsidRPr="00B50802">
        <w:t>,</w:t>
      </w:r>
      <w:r w:rsidR="002A75EA" w:rsidRPr="00B50802">
        <w:t xml:space="preserve"> </w:t>
      </w:r>
      <w:r w:rsidR="005B7E94" w:rsidRPr="00B50802">
        <w:t xml:space="preserve">most </w:t>
      </w:r>
      <w:r w:rsidR="002A75EA" w:rsidRPr="00B50802">
        <w:t>social housing tenants lived in</w:t>
      </w:r>
      <w:r w:rsidR="008C1F3B">
        <w:t> </w:t>
      </w:r>
      <w:r w:rsidR="002A75EA" w:rsidRPr="00B50802">
        <w:t xml:space="preserve">dwellings of an appropriate standard in 2021, </w:t>
      </w:r>
      <w:r w:rsidR="005B7E94" w:rsidRPr="00B50802">
        <w:t xml:space="preserve">but </w:t>
      </w:r>
      <w:r w:rsidR="002A75EA" w:rsidRPr="00B50802">
        <w:t>the proportions decreased 5</w:t>
      </w:r>
      <w:r w:rsidR="008C1F3B">
        <w:t> </w:t>
      </w:r>
      <w:r w:rsidR="002A75EA" w:rsidRPr="00B50802">
        <w:t>to</w:t>
      </w:r>
      <w:r w:rsidR="008C1F3B">
        <w:t> </w:t>
      </w:r>
      <w:r w:rsidR="002A75EA" w:rsidRPr="00B50802">
        <w:t>7</w:t>
      </w:r>
      <w:r w:rsidR="008C1F3B">
        <w:t> </w:t>
      </w:r>
      <w:r w:rsidR="002A75EA" w:rsidRPr="00B50802">
        <w:t>percentage points from 2014.</w:t>
      </w:r>
      <w:r w:rsidR="002A75EA" w:rsidRPr="00B50802">
        <w:rPr>
          <w:rStyle w:val="FootnoteReference"/>
        </w:rPr>
        <w:footnoteReference w:id="88"/>
      </w:r>
      <w:r w:rsidR="002A75EA" w:rsidRPr="00B50802">
        <w:t xml:space="preserve"> An appropriate standard of dwelling is defined as having working facilities for washing people, washing clothes/bedding, storing/preparing food and removing sewerage</w:t>
      </w:r>
      <w:r w:rsidR="005B7E94" w:rsidRPr="00B50802">
        <w:t>,</w:t>
      </w:r>
      <w:r w:rsidR="002A75EA" w:rsidRPr="00B50802">
        <w:t xml:space="preserve"> and not more than 2 major structural problems.</w:t>
      </w:r>
      <w:r w:rsidR="00403ACD" w:rsidRPr="00B50802">
        <w:rPr>
          <w:rStyle w:val="FootnoteReference"/>
        </w:rPr>
        <w:footnoteReference w:id="89"/>
      </w:r>
    </w:p>
    <w:p w14:paraId="3B48B67C" w14:textId="62E3024E" w:rsidR="004D7354" w:rsidRPr="00B50802" w:rsidRDefault="004D7354" w:rsidP="00F17FAF">
      <w:pPr>
        <w:pStyle w:val="ListParagraph"/>
        <w:numPr>
          <w:ilvl w:val="0"/>
          <w:numId w:val="15"/>
        </w:numPr>
        <w:contextualSpacing w:val="0"/>
      </w:pPr>
      <w:r w:rsidRPr="00B50802">
        <w:t>Financial support - Different levels of subsidy are available to households in social housing and those in the private rental market, notwithstanding similar socio</w:t>
      </w:r>
      <w:r w:rsidR="008C1F3B">
        <w:noBreakHyphen/>
      </w:r>
      <w:r w:rsidRPr="00B50802">
        <w:t>demographic status. The Productivity Commission has identified this issue and suggested a more direct financial assistance model for low-income households as an alternative to the current assistance model.</w:t>
      </w:r>
      <w:r w:rsidRPr="00B50802">
        <w:rPr>
          <w:rStyle w:val="FootnoteReference"/>
        </w:rPr>
        <w:footnoteReference w:id="90"/>
      </w:r>
      <w:r w:rsidRPr="00B50802">
        <w:t xml:space="preserve"> </w:t>
      </w:r>
    </w:p>
    <w:p w14:paraId="628CF648" w14:textId="77777777" w:rsidR="00403ACD" w:rsidRPr="00B50802" w:rsidRDefault="00403ACD" w:rsidP="00E86A95">
      <w:r w:rsidRPr="00B50802">
        <w:lastRenderedPageBreak/>
        <w:t xml:space="preserve"> </w:t>
      </w:r>
      <w:r w:rsidR="00E8234C" w:rsidRPr="00B50802">
        <w:rPr>
          <w:noProof/>
          <w:lang w:eastAsia="en-AU"/>
        </w:rPr>
        <w:drawing>
          <wp:inline distT="0" distB="0" distL="0" distR="0" wp14:anchorId="1A48607C" wp14:editId="49C2C437">
            <wp:extent cx="5639435" cy="1962150"/>
            <wp:effectExtent l="0" t="0" r="0" b="0"/>
            <wp:docPr id="233" name="Picture 233" descr="For public housing, 81.1 percent of respondents reported an acceptable standard in 2014 and 76.0 percent in 2021. For State-owned and managed Indigenous Housing it was 70.2 percent in 2014 and 63.7 percent in 2021. For community housing it was 88.4 percent in 2014 and 81.9 percent in 2021." title="Proportion of social housing respondents living in dwellings of an acceptable standard, by housing type, 2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9435" cy="1962150"/>
                    </a:xfrm>
                    <a:prstGeom prst="rect">
                      <a:avLst/>
                    </a:prstGeom>
                    <a:noFill/>
                  </pic:spPr>
                </pic:pic>
              </a:graphicData>
            </a:graphic>
          </wp:inline>
        </w:drawing>
      </w:r>
    </w:p>
    <w:p w14:paraId="54D101FF" w14:textId="4EB35C85" w:rsidR="002A75EA" w:rsidRPr="00B50802" w:rsidRDefault="002A75EA" w:rsidP="002A75EA">
      <w:pPr>
        <w:rPr>
          <w:rFonts w:cs="Arial"/>
        </w:rPr>
      </w:pPr>
      <w:r w:rsidRPr="00B50802">
        <w:rPr>
          <w:rFonts w:cs="Arial"/>
        </w:rPr>
        <w:t xml:space="preserve">Social housing providers not only struggle to reconfigure housing stock to meet current and future needs (including to meet accessibility standards) but also struggle to keep up with maintenance needs. </w:t>
      </w:r>
      <w:r w:rsidR="00B4119E" w:rsidRPr="00B50802">
        <w:rPr>
          <w:rFonts w:cs="Arial"/>
        </w:rPr>
        <w:t>In 2021, nearly 3 in 10 tenants said their home was not comfortable in</w:t>
      </w:r>
      <w:r w:rsidR="008C1F3B">
        <w:rPr>
          <w:rFonts w:cs="Arial"/>
        </w:rPr>
        <w:t> </w:t>
      </w:r>
      <w:r w:rsidR="00B4119E" w:rsidRPr="00B50802">
        <w:rPr>
          <w:rFonts w:cs="Arial"/>
        </w:rPr>
        <w:t>the heat or cold.</w:t>
      </w:r>
      <w:r w:rsidR="00B4119E" w:rsidRPr="00B50802">
        <w:rPr>
          <w:rStyle w:val="FootnoteReference"/>
          <w:rFonts w:cs="Arial"/>
        </w:rPr>
        <w:footnoteReference w:id="91"/>
      </w:r>
      <w:r w:rsidR="00B4119E" w:rsidRPr="00B50802">
        <w:rPr>
          <w:rFonts w:cs="Arial"/>
        </w:rPr>
        <w:t xml:space="preserve"> </w:t>
      </w:r>
      <w:r w:rsidRPr="00B50802">
        <w:rPr>
          <w:rFonts w:cs="Arial"/>
        </w:rPr>
        <w:t>Challenges with supply chains as a result of COVID-19 ha</w:t>
      </w:r>
      <w:r w:rsidR="005B775E" w:rsidRPr="00B50802">
        <w:rPr>
          <w:rFonts w:cs="Arial"/>
        </w:rPr>
        <w:t>ve</w:t>
      </w:r>
      <w:r w:rsidRPr="00B50802">
        <w:rPr>
          <w:rFonts w:cs="Arial"/>
        </w:rPr>
        <w:t xml:space="preserve"> contributed to higher costs and longer timeframes associated with construction, maintenance and repairs, particularly in regional and remote areas</w:t>
      </w:r>
      <w:r w:rsidR="005B775E" w:rsidRPr="00B50802">
        <w:rPr>
          <w:rFonts w:cs="Arial"/>
        </w:rPr>
        <w:t>.</w:t>
      </w:r>
      <w:r w:rsidRPr="00B50802">
        <w:rPr>
          <w:rStyle w:val="FootnoteReference"/>
          <w:rFonts w:cs="Arial"/>
        </w:rPr>
        <w:footnoteReference w:id="92"/>
      </w:r>
      <w:r w:rsidRPr="00B50802">
        <w:rPr>
          <w:rFonts w:cs="Arial"/>
        </w:rPr>
        <w:t xml:space="preserve"> </w:t>
      </w:r>
    </w:p>
    <w:p w14:paraId="7146654E" w14:textId="77777777" w:rsidR="002A75EA" w:rsidRPr="00B50802" w:rsidRDefault="00D80D75" w:rsidP="002A75EA">
      <w:pPr>
        <w:rPr>
          <w:rFonts w:cs="Arial"/>
        </w:rPr>
      </w:pPr>
      <w:r w:rsidRPr="00B50802">
        <w:rPr>
          <w:rFonts w:cs="Arial"/>
        </w:rPr>
        <w:t>Over time, the percentage of tenants satisfied with their social housing remained stable, from 74.4% in 2014 to 72.9% of tenants in 2021.</w:t>
      </w:r>
      <w:r w:rsidRPr="00B50802">
        <w:rPr>
          <w:rStyle w:val="FootnoteReference"/>
          <w:rFonts w:cs="Arial"/>
        </w:rPr>
        <w:footnoteReference w:id="93"/>
      </w:r>
    </w:p>
    <w:p w14:paraId="34A96117" w14:textId="50F89211" w:rsidR="002A75EA" w:rsidRPr="00B50802" w:rsidRDefault="005B775E" w:rsidP="002A75EA">
      <w:pPr>
        <w:rPr>
          <w:rFonts w:cs="Arial"/>
        </w:rPr>
      </w:pPr>
      <w:r w:rsidRPr="00B50802">
        <w:rPr>
          <w:rFonts w:cs="Arial"/>
        </w:rPr>
        <w:t>A</w:t>
      </w:r>
      <w:r w:rsidR="002A75EA" w:rsidRPr="00B50802">
        <w:rPr>
          <w:rFonts w:cs="Arial"/>
        </w:rPr>
        <w:t xml:space="preserve">round 5% to 10% of households have improved employment outcomes and income prospects while in social housing. </w:t>
      </w:r>
      <w:r w:rsidRPr="00B50802">
        <w:rPr>
          <w:rFonts w:cs="Arial"/>
        </w:rPr>
        <w:t>There are s</w:t>
      </w:r>
      <w:r w:rsidR="002A75EA" w:rsidRPr="00B50802">
        <w:rPr>
          <w:rFonts w:cs="Arial"/>
        </w:rPr>
        <w:t>ignificant barriers to exit pathways from social housing</w:t>
      </w:r>
      <w:r w:rsidRPr="00B50802">
        <w:rPr>
          <w:rFonts w:cs="Arial"/>
        </w:rPr>
        <w:t>,</w:t>
      </w:r>
      <w:r w:rsidR="002A75EA" w:rsidRPr="00B50802">
        <w:rPr>
          <w:rFonts w:cs="Arial"/>
        </w:rPr>
        <w:t xml:space="preserve"> reflect</w:t>
      </w:r>
      <w:r w:rsidRPr="00B50802">
        <w:rPr>
          <w:rFonts w:cs="Arial"/>
        </w:rPr>
        <w:t>ing</w:t>
      </w:r>
      <w:r w:rsidR="002A75EA" w:rsidRPr="00B50802">
        <w:rPr>
          <w:rFonts w:cs="Arial"/>
        </w:rPr>
        <w:t xml:space="preserve"> factors such as labour market insecurity</w:t>
      </w:r>
      <w:r w:rsidRPr="00B50802">
        <w:rPr>
          <w:rFonts w:cs="Arial"/>
        </w:rPr>
        <w:t xml:space="preserve"> </w:t>
      </w:r>
      <w:r w:rsidR="002A75EA" w:rsidRPr="00B50802">
        <w:rPr>
          <w:rFonts w:cs="Arial"/>
        </w:rPr>
        <w:t>(</w:t>
      </w:r>
      <w:r w:rsidRPr="00B50802">
        <w:rPr>
          <w:rFonts w:cs="Arial"/>
        </w:rPr>
        <w:t xml:space="preserve">for example, </w:t>
      </w:r>
      <w:r w:rsidR="002A75EA" w:rsidRPr="00B50802">
        <w:rPr>
          <w:rFonts w:cs="Arial"/>
        </w:rPr>
        <w:t xml:space="preserve">variable or fluctuating hours of employment), or the gaps in housing costs </w:t>
      </w:r>
      <w:r w:rsidR="00233E69" w:rsidRPr="00B50802">
        <w:rPr>
          <w:rFonts w:cs="Arial"/>
        </w:rPr>
        <w:t xml:space="preserve">and tenure security </w:t>
      </w:r>
      <w:r w:rsidR="002A75EA" w:rsidRPr="00B50802">
        <w:rPr>
          <w:rFonts w:cs="Arial"/>
        </w:rPr>
        <w:t xml:space="preserve">for people in social housing compared </w:t>
      </w:r>
      <w:r w:rsidRPr="00B50802">
        <w:rPr>
          <w:rFonts w:cs="Arial"/>
        </w:rPr>
        <w:t xml:space="preserve">with </w:t>
      </w:r>
      <w:r w:rsidR="002A75EA" w:rsidRPr="00B50802">
        <w:rPr>
          <w:rFonts w:cs="Arial"/>
        </w:rPr>
        <w:t xml:space="preserve">private rental sectors and </w:t>
      </w:r>
      <w:r w:rsidR="00457D1A" w:rsidRPr="00B50802">
        <w:rPr>
          <w:rFonts w:cs="Arial"/>
        </w:rPr>
        <w:t>a</w:t>
      </w:r>
      <w:r w:rsidR="00233E69" w:rsidRPr="00B50802">
        <w:rPr>
          <w:rFonts w:cs="Arial"/>
        </w:rPr>
        <w:t xml:space="preserve"> </w:t>
      </w:r>
      <w:r w:rsidR="002A75EA" w:rsidRPr="00B50802">
        <w:rPr>
          <w:rFonts w:cs="Arial"/>
        </w:rPr>
        <w:t>shortage of affordable private rental dwellings.</w:t>
      </w:r>
      <w:r w:rsidR="002A75EA" w:rsidRPr="00B50802">
        <w:rPr>
          <w:rStyle w:val="FootnoteReference"/>
          <w:rFonts w:cs="Arial"/>
        </w:rPr>
        <w:footnoteReference w:id="94"/>
      </w:r>
      <w:r w:rsidR="002A75EA" w:rsidRPr="00B50802">
        <w:rPr>
          <w:rFonts w:cs="Arial"/>
        </w:rPr>
        <w:t xml:space="preserve"> </w:t>
      </w:r>
    </w:p>
    <w:p w14:paraId="60FE7DA7" w14:textId="2C71EE52" w:rsidR="002A75EA" w:rsidRPr="00B50802" w:rsidRDefault="002A75EA" w:rsidP="002A75EA">
      <w:r w:rsidRPr="00B50802">
        <w:rPr>
          <w:rFonts w:cs="Arial"/>
        </w:rPr>
        <w:t xml:space="preserve">Exit pathways can also be impacted by an increase in the number of social housing tenants </w:t>
      </w:r>
      <w:r w:rsidR="005B775E" w:rsidRPr="00B50802">
        <w:rPr>
          <w:rFonts w:cs="Arial"/>
        </w:rPr>
        <w:t xml:space="preserve">with </w:t>
      </w:r>
      <w:r w:rsidRPr="00B50802">
        <w:rPr>
          <w:rFonts w:cs="Arial"/>
        </w:rPr>
        <w:t>complex needs who require increased levels of support over time</w:t>
      </w:r>
      <w:r w:rsidR="005B775E" w:rsidRPr="00B50802">
        <w:rPr>
          <w:rFonts w:cs="Arial"/>
        </w:rPr>
        <w:t>.</w:t>
      </w:r>
      <w:r w:rsidRPr="00B50802">
        <w:rPr>
          <w:rStyle w:val="FootnoteReference"/>
          <w:rFonts w:cs="Arial"/>
        </w:rPr>
        <w:footnoteReference w:id="95"/>
      </w:r>
      <w:r w:rsidRPr="00B50802">
        <w:rPr>
          <w:rFonts w:cs="Arial"/>
        </w:rPr>
        <w:t xml:space="preserve"> </w:t>
      </w:r>
      <w:r w:rsidR="00826EA6" w:rsidRPr="00B50802">
        <w:rPr>
          <w:rFonts w:cs="Arial"/>
        </w:rPr>
        <w:t>Exit pathways are also impacted by the ageing social housing tenant profile</w:t>
      </w:r>
      <w:r w:rsidR="00E65205" w:rsidRPr="00B50802">
        <w:rPr>
          <w:rFonts w:cs="Arial"/>
        </w:rPr>
        <w:t>, with those aged 65 years or older compris</w:t>
      </w:r>
      <w:r w:rsidR="00457D1A" w:rsidRPr="00B50802">
        <w:rPr>
          <w:rFonts w:cs="Arial"/>
        </w:rPr>
        <w:t>ing</w:t>
      </w:r>
      <w:r w:rsidR="00E65205" w:rsidRPr="00B50802">
        <w:rPr>
          <w:rFonts w:cs="Arial"/>
        </w:rPr>
        <w:t xml:space="preserve"> around 31</w:t>
      </w:r>
      <w:r w:rsidR="00764151" w:rsidRPr="00B75F7D">
        <w:rPr>
          <w:rFonts w:cs="Arial"/>
        </w:rPr>
        <w:t>%</w:t>
      </w:r>
      <w:r w:rsidR="00E65205" w:rsidRPr="00B50802">
        <w:rPr>
          <w:rFonts w:cs="Arial"/>
        </w:rPr>
        <w:t>of households in social housing as at June 2019, who typically have longer-term stable social housing tenancies compared to other cohorts</w:t>
      </w:r>
      <w:r w:rsidR="00B76C9B" w:rsidRPr="00B50802">
        <w:rPr>
          <w:rStyle w:val="FootnoteReference"/>
          <w:rFonts w:cs="Arial"/>
        </w:rPr>
        <w:footnoteReference w:id="96"/>
      </w:r>
      <w:r w:rsidR="00E65205" w:rsidRPr="00B50802">
        <w:rPr>
          <w:rFonts w:cs="Arial"/>
        </w:rPr>
        <w:t xml:space="preserve">. </w:t>
      </w:r>
    </w:p>
    <w:p w14:paraId="1E2768C1" w14:textId="4D2B6498" w:rsidR="00B0485B" w:rsidRPr="00B50802" w:rsidRDefault="002A75EA">
      <w:r w:rsidRPr="00B50802">
        <w:t xml:space="preserve">There are </w:t>
      </w:r>
      <w:r w:rsidR="00597296" w:rsidRPr="00B50802">
        <w:t>also reports of</w:t>
      </w:r>
      <w:r w:rsidR="005B775E" w:rsidRPr="00B50802">
        <w:t xml:space="preserve"> </w:t>
      </w:r>
      <w:r w:rsidRPr="00B50802">
        <w:t xml:space="preserve">negative perceptions of social housing </w:t>
      </w:r>
      <w:r w:rsidR="005B775E" w:rsidRPr="00B50802">
        <w:t xml:space="preserve">that </w:t>
      </w:r>
      <w:r w:rsidRPr="00B50802">
        <w:t>can impact securing community support for social housing projects</w:t>
      </w:r>
      <w:r w:rsidRPr="00B50802">
        <w:rPr>
          <w:rStyle w:val="FootnoteReference"/>
        </w:rPr>
        <w:footnoteReference w:id="97"/>
      </w:r>
      <w:r w:rsidRPr="00B50802">
        <w:t xml:space="preserve"> </w:t>
      </w:r>
    </w:p>
    <w:p w14:paraId="68EA7BF8" w14:textId="77777777" w:rsidR="00CB12CA" w:rsidRPr="00B50802" w:rsidRDefault="00CB12CA">
      <w:r w:rsidRPr="00B50802">
        <w:br w:type="page"/>
      </w:r>
    </w:p>
    <w:p w14:paraId="06A2BA5B" w14:textId="7FD92981" w:rsidR="002A75EA" w:rsidRPr="002C706F" w:rsidRDefault="002A75EA" w:rsidP="002A75EA">
      <w:r w:rsidRPr="00B50802">
        <w:lastRenderedPageBreak/>
        <w:t xml:space="preserve">Rent revenues received by social housing providers are low compared </w:t>
      </w:r>
      <w:r w:rsidR="00BE3AB0" w:rsidRPr="00B50802">
        <w:t xml:space="preserve">with </w:t>
      </w:r>
      <w:r w:rsidRPr="00B50802">
        <w:t xml:space="preserve">the costs </w:t>
      </w:r>
      <w:r w:rsidRPr="00B50802">
        <w:br/>
        <w:t xml:space="preserve">of building, maintaining and managing social housing. This results in a gap between </w:t>
      </w:r>
      <w:r w:rsidRPr="002C706F">
        <w:t xml:space="preserve">revenue and expenses for social housing organisations, referred to as the ‘subsidy-gap’. </w:t>
      </w:r>
      <w:r w:rsidR="004A4402" w:rsidRPr="002C706F">
        <w:t xml:space="preserve">Social housing </w:t>
      </w:r>
      <w:r w:rsidRPr="002C706F">
        <w:t xml:space="preserve">supply </w:t>
      </w:r>
      <w:r w:rsidR="004A4402" w:rsidRPr="002C706F">
        <w:t xml:space="preserve">usually </w:t>
      </w:r>
      <w:r w:rsidR="00BE3AB0" w:rsidRPr="002C706F">
        <w:t xml:space="preserve">depends </w:t>
      </w:r>
      <w:r w:rsidRPr="002C706F">
        <w:t xml:space="preserve">on </w:t>
      </w:r>
      <w:r w:rsidR="00E222B7" w:rsidRPr="002C706F">
        <w:t>multiple funding sources</w:t>
      </w:r>
      <w:r w:rsidRPr="002C706F">
        <w:t xml:space="preserve"> such as an up-front capital grant</w:t>
      </w:r>
      <w:r w:rsidR="00E222B7" w:rsidRPr="002C706F">
        <w:t xml:space="preserve">s, </w:t>
      </w:r>
      <w:r w:rsidRPr="002C706F">
        <w:t>private debt finance</w:t>
      </w:r>
      <w:r w:rsidR="00E222B7" w:rsidRPr="002C706F">
        <w:t xml:space="preserve"> </w:t>
      </w:r>
      <w:r w:rsidR="004A4402" w:rsidRPr="002C706F">
        <w:t xml:space="preserve">and </w:t>
      </w:r>
      <w:r w:rsidR="00E222B7" w:rsidRPr="002C706F">
        <w:t>private capital raised through National Housing Finance and Investment Corporation bond aggregator</w:t>
      </w:r>
      <w:r w:rsidRPr="002C706F">
        <w:t>.</w:t>
      </w:r>
      <w:r w:rsidRPr="002C706F">
        <w:rPr>
          <w:rStyle w:val="FootnoteReference"/>
        </w:rPr>
        <w:footnoteReference w:id="98"/>
      </w:r>
      <w:r w:rsidRPr="002C706F">
        <w:t xml:space="preserve"> </w:t>
      </w:r>
      <w:r w:rsidR="00457D1A" w:rsidRPr="002C706F">
        <w:t>The subsidy required for social housing is usually higher than for other types of</w:t>
      </w:r>
      <w:r w:rsidR="008C1F3B" w:rsidRPr="002C706F">
        <w:t> </w:t>
      </w:r>
      <w:r w:rsidR="00457D1A" w:rsidRPr="002C706F">
        <w:t xml:space="preserve">housing, making the delivery of social housing significantly more expensive for funders. </w:t>
      </w:r>
    </w:p>
    <w:p w14:paraId="2BD3DFB2" w14:textId="5C8D5F0B" w:rsidR="002A75EA" w:rsidRPr="00B50802" w:rsidRDefault="00457D1A" w:rsidP="002A75EA">
      <w:r w:rsidRPr="002C706F">
        <w:t>T</w:t>
      </w:r>
      <w:r w:rsidR="002A75EA" w:rsidRPr="002C706F">
        <w:t>he Housing Australia Future Fund</w:t>
      </w:r>
      <w:r w:rsidR="00FA5C9D" w:rsidRPr="002C706F">
        <w:t>,</w:t>
      </w:r>
      <w:r w:rsidR="001B0CF7" w:rsidRPr="002C706F">
        <w:t xml:space="preserve"> </w:t>
      </w:r>
      <w:r w:rsidR="002A75EA" w:rsidRPr="002C706F">
        <w:t xml:space="preserve">the </w:t>
      </w:r>
      <w:r w:rsidR="00BE3AB0" w:rsidRPr="002C706F">
        <w:t xml:space="preserve">National </w:t>
      </w:r>
      <w:r w:rsidR="002A75EA" w:rsidRPr="002C706F">
        <w:t>Housing</w:t>
      </w:r>
      <w:r w:rsidR="002A75EA" w:rsidRPr="00B50802">
        <w:t xml:space="preserve"> Accord </w:t>
      </w:r>
      <w:r w:rsidR="00FA5C9D" w:rsidRPr="00B50802">
        <w:t xml:space="preserve">and the Social Housing Accelerator </w:t>
      </w:r>
      <w:r w:rsidR="002A75EA" w:rsidRPr="00B50802">
        <w:t xml:space="preserve">will have a significant role </w:t>
      </w:r>
      <w:r w:rsidR="00BE3AB0" w:rsidRPr="00B50802">
        <w:t xml:space="preserve">in </w:t>
      </w:r>
      <w:r w:rsidR="002A75EA" w:rsidRPr="00B50802">
        <w:t xml:space="preserve">improving supply of social housing. </w:t>
      </w:r>
    </w:p>
    <w:p w14:paraId="7A3970B3" w14:textId="0BBEA559" w:rsidR="001340C7" w:rsidRPr="00B50802" w:rsidRDefault="002A75EA" w:rsidP="00B0485B">
      <w:r w:rsidRPr="00B50802">
        <w:t>Funding for social housing should flow through to the most effective and efficient providers of</w:t>
      </w:r>
      <w:r w:rsidR="008C1F3B">
        <w:t> </w:t>
      </w:r>
      <w:r w:rsidRPr="00B50802">
        <w:t xml:space="preserve">housing support, where housing outcomes can be optimised, and be focused on housing assets </w:t>
      </w:r>
      <w:r w:rsidR="00176EE1" w:rsidRPr="00B50802">
        <w:t xml:space="preserve">that </w:t>
      </w:r>
      <w:r w:rsidRPr="00B50802">
        <w:t>me</w:t>
      </w:r>
      <w:r w:rsidR="00176EE1" w:rsidRPr="00B50802">
        <w:t>e</w:t>
      </w:r>
      <w:r w:rsidRPr="00B50802">
        <w:t xml:space="preserve">t the current and future needs of social housing tenants. </w:t>
      </w:r>
    </w:p>
    <w:p w14:paraId="08A57658" w14:textId="77777777" w:rsidR="001340C7" w:rsidRPr="00B50802" w:rsidRDefault="003865C1" w:rsidP="001340C7">
      <w:pPr>
        <w:pStyle w:val="Bullet"/>
        <w:jc w:val="right"/>
        <w:rPr>
          <w:rFonts w:ascii="Arial" w:eastAsiaTheme="minorHAnsi" w:hAnsi="Arial" w:cs="Arial"/>
          <w:b/>
          <w:color w:val="005A70"/>
        </w:rPr>
      </w:pPr>
      <w:r w:rsidRPr="00B50802">
        <w:rPr>
          <w:rFonts w:ascii="Georgia" w:hAnsi="Georgia"/>
          <w:b/>
          <w:bCs/>
          <w:noProof/>
          <w:sz w:val="28"/>
          <w:szCs w:val="28"/>
        </w:rPr>
        <mc:AlternateContent>
          <mc:Choice Requires="wps">
            <w:drawing>
              <wp:anchor distT="0" distB="0" distL="114300" distR="114300" simplePos="0" relativeHeight="251658259" behindDoc="0" locked="0" layoutInCell="1" allowOverlap="1" wp14:anchorId="4DEC96D0" wp14:editId="4FEE47A9">
                <wp:simplePos x="0" y="0"/>
                <wp:positionH relativeFrom="margin">
                  <wp:posOffset>-79514</wp:posOffset>
                </wp:positionH>
                <wp:positionV relativeFrom="paragraph">
                  <wp:posOffset>6681</wp:posOffset>
                </wp:positionV>
                <wp:extent cx="5903843" cy="2722880"/>
                <wp:effectExtent l="0" t="0" r="20955" b="20320"/>
                <wp:wrapNone/>
                <wp:docPr id="150" name="Rectangle 150" descr="Decorative"/>
                <wp:cNvGraphicFramePr/>
                <a:graphic xmlns:a="http://schemas.openxmlformats.org/drawingml/2006/main">
                  <a:graphicData uri="http://schemas.microsoft.com/office/word/2010/wordprocessingShape">
                    <wps:wsp>
                      <wps:cNvSpPr/>
                      <wps:spPr>
                        <a:xfrm>
                          <a:off x="0" y="0"/>
                          <a:ext cx="5903843" cy="2722880"/>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50EA1" id="Rectangle 150" o:spid="_x0000_s1026" alt="Decorative" style="position:absolute;margin-left:-6.25pt;margin-top:.55pt;width:464.85pt;height:214.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" filled="f" strokecolor="#005a70" strokeweight="2pt">
                <w10:wrap anchorx="margin"/>
              </v:rect>
            </w:pict>
          </mc:Fallback>
        </mc:AlternateContent>
      </w:r>
      <w:r w:rsidRPr="00B50802">
        <w:rPr>
          <w:rStyle w:val="Strong"/>
          <w:rFonts w:ascii="Georgia" w:hAnsi="Georgia"/>
          <w:noProof/>
          <w:sz w:val="28"/>
          <w:szCs w:val="28"/>
        </w:rPr>
        <w:drawing>
          <wp:anchor distT="0" distB="0" distL="114300" distR="114300" simplePos="0" relativeHeight="251658291" behindDoc="0" locked="0" layoutInCell="1" allowOverlap="1" wp14:anchorId="48DBBB1F" wp14:editId="0340001B">
            <wp:simplePos x="0" y="0"/>
            <wp:positionH relativeFrom="margin">
              <wp:posOffset>42131</wp:posOffset>
            </wp:positionH>
            <wp:positionV relativeFrom="paragraph">
              <wp:posOffset>64135</wp:posOffset>
            </wp:positionV>
            <wp:extent cx="481330" cy="585470"/>
            <wp:effectExtent l="0" t="0" r="0" b="5080"/>
            <wp:wrapThrough wrapText="bothSides">
              <wp:wrapPolygon edited="0">
                <wp:start x="5129" y="0"/>
                <wp:lineTo x="0" y="6325"/>
                <wp:lineTo x="0" y="18273"/>
                <wp:lineTo x="1710" y="21085"/>
                <wp:lineTo x="20517" y="21085"/>
                <wp:lineTo x="20517" y="16868"/>
                <wp:lineTo x="17953" y="11245"/>
                <wp:lineTo x="9404" y="0"/>
                <wp:lineTo x="5129" y="0"/>
              </wp:wrapPolygon>
            </wp:wrapThrough>
            <wp:docPr id="149" name="Picture 1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1330" cy="585470"/>
                    </a:xfrm>
                    <a:prstGeom prst="rect">
                      <a:avLst/>
                    </a:prstGeom>
                    <a:noFill/>
                  </pic:spPr>
                </pic:pic>
              </a:graphicData>
            </a:graphic>
            <wp14:sizeRelH relativeFrom="page">
              <wp14:pctWidth>0</wp14:pctWidth>
            </wp14:sizeRelH>
            <wp14:sizeRelV relativeFrom="page">
              <wp14:pctHeight>0</wp14:pctHeight>
            </wp14:sizeRelV>
          </wp:anchor>
        </w:drawing>
      </w:r>
    </w:p>
    <w:p w14:paraId="4EB9D66D" w14:textId="77777777" w:rsidR="001340C7" w:rsidRPr="00B50802" w:rsidRDefault="001340C7" w:rsidP="001340C7">
      <w:pPr>
        <w:pStyle w:val="Bullet"/>
        <w:jc w:val="right"/>
        <w:rPr>
          <w:rFonts w:eastAsiaTheme="minorHAnsi" w:cs="Arial"/>
          <w:color w:val="005A70"/>
        </w:rPr>
      </w:pPr>
      <w:r w:rsidRPr="00B50802">
        <w:rPr>
          <w:rFonts w:ascii="Arial" w:eastAsiaTheme="minorHAnsi" w:hAnsi="Arial" w:cs="Arial"/>
          <w:b/>
          <w:color w:val="005A70"/>
        </w:rPr>
        <w:t>Case study – Queensland housing with support</w:t>
      </w:r>
    </w:p>
    <w:p w14:paraId="4A63DFE0" w14:textId="77777777" w:rsidR="001340C7" w:rsidRPr="00B50802" w:rsidRDefault="001340C7" w:rsidP="001340C7">
      <w:r w:rsidRPr="00B50802">
        <w:br/>
      </w:r>
      <w:r w:rsidRPr="00B50802">
        <w:br/>
        <w:t xml:space="preserve">The Queensland Government owns and manages a 20-unit public housing complex, where 8 tenants receive on-site support from a Specialist Homelessness Provider. This includes a mobile ‘connection’ hub where people can connect with others socially, online, through employment, or through community activities. </w:t>
      </w:r>
    </w:p>
    <w:p w14:paraId="74906AC4" w14:textId="77777777" w:rsidR="001340C7" w:rsidRPr="00B50802" w:rsidRDefault="001340C7" w:rsidP="0094095F">
      <w:pPr>
        <w:spacing w:after="240"/>
      </w:pPr>
      <w:r w:rsidRPr="00B50802">
        <w:t>As well as providing immediate assistance to ensure the wellbeing and safety of tenants (including tenants exiting hospital and those experiencing family, domestic and sexual violence), tenants are also provided with other referrals and supports, such as access to the NDIS. The mobile support has also helped tenants connect with their community, make friends with their neighbours, and become more active. The support at this complex ensures that tenants can live active and safe lives, build pride and esteem and feel valued.</w:t>
      </w:r>
    </w:p>
    <w:p w14:paraId="635CCB99" w14:textId="77777777" w:rsidR="00794F0A" w:rsidRPr="00B50802" w:rsidRDefault="00794F0A">
      <w:pPr>
        <w:rPr>
          <w:rStyle w:val="Strong"/>
          <w:rFonts w:ascii="Georgia" w:eastAsiaTheme="majorEastAsia" w:hAnsi="Georgia" w:cstheme="majorBidi"/>
          <w:sz w:val="28"/>
          <w:szCs w:val="28"/>
        </w:rPr>
      </w:pPr>
      <w:bookmarkStart w:id="1672" w:name="_Toc134784711"/>
      <w:bookmarkStart w:id="1673" w:name="_Toc135035230"/>
      <w:bookmarkStart w:id="1674" w:name="_Toc135060907"/>
      <w:r w:rsidRPr="00B50802">
        <w:rPr>
          <w:rStyle w:val="Strong"/>
          <w:b w:val="0"/>
          <w:bCs w:val="0"/>
        </w:rPr>
        <w:br w:type="page"/>
      </w:r>
    </w:p>
    <w:p w14:paraId="79FBAA15" w14:textId="77777777" w:rsidR="002A75EA" w:rsidRPr="009274D8" w:rsidRDefault="002A75EA" w:rsidP="009274D8">
      <w:pPr>
        <w:rPr>
          <w:rFonts w:ascii="Georgia" w:eastAsia="Times New Roman" w:hAnsi="Georgia" w:cs="Calibri"/>
          <w:b/>
          <w:sz w:val="28"/>
          <w:szCs w:val="24"/>
          <w:lang w:eastAsia="en-AU"/>
        </w:rPr>
      </w:pPr>
      <w:bookmarkStart w:id="1675" w:name="_Toc135161379"/>
      <w:bookmarkStart w:id="1676" w:name="_Toc135162325"/>
      <w:bookmarkStart w:id="1677" w:name="_Toc135162499"/>
      <w:bookmarkStart w:id="1678" w:name="_Toc135206078"/>
      <w:bookmarkStart w:id="1679" w:name="_Toc135206163"/>
      <w:bookmarkStart w:id="1680" w:name="_Toc139464321"/>
      <w:bookmarkStart w:id="1681" w:name="_Toc141969856"/>
      <w:bookmarkStart w:id="1682" w:name="_Toc141972479"/>
      <w:bookmarkStart w:id="1683" w:name="_Toc141972692"/>
      <w:bookmarkStart w:id="1684" w:name="_Toc141972966"/>
      <w:bookmarkStart w:id="1685" w:name="_Toc142042526"/>
      <w:bookmarkStart w:id="1686" w:name="_Toc142042735"/>
      <w:r w:rsidRPr="009274D8">
        <w:rPr>
          <w:rFonts w:ascii="Georgia" w:eastAsia="Times New Roman" w:hAnsi="Georgia" w:cs="Calibri"/>
          <w:b/>
          <w:sz w:val="28"/>
          <w:szCs w:val="24"/>
          <w:lang w:eastAsia="en-AU"/>
        </w:rPr>
        <w:lastRenderedPageBreak/>
        <w:t>The role of community housing</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9274D8">
        <w:rPr>
          <w:rFonts w:ascii="Georgia" w:eastAsia="Times New Roman" w:hAnsi="Georgia" w:cs="Calibri"/>
          <w:b/>
          <w:sz w:val="28"/>
          <w:szCs w:val="24"/>
          <w:lang w:eastAsia="en-AU"/>
        </w:rPr>
        <w:t xml:space="preserve"> </w:t>
      </w:r>
    </w:p>
    <w:p w14:paraId="46B8F159" w14:textId="77777777" w:rsidR="002A75EA" w:rsidRPr="00B50802" w:rsidRDefault="002A75EA" w:rsidP="002A75EA">
      <w:pPr>
        <w:keepNext/>
        <w:rPr>
          <w:rFonts w:cs="Arial"/>
        </w:rPr>
      </w:pPr>
      <w:r w:rsidRPr="00B50802">
        <w:rPr>
          <w:rFonts w:cs="Arial"/>
        </w:rPr>
        <w:t>Community housing is social housing managed and delivered by not-for-profit organisations.</w:t>
      </w:r>
    </w:p>
    <w:p w14:paraId="400FB7C7" w14:textId="77777777" w:rsidR="0094095F" w:rsidRPr="00B50802" w:rsidRDefault="002A75EA">
      <w:pPr>
        <w:rPr>
          <w:rFonts w:cs="Arial"/>
        </w:rPr>
      </w:pPr>
      <w:r w:rsidRPr="00B50802">
        <w:rPr>
          <w:rFonts w:cs="Arial"/>
        </w:rPr>
        <w:t xml:space="preserve">There are </w:t>
      </w:r>
      <w:r w:rsidR="00A40694" w:rsidRPr="00B50802">
        <w:rPr>
          <w:rFonts w:cs="Arial"/>
        </w:rPr>
        <w:t xml:space="preserve">more than </w:t>
      </w:r>
      <w:r w:rsidRPr="00B50802">
        <w:rPr>
          <w:rFonts w:cs="Arial"/>
        </w:rPr>
        <w:t xml:space="preserve">500 community housing providers across Australia, with </w:t>
      </w:r>
      <w:r w:rsidR="00A40694" w:rsidRPr="00B50802">
        <w:rPr>
          <w:rFonts w:cs="Arial"/>
        </w:rPr>
        <w:t xml:space="preserve">most </w:t>
      </w:r>
      <w:r w:rsidRPr="00B50802">
        <w:rPr>
          <w:rFonts w:cs="Arial"/>
        </w:rPr>
        <w:t>managing less than 50 dwellings</w:t>
      </w:r>
      <w:r w:rsidR="00A40694" w:rsidRPr="00B50802">
        <w:rPr>
          <w:rFonts w:cs="Arial"/>
        </w:rPr>
        <w:t>.</w:t>
      </w:r>
      <w:r w:rsidRPr="00B50802">
        <w:rPr>
          <w:rStyle w:val="FootnoteReference"/>
          <w:rFonts w:cs="Arial"/>
        </w:rPr>
        <w:footnoteReference w:id="99"/>
      </w:r>
      <w:r w:rsidRPr="00B50802">
        <w:rPr>
          <w:rFonts w:cs="Arial"/>
        </w:rPr>
        <w:t xml:space="preserve"> The community housing sector varies in size and structure in each state. Some states have provided significant support to develop their community housing sectors. </w:t>
      </w:r>
    </w:p>
    <w:p w14:paraId="360A1BF8" w14:textId="379DCB56" w:rsidR="002A75EA" w:rsidRPr="00B50802" w:rsidRDefault="002A75EA" w:rsidP="00A40694">
      <w:r w:rsidRPr="00B50802">
        <w:rPr>
          <w:rFonts w:cs="Arial"/>
        </w:rPr>
        <w:t xml:space="preserve">Community Housing Providers (CHPs) have the advantage of being able to bring together funding from government, the private sector and the philanthropic sector. Providers can leverage this funding to achieve additional scale for their social housing supply. </w:t>
      </w:r>
      <w:r w:rsidR="00A40694" w:rsidRPr="00B50802">
        <w:t xml:space="preserve">They can </w:t>
      </w:r>
      <w:r w:rsidRPr="00B50802">
        <w:t>develop broader and more diverse business models</w:t>
      </w:r>
      <w:r w:rsidR="00A40694" w:rsidRPr="00B50802">
        <w:t>,</w:t>
      </w:r>
      <w:r w:rsidRPr="00B50802">
        <w:t xml:space="preserve"> which </w:t>
      </w:r>
      <w:r w:rsidR="00A40694" w:rsidRPr="00B50802">
        <w:t xml:space="preserve">gives </w:t>
      </w:r>
      <w:r w:rsidRPr="00B50802">
        <w:t>tenants a choice of social and affordable housing and can be more responsive to tenant needs. Providers often also provide or coordinate further housing and social service supports (wrap</w:t>
      </w:r>
      <w:r w:rsidR="00293364" w:rsidRPr="00B50802">
        <w:t>-</w:t>
      </w:r>
      <w:r w:rsidRPr="00B50802">
        <w:t>around services) for tenants.</w:t>
      </w:r>
    </w:p>
    <w:p w14:paraId="3CDFC84B" w14:textId="7102F75D" w:rsidR="002A75EA" w:rsidRPr="00B50802" w:rsidRDefault="005E594C" w:rsidP="002A75EA">
      <w:pPr>
        <w:rPr>
          <w:rFonts w:cs="Arial"/>
        </w:rPr>
      </w:pPr>
      <w:r w:rsidRPr="00B50802">
        <w:rPr>
          <w:rFonts w:cs="Arial"/>
        </w:rPr>
        <w:t>Against these advantages</w:t>
      </w:r>
      <w:r w:rsidR="002A75EA" w:rsidRPr="00B50802">
        <w:rPr>
          <w:rFonts w:cs="Arial"/>
        </w:rPr>
        <w:t>:</w:t>
      </w:r>
    </w:p>
    <w:p w14:paraId="7013BEDC" w14:textId="77777777" w:rsidR="002A75EA" w:rsidRPr="00B50802" w:rsidRDefault="002A75EA" w:rsidP="00CF65E3">
      <w:pPr>
        <w:pStyle w:val="Bullets"/>
        <w:numPr>
          <w:ilvl w:val="0"/>
          <w:numId w:val="38"/>
        </w:numPr>
        <w:ind w:left="709"/>
      </w:pPr>
      <w:r w:rsidRPr="00B50802">
        <w:t xml:space="preserve">community housing sector growth </w:t>
      </w:r>
      <w:r w:rsidR="00EE3A0E" w:rsidRPr="00B50802">
        <w:t xml:space="preserve">depends </w:t>
      </w:r>
      <w:r w:rsidRPr="00B50802">
        <w:t>on long-term sustainable and reliable capital and operational subsidy streams</w:t>
      </w:r>
    </w:p>
    <w:p w14:paraId="408DE10D" w14:textId="1AA1EE3E" w:rsidR="002A75EA" w:rsidRPr="00B50802" w:rsidRDefault="005E594C" w:rsidP="00CF65E3">
      <w:pPr>
        <w:pStyle w:val="Bullets"/>
        <w:numPr>
          <w:ilvl w:val="0"/>
          <w:numId w:val="38"/>
        </w:numPr>
        <w:ind w:left="709"/>
      </w:pPr>
      <w:r w:rsidRPr="00B50802">
        <w:t xml:space="preserve">community housing </w:t>
      </w:r>
      <w:r w:rsidR="002A75EA" w:rsidRPr="00B50802">
        <w:t xml:space="preserve">providers </w:t>
      </w:r>
      <w:r w:rsidR="00EE3A0E" w:rsidRPr="00B50802">
        <w:t xml:space="preserve">need to </w:t>
      </w:r>
      <w:r w:rsidR="002A75EA" w:rsidRPr="00B50802">
        <w:t xml:space="preserve">balance competing social and economic objectives through their deployment of surplus funds into social and affordable housing </w:t>
      </w:r>
    </w:p>
    <w:p w14:paraId="1DFF958D" w14:textId="77777777" w:rsidR="002A75EA" w:rsidRPr="00B50802" w:rsidRDefault="002A75EA" w:rsidP="00CF65E3">
      <w:pPr>
        <w:pStyle w:val="Bullets"/>
        <w:numPr>
          <w:ilvl w:val="0"/>
          <w:numId w:val="38"/>
        </w:numPr>
        <w:ind w:left="709"/>
      </w:pPr>
      <w:r w:rsidRPr="00B50802">
        <w:t xml:space="preserve">transfers of public housing to the community housing sector require appropriate regulatory oversight to protect outcomes for tenants and ensure appropriate asset and financial outcomes for government. </w:t>
      </w:r>
    </w:p>
    <w:p w14:paraId="7119164A" w14:textId="77777777" w:rsidR="002A75EA" w:rsidRPr="00B50802" w:rsidRDefault="002A75EA" w:rsidP="002A75EA">
      <w:pPr>
        <w:rPr>
          <w:rFonts w:cs="Arial"/>
        </w:rPr>
      </w:pPr>
      <w:r w:rsidRPr="00B50802">
        <w:rPr>
          <w:rFonts w:cs="Arial"/>
        </w:rPr>
        <w:t>The community housing sector now represents around 25</w:t>
      </w:r>
      <w:r w:rsidR="00763AD0" w:rsidRPr="00B50802">
        <w:rPr>
          <w:rFonts w:cs="Arial"/>
        </w:rPr>
        <w:t>.4</w:t>
      </w:r>
      <w:r w:rsidRPr="00B50802">
        <w:rPr>
          <w:rFonts w:cs="Arial"/>
        </w:rPr>
        <w:t xml:space="preserve">% of total social housing </w:t>
      </w:r>
      <w:r w:rsidRPr="00B50802">
        <w:rPr>
          <w:rFonts w:cs="Arial"/>
          <w:bCs/>
        </w:rPr>
        <w:br/>
      </w:r>
      <w:r w:rsidRPr="00B50802">
        <w:rPr>
          <w:rFonts w:cs="Arial"/>
        </w:rPr>
        <w:t xml:space="preserve">in Australia, up from </w:t>
      </w:r>
      <w:r w:rsidR="00763AD0" w:rsidRPr="00B50802">
        <w:rPr>
          <w:rFonts w:cs="Arial"/>
        </w:rPr>
        <w:t>19.1</w:t>
      </w:r>
      <w:r w:rsidRPr="00B50802">
        <w:rPr>
          <w:rFonts w:cs="Arial"/>
        </w:rPr>
        <w:t xml:space="preserve">% </w:t>
      </w:r>
      <w:r w:rsidR="00E7099E" w:rsidRPr="00B50802">
        <w:rPr>
          <w:rFonts w:cs="Arial"/>
        </w:rPr>
        <w:t>from 5</w:t>
      </w:r>
      <w:r w:rsidRPr="00B50802">
        <w:rPr>
          <w:rFonts w:cs="Arial"/>
        </w:rPr>
        <w:t xml:space="preserve"> years ago, and up from </w:t>
      </w:r>
      <w:r w:rsidR="00763AD0" w:rsidRPr="00B50802">
        <w:rPr>
          <w:rFonts w:cs="Arial"/>
        </w:rPr>
        <w:t>16.0</w:t>
      </w:r>
      <w:r w:rsidRPr="00B50802">
        <w:rPr>
          <w:rFonts w:cs="Arial"/>
        </w:rPr>
        <w:t xml:space="preserve">% </w:t>
      </w:r>
      <w:r w:rsidR="00763AD0" w:rsidRPr="00B50802">
        <w:rPr>
          <w:rFonts w:cs="Arial"/>
        </w:rPr>
        <w:t>in 2013</w:t>
      </w:r>
      <w:r w:rsidR="00E7099E" w:rsidRPr="00B50802">
        <w:rPr>
          <w:rFonts w:cs="Arial"/>
        </w:rPr>
        <w:t>.</w:t>
      </w:r>
      <w:r w:rsidRPr="00B50802">
        <w:rPr>
          <w:rStyle w:val="FootnoteReference"/>
          <w:rFonts w:cs="Arial"/>
        </w:rPr>
        <w:footnoteReference w:id="100"/>
      </w:r>
      <w:r w:rsidRPr="00B50802">
        <w:rPr>
          <w:rFonts w:cs="Arial"/>
        </w:rPr>
        <w:t xml:space="preserve"> At June 2022, the community housing sector had 111,681 dwellings, compared </w:t>
      </w:r>
      <w:r w:rsidR="00E7099E" w:rsidRPr="00B50802">
        <w:rPr>
          <w:rFonts w:cs="Arial"/>
        </w:rPr>
        <w:t xml:space="preserve">with </w:t>
      </w:r>
      <w:r w:rsidRPr="00B50802">
        <w:rPr>
          <w:rFonts w:cs="Arial"/>
        </w:rPr>
        <w:t>67,385 dwellings as at June 2013</w:t>
      </w:r>
      <w:r w:rsidR="00E7099E" w:rsidRPr="00B50802">
        <w:rPr>
          <w:rFonts w:cs="Arial"/>
        </w:rPr>
        <w:t xml:space="preserve"> – </w:t>
      </w:r>
      <w:r w:rsidRPr="00B50802">
        <w:rPr>
          <w:rFonts w:cs="Arial"/>
        </w:rPr>
        <w:t>a growth of 44,296 dwellings. Across the same period, public housing decreased by 30,740 dwellings from 328,340 to 297,600 dwellings</w:t>
      </w:r>
      <w:r w:rsidR="00E7099E" w:rsidRPr="00B50802">
        <w:rPr>
          <w:rFonts w:cs="Arial"/>
        </w:rPr>
        <w:t>.</w:t>
      </w:r>
      <w:r w:rsidRPr="00B50802">
        <w:rPr>
          <w:rStyle w:val="FootnoteReference"/>
          <w:rFonts w:cs="Arial"/>
        </w:rPr>
        <w:footnoteReference w:id="101"/>
      </w:r>
      <w:r w:rsidRPr="00B50802">
        <w:rPr>
          <w:rFonts w:cs="Arial"/>
        </w:rPr>
        <w:t xml:space="preserve"> </w:t>
      </w:r>
    </w:p>
    <w:p w14:paraId="41058BEE" w14:textId="1169577A" w:rsidR="00CB12CA" w:rsidRPr="00B50802" w:rsidRDefault="002A75EA">
      <w:pPr>
        <w:rPr>
          <w:rFonts w:cs="Arial"/>
        </w:rPr>
      </w:pPr>
      <w:r w:rsidRPr="00B50802">
        <w:rPr>
          <w:rFonts w:cs="Arial"/>
        </w:rPr>
        <w:t>Around half of the growth in community housing can be attributed to stock transfers, with 21,118 dwellings transferred from public housing to community housing between 2017 and 2021.</w:t>
      </w:r>
      <w:r w:rsidRPr="00B50802">
        <w:rPr>
          <w:rStyle w:val="FootnoteReference"/>
          <w:rFonts w:cs="Arial"/>
        </w:rPr>
        <w:footnoteReference w:id="102"/>
      </w:r>
      <w:r w:rsidRPr="00B50802">
        <w:rPr>
          <w:rFonts w:cs="Arial"/>
        </w:rPr>
        <w:t xml:space="preserve"> Benefits of stock transfers to the community housing sector broadly include capacity and capability building, access to increased revenue streams via Commonwealth Rent Assistance and leveraging additional private investment (for services and/or additional housing assets)</w:t>
      </w:r>
      <w:r w:rsidR="00A17C7B" w:rsidRPr="00B50802">
        <w:rPr>
          <w:rFonts w:cs="Arial"/>
        </w:rPr>
        <w:t>.</w:t>
      </w:r>
      <w:r w:rsidRPr="00B50802">
        <w:rPr>
          <w:rStyle w:val="FootnoteReference"/>
          <w:rFonts w:cs="Arial"/>
        </w:rPr>
        <w:footnoteReference w:id="103"/>
      </w:r>
      <w:r w:rsidRPr="00B50802">
        <w:rPr>
          <w:rFonts w:cs="Arial"/>
        </w:rPr>
        <w:t xml:space="preserve"> </w:t>
      </w:r>
    </w:p>
    <w:p w14:paraId="0CD6082C" w14:textId="77777777" w:rsidR="002A75EA" w:rsidRPr="00B50802" w:rsidRDefault="002A75EA" w:rsidP="002A75EA">
      <w:pPr>
        <w:rPr>
          <w:rFonts w:cs="Arial"/>
        </w:rPr>
      </w:pPr>
      <w:r w:rsidRPr="00B50802">
        <w:rPr>
          <w:rFonts w:cs="Arial"/>
        </w:rPr>
        <w:lastRenderedPageBreak/>
        <w:t xml:space="preserve">The National Regulatory System for Community Housing (NRSCH) </w:t>
      </w:r>
      <w:r w:rsidR="00A17C7B" w:rsidRPr="00B50802">
        <w:rPr>
          <w:rFonts w:cs="Arial"/>
        </w:rPr>
        <w:t xml:space="preserve">regulates </w:t>
      </w:r>
      <w:r w:rsidRPr="00B50802">
        <w:rPr>
          <w:rFonts w:cs="Arial"/>
        </w:rPr>
        <w:t>community housing providers across all states, except Victoria and Western Australia, which have their own regulatory systems aligned with the NRSCH. Community housing providers under the NRSCH are registered under one of three tiers (tier 1, tier 2 or tier 3), reflect</w:t>
      </w:r>
      <w:r w:rsidR="002F1B0A" w:rsidRPr="00B50802">
        <w:rPr>
          <w:rFonts w:cs="Arial"/>
        </w:rPr>
        <w:t>ing</w:t>
      </w:r>
      <w:r w:rsidRPr="00B50802">
        <w:rPr>
          <w:rFonts w:cs="Arial"/>
        </w:rPr>
        <w:t xml:space="preserve"> the nature, scale and scope of different operations.</w:t>
      </w:r>
      <w:r w:rsidRPr="00B50802">
        <w:rPr>
          <w:rStyle w:val="FootnoteReference"/>
          <w:rFonts w:cs="Arial"/>
        </w:rPr>
        <w:footnoteReference w:id="104"/>
      </w:r>
      <w:r w:rsidRPr="00B50802">
        <w:rPr>
          <w:rFonts w:cs="Arial"/>
        </w:rPr>
        <w:t xml:space="preserve"> The National Regulatory Code within the NRSCH sets out performance requirements under </w:t>
      </w:r>
      <w:r w:rsidR="002F1B0A" w:rsidRPr="00B50802">
        <w:rPr>
          <w:rFonts w:cs="Arial"/>
        </w:rPr>
        <w:t xml:space="preserve">7 </w:t>
      </w:r>
      <w:r w:rsidRPr="00B50802">
        <w:rPr>
          <w:rFonts w:cs="Arial"/>
        </w:rPr>
        <w:t>areas</w:t>
      </w:r>
      <w:r w:rsidR="002F1B0A" w:rsidRPr="00B50802">
        <w:rPr>
          <w:rFonts w:cs="Arial"/>
        </w:rPr>
        <w:t>, which</w:t>
      </w:r>
      <w:r w:rsidRPr="00B50802">
        <w:rPr>
          <w:rFonts w:cs="Arial"/>
        </w:rPr>
        <w:t xml:space="preserve"> registered community housing providers must comply with. These </w:t>
      </w:r>
      <w:r w:rsidR="002F1B0A" w:rsidRPr="00B50802">
        <w:rPr>
          <w:rFonts w:cs="Arial"/>
        </w:rPr>
        <w:t xml:space="preserve">areas </w:t>
      </w:r>
      <w:r w:rsidRPr="00B50802">
        <w:rPr>
          <w:rFonts w:cs="Arial"/>
        </w:rPr>
        <w:t>include tenant and housing services, housing assets, community engagement, governance, probity, management and financial viability</w:t>
      </w:r>
      <w:r w:rsidR="002F1B0A" w:rsidRPr="00B50802">
        <w:rPr>
          <w:rFonts w:cs="Arial"/>
        </w:rPr>
        <w:t>.</w:t>
      </w:r>
      <w:r w:rsidRPr="00B50802">
        <w:rPr>
          <w:rStyle w:val="FootnoteReference"/>
          <w:rFonts w:cs="Arial"/>
        </w:rPr>
        <w:footnoteReference w:id="105"/>
      </w:r>
      <w:r w:rsidRPr="00B50802">
        <w:rPr>
          <w:rFonts w:cs="Arial"/>
        </w:rPr>
        <w:t xml:space="preserve"> </w:t>
      </w:r>
    </w:p>
    <w:p w14:paraId="0A044A3E" w14:textId="77777777" w:rsidR="002A75EA" w:rsidRPr="00B50802" w:rsidRDefault="002A75EA" w:rsidP="002A75EA">
      <w:pPr>
        <w:rPr>
          <w:rFonts w:cs="Arial"/>
        </w:rPr>
      </w:pPr>
      <w:r w:rsidRPr="00B50802">
        <w:rPr>
          <w:rFonts w:cs="Arial"/>
        </w:rPr>
        <w:t>Community housing providers use a range of service and business models to deliver housing solutions and often engage in joint ventures with government, private industry and the philanthropic sector. Some models focus on creating a mix of private, affordable housing as well as social housing, and include community infrastructure and facilities.</w:t>
      </w:r>
      <w:r w:rsidRPr="00B50802">
        <w:rPr>
          <w:rStyle w:val="FootnoteReference"/>
          <w:rFonts w:cs="Arial"/>
        </w:rPr>
        <w:footnoteReference w:id="106"/>
      </w:r>
      <w:r w:rsidRPr="00B50802">
        <w:rPr>
          <w:rFonts w:cs="Arial"/>
        </w:rPr>
        <w:t xml:space="preserve"> </w:t>
      </w:r>
    </w:p>
    <w:p w14:paraId="61A0E039" w14:textId="2D9E5C68" w:rsidR="002A75EA" w:rsidRPr="00B50802" w:rsidRDefault="002A75EA" w:rsidP="002A75EA">
      <w:pPr>
        <w:rPr>
          <w:rFonts w:cs="Arial"/>
        </w:rPr>
      </w:pPr>
      <w:r w:rsidRPr="00B50802">
        <w:rPr>
          <w:rFonts w:cs="Arial"/>
        </w:rPr>
        <w:t xml:space="preserve">While the community housing sector has undergone significant growth in recent years, data for community housing has gaps and inconsistencies, presenting issues in </w:t>
      </w:r>
      <w:r w:rsidR="00067606" w:rsidRPr="00B50802">
        <w:rPr>
          <w:rFonts w:cs="Arial"/>
        </w:rPr>
        <w:t xml:space="preserve">developing </w:t>
      </w:r>
      <w:r w:rsidRPr="00B50802">
        <w:rPr>
          <w:rFonts w:cs="Arial"/>
        </w:rPr>
        <w:t xml:space="preserve">and monitoring evidence-informed housing policies and programs. Some areas </w:t>
      </w:r>
      <w:r w:rsidR="00067606" w:rsidRPr="00B50802">
        <w:rPr>
          <w:rFonts w:cs="Arial"/>
        </w:rPr>
        <w:t xml:space="preserve">of </w:t>
      </w:r>
      <w:r w:rsidRPr="00B50802">
        <w:rPr>
          <w:rFonts w:cs="Arial"/>
        </w:rPr>
        <w:t xml:space="preserve">data gaps or no data include government expenditure and waitlist and register characteristics. </w:t>
      </w:r>
    </w:p>
    <w:p w14:paraId="3ED7AE81" w14:textId="5998DA48" w:rsidR="00201BC7" w:rsidRPr="00B50802" w:rsidRDefault="005E594C" w:rsidP="00201BC7">
      <w:pPr>
        <w:rPr>
          <w:rFonts w:cs="Arial"/>
        </w:rPr>
      </w:pPr>
      <w:r w:rsidRPr="00B50802">
        <w:t>Although states are</w:t>
      </w:r>
      <w:r w:rsidR="00200F04">
        <w:t xml:space="preserve"> primarily</w:t>
      </w:r>
      <w:r w:rsidRPr="00B50802">
        <w:t xml:space="preserve"> responsible for providing and maintaining social housing assets, </w:t>
      </w:r>
      <w:r w:rsidRPr="00B50802">
        <w:rPr>
          <w:rFonts w:cs="Arial"/>
        </w:rPr>
        <w:t xml:space="preserve">all </w:t>
      </w:r>
      <w:r w:rsidR="002A75EA" w:rsidRPr="00B50802">
        <w:rPr>
          <w:rFonts w:cs="Arial"/>
        </w:rPr>
        <w:t xml:space="preserve">governments acknowledge the importance of social housing and are working together to increase the supply of social housing. </w:t>
      </w:r>
      <w:r w:rsidR="00067606" w:rsidRPr="00B50802">
        <w:rPr>
          <w:rFonts w:cs="Arial"/>
        </w:rPr>
        <w:t xml:space="preserve">Several </w:t>
      </w:r>
      <w:r w:rsidR="002A75EA" w:rsidRPr="00B50802">
        <w:rPr>
          <w:rFonts w:cs="Arial"/>
        </w:rPr>
        <w:t xml:space="preserve">Australian Government initiatives </w:t>
      </w:r>
      <w:r w:rsidR="00067606" w:rsidRPr="00B50802">
        <w:rPr>
          <w:rFonts w:cs="Arial"/>
        </w:rPr>
        <w:t xml:space="preserve">are </w:t>
      </w:r>
      <w:r w:rsidR="002A75EA" w:rsidRPr="00B50802">
        <w:rPr>
          <w:rFonts w:cs="Arial"/>
        </w:rPr>
        <w:t>aimed at social and affordable housing to be delivered and managed by the community housing sector</w:t>
      </w:r>
      <w:r w:rsidR="00763AD0" w:rsidRPr="00B50802">
        <w:rPr>
          <w:rFonts w:cs="Arial"/>
        </w:rPr>
        <w:t>, along with states and territories</w:t>
      </w:r>
      <w:r w:rsidR="00067606" w:rsidRPr="00B50802">
        <w:rPr>
          <w:rFonts w:cs="Arial"/>
        </w:rPr>
        <w:t xml:space="preserve">. See  </w:t>
      </w:r>
      <w:r w:rsidR="00067606" w:rsidRPr="00B50802">
        <w:rPr>
          <w:rFonts w:cs="Arial"/>
          <w:i/>
          <w:iCs/>
        </w:rPr>
        <w:t xml:space="preserve">1.3 The broader housing and homelessness </w:t>
      </w:r>
      <w:r w:rsidR="00067606" w:rsidRPr="002C706F">
        <w:rPr>
          <w:rFonts w:cs="Arial"/>
          <w:i/>
          <w:iCs/>
        </w:rPr>
        <w:t>agenda</w:t>
      </w:r>
      <w:r w:rsidR="009C78BD" w:rsidRPr="002C706F">
        <w:rPr>
          <w:rFonts w:cs="Arial"/>
          <w:i/>
          <w:iCs/>
        </w:rPr>
        <w:t xml:space="preserve"> for the full list of initiatives. </w:t>
      </w:r>
    </w:p>
    <w:p w14:paraId="4B7AEC74" w14:textId="2260C423" w:rsidR="00201BC7" w:rsidRPr="00B50802" w:rsidRDefault="00201BC7" w:rsidP="00F17FAF">
      <w:pPr>
        <w:pStyle w:val="ListParagraph"/>
        <w:numPr>
          <w:ilvl w:val="0"/>
          <w:numId w:val="12"/>
        </w:numPr>
        <w:contextualSpacing w:val="0"/>
      </w:pPr>
      <w:r w:rsidRPr="00B50802">
        <w:t>a $2 billion Social Housing Accelerator to  boost social housing stock across Australia.</w:t>
      </w:r>
    </w:p>
    <w:p w14:paraId="2D57AA8C" w14:textId="51DAA1B8" w:rsidR="002A75EA" w:rsidRPr="00B50802" w:rsidRDefault="002A75EA" w:rsidP="00F17FAF">
      <w:pPr>
        <w:pStyle w:val="ListParagraph"/>
        <w:numPr>
          <w:ilvl w:val="0"/>
          <w:numId w:val="12"/>
        </w:numPr>
        <w:contextualSpacing w:val="0"/>
      </w:pPr>
      <w:r w:rsidRPr="00B50802">
        <w:t>the Housing Australia Future Fund will help build 30,000 new social and affordable housing properties in its first five years, and create thousands of jobs.</w:t>
      </w:r>
    </w:p>
    <w:p w14:paraId="17368C36" w14:textId="77777777" w:rsidR="002A75EA" w:rsidRPr="00B50802" w:rsidRDefault="002A75EA" w:rsidP="00F17FAF">
      <w:pPr>
        <w:pStyle w:val="ListParagraph"/>
        <w:numPr>
          <w:ilvl w:val="0"/>
          <w:numId w:val="12"/>
        </w:numPr>
        <w:contextualSpacing w:val="0"/>
      </w:pPr>
      <w:r w:rsidRPr="00B50802">
        <w:t xml:space="preserve">the expansion of the remit of the National Housing Infrastructure Facility to deploy </w:t>
      </w:r>
      <w:r w:rsidRPr="00B50802">
        <w:rPr>
          <w:bCs/>
        </w:rPr>
        <w:br/>
      </w:r>
      <w:r w:rsidRPr="00B50802">
        <w:t>up to $575 million to accelerate the supply of social and affordable housing.</w:t>
      </w:r>
    </w:p>
    <w:p w14:paraId="22ADB4CF" w14:textId="2890D866" w:rsidR="00794F0A" w:rsidRPr="00B50802" w:rsidRDefault="002700D8" w:rsidP="000837D5">
      <w:r w:rsidRPr="00B50802">
        <w:t xml:space="preserve">The National Housing Finance and Investment Corporation </w:t>
      </w:r>
      <w:r w:rsidR="002A75EA" w:rsidRPr="00B50802">
        <w:t>helps to improve housing outcomes and grow the community housing sector. </w:t>
      </w:r>
      <w:r w:rsidRPr="00B50802">
        <w:t xml:space="preserve">It </w:t>
      </w:r>
      <w:r w:rsidR="002A75EA" w:rsidRPr="00B50802">
        <w:t>administers the Affordable Housing Bond Aggregator (AHBA)</w:t>
      </w:r>
      <w:r w:rsidRPr="00B50802">
        <w:t>,</w:t>
      </w:r>
      <w:r w:rsidR="002A75EA" w:rsidRPr="00B50802">
        <w:t xml:space="preserve"> which provides cheaper long-term finance for registered community housing providers. As at 3</w:t>
      </w:r>
      <w:r w:rsidR="004A4402">
        <w:t>0</w:t>
      </w:r>
      <w:r w:rsidR="002A75EA" w:rsidRPr="00B50802">
        <w:t xml:space="preserve"> J</w:t>
      </w:r>
      <w:r w:rsidR="004A4402">
        <w:t>une</w:t>
      </w:r>
      <w:r w:rsidR="002A75EA" w:rsidRPr="00B50802">
        <w:t xml:space="preserve"> 2023, the AHBA </w:t>
      </w:r>
      <w:r w:rsidR="00AA76E1" w:rsidRPr="00B75F7D">
        <w:t>had</w:t>
      </w:r>
      <w:r w:rsidR="002A75EA" w:rsidRPr="00B50802">
        <w:t xml:space="preserve"> supported over 17,</w:t>
      </w:r>
      <w:r w:rsidR="004A4402">
        <w:t>8</w:t>
      </w:r>
      <w:r w:rsidR="002A75EA" w:rsidRPr="00B50802">
        <w:t>00 new and existing social and affordable homes</w:t>
      </w:r>
      <w:r w:rsidRPr="00B50802">
        <w:t>.</w:t>
      </w:r>
      <w:r w:rsidR="002A75EA" w:rsidRPr="00B50802">
        <w:rPr>
          <w:rStyle w:val="FootnoteReference"/>
          <w:rFonts w:cs="Arial"/>
        </w:rPr>
        <w:footnoteReference w:id="107"/>
      </w:r>
      <w:r w:rsidR="002A75EA" w:rsidRPr="00B50802">
        <w:t xml:space="preserve"> </w:t>
      </w:r>
    </w:p>
    <w:p w14:paraId="7CFE1DB8" w14:textId="77777777" w:rsidR="00794F0A" w:rsidRPr="00B50802" w:rsidRDefault="00794F0A">
      <w:r w:rsidRPr="00B50802">
        <w:br w:type="page"/>
      </w:r>
    </w:p>
    <w:p w14:paraId="3BC728B6" w14:textId="77777777" w:rsidR="001340C7" w:rsidRPr="00B50802" w:rsidRDefault="001340C7" w:rsidP="001340C7">
      <w:r w:rsidRPr="00B50802">
        <w:rPr>
          <w:rFonts w:cs="Arial"/>
          <w:noProof/>
          <w:lang w:eastAsia="en-AU"/>
        </w:rPr>
        <w:lastRenderedPageBreak/>
        <mc:AlternateContent>
          <mc:Choice Requires="wps">
            <w:drawing>
              <wp:anchor distT="0" distB="0" distL="114300" distR="114300" simplePos="0" relativeHeight="251658261" behindDoc="0" locked="0" layoutInCell="1" allowOverlap="1" wp14:anchorId="7B6D7207" wp14:editId="4950B9E4">
                <wp:simplePos x="0" y="0"/>
                <wp:positionH relativeFrom="margin">
                  <wp:posOffset>-112643</wp:posOffset>
                </wp:positionH>
                <wp:positionV relativeFrom="paragraph">
                  <wp:posOffset>82109</wp:posOffset>
                </wp:positionV>
                <wp:extent cx="5943600" cy="3147392"/>
                <wp:effectExtent l="0" t="0" r="19050" b="15240"/>
                <wp:wrapNone/>
                <wp:docPr id="154" name="Rectangle 154" descr="Decorative"/>
                <wp:cNvGraphicFramePr/>
                <a:graphic xmlns:a="http://schemas.openxmlformats.org/drawingml/2006/main">
                  <a:graphicData uri="http://schemas.microsoft.com/office/word/2010/wordprocessingShape">
                    <wps:wsp>
                      <wps:cNvSpPr/>
                      <wps:spPr>
                        <a:xfrm>
                          <a:off x="0" y="0"/>
                          <a:ext cx="5943600" cy="3147392"/>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5BED5" id="Rectangle 154" o:spid="_x0000_s1026" alt="Decorative" style="position:absolute;margin-left:-8.85pt;margin-top:6.45pt;width:468pt;height:247.85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" filled="f" strokecolor="#005a70" strokeweight="2pt">
                <w10:wrap anchorx="margin"/>
              </v:rect>
            </w:pict>
          </mc:Fallback>
        </mc:AlternateContent>
      </w:r>
      <w:r w:rsidRPr="00B50802">
        <w:rPr>
          <w:rFonts w:eastAsiaTheme="majorEastAsia" w:cs="Arial"/>
          <w:noProof/>
          <w:lang w:eastAsia="en-AU"/>
        </w:rPr>
        <w:drawing>
          <wp:anchor distT="0" distB="0" distL="114300" distR="114300" simplePos="0" relativeHeight="251658260" behindDoc="0" locked="0" layoutInCell="1" allowOverlap="1" wp14:anchorId="498BCA7A" wp14:editId="38F82E82">
            <wp:simplePos x="0" y="0"/>
            <wp:positionH relativeFrom="column">
              <wp:posOffset>54775</wp:posOffset>
            </wp:positionH>
            <wp:positionV relativeFrom="paragraph">
              <wp:posOffset>187518</wp:posOffset>
            </wp:positionV>
            <wp:extent cx="743585" cy="567055"/>
            <wp:effectExtent l="0" t="0" r="0" b="4445"/>
            <wp:wrapThrough wrapText="bothSides">
              <wp:wrapPolygon edited="0">
                <wp:start x="0" y="0"/>
                <wp:lineTo x="0" y="21044"/>
                <wp:lineTo x="10514" y="21044"/>
                <wp:lineTo x="13834" y="21044"/>
                <wp:lineTo x="21028" y="17415"/>
                <wp:lineTo x="21028" y="15239"/>
                <wp:lineTo x="18815" y="10885"/>
                <wp:lineTo x="15494" y="7982"/>
                <wp:lineTo x="4427" y="0"/>
                <wp:lineTo x="0" y="0"/>
              </wp:wrapPolygon>
            </wp:wrapThrough>
            <wp:docPr id="53" name="Picture 5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43585" cy="567055"/>
                    </a:xfrm>
                    <a:prstGeom prst="rect">
                      <a:avLst/>
                    </a:prstGeom>
                    <a:noFill/>
                  </pic:spPr>
                </pic:pic>
              </a:graphicData>
            </a:graphic>
            <wp14:sizeRelH relativeFrom="page">
              <wp14:pctWidth>0</wp14:pctWidth>
            </wp14:sizeRelH>
            <wp14:sizeRelV relativeFrom="page">
              <wp14:pctHeight>0</wp14:pctHeight>
            </wp14:sizeRelV>
          </wp:anchor>
        </w:drawing>
      </w:r>
    </w:p>
    <w:p w14:paraId="6271942C" w14:textId="77777777" w:rsidR="001340C7" w:rsidRPr="00B50802" w:rsidRDefault="001340C7" w:rsidP="001340C7">
      <w:pPr>
        <w:pStyle w:val="Bullet"/>
        <w:jc w:val="right"/>
        <w:rPr>
          <w:rFonts w:eastAsiaTheme="minorHAnsi" w:cs="Arial"/>
          <w:color w:val="005A70"/>
        </w:rPr>
      </w:pPr>
      <w:r w:rsidRPr="00B50802">
        <w:rPr>
          <w:rFonts w:ascii="Arial" w:eastAsiaTheme="minorHAnsi" w:hAnsi="Arial" w:cs="Arial"/>
          <w:b/>
          <w:color w:val="005A70"/>
        </w:rPr>
        <w:t xml:space="preserve">Case Study – Vic Ground Lease Model  </w:t>
      </w:r>
    </w:p>
    <w:p w14:paraId="3A4E55D2" w14:textId="77777777" w:rsidR="001340C7" w:rsidRPr="00B50802" w:rsidRDefault="001340C7" w:rsidP="001340C7"/>
    <w:p w14:paraId="6A3F1A1A" w14:textId="4C4BA84A" w:rsidR="001340C7" w:rsidRPr="00B50802" w:rsidRDefault="001340C7" w:rsidP="001340C7">
      <w:r w:rsidRPr="00B50802">
        <w:t xml:space="preserve">Under the Ground Lease Model, the land and all dwellings where new houses are built </w:t>
      </w:r>
      <w:r w:rsidRPr="00B50802">
        <w:br/>
        <w:t xml:space="preserve">at existing public housing sites will remain under the ownership of </w:t>
      </w:r>
      <w:r w:rsidR="004D7354">
        <w:t xml:space="preserve">the Victorian </w:t>
      </w:r>
      <w:r w:rsidRPr="00B50802">
        <w:t>government. The ground lease models ensures neighbourhoods have a mix of new social housing, affordable housing, specialist disability and market rental homes.</w:t>
      </w:r>
    </w:p>
    <w:p w14:paraId="11D935DC" w14:textId="77777777" w:rsidR="001340C7" w:rsidRPr="00B50802" w:rsidRDefault="001340C7" w:rsidP="001340C7">
      <w:r w:rsidRPr="00B50802">
        <w:t xml:space="preserve">Project partners will finance, design, construct, manage and maintain the new housing </w:t>
      </w:r>
      <w:r w:rsidRPr="00B50802">
        <w:br/>
        <w:t>to a prescribed standard over a 40-year operating term. The assets will revert to full public ownership and control at the end of this fixed period. Under the long-term service contract, the project partner will receive a service fee for managing the project over the operating phase and meeting required social housing service standards.</w:t>
      </w:r>
    </w:p>
    <w:p w14:paraId="54F3E74D" w14:textId="77777777" w:rsidR="00794F0A" w:rsidRPr="00B50802" w:rsidRDefault="001340C7" w:rsidP="00E8234C">
      <w:r w:rsidRPr="00B50802">
        <w:t>Construction on Ground Lease Model 1 Projects commenced in February 2022 and</w:t>
      </w:r>
      <w:r w:rsidRPr="00B50802">
        <w:br/>
        <w:t>is due for completion in early 2024, delivering 1,110 new homes at three sites.</w:t>
      </w:r>
    </w:p>
    <w:p w14:paraId="32465665" w14:textId="533A9BD9" w:rsidR="002A75EA" w:rsidRPr="00B50802" w:rsidRDefault="002A75EA" w:rsidP="00E8234C"/>
    <w:p w14:paraId="5FCC6A52" w14:textId="77777777" w:rsidR="004538CC" w:rsidRPr="00B50802" w:rsidRDefault="004538CC">
      <w:pPr>
        <w:rPr>
          <w:rFonts w:ascii="Georgia" w:eastAsiaTheme="minorEastAsia" w:hAnsi="Georgia" w:cstheme="majorBidi"/>
          <w:b/>
          <w:bCs/>
          <w:sz w:val="28"/>
          <w:szCs w:val="28"/>
        </w:rPr>
      </w:pPr>
      <w:bookmarkStart w:id="1687" w:name="_Toc135035231"/>
      <w:bookmarkStart w:id="1688" w:name="_Toc134784712"/>
      <w:bookmarkStart w:id="1689" w:name="_Toc135060908"/>
      <w:bookmarkStart w:id="1690" w:name="_Toc135161380"/>
      <w:bookmarkStart w:id="1691" w:name="_Toc135162326"/>
      <w:bookmarkStart w:id="1692" w:name="_Toc135162500"/>
      <w:bookmarkStart w:id="1693" w:name="_Toc135206079"/>
      <w:bookmarkStart w:id="1694" w:name="_Toc135206164"/>
      <w:bookmarkStart w:id="1695" w:name="_Toc139464322"/>
      <w:bookmarkStart w:id="1696" w:name="_Toc132293096"/>
      <w:bookmarkStart w:id="1697" w:name="_Toc132293473"/>
      <w:bookmarkStart w:id="1698" w:name="_Toc132293562"/>
      <w:bookmarkStart w:id="1699" w:name="_Toc132294176"/>
      <w:bookmarkStart w:id="1700" w:name="_Toc132360629"/>
      <w:bookmarkStart w:id="1701" w:name="_Toc132708340"/>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r w:rsidRPr="00B50802">
        <w:rPr>
          <w:rFonts w:eastAsiaTheme="minorEastAsia"/>
        </w:rPr>
        <w:br w:type="page"/>
      </w:r>
    </w:p>
    <w:bookmarkStart w:id="1702" w:name="_Toc141969857"/>
    <w:bookmarkStart w:id="1703" w:name="_Toc141972480"/>
    <w:bookmarkStart w:id="1704" w:name="_Toc141972693"/>
    <w:bookmarkStart w:id="1705" w:name="_Toc141972967"/>
    <w:bookmarkStart w:id="1706" w:name="_Toc142042527"/>
    <w:bookmarkStart w:id="1707" w:name="_Toc142042736"/>
    <w:p w14:paraId="4F6D3BCE" w14:textId="0A79AEE0" w:rsidR="004C349B" w:rsidRPr="009274D8" w:rsidRDefault="004538CC" w:rsidP="009274D8">
      <w:pPr>
        <w:rPr>
          <w:rFonts w:ascii="Georgia" w:eastAsia="Times New Roman" w:hAnsi="Georgia" w:cs="Calibri"/>
          <w:b/>
          <w:sz w:val="28"/>
          <w:szCs w:val="24"/>
          <w:lang w:eastAsia="en-AU"/>
        </w:rPr>
      </w:pPr>
      <w:r w:rsidRPr="009274D8">
        <w:rPr>
          <w:rFonts w:ascii="Georgia" w:eastAsia="Times New Roman" w:hAnsi="Georgia" w:cs="Calibri"/>
          <w:b/>
          <w:noProof/>
          <w:sz w:val="28"/>
          <w:szCs w:val="24"/>
          <w:lang w:eastAsia="en-AU"/>
        </w:rPr>
        <w:lastRenderedPageBreak/>
        <mc:AlternateContent>
          <mc:Choice Requires="wps">
            <w:drawing>
              <wp:anchor distT="0" distB="0" distL="114300" distR="114300" simplePos="0" relativeHeight="251658262" behindDoc="1" locked="0" layoutInCell="1" allowOverlap="1" wp14:anchorId="3F0F7685" wp14:editId="6554CE23">
                <wp:simplePos x="0" y="0"/>
                <wp:positionH relativeFrom="margin">
                  <wp:posOffset>-55771</wp:posOffset>
                </wp:positionH>
                <wp:positionV relativeFrom="paragraph">
                  <wp:posOffset>-123190</wp:posOffset>
                </wp:positionV>
                <wp:extent cx="5920740" cy="8207566"/>
                <wp:effectExtent l="0" t="0" r="22860" b="22225"/>
                <wp:wrapNone/>
                <wp:docPr id="238" name="Rectangle 238" descr="Decorative"/>
                <wp:cNvGraphicFramePr/>
                <a:graphic xmlns:a="http://schemas.openxmlformats.org/drawingml/2006/main">
                  <a:graphicData uri="http://schemas.microsoft.com/office/word/2010/wordprocessingShape">
                    <wps:wsp>
                      <wps:cNvSpPr/>
                      <wps:spPr>
                        <a:xfrm>
                          <a:off x="0" y="0"/>
                          <a:ext cx="5920740" cy="8207566"/>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6B5BA" id="Rectangle 238" o:spid="_x0000_s1026" alt="Decorative" style="position:absolute;margin-left:-4.4pt;margin-top:-9.7pt;width:466.2pt;height:646.25pt;z-index:-251658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" fillcolor="#daeef3" strokecolor="black [3213]" strokeweight=".25pt">
                <w10:wrap anchorx="margin"/>
              </v:rect>
            </w:pict>
          </mc:Fallback>
        </mc:AlternateContent>
      </w:r>
      <w:r w:rsidR="004C349B" w:rsidRPr="009274D8">
        <w:rPr>
          <w:rFonts w:ascii="Georgia" w:eastAsia="Times New Roman" w:hAnsi="Georgia" w:cs="Calibri"/>
          <w:b/>
          <w:sz w:val="28"/>
          <w:szCs w:val="24"/>
          <w:lang w:eastAsia="en-AU"/>
        </w:rPr>
        <w:t>Questions for consideration</w:t>
      </w:r>
      <w:bookmarkEnd w:id="1687"/>
      <w:bookmarkEnd w:id="1688"/>
      <w:bookmarkEnd w:id="1689"/>
      <w:bookmarkEnd w:id="1690"/>
      <w:bookmarkEnd w:id="1691"/>
      <w:bookmarkEnd w:id="1692"/>
      <w:bookmarkEnd w:id="1693"/>
      <w:bookmarkEnd w:id="1694"/>
      <w:bookmarkEnd w:id="1695"/>
      <w:bookmarkEnd w:id="1702"/>
      <w:bookmarkEnd w:id="1703"/>
      <w:bookmarkEnd w:id="1704"/>
      <w:bookmarkEnd w:id="1705"/>
      <w:bookmarkEnd w:id="1706"/>
      <w:bookmarkEnd w:id="1707"/>
    </w:p>
    <w:p w14:paraId="2C9C22E2" w14:textId="77777777" w:rsidR="004C349B" w:rsidRPr="00B50802" w:rsidRDefault="004C349B" w:rsidP="00F17FAF">
      <w:pPr>
        <w:pStyle w:val="ListParagraph"/>
        <w:numPr>
          <w:ilvl w:val="0"/>
          <w:numId w:val="5"/>
        </w:numPr>
        <w:ind w:hanging="357"/>
        <w:contextualSpacing w:val="0"/>
      </w:pPr>
      <w:r w:rsidRPr="00B50802">
        <w:t xml:space="preserve">What is the role of social housing for low-income Australians? </w:t>
      </w:r>
    </w:p>
    <w:p w14:paraId="7CF2F1CB" w14:textId="0DF8AC39" w:rsidR="00E25125" w:rsidRPr="00B50802" w:rsidRDefault="004C349B" w:rsidP="00F17FAF">
      <w:pPr>
        <w:pStyle w:val="ListParagraph"/>
        <w:numPr>
          <w:ilvl w:val="0"/>
          <w:numId w:val="5"/>
        </w:numPr>
        <w:ind w:hanging="357"/>
        <w:contextualSpacing w:val="0"/>
      </w:pPr>
      <w:r w:rsidRPr="00B50802">
        <w:rPr>
          <w:rFonts w:eastAsiaTheme="minorEastAsia"/>
        </w:rPr>
        <w:t xml:space="preserve">What factors should </w:t>
      </w:r>
      <w:r w:rsidR="005E594C" w:rsidRPr="00B50802">
        <w:rPr>
          <w:rFonts w:eastAsiaTheme="minorEastAsia"/>
        </w:rPr>
        <w:t xml:space="preserve">state </w:t>
      </w:r>
      <w:r w:rsidRPr="00B50802">
        <w:rPr>
          <w:rFonts w:eastAsiaTheme="minorEastAsia"/>
        </w:rPr>
        <w:t xml:space="preserve">governments and housing organisations consider when allocating social housing? </w:t>
      </w:r>
    </w:p>
    <w:p w14:paraId="0F32F3B5" w14:textId="0B981A84" w:rsidR="004C349B" w:rsidRPr="00B50802" w:rsidRDefault="004C349B" w:rsidP="00F17FAF">
      <w:pPr>
        <w:pStyle w:val="ListParagraph"/>
        <w:numPr>
          <w:ilvl w:val="0"/>
          <w:numId w:val="5"/>
        </w:numPr>
        <w:ind w:hanging="357"/>
        <w:contextualSpacing w:val="0"/>
      </w:pPr>
      <w:r w:rsidRPr="00B50802">
        <w:t xml:space="preserve">How can governments ensure social </w:t>
      </w:r>
      <w:r w:rsidRPr="00B50802">
        <w:rPr>
          <w:rFonts w:eastAsiaTheme="minorEastAsia"/>
        </w:rPr>
        <w:t xml:space="preserve">housing </w:t>
      </w:r>
      <w:r w:rsidRPr="00B50802">
        <w:t xml:space="preserve">is built in the right location (including </w:t>
      </w:r>
      <w:r w:rsidR="005E594C" w:rsidRPr="00B50802">
        <w:t xml:space="preserve">close to amenities, </w:t>
      </w:r>
      <w:r w:rsidRPr="00B50802">
        <w:t>environmental, socio</w:t>
      </w:r>
      <w:r w:rsidRPr="00B50802">
        <w:noBreakHyphen/>
        <w:t>economic</w:t>
      </w:r>
      <w:r w:rsidR="00FC6B2D" w:rsidRPr="00B50802">
        <w:t>, current and future hazard risk</w:t>
      </w:r>
      <w:r w:rsidRPr="00B50802">
        <w:t xml:space="preserve"> and cultural factors) and will meet current and future needs of social housing tenants and the broader community?</w:t>
      </w:r>
    </w:p>
    <w:p w14:paraId="30BC1D14" w14:textId="77777777" w:rsidR="004C349B" w:rsidRPr="00B50802" w:rsidRDefault="004C349B" w:rsidP="00F17FAF">
      <w:pPr>
        <w:pStyle w:val="ListParagraph"/>
        <w:numPr>
          <w:ilvl w:val="0"/>
          <w:numId w:val="5"/>
        </w:numPr>
        <w:ind w:hanging="357"/>
        <w:contextualSpacing w:val="0"/>
      </w:pPr>
      <w:r w:rsidRPr="00B50802">
        <w:t>What are the key short-term and/or long-term social and economic issues in social housing?</w:t>
      </w:r>
    </w:p>
    <w:p w14:paraId="3BB45631" w14:textId="77777777" w:rsidR="004C349B" w:rsidRPr="00B50802" w:rsidRDefault="004C349B" w:rsidP="00F17FAF">
      <w:pPr>
        <w:pStyle w:val="ListParagraph"/>
        <w:numPr>
          <w:ilvl w:val="0"/>
          <w:numId w:val="5"/>
        </w:numPr>
        <w:ind w:hanging="357"/>
        <w:contextualSpacing w:val="0"/>
      </w:pPr>
      <w:r w:rsidRPr="00B50802">
        <w:t xml:space="preserve">What changes can be made to the current social housing system to improve outcomes for tenants and/or improve the efficiency and effectiveness of the social housing sector? </w:t>
      </w:r>
    </w:p>
    <w:p w14:paraId="105B6C0C" w14:textId="0F632058" w:rsidR="004C349B" w:rsidRPr="00B50802" w:rsidRDefault="004C349B" w:rsidP="00F17FAF">
      <w:pPr>
        <w:pStyle w:val="ListParagraph"/>
        <w:numPr>
          <w:ilvl w:val="0"/>
          <w:numId w:val="5"/>
        </w:numPr>
        <w:ind w:hanging="357"/>
        <w:contextualSpacing w:val="0"/>
        <w:rPr>
          <w:rFonts w:eastAsiaTheme="minorEastAsia"/>
        </w:rPr>
      </w:pPr>
      <w:r w:rsidRPr="00B50802">
        <w:t>What are the most-effective wrap-around supports required to support Australians in</w:t>
      </w:r>
      <w:r w:rsidR="004538CC" w:rsidRPr="00B50802">
        <w:t> </w:t>
      </w:r>
      <w:r w:rsidRPr="00B50802">
        <w:t xml:space="preserve">social housing to maintain their tenancies? Are there existing effective models that </w:t>
      </w:r>
      <w:r w:rsidR="005E594C" w:rsidRPr="00B50802">
        <w:t xml:space="preserve">could </w:t>
      </w:r>
      <w:r w:rsidRPr="00B50802">
        <w:t>be scaled up?</w:t>
      </w:r>
    </w:p>
    <w:p w14:paraId="1E4CBE76" w14:textId="77777777" w:rsidR="004C349B" w:rsidRPr="00B50802" w:rsidRDefault="004C349B" w:rsidP="00F17FAF">
      <w:pPr>
        <w:pStyle w:val="ListParagraph"/>
        <w:numPr>
          <w:ilvl w:val="0"/>
          <w:numId w:val="5"/>
        </w:numPr>
        <w:ind w:hanging="357"/>
        <w:contextualSpacing w:val="0"/>
      </w:pPr>
      <w:r w:rsidRPr="00B50802">
        <w:t xml:space="preserve">What future role should the community housing sector play in Australia and what initiatives and funding mechanisms would support this? </w:t>
      </w:r>
    </w:p>
    <w:p w14:paraId="01336DE4" w14:textId="77777777" w:rsidR="004C349B" w:rsidRPr="00B50802" w:rsidRDefault="004C349B" w:rsidP="00F17FAF">
      <w:pPr>
        <w:pStyle w:val="ListParagraph"/>
        <w:numPr>
          <w:ilvl w:val="1"/>
          <w:numId w:val="5"/>
        </w:numPr>
        <w:ind w:hanging="357"/>
        <w:contextualSpacing w:val="0"/>
      </w:pPr>
      <w:r w:rsidRPr="00B50802">
        <w:t xml:space="preserve">Are there any capacity and capability constraints impacting on future growth of the community housing sector? </w:t>
      </w:r>
    </w:p>
    <w:p w14:paraId="2D0B8012" w14:textId="77777777" w:rsidR="008A1B48" w:rsidRPr="00B50802" w:rsidRDefault="008A1B48" w:rsidP="00F17FAF">
      <w:pPr>
        <w:pStyle w:val="ListParagraph"/>
        <w:numPr>
          <w:ilvl w:val="0"/>
          <w:numId w:val="5"/>
        </w:numPr>
        <w:ind w:hanging="357"/>
        <w:contextualSpacing w:val="0"/>
        <w:rPr>
          <w:rFonts w:eastAsiaTheme="minorEastAsia"/>
        </w:rPr>
      </w:pPr>
      <w:r w:rsidRPr="00B50802">
        <w:t xml:space="preserve">What changes to community housing regulation could improve outcomes for tenants, the community housing sector, governments and investors? </w:t>
      </w:r>
    </w:p>
    <w:p w14:paraId="2D3D0DE1" w14:textId="77777777" w:rsidR="004C349B" w:rsidRPr="00B50802" w:rsidRDefault="004C349B" w:rsidP="00F17FAF">
      <w:pPr>
        <w:pStyle w:val="ListParagraph"/>
        <w:numPr>
          <w:ilvl w:val="0"/>
          <w:numId w:val="5"/>
        </w:numPr>
        <w:ind w:hanging="357"/>
        <w:contextualSpacing w:val="0"/>
        <w:rPr>
          <w:rFonts w:eastAsiaTheme="minorEastAsia"/>
        </w:rPr>
      </w:pPr>
      <w:r w:rsidRPr="00B50802">
        <w:t xml:space="preserve">Do current regulatory approaches support future growth in the community housing sector? </w:t>
      </w:r>
    </w:p>
    <w:p w14:paraId="1A4A3FD4" w14:textId="6962C29C" w:rsidR="004C349B" w:rsidRPr="00B50802" w:rsidRDefault="004C349B" w:rsidP="00F17FAF">
      <w:pPr>
        <w:pStyle w:val="ListParagraph"/>
        <w:numPr>
          <w:ilvl w:val="0"/>
          <w:numId w:val="5"/>
        </w:numPr>
        <w:ind w:hanging="357"/>
        <w:contextualSpacing w:val="0"/>
        <w:rPr>
          <w:rFonts w:eastAsiaTheme="minorEastAsia"/>
        </w:rPr>
      </w:pPr>
      <w:r w:rsidRPr="00B50802">
        <w:rPr>
          <w:rFonts w:eastAsiaTheme="minorEastAsia"/>
        </w:rPr>
        <w:t xml:space="preserve">How can governments and their partners </w:t>
      </w:r>
      <w:r w:rsidR="005E594C" w:rsidRPr="00B50802">
        <w:rPr>
          <w:rFonts w:eastAsiaTheme="minorEastAsia"/>
        </w:rPr>
        <w:t>best gr</w:t>
      </w:r>
      <w:r w:rsidRPr="00B50802">
        <w:rPr>
          <w:rFonts w:eastAsiaTheme="minorEastAsia"/>
        </w:rPr>
        <w:t>o</w:t>
      </w:r>
      <w:r w:rsidR="005E594C" w:rsidRPr="00B50802">
        <w:rPr>
          <w:rFonts w:eastAsiaTheme="minorEastAsia"/>
        </w:rPr>
        <w:t>w</w:t>
      </w:r>
      <w:r w:rsidRPr="00B50802">
        <w:rPr>
          <w:rFonts w:eastAsiaTheme="minorEastAsia"/>
        </w:rPr>
        <w:t xml:space="preserve"> social housing </w:t>
      </w:r>
      <w:r w:rsidR="005E594C" w:rsidRPr="00B50802">
        <w:rPr>
          <w:rFonts w:eastAsiaTheme="minorEastAsia"/>
        </w:rPr>
        <w:t>stock</w:t>
      </w:r>
      <w:r w:rsidRPr="00B50802">
        <w:rPr>
          <w:rFonts w:eastAsiaTheme="minorEastAsia"/>
        </w:rPr>
        <w:t>?</w:t>
      </w:r>
    </w:p>
    <w:p w14:paraId="2D7F63FF" w14:textId="590DA94F" w:rsidR="004C349B" w:rsidRPr="00B50802" w:rsidRDefault="004C349B" w:rsidP="00F17FAF">
      <w:pPr>
        <w:pStyle w:val="ListParagraph"/>
        <w:numPr>
          <w:ilvl w:val="0"/>
          <w:numId w:val="5"/>
        </w:numPr>
        <w:ind w:hanging="357"/>
        <w:contextualSpacing w:val="0"/>
      </w:pPr>
      <w:r w:rsidRPr="00B50802">
        <w:t>How can social housing providers better support people with complex needs (such as</w:t>
      </w:r>
      <w:r w:rsidR="004538CC" w:rsidRPr="00B50802">
        <w:t> </w:t>
      </w:r>
      <w:r w:rsidRPr="00B50802">
        <w:t>people with disability, people from culturally diverse backgrounds and people with mental health, alcohol and other drug issues)?</w:t>
      </w:r>
    </w:p>
    <w:p w14:paraId="0B2C03C5" w14:textId="73D0D544" w:rsidR="004C349B" w:rsidRPr="00B50802" w:rsidRDefault="004C349B" w:rsidP="00F17FAF">
      <w:pPr>
        <w:pStyle w:val="ListParagraph"/>
        <w:numPr>
          <w:ilvl w:val="0"/>
          <w:numId w:val="5"/>
        </w:numPr>
        <w:spacing w:before="240"/>
        <w:ind w:hanging="357"/>
        <w:contextualSpacing w:val="0"/>
        <w:rPr>
          <w:bCs/>
        </w:rPr>
      </w:pPr>
      <w:r w:rsidRPr="00B50802">
        <w:t>In a multi-provider system which includes public and community housing, how can governments and housing organisations ensure that people in most housing need or</w:t>
      </w:r>
      <w:r w:rsidR="004538CC" w:rsidRPr="00B50802">
        <w:t> </w:t>
      </w:r>
      <w:r w:rsidRPr="00B50802">
        <w:t>with complex needs can access housing?</w:t>
      </w:r>
    </w:p>
    <w:p w14:paraId="32995B65" w14:textId="143D16A8" w:rsidR="0094095F" w:rsidRPr="00B50802" w:rsidRDefault="004C349B" w:rsidP="00F17FAF">
      <w:pPr>
        <w:pStyle w:val="ListParagraph"/>
        <w:numPr>
          <w:ilvl w:val="0"/>
          <w:numId w:val="5"/>
        </w:numPr>
        <w:spacing w:before="240"/>
        <w:ind w:hanging="357"/>
        <w:contextualSpacing w:val="0"/>
        <w:rPr>
          <w:bCs/>
        </w:rPr>
      </w:pPr>
      <w:r w:rsidRPr="00B50802">
        <w:t>What significant issues within the social housing sector lack sufficient quality data to</w:t>
      </w:r>
      <w:r w:rsidR="004538CC" w:rsidRPr="00B50802">
        <w:t> </w:t>
      </w:r>
      <w:r w:rsidRPr="00B50802">
        <w:t>inform decision-making?</w:t>
      </w:r>
      <w:bookmarkStart w:id="1708" w:name="_Toc134784713"/>
      <w:bookmarkStart w:id="1709" w:name="_Toc135035232"/>
    </w:p>
    <w:p w14:paraId="40540413" w14:textId="77777777" w:rsidR="00794F0A" w:rsidRPr="00B50802" w:rsidRDefault="00794F0A">
      <w:pPr>
        <w:rPr>
          <w:rStyle w:val="Strong"/>
          <w:rFonts w:ascii="Georgia" w:eastAsiaTheme="majorEastAsia" w:hAnsi="Georgia" w:cstheme="majorBidi"/>
          <w:sz w:val="28"/>
          <w:szCs w:val="28"/>
        </w:rPr>
      </w:pPr>
      <w:bookmarkStart w:id="1710" w:name="_Toc135060909"/>
    </w:p>
    <w:p w14:paraId="722D2EF1" w14:textId="77777777" w:rsidR="00E86A95" w:rsidRPr="00B50802" w:rsidRDefault="00E86A95">
      <w:pPr>
        <w:rPr>
          <w:rStyle w:val="Strong"/>
          <w:rFonts w:ascii="Georgia" w:eastAsiaTheme="majorEastAsia" w:hAnsi="Georgia" w:cstheme="majorBidi"/>
          <w:sz w:val="28"/>
          <w:szCs w:val="28"/>
        </w:rPr>
      </w:pPr>
      <w:r w:rsidRPr="00B50802">
        <w:rPr>
          <w:rStyle w:val="Strong"/>
          <w:b w:val="0"/>
          <w:bCs w:val="0"/>
        </w:rPr>
        <w:br w:type="page"/>
      </w:r>
    </w:p>
    <w:p w14:paraId="4A6EDA92" w14:textId="77777777" w:rsidR="002A75EA" w:rsidRPr="009274D8" w:rsidRDefault="002A75EA" w:rsidP="00F4737A">
      <w:pPr>
        <w:pStyle w:val="Style1"/>
      </w:pPr>
      <w:bookmarkStart w:id="1711" w:name="_Toc135161381"/>
      <w:bookmarkStart w:id="1712" w:name="_Toc135162327"/>
      <w:bookmarkStart w:id="1713" w:name="_Toc135162501"/>
      <w:bookmarkStart w:id="1714" w:name="_Toc135206080"/>
      <w:bookmarkStart w:id="1715" w:name="_Toc135206165"/>
      <w:bookmarkStart w:id="1716" w:name="_Toc139464323"/>
      <w:bookmarkStart w:id="1717" w:name="_Toc141969858"/>
      <w:bookmarkStart w:id="1718" w:name="_Toc141972481"/>
      <w:bookmarkStart w:id="1719" w:name="_Toc141972694"/>
      <w:bookmarkStart w:id="1720" w:name="_Toc141972968"/>
      <w:bookmarkStart w:id="1721" w:name="_Toc142042528"/>
      <w:bookmarkStart w:id="1722" w:name="_Toc142042737"/>
      <w:r w:rsidRPr="009274D8">
        <w:lastRenderedPageBreak/>
        <w:t xml:space="preserve">Affordable </w:t>
      </w:r>
      <w:r w:rsidR="00E812B7" w:rsidRPr="009274D8">
        <w:t>h</w:t>
      </w:r>
      <w:r w:rsidRPr="009274D8">
        <w:t>ousing</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12CA6D63" w14:textId="58F28F92" w:rsidR="00A3699D" w:rsidRPr="00B50802" w:rsidRDefault="00E40151" w:rsidP="00A3699D">
      <w:pPr>
        <w:spacing w:after="240"/>
        <w:rPr>
          <w:rStyle w:val="Strong"/>
          <w:rFonts w:eastAsiaTheme="majorEastAsia" w:cs="Arial"/>
          <w:b w:val="0"/>
          <w:bCs w:val="0"/>
        </w:rPr>
      </w:pPr>
      <w:r w:rsidRPr="00B50802">
        <w:rPr>
          <w:rStyle w:val="Strong"/>
          <w:rFonts w:eastAsiaTheme="majorEastAsia" w:cs="Arial"/>
          <w:b w:val="0"/>
          <w:bCs w:val="0"/>
        </w:rPr>
        <w:t xml:space="preserve">Affordable housing is another form of subsidised housing, which is appropriate for the needs of a range of low to </w:t>
      </w:r>
      <w:r w:rsidR="001723F7" w:rsidRPr="00B50802">
        <w:rPr>
          <w:rStyle w:val="Strong"/>
          <w:rFonts w:eastAsiaTheme="majorEastAsia" w:cs="Arial"/>
          <w:b w:val="0"/>
          <w:bCs w:val="0"/>
        </w:rPr>
        <w:t>moderate-income</w:t>
      </w:r>
      <w:r w:rsidRPr="00B50802">
        <w:rPr>
          <w:rStyle w:val="Strong"/>
          <w:rFonts w:eastAsiaTheme="majorEastAsia" w:cs="Arial"/>
          <w:b w:val="0"/>
          <w:bCs w:val="0"/>
        </w:rPr>
        <w:t xml:space="preserve"> households and priced so that these households </w:t>
      </w:r>
      <w:r w:rsidR="001723F7">
        <w:rPr>
          <w:rStyle w:val="Strong"/>
          <w:rFonts w:eastAsiaTheme="majorEastAsia" w:cs="Arial"/>
          <w:b w:val="0"/>
          <w:bCs w:val="0"/>
        </w:rPr>
        <w:t>find it easier to</w:t>
      </w:r>
      <w:r w:rsidRPr="00B50802">
        <w:rPr>
          <w:rStyle w:val="Strong"/>
          <w:rFonts w:eastAsiaTheme="majorEastAsia" w:cs="Arial"/>
          <w:b w:val="0"/>
          <w:bCs w:val="0"/>
        </w:rPr>
        <w:t xml:space="preserve"> meet other basic living costs, such as food, clothing, transport, medical care and education. </w:t>
      </w:r>
    </w:p>
    <w:p w14:paraId="0E3AB034" w14:textId="1415A3B5" w:rsidR="002A75EA" w:rsidRPr="00B50802" w:rsidRDefault="00E40151" w:rsidP="00A3699D">
      <w:pPr>
        <w:spacing w:after="240"/>
        <w:rPr>
          <w:rStyle w:val="Strong"/>
          <w:rFonts w:eastAsiaTheme="majorEastAsia" w:cs="Arial"/>
          <w:b w:val="0"/>
          <w:bCs w:val="0"/>
        </w:rPr>
      </w:pPr>
      <w:r w:rsidRPr="00B50802">
        <w:rPr>
          <w:rStyle w:val="Strong"/>
          <w:rFonts w:eastAsiaTheme="majorEastAsia" w:cs="Arial"/>
          <w:b w:val="0"/>
          <w:bCs w:val="0"/>
        </w:rPr>
        <w:t xml:space="preserve">Affordable housing enables people to </w:t>
      </w:r>
      <w:r w:rsidR="005E594C" w:rsidRPr="00B50802">
        <w:rPr>
          <w:rStyle w:val="Strong"/>
          <w:rFonts w:eastAsiaTheme="majorEastAsia" w:cs="Arial"/>
          <w:b w:val="0"/>
          <w:bCs w:val="0"/>
        </w:rPr>
        <w:t xml:space="preserve">live in </w:t>
      </w:r>
      <w:r w:rsidR="002E30F3" w:rsidRPr="00B50802">
        <w:rPr>
          <w:rStyle w:val="Strong"/>
          <w:rFonts w:eastAsiaTheme="majorEastAsia" w:cs="Arial"/>
          <w:b w:val="0"/>
          <w:bCs w:val="0"/>
        </w:rPr>
        <w:t xml:space="preserve">desirable locations, including locations that are close to jobs and well connected to </w:t>
      </w:r>
      <w:r w:rsidR="005E594C" w:rsidRPr="00B50802">
        <w:rPr>
          <w:rStyle w:val="Strong"/>
          <w:rFonts w:eastAsiaTheme="majorEastAsia" w:cs="Arial"/>
          <w:b w:val="0"/>
          <w:bCs w:val="0"/>
        </w:rPr>
        <w:t xml:space="preserve">transport, </w:t>
      </w:r>
      <w:r w:rsidR="002E30F3" w:rsidRPr="00B50802">
        <w:rPr>
          <w:rStyle w:val="Strong"/>
          <w:rFonts w:eastAsiaTheme="majorEastAsia" w:cs="Arial"/>
          <w:b w:val="0"/>
          <w:bCs w:val="0"/>
        </w:rPr>
        <w:t>infrastructure and other services</w:t>
      </w:r>
      <w:r w:rsidRPr="00B50802">
        <w:rPr>
          <w:rStyle w:val="Strong"/>
          <w:rFonts w:eastAsiaTheme="majorEastAsia" w:cs="Arial"/>
          <w:b w:val="0"/>
          <w:bCs w:val="0"/>
        </w:rPr>
        <w:t xml:space="preserve">. Affordable housing contributes to the diversity of housing options. </w:t>
      </w:r>
      <w:r w:rsidR="002A75EA" w:rsidRPr="00B50802">
        <w:rPr>
          <w:rStyle w:val="Strong"/>
          <w:rFonts w:eastAsiaTheme="majorEastAsia" w:cs="Arial"/>
          <w:b w:val="0"/>
          <w:bCs w:val="0"/>
        </w:rPr>
        <w:t xml:space="preserve">Definitions, offerings and eligibility criteria for affordable housing </w:t>
      </w:r>
      <w:r w:rsidR="00E812B7" w:rsidRPr="00B50802">
        <w:rPr>
          <w:rStyle w:val="Strong"/>
          <w:rFonts w:eastAsiaTheme="majorEastAsia" w:cs="Arial"/>
          <w:b w:val="0"/>
          <w:bCs w:val="0"/>
        </w:rPr>
        <w:t xml:space="preserve">vary </w:t>
      </w:r>
      <w:r w:rsidR="002A75EA" w:rsidRPr="00B50802">
        <w:rPr>
          <w:rStyle w:val="Strong"/>
          <w:rFonts w:eastAsiaTheme="majorEastAsia" w:cs="Arial"/>
          <w:b w:val="0"/>
          <w:bCs w:val="0"/>
        </w:rPr>
        <w:t xml:space="preserve">between states and between individual affordable housing schemes, however, </w:t>
      </w:r>
      <w:r w:rsidR="00E812B7" w:rsidRPr="00B50802">
        <w:rPr>
          <w:rStyle w:val="Strong"/>
          <w:rFonts w:eastAsiaTheme="majorEastAsia" w:cs="Arial"/>
          <w:b w:val="0"/>
          <w:bCs w:val="0"/>
        </w:rPr>
        <w:t xml:space="preserve">this </w:t>
      </w:r>
      <w:r w:rsidR="002A75EA" w:rsidRPr="00B50802">
        <w:rPr>
          <w:rStyle w:val="Strong"/>
          <w:rFonts w:eastAsiaTheme="majorEastAsia" w:cs="Arial"/>
          <w:b w:val="0"/>
          <w:bCs w:val="0"/>
        </w:rPr>
        <w:t>generally refers to housing at a lower than market rate.</w:t>
      </w:r>
      <w:r w:rsidR="002A75EA" w:rsidRPr="00B50802">
        <w:rPr>
          <w:rStyle w:val="FootnoteReference"/>
          <w:rFonts w:eastAsiaTheme="majorEastAsia" w:cs="Arial"/>
        </w:rPr>
        <w:footnoteReference w:id="108"/>
      </w:r>
      <w:r w:rsidR="002A75EA" w:rsidRPr="00B50802">
        <w:rPr>
          <w:rStyle w:val="Strong"/>
          <w:rFonts w:eastAsiaTheme="majorEastAsia" w:cs="Arial"/>
          <w:b w:val="0"/>
          <w:bCs w:val="0"/>
        </w:rPr>
        <w:t xml:space="preserve"> This can include affordable rental housing and affordable purchase products.</w:t>
      </w:r>
    </w:p>
    <w:p w14:paraId="7C867C99" w14:textId="2BCCA5C1" w:rsidR="002A75EA" w:rsidRPr="00B50802" w:rsidRDefault="002A75EA" w:rsidP="002A75EA">
      <w:pPr>
        <w:rPr>
          <w:rStyle w:val="Strong"/>
          <w:rFonts w:eastAsiaTheme="majorEastAsia" w:cs="Arial"/>
          <w:b w:val="0"/>
          <w:bCs w:val="0"/>
        </w:rPr>
      </w:pPr>
      <w:r w:rsidRPr="00B50802">
        <w:rPr>
          <w:rStyle w:val="Strong"/>
          <w:rFonts w:eastAsiaTheme="majorEastAsia" w:cs="Arial"/>
          <w:b w:val="0"/>
          <w:bCs w:val="0"/>
        </w:rPr>
        <w:t xml:space="preserve">Typically, affordable housing has broader eligibility criteria than that of social housing and has been a middle ground available for people earning too much to be applicants for social housing but </w:t>
      </w:r>
      <w:r w:rsidR="00B74E8D">
        <w:rPr>
          <w:rStyle w:val="Strong"/>
          <w:rFonts w:eastAsiaTheme="majorEastAsia" w:cs="Arial"/>
          <w:b w:val="0"/>
          <w:bCs w:val="0"/>
        </w:rPr>
        <w:t>find it difficult to secure suitable</w:t>
      </w:r>
      <w:r w:rsidRPr="00B50802">
        <w:rPr>
          <w:rStyle w:val="Strong"/>
          <w:rFonts w:eastAsiaTheme="majorEastAsia" w:cs="Arial"/>
          <w:b w:val="0"/>
          <w:bCs w:val="0"/>
        </w:rPr>
        <w:t xml:space="preserve"> private rental </w:t>
      </w:r>
      <w:r w:rsidR="00B74E8D">
        <w:rPr>
          <w:rStyle w:val="Strong"/>
          <w:rFonts w:eastAsiaTheme="majorEastAsia" w:cs="Arial"/>
          <w:b w:val="0"/>
          <w:bCs w:val="0"/>
        </w:rPr>
        <w:t>housing</w:t>
      </w:r>
      <w:r w:rsidRPr="00B50802">
        <w:rPr>
          <w:rStyle w:val="Strong"/>
          <w:rFonts w:eastAsiaTheme="majorEastAsia" w:cs="Arial"/>
          <w:b w:val="0"/>
          <w:bCs w:val="0"/>
        </w:rPr>
        <w:t xml:space="preserve">. Affordable housing can also provide a pathway out of social housing. It may also be available for </w:t>
      </w:r>
      <w:r w:rsidR="005E594C" w:rsidRPr="00B50802">
        <w:rPr>
          <w:rStyle w:val="Strong"/>
          <w:rFonts w:eastAsiaTheme="majorEastAsia" w:cs="Arial"/>
          <w:b w:val="0"/>
          <w:bCs w:val="0"/>
        </w:rPr>
        <w:t>people providing</w:t>
      </w:r>
      <w:r w:rsidRPr="00B50802">
        <w:rPr>
          <w:rStyle w:val="Strong"/>
          <w:rFonts w:eastAsiaTheme="majorEastAsia" w:cs="Arial"/>
          <w:b w:val="0"/>
          <w:bCs w:val="0"/>
        </w:rPr>
        <w:t xml:space="preserve"> </w:t>
      </w:r>
      <w:r w:rsidR="009F2F56" w:rsidRPr="00B50802">
        <w:rPr>
          <w:rStyle w:val="Strong"/>
          <w:rFonts w:eastAsiaTheme="majorEastAsia" w:cs="Arial"/>
          <w:b w:val="0"/>
          <w:bCs w:val="0"/>
        </w:rPr>
        <w:t>essential services</w:t>
      </w:r>
      <w:r w:rsidRPr="00B50802">
        <w:rPr>
          <w:rStyle w:val="Strong"/>
          <w:rFonts w:eastAsiaTheme="majorEastAsia" w:cs="Arial"/>
          <w:b w:val="0"/>
          <w:bCs w:val="0"/>
        </w:rPr>
        <w:t xml:space="preserve"> such as nurses</w:t>
      </w:r>
      <w:r w:rsidR="009F2F56" w:rsidRPr="00B50802">
        <w:rPr>
          <w:rStyle w:val="Strong"/>
          <w:rFonts w:eastAsiaTheme="majorEastAsia" w:cs="Arial"/>
          <w:b w:val="0"/>
          <w:bCs w:val="0"/>
        </w:rPr>
        <w:t>, teachers</w:t>
      </w:r>
      <w:r w:rsidRPr="00B50802">
        <w:rPr>
          <w:rStyle w:val="Strong"/>
          <w:rFonts w:eastAsiaTheme="majorEastAsia" w:cs="Arial"/>
          <w:b w:val="0"/>
          <w:bCs w:val="0"/>
        </w:rPr>
        <w:t xml:space="preserve"> and police who are in need of housing close to their workplace. </w:t>
      </w:r>
    </w:p>
    <w:p w14:paraId="614131E7" w14:textId="77777777" w:rsidR="002A75EA" w:rsidRPr="00B50802" w:rsidRDefault="002A75EA" w:rsidP="002A75EA">
      <w:pPr>
        <w:rPr>
          <w:rStyle w:val="Strong"/>
          <w:rFonts w:eastAsiaTheme="majorEastAsia" w:cs="Arial"/>
          <w:b w:val="0"/>
          <w:bCs w:val="0"/>
        </w:rPr>
      </w:pPr>
      <w:r w:rsidRPr="00B50802">
        <w:rPr>
          <w:rStyle w:val="Strong"/>
          <w:rFonts w:eastAsiaTheme="majorEastAsia" w:cs="Arial"/>
          <w:b w:val="0"/>
          <w:bCs w:val="0"/>
        </w:rPr>
        <w:t>Increasingly, affordable housing is financed, developed and managed by a combination of government, not</w:t>
      </w:r>
      <w:r w:rsidR="00B07826" w:rsidRPr="00B50802">
        <w:rPr>
          <w:rStyle w:val="Strong"/>
          <w:rFonts w:eastAsiaTheme="majorEastAsia" w:cs="Arial"/>
          <w:b w:val="0"/>
          <w:bCs w:val="0"/>
        </w:rPr>
        <w:t>-</w:t>
      </w:r>
      <w:r w:rsidRPr="00B50802">
        <w:rPr>
          <w:rStyle w:val="Strong"/>
          <w:rFonts w:eastAsiaTheme="majorEastAsia" w:cs="Arial"/>
          <w:b w:val="0"/>
          <w:bCs w:val="0"/>
        </w:rPr>
        <w:t>for</w:t>
      </w:r>
      <w:r w:rsidR="00B07826" w:rsidRPr="00B50802">
        <w:rPr>
          <w:rStyle w:val="Strong"/>
          <w:rFonts w:eastAsiaTheme="majorEastAsia" w:cs="Arial"/>
          <w:b w:val="0"/>
          <w:bCs w:val="0"/>
        </w:rPr>
        <w:t>-</w:t>
      </w:r>
      <w:r w:rsidRPr="00B50802">
        <w:rPr>
          <w:rStyle w:val="Strong"/>
          <w:rFonts w:eastAsiaTheme="majorEastAsia" w:cs="Arial"/>
          <w:b w:val="0"/>
          <w:bCs w:val="0"/>
        </w:rPr>
        <w:t>profit and for</w:t>
      </w:r>
      <w:r w:rsidR="00B07826" w:rsidRPr="00B50802">
        <w:rPr>
          <w:rStyle w:val="Strong"/>
          <w:rFonts w:eastAsiaTheme="majorEastAsia" w:cs="Arial"/>
          <w:b w:val="0"/>
          <w:bCs w:val="0"/>
        </w:rPr>
        <w:t>-</w:t>
      </w:r>
      <w:r w:rsidRPr="00B50802">
        <w:rPr>
          <w:rStyle w:val="Strong"/>
          <w:rFonts w:eastAsiaTheme="majorEastAsia" w:cs="Arial"/>
          <w:b w:val="0"/>
          <w:bCs w:val="0"/>
        </w:rPr>
        <w:t xml:space="preserve">profit institutions. Through the Housing Accord, all </w:t>
      </w:r>
      <w:r w:rsidR="00F74A0A" w:rsidRPr="00B50802">
        <w:rPr>
          <w:rStyle w:val="Strong"/>
          <w:rFonts w:eastAsiaTheme="majorEastAsia" w:cs="Arial"/>
          <w:b w:val="0"/>
          <w:bCs w:val="0"/>
        </w:rPr>
        <w:t xml:space="preserve">3 </w:t>
      </w:r>
      <w:r w:rsidRPr="00B50802">
        <w:rPr>
          <w:rStyle w:val="Strong"/>
          <w:rFonts w:eastAsiaTheme="majorEastAsia" w:cs="Arial"/>
          <w:b w:val="0"/>
          <w:bCs w:val="0"/>
        </w:rPr>
        <w:t>level</w:t>
      </w:r>
      <w:r w:rsidR="00F74A0A" w:rsidRPr="00B50802">
        <w:rPr>
          <w:rStyle w:val="Strong"/>
          <w:rFonts w:eastAsiaTheme="majorEastAsia" w:cs="Arial"/>
          <w:b w:val="0"/>
          <w:bCs w:val="0"/>
        </w:rPr>
        <w:t>s</w:t>
      </w:r>
      <w:r w:rsidRPr="00B50802">
        <w:rPr>
          <w:rStyle w:val="Strong"/>
          <w:rFonts w:eastAsiaTheme="majorEastAsia" w:cs="Arial"/>
          <w:b w:val="0"/>
          <w:bCs w:val="0"/>
        </w:rPr>
        <w:t xml:space="preserve"> of government have committed to working together to increase affordable housing and bring in more institution investment. </w:t>
      </w:r>
      <w:r w:rsidR="00F74A0A" w:rsidRPr="00B50802">
        <w:rPr>
          <w:rStyle w:val="Strong"/>
          <w:rFonts w:eastAsiaTheme="majorEastAsia" w:cs="Arial"/>
          <w:b w:val="0"/>
          <w:bCs w:val="0"/>
        </w:rPr>
        <w:t xml:space="preserve">The </w:t>
      </w:r>
      <w:r w:rsidR="00F74A0A" w:rsidRPr="00B50802">
        <w:t xml:space="preserve">Australian Housing and Urban Research Institute </w:t>
      </w:r>
      <w:r w:rsidRPr="00B50802">
        <w:t>has highlighted the importance of partnership across the public, community and private sectors, to build capacity throughout the housing industry to deliver more affordable housing.</w:t>
      </w:r>
      <w:r w:rsidRPr="00B50802">
        <w:rPr>
          <w:rStyle w:val="FootnoteReference"/>
        </w:rPr>
        <w:footnoteReference w:id="109"/>
      </w:r>
      <w:r w:rsidRPr="00B50802">
        <w:rPr>
          <w:rStyle w:val="Strong"/>
          <w:rFonts w:eastAsiaTheme="majorEastAsia" w:cs="Arial"/>
          <w:b w:val="0"/>
          <w:bCs w:val="0"/>
        </w:rPr>
        <w:t xml:space="preserve"> </w:t>
      </w:r>
    </w:p>
    <w:p w14:paraId="7CA6D240" w14:textId="00F7FE7C" w:rsidR="00C52922" w:rsidRPr="00B50802" w:rsidRDefault="002A75EA" w:rsidP="00C52922">
      <w:pPr>
        <w:rPr>
          <w:rStyle w:val="Strong"/>
          <w:rFonts w:eastAsiaTheme="majorEastAsia" w:cs="Arial"/>
          <w:b w:val="0"/>
          <w:bCs w:val="0"/>
        </w:rPr>
      </w:pPr>
      <w:r w:rsidRPr="00B50802">
        <w:rPr>
          <w:rStyle w:val="Strong"/>
          <w:rFonts w:eastAsiaTheme="majorEastAsia" w:cs="Arial"/>
          <w:b w:val="0"/>
          <w:bCs w:val="0"/>
        </w:rPr>
        <w:t xml:space="preserve">Currently, there is very limited data available on the number of affordable rental dwellings in Australia, and </w:t>
      </w:r>
      <w:r w:rsidR="00CA0540" w:rsidRPr="00B50802">
        <w:rPr>
          <w:rStyle w:val="Strong"/>
          <w:rFonts w:eastAsiaTheme="majorEastAsia" w:cs="Arial"/>
          <w:b w:val="0"/>
          <w:bCs w:val="0"/>
        </w:rPr>
        <w:t xml:space="preserve">it is </w:t>
      </w:r>
      <w:r w:rsidRPr="00B50802">
        <w:rPr>
          <w:rStyle w:val="Strong"/>
          <w:rFonts w:eastAsiaTheme="majorEastAsia" w:cs="Arial"/>
          <w:b w:val="0"/>
          <w:bCs w:val="0"/>
        </w:rPr>
        <w:t xml:space="preserve">therefore </w:t>
      </w:r>
      <w:r w:rsidR="008A1B48" w:rsidRPr="00B50802">
        <w:rPr>
          <w:rStyle w:val="Strong"/>
          <w:rFonts w:eastAsiaTheme="majorEastAsia" w:cs="Arial"/>
          <w:b w:val="0"/>
          <w:bCs w:val="0"/>
        </w:rPr>
        <w:t>difficult to determine</w:t>
      </w:r>
      <w:r w:rsidRPr="00B50802">
        <w:rPr>
          <w:rStyle w:val="Strong"/>
          <w:rFonts w:eastAsiaTheme="majorEastAsia" w:cs="Arial"/>
          <w:b w:val="0"/>
          <w:bCs w:val="0"/>
        </w:rPr>
        <w:t xml:space="preserve"> the </w:t>
      </w:r>
      <w:r w:rsidR="005E594C" w:rsidRPr="00B50802">
        <w:rPr>
          <w:rStyle w:val="Strong"/>
          <w:rFonts w:eastAsiaTheme="majorEastAsia" w:cs="Arial"/>
          <w:b w:val="0"/>
          <w:bCs w:val="0"/>
        </w:rPr>
        <w:t xml:space="preserve">unmet need for </w:t>
      </w:r>
      <w:r w:rsidRPr="00B50802">
        <w:rPr>
          <w:rStyle w:val="Strong"/>
          <w:rFonts w:eastAsiaTheme="majorEastAsia" w:cs="Arial"/>
          <w:b w:val="0"/>
          <w:bCs w:val="0"/>
        </w:rPr>
        <w:t>affordable rental housing.</w:t>
      </w:r>
      <w:r w:rsidRPr="00B50802">
        <w:rPr>
          <w:rStyle w:val="FootnoteReference"/>
          <w:rFonts w:eastAsiaTheme="majorEastAsia" w:cs="Arial"/>
        </w:rPr>
        <w:footnoteReference w:id="110"/>
      </w:r>
      <w:r w:rsidRPr="00B50802">
        <w:rPr>
          <w:noProof/>
          <w:color w:val="000000" w:themeColor="text1"/>
          <w:u w:val="single"/>
          <w:lang w:eastAsia="en-AU"/>
        </w:rPr>
        <w:t xml:space="preserve"> </w:t>
      </w:r>
    </w:p>
    <w:p w14:paraId="26DCCCC6" w14:textId="77777777" w:rsidR="00C52922" w:rsidRPr="00B50802" w:rsidRDefault="00C52922">
      <w:pPr>
        <w:rPr>
          <w:rStyle w:val="Strong"/>
          <w:rFonts w:eastAsiaTheme="majorEastAsia" w:cs="Arial"/>
          <w:b w:val="0"/>
          <w:bCs w:val="0"/>
        </w:rPr>
      </w:pPr>
      <w:r w:rsidRPr="00B50802">
        <w:rPr>
          <w:rStyle w:val="Strong"/>
          <w:rFonts w:eastAsiaTheme="majorEastAsia" w:cs="Arial"/>
          <w:b w:val="0"/>
          <w:bCs w:val="0"/>
        </w:rPr>
        <w:br w:type="page"/>
      </w:r>
    </w:p>
    <w:p w14:paraId="7FA89494" w14:textId="5936FFFF" w:rsidR="00C52922" w:rsidRPr="00B50802" w:rsidRDefault="00C52922" w:rsidP="00C52922">
      <w:pPr>
        <w:jc w:val="center"/>
        <w:rPr>
          <w:b/>
          <w:bCs/>
          <w:color w:val="000000" w:themeColor="text1"/>
        </w:rPr>
      </w:pPr>
      <w:r w:rsidRPr="00B75F7D">
        <w:rPr>
          <w:rFonts w:eastAsiaTheme="majorEastAsia" w:cs="Arial"/>
          <w:noProof/>
          <w:lang w:eastAsia="en-AU"/>
        </w:rPr>
        <w:lastRenderedPageBreak/>
        <mc:AlternateContent>
          <mc:Choice Requires="wps">
            <w:drawing>
              <wp:anchor distT="0" distB="0" distL="114300" distR="114300" simplePos="0" relativeHeight="251658263" behindDoc="1" locked="0" layoutInCell="1" allowOverlap="1" wp14:anchorId="4CDE67D4" wp14:editId="20CFBB96">
                <wp:simplePos x="0" y="0"/>
                <wp:positionH relativeFrom="margin">
                  <wp:align>center</wp:align>
                </wp:positionH>
                <wp:positionV relativeFrom="paragraph">
                  <wp:posOffset>0</wp:posOffset>
                </wp:positionV>
                <wp:extent cx="5953125" cy="6229350"/>
                <wp:effectExtent l="0" t="0" r="28575" b="19050"/>
                <wp:wrapNone/>
                <wp:docPr id="246" name="Rectangle 246" descr="Decorative"/>
                <wp:cNvGraphicFramePr/>
                <a:graphic xmlns:a="http://schemas.openxmlformats.org/drawingml/2006/main">
                  <a:graphicData uri="http://schemas.microsoft.com/office/word/2010/wordprocessingShape">
                    <wps:wsp>
                      <wps:cNvSpPr/>
                      <wps:spPr>
                        <a:xfrm>
                          <a:off x="0" y="0"/>
                          <a:ext cx="5953125" cy="6229350"/>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2E0E3" id="Rectangle 246" o:spid="_x0000_s1026" alt="Decorative" style="position:absolute;margin-left:0;margin-top:0;width:468.75pt;height:490.5pt;z-index:-2516582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" fillcolor="#f2f2f2 [3052]" strokecolor="black [3213]" strokeweight=".25pt">
                <w10:wrap anchorx="margin"/>
              </v:rect>
            </w:pict>
          </mc:Fallback>
        </mc:AlternateContent>
      </w:r>
      <w:r w:rsidRPr="00B50802">
        <w:rPr>
          <w:b/>
          <w:bCs/>
          <w:color w:val="000000" w:themeColor="text1"/>
        </w:rPr>
        <w:br/>
      </w:r>
      <w:r w:rsidRPr="00B50802">
        <w:rPr>
          <w:rStyle w:val="Strong"/>
          <w:rFonts w:eastAsiaTheme="majorEastAsia" w:cs="Arial"/>
          <w:b w:val="0"/>
          <w:bCs w:val="0"/>
          <w:noProof/>
          <w:lang w:eastAsia="en-AU"/>
        </w:rPr>
        <w:drawing>
          <wp:anchor distT="0" distB="0" distL="114300" distR="114300" simplePos="0" relativeHeight="251658264" behindDoc="0" locked="0" layoutInCell="1" allowOverlap="1" wp14:anchorId="01D3ED77" wp14:editId="3F0B4229">
            <wp:simplePos x="0" y="0"/>
            <wp:positionH relativeFrom="margin">
              <wp:align>left</wp:align>
            </wp:positionH>
            <wp:positionV relativeFrom="paragraph">
              <wp:posOffset>105879</wp:posOffset>
            </wp:positionV>
            <wp:extent cx="597535" cy="463550"/>
            <wp:effectExtent l="0" t="0" r="0" b="0"/>
            <wp:wrapThrough wrapText="bothSides">
              <wp:wrapPolygon edited="0">
                <wp:start x="7575" y="0"/>
                <wp:lineTo x="0" y="4438"/>
                <wp:lineTo x="0" y="15090"/>
                <wp:lineTo x="13773" y="20416"/>
                <wp:lineTo x="15150" y="20416"/>
                <wp:lineTo x="19282" y="20416"/>
                <wp:lineTo x="20659" y="14203"/>
                <wp:lineTo x="20659" y="6214"/>
                <wp:lineTo x="17216" y="0"/>
                <wp:lineTo x="7575" y="0"/>
              </wp:wrapPolygon>
            </wp:wrapThrough>
            <wp:docPr id="247" name="Picture 2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535" cy="463550"/>
                    </a:xfrm>
                    <a:prstGeom prst="rect">
                      <a:avLst/>
                    </a:prstGeom>
                    <a:noFill/>
                  </pic:spPr>
                </pic:pic>
              </a:graphicData>
            </a:graphic>
          </wp:anchor>
        </w:drawing>
      </w:r>
      <w:r w:rsidRPr="00B50802">
        <w:rPr>
          <w:b/>
          <w:bCs/>
          <w:color w:val="000000" w:themeColor="text1"/>
        </w:rPr>
        <w:t>Affordable housing and housing affordability supports</w:t>
      </w:r>
      <w:r w:rsidR="00BD5B9D" w:rsidRPr="00B50802">
        <w:rPr>
          <w:b/>
          <w:bCs/>
          <w:color w:val="000000" w:themeColor="text1"/>
        </w:rPr>
        <w:br/>
      </w:r>
    </w:p>
    <w:p w14:paraId="0158EB01" w14:textId="6570F42B" w:rsidR="00C52922" w:rsidRPr="00B50802" w:rsidRDefault="00C52922" w:rsidP="00C52922">
      <w:r w:rsidRPr="00B50802">
        <w:t xml:space="preserve">The Australian Government has introduced </w:t>
      </w:r>
      <w:r w:rsidR="005E594C" w:rsidRPr="00B50802">
        <w:t xml:space="preserve">a number of </w:t>
      </w:r>
      <w:r w:rsidRPr="00B50802">
        <w:t>new initiatives to address housing affordability</w:t>
      </w:r>
      <w:r w:rsidR="005E594C" w:rsidRPr="00B50802">
        <w:t xml:space="preserve">, including, among others, the </w:t>
      </w:r>
      <w:r w:rsidR="005E594C" w:rsidRPr="00B50802">
        <w:rPr>
          <w:color w:val="000000" w:themeColor="text1"/>
        </w:rPr>
        <w:t xml:space="preserve">National Housing Accord and the </w:t>
      </w:r>
      <w:r w:rsidR="005E594C" w:rsidRPr="00B50802">
        <w:rPr>
          <w:rFonts w:cs="Arial"/>
          <w:color w:val="000000" w:themeColor="text1"/>
        </w:rPr>
        <w:t>National Housing Supply and Affordability Council</w:t>
      </w:r>
      <w:r w:rsidRPr="00B50802">
        <w:t>.</w:t>
      </w:r>
    </w:p>
    <w:p w14:paraId="4B3C34F1" w14:textId="77777777" w:rsidR="00C52922" w:rsidRPr="00B50802" w:rsidRDefault="00C52922" w:rsidP="00C52922">
      <w:pPr>
        <w:rPr>
          <w:b/>
          <w:color w:val="000000" w:themeColor="text1"/>
        </w:rPr>
      </w:pPr>
      <w:r w:rsidRPr="00B50802">
        <w:rPr>
          <w:b/>
          <w:color w:val="000000" w:themeColor="text1"/>
        </w:rPr>
        <w:t>The National Housing Accord – affordable housing targets</w:t>
      </w:r>
    </w:p>
    <w:p w14:paraId="5FC7E880" w14:textId="0B260982" w:rsidR="00C52922" w:rsidRPr="00B50802" w:rsidRDefault="00C52922" w:rsidP="00C52922">
      <w:pPr>
        <w:rPr>
          <w:lang w:eastAsia="en-AU"/>
        </w:rPr>
      </w:pPr>
      <w:r w:rsidRPr="00B50802">
        <w:rPr>
          <w:lang w:eastAsia="en-AU"/>
        </w:rPr>
        <w:t xml:space="preserve">The Accord aims to align the efforts of all levels of government, institutional investors and the construction sector to help tackle the nation’s housing </w:t>
      </w:r>
      <w:r w:rsidR="007A383B" w:rsidRPr="00B50802">
        <w:rPr>
          <w:lang w:eastAsia="en-AU"/>
        </w:rPr>
        <w:t>challe</w:t>
      </w:r>
      <w:r w:rsidR="004A1590" w:rsidRPr="00B50802">
        <w:rPr>
          <w:lang w:eastAsia="en-AU"/>
        </w:rPr>
        <w:t>nges</w:t>
      </w:r>
      <w:r w:rsidRPr="00B50802">
        <w:rPr>
          <w:lang w:eastAsia="en-AU"/>
        </w:rPr>
        <w:t>. Key commitments under the Accord include:</w:t>
      </w:r>
    </w:p>
    <w:p w14:paraId="132F71D6" w14:textId="77777777" w:rsidR="00C52922" w:rsidRPr="00B50802" w:rsidRDefault="00C52922" w:rsidP="00506313">
      <w:pPr>
        <w:pStyle w:val="Bullets"/>
        <w:numPr>
          <w:ilvl w:val="0"/>
          <w:numId w:val="44"/>
        </w:numPr>
      </w:pPr>
      <w:r w:rsidRPr="00B50802">
        <w:t xml:space="preserve">an aspirational national target of delivering 1 million new, well-located homes over </w:t>
      </w:r>
      <w:r w:rsidR="00BD5B9D" w:rsidRPr="00B50802">
        <w:br/>
      </w:r>
      <w:r w:rsidRPr="00B50802">
        <w:t>5 years from 2024</w:t>
      </w:r>
    </w:p>
    <w:p w14:paraId="1E2ED179" w14:textId="77777777" w:rsidR="00C52922" w:rsidRPr="00B50802" w:rsidRDefault="00C52922" w:rsidP="00506313">
      <w:pPr>
        <w:pStyle w:val="Bullets"/>
        <w:numPr>
          <w:ilvl w:val="0"/>
          <w:numId w:val="44"/>
        </w:numPr>
        <w:rPr>
          <w:rFonts w:cstheme="minorHAnsi"/>
          <w:color w:val="000000" w:themeColor="text1"/>
        </w:rPr>
      </w:pPr>
      <w:r w:rsidRPr="00B50802">
        <w:t xml:space="preserve">an Australian government commitment of $350 million over 5 years </w:t>
      </w:r>
      <w:r w:rsidR="008A1B48" w:rsidRPr="00B50802">
        <w:t xml:space="preserve">from 2024 </w:t>
      </w:r>
      <w:r w:rsidRPr="00B50802">
        <w:t>to support the delivery of 10,000 affordable homes. States will build on this commitment to deliver up to 10,000 affordable homes, enabling delivery of up to 20,000 affordable homes in total.</w:t>
      </w:r>
    </w:p>
    <w:p w14:paraId="0526C150" w14:textId="77777777" w:rsidR="00C52922" w:rsidRPr="00B50802" w:rsidRDefault="00C52922" w:rsidP="00C52922">
      <w:pPr>
        <w:pStyle w:val="Bullet"/>
        <w:tabs>
          <w:tab w:val="clear" w:pos="520"/>
          <w:tab w:val="left" w:pos="720"/>
        </w:tabs>
        <w:spacing w:after="240" w:line="257" w:lineRule="auto"/>
        <w:ind w:left="522" w:hanging="522"/>
        <w:textAlignment w:val="auto"/>
        <w:rPr>
          <w:rFonts w:ascii="Arial" w:hAnsi="Arial" w:cs="Arial"/>
          <w:b/>
          <w:color w:val="000000" w:themeColor="text1"/>
          <w:szCs w:val="22"/>
        </w:rPr>
      </w:pPr>
      <w:r w:rsidRPr="00B50802">
        <w:rPr>
          <w:rFonts w:ascii="Arial" w:hAnsi="Arial" w:cs="Arial"/>
          <w:b/>
          <w:color w:val="000000" w:themeColor="text1"/>
          <w:szCs w:val="22"/>
        </w:rPr>
        <w:t>The National Housing Supply and Affordability Council</w:t>
      </w:r>
    </w:p>
    <w:p w14:paraId="3AD2CFF0" w14:textId="77777777" w:rsidR="00C52922" w:rsidRPr="00B50802" w:rsidRDefault="00C52922" w:rsidP="00C52922">
      <w:pPr>
        <w:pStyle w:val="Bullet"/>
        <w:tabs>
          <w:tab w:val="clear" w:pos="520"/>
          <w:tab w:val="left" w:pos="720"/>
        </w:tabs>
        <w:spacing w:line="256" w:lineRule="auto"/>
        <w:contextualSpacing/>
        <w:textAlignment w:val="auto"/>
        <w:rPr>
          <w:rFonts w:ascii="Arial" w:hAnsi="Arial" w:cstheme="minorHAnsi"/>
          <w:color w:val="000000" w:themeColor="text1"/>
          <w:szCs w:val="22"/>
        </w:rPr>
      </w:pPr>
      <w:r w:rsidRPr="00B50802">
        <w:rPr>
          <w:rFonts w:ascii="Arial" w:hAnsi="Arial" w:cstheme="minorHAnsi"/>
          <w:color w:val="000000" w:themeColor="text1"/>
          <w:szCs w:val="22"/>
        </w:rPr>
        <w:t>The Council will deliver independent advice to government on ways to increase housing</w:t>
      </w:r>
    </w:p>
    <w:p w14:paraId="447FF4AB" w14:textId="77777777" w:rsidR="00C52922" w:rsidRPr="00B50802" w:rsidRDefault="00C52922" w:rsidP="00C52922">
      <w:pPr>
        <w:rPr>
          <w:rFonts w:cstheme="minorHAnsi"/>
          <w:color w:val="000000" w:themeColor="text1"/>
        </w:rPr>
      </w:pPr>
      <w:r w:rsidRPr="00B50802">
        <w:rPr>
          <w:rFonts w:cstheme="minorHAnsi"/>
          <w:color w:val="000000" w:themeColor="text1"/>
        </w:rPr>
        <w:t xml:space="preserve">supply and </w:t>
      </w:r>
      <w:r w:rsidRPr="00B50802">
        <w:rPr>
          <w:lang w:eastAsia="en-AU"/>
        </w:rPr>
        <w:t>affordability</w:t>
      </w:r>
      <w:r w:rsidRPr="00B50802">
        <w:rPr>
          <w:rFonts w:cstheme="minorHAnsi"/>
          <w:color w:val="000000" w:themeColor="text1"/>
        </w:rPr>
        <w:t>. Its functions will include:</w:t>
      </w:r>
    </w:p>
    <w:p w14:paraId="7BDA0CB9" w14:textId="77777777" w:rsidR="00C52922" w:rsidRPr="00B50802" w:rsidRDefault="00C52922" w:rsidP="00506313">
      <w:pPr>
        <w:pStyle w:val="Bullets"/>
        <w:numPr>
          <w:ilvl w:val="0"/>
          <w:numId w:val="45"/>
        </w:numPr>
      </w:pPr>
      <w:r w:rsidRPr="00B50802">
        <w:t xml:space="preserve">monitoring and reporting on conditions in the housing sector that impact </w:t>
      </w:r>
      <w:r w:rsidRPr="00B50802">
        <w:br/>
        <w:t>home ownership, housing supply and affordability, rental affordability, homelessness</w:t>
      </w:r>
    </w:p>
    <w:p w14:paraId="772715C8" w14:textId="77777777" w:rsidR="00C52922" w:rsidRPr="00B50802" w:rsidRDefault="00C52922" w:rsidP="00506313">
      <w:pPr>
        <w:pStyle w:val="Bullets"/>
        <w:numPr>
          <w:ilvl w:val="0"/>
          <w:numId w:val="45"/>
        </w:numPr>
      </w:pPr>
      <w:r w:rsidRPr="00B50802">
        <w:t>working collaboratively</w:t>
      </w:r>
      <w:r w:rsidRPr="00B50802">
        <w:rPr>
          <w:rFonts w:cstheme="minorHAnsi"/>
          <w:color w:val="000000" w:themeColor="text1"/>
        </w:rPr>
        <w:t xml:space="preserve"> with other Australian government bodies, state, territory and local governments and other stakeholders in the housing sector to support the collection and publication of nationally consistent data on housing supply and affordability and on demand for affordable housing.</w:t>
      </w:r>
    </w:p>
    <w:p w14:paraId="317B8E2C" w14:textId="77777777" w:rsidR="00BD5B9D" w:rsidRPr="00B50802" w:rsidRDefault="00BD5B9D" w:rsidP="00C52922">
      <w:pPr>
        <w:rPr>
          <w:rStyle w:val="Strong"/>
          <w:rFonts w:eastAsiaTheme="majorEastAsia" w:cs="Arial"/>
          <w:b w:val="0"/>
          <w:bCs w:val="0"/>
        </w:rPr>
      </w:pPr>
    </w:p>
    <w:p w14:paraId="6C09F2D7" w14:textId="77777777" w:rsidR="00BD5B9D" w:rsidRPr="00B50802" w:rsidRDefault="00BD5B9D">
      <w:pPr>
        <w:rPr>
          <w:rStyle w:val="Strong"/>
          <w:rFonts w:eastAsiaTheme="majorEastAsia" w:cs="Arial"/>
          <w:b w:val="0"/>
          <w:bCs w:val="0"/>
        </w:rPr>
      </w:pPr>
      <w:r w:rsidRPr="00B50802">
        <w:rPr>
          <w:rStyle w:val="Strong"/>
          <w:rFonts w:eastAsiaTheme="majorEastAsia" w:cs="Arial"/>
          <w:b w:val="0"/>
          <w:bCs w:val="0"/>
        </w:rPr>
        <w:br w:type="page"/>
      </w:r>
    </w:p>
    <w:p w14:paraId="54B61F89" w14:textId="77777777" w:rsidR="00BD5B9D" w:rsidRPr="00B50802" w:rsidRDefault="00BD5B9D" w:rsidP="00BD5B9D">
      <w:pPr>
        <w:rPr>
          <w:rStyle w:val="BulletChar"/>
          <w:rFonts w:ascii="Arial" w:eastAsiaTheme="minorHAnsi" w:hAnsi="Arial" w:cs="Arial"/>
          <w:b/>
          <w:color w:val="005A70"/>
        </w:rPr>
      </w:pPr>
      <w:r w:rsidRPr="00B50802">
        <w:rPr>
          <w:rFonts w:cs="Arial"/>
          <w:b/>
          <w:noProof/>
          <w:color w:val="005A70"/>
          <w:szCs w:val="24"/>
          <w:lang w:eastAsia="en-AU"/>
        </w:rPr>
        <w:lastRenderedPageBreak/>
        <mc:AlternateContent>
          <mc:Choice Requires="wps">
            <w:drawing>
              <wp:anchor distT="0" distB="0" distL="114300" distR="114300" simplePos="0" relativeHeight="251658288" behindDoc="0" locked="0" layoutInCell="1" allowOverlap="1" wp14:anchorId="34605EDA" wp14:editId="571E9460">
                <wp:simplePos x="0" y="0"/>
                <wp:positionH relativeFrom="margin">
                  <wp:posOffset>-99012</wp:posOffset>
                </wp:positionH>
                <wp:positionV relativeFrom="paragraph">
                  <wp:posOffset>186375</wp:posOffset>
                </wp:positionV>
                <wp:extent cx="5934863" cy="3637721"/>
                <wp:effectExtent l="0" t="0" r="27940" b="20320"/>
                <wp:wrapNone/>
                <wp:docPr id="245" name="Rectangle 245" descr="Decorative"/>
                <wp:cNvGraphicFramePr/>
                <a:graphic xmlns:a="http://schemas.openxmlformats.org/drawingml/2006/main">
                  <a:graphicData uri="http://schemas.microsoft.com/office/word/2010/wordprocessingShape">
                    <wps:wsp>
                      <wps:cNvSpPr/>
                      <wps:spPr>
                        <a:xfrm>
                          <a:off x="0" y="0"/>
                          <a:ext cx="5934863" cy="3637721"/>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6F1B" id="Rectangle 245" o:spid="_x0000_s1026" alt="Decorative" style="position:absolute;margin-left:-7.8pt;margin-top:14.7pt;width:467.3pt;height:286.4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" filled="f" strokecolor="#005a70" strokeweight="2pt">
                <w10:wrap anchorx="margin"/>
              </v:rect>
            </w:pict>
          </mc:Fallback>
        </mc:AlternateContent>
      </w:r>
    </w:p>
    <w:p w14:paraId="69E4A74E" w14:textId="77777777" w:rsidR="00BD5B9D" w:rsidRPr="00B50802" w:rsidRDefault="00BD5B9D" w:rsidP="00BD5B9D">
      <w:pPr>
        <w:pStyle w:val="Bullet"/>
        <w:jc w:val="right"/>
        <w:rPr>
          <w:rStyle w:val="BulletChar"/>
          <w:rFonts w:ascii="Arial" w:eastAsiaTheme="minorHAnsi" w:hAnsi="Arial" w:cs="Arial"/>
          <w:b/>
          <w:color w:val="005A70"/>
        </w:rPr>
      </w:pPr>
      <w:r w:rsidRPr="00B50802">
        <w:rPr>
          <w:noProof/>
          <w:color w:val="000000" w:themeColor="text1"/>
          <w:u w:val="single"/>
        </w:rPr>
        <w:drawing>
          <wp:anchor distT="0" distB="0" distL="114300" distR="114300" simplePos="0" relativeHeight="251658287" behindDoc="0" locked="0" layoutInCell="1" allowOverlap="1" wp14:anchorId="24B87AAF" wp14:editId="521A4189">
            <wp:simplePos x="0" y="0"/>
            <wp:positionH relativeFrom="margin">
              <wp:align>left</wp:align>
            </wp:positionH>
            <wp:positionV relativeFrom="paragraph">
              <wp:posOffset>12727</wp:posOffset>
            </wp:positionV>
            <wp:extent cx="725170" cy="621665"/>
            <wp:effectExtent l="0" t="0" r="0" b="6985"/>
            <wp:wrapThrough wrapText="bothSides">
              <wp:wrapPolygon edited="0">
                <wp:start x="0" y="0"/>
                <wp:lineTo x="0" y="15224"/>
                <wp:lineTo x="10781" y="21181"/>
                <wp:lineTo x="14186" y="21181"/>
                <wp:lineTo x="14753" y="21181"/>
                <wp:lineTo x="19292" y="10590"/>
                <wp:lineTo x="20995" y="5295"/>
                <wp:lineTo x="20995" y="0"/>
                <wp:lineTo x="0" y="0"/>
              </wp:wrapPolygon>
            </wp:wrapThrough>
            <wp:docPr id="239" name="Picture 23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5170" cy="621665"/>
                    </a:xfrm>
                    <a:prstGeom prst="rect">
                      <a:avLst/>
                    </a:prstGeom>
                    <a:noFill/>
                  </pic:spPr>
                </pic:pic>
              </a:graphicData>
            </a:graphic>
            <wp14:sizeRelH relativeFrom="page">
              <wp14:pctWidth>0</wp14:pctWidth>
            </wp14:sizeRelH>
            <wp14:sizeRelV relativeFrom="page">
              <wp14:pctHeight>0</wp14:pctHeight>
            </wp14:sizeRelV>
          </wp:anchor>
        </w:drawing>
      </w:r>
      <w:r w:rsidRPr="00B50802">
        <w:rPr>
          <w:rStyle w:val="BulletChar"/>
          <w:rFonts w:ascii="Arial" w:eastAsiaTheme="minorHAnsi" w:hAnsi="Arial" w:cs="Arial"/>
          <w:b/>
          <w:color w:val="005A70"/>
        </w:rPr>
        <w:t xml:space="preserve">Case study – Australian Capital Territory </w:t>
      </w:r>
      <w:r w:rsidRPr="00B50802">
        <w:rPr>
          <w:rStyle w:val="BulletChar"/>
          <w:rFonts w:ascii="Arial" w:eastAsiaTheme="minorHAnsi" w:hAnsi="Arial" w:cs="Arial"/>
          <w:b/>
          <w:color w:val="005A70"/>
        </w:rPr>
        <w:br/>
        <w:t>Affordable Community Housing Land Tax Exemption</w:t>
      </w:r>
    </w:p>
    <w:p w14:paraId="03F341B1" w14:textId="77777777" w:rsidR="00BD5B9D" w:rsidRPr="00B50802" w:rsidRDefault="00BD5B9D" w:rsidP="00BD5B9D">
      <w:r w:rsidRPr="00B50802">
        <w:br/>
      </w:r>
      <w:r w:rsidRPr="00B50802">
        <w:br/>
        <w:t xml:space="preserve">Land tax exemptions are available in the Australian Capital Territory for homeowners who rent their properties at an affordable rate (75% or less of market rent) to eligible households, via a registered community housing provider. In some circumstances, property owners may also be eligible for a Deductable Gift Receipt for the difference between the market and affordable rent. </w:t>
      </w:r>
    </w:p>
    <w:p w14:paraId="262BDB6D" w14:textId="77777777" w:rsidR="00BD5B9D" w:rsidRPr="00B50802" w:rsidRDefault="00BD5B9D" w:rsidP="00BD5B9D">
      <w:r w:rsidRPr="00B50802">
        <w:t>The initiative is targeted towards property owners who would like to offer a helping hand to those struggling to find appropriate and affordable accommodation, while also knowing the tenancy is being well managed.</w:t>
      </w:r>
    </w:p>
    <w:p w14:paraId="7B8D99F1" w14:textId="77777777" w:rsidR="00BD5B9D" w:rsidRPr="00B50802" w:rsidRDefault="00BD5B9D" w:rsidP="00BD5B9D">
      <w:r w:rsidRPr="00B50802">
        <w:t xml:space="preserve">Two local community housing providers are participating in the scheme: </w:t>
      </w:r>
    </w:p>
    <w:p w14:paraId="0257BF58" w14:textId="77777777" w:rsidR="00BD5B9D" w:rsidRPr="00B50802" w:rsidRDefault="00BD5B9D" w:rsidP="00BD5B9D">
      <w:pPr>
        <w:pStyle w:val="ListParagraph"/>
        <w:numPr>
          <w:ilvl w:val="0"/>
          <w:numId w:val="2"/>
        </w:numPr>
        <w:ind w:left="714" w:hanging="357"/>
        <w:contextualSpacing w:val="0"/>
      </w:pPr>
      <w:r w:rsidRPr="00B50802">
        <w:t xml:space="preserve">Community Housing Canberra participates through its real estate and property management arm, HomeGround Real Estate </w:t>
      </w:r>
    </w:p>
    <w:p w14:paraId="7B545221" w14:textId="4057E5BE" w:rsidR="00BD5B9D" w:rsidRPr="00B50802" w:rsidRDefault="003D26F9" w:rsidP="003865C1">
      <w:pPr>
        <w:pStyle w:val="ListParagraph"/>
        <w:numPr>
          <w:ilvl w:val="0"/>
          <w:numId w:val="2"/>
        </w:numPr>
        <w:spacing w:after="360"/>
        <w:ind w:left="714" w:hanging="357"/>
        <w:contextualSpacing w:val="0"/>
        <w:rPr>
          <w:rStyle w:val="Strong"/>
          <w:b w:val="0"/>
          <w:bCs w:val="0"/>
        </w:rPr>
      </w:pPr>
      <w:r w:rsidRPr="00B50802">
        <w:rPr>
          <w:rFonts w:eastAsiaTheme="majorEastAsia"/>
          <w:b/>
          <w:bCs/>
          <w:noProof/>
          <w:lang w:eastAsia="en-AU"/>
        </w:rPr>
        <mc:AlternateContent>
          <mc:Choice Requires="wps">
            <w:drawing>
              <wp:anchor distT="0" distB="0" distL="114300" distR="114300" simplePos="0" relativeHeight="251658309" behindDoc="1" locked="0" layoutInCell="1" allowOverlap="1" wp14:anchorId="3CD9CA84" wp14:editId="369B93C6">
                <wp:simplePos x="0" y="0"/>
                <wp:positionH relativeFrom="margin">
                  <wp:posOffset>-108000</wp:posOffset>
                </wp:positionH>
                <wp:positionV relativeFrom="paragraph">
                  <wp:posOffset>360810</wp:posOffset>
                </wp:positionV>
                <wp:extent cx="5954400" cy="2102300"/>
                <wp:effectExtent l="0" t="0" r="27305" b="12700"/>
                <wp:wrapNone/>
                <wp:docPr id="93" name="Rectangle 93" descr="Decorative"/>
                <wp:cNvGraphicFramePr/>
                <a:graphic xmlns:a="http://schemas.openxmlformats.org/drawingml/2006/main">
                  <a:graphicData uri="http://schemas.microsoft.com/office/word/2010/wordprocessingShape">
                    <wps:wsp>
                      <wps:cNvSpPr/>
                      <wps:spPr>
                        <a:xfrm>
                          <a:off x="0" y="0"/>
                          <a:ext cx="5954400" cy="2102300"/>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3EF7" id="Rectangle 93" o:spid="_x0000_s1026" alt="Decorative" style="position:absolute;margin-left:-8.5pt;margin-top:28.4pt;width:468.85pt;height:165.55pt;z-index:-251658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" fillcolor="#daeef3" strokecolor="black [3213]" strokeweight=".25pt">
                <w10:wrap anchorx="margin"/>
              </v:rect>
            </w:pict>
          </mc:Fallback>
        </mc:AlternateContent>
      </w:r>
      <w:r w:rsidR="00BD5B9D" w:rsidRPr="00B50802">
        <w:t>YWCA participates through its charitable property management service, Rentwell.</w:t>
      </w:r>
    </w:p>
    <w:p w14:paraId="38FF727C" w14:textId="5B917304" w:rsidR="003D26F9" w:rsidRPr="009274D8" w:rsidRDefault="003D26F9" w:rsidP="00F4737A">
      <w:pPr>
        <w:pStyle w:val="Style1"/>
      </w:pPr>
      <w:bookmarkStart w:id="1723" w:name="_Toc141969859"/>
      <w:bookmarkStart w:id="1724" w:name="_Toc141972482"/>
      <w:bookmarkStart w:id="1725" w:name="_Toc141972695"/>
      <w:bookmarkStart w:id="1726" w:name="_Toc141972969"/>
      <w:bookmarkStart w:id="1727" w:name="_Toc142042529"/>
      <w:bookmarkStart w:id="1728" w:name="_Toc142042738"/>
      <w:bookmarkStart w:id="1729" w:name="_Toc135035233"/>
      <w:bookmarkStart w:id="1730" w:name="_Toc135060910"/>
      <w:bookmarkStart w:id="1731" w:name="_Toc135161382"/>
      <w:bookmarkStart w:id="1732" w:name="_Toc135162328"/>
      <w:bookmarkStart w:id="1733" w:name="_Toc135162502"/>
      <w:bookmarkStart w:id="1734" w:name="_Toc135206081"/>
      <w:bookmarkStart w:id="1735" w:name="_Toc135206166"/>
      <w:bookmarkStart w:id="1736" w:name="_Toc139464324"/>
      <w:bookmarkStart w:id="1737" w:name="_Toc126827632"/>
      <w:bookmarkStart w:id="1738" w:name="_Toc126836985"/>
      <w:bookmarkStart w:id="1739" w:name="_Toc126845297"/>
      <w:bookmarkStart w:id="1740" w:name="_Toc126852065"/>
      <w:bookmarkStart w:id="1741" w:name="_Toc126854353"/>
      <w:bookmarkStart w:id="1742" w:name="_Toc126857754"/>
      <w:bookmarkStart w:id="1743" w:name="_Toc126920568"/>
      <w:bookmarkStart w:id="1744" w:name="_Toc126921168"/>
      <w:bookmarkStart w:id="1745" w:name="_Toc126925101"/>
      <w:bookmarkStart w:id="1746" w:name="_Toc126930664"/>
      <w:bookmarkStart w:id="1747" w:name="_Toc126934949"/>
      <w:bookmarkStart w:id="1748" w:name="_Toc126934968"/>
      <w:bookmarkStart w:id="1749" w:name="_Toc127189079"/>
      <w:bookmarkStart w:id="1750" w:name="_Toc127193511"/>
      <w:bookmarkStart w:id="1751" w:name="_Toc127195506"/>
      <w:bookmarkEnd w:id="1696"/>
      <w:bookmarkEnd w:id="1697"/>
      <w:bookmarkEnd w:id="1698"/>
      <w:bookmarkEnd w:id="1699"/>
      <w:bookmarkEnd w:id="1700"/>
      <w:bookmarkEnd w:id="1701"/>
      <w:r w:rsidRPr="009274D8">
        <w:t>Questions for consideration</w:t>
      </w:r>
      <w:bookmarkEnd w:id="1723"/>
      <w:bookmarkEnd w:id="1724"/>
      <w:bookmarkEnd w:id="1725"/>
      <w:bookmarkEnd w:id="1726"/>
      <w:bookmarkEnd w:id="1727"/>
      <w:bookmarkEnd w:id="1728"/>
    </w:p>
    <w:p w14:paraId="3AD7D032" w14:textId="77777777" w:rsidR="003D26F9" w:rsidRPr="00B50802" w:rsidRDefault="003D26F9" w:rsidP="00F17FAF">
      <w:pPr>
        <w:pStyle w:val="ListParagraph"/>
        <w:numPr>
          <w:ilvl w:val="0"/>
          <w:numId w:val="11"/>
        </w:numPr>
        <w:ind w:left="714" w:hanging="357"/>
        <w:contextualSpacing w:val="0"/>
      </w:pPr>
      <w:r w:rsidRPr="00B50802">
        <w:t>How can governments encourage delivery and availability of affordable housing in the short, medium and long-term? How can governments partner with institutional investors to support more housing development (particularly affordable housing)?</w:t>
      </w:r>
    </w:p>
    <w:p w14:paraId="045ADD24" w14:textId="77777777" w:rsidR="003D26F9" w:rsidRPr="00B50802" w:rsidRDefault="003D26F9" w:rsidP="00F17FAF">
      <w:pPr>
        <w:pStyle w:val="ListParagraph"/>
        <w:numPr>
          <w:ilvl w:val="0"/>
          <w:numId w:val="11"/>
        </w:numPr>
        <w:ind w:left="714" w:hanging="357"/>
        <w:contextualSpacing w:val="0"/>
      </w:pPr>
      <w:r w:rsidRPr="00B50802">
        <w:t>How can governments work with institutional investors to support more housing development (particularly affordable housing)?</w:t>
      </w:r>
    </w:p>
    <w:p w14:paraId="2CE272CA" w14:textId="77777777" w:rsidR="003D26F9" w:rsidRPr="00B50802" w:rsidRDefault="003D26F9" w:rsidP="00F17FAF">
      <w:pPr>
        <w:pStyle w:val="ListParagraph"/>
        <w:numPr>
          <w:ilvl w:val="0"/>
          <w:numId w:val="11"/>
        </w:numPr>
        <w:ind w:left="714" w:hanging="357"/>
        <w:contextualSpacing w:val="0"/>
      </w:pPr>
      <w:r w:rsidRPr="00B50802">
        <w:t>How can all levels of government incentivise affordable resilient housing options in new builds, and affordable retrofitting for existing housing?</w:t>
      </w:r>
    </w:p>
    <w:bookmarkEnd w:id="1729"/>
    <w:bookmarkEnd w:id="1730"/>
    <w:bookmarkEnd w:id="1731"/>
    <w:bookmarkEnd w:id="1732"/>
    <w:bookmarkEnd w:id="1733"/>
    <w:bookmarkEnd w:id="1734"/>
    <w:bookmarkEnd w:id="1735"/>
    <w:bookmarkEnd w:id="1736"/>
    <w:p w14:paraId="4600924B" w14:textId="2EFBAF13" w:rsidR="002A75EA" w:rsidRPr="00B50802" w:rsidRDefault="00F61C95" w:rsidP="00C52922">
      <w:pPr>
        <w:pStyle w:val="Heading2"/>
        <w:rPr>
          <w:b/>
          <w:bCs/>
        </w:rPr>
      </w:pPr>
      <w:r w:rsidRPr="00B50802">
        <w:br w:type="page"/>
      </w:r>
      <w:bookmarkStart w:id="1752" w:name="_Toc133839375"/>
      <w:bookmarkStart w:id="1753" w:name="_Toc133840280"/>
      <w:bookmarkStart w:id="1754" w:name="_Toc135162329"/>
      <w:bookmarkStart w:id="1755" w:name="_Toc141972483"/>
      <w:bookmarkStart w:id="1756" w:name="_Toc141972696"/>
      <w:bookmarkStart w:id="1757" w:name="_Toc141972970"/>
      <w:bookmarkStart w:id="1758" w:name="_Toc142042530"/>
      <w:bookmarkStart w:id="1759" w:name="_Toc142042803"/>
      <w:bookmarkStart w:id="1760" w:name="_Toc142051873"/>
      <w:r w:rsidR="002A75EA" w:rsidRPr="00B50802">
        <w:lastRenderedPageBreak/>
        <w:t>3.</w:t>
      </w:r>
      <w:r w:rsidR="000B04A4" w:rsidRPr="00B50802">
        <w:t>5</w:t>
      </w:r>
      <w:r w:rsidR="002A75EA" w:rsidRPr="00B50802">
        <w:t xml:space="preserve"> Housing costs, home ownership and the private rental market in Australia</w:t>
      </w:r>
      <w:bookmarkEnd w:id="1752"/>
      <w:bookmarkEnd w:id="1753"/>
      <w:bookmarkEnd w:id="1754"/>
      <w:bookmarkEnd w:id="1755"/>
      <w:bookmarkEnd w:id="1756"/>
      <w:bookmarkEnd w:id="1757"/>
      <w:bookmarkEnd w:id="1758"/>
      <w:bookmarkEnd w:id="1759"/>
      <w:bookmarkEnd w:id="1760"/>
    </w:p>
    <w:p w14:paraId="1EF90F54" w14:textId="77777777" w:rsidR="002A75EA" w:rsidRPr="009274D8" w:rsidRDefault="002A75EA" w:rsidP="009274D8">
      <w:pPr>
        <w:pStyle w:val="Bullet"/>
        <w:spacing w:after="200"/>
        <w:ind w:left="522" w:hanging="522"/>
        <w:rPr>
          <w:rFonts w:ascii="Georgia" w:hAnsi="Georgia"/>
          <w:b/>
          <w:sz w:val="28"/>
        </w:rPr>
      </w:pPr>
      <w:bookmarkStart w:id="1761" w:name="_Toc134784716"/>
      <w:bookmarkStart w:id="1762" w:name="_Toc135035235"/>
      <w:bookmarkStart w:id="1763" w:name="_Toc135060912"/>
      <w:bookmarkStart w:id="1764" w:name="_Toc135161384"/>
      <w:bookmarkStart w:id="1765" w:name="_Toc135162330"/>
      <w:bookmarkStart w:id="1766" w:name="_Toc135162504"/>
      <w:bookmarkStart w:id="1767" w:name="_Toc135206083"/>
      <w:bookmarkStart w:id="1768" w:name="_Toc135206168"/>
      <w:bookmarkStart w:id="1769" w:name="_Toc139464326"/>
      <w:bookmarkStart w:id="1770" w:name="_Toc141969861"/>
      <w:bookmarkStart w:id="1771" w:name="_Toc141972484"/>
      <w:bookmarkStart w:id="1772" w:name="_Toc141972697"/>
      <w:bookmarkStart w:id="1773" w:name="_Toc141972971"/>
      <w:bookmarkStart w:id="1774" w:name="_Toc142042531"/>
      <w:bookmarkStart w:id="1775" w:name="_Toc142042804"/>
      <w:r w:rsidRPr="009274D8">
        <w:rPr>
          <w:rFonts w:ascii="Georgia" w:hAnsi="Georgia"/>
          <w:b/>
          <w:sz w:val="28"/>
        </w:rPr>
        <w:t>Housing costs</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3CDD950" w14:textId="77777777" w:rsidR="002A75EA" w:rsidRPr="0060369B" w:rsidRDefault="00AD2F11" w:rsidP="002A75EA">
      <w:pPr>
        <w:rPr>
          <w:kern w:val="24"/>
        </w:rPr>
      </w:pPr>
      <w:r w:rsidRPr="00B50802">
        <w:rPr>
          <w:rStyle w:val="Strong"/>
          <w:rFonts w:cs="Arial"/>
          <w:b w:val="0"/>
          <w:bCs w:val="0"/>
        </w:rPr>
        <w:t>The relationship between h</w:t>
      </w:r>
      <w:r w:rsidR="002A75EA" w:rsidRPr="00B50802">
        <w:rPr>
          <w:rStyle w:val="Strong"/>
          <w:rFonts w:cs="Arial"/>
          <w:b w:val="0"/>
          <w:bCs w:val="0"/>
        </w:rPr>
        <w:t xml:space="preserve">ousing costs and household income </w:t>
      </w:r>
      <w:r w:rsidRPr="00B50802">
        <w:rPr>
          <w:rStyle w:val="Strong"/>
          <w:rFonts w:cs="Arial"/>
          <w:b w:val="0"/>
          <w:bCs w:val="0"/>
        </w:rPr>
        <w:t xml:space="preserve">is </w:t>
      </w:r>
      <w:r w:rsidR="002A75EA" w:rsidRPr="00B50802">
        <w:rPr>
          <w:rStyle w:val="Strong"/>
          <w:rFonts w:cs="Arial"/>
          <w:b w:val="0"/>
          <w:bCs w:val="0"/>
        </w:rPr>
        <w:t xml:space="preserve">often referred to as </w:t>
      </w:r>
      <w:r w:rsidR="002A75EA" w:rsidRPr="0060369B">
        <w:rPr>
          <w:kern w:val="24"/>
        </w:rPr>
        <w:t>housing affordability.</w:t>
      </w:r>
    </w:p>
    <w:p w14:paraId="2B904FB5" w14:textId="09B12A5F" w:rsidR="0060369B" w:rsidRPr="0060369B" w:rsidRDefault="0060369B" w:rsidP="002A75EA">
      <w:pPr>
        <w:rPr>
          <w:rFonts w:cs="Arial"/>
          <w:kern w:val="24"/>
        </w:rPr>
      </w:pPr>
      <w:r w:rsidRPr="00B75F7D">
        <w:rPr>
          <w:rFonts w:cs="Arial"/>
          <w:kern w:val="24"/>
        </w:rPr>
        <w:t>In the past two decades, real absolute housing costs have increased for all tenure types. The most recent ABS release (2019–20) on housing</w:t>
      </w:r>
      <w:r w:rsidR="007E306A" w:rsidRPr="00B75F7D">
        <w:rPr>
          <w:rFonts w:cs="Arial"/>
          <w:kern w:val="24"/>
        </w:rPr>
        <w:t xml:space="preserve"> </w:t>
      </w:r>
      <w:r w:rsidRPr="00B75F7D">
        <w:rPr>
          <w:rFonts w:cs="Arial"/>
          <w:kern w:val="24"/>
        </w:rPr>
        <w:t>is some years old. In it, the average weekly costs for housing were $379 for renters and $493 for owners with a mortgage. However, since the COVID-19 pandemic, there has been a marked increase in housing costs across the board that is not captured in the ABS release. The median weekly cost for rent in June 2023 – according to CoreLogic data – was $589</w:t>
      </w:r>
      <w:r w:rsidR="003F088B" w:rsidRPr="00B75F7D">
        <w:rPr>
          <w:rFonts w:cs="Arial"/>
          <w:kern w:val="24"/>
        </w:rPr>
        <w:t xml:space="preserve">, while housing </w:t>
      </w:r>
      <w:r w:rsidRPr="00B75F7D">
        <w:rPr>
          <w:rFonts w:cs="Arial"/>
          <w:kern w:val="24"/>
        </w:rPr>
        <w:t>costs for many households with a mortgage have been affected by the current interest rate tightening cycle.</w:t>
      </w:r>
      <w:r w:rsidR="0045796B" w:rsidRPr="00B75F7D">
        <w:rPr>
          <w:rStyle w:val="FootnoteReference"/>
          <w:rFonts w:cs="Arial"/>
          <w:kern w:val="24"/>
        </w:rPr>
        <w:footnoteReference w:id="111"/>
      </w:r>
      <w:r w:rsidR="002E2029" w:rsidRPr="00B75F7D" w:rsidDel="002E2029">
        <w:rPr>
          <w:rStyle w:val="FootnoteReference"/>
          <w:rFonts w:cs="Arial"/>
          <w:kern w:val="24"/>
        </w:rPr>
        <w:t xml:space="preserve"> </w:t>
      </w:r>
    </w:p>
    <w:p w14:paraId="40E0C935" w14:textId="5DCF3FBE" w:rsidR="002A75EA" w:rsidRDefault="002A75EA" w:rsidP="00B43169">
      <w:pPr>
        <w:rPr>
          <w:rStyle w:val="Strong"/>
          <w:rFonts w:cs="Arial"/>
          <w:b w:val="0"/>
          <w:bCs w:val="0"/>
        </w:rPr>
      </w:pPr>
      <w:r w:rsidRPr="00B50802">
        <w:rPr>
          <w:rStyle w:val="Strong"/>
          <w:rFonts w:cs="Arial"/>
          <w:b w:val="0"/>
          <w:bCs w:val="0"/>
        </w:rPr>
        <w:t xml:space="preserve">In Australia, </w:t>
      </w:r>
      <w:r w:rsidR="00AD2F11" w:rsidRPr="00B50802">
        <w:rPr>
          <w:rStyle w:val="Strong"/>
          <w:rFonts w:cs="Arial"/>
          <w:b w:val="0"/>
          <w:bCs w:val="0"/>
        </w:rPr>
        <w:t xml:space="preserve">most </w:t>
      </w:r>
      <w:r w:rsidRPr="00B50802">
        <w:rPr>
          <w:rStyle w:val="Strong"/>
          <w:rFonts w:cs="Arial"/>
          <w:b w:val="0"/>
          <w:bCs w:val="0"/>
        </w:rPr>
        <w:t xml:space="preserve">policy makers focus on the proportion of people in housing stress, using the 30/40 indicator. </w:t>
      </w:r>
      <w:r w:rsidR="00AD2F11" w:rsidRPr="00B50802">
        <w:rPr>
          <w:rStyle w:val="Strong"/>
          <w:rFonts w:cs="Arial"/>
          <w:b w:val="0"/>
          <w:bCs w:val="0"/>
        </w:rPr>
        <w:t xml:space="preserve">This </w:t>
      </w:r>
      <w:r w:rsidRPr="00B50802">
        <w:rPr>
          <w:rStyle w:val="Strong"/>
          <w:rFonts w:cs="Arial"/>
          <w:b w:val="0"/>
          <w:bCs w:val="0"/>
        </w:rPr>
        <w:t>indicator considers a household in housing stress when a household in the bottom 40% of the income range spends more than 30% of its gross income on housing (including rent, mortgage payments, rates, taxes and insurance).</w:t>
      </w:r>
      <w:r w:rsidRPr="00B50802">
        <w:rPr>
          <w:rStyle w:val="FootnoteReference"/>
          <w:rFonts w:cs="Arial"/>
        </w:rPr>
        <w:footnoteReference w:id="112"/>
      </w:r>
    </w:p>
    <w:p w14:paraId="26CD153B" w14:textId="38C0478E" w:rsidR="00F15AAC" w:rsidRDefault="00F15AAC" w:rsidP="00F15AAC">
      <w:pPr>
        <w:rPr>
          <w:rFonts w:ascii="Calibri Light" w:hAnsi="Calibri Light"/>
        </w:rPr>
      </w:pPr>
      <w:r>
        <w:rPr>
          <w:rFonts w:cs="Calibri Light"/>
        </w:rPr>
        <w:t>According to the Productivity Commission, in 2019-20, low-income households (households in the lowest income quintile, with income up to $543 per week in 2019-20 d</w:t>
      </w:r>
      <w:r w:rsidR="007F2243">
        <w:rPr>
          <w:rFonts w:cs="Calibri Light"/>
        </w:rPr>
        <w:t>ollars) had to spend 43%</w:t>
      </w:r>
      <w:r>
        <w:rPr>
          <w:rFonts w:cs="Calibri Light"/>
        </w:rPr>
        <w:t xml:space="preserve"> of median income to make median rent.</w:t>
      </w:r>
      <w:r>
        <w:rPr>
          <w:rStyle w:val="FootnoteReference"/>
        </w:rPr>
        <w:footnoteReference w:id="113"/>
      </w:r>
      <w:r>
        <w:t xml:space="preserve"> For households in the second lowest quintile, it</w:t>
      </w:r>
      <w:r w:rsidR="007F2243">
        <w:t xml:space="preserve"> was 32%.</w:t>
      </w:r>
      <w:r>
        <w:t xml:space="preserve"> Additionally, most low-income private renters spend significantly more than 30</w:t>
      </w:r>
      <w:r w:rsidR="007F2243">
        <w:t>%</w:t>
      </w:r>
      <w:r>
        <w:t xml:space="preserve"> of income on rent and around half have less than $500 after housing expenses.</w:t>
      </w:r>
      <w:r>
        <w:rPr>
          <w:rStyle w:val="FootnoteReference"/>
        </w:rPr>
        <w:footnoteReference w:id="114"/>
      </w:r>
    </w:p>
    <w:p w14:paraId="4260ACED" w14:textId="2A077A4A" w:rsidR="00F15AAC" w:rsidRPr="00B50802" w:rsidRDefault="00F15AAC" w:rsidP="00B43169">
      <w:r>
        <w:rPr>
          <w:rFonts w:cs="Calibri Light"/>
        </w:rPr>
        <w:t>A NHFIC analysis of 2021 Census data found that around half of all households earning between $41,600 and $78,000 are paying more than 30</w:t>
      </w:r>
      <w:r w:rsidR="007F2243">
        <w:rPr>
          <w:rFonts w:cs="Calibri Light"/>
        </w:rPr>
        <w:t>%</w:t>
      </w:r>
      <w:r>
        <w:rPr>
          <w:rFonts w:cs="Calibri Light"/>
        </w:rPr>
        <w:t xml:space="preserve"> of their income on rent.</w:t>
      </w:r>
      <w:r>
        <w:rPr>
          <w:rStyle w:val="FootnoteReference"/>
        </w:rPr>
        <w:footnoteReference w:id="115"/>
      </w:r>
      <w:r>
        <w:t xml:space="preserve"> Below this income level, significantly more households pay more than 30</w:t>
      </w:r>
      <w:r w:rsidR="007F2243">
        <w:t>%</w:t>
      </w:r>
      <w:r>
        <w:t>.</w:t>
      </w:r>
    </w:p>
    <w:p w14:paraId="0A93CD8D" w14:textId="339E1219" w:rsidR="002A75EA" w:rsidRPr="009274D8" w:rsidRDefault="002A75EA" w:rsidP="009274D8">
      <w:pPr>
        <w:pStyle w:val="Bullet"/>
        <w:spacing w:after="200"/>
        <w:ind w:left="522" w:hanging="522"/>
        <w:rPr>
          <w:rFonts w:ascii="Georgia" w:hAnsi="Georgia"/>
          <w:b/>
          <w:bCs/>
          <w:sz w:val="28"/>
        </w:rPr>
      </w:pPr>
      <w:r w:rsidRPr="009274D8">
        <w:rPr>
          <w:rFonts w:ascii="Georgia" w:hAnsi="Georgia"/>
          <w:b/>
          <w:bCs/>
          <w:sz w:val="28"/>
        </w:rPr>
        <w:t xml:space="preserve">Home ownership </w:t>
      </w:r>
    </w:p>
    <w:p w14:paraId="63413EC9" w14:textId="246FC1F1" w:rsidR="002A75EA" w:rsidRPr="00B50802" w:rsidRDefault="00A35B30" w:rsidP="00AD2F11">
      <w:pPr>
        <w:keepNext/>
        <w:keepLines/>
        <w:spacing w:after="240"/>
        <w:rPr>
          <w:rFonts w:cs="Arial"/>
          <w:kern w:val="24"/>
        </w:rPr>
      </w:pPr>
      <w:r w:rsidRPr="00B50802">
        <w:rPr>
          <w:rFonts w:cs="Arial"/>
          <w:kern w:val="24"/>
        </w:rPr>
        <w:t>B</w:t>
      </w:r>
      <w:r w:rsidR="0084041F" w:rsidRPr="00B50802">
        <w:rPr>
          <w:rFonts w:cs="Arial"/>
          <w:kern w:val="24"/>
        </w:rPr>
        <w:t>enefits of h</w:t>
      </w:r>
      <w:r w:rsidR="002A75EA" w:rsidRPr="00B50802">
        <w:rPr>
          <w:rFonts w:cs="Arial"/>
          <w:kern w:val="24"/>
        </w:rPr>
        <w:t xml:space="preserve">ome ownership </w:t>
      </w:r>
      <w:r w:rsidR="0084041F" w:rsidRPr="00B50802">
        <w:rPr>
          <w:rFonts w:cs="Arial"/>
          <w:kern w:val="24"/>
        </w:rPr>
        <w:t>include</w:t>
      </w:r>
      <w:r w:rsidR="002A75EA" w:rsidRPr="00B50802">
        <w:rPr>
          <w:rFonts w:cs="Arial"/>
          <w:kern w:val="24"/>
        </w:rPr>
        <w:t>:</w:t>
      </w:r>
    </w:p>
    <w:p w14:paraId="5912976F" w14:textId="0FBBB02C" w:rsidR="002A75EA" w:rsidRPr="00B50802" w:rsidRDefault="00B83283" w:rsidP="00296045">
      <w:pPr>
        <w:pStyle w:val="Bullets"/>
        <w:numPr>
          <w:ilvl w:val="0"/>
          <w:numId w:val="23"/>
        </w:numPr>
        <w:ind w:left="709"/>
      </w:pPr>
      <w:r>
        <w:t>P</w:t>
      </w:r>
      <w:r w:rsidR="002A75EA" w:rsidRPr="00B50802">
        <w:t>rovid</w:t>
      </w:r>
      <w:r>
        <w:t>ing</w:t>
      </w:r>
      <w:r w:rsidR="002A75EA" w:rsidRPr="00B50802">
        <w:t xml:space="preserve"> the security of long-term tenure. This allows a greater sense of connection to community and opportunities for employment</w:t>
      </w:r>
      <w:r w:rsidR="008A1B48" w:rsidRPr="00B50802">
        <w:t>.</w:t>
      </w:r>
      <w:r w:rsidR="002A75EA" w:rsidRPr="00B50802">
        <w:rPr>
          <w:rStyle w:val="FootnoteReference"/>
        </w:rPr>
        <w:footnoteReference w:id="116"/>
      </w:r>
    </w:p>
    <w:p w14:paraId="5D6F549E" w14:textId="77777777" w:rsidR="00F971A2" w:rsidRDefault="00F971A2">
      <w:pPr>
        <w:rPr>
          <w:rFonts w:cs="Arial"/>
        </w:rPr>
      </w:pPr>
      <w:r>
        <w:br w:type="page"/>
      </w:r>
    </w:p>
    <w:p w14:paraId="3948652D" w14:textId="15229486" w:rsidR="002A75EA" w:rsidRPr="00B50802" w:rsidRDefault="002A75EA" w:rsidP="00296045">
      <w:pPr>
        <w:pStyle w:val="Bullets"/>
        <w:numPr>
          <w:ilvl w:val="0"/>
          <w:numId w:val="23"/>
        </w:numPr>
        <w:ind w:left="709"/>
      </w:pPr>
      <w:r w:rsidRPr="00B50802">
        <w:lastRenderedPageBreak/>
        <w:t xml:space="preserve">Housing costs tend to be significantly lower once mortgages have been paid off. </w:t>
      </w:r>
      <w:r w:rsidR="005E392B" w:rsidRPr="00B75F7D">
        <w:t xml:space="preserve">Noting trends may have shifted, </w:t>
      </w:r>
      <w:r w:rsidR="00941677" w:rsidRPr="00B75F7D">
        <w:t>h</w:t>
      </w:r>
      <w:r w:rsidRPr="00B75F7D">
        <w:t>omeowners</w:t>
      </w:r>
      <w:r w:rsidRPr="00B50802">
        <w:t xml:space="preserve"> without a mortgage spend 3%</w:t>
      </w:r>
      <w:r w:rsidRPr="00B50802">
        <w:rPr>
          <w:b/>
          <w:bCs/>
        </w:rPr>
        <w:t xml:space="preserve"> </w:t>
      </w:r>
      <w:r w:rsidRPr="00B50802">
        <w:t xml:space="preserve">of their disposable income on housing, compared </w:t>
      </w:r>
      <w:r w:rsidR="00952D33" w:rsidRPr="00B50802">
        <w:t xml:space="preserve">with </w:t>
      </w:r>
      <w:r w:rsidRPr="00B50802">
        <w:t>20%</w:t>
      </w:r>
      <w:r w:rsidRPr="00B50802">
        <w:rPr>
          <w:b/>
          <w:bCs/>
        </w:rPr>
        <w:t xml:space="preserve"> </w:t>
      </w:r>
      <w:r w:rsidRPr="00B50802">
        <w:t>for renters in the private market</w:t>
      </w:r>
      <w:r w:rsidR="005E392B" w:rsidRPr="00B75F7D">
        <w:t xml:space="preserve"> in 2019-20</w:t>
      </w:r>
      <w:r w:rsidRPr="00B50802">
        <w:t>.</w:t>
      </w:r>
      <w:r w:rsidRPr="00B50802">
        <w:rPr>
          <w:rStyle w:val="FootnoteReference"/>
        </w:rPr>
        <w:footnoteReference w:id="117"/>
      </w:r>
    </w:p>
    <w:p w14:paraId="295E3FBF" w14:textId="77777777" w:rsidR="002A75EA" w:rsidRPr="00B50802" w:rsidRDefault="002A75EA" w:rsidP="00F17FAF">
      <w:pPr>
        <w:pStyle w:val="Bullets"/>
        <w:numPr>
          <w:ilvl w:val="0"/>
          <w:numId w:val="23"/>
        </w:numPr>
      </w:pPr>
      <w:r w:rsidRPr="00B50802">
        <w:t>People who own their own homes are significantly better off in retirement.</w:t>
      </w:r>
      <w:r w:rsidRPr="00B50802">
        <w:rPr>
          <w:rStyle w:val="FootnoteReference"/>
        </w:rPr>
        <w:footnoteReference w:id="118"/>
      </w:r>
    </w:p>
    <w:p w14:paraId="1FC05868" w14:textId="77777777" w:rsidR="002A75EA" w:rsidRPr="00B50802" w:rsidRDefault="002A75EA" w:rsidP="00F17FAF">
      <w:pPr>
        <w:pStyle w:val="Bullets"/>
        <w:numPr>
          <w:ilvl w:val="0"/>
          <w:numId w:val="23"/>
        </w:numPr>
      </w:pPr>
      <w:r w:rsidRPr="00B50802">
        <w:t>Home ownership and lack of overcrowding have significant health benefits, particularly for Aboriginal and Torres Strait Islander peoples.</w:t>
      </w:r>
      <w:r w:rsidRPr="00B50802">
        <w:rPr>
          <w:rStyle w:val="FootnoteReference"/>
        </w:rPr>
        <w:footnoteReference w:id="119"/>
      </w:r>
    </w:p>
    <w:p w14:paraId="33B0083B" w14:textId="6DC2AA99" w:rsidR="002A75EA" w:rsidRPr="00B50802" w:rsidRDefault="002A75EA" w:rsidP="002A75EA">
      <w:pPr>
        <w:rPr>
          <w:rFonts w:cs="Arial"/>
          <w:kern w:val="24"/>
        </w:rPr>
      </w:pPr>
      <w:r w:rsidRPr="00B50802">
        <w:rPr>
          <w:rFonts w:cs="Arial"/>
          <w:kern w:val="24"/>
        </w:rPr>
        <w:t xml:space="preserve">The </w:t>
      </w:r>
      <w:r w:rsidR="00711610">
        <w:rPr>
          <w:rFonts w:cs="Arial"/>
          <w:kern w:val="24"/>
        </w:rPr>
        <w:t>proportion</w:t>
      </w:r>
      <w:r w:rsidR="00711610" w:rsidRPr="00B50802">
        <w:rPr>
          <w:rFonts w:cs="Arial"/>
          <w:kern w:val="24"/>
        </w:rPr>
        <w:t xml:space="preserve"> </w:t>
      </w:r>
      <w:r w:rsidRPr="00B50802">
        <w:rPr>
          <w:rFonts w:cs="Arial"/>
          <w:kern w:val="24"/>
        </w:rPr>
        <w:t>of Australians who own their own home has decreased over the last</w:t>
      </w:r>
      <w:r w:rsidRPr="00B50802">
        <w:rPr>
          <w:lang w:eastAsia="en-AU"/>
        </w:rPr>
        <w:t xml:space="preserve"> </w:t>
      </w:r>
      <w:r w:rsidRPr="00B50802">
        <w:rPr>
          <w:rFonts w:cs="Arial"/>
          <w:kern w:val="24"/>
        </w:rPr>
        <w:t xml:space="preserve">20 years. </w:t>
      </w:r>
      <w:r w:rsidR="005E392B" w:rsidRPr="00B75F7D">
        <w:rPr>
          <w:rFonts w:cs="Arial"/>
          <w:kern w:val="24"/>
        </w:rPr>
        <w:t>Noting trends may have shifted over the past 2 years, i</w:t>
      </w:r>
      <w:r w:rsidRPr="00B75F7D">
        <w:rPr>
          <w:rFonts w:cs="Arial"/>
          <w:kern w:val="24"/>
        </w:rPr>
        <w:t>n</w:t>
      </w:r>
      <w:r w:rsidRPr="00B50802">
        <w:rPr>
          <w:rFonts w:cs="Arial"/>
          <w:kern w:val="24"/>
        </w:rPr>
        <w:t xml:space="preserve"> 2019</w:t>
      </w:r>
      <w:r w:rsidR="007F2FBB" w:rsidRPr="00B50802">
        <w:rPr>
          <w:rFonts w:cs="Arial"/>
          <w:kern w:val="24"/>
        </w:rPr>
        <w:t>–</w:t>
      </w:r>
      <w:r w:rsidRPr="00B50802">
        <w:rPr>
          <w:rFonts w:cs="Arial"/>
          <w:kern w:val="24"/>
        </w:rPr>
        <w:t xml:space="preserve">20 the proportion of households who owned their own home (with or without a mortgage) was 66%, </w:t>
      </w:r>
      <w:r w:rsidR="0088198C" w:rsidRPr="00B50802">
        <w:rPr>
          <w:rFonts w:cs="Arial"/>
          <w:kern w:val="24"/>
        </w:rPr>
        <w:t>compared to 70% in 1999-00</w:t>
      </w:r>
      <w:r w:rsidRPr="00B50802">
        <w:rPr>
          <w:rFonts w:cs="Arial"/>
          <w:kern w:val="24"/>
        </w:rPr>
        <w:t>.</w:t>
      </w:r>
      <w:r w:rsidRPr="00B50802">
        <w:rPr>
          <w:rStyle w:val="FootnoteReference"/>
          <w:rFonts w:cs="Arial"/>
          <w:kern w:val="24"/>
        </w:rPr>
        <w:footnoteReference w:id="120"/>
      </w:r>
      <w:r w:rsidR="00137CEF" w:rsidRPr="00B75F7D">
        <w:rPr>
          <w:rFonts w:cs="Arial"/>
          <w:kern w:val="24"/>
        </w:rPr>
        <w:t xml:space="preserve"> </w:t>
      </w:r>
    </w:p>
    <w:p w14:paraId="5074890C" w14:textId="1AC0E74B" w:rsidR="002A75EA" w:rsidRPr="00B50802" w:rsidRDefault="00721DC6" w:rsidP="00A35B30">
      <w:pPr>
        <w:rPr>
          <w:lang w:eastAsia="en-AU"/>
        </w:rPr>
      </w:pPr>
      <w:r w:rsidRPr="00B50802">
        <w:rPr>
          <w:rFonts w:cs="Arial"/>
          <w:noProof/>
          <w:kern w:val="24"/>
          <w:lang w:eastAsia="en-AU"/>
        </w:rPr>
        <w:drawing>
          <wp:inline distT="0" distB="0" distL="0" distR="0" wp14:anchorId="4589702B" wp14:editId="68BAA3F0">
            <wp:extent cx="5829935" cy="2038350"/>
            <wp:effectExtent l="0" t="0" r="0" b="0"/>
            <wp:docPr id="44" name="Picture 44" descr="The proportion of households who are homeowners has fallen from 70.7% in 1999-00 to 66.3% in 2019-20." title="Proportion of households who are homeowners (with and without a mortgage) 1999-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29935" cy="2038350"/>
                    </a:xfrm>
                    <a:prstGeom prst="rect">
                      <a:avLst/>
                    </a:prstGeom>
                    <a:noFill/>
                  </pic:spPr>
                </pic:pic>
              </a:graphicData>
            </a:graphic>
          </wp:inline>
        </w:drawing>
      </w:r>
      <w:r w:rsidR="002A75EA" w:rsidRPr="00B50802" w:rsidDel="0088388E">
        <w:rPr>
          <w:rFonts w:cs="Arial"/>
          <w:kern w:val="24"/>
        </w:rPr>
        <w:t xml:space="preserve"> </w:t>
      </w:r>
      <w:r w:rsidR="00245AAB" w:rsidRPr="00B50802">
        <w:rPr>
          <w:rFonts w:cs="Arial"/>
          <w:kern w:val="24"/>
        </w:rPr>
        <w:t>S</w:t>
      </w:r>
      <w:r w:rsidR="002A75EA" w:rsidRPr="00B50802">
        <w:rPr>
          <w:rFonts w:cs="Arial"/>
          <w:kern w:val="24"/>
        </w:rPr>
        <w:t xml:space="preserve">ome groups of people find it harder to purchase a home. </w:t>
      </w:r>
      <w:r w:rsidR="00A35B30" w:rsidRPr="00B50802">
        <w:rPr>
          <w:rFonts w:cs="Arial"/>
          <w:kern w:val="24"/>
        </w:rPr>
        <w:t>The proportion of y</w:t>
      </w:r>
      <w:r w:rsidR="002A75EA" w:rsidRPr="00B50802">
        <w:rPr>
          <w:rFonts w:cs="Arial"/>
          <w:kern w:val="24"/>
        </w:rPr>
        <w:t xml:space="preserve">oung Australians </w:t>
      </w:r>
      <w:r w:rsidR="00AD526E" w:rsidRPr="00B50802">
        <w:rPr>
          <w:rFonts w:cs="Arial"/>
          <w:kern w:val="24"/>
        </w:rPr>
        <w:t xml:space="preserve">who are </w:t>
      </w:r>
      <w:r w:rsidR="00AD526E" w:rsidRPr="00B75F7D">
        <w:rPr>
          <w:rFonts w:cs="Arial"/>
          <w:kern w:val="24"/>
        </w:rPr>
        <w:t>homeowners</w:t>
      </w:r>
      <w:r w:rsidR="00A35B30" w:rsidRPr="00B50802">
        <w:rPr>
          <w:rFonts w:cs="Arial"/>
          <w:kern w:val="24"/>
        </w:rPr>
        <w:t xml:space="preserve"> declined significantly between 1976 and </w:t>
      </w:r>
      <w:r w:rsidR="002A75EA" w:rsidRPr="00B50802">
        <w:rPr>
          <w:rFonts w:cs="Arial"/>
          <w:kern w:val="24"/>
        </w:rPr>
        <w:t>2021</w:t>
      </w:r>
      <w:r w:rsidR="002A75EA" w:rsidRPr="00B50802">
        <w:rPr>
          <w:lang w:eastAsia="en-AU"/>
        </w:rPr>
        <w:t>.</w:t>
      </w:r>
      <w:r w:rsidR="002A75EA" w:rsidRPr="00B50802">
        <w:rPr>
          <w:rStyle w:val="FootnoteReference"/>
          <w:kern w:val="24"/>
        </w:rPr>
        <w:footnoteReference w:id="121"/>
      </w:r>
    </w:p>
    <w:p w14:paraId="5CA1AB1B" w14:textId="6FA750F8" w:rsidR="00093AD6" w:rsidRDefault="002A75EA" w:rsidP="00093AD6">
      <w:r w:rsidRPr="00B50802">
        <w:t xml:space="preserve">While there is limited data on the experiences of people with disability in the housing market, the </w:t>
      </w:r>
      <w:r w:rsidR="003D165E" w:rsidRPr="00B50802">
        <w:t xml:space="preserve">available </w:t>
      </w:r>
      <w:r w:rsidRPr="00B50802">
        <w:t>data suggests some people with disability struggle to find housing they can afford, and are vulnerable to housing or rental stress. People with disability may also face additional costs, such as for modifying housing to ensure it is accessible and meets their needs.</w:t>
      </w:r>
      <w:r w:rsidRPr="00B50802">
        <w:rPr>
          <w:rStyle w:val="FootnoteReference"/>
        </w:rPr>
        <w:footnoteReference w:id="122"/>
      </w:r>
      <w:r w:rsidR="00093AD6" w:rsidRPr="00093AD6">
        <w:t xml:space="preserve"> </w:t>
      </w:r>
    </w:p>
    <w:p w14:paraId="295BBD10" w14:textId="608FE9A1" w:rsidR="00093AD6" w:rsidRDefault="00093AD6" w:rsidP="00093AD6">
      <w:pPr>
        <w:rPr>
          <w:lang w:eastAsia="en-AU"/>
        </w:rPr>
      </w:pPr>
      <w:r w:rsidRPr="00B50802" w:rsidDel="0029631E">
        <w:rPr>
          <w:noProof/>
          <w:lang w:eastAsia="en-AU"/>
        </w:rPr>
        <w:t>H</w:t>
      </w:r>
      <w:r w:rsidRPr="00B50802">
        <w:rPr>
          <w:noProof/>
          <w:lang w:eastAsia="en-AU"/>
        </w:rPr>
        <w:t xml:space="preserve">ome ownership is lower for women than for men. In 2022, men owned </w:t>
      </w:r>
      <w:r w:rsidR="00567174">
        <w:rPr>
          <w:noProof/>
          <w:lang w:eastAsia="en-AU"/>
        </w:rPr>
        <w:t>30</w:t>
      </w:r>
      <w:r w:rsidRPr="00B50802">
        <w:rPr>
          <w:noProof/>
          <w:lang w:eastAsia="en-AU"/>
        </w:rPr>
        <w:t xml:space="preserve">% of all properties compared with women owning </w:t>
      </w:r>
      <w:r w:rsidR="00567174">
        <w:rPr>
          <w:noProof/>
          <w:lang w:eastAsia="en-AU"/>
        </w:rPr>
        <w:t>27</w:t>
      </w:r>
      <w:r w:rsidRPr="00B50802">
        <w:rPr>
          <w:noProof/>
          <w:lang w:eastAsia="en-AU"/>
        </w:rPr>
        <w:t>% (with the remaining properties being jointly owned), although the share of women purchasing property has increased over time.</w:t>
      </w:r>
      <w:r w:rsidRPr="00B50802">
        <w:rPr>
          <w:rStyle w:val="FootnoteReference"/>
          <w:noProof/>
          <w:lang w:eastAsia="en-AU"/>
        </w:rPr>
        <w:footnoteReference w:id="123"/>
      </w:r>
      <w:r w:rsidR="00EA66C2">
        <w:rPr>
          <w:noProof/>
          <w:lang w:eastAsia="en-AU"/>
        </w:rPr>
        <w:t xml:space="preserve"> </w:t>
      </w:r>
      <w:r w:rsidRPr="00B50802">
        <w:t xml:space="preserve">For women who purchase a home, it takes longer to save for a deposit than their male peers. </w:t>
      </w:r>
    </w:p>
    <w:p w14:paraId="4698919A" w14:textId="77777777" w:rsidR="007526C0" w:rsidRDefault="007526C0">
      <w:r>
        <w:br w:type="page"/>
      </w:r>
    </w:p>
    <w:p w14:paraId="15826344" w14:textId="0A07FF09" w:rsidR="00093AD6" w:rsidRPr="00B75F7D" w:rsidRDefault="00093AD6" w:rsidP="00093AD6">
      <w:r w:rsidRPr="00B50802">
        <w:lastRenderedPageBreak/>
        <w:t>Older women paying off a mortgage experience higher levels of housing stress than their male peers.</w:t>
      </w:r>
      <w:r w:rsidRPr="00B50802">
        <w:rPr>
          <w:rStyle w:val="FootnoteReference"/>
        </w:rPr>
        <w:footnoteReference w:id="124"/>
      </w:r>
      <w:r>
        <w:t xml:space="preserve"> </w:t>
      </w:r>
      <w:r w:rsidRPr="00B75F7D">
        <w:t>Women over 55 are at risk of financial and housing insecurity due to factors such as:</w:t>
      </w:r>
    </w:p>
    <w:p w14:paraId="24ED7E21" w14:textId="6A12EE0F" w:rsidR="00093AD6" w:rsidRPr="00B75F7D" w:rsidRDefault="00E20A79" w:rsidP="00296045">
      <w:pPr>
        <w:pStyle w:val="ListParagraph"/>
        <w:numPr>
          <w:ilvl w:val="0"/>
          <w:numId w:val="20"/>
        </w:numPr>
        <w:ind w:left="714" w:hanging="357"/>
        <w:contextualSpacing w:val="0"/>
      </w:pPr>
      <w:r>
        <w:t>More likely to work</w:t>
      </w:r>
      <w:r w:rsidR="00296045">
        <w:t xml:space="preserve"> </w:t>
      </w:r>
      <w:r w:rsidR="00093AD6" w:rsidRPr="00B75F7D">
        <w:t xml:space="preserve">part time or casually throughout their lives due to caring responsibilities </w:t>
      </w:r>
    </w:p>
    <w:p w14:paraId="4A39137E" w14:textId="2AEF0D05" w:rsidR="00093AD6" w:rsidRPr="00B75F7D" w:rsidRDefault="00093AD6" w:rsidP="00F17FAF">
      <w:pPr>
        <w:pStyle w:val="ListParagraph"/>
        <w:numPr>
          <w:ilvl w:val="0"/>
          <w:numId w:val="20"/>
        </w:numPr>
        <w:ind w:left="714" w:hanging="357"/>
        <w:contextualSpacing w:val="0"/>
      </w:pPr>
      <w:r w:rsidRPr="00B75F7D">
        <w:t>Gender pay gaps</w:t>
      </w:r>
    </w:p>
    <w:p w14:paraId="2FD33BBB" w14:textId="5533738F" w:rsidR="00093AD6" w:rsidRPr="00B75F7D" w:rsidRDefault="00093AD6" w:rsidP="00F17FAF">
      <w:pPr>
        <w:pStyle w:val="ListParagraph"/>
        <w:numPr>
          <w:ilvl w:val="0"/>
          <w:numId w:val="20"/>
        </w:numPr>
        <w:ind w:left="714" w:hanging="357"/>
        <w:contextualSpacing w:val="0"/>
      </w:pPr>
      <w:r w:rsidRPr="00B75F7D">
        <w:t>Lack of superannuation</w:t>
      </w:r>
    </w:p>
    <w:p w14:paraId="5DDB102F" w14:textId="77777777" w:rsidR="00093AD6" w:rsidRPr="00B75F7D" w:rsidRDefault="00093AD6" w:rsidP="00F17FAF">
      <w:pPr>
        <w:pStyle w:val="ListParagraph"/>
        <w:numPr>
          <w:ilvl w:val="0"/>
          <w:numId w:val="20"/>
        </w:numPr>
        <w:ind w:left="714" w:hanging="357"/>
        <w:contextualSpacing w:val="0"/>
      </w:pPr>
      <w:r w:rsidRPr="00B75F7D">
        <w:t>An increasingly unaffordable private rental market</w:t>
      </w:r>
    </w:p>
    <w:p w14:paraId="0108040B" w14:textId="1FF2025C" w:rsidR="00093AD6" w:rsidRPr="00B75F7D" w:rsidRDefault="00093AD6" w:rsidP="00F17FAF">
      <w:pPr>
        <w:pStyle w:val="ListParagraph"/>
        <w:numPr>
          <w:ilvl w:val="0"/>
          <w:numId w:val="20"/>
        </w:numPr>
        <w:ind w:left="714" w:hanging="357"/>
        <w:contextualSpacing w:val="0"/>
      </w:pPr>
      <w:r w:rsidRPr="00B75F7D">
        <w:t>Age discrimination.</w:t>
      </w:r>
      <w:r w:rsidRPr="00B75F7D">
        <w:rPr>
          <w:rStyle w:val="FootnoteReference"/>
        </w:rPr>
        <w:footnoteReference w:id="125"/>
      </w:r>
    </w:p>
    <w:p w14:paraId="37123CF8" w14:textId="3D0CB9EE" w:rsidR="00093AD6" w:rsidRDefault="006400CB" w:rsidP="00093AD6">
      <w:pPr>
        <w:pStyle w:val="ListParagraph"/>
        <w:ind w:firstLine="0"/>
        <w:contextualSpacing w:val="0"/>
      </w:pPr>
      <w:r w:rsidRPr="00B50802">
        <w:rPr>
          <w:i/>
          <w:iCs/>
          <w:noProof/>
          <w:kern w:val="24"/>
          <w:lang w:eastAsia="en-AU"/>
        </w:rPr>
        <w:drawing>
          <wp:anchor distT="0" distB="0" distL="114300" distR="114300" simplePos="0" relativeHeight="251658282" behindDoc="0" locked="0" layoutInCell="1" allowOverlap="1" wp14:anchorId="1308EA12" wp14:editId="10655D44">
            <wp:simplePos x="0" y="0"/>
            <wp:positionH relativeFrom="margin">
              <wp:posOffset>0</wp:posOffset>
            </wp:positionH>
            <wp:positionV relativeFrom="paragraph">
              <wp:posOffset>247993</wp:posOffset>
            </wp:positionV>
            <wp:extent cx="591185" cy="463550"/>
            <wp:effectExtent l="0" t="0" r="0" b="0"/>
            <wp:wrapThrough wrapText="bothSides">
              <wp:wrapPolygon edited="0">
                <wp:start x="7656" y="0"/>
                <wp:lineTo x="0" y="4438"/>
                <wp:lineTo x="0" y="15090"/>
                <wp:lineTo x="13921" y="20416"/>
                <wp:lineTo x="15313" y="20416"/>
                <wp:lineTo x="19489" y="20416"/>
                <wp:lineTo x="20881" y="14203"/>
                <wp:lineTo x="20881" y="6214"/>
                <wp:lineTo x="17401" y="0"/>
                <wp:lineTo x="7656" y="0"/>
              </wp:wrapPolygon>
            </wp:wrapThrough>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185" cy="463550"/>
                    </a:xfrm>
                    <a:prstGeom prst="rect">
                      <a:avLst/>
                    </a:prstGeom>
                    <a:noFill/>
                  </pic:spPr>
                </pic:pic>
              </a:graphicData>
            </a:graphic>
            <wp14:sizeRelH relativeFrom="margin">
              <wp14:pctWidth>0</wp14:pctWidth>
            </wp14:sizeRelH>
          </wp:anchor>
        </w:drawing>
      </w:r>
      <w:r w:rsidR="00EA66C2" w:rsidRPr="00B50802">
        <w:rPr>
          <w:i/>
          <w:iCs/>
          <w:noProof/>
          <w:kern w:val="24"/>
          <w:lang w:eastAsia="en-AU"/>
        </w:rPr>
        <mc:AlternateContent>
          <mc:Choice Requires="wps">
            <w:drawing>
              <wp:anchor distT="0" distB="0" distL="114300" distR="114300" simplePos="0" relativeHeight="251658265" behindDoc="1" locked="0" layoutInCell="1" allowOverlap="1" wp14:anchorId="7006A216" wp14:editId="0F0DCDE6">
                <wp:simplePos x="0" y="0"/>
                <wp:positionH relativeFrom="margin">
                  <wp:align>right</wp:align>
                </wp:positionH>
                <wp:positionV relativeFrom="paragraph">
                  <wp:posOffset>148212</wp:posOffset>
                </wp:positionV>
                <wp:extent cx="5824800" cy="2253221"/>
                <wp:effectExtent l="0" t="0" r="24130" b="13970"/>
                <wp:wrapNone/>
                <wp:docPr id="100" name="Rectangle 100" descr="Decorative"/>
                <wp:cNvGraphicFramePr/>
                <a:graphic xmlns:a="http://schemas.openxmlformats.org/drawingml/2006/main">
                  <a:graphicData uri="http://schemas.microsoft.com/office/word/2010/wordprocessingShape">
                    <wps:wsp>
                      <wps:cNvSpPr/>
                      <wps:spPr>
                        <a:xfrm>
                          <a:off x="0" y="0"/>
                          <a:ext cx="5824800" cy="2253221"/>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7D1F4" id="Rectangle 100" o:spid="_x0000_s1026" alt="Decorative" style="position:absolute;margin-left:407.45pt;margin-top:11.65pt;width:458.65pt;height:177.4pt;z-index:-25165821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" fillcolor="#f2f2f2 [3052]" strokecolor="black [3213]" strokeweight=".25pt">
                <w10:wrap anchorx="margin"/>
              </v:rect>
            </w:pict>
          </mc:Fallback>
        </mc:AlternateContent>
      </w:r>
    </w:p>
    <w:p w14:paraId="128AF5CA" w14:textId="01DFFC4B" w:rsidR="00AB3785" w:rsidRPr="00B50802" w:rsidRDefault="00AB3785" w:rsidP="00AB3785">
      <w:pPr>
        <w:pStyle w:val="BodyText"/>
        <w:spacing w:after="240"/>
        <w:jc w:val="center"/>
        <w:rPr>
          <w:rFonts w:ascii="Arial" w:hAnsi="Arial" w:cs="Arial"/>
          <w:b/>
          <w:bCs/>
          <w:color w:val="auto"/>
          <w:sz w:val="22"/>
          <w:szCs w:val="22"/>
        </w:rPr>
      </w:pPr>
      <w:r w:rsidRPr="00B50802">
        <w:rPr>
          <w:rFonts w:ascii="Arial" w:hAnsi="Arial" w:cs="Arial"/>
          <w:b/>
          <w:bCs/>
          <w:color w:val="auto"/>
          <w:sz w:val="22"/>
          <w:szCs w:val="22"/>
        </w:rPr>
        <w:t>The National Strategy to Achieve Gender Equality</w:t>
      </w:r>
      <w:r w:rsidR="00076D08">
        <w:rPr>
          <w:rFonts w:ascii="Arial" w:hAnsi="Arial" w:cs="Arial"/>
          <w:b/>
          <w:bCs/>
          <w:color w:val="auto"/>
          <w:sz w:val="22"/>
          <w:szCs w:val="22"/>
        </w:rPr>
        <w:br/>
      </w:r>
    </w:p>
    <w:p w14:paraId="780406E5" w14:textId="7D22A582" w:rsidR="00AB3785" w:rsidRPr="00B50802" w:rsidRDefault="00AB3785" w:rsidP="00AB3785">
      <w:pPr>
        <w:pStyle w:val="BodyText"/>
        <w:spacing w:after="240"/>
        <w:rPr>
          <w:rFonts w:ascii="Arial" w:hAnsi="Arial" w:cs="Arial"/>
          <w:color w:val="auto"/>
          <w:sz w:val="22"/>
          <w:szCs w:val="22"/>
        </w:rPr>
      </w:pPr>
      <w:r w:rsidRPr="00B50802">
        <w:rPr>
          <w:rFonts w:ascii="Arial" w:hAnsi="Arial" w:cs="Arial"/>
          <w:color w:val="auto"/>
          <w:sz w:val="22"/>
          <w:szCs w:val="22"/>
        </w:rPr>
        <w:t>The Australian Government is developing a National Strategy to Achieve Gender Equality to guide whole-of-community action to make Australia one of the best countries in the world for a gender equal society. It is an important mechanism to elevate and prioritise actions that will achieve gender equality. The strategy will describe how gender inequality exists in specific areas including housing and infrastructure.</w:t>
      </w:r>
    </w:p>
    <w:p w14:paraId="4D896817" w14:textId="7AEB6127" w:rsidR="00CA0540" w:rsidRPr="00B50802" w:rsidRDefault="00AB3785" w:rsidP="00CA0540">
      <w:pPr>
        <w:pStyle w:val="BodyText"/>
        <w:spacing w:before="240" w:after="240"/>
        <w:rPr>
          <w:rFonts w:ascii="Arial" w:hAnsi="Arial" w:cs="Arial"/>
          <w:i/>
          <w:iCs/>
          <w:color w:val="auto"/>
          <w:sz w:val="22"/>
          <w:szCs w:val="22"/>
        </w:rPr>
      </w:pPr>
      <w:r w:rsidRPr="00B50802">
        <w:rPr>
          <w:rFonts w:ascii="Arial" w:hAnsi="Arial" w:cs="Arial"/>
          <w:i/>
          <w:iCs/>
          <w:color w:val="auto"/>
          <w:sz w:val="22"/>
          <w:szCs w:val="22"/>
        </w:rPr>
        <w:t>Submissions made as part of the consultation for the Strategy can be resubmitted in response to this Issues Paper, and can be referenced in submissions where stakeholders would like to provide additional information.</w:t>
      </w:r>
    </w:p>
    <w:p w14:paraId="2B6B1F96" w14:textId="5DFB4EE3" w:rsidR="00721DC6" w:rsidRPr="00B50802" w:rsidRDefault="004538CC" w:rsidP="00B00394">
      <w:pPr>
        <w:pStyle w:val="Heading4"/>
        <w:spacing w:after="200"/>
        <w:rPr>
          <w:b w:val="0"/>
        </w:rPr>
      </w:pPr>
      <w:r w:rsidRPr="00B50802">
        <w:rPr>
          <w:b w:val="0"/>
        </w:rPr>
        <w:br/>
      </w:r>
      <w:r w:rsidR="002A75EA" w:rsidRPr="00B50802">
        <w:rPr>
          <w:b w:val="0"/>
        </w:rPr>
        <w:t>The price of housing has been increasing faster than income levels</w:t>
      </w:r>
    </w:p>
    <w:p w14:paraId="47A7802E" w14:textId="5C53FF9A" w:rsidR="002A75EA" w:rsidRPr="00B50802" w:rsidRDefault="002A75EA" w:rsidP="003D165E">
      <w:r w:rsidRPr="00B50802">
        <w:t xml:space="preserve">The issue of </w:t>
      </w:r>
      <w:r w:rsidR="008A1B48" w:rsidRPr="00B50802">
        <w:t>house prices</w:t>
      </w:r>
      <w:r w:rsidRPr="00B50802">
        <w:t xml:space="preserve"> is complex and </w:t>
      </w:r>
      <w:r w:rsidR="003D165E" w:rsidRPr="00B50802">
        <w:t xml:space="preserve">depends </w:t>
      </w:r>
      <w:r w:rsidRPr="00B50802">
        <w:t xml:space="preserve">on a range of interconnected factors </w:t>
      </w:r>
      <w:r w:rsidR="00A35B30" w:rsidRPr="00B50802">
        <w:t>including</w:t>
      </w:r>
      <w:r w:rsidRPr="00B50802" w:rsidDel="00A35B30">
        <w:t xml:space="preserve"> </w:t>
      </w:r>
      <w:r w:rsidRPr="00B50802">
        <w:t>macro-economic conditions and regulation at the Australian Government</w:t>
      </w:r>
      <w:r w:rsidR="00433693" w:rsidRPr="00B50802">
        <w:t>,</w:t>
      </w:r>
      <w:r w:rsidRPr="00B50802">
        <w:t xml:space="preserve"> state </w:t>
      </w:r>
      <w:r w:rsidR="00433693" w:rsidRPr="00B50802">
        <w:t>and local government</w:t>
      </w:r>
      <w:r w:rsidRPr="00B50802">
        <w:t xml:space="preserve"> level.</w:t>
      </w:r>
    </w:p>
    <w:p w14:paraId="7FED3182" w14:textId="1358868D" w:rsidR="002A75EA" w:rsidRPr="00B50802" w:rsidRDefault="002A75EA" w:rsidP="002A75EA">
      <w:pPr>
        <w:rPr>
          <w:noProof/>
          <w:lang w:eastAsia="en-AU"/>
        </w:rPr>
      </w:pPr>
      <w:r w:rsidRPr="00B50802">
        <w:rPr>
          <w:rFonts w:cs="Arial"/>
          <w:kern w:val="24"/>
        </w:rPr>
        <w:t xml:space="preserve">With the price of housing increasing at a higher rate than wages, the proportion of yearly wages needed to save for a deposit </w:t>
      </w:r>
      <w:r w:rsidR="0084146A">
        <w:rPr>
          <w:rFonts w:cs="Arial"/>
          <w:kern w:val="24"/>
        </w:rPr>
        <w:t>has also risen</w:t>
      </w:r>
      <w:r w:rsidRPr="00B50802">
        <w:rPr>
          <w:rFonts w:cs="Arial"/>
          <w:kern w:val="24"/>
        </w:rPr>
        <w:t>.</w:t>
      </w:r>
      <w:r w:rsidRPr="00B50802">
        <w:rPr>
          <w:rStyle w:val="FootnoteReference"/>
          <w:rFonts w:cs="Arial"/>
          <w:kern w:val="24"/>
        </w:rPr>
        <w:footnoteReference w:id="126"/>
      </w:r>
    </w:p>
    <w:p w14:paraId="49914F66" w14:textId="5C6CFB44" w:rsidR="00C25992" w:rsidRPr="00B50802" w:rsidRDefault="00874DE9" w:rsidP="002A75EA">
      <w:pPr>
        <w:rPr>
          <w:noProof/>
          <w:lang w:eastAsia="en-AU"/>
        </w:rPr>
      </w:pPr>
      <w:r w:rsidRPr="00B50802">
        <w:rPr>
          <w:noProof/>
          <w:lang w:eastAsia="en-AU"/>
        </w:rPr>
        <w:lastRenderedPageBreak/>
        <mc:AlternateContent>
          <mc:Choice Requires="wps">
            <w:drawing>
              <wp:anchor distT="0" distB="0" distL="114300" distR="114300" simplePos="0" relativeHeight="251658241" behindDoc="1" locked="0" layoutInCell="1" allowOverlap="1" wp14:anchorId="4EBD4F75" wp14:editId="248B7B5D">
                <wp:simplePos x="0" y="0"/>
                <wp:positionH relativeFrom="margin">
                  <wp:posOffset>-23057</wp:posOffset>
                </wp:positionH>
                <wp:positionV relativeFrom="paragraph">
                  <wp:posOffset>2502578</wp:posOffset>
                </wp:positionV>
                <wp:extent cx="3440430" cy="30734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307340"/>
                        </a:xfrm>
                        <a:prstGeom prst="rect">
                          <a:avLst/>
                        </a:prstGeom>
                        <a:noFill/>
                        <a:ln w="9525">
                          <a:noFill/>
                          <a:miter lim="800000"/>
                          <a:headEnd/>
                          <a:tailEnd/>
                        </a:ln>
                      </wps:spPr>
                      <wps:txbx>
                        <w:txbxContent>
                          <w:p w14:paraId="486F5E8F" w14:textId="3524E93D" w:rsidR="00551032" w:rsidRDefault="00551032" w:rsidP="002A75EA">
                            <w:pPr>
                              <w:rPr>
                                <w:i/>
                                <w:sz w:val="14"/>
                              </w:rPr>
                            </w:pPr>
                            <w:r>
                              <w:rPr>
                                <w:i/>
                                <w:sz w:val="14"/>
                              </w:rPr>
                              <w:t>Source: OECD Affordable Housing Database, latest year available at May 2023.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EBD4F75" id="_x0000_t202" coordsize="21600,21600" o:spt="202" path="m,l,21600r21600,l21600,xe">
                <v:stroke joinstyle="miter"/>
                <v:path gradientshapeok="t" o:connecttype="rect"/>
              </v:shapetype>
              <v:shape id="Text Box 2" o:spid="_x0000_s1026" type="#_x0000_t202" style="position:absolute;margin-left:-1.8pt;margin-top:197.05pt;width:270.9pt;height:24.2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" filled="f" stroked="f">
                <v:textbox>
                  <w:txbxContent>
                    <w:p w14:paraId="486F5E8F" w14:textId="3524E93D" w:rsidR="00551032" w:rsidRDefault="00551032" w:rsidP="002A75EA">
                      <w:pPr>
                        <w:rPr>
                          <w:i/>
                          <w:sz w:val="14"/>
                        </w:rPr>
                      </w:pPr>
                      <w:r>
                        <w:rPr>
                          <w:i/>
                          <w:sz w:val="14"/>
                        </w:rPr>
                        <w:t>Source: OECD Affordable Housing Database, latest year available at May 2023.</w:t>
                      </w:r>
                    </w:p>
                  </w:txbxContent>
                </v:textbox>
                <w10:wrap anchorx="margin"/>
              </v:shape>
            </w:pict>
          </mc:Fallback>
        </mc:AlternateContent>
      </w:r>
      <w:r w:rsidR="00721DC6" w:rsidRPr="00B50802">
        <w:rPr>
          <w:noProof/>
          <w:lang w:eastAsia="en-AU"/>
        </w:rPr>
        <w:drawing>
          <wp:inline distT="0" distB="0" distL="0" distR="0" wp14:anchorId="57150168" wp14:editId="264CA6B8">
            <wp:extent cx="5734685" cy="2524760"/>
            <wp:effectExtent l="0" t="0" r="0" b="0"/>
            <wp:docPr id="57" name="Picture 57" descr="In 1996 the real house price index was 40.18 and the price-to-income was 59.4. In 2021, the real house price index was 131.43 and the price-to-income ratio was 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4685" cy="2524760"/>
                    </a:xfrm>
                    <a:prstGeom prst="rect">
                      <a:avLst/>
                    </a:prstGeom>
                    <a:noFill/>
                  </pic:spPr>
                </pic:pic>
              </a:graphicData>
            </a:graphic>
          </wp:inline>
        </w:drawing>
      </w:r>
    </w:p>
    <w:p w14:paraId="1B061913" w14:textId="3659D4D3" w:rsidR="002A75EA" w:rsidRPr="00B50802" w:rsidRDefault="00602C0C" w:rsidP="002A75EA">
      <w:pPr>
        <w:rPr>
          <w:rFonts w:cs="Arial"/>
          <w:color w:val="000000" w:themeColor="text1"/>
          <w:kern w:val="24"/>
        </w:rPr>
      </w:pPr>
      <w:r w:rsidRPr="00B75F7D">
        <w:rPr>
          <w:rFonts w:cs="Arial"/>
          <w:color w:val="000000" w:themeColor="text1"/>
          <w:kern w:val="24"/>
        </w:rPr>
        <w:br/>
      </w:r>
      <w:r w:rsidR="002A75EA" w:rsidRPr="00B50802">
        <w:rPr>
          <w:rFonts w:cs="Arial"/>
          <w:color w:val="000000" w:themeColor="text1"/>
          <w:kern w:val="24"/>
        </w:rPr>
        <w:t>Debt as a proportion of income, and debt to asset ratios have also increased, with household debt making up 211% of disposable income in 2021 (up from 133% in 2001)</w:t>
      </w:r>
      <w:r w:rsidR="00F1586C" w:rsidRPr="00B50802">
        <w:rPr>
          <w:rFonts w:cs="Arial"/>
          <w:color w:val="000000" w:themeColor="text1"/>
          <w:kern w:val="24"/>
        </w:rPr>
        <w:t>,</w:t>
      </w:r>
      <w:r w:rsidR="002A75EA" w:rsidRPr="00B50802">
        <w:rPr>
          <w:rStyle w:val="FootnoteReference"/>
          <w:rFonts w:cs="Arial"/>
          <w:color w:val="000000" w:themeColor="text1"/>
          <w:kern w:val="24"/>
        </w:rPr>
        <w:footnoteReference w:id="127"/>
      </w:r>
      <w:r w:rsidR="002A75EA" w:rsidRPr="00B50802">
        <w:rPr>
          <w:rFonts w:cs="Arial"/>
          <w:color w:val="000000" w:themeColor="text1"/>
          <w:kern w:val="24"/>
        </w:rPr>
        <w:t xml:space="preserve"> and the median debt to asset ratio increasing from 0.16 in 2009</w:t>
      </w:r>
      <w:r w:rsidR="00F1586C" w:rsidRPr="00B50802">
        <w:rPr>
          <w:rFonts w:cs="Arial"/>
          <w:color w:val="000000" w:themeColor="text1"/>
          <w:kern w:val="24"/>
        </w:rPr>
        <w:t>–</w:t>
      </w:r>
      <w:r w:rsidR="002A75EA" w:rsidRPr="00B50802">
        <w:rPr>
          <w:rFonts w:cs="Arial"/>
          <w:color w:val="000000" w:themeColor="text1"/>
          <w:kern w:val="24"/>
        </w:rPr>
        <w:t>10 to 0.18 in 2019</w:t>
      </w:r>
      <w:r w:rsidR="00F1586C" w:rsidRPr="00B50802">
        <w:rPr>
          <w:rFonts w:cs="Arial"/>
          <w:color w:val="000000" w:themeColor="text1"/>
          <w:kern w:val="24"/>
        </w:rPr>
        <w:t>–</w:t>
      </w:r>
      <w:r w:rsidR="002A75EA" w:rsidRPr="00B50802">
        <w:rPr>
          <w:rFonts w:cs="Arial"/>
          <w:color w:val="000000" w:themeColor="text1"/>
          <w:kern w:val="24"/>
        </w:rPr>
        <w:t>20.</w:t>
      </w:r>
      <w:r w:rsidR="002A75EA" w:rsidRPr="00B50802">
        <w:rPr>
          <w:rStyle w:val="FootnoteReference"/>
          <w:rFonts w:cs="Arial"/>
          <w:color w:val="000000" w:themeColor="text1"/>
          <w:kern w:val="24"/>
        </w:rPr>
        <w:footnoteReference w:id="128"/>
      </w:r>
    </w:p>
    <w:p w14:paraId="5D711725" w14:textId="629326A5" w:rsidR="00F96189" w:rsidRPr="00B50802" w:rsidRDefault="002A75EA">
      <w:pPr>
        <w:rPr>
          <w:rFonts w:eastAsiaTheme="majorEastAsia" w:cstheme="majorBidi"/>
          <w:bCs/>
          <w:i/>
          <w:iCs/>
        </w:rPr>
      </w:pPr>
      <w:r w:rsidRPr="00B50802">
        <w:rPr>
          <w:rFonts w:cs="Arial"/>
          <w:color w:val="000000" w:themeColor="text1"/>
          <w:kern w:val="24"/>
        </w:rPr>
        <w:t>These rising price to income ratios are increasing the time it takes for Australians to save for a home.</w:t>
      </w:r>
    </w:p>
    <w:p w14:paraId="2142EFD2" w14:textId="31A9E2DD" w:rsidR="002A75EA" w:rsidRPr="00B50802" w:rsidRDefault="002A75EA" w:rsidP="00B00394">
      <w:pPr>
        <w:pStyle w:val="Heading4"/>
        <w:spacing w:after="200"/>
        <w:rPr>
          <w:b w:val="0"/>
        </w:rPr>
      </w:pPr>
      <w:r w:rsidRPr="00B50802">
        <w:rPr>
          <w:b w:val="0"/>
        </w:rPr>
        <w:t>Investment properties</w:t>
      </w:r>
    </w:p>
    <w:p w14:paraId="1FF71924" w14:textId="06A6E15F" w:rsidR="002A75EA" w:rsidRPr="00B50802" w:rsidRDefault="002A75EA" w:rsidP="002A75EA">
      <w:r w:rsidRPr="00B50802">
        <w:t>In 2019</w:t>
      </w:r>
      <w:r w:rsidR="00F1586C" w:rsidRPr="00B50802">
        <w:rPr>
          <w:rFonts w:cs="Arial"/>
          <w:color w:val="000000" w:themeColor="text1"/>
          <w:kern w:val="24"/>
        </w:rPr>
        <w:t>–</w:t>
      </w:r>
      <w:r w:rsidRPr="00B50802">
        <w:t>20, 21% of Australian households own</w:t>
      </w:r>
      <w:r w:rsidR="00A35B30" w:rsidRPr="00B50802">
        <w:t>ed</w:t>
      </w:r>
      <w:r w:rsidRPr="00B50802">
        <w:t xml:space="preserve"> a property other than their usual residence.</w:t>
      </w:r>
      <w:r w:rsidRPr="003618B4">
        <w:rPr>
          <w:rStyle w:val="FootnoteReference"/>
        </w:rPr>
        <w:t xml:space="preserve"> </w:t>
      </w:r>
      <w:r w:rsidR="003618B4" w:rsidRPr="00B50802">
        <w:rPr>
          <w:rStyle w:val="FootnoteReference"/>
        </w:rPr>
        <w:footnoteReference w:id="129"/>
      </w:r>
      <w:r w:rsidRPr="00B50802">
        <w:t xml:space="preserve"> These included properties rented on the private market and properties used for other purposes, such as holiday homes. The majority (68%) of people who owned a property other than their usual residence owned only one additional property</w:t>
      </w:r>
      <w:r w:rsidR="00F1586C" w:rsidRPr="00B50802">
        <w:t xml:space="preserve">, while 4% </w:t>
      </w:r>
      <w:r w:rsidRPr="00B50802">
        <w:t>owned 4 or more additional properties.</w:t>
      </w:r>
      <w:r w:rsidR="005E392B" w:rsidRPr="00B75F7D">
        <w:t xml:space="preserve"> Trends in the ownership of </w:t>
      </w:r>
      <w:r w:rsidR="00A15E0C" w:rsidRPr="00B75F7D">
        <w:t>investment</w:t>
      </w:r>
      <w:r w:rsidR="005E392B" w:rsidRPr="00B75F7D">
        <w:t xml:space="preserve"> properties may have shifted since 2019-20.</w:t>
      </w:r>
    </w:p>
    <w:p w14:paraId="51234A99" w14:textId="5ED74728" w:rsidR="006B209F" w:rsidRPr="00B50802" w:rsidRDefault="00597296" w:rsidP="002A75EA">
      <w:pPr>
        <w:rPr>
          <w:rStyle w:val="Strong"/>
          <w:b w:val="0"/>
          <w:bCs w:val="0"/>
        </w:rPr>
      </w:pPr>
      <w:r w:rsidRPr="00B50802">
        <w:t>Investors</w:t>
      </w:r>
      <w:r w:rsidRPr="00B50802">
        <w:rPr>
          <w:rFonts w:cs="Arial"/>
        </w:rPr>
        <w:t xml:space="preserve"> – both institutional and individual – are an important source of funding, particularly given the limited rental supply in Australia. </w:t>
      </w:r>
    </w:p>
    <w:p w14:paraId="51F1BF86" w14:textId="77777777" w:rsidR="006B209F" w:rsidRPr="00B50802" w:rsidRDefault="006B209F">
      <w:pPr>
        <w:rPr>
          <w:rStyle w:val="Strong"/>
          <w:b w:val="0"/>
          <w:bCs w:val="0"/>
        </w:rPr>
      </w:pPr>
      <w:r w:rsidRPr="00B50802">
        <w:rPr>
          <w:rStyle w:val="Strong"/>
          <w:b w:val="0"/>
          <w:bCs w:val="0"/>
        </w:rPr>
        <w:br w:type="page"/>
      </w:r>
    </w:p>
    <w:bookmarkStart w:id="1776" w:name="_Toc134784717"/>
    <w:p w14:paraId="424D5FC1" w14:textId="77777777" w:rsidR="006B209F" w:rsidRPr="00B50802" w:rsidRDefault="006B209F" w:rsidP="006B209F">
      <w:r w:rsidRPr="00B50802">
        <w:rPr>
          <w:noProof/>
          <w:lang w:eastAsia="en-AU"/>
        </w:rPr>
        <w:lastRenderedPageBreak/>
        <mc:AlternateContent>
          <mc:Choice Requires="wps">
            <w:drawing>
              <wp:anchor distT="0" distB="0" distL="114300" distR="114300" simplePos="0" relativeHeight="251658266" behindDoc="1" locked="0" layoutInCell="1" allowOverlap="1" wp14:anchorId="7EF8FEE3" wp14:editId="5B704772">
                <wp:simplePos x="0" y="0"/>
                <wp:positionH relativeFrom="column">
                  <wp:posOffset>-110660</wp:posOffset>
                </wp:positionH>
                <wp:positionV relativeFrom="paragraph">
                  <wp:posOffset>-11649</wp:posOffset>
                </wp:positionV>
                <wp:extent cx="6052488" cy="7513223"/>
                <wp:effectExtent l="0" t="0" r="24765" b="12065"/>
                <wp:wrapNone/>
                <wp:docPr id="275" name="Rectangle 275" descr="Decorative"/>
                <wp:cNvGraphicFramePr/>
                <a:graphic xmlns:a="http://schemas.openxmlformats.org/drawingml/2006/main">
                  <a:graphicData uri="http://schemas.microsoft.com/office/word/2010/wordprocessingShape">
                    <wps:wsp>
                      <wps:cNvSpPr/>
                      <wps:spPr>
                        <a:xfrm>
                          <a:off x="0" y="0"/>
                          <a:ext cx="6052488" cy="7513223"/>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7C8C0" id="Rectangle 275" o:spid="_x0000_s1026" alt="Decorative" style="position:absolute;margin-left:-8.7pt;margin-top:-.9pt;width:476.55pt;height:591.6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" fillcolor="#f2f2f2 [3052]" strokecolor="black [3213]" strokeweight=".25pt"/>
            </w:pict>
          </mc:Fallback>
        </mc:AlternateContent>
      </w:r>
      <w:r w:rsidRPr="00B50802">
        <w:rPr>
          <w:noProof/>
          <w:lang w:eastAsia="en-AU"/>
        </w:rPr>
        <w:drawing>
          <wp:anchor distT="0" distB="0" distL="114300" distR="114300" simplePos="0" relativeHeight="251658283" behindDoc="0" locked="0" layoutInCell="1" allowOverlap="1" wp14:anchorId="7C1D7C58" wp14:editId="3169AAA7">
            <wp:simplePos x="0" y="0"/>
            <wp:positionH relativeFrom="column">
              <wp:posOffset>119103</wp:posOffset>
            </wp:positionH>
            <wp:positionV relativeFrom="paragraph">
              <wp:posOffset>91854</wp:posOffset>
            </wp:positionV>
            <wp:extent cx="591185" cy="463550"/>
            <wp:effectExtent l="0" t="0" r="0" b="0"/>
            <wp:wrapThrough wrapText="bothSides">
              <wp:wrapPolygon edited="0">
                <wp:start x="7656" y="0"/>
                <wp:lineTo x="0" y="4438"/>
                <wp:lineTo x="0" y="15090"/>
                <wp:lineTo x="13921" y="20416"/>
                <wp:lineTo x="15313" y="20416"/>
                <wp:lineTo x="19489" y="20416"/>
                <wp:lineTo x="20881" y="14203"/>
                <wp:lineTo x="20881" y="6214"/>
                <wp:lineTo x="17401" y="0"/>
                <wp:lineTo x="7656" y="0"/>
              </wp:wrapPolygon>
            </wp:wrapThrough>
            <wp:docPr id="262" name="Picture 2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185" cy="463550"/>
                    </a:xfrm>
                    <a:prstGeom prst="rect">
                      <a:avLst/>
                    </a:prstGeom>
                    <a:noFill/>
                  </pic:spPr>
                </pic:pic>
              </a:graphicData>
            </a:graphic>
            <wp14:sizeRelH relativeFrom="page">
              <wp14:pctWidth>0</wp14:pctWidth>
            </wp14:sizeRelH>
            <wp14:sizeRelV relativeFrom="page">
              <wp14:pctHeight>0</wp14:pctHeight>
            </wp14:sizeRelV>
          </wp:anchor>
        </w:drawing>
      </w:r>
    </w:p>
    <w:p w14:paraId="2D5F546B" w14:textId="77777777" w:rsidR="006B209F" w:rsidRPr="00B50802" w:rsidRDefault="006B209F" w:rsidP="006B209F">
      <w:pPr>
        <w:jc w:val="center"/>
        <w:rPr>
          <w:b/>
          <w:bCs/>
          <w:color w:val="000000" w:themeColor="text1"/>
          <w:szCs w:val="20"/>
        </w:rPr>
      </w:pPr>
      <w:r w:rsidRPr="00B50802">
        <w:rPr>
          <w:b/>
          <w:bCs/>
          <w:color w:val="000000" w:themeColor="text1"/>
          <w:szCs w:val="20"/>
        </w:rPr>
        <w:t>Homebuyer supports</w:t>
      </w:r>
    </w:p>
    <w:p w14:paraId="3D365687" w14:textId="77777777" w:rsidR="006B209F" w:rsidRPr="00B50802" w:rsidRDefault="006B209F" w:rsidP="006B209F">
      <w:r w:rsidRPr="00B50802">
        <w:t>The Australian Government and state governments administer schemes to support first homebuyers, including the Home Guarantee Scheme, shared equity schemes and government lending authorities. These include:</w:t>
      </w:r>
    </w:p>
    <w:p w14:paraId="68A241B9" w14:textId="548CF109" w:rsidR="006B209F" w:rsidRPr="00B50802" w:rsidRDefault="006B209F" w:rsidP="006B209F">
      <w:r w:rsidRPr="00B50802">
        <w:rPr>
          <w:b/>
        </w:rPr>
        <w:t xml:space="preserve">The </w:t>
      </w:r>
      <w:r w:rsidR="00A35B30" w:rsidRPr="00B50802">
        <w:rPr>
          <w:b/>
        </w:rPr>
        <w:t>Australian Government’s</w:t>
      </w:r>
      <w:r w:rsidRPr="00B50802">
        <w:rPr>
          <w:b/>
        </w:rPr>
        <w:t xml:space="preserve"> Home Guarantee Scheme </w:t>
      </w:r>
      <w:r w:rsidRPr="00B50802">
        <w:rPr>
          <w:bCs/>
        </w:rPr>
        <w:t>–</w:t>
      </w:r>
      <w:r w:rsidRPr="00B50802">
        <w:rPr>
          <w:b/>
        </w:rPr>
        <w:t xml:space="preserve"> </w:t>
      </w:r>
      <w:r w:rsidRPr="00B50802">
        <w:t>an initiative to support Australians to achieve home ownership. From 1 July 2022 the existing Home Guarantee Scheme was expanded to make available:</w:t>
      </w:r>
    </w:p>
    <w:p w14:paraId="33C03764" w14:textId="77777777" w:rsidR="006B209F" w:rsidRPr="00B50802" w:rsidRDefault="006B209F" w:rsidP="00296045">
      <w:pPr>
        <w:pStyle w:val="Bullets"/>
        <w:numPr>
          <w:ilvl w:val="0"/>
          <w:numId w:val="39"/>
        </w:numPr>
        <w:ind w:left="709"/>
      </w:pPr>
      <w:r w:rsidRPr="00B50802">
        <w:t xml:space="preserve">35,000 places each financial year to support first home buyers to purchase </w:t>
      </w:r>
      <w:r w:rsidRPr="00B50802">
        <w:br/>
        <w:t>a home with a deposit of as little as 5% (the First Home Guarantee)</w:t>
      </w:r>
    </w:p>
    <w:p w14:paraId="7019C15B" w14:textId="77777777" w:rsidR="006B209F" w:rsidRPr="00B50802" w:rsidRDefault="006B209F" w:rsidP="00296045">
      <w:pPr>
        <w:pStyle w:val="Bullets"/>
        <w:numPr>
          <w:ilvl w:val="0"/>
          <w:numId w:val="39"/>
        </w:numPr>
        <w:ind w:left="709"/>
      </w:pPr>
      <w:r w:rsidRPr="00B50802">
        <w:t>5,000 places each financial year to 30 June 2025 to support single parents with dependents to purchase a home with a deposit of as little as 2% (the Family Home Guarantee)</w:t>
      </w:r>
    </w:p>
    <w:p w14:paraId="271BAB95" w14:textId="77777777" w:rsidR="006B209F" w:rsidRPr="00B50802" w:rsidRDefault="006B209F" w:rsidP="00296045">
      <w:pPr>
        <w:pStyle w:val="Bullets"/>
        <w:numPr>
          <w:ilvl w:val="0"/>
          <w:numId w:val="39"/>
        </w:numPr>
        <w:ind w:left="709"/>
      </w:pPr>
      <w:r w:rsidRPr="00B50802">
        <w:t>10,000 places each financial year to 30 June 2025 to support regional first home buyers to purchase a home with a deposit of as little as 5% (the Regional First Home Buyer Guarantee).</w:t>
      </w:r>
    </w:p>
    <w:p w14:paraId="6B923FC7" w14:textId="14800030" w:rsidR="006B209F" w:rsidRPr="00B50802" w:rsidRDefault="006B209F" w:rsidP="006B209F">
      <w:pPr>
        <w:rPr>
          <w:rFonts w:ascii="Calibri" w:hAnsi="Calibri"/>
        </w:rPr>
      </w:pPr>
      <w:r w:rsidRPr="00B50802">
        <w:t>From 1 July 2023, friends</w:t>
      </w:r>
      <w:r w:rsidR="00FD04A4" w:rsidRPr="00B50802">
        <w:t>,</w:t>
      </w:r>
      <w:r w:rsidRPr="00B50802">
        <w:t xml:space="preserve"> siblings and other family members will be eligible for joint applications under the First Home Guarantee and regional First Home Buyer Guarantee. Eligibility for the Family Home Guarantee will also be expanded to include single legal guardians of children such as aunts, uncles and grandparents. All</w:t>
      </w:r>
      <w:r w:rsidRPr="00B50802" w:rsidDel="00A35B30">
        <w:t xml:space="preserve"> </w:t>
      </w:r>
      <w:r w:rsidR="00A35B30" w:rsidRPr="00B50802">
        <w:t>three</w:t>
      </w:r>
      <w:r w:rsidRPr="00B50802">
        <w:t xml:space="preserve"> guarantees will also become available to eligible borrowers who are Australian Permanent Residents, in addition to Australian citizens.</w:t>
      </w:r>
    </w:p>
    <w:p w14:paraId="64A5AE86" w14:textId="196CFDE4" w:rsidR="006B209F" w:rsidRPr="00B50802" w:rsidRDefault="006B209F" w:rsidP="006B209F">
      <w:r w:rsidRPr="00B50802">
        <w:rPr>
          <w:b/>
        </w:rPr>
        <w:t>Shared equity schemes</w:t>
      </w:r>
      <w:r w:rsidRPr="00B50802">
        <w:t xml:space="preserve"> allow lower income home buyers to share the capital cost </w:t>
      </w:r>
      <w:r w:rsidRPr="00B50802">
        <w:br/>
        <w:t>of purchasing a home with a</w:t>
      </w:r>
      <w:r w:rsidR="002E16DF" w:rsidRPr="00B50802">
        <w:t xml:space="preserve">n </w:t>
      </w:r>
      <w:r w:rsidRPr="00B50802">
        <w:t xml:space="preserve">equity partner. </w:t>
      </w:r>
      <w:r w:rsidR="002E16DF" w:rsidRPr="00B50802">
        <w:t xml:space="preserve">These </w:t>
      </w:r>
      <w:r w:rsidRPr="00B50802">
        <w:t>schemes</w:t>
      </w:r>
      <w:r w:rsidR="002E16DF" w:rsidRPr="00B50802">
        <w:t>, such as the Australian Government’s Help to Buy scheme,</w:t>
      </w:r>
      <w:r w:rsidRPr="00B50802">
        <w:t xml:space="preserve"> allow lower income homebuyers to buy sooner as they need a lower initial deposit and have lower ongoing housing costs. Such schemes are administered by the ACT, New South Wales, Queensland, South Australian, Tasmanian, Victorian and Western Australian governments.</w:t>
      </w:r>
    </w:p>
    <w:p w14:paraId="432546FC" w14:textId="77777777" w:rsidR="006547A8" w:rsidRPr="00B50802" w:rsidRDefault="006B209F" w:rsidP="006547A8">
      <w:r w:rsidRPr="00B50802">
        <w:rPr>
          <w:b/>
        </w:rPr>
        <w:t>Government lending authorities</w:t>
      </w:r>
      <w:r w:rsidRPr="00B50802">
        <w:t xml:space="preserve"> are government organisations that provide low deposit home loans for people who are unable to meet the deposit requirements of mainstream lenders. Such schemes exist in Queensland, South Australia and Western Australia. The Northern Territory provides loans for people building their own home. The Australian Government provides lower deposit loans for Aboriginal and Torres Strait Islander peoples through Indigenous Business Australia.</w:t>
      </w:r>
    </w:p>
    <w:p w14:paraId="08211881" w14:textId="77777777" w:rsidR="006547A8" w:rsidRPr="00B50802" w:rsidRDefault="006547A8">
      <w:r w:rsidRPr="00B50802">
        <w:br w:type="page"/>
      </w:r>
    </w:p>
    <w:p w14:paraId="69883774" w14:textId="77777777" w:rsidR="002A75EA" w:rsidRPr="00882959" w:rsidRDefault="002A75EA" w:rsidP="003B4F6F">
      <w:pPr>
        <w:keepNext/>
        <w:keepLines/>
        <w:rPr>
          <w:rStyle w:val="Strong"/>
          <w:rFonts w:ascii="Georgia" w:eastAsiaTheme="majorEastAsia" w:hAnsi="Georgia" w:cstheme="majorBidi"/>
          <w:sz w:val="28"/>
          <w:szCs w:val="28"/>
        </w:rPr>
      </w:pPr>
      <w:bookmarkStart w:id="1777" w:name="_Toc135035236"/>
      <w:bookmarkStart w:id="1778" w:name="_Toc135060913"/>
      <w:bookmarkStart w:id="1779" w:name="_Toc135161385"/>
      <w:bookmarkStart w:id="1780" w:name="_Toc135162331"/>
      <w:bookmarkStart w:id="1781" w:name="_Toc135162505"/>
      <w:bookmarkStart w:id="1782" w:name="_Toc135206084"/>
      <w:bookmarkStart w:id="1783" w:name="_Toc135206169"/>
      <w:bookmarkStart w:id="1784" w:name="_Toc139464327"/>
      <w:r w:rsidRPr="003B4F6F">
        <w:rPr>
          <w:rStyle w:val="Strong"/>
          <w:rFonts w:ascii="Georgia" w:eastAsiaTheme="majorEastAsia" w:hAnsi="Georgia" w:cstheme="majorBidi"/>
          <w:sz w:val="28"/>
          <w:szCs w:val="28"/>
        </w:rPr>
        <w:lastRenderedPageBreak/>
        <w:t xml:space="preserve">Private </w:t>
      </w:r>
      <w:r w:rsidR="009A13F8" w:rsidRPr="00882959">
        <w:rPr>
          <w:rStyle w:val="Strong"/>
          <w:rFonts w:ascii="Georgia" w:eastAsiaTheme="majorEastAsia" w:hAnsi="Georgia" w:cstheme="majorBidi"/>
          <w:sz w:val="28"/>
          <w:szCs w:val="28"/>
        </w:rPr>
        <w:t>r</w:t>
      </w:r>
      <w:r w:rsidRPr="00882959">
        <w:rPr>
          <w:rStyle w:val="Strong"/>
          <w:rFonts w:ascii="Georgia" w:eastAsiaTheme="majorEastAsia" w:hAnsi="Georgia" w:cstheme="majorBidi"/>
          <w:sz w:val="28"/>
          <w:szCs w:val="28"/>
        </w:rPr>
        <w:t>ental in Australia</w:t>
      </w:r>
      <w:bookmarkEnd w:id="1776"/>
      <w:bookmarkEnd w:id="1777"/>
      <w:bookmarkEnd w:id="1778"/>
      <w:bookmarkEnd w:id="1779"/>
      <w:bookmarkEnd w:id="1780"/>
      <w:bookmarkEnd w:id="1781"/>
      <w:bookmarkEnd w:id="1782"/>
      <w:bookmarkEnd w:id="1783"/>
      <w:bookmarkEnd w:id="1784"/>
      <w:r w:rsidRPr="00882959">
        <w:rPr>
          <w:rStyle w:val="Strong"/>
          <w:rFonts w:ascii="Georgia" w:eastAsiaTheme="majorEastAsia" w:hAnsi="Georgia" w:cstheme="majorBidi"/>
          <w:sz w:val="28"/>
          <w:szCs w:val="28"/>
        </w:rPr>
        <w:t xml:space="preserve"> </w:t>
      </w:r>
    </w:p>
    <w:p w14:paraId="29C45687" w14:textId="7705D7A3" w:rsidR="002A75EA" w:rsidRPr="00B50802" w:rsidRDefault="002A75EA" w:rsidP="002A75EA">
      <w:r w:rsidRPr="00B50802">
        <w:t xml:space="preserve">Renters in Australia face a number of security and quality challenges. Long-term leases are rare, leading to higher levels of insecurity for renters. </w:t>
      </w:r>
      <w:r w:rsidR="0018267D" w:rsidRPr="00B75F7D">
        <w:t>Private rental housing stock is diverse, though there is increasing evidence of fairly widespread problems, such as poor dwelling conditions (e.g. across maintenance, and basic health and safety requirements), tenure insecurity, and unaffordability.</w:t>
      </w:r>
      <w:r w:rsidR="0018267D" w:rsidRPr="00B75F7D">
        <w:rPr>
          <w:rStyle w:val="FootnoteReference"/>
        </w:rPr>
        <w:footnoteReference w:id="130"/>
      </w:r>
      <w:r w:rsidR="0018267D" w:rsidRPr="00B75F7D" w:rsidDel="0018267D">
        <w:t xml:space="preserve"> </w:t>
      </w:r>
    </w:p>
    <w:p w14:paraId="6C383668" w14:textId="0705CBBC" w:rsidR="002A75EA" w:rsidRPr="00B50802" w:rsidRDefault="009A13F8" w:rsidP="002A75EA">
      <w:r w:rsidRPr="00B50802">
        <w:t xml:space="preserve">While </w:t>
      </w:r>
      <w:r w:rsidR="002A75EA" w:rsidRPr="00B50802">
        <w:t>the private rental market may be less stable than home ownership, many Australians choose to rent due to a range of reasons, including mobility. Traditionally, relocating for work, study and travel is easier and less costly for those in the rental market, partially due to the cost of stamp duty and other government fees.</w:t>
      </w:r>
      <w:r w:rsidR="002A75EA" w:rsidRPr="00B50802">
        <w:rPr>
          <w:rStyle w:val="FootnoteReference"/>
        </w:rPr>
        <w:t xml:space="preserve"> </w:t>
      </w:r>
      <w:r w:rsidR="002A75EA" w:rsidRPr="00B50802">
        <w:rPr>
          <w:rStyle w:val="FootnoteReference"/>
        </w:rPr>
        <w:footnoteReference w:id="131"/>
      </w:r>
    </w:p>
    <w:p w14:paraId="438C2AEB" w14:textId="7300741D" w:rsidR="002A75EA" w:rsidRPr="00B50802" w:rsidRDefault="002A75EA" w:rsidP="002A75EA">
      <w:r w:rsidRPr="00B50802">
        <w:t>With high house prices (particularly housing in inner-city locations close to employment and educational opportunities), renting may enable</w:t>
      </w:r>
      <w:r w:rsidR="008A1B48" w:rsidRPr="00B50802">
        <w:t xml:space="preserve"> some</w:t>
      </w:r>
      <w:r w:rsidRPr="00B50802">
        <w:t xml:space="preserve"> families to live in highly desirable areas where they would not be able to buy.</w:t>
      </w:r>
      <w:r w:rsidRPr="00B50802">
        <w:rPr>
          <w:rStyle w:val="FootnoteReference"/>
        </w:rPr>
        <w:footnoteReference w:id="132"/>
      </w:r>
      <w:r w:rsidRPr="00B50802">
        <w:t xml:space="preserve"> </w:t>
      </w:r>
    </w:p>
    <w:p w14:paraId="770C1CB4" w14:textId="70C62635" w:rsidR="00F36F13" w:rsidRPr="00B50802" w:rsidRDefault="002A75EA" w:rsidP="002A75EA">
      <w:r w:rsidRPr="00B50802">
        <w:t xml:space="preserve">Increasing house prices and barriers to entering the housing market mean, for </w:t>
      </w:r>
      <w:r w:rsidR="006E6DFC" w:rsidRPr="00B50802">
        <w:t xml:space="preserve">too </w:t>
      </w:r>
      <w:r w:rsidRPr="00B50802">
        <w:t>many Australians, home ownership is out of reach. Similarly, as renters spend increased proportions of their incomes on housing, their ability to save for a deposit is further reduced.</w:t>
      </w:r>
    </w:p>
    <w:p w14:paraId="26B60AEC" w14:textId="7C715309" w:rsidR="002A75EA" w:rsidRPr="00B50802" w:rsidRDefault="008A1B48" w:rsidP="002A75EA">
      <w:r w:rsidRPr="00B50802">
        <w:t xml:space="preserve">A number of </w:t>
      </w:r>
      <w:r w:rsidR="002A75EA" w:rsidRPr="00B50802">
        <w:t xml:space="preserve">Australians (particularly low-income households) experience barriers to entering the rental market. As well as affordability barriers, </w:t>
      </w:r>
      <w:r w:rsidR="009A13F8" w:rsidRPr="00B50802">
        <w:t xml:space="preserve">the ability of </w:t>
      </w:r>
      <w:r w:rsidR="002A75EA" w:rsidRPr="00B50802">
        <w:t>low</w:t>
      </w:r>
      <w:r w:rsidR="009A13F8" w:rsidRPr="00B50802">
        <w:t>-</w:t>
      </w:r>
      <w:r w:rsidR="002A75EA" w:rsidRPr="00B50802">
        <w:t>income households to access the private rental market can be impacted by the costs and time it can take to navigate the private rental system (including time taken to attend inspections and complete applications, as well as up</w:t>
      </w:r>
      <w:r w:rsidR="009A13F8" w:rsidRPr="00B50802">
        <w:t>-</w:t>
      </w:r>
      <w:r w:rsidR="002A75EA" w:rsidRPr="00B50802">
        <w:t>front costs such as bonds and deposits).</w:t>
      </w:r>
      <w:r w:rsidR="002A75EA" w:rsidRPr="00B50802">
        <w:rPr>
          <w:rStyle w:val="FootnoteReference"/>
        </w:rPr>
        <w:footnoteReference w:id="133"/>
      </w:r>
    </w:p>
    <w:p w14:paraId="30CDB802" w14:textId="77777777" w:rsidR="002A75EA" w:rsidRPr="00B50802" w:rsidRDefault="002A75EA" w:rsidP="002A75EA">
      <w:r w:rsidRPr="00B50802">
        <w:t>Barriers to gaining rental accommodation may be further amplified by direct and indirect discrimination. This issue affects many vulnerable cohorts seeking rental accommodation throughout Australia, including Indigenous Australians, people with disabilities, members of established ethnic minority groups, and new migrants and refugees. Discrimination in the rental market can also occur based on age, gender and sexuality.</w:t>
      </w:r>
      <w:r w:rsidRPr="00B50802">
        <w:rPr>
          <w:rStyle w:val="FootnoteReference"/>
        </w:rPr>
        <w:footnoteReference w:id="134"/>
      </w:r>
    </w:p>
    <w:p w14:paraId="13D6B06A" w14:textId="77777777" w:rsidR="00882959" w:rsidRDefault="00882959">
      <w:pPr>
        <w:rPr>
          <w:rFonts w:eastAsiaTheme="majorEastAsia" w:cstheme="majorBidi"/>
          <w:bCs/>
          <w:i/>
          <w:iCs/>
        </w:rPr>
      </w:pPr>
      <w:r>
        <w:rPr>
          <w:b/>
        </w:rPr>
        <w:br w:type="page"/>
      </w:r>
    </w:p>
    <w:p w14:paraId="5F18E803" w14:textId="77777777" w:rsidR="002A75EA" w:rsidRPr="00B50802" w:rsidRDefault="002A75EA" w:rsidP="00B00394">
      <w:pPr>
        <w:pStyle w:val="Heading4"/>
        <w:spacing w:after="200"/>
        <w:rPr>
          <w:b w:val="0"/>
        </w:rPr>
      </w:pPr>
      <w:r w:rsidRPr="00B50802">
        <w:rPr>
          <w:b w:val="0"/>
        </w:rPr>
        <w:lastRenderedPageBreak/>
        <w:t>Availability</w:t>
      </w:r>
    </w:p>
    <w:p w14:paraId="59899946" w14:textId="51F1EDD8" w:rsidR="002A75EA" w:rsidRPr="00B50802" w:rsidRDefault="002A75EA" w:rsidP="002A75EA">
      <w:r w:rsidRPr="00B50802">
        <w:t xml:space="preserve">The private rental sector </w:t>
      </w:r>
      <w:r w:rsidR="003B1866">
        <w:t>has been the</w:t>
      </w:r>
      <w:r w:rsidRPr="00B50802">
        <w:t xml:space="preserve"> fastest growing housing sector in Australia.</w:t>
      </w:r>
      <w:r w:rsidR="003B1866">
        <w:rPr>
          <w:rStyle w:val="FootnoteReference"/>
        </w:rPr>
        <w:footnoteReference w:id="135"/>
      </w:r>
      <w:r w:rsidRPr="00B50802">
        <w:t xml:space="preserve"> As house prices increase, people who would have traditionally entered the housing market are instead remaining in the private rental market. As a result, middle and higher</w:t>
      </w:r>
      <w:r w:rsidR="000770F9" w:rsidRPr="00B50802">
        <w:t>-</w:t>
      </w:r>
      <w:r w:rsidRPr="00B50802">
        <w:t>income earners are increasingly living in private rental properties</w:t>
      </w:r>
      <w:r w:rsidR="000770F9" w:rsidRPr="00B50802">
        <w:t>,</w:t>
      </w:r>
      <w:r w:rsidRPr="00B50802">
        <w:t xml:space="preserve"> which would usually be accessible to low</w:t>
      </w:r>
      <w:r w:rsidR="00F36F13" w:rsidRPr="00B50802">
        <w:noBreakHyphen/>
      </w:r>
      <w:r w:rsidRPr="00B50802">
        <w:t xml:space="preserve">income earners, particularly in locations close to jobs, infrastructure and services (such as </w:t>
      </w:r>
      <w:r w:rsidRPr="00B75F7D">
        <w:t>childcare</w:t>
      </w:r>
      <w:r w:rsidRPr="00B50802">
        <w:t>)</w:t>
      </w:r>
      <w:r w:rsidR="000770F9" w:rsidRPr="00B50802">
        <w:t>.</w:t>
      </w:r>
      <w:r w:rsidRPr="00B50802">
        <w:rPr>
          <w:rStyle w:val="FootnoteReference"/>
        </w:rPr>
        <w:footnoteReference w:id="136"/>
      </w:r>
      <w:r w:rsidRPr="00B50802">
        <w:t xml:space="preserve"> This has led to </w:t>
      </w:r>
      <w:r w:rsidR="008A1B48" w:rsidRPr="00B50802">
        <w:t>a</w:t>
      </w:r>
      <w:r w:rsidRPr="00B50802">
        <w:t xml:space="preserve"> shortage</w:t>
      </w:r>
      <w:r w:rsidR="008A1B48" w:rsidRPr="00B50802">
        <w:t xml:space="preserve"> of affordable</w:t>
      </w:r>
      <w:r w:rsidRPr="00B50802">
        <w:t xml:space="preserve"> </w:t>
      </w:r>
      <w:r w:rsidR="006E6DFC" w:rsidRPr="00B50802">
        <w:t xml:space="preserve">rental houses </w:t>
      </w:r>
      <w:r w:rsidRPr="00B50802">
        <w:t>for low-income house</w:t>
      </w:r>
      <w:r w:rsidR="008A1B48" w:rsidRPr="00B50802">
        <w:t>holds</w:t>
      </w:r>
      <w:r w:rsidRPr="00B50802">
        <w:t xml:space="preserve"> in those locations</w:t>
      </w:r>
      <w:r w:rsidR="000770F9" w:rsidRPr="00B50802">
        <w:t>.</w:t>
      </w:r>
      <w:r w:rsidRPr="00B50802">
        <w:rPr>
          <w:rStyle w:val="FootnoteReference"/>
        </w:rPr>
        <w:footnoteReference w:id="137"/>
      </w:r>
    </w:p>
    <w:p w14:paraId="75542F66" w14:textId="4F9BFBB6" w:rsidR="00721DC6" w:rsidRPr="00B50802" w:rsidRDefault="00B00394" w:rsidP="006848B6">
      <w:pPr>
        <w:rPr>
          <w:noProof/>
          <w:lang w:eastAsia="en-AU"/>
        </w:rPr>
      </w:pPr>
      <w:r>
        <w:t>As</w:t>
      </w:r>
      <w:r w:rsidRPr="00B50802">
        <w:t xml:space="preserve"> </w:t>
      </w:r>
      <w:r w:rsidR="002A75EA" w:rsidRPr="00B50802">
        <w:t xml:space="preserve">the number of people seeking rental properties has grown, Australia is experiencing </w:t>
      </w:r>
      <w:r w:rsidR="002A75EA" w:rsidRPr="00B50802">
        <w:br/>
        <w:t>a period of very low rental vacancy rates and rising rent levels.</w:t>
      </w:r>
      <w:r w:rsidR="00A86FDD" w:rsidRPr="00B50802">
        <w:t xml:space="preserve"> </w:t>
      </w:r>
      <w:r w:rsidR="002A75EA" w:rsidRPr="00B50802" w:rsidDel="00086B10">
        <w:t>Certain</w:t>
      </w:r>
      <w:r w:rsidR="002A75EA" w:rsidRPr="00B50802" w:rsidDel="00165179">
        <w:t xml:space="preserve"> </w:t>
      </w:r>
      <w:r w:rsidR="00165179" w:rsidRPr="00B50802">
        <w:t>cities</w:t>
      </w:r>
      <w:r w:rsidR="00165179" w:rsidRPr="00B50802" w:rsidDel="00086B10">
        <w:t xml:space="preserve"> </w:t>
      </w:r>
      <w:r w:rsidR="002A75EA" w:rsidRPr="00B50802" w:rsidDel="00086B10">
        <w:t xml:space="preserve">have been particularly </w:t>
      </w:r>
      <w:r w:rsidR="000770F9" w:rsidRPr="00B50802" w:rsidDel="00086B10">
        <w:t>affected</w:t>
      </w:r>
      <w:r w:rsidR="006E6DFC" w:rsidRPr="00B50802">
        <w:t xml:space="preserve">, </w:t>
      </w:r>
      <w:r w:rsidR="006E6DFC" w:rsidRPr="00B50802">
        <w:rPr>
          <w:lang w:eastAsia="zh-CN"/>
        </w:rPr>
        <w:t>f</w:t>
      </w:r>
      <w:r w:rsidR="00F11122" w:rsidRPr="00B50802">
        <w:rPr>
          <w:lang w:eastAsia="zh-CN"/>
        </w:rPr>
        <w:t>or example</w:t>
      </w:r>
      <w:r w:rsidR="00165179" w:rsidRPr="00B50802">
        <w:rPr>
          <w:lang w:eastAsia="zh-CN"/>
        </w:rPr>
        <w:t xml:space="preserve"> Hobart, Melbourne, Perth and Sydney</w:t>
      </w:r>
      <w:r w:rsidR="00E40141" w:rsidRPr="00B50802">
        <w:t>.</w:t>
      </w:r>
      <w:r w:rsidR="00177328" w:rsidRPr="00B50802">
        <w:rPr>
          <w:rStyle w:val="FootnoteReference"/>
          <w:lang w:eastAsia="zh-CN"/>
        </w:rPr>
        <w:footnoteReference w:id="138"/>
      </w:r>
    </w:p>
    <w:p w14:paraId="0BB2B0B5" w14:textId="0CD32F17" w:rsidR="003A242A" w:rsidRDefault="002A75EA" w:rsidP="002A75EA">
      <w:r w:rsidRPr="00B50802">
        <w:t>Analysis by the R</w:t>
      </w:r>
      <w:r w:rsidR="00E62A33" w:rsidRPr="00B50802">
        <w:t xml:space="preserve">eserve </w:t>
      </w:r>
      <w:r w:rsidRPr="00B50802">
        <w:t>B</w:t>
      </w:r>
      <w:r w:rsidR="00E62A33" w:rsidRPr="00B50802">
        <w:t xml:space="preserve">ank of </w:t>
      </w:r>
      <w:r w:rsidRPr="00B50802">
        <w:t>A</w:t>
      </w:r>
      <w:r w:rsidR="00E62A33" w:rsidRPr="00B50802">
        <w:t>ustralia</w:t>
      </w:r>
      <w:r w:rsidRPr="00B50802">
        <w:t xml:space="preserve"> shows that, although national asking rents increased significantly between 2019 and March 2023, asking rents in inner-city Melbourne and Sydney remain below pre-pandemic levels. The pandemic’s travel restrictions led to weaker demand, a higher prevalence of rent reductions, higher vacancy rates and </w:t>
      </w:r>
      <w:r w:rsidR="00433693" w:rsidRPr="00B50802">
        <w:t xml:space="preserve">lower </w:t>
      </w:r>
      <w:r w:rsidRPr="00B50802">
        <w:t>net migration.</w:t>
      </w:r>
      <w:r w:rsidRPr="00B50802">
        <w:rPr>
          <w:rStyle w:val="FootnoteReference"/>
        </w:rPr>
        <w:footnoteReference w:id="139"/>
      </w:r>
      <w:r w:rsidRPr="00B50802">
        <w:t xml:space="preserve"> Because these impacts were particularly acute in inner-city Melbourne and Sydney, rental prices fell further and were slower to start increasing than in other capital cities.</w:t>
      </w:r>
      <w:r w:rsidRPr="00B50802">
        <w:rPr>
          <w:rStyle w:val="FootnoteReference"/>
        </w:rPr>
        <w:footnoteReference w:id="140"/>
      </w:r>
    </w:p>
    <w:p w14:paraId="26157FC2" w14:textId="7DC8D9B7" w:rsidR="003423BD" w:rsidRDefault="003423BD" w:rsidP="003423B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000000" w:themeColor="text1"/>
        </w:rPr>
      </w:pPr>
      <w:r w:rsidRPr="00632CCB">
        <w:rPr>
          <w:b/>
          <w:noProof/>
          <w:lang w:eastAsia="en-AU"/>
        </w:rPr>
        <mc:AlternateContent>
          <mc:Choice Requires="wpg">
            <w:drawing>
              <wp:anchor distT="0" distB="0" distL="114300" distR="114300" simplePos="0" relativeHeight="251658304" behindDoc="0" locked="0" layoutInCell="1" allowOverlap="1" wp14:anchorId="3C015C3F" wp14:editId="1BB1EFAE">
                <wp:simplePos x="0" y="0"/>
                <wp:positionH relativeFrom="margin">
                  <wp:posOffset>13349</wp:posOffset>
                </wp:positionH>
                <wp:positionV relativeFrom="paragraph">
                  <wp:posOffset>53395</wp:posOffset>
                </wp:positionV>
                <wp:extent cx="581025" cy="453390"/>
                <wp:effectExtent l="0" t="0" r="28575" b="22860"/>
                <wp:wrapNone/>
                <wp:docPr id="68" name="Group 68" descr="Decorative"/>
                <wp:cNvGraphicFramePr/>
                <a:graphic xmlns:a="http://schemas.openxmlformats.org/drawingml/2006/main">
                  <a:graphicData uri="http://schemas.microsoft.com/office/word/2010/wordprocessingGroup">
                    <wpg:wgp>
                      <wpg:cNvGrpSpPr/>
                      <wpg:grpSpPr>
                        <a:xfrm>
                          <a:off x="0" y="0"/>
                          <a:ext cx="581025" cy="453390"/>
                          <a:chOff x="0" y="0"/>
                          <a:chExt cx="581128" cy="453865"/>
                        </a:xfrm>
                        <a:noFill/>
                      </wpg:grpSpPr>
                      <wps:wsp>
                        <wps:cNvPr id="69" name="Freeform 268"/>
                        <wps:cNvSpPr>
                          <a:spLocks/>
                        </wps:cNvSpPr>
                        <wps:spPr bwMode="auto">
                          <a:xfrm>
                            <a:off x="0" y="0"/>
                            <a:ext cx="581128" cy="380781"/>
                          </a:xfrm>
                          <a:custGeom>
                            <a:avLst/>
                            <a:gdLst>
                              <a:gd name="T0" fmla="*/ 2147483646 w 757"/>
                              <a:gd name="T1" fmla="*/ 2147483646 h 577"/>
                              <a:gd name="T2" fmla="*/ 2147483646 w 757"/>
                              <a:gd name="T3" fmla="*/ 2147483646 h 577"/>
                              <a:gd name="T4" fmla="*/ 0 w 757"/>
                              <a:gd name="T5" fmla="*/ 2147483646 h 577"/>
                              <a:gd name="T6" fmla="*/ 2147483646 w 757"/>
                              <a:gd name="T7" fmla="*/ 2147483646 h 577"/>
                              <a:gd name="T8" fmla="*/ 2147483646 w 757"/>
                              <a:gd name="T9" fmla="*/ 2147483646 h 577"/>
                              <a:gd name="T10" fmla="*/ 2147483646 w 757"/>
                              <a:gd name="T11" fmla="*/ 2147483646 h 577"/>
                              <a:gd name="T12" fmla="*/ 2147483646 w 757"/>
                              <a:gd name="T13" fmla="*/ 2147483646 h 577"/>
                              <a:gd name="T14" fmla="*/ 2147483646 w 757"/>
                              <a:gd name="T15" fmla="*/ 2147483646 h 577"/>
                              <a:gd name="T16" fmla="*/ 2147483646 w 757"/>
                              <a:gd name="T17" fmla="*/ 2147483646 h 577"/>
                              <a:gd name="T18" fmla="*/ 2147483646 w 757"/>
                              <a:gd name="T19" fmla="*/ 2147483646 h 577"/>
                              <a:gd name="T20" fmla="*/ 2147483646 w 757"/>
                              <a:gd name="T21" fmla="*/ 0 h 577"/>
                              <a:gd name="T22" fmla="*/ 2147483646 w 757"/>
                              <a:gd name="T23" fmla="*/ 2147483646 h 577"/>
                              <a:gd name="T24" fmla="*/ 2147483646 w 757"/>
                              <a:gd name="T25" fmla="*/ 2147483646 h 577"/>
                              <a:gd name="T26" fmla="*/ 2147483646 w 757"/>
                              <a:gd name="T27" fmla="*/ 2147483646 h 577"/>
                              <a:gd name="T28" fmla="*/ 2147483646 w 757"/>
                              <a:gd name="T29" fmla="*/ 2147483646 h 577"/>
                              <a:gd name="T30" fmla="*/ 2147483646 w 757"/>
                              <a:gd name="T31" fmla="*/ 2147483646 h 577"/>
                              <a:gd name="T32" fmla="*/ 2147483646 w 757"/>
                              <a:gd name="T33" fmla="*/ 2147483646 h 577"/>
                              <a:gd name="T34" fmla="*/ 2147483646 w 757"/>
                              <a:gd name="T35" fmla="*/ 2147483646 h 577"/>
                              <a:gd name="T36" fmla="*/ 2147483646 w 757"/>
                              <a:gd name="T37" fmla="*/ 2147483646 h 577"/>
                              <a:gd name="T38" fmla="*/ 2147483646 w 757"/>
                              <a:gd name="T39" fmla="*/ 2147483646 h 577"/>
                              <a:gd name="T40" fmla="*/ 2147483646 w 757"/>
                              <a:gd name="T41" fmla="*/ 2147483646 h 577"/>
                              <a:gd name="T42" fmla="*/ 2147483646 w 757"/>
                              <a:gd name="T43" fmla="*/ 2147483646 h 577"/>
                              <a:gd name="T44" fmla="*/ 2147483646 w 757"/>
                              <a:gd name="T45" fmla="*/ 2147483646 h 577"/>
                              <a:gd name="T46" fmla="*/ 2147483646 w 757"/>
                              <a:gd name="T47" fmla="*/ 2147483646 h 577"/>
                              <a:gd name="T48" fmla="*/ 2147483646 w 757"/>
                              <a:gd name="T49" fmla="*/ 2147483646 h 577"/>
                              <a:gd name="T50" fmla="*/ 2147483646 w 757"/>
                              <a:gd name="T51" fmla="*/ 2147483646 h 577"/>
                              <a:gd name="T52" fmla="*/ 2147483646 w 757"/>
                              <a:gd name="T53" fmla="*/ 2147483646 h 577"/>
                              <a:gd name="T54" fmla="*/ 2147483646 w 757"/>
                              <a:gd name="T55" fmla="*/ 2147483646 h 577"/>
                              <a:gd name="T56" fmla="*/ 2147483646 w 757"/>
                              <a:gd name="T57" fmla="*/ 2147483646 h 577"/>
                              <a:gd name="T58" fmla="*/ 2147483646 w 757"/>
                              <a:gd name="T59" fmla="*/ 2147483646 h 577"/>
                              <a:gd name="T60" fmla="*/ 2147483646 w 757"/>
                              <a:gd name="T61" fmla="*/ 2147483646 h 577"/>
                              <a:gd name="T62" fmla="*/ 2147483646 w 757"/>
                              <a:gd name="T63" fmla="*/ 2147483646 h 577"/>
                              <a:gd name="T64" fmla="*/ 2147483646 w 757"/>
                              <a:gd name="T65" fmla="*/ 2147483646 h 577"/>
                              <a:gd name="T66" fmla="*/ 2147483646 w 757"/>
                              <a:gd name="T67" fmla="*/ 2147483646 h 577"/>
                              <a:gd name="T68" fmla="*/ 2147483646 w 757"/>
                              <a:gd name="T69" fmla="*/ 2147483646 h 577"/>
                              <a:gd name="T70" fmla="*/ 2147483646 w 757"/>
                              <a:gd name="T71" fmla="*/ 2147483646 h 5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7" h="577">
                                <a:moveTo>
                                  <a:pt x="30" y="463"/>
                                </a:moveTo>
                                <a:lnTo>
                                  <a:pt x="36" y="415"/>
                                </a:lnTo>
                                <a:lnTo>
                                  <a:pt x="30" y="385"/>
                                </a:lnTo>
                                <a:lnTo>
                                  <a:pt x="6" y="307"/>
                                </a:lnTo>
                                <a:lnTo>
                                  <a:pt x="6" y="283"/>
                                </a:lnTo>
                                <a:lnTo>
                                  <a:pt x="0" y="247"/>
                                </a:lnTo>
                                <a:lnTo>
                                  <a:pt x="6" y="217"/>
                                </a:lnTo>
                                <a:lnTo>
                                  <a:pt x="30" y="193"/>
                                </a:lnTo>
                                <a:lnTo>
                                  <a:pt x="78" y="175"/>
                                </a:lnTo>
                                <a:lnTo>
                                  <a:pt x="114" y="151"/>
                                </a:lnTo>
                                <a:lnTo>
                                  <a:pt x="144" y="145"/>
                                </a:lnTo>
                                <a:lnTo>
                                  <a:pt x="156" y="109"/>
                                </a:lnTo>
                                <a:lnTo>
                                  <a:pt x="180" y="97"/>
                                </a:lnTo>
                                <a:lnTo>
                                  <a:pt x="204" y="90"/>
                                </a:lnTo>
                                <a:lnTo>
                                  <a:pt x="240" y="60"/>
                                </a:lnTo>
                                <a:lnTo>
                                  <a:pt x="264" y="48"/>
                                </a:lnTo>
                                <a:lnTo>
                                  <a:pt x="282" y="60"/>
                                </a:lnTo>
                                <a:lnTo>
                                  <a:pt x="300" y="66"/>
                                </a:lnTo>
                                <a:lnTo>
                                  <a:pt x="312" y="42"/>
                                </a:lnTo>
                                <a:lnTo>
                                  <a:pt x="330" y="24"/>
                                </a:lnTo>
                                <a:lnTo>
                                  <a:pt x="360" y="18"/>
                                </a:lnTo>
                                <a:lnTo>
                                  <a:pt x="372" y="0"/>
                                </a:lnTo>
                                <a:lnTo>
                                  <a:pt x="396" y="6"/>
                                </a:lnTo>
                                <a:lnTo>
                                  <a:pt x="438" y="12"/>
                                </a:lnTo>
                                <a:lnTo>
                                  <a:pt x="432" y="36"/>
                                </a:lnTo>
                                <a:lnTo>
                                  <a:pt x="420" y="66"/>
                                </a:lnTo>
                                <a:lnTo>
                                  <a:pt x="438" y="78"/>
                                </a:lnTo>
                                <a:lnTo>
                                  <a:pt x="468" y="78"/>
                                </a:lnTo>
                                <a:lnTo>
                                  <a:pt x="492" y="115"/>
                                </a:lnTo>
                                <a:lnTo>
                                  <a:pt x="510" y="109"/>
                                </a:lnTo>
                                <a:lnTo>
                                  <a:pt x="540" y="90"/>
                                </a:lnTo>
                                <a:lnTo>
                                  <a:pt x="540" y="30"/>
                                </a:lnTo>
                                <a:lnTo>
                                  <a:pt x="564" y="0"/>
                                </a:lnTo>
                                <a:lnTo>
                                  <a:pt x="576" y="42"/>
                                </a:lnTo>
                                <a:lnTo>
                                  <a:pt x="582" y="54"/>
                                </a:lnTo>
                                <a:lnTo>
                                  <a:pt x="594" y="60"/>
                                </a:lnTo>
                                <a:lnTo>
                                  <a:pt x="612" y="121"/>
                                </a:lnTo>
                                <a:lnTo>
                                  <a:pt x="642" y="151"/>
                                </a:lnTo>
                                <a:lnTo>
                                  <a:pt x="678" y="163"/>
                                </a:lnTo>
                                <a:lnTo>
                                  <a:pt x="690" y="199"/>
                                </a:lnTo>
                                <a:lnTo>
                                  <a:pt x="708" y="211"/>
                                </a:lnTo>
                                <a:lnTo>
                                  <a:pt x="714" y="241"/>
                                </a:lnTo>
                                <a:lnTo>
                                  <a:pt x="751" y="265"/>
                                </a:lnTo>
                                <a:lnTo>
                                  <a:pt x="751" y="289"/>
                                </a:lnTo>
                                <a:lnTo>
                                  <a:pt x="757" y="325"/>
                                </a:lnTo>
                                <a:lnTo>
                                  <a:pt x="757" y="379"/>
                                </a:lnTo>
                                <a:lnTo>
                                  <a:pt x="714" y="469"/>
                                </a:lnTo>
                                <a:lnTo>
                                  <a:pt x="696" y="523"/>
                                </a:lnTo>
                                <a:lnTo>
                                  <a:pt x="696" y="547"/>
                                </a:lnTo>
                                <a:lnTo>
                                  <a:pt x="684" y="547"/>
                                </a:lnTo>
                                <a:lnTo>
                                  <a:pt x="660" y="559"/>
                                </a:lnTo>
                                <a:lnTo>
                                  <a:pt x="636" y="577"/>
                                </a:lnTo>
                                <a:lnTo>
                                  <a:pt x="618" y="577"/>
                                </a:lnTo>
                                <a:lnTo>
                                  <a:pt x="594" y="559"/>
                                </a:lnTo>
                                <a:lnTo>
                                  <a:pt x="576" y="571"/>
                                </a:lnTo>
                                <a:lnTo>
                                  <a:pt x="534" y="553"/>
                                </a:lnTo>
                                <a:lnTo>
                                  <a:pt x="498" y="535"/>
                                </a:lnTo>
                                <a:lnTo>
                                  <a:pt x="480" y="505"/>
                                </a:lnTo>
                                <a:lnTo>
                                  <a:pt x="468" y="481"/>
                                </a:lnTo>
                                <a:lnTo>
                                  <a:pt x="444" y="487"/>
                                </a:lnTo>
                                <a:lnTo>
                                  <a:pt x="420" y="463"/>
                                </a:lnTo>
                                <a:lnTo>
                                  <a:pt x="378" y="421"/>
                                </a:lnTo>
                                <a:lnTo>
                                  <a:pt x="312" y="409"/>
                                </a:lnTo>
                                <a:lnTo>
                                  <a:pt x="264" y="415"/>
                                </a:lnTo>
                                <a:lnTo>
                                  <a:pt x="204" y="433"/>
                                </a:lnTo>
                                <a:lnTo>
                                  <a:pt x="198" y="451"/>
                                </a:lnTo>
                                <a:lnTo>
                                  <a:pt x="162" y="457"/>
                                </a:lnTo>
                                <a:lnTo>
                                  <a:pt x="138" y="457"/>
                                </a:lnTo>
                                <a:lnTo>
                                  <a:pt x="120" y="475"/>
                                </a:lnTo>
                                <a:lnTo>
                                  <a:pt x="84" y="487"/>
                                </a:lnTo>
                                <a:lnTo>
                                  <a:pt x="60" y="487"/>
                                </a:lnTo>
                                <a:lnTo>
                                  <a:pt x="30" y="463"/>
                                </a:lnTo>
                                <a:close/>
                              </a:path>
                            </a:pathLst>
                          </a:custGeom>
                          <a:grpFill/>
                          <a:ln w="12700" cap="flat" cmpd="sng">
                            <a:solidFill>
                              <a:schemeClr val="tx1"/>
                            </a:solidFill>
                            <a:prstDash val="solid"/>
                            <a:round/>
                            <a:headEnd type="none" w="med" len="med"/>
                            <a:tailEnd type="none" w="med" len="med"/>
                          </a:ln>
                          <a:effectLst/>
                        </wps:spPr>
                        <wps:bodyPr/>
                      </wps:wsp>
                      <wps:wsp>
                        <wps:cNvPr id="70" name="Freeform 269"/>
                        <wps:cNvSpPr>
                          <a:spLocks/>
                        </wps:cNvSpPr>
                        <wps:spPr bwMode="auto">
                          <a:xfrm>
                            <a:off x="450073" y="405605"/>
                            <a:ext cx="50800" cy="48260"/>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grpFill/>
                          <a:ln w="12700">
                            <a:solidFill>
                              <a:schemeClr val="tx1"/>
                            </a:solidFill>
                            <a:round/>
                            <a:headEnd/>
                            <a:tailEnd/>
                          </a:ln>
                        </wps:spPr>
                        <wps:bodyPr/>
                      </wps:wsp>
                    </wpg:wgp>
                  </a:graphicData>
                </a:graphic>
              </wp:anchor>
            </w:drawing>
          </mc:Choice>
          <mc:Fallback>
            <w:pict>
              <v:group w14:anchorId="7C94D33F" id="Group 68" o:spid="_x0000_s1026" alt="Decorative" style="position:absolute;margin-left:1.05pt;margin-top:4.2pt;width:45.75pt;height:35.7pt;z-index:251658304;mso-position-horizontal-relative:margin" coordsize="581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">
                <v:shape id="Freeform 268" o:spid="_x0000_s1027" style="position:absolute;width:5811;height:3807;visibility:visible;mso-wrap-style:square;v-text-anchor:top" coordsize="7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" path="m30,463r6,-48l30,385,6,307r,-24l,247,6,217,30,193,78,175r36,-24l144,145r12,-36l180,97r24,-7l240,60,264,48r18,12l300,66,312,42,330,24r30,-6l372,r24,6l438,12r-6,24l420,66r18,12l468,78r24,37l510,109,540,90r,-60l564,r12,42l582,54r12,6l612,121r30,30l678,163r12,36l708,211r6,30l751,265r,24l757,325r,54l714,469r-18,54l696,547r-12,l660,559r-24,18l618,577,594,559r-18,12l534,553,498,535,480,505,468,481r-24,6l420,463,378,421,312,409r-48,6l204,433r-6,18l162,457r-24,l120,475,84,487r-24,l30,463xe" filled="f" strokecolor="black [3213]" strokeweight="1pt">
                  <v:path arrowok="t" o:connecttype="custom" o:connectlocs="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69" o:spid="_x0000_s1028" style="position:absolute;left:4500;top:4056;width:508;height:482;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" path="m,18l12,48r6,24l36,91,48,66,66,30,66,,42,12,,18xe" filled="f" strokecolor="black [3213]" strokeweight="1pt">
                  <v:path arrowok="t" o:connecttype="custom" o:connectlocs="0,2147483646;2147483646,2147483646;2147483646,2147483646;2147483646,2147483646;2147483646,2147483646;2147483646,2147483646;2147483646,0;2147483646,2147483646;0,2147483646" o:connectangles="0,0,0,0,0,0,0,0,0"/>
                </v:shape>
                <w10:wrap anchorx="margin"/>
              </v:group>
            </w:pict>
          </mc:Fallback>
        </mc:AlternateContent>
      </w:r>
    </w:p>
    <w:p w14:paraId="42860AE4" w14:textId="2CB02D5B" w:rsidR="003423BD" w:rsidRPr="003423BD" w:rsidRDefault="003423BD" w:rsidP="003423B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color w:val="000000" w:themeColor="text1"/>
        </w:rPr>
      </w:pPr>
      <w:r w:rsidRPr="003423BD">
        <w:rPr>
          <w:b/>
          <w:color w:val="000000" w:themeColor="text1"/>
        </w:rPr>
        <w:t>Rental Tenancy Legislation</w:t>
      </w:r>
    </w:p>
    <w:p w14:paraId="13561747" w14:textId="77777777" w:rsidR="008D12C6" w:rsidRDefault="0065209F" w:rsidP="003423B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75F7D">
        <w:t>Jurisdictions each have their own residential tenancies legislation, collectively referred to as the Residential Tenancies Act (RTA). Although these RTAs were developed independently of each other, similar principles underpin them such as: standard forms of agreement, terms, charges and notice periods; market rents; and accessible dispute resolution.</w:t>
      </w:r>
      <w:r w:rsidRPr="00B75F7D">
        <w:rPr>
          <w:vertAlign w:val="superscript"/>
        </w:rPr>
        <w:footnoteReference w:id="141"/>
      </w:r>
      <w:r w:rsidRPr="00B75F7D">
        <w:rPr>
          <w:vertAlign w:val="superscript"/>
        </w:rPr>
        <w:t xml:space="preserve"> </w:t>
      </w:r>
      <w:r w:rsidRPr="00B75F7D">
        <w:t>Broadly, RTAs apply to most private and social housing tenancies. They act as a single comprehensive regulatory source for most aspects of a tenancy, apart from other statutory provisions and common law principles that still apply.</w:t>
      </w:r>
    </w:p>
    <w:p w14:paraId="53563047" w14:textId="351ED651" w:rsidR="0065209F" w:rsidRPr="00B75F7D" w:rsidRDefault="008D12C6" w:rsidP="003423B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75F7D">
        <w:t>On 28 April 2023, through National Cabinet, Housing Ministers committed to develop a proposal for National Cabinet in the second half of 2023 outlining reforms to strengthen renters’ rights across the country.</w:t>
      </w:r>
    </w:p>
    <w:p w14:paraId="4C638862" w14:textId="77777777" w:rsidR="003A242A" w:rsidRDefault="003A242A">
      <w:r>
        <w:br w:type="page"/>
      </w:r>
    </w:p>
    <w:p w14:paraId="6BA03355" w14:textId="2B14ED4D" w:rsidR="003B4F6F" w:rsidRDefault="003A242A">
      <w:pPr>
        <w:rPr>
          <w:rFonts w:cs="Arial"/>
          <w:b/>
          <w:color w:val="005A70"/>
        </w:rPr>
      </w:pPr>
      <w:r w:rsidRPr="00B50802">
        <w:rPr>
          <w:noProof/>
          <w:lang w:eastAsia="en-AU"/>
        </w:rPr>
        <w:lastRenderedPageBreak/>
        <mc:AlternateContent>
          <mc:Choice Requires="wps">
            <w:drawing>
              <wp:anchor distT="0" distB="0" distL="114300" distR="114300" simplePos="0" relativeHeight="251658302" behindDoc="0" locked="0" layoutInCell="1" allowOverlap="1" wp14:anchorId="2E00B16C" wp14:editId="596615E1">
                <wp:simplePos x="0" y="0"/>
                <wp:positionH relativeFrom="column">
                  <wp:posOffset>-127000</wp:posOffset>
                </wp:positionH>
                <wp:positionV relativeFrom="paragraph">
                  <wp:posOffset>30480</wp:posOffset>
                </wp:positionV>
                <wp:extent cx="6071006" cy="3972153"/>
                <wp:effectExtent l="0" t="0" r="25400" b="28575"/>
                <wp:wrapNone/>
                <wp:docPr id="285" name="Rectangle 285" descr="Decorative"/>
                <wp:cNvGraphicFramePr/>
                <a:graphic xmlns:a="http://schemas.openxmlformats.org/drawingml/2006/main">
                  <a:graphicData uri="http://schemas.microsoft.com/office/word/2010/wordprocessingShape">
                    <wps:wsp>
                      <wps:cNvSpPr/>
                      <wps:spPr>
                        <a:xfrm>
                          <a:off x="0" y="0"/>
                          <a:ext cx="6071006" cy="3972153"/>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88445" id="Rectangle 285" o:spid="_x0000_s1026" alt="Decorative" style="position:absolute;margin-left:-10pt;margin-top:2.4pt;width:478.05pt;height:312.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" filled="f" strokecolor="#005a70" strokeweight="2pt"/>
            </w:pict>
          </mc:Fallback>
        </mc:AlternateContent>
      </w:r>
      <w:r w:rsidR="003B4F6F" w:rsidRPr="00B50802">
        <w:rPr>
          <w:rStyle w:val="Strong"/>
          <w:b w:val="0"/>
          <w:noProof/>
          <w:lang w:eastAsia="en-AU"/>
        </w:rPr>
        <w:drawing>
          <wp:anchor distT="0" distB="0" distL="114300" distR="114300" simplePos="0" relativeHeight="251658301" behindDoc="0" locked="0" layoutInCell="1" allowOverlap="1" wp14:anchorId="5062C8B5" wp14:editId="34550E3A">
            <wp:simplePos x="0" y="0"/>
            <wp:positionH relativeFrom="column">
              <wp:posOffset>138430</wp:posOffset>
            </wp:positionH>
            <wp:positionV relativeFrom="paragraph">
              <wp:posOffset>123190</wp:posOffset>
            </wp:positionV>
            <wp:extent cx="480060" cy="511810"/>
            <wp:effectExtent l="0" t="0" r="0" b="2540"/>
            <wp:wrapThrough wrapText="bothSides">
              <wp:wrapPolygon edited="0">
                <wp:start x="0" y="0"/>
                <wp:lineTo x="0" y="13667"/>
                <wp:lineTo x="5143" y="20903"/>
                <wp:lineTo x="6000" y="20903"/>
                <wp:lineTo x="12000" y="20903"/>
                <wp:lineTo x="15429" y="20903"/>
                <wp:lineTo x="20571" y="16079"/>
                <wp:lineTo x="20571" y="0"/>
                <wp:lineTo x="0" y="0"/>
              </wp:wrapPolygon>
            </wp:wrapThrough>
            <wp:docPr id="287" name="Picture 28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0060" cy="511810"/>
                    </a:xfrm>
                    <a:prstGeom prst="rect">
                      <a:avLst/>
                    </a:prstGeom>
                    <a:noFill/>
                  </pic:spPr>
                </pic:pic>
              </a:graphicData>
            </a:graphic>
            <wp14:sizeRelH relativeFrom="margin">
              <wp14:pctWidth>0</wp14:pctWidth>
            </wp14:sizeRelH>
            <wp14:sizeRelV relativeFrom="margin">
              <wp14:pctHeight>0</wp14:pctHeight>
            </wp14:sizeRelV>
          </wp:anchor>
        </w:drawing>
      </w:r>
    </w:p>
    <w:p w14:paraId="3F62ABE0" w14:textId="4FDA99D3" w:rsidR="003B4F6F" w:rsidRPr="00B75F7D" w:rsidRDefault="003B4F6F" w:rsidP="003B4F6F">
      <w:pPr>
        <w:jc w:val="right"/>
        <w:rPr>
          <w:rFonts w:cs="Arial"/>
          <w:b/>
          <w:color w:val="005A70"/>
        </w:rPr>
      </w:pPr>
      <w:r w:rsidRPr="00B50802">
        <w:rPr>
          <w:rFonts w:cs="Arial"/>
          <w:b/>
          <w:color w:val="005A70"/>
        </w:rPr>
        <w:t xml:space="preserve"> </w:t>
      </w:r>
      <w:r w:rsidRPr="00B75F7D">
        <w:rPr>
          <w:rFonts w:cs="Arial"/>
          <w:b/>
          <w:color w:val="005A70"/>
        </w:rPr>
        <w:t xml:space="preserve">Case </w:t>
      </w:r>
      <w:r w:rsidRPr="00B75F7D">
        <w:rPr>
          <w:rStyle w:val="BulletChar"/>
          <w:rFonts w:ascii="Arial" w:eastAsiaTheme="minorHAnsi" w:hAnsi="Arial" w:cs="Arial"/>
          <w:b/>
          <w:color w:val="005A70"/>
        </w:rPr>
        <w:t>study</w:t>
      </w:r>
      <w:r w:rsidRPr="00B75F7D">
        <w:rPr>
          <w:rFonts w:cs="Arial"/>
          <w:b/>
          <w:color w:val="005A70"/>
        </w:rPr>
        <w:t xml:space="preserve"> – Tasmania’s Private Rental Incentives</w:t>
      </w:r>
    </w:p>
    <w:p w14:paraId="47687575" w14:textId="77777777" w:rsidR="003B4F6F" w:rsidRPr="00B75F7D" w:rsidRDefault="003B4F6F" w:rsidP="003B4F6F">
      <w:pPr>
        <w:pStyle w:val="Bullet"/>
        <w:jc w:val="right"/>
        <w:rPr>
          <w:rFonts w:eastAsiaTheme="minorHAnsi" w:cs="Arial"/>
          <w:color w:val="005A70"/>
          <w:sz w:val="24"/>
        </w:rPr>
      </w:pPr>
    </w:p>
    <w:p w14:paraId="0D6EF57B" w14:textId="77777777" w:rsidR="003B4F6F" w:rsidRPr="00B75F7D" w:rsidRDefault="003B4F6F" w:rsidP="003B4F6F">
      <w:r w:rsidRPr="00B75F7D">
        <w:t>The Private Rental Incentives Program encourages private property owners to make their homes available for affordable rent to low-income households with low or no support needs.</w:t>
      </w:r>
    </w:p>
    <w:p w14:paraId="74CC1957" w14:textId="77777777" w:rsidR="003B4F6F" w:rsidRPr="00B75F7D" w:rsidRDefault="003B4F6F" w:rsidP="003B4F6F">
      <w:r w:rsidRPr="00B75F7D">
        <w:t>Properties are head-leased from the private rental market with lease terms of 2 years and rents capped at between 25% to 30% below the region’s median rates. Property owners receive guaranteed rent and an incentive payment between $6,600 and $9,900 per annum. The program assists low-income households into secure, affordable private rental accommodation.</w:t>
      </w:r>
    </w:p>
    <w:p w14:paraId="54F51E82" w14:textId="77777777" w:rsidR="003B4F6F" w:rsidRPr="00B75F7D" w:rsidRDefault="003B4F6F" w:rsidP="003B4F6F">
      <w:r w:rsidRPr="00B75F7D">
        <w:t xml:space="preserve">Tenancy and property management is provided on behalf of the property owners by one of the Tasmanian Government’s registered and experienced community housing providers, Centacare Evolve Housing (CEH). CEH provides fee-free tenancy management services to the property owners and properties are managed in accordance with the </w:t>
      </w:r>
      <w:r w:rsidRPr="00B75F7D">
        <w:rPr>
          <w:i/>
        </w:rPr>
        <w:t>Tasmanian Residential Tenancy Act 1997</w:t>
      </w:r>
      <w:r w:rsidRPr="00B75F7D">
        <w:t xml:space="preserve">. </w:t>
      </w:r>
    </w:p>
    <w:p w14:paraId="5AA03D76" w14:textId="0469E038" w:rsidR="003B4F6F" w:rsidRPr="00B50802" w:rsidRDefault="003B4F6F" w:rsidP="003B4F6F">
      <w:r w:rsidRPr="00B75F7D">
        <w:t>The program has helped 492 households to access affordable private rental accommodation from July 2015 to December 2022.</w:t>
      </w:r>
    </w:p>
    <w:p w14:paraId="1C312B9E" w14:textId="74EDEA05" w:rsidR="003B4F6F" w:rsidRDefault="001C0DAD" w:rsidP="003B4F6F">
      <w:pPr>
        <w:jc w:val="right"/>
        <w:rPr>
          <w:rFonts w:cs="Arial"/>
          <w:b/>
          <w:color w:val="005A70"/>
        </w:rPr>
      </w:pPr>
      <w:r w:rsidRPr="00B50802">
        <w:rPr>
          <w:noProof/>
          <w:lang w:eastAsia="en-AU"/>
        </w:rPr>
        <mc:AlternateContent>
          <mc:Choice Requires="wps">
            <w:drawing>
              <wp:anchor distT="0" distB="0" distL="114300" distR="114300" simplePos="0" relativeHeight="251658300" behindDoc="0" locked="0" layoutInCell="1" allowOverlap="1" wp14:anchorId="39079896" wp14:editId="17A4847C">
                <wp:simplePos x="0" y="0"/>
                <wp:positionH relativeFrom="margin">
                  <wp:posOffset>-130287</wp:posOffset>
                </wp:positionH>
                <wp:positionV relativeFrom="paragraph">
                  <wp:posOffset>191135</wp:posOffset>
                </wp:positionV>
                <wp:extent cx="6077585" cy="2783393"/>
                <wp:effectExtent l="0" t="0" r="18415" b="17145"/>
                <wp:wrapNone/>
                <wp:docPr id="101" name="Rectangle 101" descr="Decorative"/>
                <wp:cNvGraphicFramePr/>
                <a:graphic xmlns:a="http://schemas.openxmlformats.org/drawingml/2006/main">
                  <a:graphicData uri="http://schemas.microsoft.com/office/word/2010/wordprocessingShape">
                    <wps:wsp>
                      <wps:cNvSpPr/>
                      <wps:spPr>
                        <a:xfrm>
                          <a:off x="0" y="0"/>
                          <a:ext cx="6077585" cy="2783393"/>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CB48" id="Rectangle 101" o:spid="_x0000_s1026" alt="Decorative" style="position:absolute;margin-left:-10.25pt;margin-top:15.05pt;width:478.55pt;height:219.1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" filled="f" strokecolor="#005a70" strokeweight="2pt">
                <w10:wrap anchorx="margin"/>
              </v:rect>
            </w:pict>
          </mc:Fallback>
        </mc:AlternateContent>
      </w:r>
      <w:r w:rsidRPr="00B50802">
        <w:rPr>
          <w:noProof/>
          <w:lang w:eastAsia="en-AU"/>
        </w:rPr>
        <w:drawing>
          <wp:anchor distT="0" distB="0" distL="114300" distR="114300" simplePos="0" relativeHeight="251658299" behindDoc="0" locked="0" layoutInCell="1" allowOverlap="1" wp14:anchorId="222FAF6D" wp14:editId="5FB910EE">
            <wp:simplePos x="0" y="0"/>
            <wp:positionH relativeFrom="margin">
              <wp:align>left</wp:align>
            </wp:positionH>
            <wp:positionV relativeFrom="paragraph">
              <wp:posOffset>241446</wp:posOffset>
            </wp:positionV>
            <wp:extent cx="514985" cy="600075"/>
            <wp:effectExtent l="0" t="0" r="0" b="9525"/>
            <wp:wrapThrough wrapText="bothSides">
              <wp:wrapPolygon edited="0">
                <wp:start x="4794" y="0"/>
                <wp:lineTo x="0" y="3429"/>
                <wp:lineTo x="0" y="21257"/>
                <wp:lineTo x="20774" y="21257"/>
                <wp:lineTo x="20774" y="0"/>
                <wp:lineTo x="11186" y="0"/>
                <wp:lineTo x="4794" y="0"/>
              </wp:wrapPolygon>
            </wp:wrapThrough>
            <wp:docPr id="54" name="Picture 5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4985" cy="600075"/>
                    </a:xfrm>
                    <a:prstGeom prst="rect">
                      <a:avLst/>
                    </a:prstGeom>
                    <a:noFill/>
                  </pic:spPr>
                </pic:pic>
              </a:graphicData>
            </a:graphic>
            <wp14:sizeRelH relativeFrom="margin">
              <wp14:pctWidth>0</wp14:pctWidth>
            </wp14:sizeRelH>
            <wp14:sizeRelV relativeFrom="margin">
              <wp14:pctHeight>0</wp14:pctHeight>
            </wp14:sizeRelV>
          </wp:anchor>
        </w:drawing>
      </w:r>
    </w:p>
    <w:p w14:paraId="2102E974" w14:textId="7F5DC3EC" w:rsidR="007E4390" w:rsidRPr="00B50802" w:rsidRDefault="001C0DAD" w:rsidP="001C0DAD">
      <w:pPr>
        <w:jc w:val="right"/>
      </w:pPr>
      <w:r>
        <w:rPr>
          <w:rFonts w:cs="Arial"/>
          <w:b/>
          <w:color w:val="005A70"/>
        </w:rPr>
        <w:br/>
      </w:r>
      <w:r w:rsidR="003C52B2" w:rsidRPr="00B50802">
        <w:rPr>
          <w:rFonts w:cs="Arial"/>
          <w:b/>
          <w:color w:val="005A70"/>
        </w:rPr>
        <w:t>Case study – Northern Territory Rent Choice</w:t>
      </w:r>
      <w:r>
        <w:br/>
      </w:r>
    </w:p>
    <w:p w14:paraId="5AD2D10C" w14:textId="77777777" w:rsidR="003C52B2" w:rsidRPr="00B50802" w:rsidRDefault="003C52B2" w:rsidP="003C52B2">
      <w:r w:rsidRPr="00B50802">
        <w:t xml:space="preserve">In March 2022, the Northern Territory Government established a rental subsidy program, Rent Choice, in partnership with the community housing provider Venture Housing. Rent Choice is a time-limited program, designed to provide an immediate mechanism to increase access to housing that is affordable, and reduce rental stress for key workers in the Northern Territory. </w:t>
      </w:r>
    </w:p>
    <w:p w14:paraId="64AA966B" w14:textId="0ECF54CE" w:rsidR="0065209F" w:rsidRDefault="003C52B2" w:rsidP="003C52B2">
      <w:pPr>
        <w:rPr>
          <w:lang w:eastAsia="en-AU"/>
        </w:rPr>
      </w:pPr>
      <w:r w:rsidRPr="00B50802">
        <w:t xml:space="preserve">Modelled on a similar program in New South Wales, Rent Choice targets key workers in priority industries with hard-to-fill roles, providing </w:t>
      </w:r>
      <w:r w:rsidRPr="00B50802">
        <w:rPr>
          <w:lang w:eastAsia="en-AU"/>
        </w:rPr>
        <w:t>rental subsidies of between 20% and 40% of private market rent. As at 31 January 2023, 278 households were receiving rental subsidy payments with an average payment of $180 per household per week.</w:t>
      </w:r>
    </w:p>
    <w:p w14:paraId="42F5175C" w14:textId="77777777" w:rsidR="0065209F" w:rsidRDefault="0065209F">
      <w:pPr>
        <w:rPr>
          <w:lang w:eastAsia="en-AU"/>
        </w:rPr>
      </w:pPr>
      <w:r>
        <w:rPr>
          <w:lang w:eastAsia="en-AU"/>
        </w:rPr>
        <w:br w:type="page"/>
      </w:r>
    </w:p>
    <w:p w14:paraId="2154D56C" w14:textId="13A6E8C4" w:rsidR="00B66FD5" w:rsidRDefault="00882959" w:rsidP="00882959">
      <w:pPr>
        <w:rPr>
          <w:color w:val="000000" w:themeColor="text1"/>
          <w:u w:val="single"/>
        </w:rPr>
      </w:pPr>
      <w:r w:rsidRPr="00B50802">
        <w:rPr>
          <w:noProof/>
          <w:lang w:eastAsia="en-AU"/>
        </w:rPr>
        <w:lastRenderedPageBreak/>
        <mc:AlternateContent>
          <mc:Choice Requires="wps">
            <w:drawing>
              <wp:anchor distT="0" distB="0" distL="114300" distR="114300" simplePos="0" relativeHeight="251658240" behindDoc="1" locked="0" layoutInCell="1" allowOverlap="1" wp14:anchorId="621C44FC" wp14:editId="7B5B13F9">
                <wp:simplePos x="0" y="0"/>
                <wp:positionH relativeFrom="margin">
                  <wp:posOffset>-40193</wp:posOffset>
                </wp:positionH>
                <wp:positionV relativeFrom="paragraph">
                  <wp:posOffset>100485</wp:posOffset>
                </wp:positionV>
                <wp:extent cx="6019800" cy="2924070"/>
                <wp:effectExtent l="0" t="0" r="19050" b="10160"/>
                <wp:wrapNone/>
                <wp:docPr id="36" name="Rectangle 36" descr="Decorative"/>
                <wp:cNvGraphicFramePr/>
                <a:graphic xmlns:a="http://schemas.openxmlformats.org/drawingml/2006/main">
                  <a:graphicData uri="http://schemas.microsoft.com/office/word/2010/wordprocessingShape">
                    <wps:wsp>
                      <wps:cNvSpPr/>
                      <wps:spPr>
                        <a:xfrm>
                          <a:off x="0" y="0"/>
                          <a:ext cx="6019800" cy="2924070"/>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56C9D" id="Rectangle 36" o:spid="_x0000_s1026" alt="Decorative" style="position:absolute;margin-left:-3.15pt;margin-top:7.9pt;width:474pt;height:23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" fillcolor="#f2f2f2 [3052]" strokecolor="black [3213]" strokeweight=".25pt">
                <w10:wrap anchorx="margin"/>
              </v:rect>
            </w:pict>
          </mc:Fallback>
        </mc:AlternateContent>
      </w:r>
      <w:r w:rsidR="00632CCB" w:rsidRPr="00632CCB">
        <w:rPr>
          <w:b/>
          <w:noProof/>
          <w:lang w:eastAsia="en-AU"/>
        </w:rPr>
        <mc:AlternateContent>
          <mc:Choice Requires="wpg">
            <w:drawing>
              <wp:anchor distT="0" distB="0" distL="114300" distR="114300" simplePos="0" relativeHeight="251658303" behindDoc="0" locked="0" layoutInCell="1" allowOverlap="1" wp14:anchorId="245FBB8D" wp14:editId="65FA18B3">
                <wp:simplePos x="0" y="0"/>
                <wp:positionH relativeFrom="margin">
                  <wp:posOffset>162314</wp:posOffset>
                </wp:positionH>
                <wp:positionV relativeFrom="paragraph">
                  <wp:posOffset>167310</wp:posOffset>
                </wp:positionV>
                <wp:extent cx="581025" cy="453390"/>
                <wp:effectExtent l="0" t="0" r="28575" b="22860"/>
                <wp:wrapNone/>
                <wp:docPr id="425" name="Group 425" descr="Decorative"/>
                <wp:cNvGraphicFramePr/>
                <a:graphic xmlns:a="http://schemas.openxmlformats.org/drawingml/2006/main">
                  <a:graphicData uri="http://schemas.microsoft.com/office/word/2010/wordprocessingGroup">
                    <wpg:wgp>
                      <wpg:cNvGrpSpPr/>
                      <wpg:grpSpPr>
                        <a:xfrm>
                          <a:off x="0" y="0"/>
                          <a:ext cx="581025" cy="453390"/>
                          <a:chOff x="0" y="0"/>
                          <a:chExt cx="581128" cy="453865"/>
                        </a:xfrm>
                        <a:noFill/>
                      </wpg:grpSpPr>
                      <wps:wsp>
                        <wps:cNvPr id="426" name="Freeform 268"/>
                        <wps:cNvSpPr>
                          <a:spLocks/>
                        </wps:cNvSpPr>
                        <wps:spPr bwMode="auto">
                          <a:xfrm>
                            <a:off x="0" y="0"/>
                            <a:ext cx="581128" cy="380781"/>
                          </a:xfrm>
                          <a:custGeom>
                            <a:avLst/>
                            <a:gdLst>
                              <a:gd name="T0" fmla="*/ 2147483646 w 757"/>
                              <a:gd name="T1" fmla="*/ 2147483646 h 577"/>
                              <a:gd name="T2" fmla="*/ 2147483646 w 757"/>
                              <a:gd name="T3" fmla="*/ 2147483646 h 577"/>
                              <a:gd name="T4" fmla="*/ 0 w 757"/>
                              <a:gd name="T5" fmla="*/ 2147483646 h 577"/>
                              <a:gd name="T6" fmla="*/ 2147483646 w 757"/>
                              <a:gd name="T7" fmla="*/ 2147483646 h 577"/>
                              <a:gd name="T8" fmla="*/ 2147483646 w 757"/>
                              <a:gd name="T9" fmla="*/ 2147483646 h 577"/>
                              <a:gd name="T10" fmla="*/ 2147483646 w 757"/>
                              <a:gd name="T11" fmla="*/ 2147483646 h 577"/>
                              <a:gd name="T12" fmla="*/ 2147483646 w 757"/>
                              <a:gd name="T13" fmla="*/ 2147483646 h 577"/>
                              <a:gd name="T14" fmla="*/ 2147483646 w 757"/>
                              <a:gd name="T15" fmla="*/ 2147483646 h 577"/>
                              <a:gd name="T16" fmla="*/ 2147483646 w 757"/>
                              <a:gd name="T17" fmla="*/ 2147483646 h 577"/>
                              <a:gd name="T18" fmla="*/ 2147483646 w 757"/>
                              <a:gd name="T19" fmla="*/ 2147483646 h 577"/>
                              <a:gd name="T20" fmla="*/ 2147483646 w 757"/>
                              <a:gd name="T21" fmla="*/ 0 h 577"/>
                              <a:gd name="T22" fmla="*/ 2147483646 w 757"/>
                              <a:gd name="T23" fmla="*/ 2147483646 h 577"/>
                              <a:gd name="T24" fmla="*/ 2147483646 w 757"/>
                              <a:gd name="T25" fmla="*/ 2147483646 h 577"/>
                              <a:gd name="T26" fmla="*/ 2147483646 w 757"/>
                              <a:gd name="T27" fmla="*/ 2147483646 h 577"/>
                              <a:gd name="T28" fmla="*/ 2147483646 w 757"/>
                              <a:gd name="T29" fmla="*/ 2147483646 h 577"/>
                              <a:gd name="T30" fmla="*/ 2147483646 w 757"/>
                              <a:gd name="T31" fmla="*/ 2147483646 h 577"/>
                              <a:gd name="T32" fmla="*/ 2147483646 w 757"/>
                              <a:gd name="T33" fmla="*/ 2147483646 h 577"/>
                              <a:gd name="T34" fmla="*/ 2147483646 w 757"/>
                              <a:gd name="T35" fmla="*/ 2147483646 h 577"/>
                              <a:gd name="T36" fmla="*/ 2147483646 w 757"/>
                              <a:gd name="T37" fmla="*/ 2147483646 h 577"/>
                              <a:gd name="T38" fmla="*/ 2147483646 w 757"/>
                              <a:gd name="T39" fmla="*/ 2147483646 h 577"/>
                              <a:gd name="T40" fmla="*/ 2147483646 w 757"/>
                              <a:gd name="T41" fmla="*/ 2147483646 h 577"/>
                              <a:gd name="T42" fmla="*/ 2147483646 w 757"/>
                              <a:gd name="T43" fmla="*/ 2147483646 h 577"/>
                              <a:gd name="T44" fmla="*/ 2147483646 w 757"/>
                              <a:gd name="T45" fmla="*/ 2147483646 h 577"/>
                              <a:gd name="T46" fmla="*/ 2147483646 w 757"/>
                              <a:gd name="T47" fmla="*/ 2147483646 h 577"/>
                              <a:gd name="T48" fmla="*/ 2147483646 w 757"/>
                              <a:gd name="T49" fmla="*/ 2147483646 h 577"/>
                              <a:gd name="T50" fmla="*/ 2147483646 w 757"/>
                              <a:gd name="T51" fmla="*/ 2147483646 h 577"/>
                              <a:gd name="T52" fmla="*/ 2147483646 w 757"/>
                              <a:gd name="T53" fmla="*/ 2147483646 h 577"/>
                              <a:gd name="T54" fmla="*/ 2147483646 w 757"/>
                              <a:gd name="T55" fmla="*/ 2147483646 h 577"/>
                              <a:gd name="T56" fmla="*/ 2147483646 w 757"/>
                              <a:gd name="T57" fmla="*/ 2147483646 h 577"/>
                              <a:gd name="T58" fmla="*/ 2147483646 w 757"/>
                              <a:gd name="T59" fmla="*/ 2147483646 h 577"/>
                              <a:gd name="T60" fmla="*/ 2147483646 w 757"/>
                              <a:gd name="T61" fmla="*/ 2147483646 h 577"/>
                              <a:gd name="T62" fmla="*/ 2147483646 w 757"/>
                              <a:gd name="T63" fmla="*/ 2147483646 h 577"/>
                              <a:gd name="T64" fmla="*/ 2147483646 w 757"/>
                              <a:gd name="T65" fmla="*/ 2147483646 h 577"/>
                              <a:gd name="T66" fmla="*/ 2147483646 w 757"/>
                              <a:gd name="T67" fmla="*/ 2147483646 h 577"/>
                              <a:gd name="T68" fmla="*/ 2147483646 w 757"/>
                              <a:gd name="T69" fmla="*/ 2147483646 h 577"/>
                              <a:gd name="T70" fmla="*/ 2147483646 w 757"/>
                              <a:gd name="T71" fmla="*/ 2147483646 h 5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7" h="577">
                                <a:moveTo>
                                  <a:pt x="30" y="463"/>
                                </a:moveTo>
                                <a:lnTo>
                                  <a:pt x="36" y="415"/>
                                </a:lnTo>
                                <a:lnTo>
                                  <a:pt x="30" y="385"/>
                                </a:lnTo>
                                <a:lnTo>
                                  <a:pt x="6" y="307"/>
                                </a:lnTo>
                                <a:lnTo>
                                  <a:pt x="6" y="283"/>
                                </a:lnTo>
                                <a:lnTo>
                                  <a:pt x="0" y="247"/>
                                </a:lnTo>
                                <a:lnTo>
                                  <a:pt x="6" y="217"/>
                                </a:lnTo>
                                <a:lnTo>
                                  <a:pt x="30" y="193"/>
                                </a:lnTo>
                                <a:lnTo>
                                  <a:pt x="78" y="175"/>
                                </a:lnTo>
                                <a:lnTo>
                                  <a:pt x="114" y="151"/>
                                </a:lnTo>
                                <a:lnTo>
                                  <a:pt x="144" y="145"/>
                                </a:lnTo>
                                <a:lnTo>
                                  <a:pt x="156" y="109"/>
                                </a:lnTo>
                                <a:lnTo>
                                  <a:pt x="180" y="97"/>
                                </a:lnTo>
                                <a:lnTo>
                                  <a:pt x="204" y="90"/>
                                </a:lnTo>
                                <a:lnTo>
                                  <a:pt x="240" y="60"/>
                                </a:lnTo>
                                <a:lnTo>
                                  <a:pt x="264" y="48"/>
                                </a:lnTo>
                                <a:lnTo>
                                  <a:pt x="282" y="60"/>
                                </a:lnTo>
                                <a:lnTo>
                                  <a:pt x="300" y="66"/>
                                </a:lnTo>
                                <a:lnTo>
                                  <a:pt x="312" y="42"/>
                                </a:lnTo>
                                <a:lnTo>
                                  <a:pt x="330" y="24"/>
                                </a:lnTo>
                                <a:lnTo>
                                  <a:pt x="360" y="18"/>
                                </a:lnTo>
                                <a:lnTo>
                                  <a:pt x="372" y="0"/>
                                </a:lnTo>
                                <a:lnTo>
                                  <a:pt x="396" y="6"/>
                                </a:lnTo>
                                <a:lnTo>
                                  <a:pt x="438" y="12"/>
                                </a:lnTo>
                                <a:lnTo>
                                  <a:pt x="432" y="36"/>
                                </a:lnTo>
                                <a:lnTo>
                                  <a:pt x="420" y="66"/>
                                </a:lnTo>
                                <a:lnTo>
                                  <a:pt x="438" y="78"/>
                                </a:lnTo>
                                <a:lnTo>
                                  <a:pt x="468" y="78"/>
                                </a:lnTo>
                                <a:lnTo>
                                  <a:pt x="492" y="115"/>
                                </a:lnTo>
                                <a:lnTo>
                                  <a:pt x="510" y="109"/>
                                </a:lnTo>
                                <a:lnTo>
                                  <a:pt x="540" y="90"/>
                                </a:lnTo>
                                <a:lnTo>
                                  <a:pt x="540" y="30"/>
                                </a:lnTo>
                                <a:lnTo>
                                  <a:pt x="564" y="0"/>
                                </a:lnTo>
                                <a:lnTo>
                                  <a:pt x="576" y="42"/>
                                </a:lnTo>
                                <a:lnTo>
                                  <a:pt x="582" y="54"/>
                                </a:lnTo>
                                <a:lnTo>
                                  <a:pt x="594" y="60"/>
                                </a:lnTo>
                                <a:lnTo>
                                  <a:pt x="612" y="121"/>
                                </a:lnTo>
                                <a:lnTo>
                                  <a:pt x="642" y="151"/>
                                </a:lnTo>
                                <a:lnTo>
                                  <a:pt x="678" y="163"/>
                                </a:lnTo>
                                <a:lnTo>
                                  <a:pt x="690" y="199"/>
                                </a:lnTo>
                                <a:lnTo>
                                  <a:pt x="708" y="211"/>
                                </a:lnTo>
                                <a:lnTo>
                                  <a:pt x="714" y="241"/>
                                </a:lnTo>
                                <a:lnTo>
                                  <a:pt x="751" y="265"/>
                                </a:lnTo>
                                <a:lnTo>
                                  <a:pt x="751" y="289"/>
                                </a:lnTo>
                                <a:lnTo>
                                  <a:pt x="757" y="325"/>
                                </a:lnTo>
                                <a:lnTo>
                                  <a:pt x="757" y="379"/>
                                </a:lnTo>
                                <a:lnTo>
                                  <a:pt x="714" y="469"/>
                                </a:lnTo>
                                <a:lnTo>
                                  <a:pt x="696" y="523"/>
                                </a:lnTo>
                                <a:lnTo>
                                  <a:pt x="696" y="547"/>
                                </a:lnTo>
                                <a:lnTo>
                                  <a:pt x="684" y="547"/>
                                </a:lnTo>
                                <a:lnTo>
                                  <a:pt x="660" y="559"/>
                                </a:lnTo>
                                <a:lnTo>
                                  <a:pt x="636" y="577"/>
                                </a:lnTo>
                                <a:lnTo>
                                  <a:pt x="618" y="577"/>
                                </a:lnTo>
                                <a:lnTo>
                                  <a:pt x="594" y="559"/>
                                </a:lnTo>
                                <a:lnTo>
                                  <a:pt x="576" y="571"/>
                                </a:lnTo>
                                <a:lnTo>
                                  <a:pt x="534" y="553"/>
                                </a:lnTo>
                                <a:lnTo>
                                  <a:pt x="498" y="535"/>
                                </a:lnTo>
                                <a:lnTo>
                                  <a:pt x="480" y="505"/>
                                </a:lnTo>
                                <a:lnTo>
                                  <a:pt x="468" y="481"/>
                                </a:lnTo>
                                <a:lnTo>
                                  <a:pt x="444" y="487"/>
                                </a:lnTo>
                                <a:lnTo>
                                  <a:pt x="420" y="463"/>
                                </a:lnTo>
                                <a:lnTo>
                                  <a:pt x="378" y="421"/>
                                </a:lnTo>
                                <a:lnTo>
                                  <a:pt x="312" y="409"/>
                                </a:lnTo>
                                <a:lnTo>
                                  <a:pt x="264" y="415"/>
                                </a:lnTo>
                                <a:lnTo>
                                  <a:pt x="204" y="433"/>
                                </a:lnTo>
                                <a:lnTo>
                                  <a:pt x="198" y="451"/>
                                </a:lnTo>
                                <a:lnTo>
                                  <a:pt x="162" y="457"/>
                                </a:lnTo>
                                <a:lnTo>
                                  <a:pt x="138" y="457"/>
                                </a:lnTo>
                                <a:lnTo>
                                  <a:pt x="120" y="475"/>
                                </a:lnTo>
                                <a:lnTo>
                                  <a:pt x="84" y="487"/>
                                </a:lnTo>
                                <a:lnTo>
                                  <a:pt x="60" y="487"/>
                                </a:lnTo>
                                <a:lnTo>
                                  <a:pt x="30" y="463"/>
                                </a:lnTo>
                                <a:close/>
                              </a:path>
                            </a:pathLst>
                          </a:custGeom>
                          <a:grpFill/>
                          <a:ln w="12700" cap="flat" cmpd="sng">
                            <a:solidFill>
                              <a:schemeClr val="tx1"/>
                            </a:solidFill>
                            <a:prstDash val="solid"/>
                            <a:round/>
                            <a:headEnd type="none" w="med" len="med"/>
                            <a:tailEnd type="none" w="med" len="med"/>
                          </a:ln>
                          <a:effectLst/>
                        </wps:spPr>
                        <wps:bodyPr/>
                      </wps:wsp>
                      <wps:wsp>
                        <wps:cNvPr id="427" name="Freeform 269"/>
                        <wps:cNvSpPr>
                          <a:spLocks/>
                        </wps:cNvSpPr>
                        <wps:spPr bwMode="auto">
                          <a:xfrm>
                            <a:off x="450073" y="405605"/>
                            <a:ext cx="50800" cy="48260"/>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grpFill/>
                          <a:ln w="12700">
                            <a:solidFill>
                              <a:schemeClr val="tx1"/>
                            </a:solidFill>
                            <a:round/>
                            <a:headEnd/>
                            <a:tailEnd/>
                          </a:ln>
                        </wps:spPr>
                        <wps:bodyPr/>
                      </wps:wsp>
                    </wpg:wgp>
                  </a:graphicData>
                </a:graphic>
              </wp:anchor>
            </w:drawing>
          </mc:Choice>
          <mc:Fallback>
            <w:pict>
              <v:group w14:anchorId="6938ABF7" id="Group 425" o:spid="_x0000_s1026" alt="Decorative" style="position:absolute;margin-left:12.8pt;margin-top:13.15pt;width:45.75pt;height:35.7pt;z-index:251658303;mso-position-horizontal-relative:margin" coordsize="581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">
                <v:shape id="Freeform 268" o:spid="_x0000_s1027" style="position:absolute;width:5811;height:3807;visibility:visible;mso-wrap-style:square;v-text-anchor:top" coordsize="7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" path="m30,463r6,-48l30,385,6,307r,-24l,247,6,217,30,193,78,175r36,-24l144,145r12,-36l180,97r24,-7l240,60,264,48r18,12l300,66,312,42,330,24r30,-6l372,r24,6l438,12r-6,24l420,66r18,12l468,78r24,37l510,109,540,90r,-60l564,r12,42l582,54r12,6l612,121r30,30l678,163r12,36l708,211r6,30l751,265r,24l757,325r,54l714,469r-18,54l696,547r-12,l660,559r-24,18l618,577,594,559r-18,12l534,553,498,535,480,505,468,481r-24,6l420,463,378,421,312,409r-48,6l204,433r-6,18l162,457r-24,l120,475,84,487r-24,l30,463xe" filled="f" strokecolor="black [3213]" strokeweight="1pt">
                  <v:path arrowok="t" o:connecttype="custom" o:connectlocs="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69" o:spid="_x0000_s1028" style="position:absolute;left:4500;top:4056;width:508;height:482;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" path="m,18l12,48r6,24l36,91,48,66,66,30,66,,42,12,,18xe" filled="f" strokecolor="black [3213]" strokeweight="1pt">
                  <v:path arrowok="t" o:connecttype="custom" o:connectlocs="0,2147483646;2147483646,2147483646;2147483646,2147483646;2147483646,2147483646;2147483646,2147483646;2147483646,2147483646;2147483646,0;2147483646,2147483646;0,2147483646" o:connectangles="0,0,0,0,0,0,0,0,0"/>
                </v:shape>
                <w10:wrap anchorx="margin"/>
              </v:group>
            </w:pict>
          </mc:Fallback>
        </mc:AlternateContent>
      </w:r>
    </w:p>
    <w:p w14:paraId="555C6C50" w14:textId="668110DA" w:rsidR="003C52B2" w:rsidRPr="00632CCB" w:rsidRDefault="003C52B2" w:rsidP="00E86A95">
      <w:pPr>
        <w:shd w:val="clear" w:color="auto" w:fill="F2F2F2" w:themeFill="background1" w:themeFillShade="F2"/>
        <w:ind w:left="142" w:right="237"/>
        <w:jc w:val="center"/>
        <w:rPr>
          <w:b/>
          <w:color w:val="000000" w:themeColor="text1"/>
        </w:rPr>
      </w:pPr>
      <w:r w:rsidRPr="00632CCB">
        <w:rPr>
          <w:b/>
          <w:color w:val="000000" w:themeColor="text1"/>
        </w:rPr>
        <w:t xml:space="preserve">Commonwealth Rent Assistance (CRA) </w:t>
      </w:r>
      <w:r w:rsidRPr="00632CCB">
        <w:rPr>
          <w:b/>
          <w:color w:val="000000" w:themeColor="text1"/>
        </w:rPr>
        <w:br/>
        <w:t>and Private Rental Assistance (PRA)</w:t>
      </w:r>
    </w:p>
    <w:p w14:paraId="55B42D33" w14:textId="382B113C" w:rsidR="003C52B2" w:rsidRPr="00B50802" w:rsidRDefault="003C52B2" w:rsidP="00462A4E">
      <w:pPr>
        <w:shd w:val="clear" w:color="auto" w:fill="F2F2F2" w:themeFill="background1" w:themeFillShade="F2"/>
        <w:ind w:right="-46"/>
        <w:rPr>
          <w:color w:val="000000" w:themeColor="text1"/>
        </w:rPr>
      </w:pPr>
      <w:r w:rsidRPr="00B50802">
        <w:rPr>
          <w:color w:val="000000" w:themeColor="text1"/>
        </w:rPr>
        <w:t xml:space="preserve">CRA is a non-taxable payment from the Commonwealth to people who receive income support payments or family tax benefits, and who are in the private rental market </w:t>
      </w:r>
      <w:r w:rsidRPr="00B50802">
        <w:rPr>
          <w:color w:val="000000" w:themeColor="text1"/>
        </w:rPr>
        <w:br/>
        <w:t xml:space="preserve">or in community housing. CRA is assessed as part of the application for income support or family tax benefits, and the amount paid is dependent on household structure </w:t>
      </w:r>
      <w:r w:rsidRPr="00B50802">
        <w:rPr>
          <w:color w:val="000000" w:themeColor="text1"/>
        </w:rPr>
        <w:br/>
        <w:t xml:space="preserve">(i.e. single, couple, </w:t>
      </w:r>
      <w:r w:rsidR="002E3356" w:rsidRPr="00B50802">
        <w:rPr>
          <w:color w:val="000000" w:themeColor="text1"/>
        </w:rPr>
        <w:t xml:space="preserve">or </w:t>
      </w:r>
      <w:r w:rsidR="00BC29FC" w:rsidRPr="00B50802">
        <w:rPr>
          <w:color w:val="000000" w:themeColor="text1"/>
        </w:rPr>
        <w:t>families</w:t>
      </w:r>
      <w:r w:rsidRPr="00B50802">
        <w:rPr>
          <w:color w:val="000000" w:themeColor="text1"/>
        </w:rPr>
        <w:t xml:space="preserve"> with dependent children).</w:t>
      </w:r>
    </w:p>
    <w:p w14:paraId="7C36EC31" w14:textId="77777777" w:rsidR="003C52B2" w:rsidRPr="00B50802" w:rsidRDefault="003C52B2" w:rsidP="00462A4E">
      <w:pPr>
        <w:spacing w:after="240" w:line="240" w:lineRule="auto"/>
        <w:ind w:right="-46"/>
        <w:rPr>
          <w:color w:val="000000" w:themeColor="text1"/>
        </w:rPr>
      </w:pPr>
      <w:r w:rsidRPr="00B50802">
        <w:rPr>
          <w:color w:val="000000" w:themeColor="text1"/>
        </w:rPr>
        <w:t xml:space="preserve">CRA has a considerable impact on reducing rental stress. At December 2022, CRA was </w:t>
      </w:r>
      <w:r w:rsidR="00BD5B9D" w:rsidRPr="00B50802">
        <w:rPr>
          <w:color w:val="000000" w:themeColor="text1"/>
        </w:rPr>
        <w:br/>
      </w:r>
      <w:r w:rsidRPr="00B50802">
        <w:rPr>
          <w:color w:val="000000" w:themeColor="text1"/>
        </w:rPr>
        <w:t xml:space="preserve">able to reduce the number of recipient households in housing stress by around 28%. </w:t>
      </w:r>
    </w:p>
    <w:p w14:paraId="62101EDE" w14:textId="77777777" w:rsidR="003C52B2" w:rsidRPr="00B50802" w:rsidRDefault="003C52B2" w:rsidP="00462A4E">
      <w:pPr>
        <w:spacing w:after="240" w:line="240" w:lineRule="auto"/>
        <w:ind w:right="-46"/>
        <w:rPr>
          <w:color w:val="000000" w:themeColor="text1"/>
        </w:rPr>
      </w:pPr>
      <w:r w:rsidRPr="00B50802">
        <w:rPr>
          <w:color w:val="000000" w:themeColor="text1"/>
        </w:rPr>
        <w:t xml:space="preserve">PRA is financial assistance provided by all state governments to low-income households experiencing difficulty in securing or maintaining private rental accommodation. PRA </w:t>
      </w:r>
      <w:r w:rsidRPr="00B50802">
        <w:rPr>
          <w:color w:val="000000" w:themeColor="text1"/>
        </w:rPr>
        <w:br/>
        <w:t>is usually provided as a one-off form of support and includes bond loans, rental grants, rental subsidies and relief, and payment of relocation expenses.</w:t>
      </w:r>
    </w:p>
    <w:p w14:paraId="1F7D0949" w14:textId="1CC2340A" w:rsidR="002A75EA" w:rsidRPr="009274D8" w:rsidRDefault="008A1B48" w:rsidP="009274D8">
      <w:pPr>
        <w:pStyle w:val="Bullet"/>
        <w:spacing w:after="200"/>
        <w:ind w:left="522" w:hanging="522"/>
        <w:rPr>
          <w:rFonts w:ascii="Georgia" w:hAnsi="Georgia"/>
          <w:b/>
          <w:sz w:val="28"/>
        </w:rPr>
      </w:pPr>
      <w:bookmarkStart w:id="1786" w:name="_Toc134784718"/>
      <w:bookmarkStart w:id="1787" w:name="_Toc135035237"/>
      <w:bookmarkStart w:id="1788" w:name="_Toc135060914"/>
      <w:bookmarkStart w:id="1789" w:name="_Toc135161386"/>
      <w:bookmarkStart w:id="1790" w:name="_Toc135162332"/>
      <w:bookmarkStart w:id="1791" w:name="_Toc135162506"/>
      <w:bookmarkStart w:id="1792" w:name="_Toc135206085"/>
      <w:bookmarkStart w:id="1793" w:name="_Toc135206170"/>
      <w:bookmarkStart w:id="1794" w:name="_Toc139464328"/>
      <w:bookmarkStart w:id="1795" w:name="_Toc141969862"/>
      <w:bookmarkStart w:id="1796" w:name="_Toc141972485"/>
      <w:bookmarkStart w:id="1797" w:name="_Toc141972698"/>
      <w:bookmarkStart w:id="1798" w:name="_Toc141972972"/>
      <w:bookmarkStart w:id="1799" w:name="_Toc142042532"/>
      <w:bookmarkStart w:id="1800" w:name="_Toc142042805"/>
      <w:r w:rsidRPr="009274D8">
        <w:rPr>
          <w:rFonts w:ascii="Georgia" w:hAnsi="Georgia"/>
          <w:b/>
          <w:sz w:val="28"/>
        </w:rPr>
        <w:t>Direct and indirect impacts on</w:t>
      </w:r>
      <w:r w:rsidR="002A75EA" w:rsidRPr="009274D8">
        <w:rPr>
          <w:rFonts w:ascii="Georgia" w:hAnsi="Georgia"/>
          <w:b/>
          <w:sz w:val="28"/>
        </w:rPr>
        <w:t xml:space="preserve"> the housing market</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1AD9F8CF" w14:textId="7E1B809D" w:rsidR="002A75EA" w:rsidRPr="00B50802" w:rsidRDefault="002A75EA" w:rsidP="002A75EA">
      <w:pPr>
        <w:spacing w:after="0"/>
        <w:rPr>
          <w:rFonts w:cs="Arial"/>
          <w:color w:val="000000"/>
          <w:shd w:val="clear" w:color="auto" w:fill="FFFFFF"/>
        </w:rPr>
      </w:pPr>
      <w:r w:rsidRPr="00B50802">
        <w:rPr>
          <w:rFonts w:cs="Arial"/>
          <w:color w:val="000000"/>
          <w:shd w:val="clear" w:color="auto" w:fill="FFFFFF"/>
        </w:rPr>
        <w:t xml:space="preserve">Supply and demand affect housing costs, and can be affected by </w:t>
      </w:r>
      <w:r w:rsidR="008A1B48" w:rsidRPr="00B50802">
        <w:rPr>
          <w:rFonts w:cs="Arial"/>
          <w:color w:val="000000"/>
          <w:shd w:val="clear" w:color="auto" w:fill="FFFFFF"/>
        </w:rPr>
        <w:t>other settings</w:t>
      </w:r>
      <w:r w:rsidRPr="00B50802">
        <w:rPr>
          <w:rFonts w:cs="Arial"/>
          <w:color w:val="000000"/>
          <w:shd w:val="clear" w:color="auto" w:fill="FFFFFF"/>
        </w:rPr>
        <w:t xml:space="preserve">. </w:t>
      </w:r>
    </w:p>
    <w:p w14:paraId="372AD506" w14:textId="4D444D8C" w:rsidR="002A75EA" w:rsidRPr="00B50802" w:rsidRDefault="002A75EA" w:rsidP="00C73675">
      <w:pPr>
        <w:rPr>
          <w:noProof/>
          <w:shd w:val="clear" w:color="auto" w:fill="FFFFFF"/>
          <w:lang w:eastAsia="en-AU"/>
        </w:rPr>
      </w:pPr>
      <w:r w:rsidRPr="00B50802">
        <w:rPr>
          <w:shd w:val="clear" w:color="auto" w:fill="FFFFFF"/>
        </w:rPr>
        <w:t xml:space="preserve">Changes in the number of houses and the demand for houses affect the cost of housing. Supply, demand and affordability vary significantly across different areas of Australia. </w:t>
      </w:r>
      <w:r w:rsidR="00433693" w:rsidRPr="00B50802">
        <w:rPr>
          <w:shd w:val="clear" w:color="auto" w:fill="FFFFFF"/>
        </w:rPr>
        <w:t xml:space="preserve">The most critical factor is the supply of </w:t>
      </w:r>
      <w:r w:rsidR="00BB7343" w:rsidRPr="00B50802">
        <w:rPr>
          <w:shd w:val="clear" w:color="auto" w:fill="FFFFFF"/>
        </w:rPr>
        <w:t xml:space="preserve">land </w:t>
      </w:r>
      <w:r w:rsidR="006E7F43" w:rsidRPr="00B50802">
        <w:rPr>
          <w:shd w:val="clear" w:color="auto" w:fill="FFFFFF"/>
        </w:rPr>
        <w:t xml:space="preserve">in </w:t>
      </w:r>
      <w:r w:rsidR="00BB7343" w:rsidRPr="00B50802">
        <w:rPr>
          <w:shd w:val="clear" w:color="auto" w:fill="FFFFFF"/>
        </w:rPr>
        <w:t>desirable locations, including locations that are close to jobs and well connected to infrastructure and other services. Other factors</w:t>
      </w:r>
      <w:r w:rsidRPr="00B50802">
        <w:rPr>
          <w:shd w:val="clear" w:color="auto" w:fill="FFFFFF"/>
        </w:rPr>
        <w:t xml:space="preserve"> includ</w:t>
      </w:r>
      <w:r w:rsidR="00853ACE" w:rsidRPr="00B50802">
        <w:rPr>
          <w:shd w:val="clear" w:color="auto" w:fill="FFFFFF"/>
        </w:rPr>
        <w:t>e</w:t>
      </w:r>
      <w:r w:rsidRPr="00B50802">
        <w:rPr>
          <w:shd w:val="clear" w:color="auto" w:fill="FFFFFF"/>
        </w:rPr>
        <w:t>:</w:t>
      </w:r>
      <w:r w:rsidR="00597296" w:rsidRPr="00B50802">
        <w:rPr>
          <w:noProof/>
          <w:shd w:val="clear" w:color="auto" w:fill="FFFFFF"/>
          <w:lang w:eastAsia="en-AU"/>
        </w:rPr>
        <w:t xml:space="preserve"> </w:t>
      </w:r>
    </w:p>
    <w:p w14:paraId="50891B5D" w14:textId="7EC6D03C" w:rsidR="00BD5B9D" w:rsidRPr="00B50802" w:rsidRDefault="002A75EA" w:rsidP="00F17FAF">
      <w:pPr>
        <w:pStyle w:val="ListParagraph"/>
        <w:numPr>
          <w:ilvl w:val="0"/>
          <w:numId w:val="9"/>
        </w:numPr>
      </w:pPr>
      <w:r w:rsidRPr="00B50802">
        <w:t xml:space="preserve">Construction </w:t>
      </w:r>
      <w:r w:rsidR="00BB7343" w:rsidRPr="00B50802">
        <w:t>costs and supply chain issues</w:t>
      </w:r>
      <w:r w:rsidRPr="00B50802">
        <w:t xml:space="preserve"> </w:t>
      </w:r>
      <w:r w:rsidR="00853ACE" w:rsidRPr="00B50802">
        <w:t xml:space="preserve">– </w:t>
      </w:r>
      <w:r w:rsidR="009C75C2" w:rsidRPr="00B50802">
        <w:t xml:space="preserve">In the </w:t>
      </w:r>
      <w:r w:rsidR="007E3C2E">
        <w:t>March</w:t>
      </w:r>
      <w:r w:rsidR="007E3C2E" w:rsidRPr="00B50802">
        <w:t xml:space="preserve"> </w:t>
      </w:r>
      <w:r w:rsidR="009C75C2" w:rsidRPr="00B50802">
        <w:t>quarter 202</w:t>
      </w:r>
      <w:r w:rsidR="007E3C2E">
        <w:t>3</w:t>
      </w:r>
      <w:r w:rsidR="009C75C2" w:rsidRPr="00B50802">
        <w:t>, 3</w:t>
      </w:r>
      <w:r w:rsidR="007E3C2E">
        <w:t>2,871</w:t>
      </w:r>
      <w:r w:rsidR="009C75C2" w:rsidRPr="00B50802">
        <w:t xml:space="preserve"> dwellings units had been approved, but not yet commenced.</w:t>
      </w:r>
      <w:r w:rsidR="009C75C2" w:rsidRPr="00B50802">
        <w:rPr>
          <w:rStyle w:val="FootnoteReference"/>
        </w:rPr>
        <w:footnoteReference w:id="142"/>
      </w:r>
      <w:r w:rsidR="009C75C2" w:rsidRPr="00B50802">
        <w:t xml:space="preserve"> </w:t>
      </w:r>
      <w:r w:rsidR="009C75C2" w:rsidRPr="00B50802">
        <w:rPr>
          <w:color w:val="000000"/>
          <w:shd w:val="clear" w:color="auto" w:fill="FFFFFF"/>
        </w:rPr>
        <w:t>Supply chain problems are slowing down home building, leaving projects unfinished, and slowing the restoration and/or rebuilding of existing buildings, adding to housing pressures.</w:t>
      </w:r>
      <w:r w:rsidR="009C75C2" w:rsidRPr="00B50802">
        <w:rPr>
          <w:rStyle w:val="FootnoteReference"/>
          <w:color w:val="000000" w:themeColor="text1"/>
        </w:rPr>
        <w:footnoteReference w:id="143"/>
      </w:r>
    </w:p>
    <w:p w14:paraId="14B3AC4A" w14:textId="1F13D7DD" w:rsidR="00616AA8" w:rsidRPr="00B50802" w:rsidRDefault="002A75EA" w:rsidP="00FD5904">
      <w:pPr>
        <w:numPr>
          <w:ilvl w:val="0"/>
          <w:numId w:val="1"/>
        </w:numPr>
        <w:spacing w:after="240"/>
      </w:pPr>
      <w:r w:rsidRPr="00B50802">
        <w:rPr>
          <w:rFonts w:cs="Arial"/>
        </w:rPr>
        <w:t xml:space="preserve">Workforce shortages – </w:t>
      </w:r>
      <w:r w:rsidR="00853ACE" w:rsidRPr="00B50802">
        <w:rPr>
          <w:rFonts w:cs="Arial"/>
        </w:rPr>
        <w:t>i</w:t>
      </w:r>
      <w:r w:rsidRPr="00B50802">
        <w:rPr>
          <w:rFonts w:cs="Arial"/>
        </w:rPr>
        <w:t>n 2022, 47% of occupations in the Technicians and Trades sector were experiencing workforce shortages, this includes construction workers, plasterers and electricians.</w:t>
      </w:r>
      <w:r w:rsidRPr="00B50802">
        <w:rPr>
          <w:rStyle w:val="FootnoteReference"/>
          <w:color w:val="000000" w:themeColor="text1"/>
        </w:rPr>
        <w:footnoteReference w:id="144"/>
      </w:r>
      <w:r w:rsidRPr="00B50802">
        <w:rPr>
          <w:rFonts w:cs="Arial"/>
        </w:rPr>
        <w:t xml:space="preserve"> Workforce shortages can be exacerbated by rental costs, particularly in regional and remote areas, where a shortage of suitable accommodation can present a barrier to people moving to work.</w:t>
      </w:r>
      <w:r w:rsidRPr="00B50802">
        <w:rPr>
          <w:rStyle w:val="FootnoteReference"/>
          <w:rFonts w:cs="Arial"/>
        </w:rPr>
        <w:footnoteReference w:id="145"/>
      </w:r>
    </w:p>
    <w:p w14:paraId="686814BA" w14:textId="77777777" w:rsidR="00882959" w:rsidRDefault="00882959">
      <w:r>
        <w:br w:type="page"/>
      </w:r>
    </w:p>
    <w:p w14:paraId="1C81CB2A" w14:textId="214FFD43" w:rsidR="00BD5B9D" w:rsidRPr="00B50802" w:rsidRDefault="002A75EA" w:rsidP="00A3699D">
      <w:pPr>
        <w:numPr>
          <w:ilvl w:val="0"/>
          <w:numId w:val="1"/>
        </w:numPr>
        <w:spacing w:after="240"/>
        <w:rPr>
          <w:color w:val="000000" w:themeColor="text1"/>
        </w:rPr>
      </w:pPr>
      <w:r w:rsidRPr="00B50802">
        <w:lastRenderedPageBreak/>
        <w:t xml:space="preserve">Utilisation of existing properties </w:t>
      </w:r>
      <w:r w:rsidR="00E40740" w:rsidRPr="00B50802">
        <w:t>– t</w:t>
      </w:r>
      <w:r w:rsidRPr="00B50802">
        <w:t>he number of long-term rentals available has been impacted by the rise of short-term letting (i.e. Airbnb)</w:t>
      </w:r>
      <w:r w:rsidR="00E40740" w:rsidRPr="00B50802">
        <w:t>,</w:t>
      </w:r>
      <w:r w:rsidRPr="00B50802">
        <w:t xml:space="preserve"> however, this is likely only </w:t>
      </w:r>
      <w:r w:rsidRPr="00B50802">
        <w:br/>
        <w:t>in specific areas.</w:t>
      </w:r>
      <w:r w:rsidRPr="00B50802">
        <w:rPr>
          <w:rStyle w:val="FootnoteReference"/>
          <w:color w:val="000000" w:themeColor="text1"/>
        </w:rPr>
        <w:footnoteReference w:id="146"/>
      </w:r>
      <w:r w:rsidRPr="00B50802">
        <w:t xml:space="preserve"> Short-term letting platforms like Airbnb are most likely to impact tourism</w:t>
      </w:r>
      <w:r w:rsidR="00E40740" w:rsidRPr="00B50802">
        <w:t>-</w:t>
      </w:r>
      <w:r w:rsidRPr="00B50802">
        <w:t>rich areas (such as inner-city suburbs and regional and coastal areas</w:t>
      </w:r>
      <w:r w:rsidRPr="00B50802">
        <w:rPr>
          <w:color w:val="000000" w:themeColor="text1"/>
        </w:rPr>
        <w:t>).</w:t>
      </w:r>
      <w:r w:rsidRPr="00B50802">
        <w:rPr>
          <w:rStyle w:val="FootnoteReference"/>
        </w:rPr>
        <w:footnoteReference w:id="147"/>
      </w:r>
      <w:r w:rsidRPr="00B50802">
        <w:rPr>
          <w:color w:val="000000" w:themeColor="text1"/>
        </w:rPr>
        <w:t xml:space="preserve"> </w:t>
      </w:r>
    </w:p>
    <w:p w14:paraId="0ADC8E00" w14:textId="65B27E3A" w:rsidR="00A3699D" w:rsidRPr="00B00394" w:rsidRDefault="002A75EA" w:rsidP="00B00394">
      <w:pPr>
        <w:pStyle w:val="ListParagraph"/>
        <w:numPr>
          <w:ilvl w:val="1"/>
          <w:numId w:val="1"/>
        </w:numPr>
        <w:spacing w:after="0"/>
        <w:rPr>
          <w:rFonts w:ascii="Times New Roman" w:hAnsi="Times New Roman"/>
          <w:sz w:val="24"/>
          <w:szCs w:val="24"/>
        </w:rPr>
      </w:pPr>
      <w:r w:rsidRPr="00B00394">
        <w:rPr>
          <w:color w:val="000000" w:themeColor="text1"/>
        </w:rPr>
        <w:t xml:space="preserve">In Hobart, for example, as at June 2022, 47% of Airbnb short-term rental properties had previously been available in the long-term rental market, suggesting a possible link between increases in short-term letting and </w:t>
      </w:r>
      <w:r w:rsidR="00B00394">
        <w:rPr>
          <w:color w:val="000000" w:themeColor="text1"/>
        </w:rPr>
        <w:t>low</w:t>
      </w:r>
      <w:r w:rsidR="00B00394" w:rsidRPr="00B00394">
        <w:rPr>
          <w:color w:val="000000" w:themeColor="text1"/>
        </w:rPr>
        <w:t xml:space="preserve"> </w:t>
      </w:r>
      <w:r w:rsidRPr="00B00394">
        <w:rPr>
          <w:color w:val="000000" w:themeColor="text1"/>
        </w:rPr>
        <w:t>availability of rental properties.</w:t>
      </w:r>
      <w:r w:rsidRPr="00B50802">
        <w:rPr>
          <w:rStyle w:val="FootnoteReference"/>
          <w:color w:val="000000" w:themeColor="text1"/>
        </w:rPr>
        <w:footnoteReference w:id="148"/>
      </w:r>
    </w:p>
    <w:p w14:paraId="6D064168" w14:textId="0C719F73" w:rsidR="002A75EA" w:rsidRPr="00B50802" w:rsidRDefault="002A75EA" w:rsidP="008A1350">
      <w:pPr>
        <w:numPr>
          <w:ilvl w:val="0"/>
          <w:numId w:val="1"/>
        </w:numPr>
        <w:spacing w:after="240"/>
      </w:pPr>
      <w:r w:rsidRPr="00B50802">
        <w:t xml:space="preserve">Taxation – </w:t>
      </w:r>
      <w:r w:rsidR="00E40740" w:rsidRPr="00B50802">
        <w:t>t</w:t>
      </w:r>
      <w:r w:rsidRPr="00B50802">
        <w:t xml:space="preserve">he way housing is taxed can affect </w:t>
      </w:r>
      <w:r w:rsidR="00BA064D" w:rsidRPr="00B50802">
        <w:t xml:space="preserve">supply and </w:t>
      </w:r>
      <w:r w:rsidRPr="00B50802">
        <w:t>demand</w:t>
      </w:r>
      <w:r w:rsidR="00252C91">
        <w:t xml:space="preserve">, such as </w:t>
      </w:r>
      <w:r w:rsidR="00BA064D" w:rsidRPr="00B50802">
        <w:t>stamp duty or taxation incentives for build-to-rent accommodation.</w:t>
      </w:r>
    </w:p>
    <w:p w14:paraId="5D838D3A" w14:textId="330C0631" w:rsidR="002A75EA" w:rsidRPr="00B50802" w:rsidRDefault="008A1B48" w:rsidP="002A75EA">
      <w:pPr>
        <w:spacing w:after="240"/>
        <w:rPr>
          <w:rFonts w:cs="Arial"/>
        </w:rPr>
      </w:pPr>
      <w:r w:rsidRPr="00B50802">
        <w:rPr>
          <w:rFonts w:cs="Arial"/>
        </w:rPr>
        <w:t>In addition</w:t>
      </w:r>
      <w:r w:rsidR="00D031C0">
        <w:rPr>
          <w:rFonts w:cs="Arial"/>
        </w:rPr>
        <w:t>,</w:t>
      </w:r>
      <w:r w:rsidRPr="00B50802">
        <w:rPr>
          <w:rFonts w:cs="Arial"/>
        </w:rPr>
        <w:t xml:space="preserve"> </w:t>
      </w:r>
      <w:r w:rsidR="0056471F" w:rsidRPr="00B50802">
        <w:rPr>
          <w:rFonts w:cs="Arial"/>
        </w:rPr>
        <w:t>r</w:t>
      </w:r>
      <w:r w:rsidR="002A75EA" w:rsidRPr="00B50802">
        <w:rPr>
          <w:rFonts w:cs="Arial"/>
        </w:rPr>
        <w:t xml:space="preserve">egional and remote areas can be particularly affected by </w:t>
      </w:r>
      <w:r w:rsidRPr="00B50802">
        <w:rPr>
          <w:rFonts w:cs="Arial"/>
        </w:rPr>
        <w:t>additional</w:t>
      </w:r>
      <w:r w:rsidR="002A75EA" w:rsidRPr="00B50802">
        <w:rPr>
          <w:rFonts w:cs="Arial"/>
        </w:rPr>
        <w:t xml:space="preserve"> drivers of housing costs</w:t>
      </w:r>
      <w:r w:rsidRPr="00B50802">
        <w:rPr>
          <w:rFonts w:cs="Arial"/>
        </w:rPr>
        <w:t xml:space="preserve"> and challenges</w:t>
      </w:r>
      <w:r w:rsidR="002A75EA" w:rsidRPr="00B50802">
        <w:rPr>
          <w:rFonts w:cs="Arial"/>
        </w:rPr>
        <w:t>. High construction costs are a major challenge, and can be compounded by:</w:t>
      </w:r>
    </w:p>
    <w:p w14:paraId="1ACDBFF1" w14:textId="77777777" w:rsidR="002A75EA" w:rsidRPr="00B50802" w:rsidRDefault="00045491" w:rsidP="00F17FAF">
      <w:pPr>
        <w:pStyle w:val="Bullets"/>
        <w:numPr>
          <w:ilvl w:val="0"/>
          <w:numId w:val="9"/>
        </w:numPr>
      </w:pPr>
      <w:r w:rsidRPr="00B50802">
        <w:t>v</w:t>
      </w:r>
      <w:r w:rsidR="002A75EA" w:rsidRPr="00B50802">
        <w:t>ast distances between populated areas and low population density</w:t>
      </w:r>
    </w:p>
    <w:p w14:paraId="62493A2B" w14:textId="77777777" w:rsidR="002A75EA" w:rsidRPr="00B50802" w:rsidRDefault="00045491" w:rsidP="00F17FAF">
      <w:pPr>
        <w:pStyle w:val="Bullets"/>
        <w:numPr>
          <w:ilvl w:val="0"/>
          <w:numId w:val="9"/>
        </w:numPr>
      </w:pPr>
      <w:r w:rsidRPr="00B50802">
        <w:t>l</w:t>
      </w:r>
      <w:r w:rsidR="002A75EA" w:rsidRPr="00B50802">
        <w:t>imited local workforces and challenges of attracting workers to remote projects</w:t>
      </w:r>
    </w:p>
    <w:p w14:paraId="2E49779D" w14:textId="1CC610F5" w:rsidR="002A75EA" w:rsidRPr="00B50802" w:rsidRDefault="00045491" w:rsidP="00F17FAF">
      <w:pPr>
        <w:pStyle w:val="Bullets"/>
        <w:numPr>
          <w:ilvl w:val="0"/>
          <w:numId w:val="9"/>
        </w:numPr>
      </w:pPr>
      <w:r w:rsidRPr="00B50802">
        <w:t>h</w:t>
      </w:r>
      <w:r w:rsidR="002A75EA" w:rsidRPr="00B50802">
        <w:t xml:space="preserve">igh maintenance costs (operating and maintenance costs are </w:t>
      </w:r>
      <w:r w:rsidRPr="00B50802">
        <w:t xml:space="preserve">3 </w:t>
      </w:r>
      <w:r w:rsidR="002A75EA" w:rsidRPr="00B50802">
        <w:t>times greater for housing in remote areas, compared to housing in capital cities)</w:t>
      </w:r>
      <w:r w:rsidR="002A75EA" w:rsidRPr="00B50802">
        <w:rPr>
          <w:rStyle w:val="FootnoteReference"/>
        </w:rPr>
        <w:footnoteReference w:id="149"/>
      </w:r>
    </w:p>
    <w:p w14:paraId="20883B3E" w14:textId="50D7969D" w:rsidR="00FB76D3" w:rsidRPr="00B50802" w:rsidRDefault="00045491" w:rsidP="00F17FAF">
      <w:pPr>
        <w:pStyle w:val="Bullets"/>
        <w:numPr>
          <w:ilvl w:val="0"/>
          <w:numId w:val="9"/>
        </w:numPr>
        <w:rPr>
          <w:b/>
        </w:rPr>
      </w:pPr>
      <w:r w:rsidRPr="00B50802">
        <w:t>e</w:t>
      </w:r>
      <w:r w:rsidR="002A75EA" w:rsidRPr="00B50802">
        <w:t>xposure to extreme climate and weather events, including drought, bushfire and flood</w:t>
      </w:r>
      <w:r w:rsidRPr="00B50802">
        <w:t xml:space="preserve"> – r</w:t>
      </w:r>
      <w:r w:rsidR="002A75EA" w:rsidRPr="00B50802">
        <w:t>ural and remote areas can be more vulnerable to the risks of natural hazards, requiring greater investment to protect or maintain these assets.</w:t>
      </w:r>
      <w:r w:rsidR="002A75EA" w:rsidRPr="00B50802">
        <w:rPr>
          <w:rStyle w:val="FootnoteReference"/>
        </w:rPr>
        <w:footnoteReference w:id="150"/>
      </w:r>
    </w:p>
    <w:p w14:paraId="3677685D" w14:textId="25AFB907" w:rsidR="00BD5B9D" w:rsidRPr="00B50802" w:rsidRDefault="00BD5B9D" w:rsidP="008A6FEE">
      <w:pPr>
        <w:pStyle w:val="BodyText"/>
        <w:spacing w:after="240"/>
        <w:rPr>
          <w:rFonts w:ascii="Arial" w:hAnsi="Arial" w:cs="Arial"/>
          <w:b/>
          <w:bCs/>
          <w:color w:val="auto"/>
          <w:sz w:val="22"/>
          <w:szCs w:val="22"/>
        </w:rPr>
      </w:pPr>
    </w:p>
    <w:p w14:paraId="3B993A79" w14:textId="0349CFED" w:rsidR="00882959" w:rsidRDefault="00882959">
      <w:pPr>
        <w:rPr>
          <w:rFonts w:cs="Arial"/>
          <w:b/>
          <w:bCs/>
        </w:rPr>
      </w:pPr>
      <w:r>
        <w:rPr>
          <w:rFonts w:cs="Arial"/>
          <w:b/>
          <w:bCs/>
        </w:rPr>
        <w:br w:type="page"/>
      </w:r>
    </w:p>
    <w:p w14:paraId="62382D80" w14:textId="7F5F085B" w:rsidR="00D356F5" w:rsidRDefault="00D356F5" w:rsidP="003C52B2">
      <w:pPr>
        <w:pStyle w:val="BodyText"/>
        <w:spacing w:after="240"/>
        <w:ind w:left="720"/>
        <w:jc w:val="center"/>
        <w:rPr>
          <w:rFonts w:ascii="Arial" w:hAnsi="Arial" w:cs="Arial"/>
          <w:b/>
          <w:bCs/>
          <w:color w:val="auto"/>
          <w:sz w:val="22"/>
          <w:szCs w:val="22"/>
        </w:rPr>
      </w:pPr>
      <w:r w:rsidRPr="00B50802">
        <w:rPr>
          <w:noProof/>
          <w:lang w:eastAsia="en-AU"/>
        </w:rPr>
        <w:lastRenderedPageBreak/>
        <mc:AlternateContent>
          <mc:Choice Requires="wps">
            <w:drawing>
              <wp:anchor distT="0" distB="0" distL="114300" distR="114300" simplePos="0" relativeHeight="251658267" behindDoc="1" locked="0" layoutInCell="1" allowOverlap="1" wp14:anchorId="5330729C" wp14:editId="7167CF97">
                <wp:simplePos x="0" y="0"/>
                <wp:positionH relativeFrom="margin">
                  <wp:posOffset>-113665</wp:posOffset>
                </wp:positionH>
                <wp:positionV relativeFrom="paragraph">
                  <wp:posOffset>7283</wp:posOffset>
                </wp:positionV>
                <wp:extent cx="6121759" cy="4373218"/>
                <wp:effectExtent l="0" t="0" r="12700" b="27940"/>
                <wp:wrapNone/>
                <wp:docPr id="47" name="Rectangle 47" descr="Decorative"/>
                <wp:cNvGraphicFramePr/>
                <a:graphic xmlns:a="http://schemas.openxmlformats.org/drawingml/2006/main">
                  <a:graphicData uri="http://schemas.microsoft.com/office/word/2010/wordprocessingShape">
                    <wps:wsp>
                      <wps:cNvSpPr/>
                      <wps:spPr>
                        <a:xfrm>
                          <a:off x="0" y="0"/>
                          <a:ext cx="6121759" cy="4373218"/>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AE1D6" id="Rectangle 47" o:spid="_x0000_s1026" alt="Decorative" style="position:absolute;margin-left:-8.95pt;margin-top:.55pt;width:482.05pt;height:344.3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" fillcolor="#f2f2f2 [3052]" strokecolor="black [3213]" strokeweight=".25pt">
                <w10:wrap anchorx="margin"/>
              </v:rect>
            </w:pict>
          </mc:Fallback>
        </mc:AlternateContent>
      </w:r>
    </w:p>
    <w:p w14:paraId="1DEB95AC" w14:textId="568675B8" w:rsidR="003C52B2" w:rsidRPr="00B50802" w:rsidRDefault="00882959" w:rsidP="003C52B2">
      <w:pPr>
        <w:pStyle w:val="BodyText"/>
        <w:spacing w:after="240"/>
        <w:ind w:left="720"/>
        <w:jc w:val="center"/>
        <w:rPr>
          <w:rFonts w:ascii="Arial" w:hAnsi="Arial" w:cs="Arial"/>
          <w:b/>
          <w:bCs/>
          <w:color w:val="auto"/>
          <w:sz w:val="22"/>
          <w:szCs w:val="22"/>
        </w:rPr>
      </w:pPr>
      <w:r w:rsidRPr="00B50802">
        <w:rPr>
          <w:noProof/>
          <w:lang w:eastAsia="en-AU"/>
        </w:rPr>
        <mc:AlternateContent>
          <mc:Choice Requires="wpg">
            <w:drawing>
              <wp:anchor distT="0" distB="0" distL="114300" distR="114300" simplePos="0" relativeHeight="251658289" behindDoc="0" locked="0" layoutInCell="1" allowOverlap="1" wp14:anchorId="1097B582" wp14:editId="769D3CA6">
                <wp:simplePos x="0" y="0"/>
                <wp:positionH relativeFrom="margin">
                  <wp:posOffset>29647</wp:posOffset>
                </wp:positionH>
                <wp:positionV relativeFrom="paragraph">
                  <wp:posOffset>-245964</wp:posOffset>
                </wp:positionV>
                <wp:extent cx="581128" cy="453865"/>
                <wp:effectExtent l="0" t="0" r="28575" b="22860"/>
                <wp:wrapNone/>
                <wp:docPr id="40" name="Group 40" descr="Decorative"/>
                <wp:cNvGraphicFramePr/>
                <a:graphic xmlns:a="http://schemas.openxmlformats.org/drawingml/2006/main">
                  <a:graphicData uri="http://schemas.microsoft.com/office/word/2010/wordprocessingGroup">
                    <wpg:wgp>
                      <wpg:cNvGrpSpPr/>
                      <wpg:grpSpPr>
                        <a:xfrm>
                          <a:off x="0" y="0"/>
                          <a:ext cx="581128" cy="453865"/>
                          <a:chOff x="0" y="0"/>
                          <a:chExt cx="581128" cy="453865"/>
                        </a:xfrm>
                        <a:noFill/>
                      </wpg:grpSpPr>
                      <wps:wsp>
                        <wps:cNvPr id="41" name="Freeform 268"/>
                        <wps:cNvSpPr>
                          <a:spLocks/>
                        </wps:cNvSpPr>
                        <wps:spPr bwMode="auto">
                          <a:xfrm>
                            <a:off x="0" y="0"/>
                            <a:ext cx="581128" cy="380781"/>
                          </a:xfrm>
                          <a:custGeom>
                            <a:avLst/>
                            <a:gdLst>
                              <a:gd name="T0" fmla="*/ 2147483646 w 757"/>
                              <a:gd name="T1" fmla="*/ 2147483646 h 577"/>
                              <a:gd name="T2" fmla="*/ 2147483646 w 757"/>
                              <a:gd name="T3" fmla="*/ 2147483646 h 577"/>
                              <a:gd name="T4" fmla="*/ 0 w 757"/>
                              <a:gd name="T5" fmla="*/ 2147483646 h 577"/>
                              <a:gd name="T6" fmla="*/ 2147483646 w 757"/>
                              <a:gd name="T7" fmla="*/ 2147483646 h 577"/>
                              <a:gd name="T8" fmla="*/ 2147483646 w 757"/>
                              <a:gd name="T9" fmla="*/ 2147483646 h 577"/>
                              <a:gd name="T10" fmla="*/ 2147483646 w 757"/>
                              <a:gd name="T11" fmla="*/ 2147483646 h 577"/>
                              <a:gd name="T12" fmla="*/ 2147483646 w 757"/>
                              <a:gd name="T13" fmla="*/ 2147483646 h 577"/>
                              <a:gd name="T14" fmla="*/ 2147483646 w 757"/>
                              <a:gd name="T15" fmla="*/ 2147483646 h 577"/>
                              <a:gd name="T16" fmla="*/ 2147483646 w 757"/>
                              <a:gd name="T17" fmla="*/ 2147483646 h 577"/>
                              <a:gd name="T18" fmla="*/ 2147483646 w 757"/>
                              <a:gd name="T19" fmla="*/ 2147483646 h 577"/>
                              <a:gd name="T20" fmla="*/ 2147483646 w 757"/>
                              <a:gd name="T21" fmla="*/ 0 h 577"/>
                              <a:gd name="T22" fmla="*/ 2147483646 w 757"/>
                              <a:gd name="T23" fmla="*/ 2147483646 h 577"/>
                              <a:gd name="T24" fmla="*/ 2147483646 w 757"/>
                              <a:gd name="T25" fmla="*/ 2147483646 h 577"/>
                              <a:gd name="T26" fmla="*/ 2147483646 w 757"/>
                              <a:gd name="T27" fmla="*/ 2147483646 h 577"/>
                              <a:gd name="T28" fmla="*/ 2147483646 w 757"/>
                              <a:gd name="T29" fmla="*/ 2147483646 h 577"/>
                              <a:gd name="T30" fmla="*/ 2147483646 w 757"/>
                              <a:gd name="T31" fmla="*/ 2147483646 h 577"/>
                              <a:gd name="T32" fmla="*/ 2147483646 w 757"/>
                              <a:gd name="T33" fmla="*/ 2147483646 h 577"/>
                              <a:gd name="T34" fmla="*/ 2147483646 w 757"/>
                              <a:gd name="T35" fmla="*/ 2147483646 h 577"/>
                              <a:gd name="T36" fmla="*/ 2147483646 w 757"/>
                              <a:gd name="T37" fmla="*/ 2147483646 h 577"/>
                              <a:gd name="T38" fmla="*/ 2147483646 w 757"/>
                              <a:gd name="T39" fmla="*/ 2147483646 h 577"/>
                              <a:gd name="T40" fmla="*/ 2147483646 w 757"/>
                              <a:gd name="T41" fmla="*/ 2147483646 h 577"/>
                              <a:gd name="T42" fmla="*/ 2147483646 w 757"/>
                              <a:gd name="T43" fmla="*/ 2147483646 h 577"/>
                              <a:gd name="T44" fmla="*/ 2147483646 w 757"/>
                              <a:gd name="T45" fmla="*/ 2147483646 h 577"/>
                              <a:gd name="T46" fmla="*/ 2147483646 w 757"/>
                              <a:gd name="T47" fmla="*/ 2147483646 h 577"/>
                              <a:gd name="T48" fmla="*/ 2147483646 w 757"/>
                              <a:gd name="T49" fmla="*/ 2147483646 h 577"/>
                              <a:gd name="T50" fmla="*/ 2147483646 w 757"/>
                              <a:gd name="T51" fmla="*/ 2147483646 h 577"/>
                              <a:gd name="T52" fmla="*/ 2147483646 w 757"/>
                              <a:gd name="T53" fmla="*/ 2147483646 h 577"/>
                              <a:gd name="T54" fmla="*/ 2147483646 w 757"/>
                              <a:gd name="T55" fmla="*/ 2147483646 h 577"/>
                              <a:gd name="T56" fmla="*/ 2147483646 w 757"/>
                              <a:gd name="T57" fmla="*/ 2147483646 h 577"/>
                              <a:gd name="T58" fmla="*/ 2147483646 w 757"/>
                              <a:gd name="T59" fmla="*/ 2147483646 h 577"/>
                              <a:gd name="T60" fmla="*/ 2147483646 w 757"/>
                              <a:gd name="T61" fmla="*/ 2147483646 h 577"/>
                              <a:gd name="T62" fmla="*/ 2147483646 w 757"/>
                              <a:gd name="T63" fmla="*/ 2147483646 h 577"/>
                              <a:gd name="T64" fmla="*/ 2147483646 w 757"/>
                              <a:gd name="T65" fmla="*/ 2147483646 h 577"/>
                              <a:gd name="T66" fmla="*/ 2147483646 w 757"/>
                              <a:gd name="T67" fmla="*/ 2147483646 h 577"/>
                              <a:gd name="T68" fmla="*/ 2147483646 w 757"/>
                              <a:gd name="T69" fmla="*/ 2147483646 h 577"/>
                              <a:gd name="T70" fmla="*/ 2147483646 w 757"/>
                              <a:gd name="T71" fmla="*/ 2147483646 h 5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7" h="577">
                                <a:moveTo>
                                  <a:pt x="30" y="463"/>
                                </a:moveTo>
                                <a:lnTo>
                                  <a:pt x="36" y="415"/>
                                </a:lnTo>
                                <a:lnTo>
                                  <a:pt x="30" y="385"/>
                                </a:lnTo>
                                <a:lnTo>
                                  <a:pt x="6" y="307"/>
                                </a:lnTo>
                                <a:lnTo>
                                  <a:pt x="6" y="283"/>
                                </a:lnTo>
                                <a:lnTo>
                                  <a:pt x="0" y="247"/>
                                </a:lnTo>
                                <a:lnTo>
                                  <a:pt x="6" y="217"/>
                                </a:lnTo>
                                <a:lnTo>
                                  <a:pt x="30" y="193"/>
                                </a:lnTo>
                                <a:lnTo>
                                  <a:pt x="78" y="175"/>
                                </a:lnTo>
                                <a:lnTo>
                                  <a:pt x="114" y="151"/>
                                </a:lnTo>
                                <a:lnTo>
                                  <a:pt x="144" y="145"/>
                                </a:lnTo>
                                <a:lnTo>
                                  <a:pt x="156" y="109"/>
                                </a:lnTo>
                                <a:lnTo>
                                  <a:pt x="180" y="97"/>
                                </a:lnTo>
                                <a:lnTo>
                                  <a:pt x="204" y="90"/>
                                </a:lnTo>
                                <a:lnTo>
                                  <a:pt x="240" y="60"/>
                                </a:lnTo>
                                <a:lnTo>
                                  <a:pt x="264" y="48"/>
                                </a:lnTo>
                                <a:lnTo>
                                  <a:pt x="282" y="60"/>
                                </a:lnTo>
                                <a:lnTo>
                                  <a:pt x="300" y="66"/>
                                </a:lnTo>
                                <a:lnTo>
                                  <a:pt x="312" y="42"/>
                                </a:lnTo>
                                <a:lnTo>
                                  <a:pt x="330" y="24"/>
                                </a:lnTo>
                                <a:lnTo>
                                  <a:pt x="360" y="18"/>
                                </a:lnTo>
                                <a:lnTo>
                                  <a:pt x="372" y="0"/>
                                </a:lnTo>
                                <a:lnTo>
                                  <a:pt x="396" y="6"/>
                                </a:lnTo>
                                <a:lnTo>
                                  <a:pt x="438" y="12"/>
                                </a:lnTo>
                                <a:lnTo>
                                  <a:pt x="432" y="36"/>
                                </a:lnTo>
                                <a:lnTo>
                                  <a:pt x="420" y="66"/>
                                </a:lnTo>
                                <a:lnTo>
                                  <a:pt x="438" y="78"/>
                                </a:lnTo>
                                <a:lnTo>
                                  <a:pt x="468" y="78"/>
                                </a:lnTo>
                                <a:lnTo>
                                  <a:pt x="492" y="115"/>
                                </a:lnTo>
                                <a:lnTo>
                                  <a:pt x="510" y="109"/>
                                </a:lnTo>
                                <a:lnTo>
                                  <a:pt x="540" y="90"/>
                                </a:lnTo>
                                <a:lnTo>
                                  <a:pt x="540" y="30"/>
                                </a:lnTo>
                                <a:lnTo>
                                  <a:pt x="564" y="0"/>
                                </a:lnTo>
                                <a:lnTo>
                                  <a:pt x="576" y="42"/>
                                </a:lnTo>
                                <a:lnTo>
                                  <a:pt x="582" y="54"/>
                                </a:lnTo>
                                <a:lnTo>
                                  <a:pt x="594" y="60"/>
                                </a:lnTo>
                                <a:lnTo>
                                  <a:pt x="612" y="121"/>
                                </a:lnTo>
                                <a:lnTo>
                                  <a:pt x="642" y="151"/>
                                </a:lnTo>
                                <a:lnTo>
                                  <a:pt x="678" y="163"/>
                                </a:lnTo>
                                <a:lnTo>
                                  <a:pt x="690" y="199"/>
                                </a:lnTo>
                                <a:lnTo>
                                  <a:pt x="708" y="211"/>
                                </a:lnTo>
                                <a:lnTo>
                                  <a:pt x="714" y="241"/>
                                </a:lnTo>
                                <a:lnTo>
                                  <a:pt x="751" y="265"/>
                                </a:lnTo>
                                <a:lnTo>
                                  <a:pt x="751" y="289"/>
                                </a:lnTo>
                                <a:lnTo>
                                  <a:pt x="757" y="325"/>
                                </a:lnTo>
                                <a:lnTo>
                                  <a:pt x="757" y="379"/>
                                </a:lnTo>
                                <a:lnTo>
                                  <a:pt x="714" y="469"/>
                                </a:lnTo>
                                <a:lnTo>
                                  <a:pt x="696" y="523"/>
                                </a:lnTo>
                                <a:lnTo>
                                  <a:pt x="696" y="547"/>
                                </a:lnTo>
                                <a:lnTo>
                                  <a:pt x="684" y="547"/>
                                </a:lnTo>
                                <a:lnTo>
                                  <a:pt x="660" y="559"/>
                                </a:lnTo>
                                <a:lnTo>
                                  <a:pt x="636" y="577"/>
                                </a:lnTo>
                                <a:lnTo>
                                  <a:pt x="618" y="577"/>
                                </a:lnTo>
                                <a:lnTo>
                                  <a:pt x="594" y="559"/>
                                </a:lnTo>
                                <a:lnTo>
                                  <a:pt x="576" y="571"/>
                                </a:lnTo>
                                <a:lnTo>
                                  <a:pt x="534" y="553"/>
                                </a:lnTo>
                                <a:lnTo>
                                  <a:pt x="498" y="535"/>
                                </a:lnTo>
                                <a:lnTo>
                                  <a:pt x="480" y="505"/>
                                </a:lnTo>
                                <a:lnTo>
                                  <a:pt x="468" y="481"/>
                                </a:lnTo>
                                <a:lnTo>
                                  <a:pt x="444" y="487"/>
                                </a:lnTo>
                                <a:lnTo>
                                  <a:pt x="420" y="463"/>
                                </a:lnTo>
                                <a:lnTo>
                                  <a:pt x="378" y="421"/>
                                </a:lnTo>
                                <a:lnTo>
                                  <a:pt x="312" y="409"/>
                                </a:lnTo>
                                <a:lnTo>
                                  <a:pt x="264" y="415"/>
                                </a:lnTo>
                                <a:lnTo>
                                  <a:pt x="204" y="433"/>
                                </a:lnTo>
                                <a:lnTo>
                                  <a:pt x="198" y="451"/>
                                </a:lnTo>
                                <a:lnTo>
                                  <a:pt x="162" y="457"/>
                                </a:lnTo>
                                <a:lnTo>
                                  <a:pt x="138" y="457"/>
                                </a:lnTo>
                                <a:lnTo>
                                  <a:pt x="120" y="475"/>
                                </a:lnTo>
                                <a:lnTo>
                                  <a:pt x="84" y="487"/>
                                </a:lnTo>
                                <a:lnTo>
                                  <a:pt x="60" y="487"/>
                                </a:lnTo>
                                <a:lnTo>
                                  <a:pt x="30" y="463"/>
                                </a:lnTo>
                                <a:close/>
                              </a:path>
                            </a:pathLst>
                          </a:custGeom>
                          <a:grpFill/>
                          <a:ln w="12700" cap="flat" cmpd="sng">
                            <a:solidFill>
                              <a:schemeClr val="tx1"/>
                            </a:solidFill>
                            <a:prstDash val="solid"/>
                            <a:round/>
                            <a:headEnd type="none" w="med" len="med"/>
                            <a:tailEnd type="none" w="med" len="med"/>
                          </a:ln>
                          <a:effectLst/>
                        </wps:spPr>
                        <wps:bodyPr/>
                      </wps:wsp>
                      <wps:wsp>
                        <wps:cNvPr id="46" name="Freeform 269"/>
                        <wps:cNvSpPr>
                          <a:spLocks/>
                        </wps:cNvSpPr>
                        <wps:spPr bwMode="auto">
                          <a:xfrm>
                            <a:off x="450073" y="405605"/>
                            <a:ext cx="50800" cy="48260"/>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noFill/>
                          <a:ln w="12700">
                            <a:solidFill>
                              <a:schemeClr val="tx1"/>
                            </a:solidFill>
                            <a:round/>
                            <a:headEnd/>
                            <a:tailEnd/>
                          </a:ln>
                        </wps:spPr>
                        <wps:bodyPr/>
                      </wps:wsp>
                    </wpg:wgp>
                  </a:graphicData>
                </a:graphic>
              </wp:anchor>
            </w:drawing>
          </mc:Choice>
          <mc:Fallback>
            <w:pict>
              <v:group w14:anchorId="720DC395" id="Group 40" o:spid="_x0000_s1026" alt="Decorative" style="position:absolute;margin-left:2.35pt;margin-top:-19.35pt;width:45.75pt;height:35.75pt;z-index:251658289;mso-position-horizontal-relative:margin" coordsize="581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">
                <v:shape id="Freeform 268" o:spid="_x0000_s1027" style="position:absolute;width:5811;height:3807;visibility:visible;mso-wrap-style:square;v-text-anchor:top" coordsize="7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" path="m30,463r6,-48l30,385,6,307r,-24l,247,6,217,30,193,78,175r36,-24l144,145r12,-36l180,97r24,-7l240,60,264,48r18,12l300,66,312,42,330,24r30,-6l372,r24,6l438,12r-6,24l420,66r18,12l468,78r24,37l510,109,540,90r,-60l564,r12,42l582,54r12,6l612,121r30,30l678,163r12,36l708,211r6,30l751,265r,24l757,325r,54l714,469r-18,54l696,547r-12,l660,559r-24,18l618,577,594,559r-18,12l534,553,498,535,480,505,468,481r-24,6l420,463,378,421,312,409r-48,6l204,433r-6,18l162,457r-24,l120,475,84,487r-24,l30,463xe" filled="f" strokecolor="black [3213]" strokeweight="1pt">
                  <v:path arrowok="t" o:connecttype="custom" o:connectlocs="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69" o:spid="_x0000_s1028" style="position:absolute;left:4500;top:4056;width:508;height:482;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" path="m,18l12,48r6,24l36,91,48,66,66,30,66,,42,12,,18xe" filled="f" strokecolor="black [3213]" strokeweight="1pt">
                  <v:path arrowok="t" o:connecttype="custom" o:connectlocs="0,2147483646;2147483646,2147483646;2147483646,2147483646;2147483646,2147483646;2147483646,2147483646;2147483646,2147483646;2147483646,0;2147483646,2147483646;0,2147483646" o:connectangles="0,0,0,0,0,0,0,0,0"/>
                </v:shape>
                <w10:wrap anchorx="margin"/>
              </v:group>
            </w:pict>
          </mc:Fallback>
        </mc:AlternateContent>
      </w:r>
      <w:r w:rsidR="003C52B2" w:rsidRPr="00B50802">
        <w:rPr>
          <w:rFonts w:ascii="Arial" w:hAnsi="Arial" w:cs="Arial"/>
          <w:b/>
          <w:bCs/>
          <w:color w:val="auto"/>
          <w:sz w:val="22"/>
          <w:szCs w:val="22"/>
        </w:rPr>
        <w:t>Addressing workforce shortages</w:t>
      </w:r>
    </w:p>
    <w:p w14:paraId="71D9B1CF" w14:textId="77777777" w:rsidR="003C52B2" w:rsidRPr="00B50802" w:rsidRDefault="003C52B2" w:rsidP="00E20AA6">
      <w:pPr>
        <w:spacing w:after="240" w:line="240" w:lineRule="auto"/>
        <w:rPr>
          <w:b/>
          <w:i/>
          <w:iCs/>
        </w:rPr>
      </w:pPr>
      <w:r w:rsidRPr="00B50802">
        <w:rPr>
          <w:b/>
          <w:i/>
          <w:iCs/>
        </w:rPr>
        <w:t>Australian Skills Guarantee</w:t>
      </w:r>
    </w:p>
    <w:p w14:paraId="47875998" w14:textId="77777777" w:rsidR="003C52B2" w:rsidRPr="00B50802" w:rsidRDefault="003C52B2" w:rsidP="00E20AA6">
      <w:r w:rsidRPr="00B50802">
        <w:rPr>
          <w:rFonts w:cs="Arial"/>
        </w:rPr>
        <w:t xml:space="preserve">The Australian Government announced in the October 2022–23 Budget </w:t>
      </w:r>
      <w:r w:rsidRPr="00B50802">
        <w:t>that the Australian Skills Guarantee will apply to Australian Government funded housing projects in the National Housing Accord. The Australian Skills Guarantee will ensure that 1 in 10 workers on major Australian Government funded projects are an apprentice, trainee or paid cadet, and include targets for women.</w:t>
      </w:r>
    </w:p>
    <w:p w14:paraId="2E84FEC0" w14:textId="77777777" w:rsidR="003C52B2" w:rsidRPr="00B50802" w:rsidRDefault="003C52B2" w:rsidP="00E20AA6">
      <w:pPr>
        <w:spacing w:after="240" w:line="240" w:lineRule="auto"/>
        <w:rPr>
          <w:b/>
          <w:i/>
          <w:iCs/>
        </w:rPr>
      </w:pPr>
      <w:r w:rsidRPr="00B50802">
        <w:rPr>
          <w:b/>
          <w:i/>
          <w:iCs/>
        </w:rPr>
        <w:t>Employment White Paper</w:t>
      </w:r>
    </w:p>
    <w:p w14:paraId="3F2DE01F" w14:textId="77777777" w:rsidR="003C52B2" w:rsidRPr="00B50802" w:rsidRDefault="003C52B2" w:rsidP="00E20AA6">
      <w:r w:rsidRPr="00B50802">
        <w:t>The Australian Government is also developing the Employment White Paper, which will guide the future of Australia’s skills and labour market and address topics including the future of work, job security, labour supply, and skills and training.</w:t>
      </w:r>
    </w:p>
    <w:p w14:paraId="5DFBCCF7" w14:textId="77777777" w:rsidR="003C52B2" w:rsidRPr="00B50802" w:rsidRDefault="003C52B2" w:rsidP="00E20AA6">
      <w:pPr>
        <w:spacing w:after="240" w:line="240" w:lineRule="auto"/>
        <w:rPr>
          <w:b/>
          <w:i/>
          <w:iCs/>
        </w:rPr>
      </w:pPr>
      <w:r w:rsidRPr="00B50802">
        <w:rPr>
          <w:b/>
          <w:i/>
          <w:iCs/>
        </w:rPr>
        <w:t xml:space="preserve">Australian Apprenticeships Incentives System </w:t>
      </w:r>
    </w:p>
    <w:p w14:paraId="1FF3196B" w14:textId="746E5781" w:rsidR="003C52B2" w:rsidRPr="00B50802" w:rsidRDefault="003C52B2" w:rsidP="00E20AA6">
      <w:r w:rsidRPr="00B50802">
        <w:t xml:space="preserve">Further, the Australian Government is investing $2.3 billion over 4 years from 2022–23 </w:t>
      </w:r>
      <w:r w:rsidRPr="00B50802">
        <w:br/>
        <w:t xml:space="preserve">to strengthen the Australian Apprenticeships Incentives System. Investment focuses </w:t>
      </w:r>
      <w:r w:rsidRPr="00B50802">
        <w:br/>
        <w:t xml:space="preserve">on the Australian Apprenticeships Priority List, targeting occupations in demand </w:t>
      </w:r>
      <w:r w:rsidRPr="00B50802">
        <w:br/>
        <w:t>to support a pipeline of skilled workers, including construction workers, plasterers and electricians.</w:t>
      </w:r>
    </w:p>
    <w:p w14:paraId="4C22D0BF" w14:textId="77777777" w:rsidR="003C52B2" w:rsidRPr="00B50802" w:rsidRDefault="003C52B2" w:rsidP="003C52B2"/>
    <w:p w14:paraId="1675C6B9" w14:textId="3C852CC1" w:rsidR="002A75EA" w:rsidRPr="00B50802" w:rsidRDefault="00FB76D3" w:rsidP="002A75EA">
      <w:r w:rsidRPr="00B50802">
        <w:br w:type="page"/>
      </w:r>
    </w:p>
    <w:bookmarkStart w:id="1801" w:name="_Toc141972486"/>
    <w:bookmarkStart w:id="1802" w:name="_Toc141972699"/>
    <w:bookmarkStart w:id="1803" w:name="_Toc141972973"/>
    <w:bookmarkStart w:id="1804" w:name="_Toc142042533"/>
    <w:bookmarkStart w:id="1805" w:name="_Toc142042806"/>
    <w:p w14:paraId="246158CB" w14:textId="5EC94520" w:rsidR="00E20AA6" w:rsidRPr="009274D8" w:rsidRDefault="001A115C" w:rsidP="009274D8">
      <w:pPr>
        <w:pStyle w:val="Bullet"/>
        <w:rPr>
          <w:rFonts w:ascii="Georgia" w:hAnsi="Georgia"/>
          <w:b/>
        </w:rPr>
      </w:pPr>
      <w:r w:rsidRPr="009274D8">
        <w:rPr>
          <w:rFonts w:ascii="Georgia" w:hAnsi="Georgia" w:cs="Arial"/>
          <w:b/>
          <w:noProof/>
          <w:sz w:val="28"/>
        </w:rPr>
        <w:lastRenderedPageBreak/>
        <mc:AlternateContent>
          <mc:Choice Requires="wps">
            <w:drawing>
              <wp:anchor distT="0" distB="0" distL="114300" distR="114300" simplePos="0" relativeHeight="251658269" behindDoc="1" locked="0" layoutInCell="1" allowOverlap="1" wp14:anchorId="7A7DCE3E" wp14:editId="206372F1">
                <wp:simplePos x="0" y="0"/>
                <wp:positionH relativeFrom="margin">
                  <wp:posOffset>-28575</wp:posOffset>
                </wp:positionH>
                <wp:positionV relativeFrom="paragraph">
                  <wp:posOffset>-52593</wp:posOffset>
                </wp:positionV>
                <wp:extent cx="6121400" cy="5391397"/>
                <wp:effectExtent l="0" t="0" r="12700" b="19050"/>
                <wp:wrapNone/>
                <wp:docPr id="48" name="Rectangle 48" descr="Decorative"/>
                <wp:cNvGraphicFramePr/>
                <a:graphic xmlns:a="http://schemas.openxmlformats.org/drawingml/2006/main">
                  <a:graphicData uri="http://schemas.microsoft.com/office/word/2010/wordprocessingShape">
                    <wps:wsp>
                      <wps:cNvSpPr/>
                      <wps:spPr>
                        <a:xfrm>
                          <a:off x="0" y="0"/>
                          <a:ext cx="6121400" cy="5391397"/>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42F58" id="Rectangle 48" o:spid="_x0000_s1026" alt="Decorative" style="position:absolute;margin-left:-2.25pt;margin-top:-4.15pt;width:482pt;height:424.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" fillcolor="#daeef3" strokecolor="black [3213]" strokeweight=".25pt">
                <w10:wrap anchorx="margin"/>
              </v:rect>
            </w:pict>
          </mc:Fallback>
        </mc:AlternateContent>
      </w:r>
      <w:r w:rsidR="00E20AA6" w:rsidRPr="009274D8">
        <w:rPr>
          <w:rFonts w:ascii="Georgia" w:hAnsi="Georgia"/>
          <w:b/>
          <w:sz w:val="28"/>
        </w:rPr>
        <w:t>Questions for consideration</w:t>
      </w:r>
      <w:bookmarkEnd w:id="1801"/>
      <w:bookmarkEnd w:id="1802"/>
      <w:bookmarkEnd w:id="1803"/>
      <w:bookmarkEnd w:id="1804"/>
      <w:bookmarkEnd w:id="1805"/>
    </w:p>
    <w:p w14:paraId="45982C47" w14:textId="23B0A710" w:rsidR="00E20AA6" w:rsidRPr="00B50802" w:rsidRDefault="00E20AA6" w:rsidP="00F17FAF">
      <w:pPr>
        <w:numPr>
          <w:ilvl w:val="0"/>
          <w:numId w:val="14"/>
        </w:numPr>
        <w:rPr>
          <w:rFonts w:cs="Arial"/>
        </w:rPr>
      </w:pPr>
      <w:r w:rsidRPr="00B50802">
        <w:rPr>
          <w:rFonts w:cs="Arial"/>
        </w:rPr>
        <w:t>What should the most important (long-term) and/or immediate (short-term) housing market policy focus be, across all levels of government, over the next 10 years?</w:t>
      </w:r>
    </w:p>
    <w:p w14:paraId="79E77309" w14:textId="5FE12D48" w:rsidR="00E20AA6" w:rsidRPr="00B50802" w:rsidRDefault="00E20AA6" w:rsidP="00F17FAF">
      <w:pPr>
        <w:numPr>
          <w:ilvl w:val="0"/>
          <w:numId w:val="14"/>
        </w:numPr>
        <w:rPr>
          <w:rFonts w:cs="Arial"/>
        </w:rPr>
      </w:pPr>
      <w:r w:rsidRPr="00B50802">
        <w:rPr>
          <w:rFonts w:cs="Arial"/>
        </w:rPr>
        <w:t>How can the utilisation of existing properties be improved? How can governments incentivise improved utilisation of existing properties?</w:t>
      </w:r>
    </w:p>
    <w:p w14:paraId="3F3518E8" w14:textId="6CAEB9A8" w:rsidR="00E20AA6" w:rsidRPr="00B50802" w:rsidRDefault="00E20AA6" w:rsidP="00F17FAF">
      <w:pPr>
        <w:numPr>
          <w:ilvl w:val="0"/>
          <w:numId w:val="14"/>
        </w:numPr>
        <w:ind w:left="714" w:hanging="357"/>
        <w:rPr>
          <w:rFonts w:cs="Arial"/>
        </w:rPr>
      </w:pPr>
      <w:r w:rsidRPr="00B50802">
        <w:rPr>
          <w:rFonts w:cs="Arial"/>
        </w:rPr>
        <w:t>How do supply, demand and affordability challenges differ in urban</w:t>
      </w:r>
      <w:r w:rsidRPr="00B50802" w:rsidDel="00F97F02">
        <w:rPr>
          <w:rFonts w:cs="Arial"/>
        </w:rPr>
        <w:t xml:space="preserve"> and </w:t>
      </w:r>
      <w:r w:rsidRPr="00B50802">
        <w:rPr>
          <w:rFonts w:cs="Arial"/>
        </w:rPr>
        <w:t xml:space="preserve">regional/remote areas? How </w:t>
      </w:r>
      <w:r w:rsidR="00BA064D" w:rsidRPr="00B50802">
        <w:rPr>
          <w:rFonts w:cs="Arial"/>
        </w:rPr>
        <w:t xml:space="preserve">could </w:t>
      </w:r>
      <w:r w:rsidRPr="00B50802">
        <w:rPr>
          <w:rFonts w:cs="Arial"/>
        </w:rPr>
        <w:t>these differences be taken into account when designing policy?</w:t>
      </w:r>
    </w:p>
    <w:p w14:paraId="730940D6" w14:textId="77777777" w:rsidR="00E20AA6" w:rsidRPr="00B50802" w:rsidRDefault="00E20AA6" w:rsidP="00E20AA6">
      <w:pPr>
        <w:spacing w:after="120"/>
        <w:rPr>
          <w:rFonts w:cs="Arial"/>
          <w:b/>
        </w:rPr>
      </w:pPr>
      <w:r w:rsidRPr="00B50802">
        <w:rPr>
          <w:rFonts w:cs="Arial"/>
          <w:b/>
        </w:rPr>
        <w:t>Home ownership</w:t>
      </w:r>
    </w:p>
    <w:p w14:paraId="12C1956B" w14:textId="77777777" w:rsidR="00E20AA6" w:rsidRPr="00B50802" w:rsidRDefault="00E20AA6" w:rsidP="00F17FAF">
      <w:pPr>
        <w:numPr>
          <w:ilvl w:val="0"/>
          <w:numId w:val="14"/>
        </w:numPr>
        <w:ind w:left="714" w:hanging="357"/>
        <w:rPr>
          <w:rFonts w:cs="Arial"/>
        </w:rPr>
      </w:pPr>
      <w:r w:rsidRPr="00B50802">
        <w:rPr>
          <w:rFonts w:cs="Arial"/>
        </w:rPr>
        <w:t>How can the use and release of land encourage residential growth in well located areas (i.e. close to infrastructure, jobs and services, and resilient to natural hazards) in the short, medium and long-term?</w:t>
      </w:r>
    </w:p>
    <w:p w14:paraId="278DE85D" w14:textId="44EBDFDD" w:rsidR="00E20AA6" w:rsidRPr="00B50802" w:rsidRDefault="00BA064D" w:rsidP="00F17FAF">
      <w:pPr>
        <w:numPr>
          <w:ilvl w:val="0"/>
          <w:numId w:val="14"/>
        </w:numPr>
        <w:ind w:left="714" w:hanging="357"/>
        <w:rPr>
          <w:rFonts w:cs="Arial"/>
        </w:rPr>
      </w:pPr>
      <w:r w:rsidRPr="00B50802">
        <w:rPr>
          <w:rFonts w:cs="Arial"/>
        </w:rPr>
        <w:t xml:space="preserve">Are there ways to improve </w:t>
      </w:r>
      <w:r w:rsidR="00E20AA6" w:rsidRPr="00B50802">
        <w:rPr>
          <w:rFonts w:cs="Arial"/>
        </w:rPr>
        <w:t>supply chain issues to support more efficient housing supply and reduce building costs?</w:t>
      </w:r>
    </w:p>
    <w:p w14:paraId="0A17FDFF" w14:textId="078E54C1" w:rsidR="00E20AA6" w:rsidRPr="00B50802" w:rsidRDefault="00E20AA6" w:rsidP="00F17FAF">
      <w:pPr>
        <w:numPr>
          <w:ilvl w:val="0"/>
          <w:numId w:val="14"/>
        </w:numPr>
        <w:ind w:left="714" w:hanging="357"/>
        <w:rPr>
          <w:rFonts w:cs="Arial"/>
        </w:rPr>
      </w:pPr>
      <w:r w:rsidRPr="00B50802">
        <w:rPr>
          <w:rFonts w:cs="Arial"/>
        </w:rPr>
        <w:t>What role can housing by design play in improving housing supply and affordability?</w:t>
      </w:r>
    </w:p>
    <w:p w14:paraId="5577DAAE" w14:textId="77777777" w:rsidR="00E20AA6" w:rsidRPr="00B50802" w:rsidRDefault="00E20AA6" w:rsidP="00E20AA6">
      <w:pPr>
        <w:spacing w:after="120"/>
        <w:rPr>
          <w:rFonts w:cs="Arial"/>
          <w:b/>
          <w:bCs/>
        </w:rPr>
      </w:pPr>
      <w:r w:rsidRPr="00B50802">
        <w:rPr>
          <w:rFonts w:cs="Arial"/>
          <w:b/>
        </w:rPr>
        <w:t>Rental</w:t>
      </w:r>
      <w:r w:rsidR="008A1B48" w:rsidRPr="00B50802">
        <w:rPr>
          <w:rFonts w:cs="Arial"/>
          <w:b/>
        </w:rPr>
        <w:t xml:space="preserve"> Properties</w:t>
      </w:r>
      <w:r w:rsidRPr="00B50802">
        <w:rPr>
          <w:rFonts w:cs="Arial"/>
          <w:b/>
          <w:bCs/>
        </w:rPr>
        <w:t xml:space="preserve"> </w:t>
      </w:r>
    </w:p>
    <w:p w14:paraId="720D2424" w14:textId="77777777" w:rsidR="00E20AA6" w:rsidRPr="00B50802" w:rsidRDefault="00E20AA6" w:rsidP="00F17FAF">
      <w:pPr>
        <w:numPr>
          <w:ilvl w:val="0"/>
          <w:numId w:val="14"/>
        </w:numPr>
        <w:ind w:left="714" w:hanging="357"/>
        <w:rPr>
          <w:rFonts w:eastAsiaTheme="majorEastAsia" w:cstheme="majorBidi"/>
        </w:rPr>
      </w:pPr>
      <w:r w:rsidRPr="00B50802">
        <w:rPr>
          <w:rFonts w:cs="Arial"/>
        </w:rPr>
        <w:t>How can flexibility, accessibility (particularly in the physical environment), affordability and security be improved in the rental private market, particularly for low-income earners?</w:t>
      </w:r>
    </w:p>
    <w:p w14:paraId="7D307E99" w14:textId="2CA791DF" w:rsidR="002A75EA" w:rsidRPr="00B50802" w:rsidRDefault="00E20AA6" w:rsidP="00F17FAF">
      <w:pPr>
        <w:numPr>
          <w:ilvl w:val="0"/>
          <w:numId w:val="14"/>
        </w:numPr>
        <w:ind w:left="714" w:hanging="357"/>
        <w:rPr>
          <w:rFonts w:eastAsiaTheme="majorEastAsia" w:cstheme="majorBidi"/>
        </w:rPr>
      </w:pPr>
      <w:r w:rsidRPr="00B50802">
        <w:rPr>
          <w:rFonts w:cs="Arial"/>
        </w:rPr>
        <w:t>Are further wrap-around supports required to support vulnerable Australians in the private rental market to maintain their tenancies? Are there any examples of effective models that could be scaled up?</w:t>
      </w:r>
    </w:p>
    <w:p w14:paraId="4875A7CC" w14:textId="77777777" w:rsidR="00E20AA6" w:rsidRPr="00B50802" w:rsidRDefault="00E20AA6">
      <w:pPr>
        <w:rPr>
          <w:rFonts w:ascii="Georgia" w:eastAsiaTheme="majorEastAsia" w:hAnsi="Georgia" w:cstheme="majorBidi"/>
          <w:color w:val="005A70"/>
          <w:sz w:val="36"/>
          <w:szCs w:val="36"/>
        </w:rPr>
      </w:pPr>
      <w:bookmarkStart w:id="1806" w:name="_Toc132293095"/>
      <w:bookmarkStart w:id="1807" w:name="_Toc132293472"/>
      <w:bookmarkStart w:id="1808" w:name="_Toc132293561"/>
      <w:bookmarkStart w:id="1809" w:name="_Toc132360628"/>
      <w:bookmarkStart w:id="1810" w:name="_Toc132708342"/>
      <w:bookmarkStart w:id="1811" w:name="_Toc133839376"/>
      <w:bookmarkStart w:id="1812" w:name="_Toc133840281"/>
      <w:bookmarkStart w:id="1813" w:name="_Toc132294175"/>
      <w:r w:rsidRPr="00B50802">
        <w:br w:type="page"/>
      </w:r>
    </w:p>
    <w:p w14:paraId="64B30C75" w14:textId="77777777" w:rsidR="00CF32CF" w:rsidRPr="00B50802" w:rsidRDefault="00CF32CF" w:rsidP="00DB045F">
      <w:pPr>
        <w:pStyle w:val="Heading2"/>
        <w:rPr>
          <w:rStyle w:val="Strong"/>
        </w:rPr>
      </w:pPr>
      <w:bookmarkStart w:id="1814" w:name="_Toc135162333"/>
      <w:bookmarkStart w:id="1815" w:name="_Toc141972487"/>
      <w:bookmarkStart w:id="1816" w:name="_Toc141972700"/>
      <w:bookmarkStart w:id="1817" w:name="_Toc141972974"/>
      <w:bookmarkStart w:id="1818" w:name="_Toc142042534"/>
      <w:bookmarkStart w:id="1819" w:name="_Toc142042807"/>
      <w:bookmarkStart w:id="1820" w:name="_Toc142051874"/>
      <w:r w:rsidRPr="00B50802">
        <w:lastRenderedPageBreak/>
        <w:t>3.</w:t>
      </w:r>
      <w:r w:rsidR="00324BFB" w:rsidRPr="00B50802">
        <w:t>6</w:t>
      </w:r>
      <w:r w:rsidRPr="00B50802">
        <w:t xml:space="preserve"> The importance of planning, zoning and development</w:t>
      </w:r>
      <w:bookmarkEnd w:id="1806"/>
      <w:bookmarkEnd w:id="1807"/>
      <w:bookmarkEnd w:id="1808"/>
      <w:bookmarkEnd w:id="1809"/>
      <w:bookmarkEnd w:id="1810"/>
      <w:bookmarkEnd w:id="1811"/>
      <w:bookmarkEnd w:id="1812"/>
      <w:bookmarkEnd w:id="1814"/>
      <w:bookmarkEnd w:id="1815"/>
      <w:bookmarkEnd w:id="1816"/>
      <w:bookmarkEnd w:id="1817"/>
      <w:bookmarkEnd w:id="1818"/>
      <w:bookmarkEnd w:id="1819"/>
      <w:bookmarkEnd w:id="1820"/>
    </w:p>
    <w:p w14:paraId="43F1CC0E" w14:textId="77777777" w:rsidR="00CF32CF" w:rsidRPr="009274D8" w:rsidRDefault="0065345F" w:rsidP="009274D8">
      <w:pPr>
        <w:pStyle w:val="Bullet"/>
        <w:spacing w:after="200"/>
        <w:ind w:left="522" w:hanging="522"/>
        <w:rPr>
          <w:rFonts w:ascii="Georgia" w:hAnsi="Georgia"/>
          <w:b/>
          <w:sz w:val="28"/>
        </w:rPr>
      </w:pPr>
      <w:bookmarkStart w:id="1821" w:name="_Toc134784720"/>
      <w:bookmarkStart w:id="1822" w:name="_Toc135035239"/>
      <w:bookmarkStart w:id="1823" w:name="_Toc135060916"/>
      <w:bookmarkStart w:id="1824" w:name="_Toc135161388"/>
      <w:bookmarkStart w:id="1825" w:name="_Toc135162334"/>
      <w:bookmarkStart w:id="1826" w:name="_Toc135162508"/>
      <w:bookmarkStart w:id="1827" w:name="_Toc135206087"/>
      <w:bookmarkStart w:id="1828" w:name="_Toc135206172"/>
      <w:bookmarkStart w:id="1829" w:name="_Toc139464330"/>
      <w:bookmarkStart w:id="1830" w:name="_Toc141969865"/>
      <w:bookmarkStart w:id="1831" w:name="_Toc141972488"/>
      <w:bookmarkStart w:id="1832" w:name="_Toc141972701"/>
      <w:bookmarkStart w:id="1833" w:name="_Toc141972975"/>
      <w:bookmarkStart w:id="1834" w:name="_Toc142042535"/>
      <w:bookmarkStart w:id="1835" w:name="_Toc142042808"/>
      <w:bookmarkEnd w:id="1813"/>
      <w:r w:rsidRPr="009274D8">
        <w:rPr>
          <w:rFonts w:ascii="Georgia" w:hAnsi="Georgia"/>
          <w:b/>
          <w:sz w:val="28"/>
        </w:rPr>
        <w:t>L</w:t>
      </w:r>
      <w:r w:rsidR="00CF32CF" w:rsidRPr="009274D8">
        <w:rPr>
          <w:rFonts w:ascii="Georgia" w:hAnsi="Georgia"/>
          <w:b/>
          <w:sz w:val="28"/>
        </w:rPr>
        <w:t>and use planning</w:t>
      </w:r>
      <w:r w:rsidRPr="009274D8">
        <w:rPr>
          <w:rFonts w:ascii="Georgia" w:hAnsi="Georgia"/>
          <w:b/>
          <w:sz w:val="28"/>
        </w:rPr>
        <w:t xml:space="preserve"> and zoning</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9274D8">
        <w:rPr>
          <w:rFonts w:ascii="Georgia" w:hAnsi="Georgia"/>
          <w:b/>
          <w:sz w:val="28"/>
        </w:rPr>
        <w:t xml:space="preserve"> </w:t>
      </w:r>
    </w:p>
    <w:p w14:paraId="2E2E0FFA" w14:textId="77777777" w:rsidR="00CF32CF" w:rsidRPr="00B50802" w:rsidRDefault="00CF32CF" w:rsidP="00CF32CF">
      <w:pPr>
        <w:rPr>
          <w:rFonts w:cs="Arial"/>
          <w:color w:val="212529"/>
          <w:shd w:val="clear" w:color="auto" w:fill="FFFFFF"/>
        </w:rPr>
      </w:pPr>
      <w:r w:rsidRPr="00B50802">
        <w:rPr>
          <w:rFonts w:cs="Arial"/>
          <w:color w:val="212529"/>
          <w:shd w:val="clear" w:color="auto" w:fill="FFFFFF"/>
        </w:rPr>
        <w:t xml:space="preserve">Land use planning and zoning play an important role in the housing system by regulating the use of land and guiding future development. </w:t>
      </w:r>
    </w:p>
    <w:p w14:paraId="3827A9F6" w14:textId="77777777" w:rsidR="0065345F" w:rsidRPr="00B50802" w:rsidRDefault="00CF32CF" w:rsidP="00CF32CF">
      <w:pPr>
        <w:rPr>
          <w:rFonts w:cs="Arial"/>
          <w:color w:val="212529"/>
          <w:shd w:val="clear" w:color="auto" w:fill="FFFFFF"/>
        </w:rPr>
      </w:pPr>
      <w:r w:rsidRPr="00B50802">
        <w:rPr>
          <w:rFonts w:cs="Arial"/>
          <w:color w:val="212529"/>
          <w:shd w:val="clear" w:color="auto" w:fill="FFFFFF"/>
        </w:rPr>
        <w:t xml:space="preserve">Planning and zoning is the responsibility of state and local governments. Planning and land use regulations determine where housing can be built and the nature of housing. </w:t>
      </w:r>
    </w:p>
    <w:p w14:paraId="64B0086C" w14:textId="77777777" w:rsidR="00CF32CF" w:rsidRPr="00B50802" w:rsidRDefault="00CF32CF" w:rsidP="00CF32CF">
      <w:pPr>
        <w:rPr>
          <w:rFonts w:cs="Arial"/>
          <w:color w:val="212529"/>
          <w:shd w:val="clear" w:color="auto" w:fill="FFFFFF"/>
        </w:rPr>
      </w:pPr>
      <w:r w:rsidRPr="00B50802">
        <w:rPr>
          <w:rFonts w:cs="Arial"/>
          <w:color w:val="212529"/>
          <w:shd w:val="clear" w:color="auto" w:fill="FFFFFF"/>
        </w:rPr>
        <w:t>Responsibility for planning and land use regulation is shared between:</w:t>
      </w:r>
    </w:p>
    <w:p w14:paraId="50401111" w14:textId="77777777" w:rsidR="00CF32CF" w:rsidRPr="00B50802" w:rsidRDefault="0065345F" w:rsidP="00D8364B">
      <w:pPr>
        <w:pStyle w:val="Bullets"/>
        <w:numPr>
          <w:ilvl w:val="0"/>
          <w:numId w:val="9"/>
        </w:numPr>
      </w:pPr>
      <w:r w:rsidRPr="00B50802">
        <w:rPr>
          <w:color w:val="212529"/>
          <w:shd w:val="clear" w:color="auto" w:fill="FFFFFF"/>
        </w:rPr>
        <w:t>s</w:t>
      </w:r>
      <w:r w:rsidR="00CF32CF" w:rsidRPr="00B50802">
        <w:rPr>
          <w:color w:val="212529"/>
          <w:shd w:val="clear" w:color="auto" w:fill="FFFFFF"/>
        </w:rPr>
        <w:t xml:space="preserve">tate </w:t>
      </w:r>
      <w:r w:rsidR="00CF32CF" w:rsidRPr="00B50802">
        <w:t xml:space="preserve">governments </w:t>
      </w:r>
      <w:r w:rsidRPr="00B50802">
        <w:t xml:space="preserve">– </w:t>
      </w:r>
      <w:r w:rsidR="00CF32CF" w:rsidRPr="00B50802">
        <w:t>responsible for overarching planning and development policies, strategic plans for metropolitan and regional areas, releasing land for new developments, coordinating and investing in major infrastructure</w:t>
      </w:r>
    </w:p>
    <w:p w14:paraId="44DBA05A" w14:textId="77777777" w:rsidR="00CF32CF" w:rsidRPr="00B50802" w:rsidRDefault="0065345F" w:rsidP="00D8364B">
      <w:pPr>
        <w:pStyle w:val="Bullets"/>
        <w:numPr>
          <w:ilvl w:val="0"/>
          <w:numId w:val="9"/>
        </w:numPr>
        <w:rPr>
          <w:shd w:val="clear" w:color="auto" w:fill="FFFFFF"/>
        </w:rPr>
      </w:pPr>
      <w:r w:rsidRPr="00B50802">
        <w:t>l</w:t>
      </w:r>
      <w:r w:rsidR="00CF32CF" w:rsidRPr="00B50802">
        <w:t>ocal governm</w:t>
      </w:r>
      <w:r w:rsidR="00CF32CF" w:rsidRPr="00B50802">
        <w:rPr>
          <w:shd w:val="clear" w:color="auto" w:fill="FFFFFF"/>
        </w:rPr>
        <w:t xml:space="preserve">ents </w:t>
      </w:r>
      <w:r w:rsidRPr="00B50802">
        <w:t>–</w:t>
      </w:r>
      <w:r w:rsidR="00CF32CF" w:rsidRPr="00B50802">
        <w:rPr>
          <w:shd w:val="clear" w:color="auto" w:fill="FFFFFF"/>
        </w:rPr>
        <w:t xml:space="preserve"> responsible for developing and implementing land use plans </w:t>
      </w:r>
      <w:r w:rsidR="00CF32CF" w:rsidRPr="00B50802">
        <w:rPr>
          <w:shd w:val="clear" w:color="auto" w:fill="FFFFFF"/>
        </w:rPr>
        <w:br/>
        <w:t>at the local level and processing the majority of development proposals.</w:t>
      </w:r>
    </w:p>
    <w:p w14:paraId="38A37B1B" w14:textId="77777777" w:rsidR="00CF32CF" w:rsidRPr="00B50802" w:rsidRDefault="00CF32CF" w:rsidP="0065345F">
      <w:pPr>
        <w:rPr>
          <w:rStyle w:val="Strong"/>
          <w:b w:val="0"/>
          <w:bCs w:val="0"/>
          <w:color w:val="212529"/>
          <w:shd w:val="clear" w:color="auto" w:fill="FFFFFF"/>
        </w:rPr>
      </w:pPr>
      <w:r w:rsidRPr="00B50802">
        <w:rPr>
          <w:shd w:val="clear" w:color="auto" w:fill="FFFFFF"/>
        </w:rPr>
        <w:t xml:space="preserve">In maintaining these systems, state and local governments are pursuing various reforms to provide certainty, improve assessment timeframes, reduce red tape and deliver best outcomes. </w:t>
      </w:r>
    </w:p>
    <w:p w14:paraId="72B68F8D" w14:textId="77777777" w:rsidR="00CF32CF" w:rsidRPr="009274D8" w:rsidRDefault="00CF32CF" w:rsidP="009274D8">
      <w:pPr>
        <w:pStyle w:val="Bullet"/>
        <w:tabs>
          <w:tab w:val="clear" w:pos="520"/>
          <w:tab w:val="num" w:pos="0"/>
        </w:tabs>
        <w:spacing w:after="200"/>
        <w:ind w:left="0" w:firstLine="0"/>
        <w:rPr>
          <w:rFonts w:ascii="Georgia" w:hAnsi="Georgia"/>
          <w:b/>
          <w:sz w:val="28"/>
        </w:rPr>
      </w:pPr>
      <w:bookmarkStart w:id="1836" w:name="_Toc134784721"/>
      <w:bookmarkStart w:id="1837" w:name="_Toc135035240"/>
      <w:bookmarkStart w:id="1838" w:name="_Toc135060917"/>
      <w:bookmarkStart w:id="1839" w:name="_Toc135161389"/>
      <w:bookmarkStart w:id="1840" w:name="_Toc135162335"/>
      <w:bookmarkStart w:id="1841" w:name="_Toc135162509"/>
      <w:bookmarkStart w:id="1842" w:name="_Toc135206088"/>
      <w:bookmarkStart w:id="1843" w:name="_Toc135206173"/>
      <w:bookmarkStart w:id="1844" w:name="_Toc139464331"/>
      <w:bookmarkStart w:id="1845" w:name="_Toc141969866"/>
      <w:bookmarkStart w:id="1846" w:name="_Toc141972489"/>
      <w:bookmarkStart w:id="1847" w:name="_Toc141972702"/>
      <w:bookmarkStart w:id="1848" w:name="_Toc141972976"/>
      <w:bookmarkStart w:id="1849" w:name="_Toc142042536"/>
      <w:bookmarkStart w:id="1850" w:name="_Toc142042809"/>
      <w:r w:rsidRPr="009274D8">
        <w:rPr>
          <w:rFonts w:ascii="Georgia" w:hAnsi="Georgia"/>
          <w:b/>
          <w:sz w:val="28"/>
        </w:rPr>
        <w:t>The effects of planning, land use and zoning on the housing system</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sidRPr="009274D8">
        <w:rPr>
          <w:rFonts w:ascii="Georgia" w:hAnsi="Georgia"/>
          <w:b/>
          <w:sz w:val="28"/>
        </w:rPr>
        <w:t xml:space="preserve"> </w:t>
      </w:r>
    </w:p>
    <w:p w14:paraId="60ADFEC5" w14:textId="77777777" w:rsidR="00CF32CF" w:rsidRPr="00B50802" w:rsidRDefault="00CF32CF" w:rsidP="00CF32CF">
      <w:r w:rsidRPr="00B50802">
        <w:t xml:space="preserve">Land supply and land use regulations play an important role in making cities more liveable and sustainable. Within strategic, long-term visions for the places </w:t>
      </w:r>
      <w:r w:rsidR="0065345F" w:rsidRPr="00B50802">
        <w:t xml:space="preserve">where Australians </w:t>
      </w:r>
      <w:r w:rsidRPr="00B50802">
        <w:t xml:space="preserve">live, zoning divides areas into zones for different purposes, realised through development.  </w:t>
      </w:r>
    </w:p>
    <w:p w14:paraId="0E13B0CC" w14:textId="77777777" w:rsidR="00CF32CF" w:rsidRPr="00B50802" w:rsidRDefault="00CF32CF" w:rsidP="00CF32CF">
      <w:r w:rsidRPr="00B50802">
        <w:t>Effective planning can ensure efficient land use, mitigate ongoing risk and hazard exposure, protect against environmental harm, and encourage healthy and well</w:t>
      </w:r>
      <w:r w:rsidR="0065345F" w:rsidRPr="00B50802">
        <w:t>-</w:t>
      </w:r>
      <w:r w:rsidRPr="00B50802">
        <w:t>connected communities. Effective planning can also create job certainty and support economic growth.</w:t>
      </w:r>
    </w:p>
    <w:p w14:paraId="247244CC" w14:textId="77777777" w:rsidR="00CF32CF" w:rsidRPr="00B50802" w:rsidRDefault="00CF32CF" w:rsidP="00CF32CF">
      <w:r w:rsidRPr="00B50802">
        <w:t xml:space="preserve">The potential benefits </w:t>
      </w:r>
      <w:r w:rsidR="008A1B48" w:rsidRPr="00B50802">
        <w:t xml:space="preserve">of </w:t>
      </w:r>
      <w:r w:rsidRPr="00B50802">
        <w:t>effective land use planning for households include improved amenity and character, reduced air, noise and visual pollution from commercial and industrial activities; proximity to employment, shopping, services, public transport; access to open or green space for recreation, and access to appropriate housing types and densities in communities.</w:t>
      </w:r>
      <w:r w:rsidRPr="00B50802">
        <w:rPr>
          <w:rStyle w:val="FootnoteReference"/>
        </w:rPr>
        <w:footnoteReference w:id="151"/>
      </w:r>
      <w:r w:rsidRPr="00B50802">
        <w:t xml:space="preserve"> For example, in some states and territories, planning supports the delivery of social and affordable housing.</w:t>
      </w:r>
    </w:p>
    <w:p w14:paraId="4EC612E9" w14:textId="77777777" w:rsidR="00CF32CF" w:rsidRPr="00B50802" w:rsidRDefault="00CF32CF" w:rsidP="00CF32CF">
      <w:r w:rsidRPr="00B50802">
        <w:br w:type="page"/>
      </w:r>
    </w:p>
    <w:p w14:paraId="1FD05574" w14:textId="12E684EB" w:rsidR="00DF16FF" w:rsidRPr="00B50802" w:rsidRDefault="00CF32CF" w:rsidP="00CF32CF">
      <w:r w:rsidRPr="00B50802">
        <w:lastRenderedPageBreak/>
        <w:t>Planning challenge</w:t>
      </w:r>
      <w:r w:rsidR="00DF16FF" w:rsidRPr="00B50802">
        <w:t>s</w:t>
      </w:r>
      <w:r w:rsidRPr="00B50802">
        <w:t xml:space="preserve"> </w:t>
      </w:r>
      <w:r w:rsidR="00DF16FF" w:rsidRPr="00B50802">
        <w:t xml:space="preserve">include </w:t>
      </w:r>
      <w:r w:rsidRPr="00B50802">
        <w:t>balancing regulation and consultation to provide certainty and realise the above outcomes</w:t>
      </w:r>
      <w:r w:rsidR="00DF16FF" w:rsidRPr="00B50802">
        <w:t>,</w:t>
      </w:r>
      <w:r w:rsidRPr="00B50802">
        <w:t xml:space="preserve"> while ensuring flexibility and minimising complexity and costs. </w:t>
      </w:r>
    </w:p>
    <w:p w14:paraId="166B10B2" w14:textId="77777777" w:rsidR="00CF32CF" w:rsidRPr="00B50802" w:rsidRDefault="00DF16FF" w:rsidP="00CF32CF">
      <w:pPr>
        <w:rPr>
          <w:rFonts w:cs="Arial"/>
        </w:rPr>
      </w:pPr>
      <w:r w:rsidRPr="00B50802">
        <w:rPr>
          <w:rFonts w:cs="Arial"/>
        </w:rPr>
        <w:t>R</w:t>
      </w:r>
      <w:r w:rsidR="00CF32CF" w:rsidRPr="00B50802">
        <w:rPr>
          <w:rFonts w:cs="Arial"/>
        </w:rPr>
        <w:t xml:space="preserve">egulation can </w:t>
      </w:r>
      <w:r w:rsidR="00E17D07" w:rsidRPr="00B50802">
        <w:rPr>
          <w:rFonts w:cs="Arial"/>
        </w:rPr>
        <w:t>constrain the supply,</w:t>
      </w:r>
      <w:r w:rsidR="00CF32CF" w:rsidRPr="00B50802">
        <w:rPr>
          <w:rFonts w:cs="Arial"/>
        </w:rPr>
        <w:t xml:space="preserve"> affordability, accessibility, safety and sustainability of housing, including</w:t>
      </w:r>
      <w:r w:rsidR="0092693A" w:rsidRPr="00B50802">
        <w:rPr>
          <w:rFonts w:cs="Arial"/>
        </w:rPr>
        <w:t xml:space="preserve"> (noting variations between jurisdictions)</w:t>
      </w:r>
      <w:r w:rsidR="00CF32CF" w:rsidRPr="00B50802">
        <w:rPr>
          <w:rFonts w:cs="Arial"/>
        </w:rPr>
        <w:t>:</w:t>
      </w:r>
    </w:p>
    <w:p w14:paraId="246C3011" w14:textId="77777777" w:rsidR="00CF32CF" w:rsidRPr="00B50802" w:rsidRDefault="00DF16FF" w:rsidP="00296045">
      <w:pPr>
        <w:pStyle w:val="Bullets"/>
        <w:numPr>
          <w:ilvl w:val="0"/>
          <w:numId w:val="40"/>
        </w:numPr>
        <w:ind w:left="709"/>
      </w:pPr>
      <w:r w:rsidRPr="00B50802">
        <w:t>c</w:t>
      </w:r>
      <w:r w:rsidR="00CF32CF" w:rsidRPr="00B50802">
        <w:t>omplex and time</w:t>
      </w:r>
      <w:r w:rsidRPr="00B50802">
        <w:t>-</w:t>
      </w:r>
      <w:r w:rsidR="00CF32CF" w:rsidRPr="00B50802">
        <w:t xml:space="preserve">consuming development assessment processes, which can add </w:t>
      </w:r>
      <w:r w:rsidR="00CF32CF" w:rsidRPr="00B50802">
        <w:br/>
        <w:t>to the costs of investment and housing</w:t>
      </w:r>
    </w:p>
    <w:p w14:paraId="657CC6E1" w14:textId="77777777" w:rsidR="00CF32CF" w:rsidRPr="00B50802" w:rsidRDefault="00DF16FF" w:rsidP="00296045">
      <w:pPr>
        <w:pStyle w:val="Bullets"/>
        <w:numPr>
          <w:ilvl w:val="0"/>
          <w:numId w:val="40"/>
        </w:numPr>
        <w:ind w:left="709"/>
      </w:pPr>
      <w:r w:rsidRPr="00B50802">
        <w:t>u</w:t>
      </w:r>
      <w:r w:rsidR="00CF32CF" w:rsidRPr="00B50802">
        <w:t>nnecessary and costly delays to a development due to appeals and review processes</w:t>
      </w:r>
      <w:r w:rsidR="004D4491" w:rsidRPr="00B50802">
        <w:t xml:space="preserve"> – i</w:t>
      </w:r>
      <w:r w:rsidR="00CF32CF" w:rsidRPr="00B50802">
        <w:t>n some jurisdictions, once an applicant lodges an appeal, it can take between 6 to12 months for a hearing</w:t>
      </w:r>
      <w:r w:rsidR="00CF32CF" w:rsidRPr="00B50802">
        <w:rPr>
          <w:rStyle w:val="FootnoteReference"/>
        </w:rPr>
        <w:footnoteReference w:id="152"/>
      </w:r>
    </w:p>
    <w:p w14:paraId="7EE6833F" w14:textId="77777777" w:rsidR="00CF32CF" w:rsidRPr="00B50802" w:rsidRDefault="004D4491" w:rsidP="00296045">
      <w:pPr>
        <w:pStyle w:val="Bullets"/>
        <w:numPr>
          <w:ilvl w:val="0"/>
          <w:numId w:val="40"/>
        </w:numPr>
        <w:ind w:left="709"/>
      </w:pPr>
      <w:r w:rsidRPr="00B50802">
        <w:t>l</w:t>
      </w:r>
      <w:r w:rsidR="00CF32CF" w:rsidRPr="00B50802">
        <w:t>imited flexibility for variation from planning controls, alternative uses within zones or for land uses to change in response to economic and social changes</w:t>
      </w:r>
      <w:r w:rsidRPr="00B50802">
        <w:t xml:space="preserve"> – f</w:t>
      </w:r>
      <w:r w:rsidR="00CF32CF" w:rsidRPr="00B50802">
        <w:t xml:space="preserve">or example, a local government may zone a piece of land exclusively for manufacturing, only for external factors to make manufacturing economically unviable </w:t>
      </w:r>
      <w:r w:rsidR="008A1B48" w:rsidRPr="00B50802">
        <w:t xml:space="preserve">in </w:t>
      </w:r>
      <w:r w:rsidR="0012002B" w:rsidRPr="00B50802">
        <w:t>that</w:t>
      </w:r>
      <w:r w:rsidR="008A1B48" w:rsidRPr="00B50802">
        <w:t xml:space="preserve"> location</w:t>
      </w:r>
      <w:r w:rsidR="00CF32CF" w:rsidRPr="00B50802">
        <w:t xml:space="preserve"> </w:t>
      </w:r>
    </w:p>
    <w:p w14:paraId="6C45FC19" w14:textId="77777777" w:rsidR="00CF32CF" w:rsidRPr="00B50802" w:rsidRDefault="004D4491" w:rsidP="00296045">
      <w:pPr>
        <w:pStyle w:val="Bullets"/>
        <w:numPr>
          <w:ilvl w:val="0"/>
          <w:numId w:val="40"/>
        </w:numPr>
        <w:ind w:left="709"/>
      </w:pPr>
      <w:r w:rsidRPr="00B50802">
        <w:t>r</w:t>
      </w:r>
      <w:r w:rsidR="00CF32CF" w:rsidRPr="00B50802">
        <w:t>egulatory costs such as fees and contributions, and costs associated with delays and uncertainty involved in seeking permits or seeking a rezoning to accommodate a new use</w:t>
      </w:r>
      <w:r w:rsidRPr="00B50802">
        <w:t xml:space="preserve"> – o</w:t>
      </w:r>
      <w:r w:rsidR="00CF32CF" w:rsidRPr="00B50802">
        <w:t>verly restrictive regulations cause a greater reliance on rezoning</w:t>
      </w:r>
      <w:r w:rsidRPr="00B50802">
        <w:t>,</w:t>
      </w:r>
      <w:r w:rsidR="00CF32CF" w:rsidRPr="00B50802">
        <w:t xml:space="preserve"> which can be a costly, time-consuming and uncertain process </w:t>
      </w:r>
    </w:p>
    <w:p w14:paraId="53E540CB" w14:textId="77777777" w:rsidR="00CF32CF" w:rsidRPr="00B50802" w:rsidRDefault="004D4491" w:rsidP="00296045">
      <w:pPr>
        <w:pStyle w:val="Bullets"/>
        <w:numPr>
          <w:ilvl w:val="0"/>
          <w:numId w:val="40"/>
        </w:numPr>
        <w:ind w:left="709"/>
      </w:pPr>
      <w:r w:rsidRPr="00B50802">
        <w:t>l</w:t>
      </w:r>
      <w:r w:rsidR="00CF32CF" w:rsidRPr="00B50802">
        <w:t xml:space="preserve">imited coordination of growth with infrastructure can result in delays in enabling infrastructure; as well as </w:t>
      </w:r>
      <w:r w:rsidR="006E0699" w:rsidRPr="00B50802">
        <w:t>reducing</w:t>
      </w:r>
      <w:r w:rsidR="00CF32CF" w:rsidRPr="00B50802">
        <w:t xml:space="preserve"> access to public transport, public services and spaces (i.e. local supermarkets, health care providers, public spaces, cultural sites and access to Country and natural environments)</w:t>
      </w:r>
      <w:r w:rsidRPr="00B50802">
        <w:t xml:space="preserve"> – t</w:t>
      </w:r>
      <w:r w:rsidR="00CF32CF" w:rsidRPr="00B50802">
        <w:t>his is particularly an issue in new release areas.</w:t>
      </w:r>
    </w:p>
    <w:p w14:paraId="1CF39360" w14:textId="77777777" w:rsidR="00E20AA6" w:rsidRPr="00B50802" w:rsidRDefault="001550B0" w:rsidP="00E20AA6">
      <w:pPr>
        <w:rPr>
          <w:noProof/>
          <w:color w:val="000000" w:themeColor="text1"/>
          <w:lang w:eastAsia="en-AU"/>
        </w:rPr>
      </w:pPr>
      <w:r w:rsidRPr="00B50802">
        <w:rPr>
          <w:noProof/>
          <w:lang w:eastAsia="en-AU"/>
        </w:rPr>
        <w:t>It should be noted that where areas provide superior access to jobs and service opportunities, there will be a significant difference in land price premiums regardless of planning controls</w:t>
      </w:r>
      <w:r w:rsidR="0092693A" w:rsidRPr="00B50802">
        <w:rPr>
          <w:noProof/>
          <w:lang w:eastAsia="en-AU"/>
        </w:rPr>
        <w:t>.</w:t>
      </w:r>
      <w:r w:rsidR="00E20AA6" w:rsidRPr="00B50802">
        <w:rPr>
          <w:noProof/>
          <w:color w:val="000000" w:themeColor="text1"/>
          <w:lang w:eastAsia="en-AU"/>
        </w:rPr>
        <w:t xml:space="preserve"> </w:t>
      </w:r>
    </w:p>
    <w:p w14:paraId="4769855E" w14:textId="77777777" w:rsidR="00E20AA6" w:rsidRPr="00B50802" w:rsidRDefault="00E20AA6">
      <w:pPr>
        <w:rPr>
          <w:noProof/>
          <w:color w:val="000000" w:themeColor="text1"/>
          <w:lang w:eastAsia="en-AU"/>
        </w:rPr>
      </w:pPr>
      <w:r w:rsidRPr="00B50802">
        <w:rPr>
          <w:noProof/>
          <w:color w:val="000000" w:themeColor="text1"/>
          <w:lang w:eastAsia="en-AU"/>
        </w:rPr>
        <w:br w:type="page"/>
      </w:r>
    </w:p>
    <w:p w14:paraId="362E4988" w14:textId="036B280F" w:rsidR="00E20AA6" w:rsidRPr="00B50802" w:rsidRDefault="00FD5904" w:rsidP="00E20AA6">
      <w:pPr>
        <w:rPr>
          <w:noProof/>
          <w:lang w:eastAsia="en-AU"/>
        </w:rPr>
      </w:pPr>
      <w:r w:rsidRPr="00B75F7D">
        <w:rPr>
          <w:noProof/>
          <w:color w:val="000000" w:themeColor="text1"/>
          <w:lang w:eastAsia="en-AU"/>
        </w:rPr>
        <w:lastRenderedPageBreak/>
        <mc:AlternateContent>
          <mc:Choice Requires="wps">
            <w:drawing>
              <wp:anchor distT="0" distB="0" distL="114300" distR="114300" simplePos="0" relativeHeight="251658268" behindDoc="1" locked="0" layoutInCell="1" allowOverlap="1" wp14:anchorId="7FF7C35F" wp14:editId="01907E69">
                <wp:simplePos x="0" y="0"/>
                <wp:positionH relativeFrom="margin">
                  <wp:posOffset>-189230</wp:posOffset>
                </wp:positionH>
                <wp:positionV relativeFrom="paragraph">
                  <wp:posOffset>-60325</wp:posOffset>
                </wp:positionV>
                <wp:extent cx="5824220" cy="8241712"/>
                <wp:effectExtent l="0" t="0" r="24130" b="26035"/>
                <wp:wrapNone/>
                <wp:docPr id="58" name="Rectangle 58" descr="Decorative"/>
                <wp:cNvGraphicFramePr/>
                <a:graphic xmlns:a="http://schemas.openxmlformats.org/drawingml/2006/main">
                  <a:graphicData uri="http://schemas.microsoft.com/office/word/2010/wordprocessingShape">
                    <wps:wsp>
                      <wps:cNvSpPr/>
                      <wps:spPr>
                        <a:xfrm>
                          <a:off x="0" y="0"/>
                          <a:ext cx="5824220" cy="824171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5C918" id="Rectangle 58" o:spid="_x0000_s1026" alt="Decorative" style="position:absolute;margin-left:-14.9pt;margin-top:-4.75pt;width:458.6pt;height:648.9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" fillcolor="#f2f2f2 [3052]" strokecolor="black [3213]" strokeweight=".25pt">
                <w10:wrap anchorx="margin"/>
              </v:rect>
            </w:pict>
          </mc:Fallback>
        </mc:AlternateContent>
      </w:r>
      <w:r w:rsidR="00453E5B" w:rsidRPr="00B50802">
        <w:rPr>
          <w:noProof/>
          <w:color w:val="000000" w:themeColor="text1"/>
          <w:lang w:eastAsia="en-AU"/>
        </w:rPr>
        <mc:AlternateContent>
          <mc:Choice Requires="wpg">
            <w:drawing>
              <wp:anchor distT="0" distB="0" distL="114300" distR="114300" simplePos="0" relativeHeight="251658290" behindDoc="0" locked="0" layoutInCell="1" allowOverlap="1" wp14:anchorId="7FE3DF48" wp14:editId="339E70BF">
                <wp:simplePos x="0" y="0"/>
                <wp:positionH relativeFrom="column">
                  <wp:posOffset>99892</wp:posOffset>
                </wp:positionH>
                <wp:positionV relativeFrom="paragraph">
                  <wp:posOffset>69156</wp:posOffset>
                </wp:positionV>
                <wp:extent cx="591185" cy="478515"/>
                <wp:effectExtent l="0" t="0" r="0" b="17145"/>
                <wp:wrapNone/>
                <wp:docPr id="16" name="Group 16" descr="Decorative"/>
                <wp:cNvGraphicFramePr/>
                <a:graphic xmlns:a="http://schemas.openxmlformats.org/drawingml/2006/main">
                  <a:graphicData uri="http://schemas.microsoft.com/office/word/2010/wordprocessingGroup">
                    <wpg:wgp>
                      <wpg:cNvGrpSpPr/>
                      <wpg:grpSpPr>
                        <a:xfrm>
                          <a:off x="0" y="0"/>
                          <a:ext cx="591185" cy="478515"/>
                          <a:chOff x="0" y="0"/>
                          <a:chExt cx="591185" cy="478515"/>
                        </a:xfrm>
                      </wpg:grpSpPr>
                      <pic:pic xmlns:pic="http://schemas.openxmlformats.org/drawingml/2006/picture">
                        <pic:nvPicPr>
                          <pic:cNvPr id="17" name="Picture 17" descr="Decorative"/>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1185" cy="384175"/>
                          </a:xfrm>
                          <a:prstGeom prst="rect">
                            <a:avLst/>
                          </a:prstGeom>
                          <a:noFill/>
                        </pic:spPr>
                      </pic:pic>
                      <wps:wsp>
                        <wps:cNvPr id="18" name="Freeform 269"/>
                        <wps:cNvSpPr>
                          <a:spLocks/>
                        </wps:cNvSpPr>
                        <wps:spPr bwMode="auto">
                          <a:xfrm>
                            <a:off x="461042" y="430306"/>
                            <a:ext cx="50791" cy="48209"/>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noFill/>
                          <a:ln w="12700">
                            <a:solidFill>
                              <a:schemeClr val="tx1"/>
                            </a:solidFill>
                            <a:round/>
                            <a:headEnd/>
                            <a:tailEnd/>
                          </a:ln>
                        </wps:spPr>
                        <wps:bodyPr/>
                      </wps:wsp>
                    </wpg:wgp>
                  </a:graphicData>
                </a:graphic>
              </wp:anchor>
            </w:drawing>
          </mc:Choice>
          <mc:Fallback>
            <w:pict>
              <v:group w14:anchorId="174AA8CF" id="Group 16" o:spid="_x0000_s1026" alt="Decorative" style="position:absolute;margin-left:7.85pt;margin-top:5.45pt;width:46.55pt;height:37.7pt;z-index:251658290" coordsize="5911,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Decorative" style="position:absolute;width:5911;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">
                  <v:imagedata r:id="rId110" o:title="Decorative"/>
                  <v:path arrowok="t"/>
                </v:shape>
                <v:shape id="Freeform 269" o:spid="_x0000_s1028" style="position:absolute;left:4610;top:4303;width:508;height:482;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" path="m,18l12,48r6,24l36,91,48,66,66,30,66,,42,12,,18xe" filled="f" strokecolor="black [3213]" strokeweight="1pt">
                  <v:path arrowok="t" o:connecttype="custom" o:connectlocs="0,2147483646;2147483646,2147483646;2147483646,2147483646;2147483646,2147483646;2147483646,2147483646;2147483646,2147483646;2147483646,0;2147483646,2147483646;0,2147483646" o:connectangles="0,0,0,0,0,0,0,0,0"/>
                </v:shape>
              </v:group>
            </w:pict>
          </mc:Fallback>
        </mc:AlternateContent>
      </w:r>
    </w:p>
    <w:p w14:paraId="28C7ACD7" w14:textId="77777777" w:rsidR="00E20AA6" w:rsidRPr="00B50802" w:rsidRDefault="00E20AA6" w:rsidP="00E20AA6">
      <w:pPr>
        <w:spacing w:after="0"/>
        <w:jc w:val="center"/>
        <w:rPr>
          <w:b/>
          <w:bCs/>
          <w:color w:val="000000" w:themeColor="text1"/>
        </w:rPr>
      </w:pPr>
      <w:r w:rsidRPr="00B50802">
        <w:rPr>
          <w:b/>
          <w:bCs/>
          <w:color w:val="000000" w:themeColor="text1"/>
        </w:rPr>
        <w:t>Planning and zoning initiatives</w:t>
      </w:r>
    </w:p>
    <w:p w14:paraId="0F3E840F" w14:textId="77777777" w:rsidR="00E20AA6" w:rsidRPr="00B50802" w:rsidRDefault="00E20AA6" w:rsidP="00E20AA6">
      <w:pPr>
        <w:spacing w:after="0"/>
        <w:rPr>
          <w:color w:val="000000" w:themeColor="text1"/>
          <w:u w:val="single"/>
        </w:rPr>
      </w:pPr>
    </w:p>
    <w:p w14:paraId="6C5CDFA8" w14:textId="77777777" w:rsidR="00E20AA6" w:rsidRPr="00B50802" w:rsidRDefault="00E20AA6" w:rsidP="00E20AA6">
      <w:r w:rsidRPr="00B50802">
        <w:rPr>
          <w:b/>
          <w:i/>
          <w:iCs/>
        </w:rPr>
        <w:t xml:space="preserve">National </w:t>
      </w:r>
      <w:r w:rsidRPr="00B50802">
        <w:rPr>
          <w:rFonts w:cs="Arial"/>
          <w:b/>
          <w:i/>
          <w:iCs/>
        </w:rPr>
        <w:t>Housing</w:t>
      </w:r>
      <w:r w:rsidRPr="00B50802">
        <w:rPr>
          <w:b/>
          <w:i/>
          <w:iCs/>
        </w:rPr>
        <w:t xml:space="preserve"> Accord</w:t>
      </w:r>
    </w:p>
    <w:p w14:paraId="41FD1050" w14:textId="5C30982A" w:rsidR="00E20AA6" w:rsidRPr="00B50802" w:rsidRDefault="00E20AA6" w:rsidP="00E20AA6">
      <w:r w:rsidRPr="00B50802">
        <w:t xml:space="preserve">Under the National Housing Accord, signatories have agreed to support the aspirational target to build 1 million new, well-located homes over 5 years from 2024. To help achieve this target, the Accord states that jurisdictions </w:t>
      </w:r>
      <w:r w:rsidR="00C8359E" w:rsidRPr="00B50802">
        <w:t>will</w:t>
      </w:r>
      <w:r w:rsidRPr="00B50802">
        <w:t>:</w:t>
      </w:r>
      <w:r w:rsidRPr="00B50802" w:rsidDel="000E6EA1">
        <w:t xml:space="preserve"> </w:t>
      </w:r>
    </w:p>
    <w:p w14:paraId="2467B6A3" w14:textId="77777777" w:rsidR="00E20AA6" w:rsidRPr="00B50802" w:rsidRDefault="00E20AA6" w:rsidP="00E20AA6">
      <w:pPr>
        <w:pStyle w:val="Bullets"/>
      </w:pPr>
      <w:r w:rsidRPr="00B50802">
        <w:t>expedite zoning, planning and land release for social and affordable housing</w:t>
      </w:r>
    </w:p>
    <w:p w14:paraId="39D6626F" w14:textId="77777777" w:rsidR="00E20AA6" w:rsidRPr="00B50802" w:rsidRDefault="00E20AA6" w:rsidP="00E20AA6">
      <w:pPr>
        <w:pStyle w:val="Bullets"/>
      </w:pPr>
      <w:r w:rsidRPr="00B50802">
        <w:t>work with local governments to deliver planning and land-use reforms, which will make housing supply more responsive to demand over time.</w:t>
      </w:r>
    </w:p>
    <w:p w14:paraId="50CB2241" w14:textId="526FF6D9" w:rsidR="004D7354" w:rsidRDefault="00E20AA6" w:rsidP="004D7354">
      <w:pPr>
        <w:spacing w:after="240"/>
        <w:rPr>
          <w:rFonts w:cs="Arial"/>
          <w:b/>
          <w:i/>
          <w:iCs/>
        </w:rPr>
      </w:pPr>
      <w:r w:rsidRPr="00B50802">
        <w:rPr>
          <w:color w:val="000000" w:themeColor="text1"/>
        </w:rPr>
        <w:t>The Australian Government is identifying whether suitable Commonwealth land can be released for housing to assist as part of the contribution to delivering social and affordable housing.</w:t>
      </w:r>
    </w:p>
    <w:p w14:paraId="756B2DEC" w14:textId="61BF9080" w:rsidR="00E20AA6" w:rsidRPr="00B50802" w:rsidRDefault="00E20AA6" w:rsidP="00E20AA6">
      <w:pPr>
        <w:rPr>
          <w:rFonts w:cs="Arial"/>
          <w:b/>
          <w:i/>
          <w:iCs/>
        </w:rPr>
      </w:pPr>
      <w:r w:rsidRPr="00B50802">
        <w:rPr>
          <w:rFonts w:cs="Arial"/>
          <w:b/>
          <w:i/>
          <w:iCs/>
        </w:rPr>
        <w:t>National Housing Infrastructure Facility (NHIF)</w:t>
      </w:r>
    </w:p>
    <w:p w14:paraId="2BCDBEF5" w14:textId="77777777" w:rsidR="00E20AA6" w:rsidRPr="00B50802" w:rsidRDefault="00E20AA6" w:rsidP="00E20AA6">
      <w:r w:rsidRPr="00B50802">
        <w:t>The NHIF is a $1 billion facility, providing finance for eligible infrastructure projects that will unlock new housing supply, particularly affordable housing.</w:t>
      </w:r>
    </w:p>
    <w:p w14:paraId="0F23792D" w14:textId="77777777" w:rsidR="00E20AA6" w:rsidRPr="00B50802" w:rsidRDefault="00E20AA6" w:rsidP="00E20AA6">
      <w:r w:rsidRPr="00B50802">
        <w:t>The NHIF offers concessional loans, grants and equity finance to help support critical housing-enabling infrastructure projects such as electricity, gas, water, sewerage, stormwater, telecommunications and roads infrastructure.</w:t>
      </w:r>
    </w:p>
    <w:p w14:paraId="5EEC615A" w14:textId="77777777" w:rsidR="00E20AA6" w:rsidRPr="00B50802" w:rsidRDefault="00E20AA6" w:rsidP="00E20AA6">
      <w:r w:rsidRPr="00B50802">
        <w:t xml:space="preserve">In October 2022 the NHIF was expanded so $575 million in uncommitted funds could </w:t>
      </w:r>
      <w:r w:rsidRPr="00B50802">
        <w:br/>
        <w:t xml:space="preserve">be invested in social and affordable housing. </w:t>
      </w:r>
    </w:p>
    <w:p w14:paraId="01F5B9F7" w14:textId="77777777" w:rsidR="004D7354" w:rsidRPr="00B75F7D" w:rsidRDefault="004D7354" w:rsidP="004D7354">
      <w:pPr>
        <w:rPr>
          <w:rFonts w:cs="Arial"/>
          <w:b/>
          <w:i/>
        </w:rPr>
      </w:pPr>
      <w:r w:rsidRPr="00B75F7D">
        <w:rPr>
          <w:rFonts w:cs="Arial"/>
          <w:b/>
          <w:i/>
        </w:rPr>
        <w:t>National Cabinet reform package</w:t>
      </w:r>
    </w:p>
    <w:p w14:paraId="4AEBF665" w14:textId="77777777" w:rsidR="004D7354" w:rsidRPr="00B75F7D" w:rsidRDefault="004D7354" w:rsidP="004D7354">
      <w:r w:rsidRPr="00B75F7D">
        <w:t xml:space="preserve">On 28 April 2023, National Cabinet agreed to a comprehensive package of reforms that recognise the housing challenges faced by all levels of government to support a national approach to the growth of Australia’s cities, towns and suburbs. </w:t>
      </w:r>
    </w:p>
    <w:p w14:paraId="2D06AEC9" w14:textId="77DD03C9" w:rsidR="004D7354" w:rsidRPr="004D7354" w:rsidRDefault="004D7354" w:rsidP="00E20AA6">
      <w:r w:rsidRPr="00B75F7D">
        <w:t>As part of this package, First Ministers tasked Planning Ministers, to come back with proposals to increase housing supply and improve planning systems around Australia. These changes support the goal of the National Housing Accord to enhance the responsiveness of supply and provide the housing Australians need.</w:t>
      </w:r>
    </w:p>
    <w:p w14:paraId="2D5FA7C4" w14:textId="77777777" w:rsidR="00E20AA6" w:rsidRPr="00B50802" w:rsidRDefault="00E20AA6" w:rsidP="00E20AA6">
      <w:pPr>
        <w:rPr>
          <w:rFonts w:cs="Arial"/>
          <w:b/>
          <w:i/>
          <w:iCs/>
        </w:rPr>
      </w:pPr>
      <w:r w:rsidRPr="00B50802">
        <w:rPr>
          <w:rFonts w:cs="Arial"/>
          <w:b/>
          <w:i/>
          <w:iCs/>
        </w:rPr>
        <w:t>National Urban Policy</w:t>
      </w:r>
    </w:p>
    <w:p w14:paraId="49B3DD86" w14:textId="4C98F41C" w:rsidR="00E20AA6" w:rsidRPr="00B50802" w:rsidRDefault="00E20AA6" w:rsidP="00E20AA6">
      <w:r w:rsidRPr="00B50802">
        <w:t xml:space="preserve">The Australian Government is committed to developing the first </w:t>
      </w:r>
      <w:r w:rsidR="00213B78" w:rsidRPr="00B50802">
        <w:t xml:space="preserve">comprehensive </w:t>
      </w:r>
      <w:r w:rsidRPr="00B50802">
        <w:t>National Urban Policy in over a decade. The Policy will be developed in partnership with experts to understand</w:t>
      </w:r>
      <w:r w:rsidR="00515BB2" w:rsidRPr="00B50802">
        <w:t xml:space="preserve"> </w:t>
      </w:r>
      <w:r w:rsidRPr="00B50802">
        <w:t>issues around urban planning</w:t>
      </w:r>
      <w:r w:rsidR="00213B78" w:rsidRPr="00B50802">
        <w:t>, property design and sustainability</w:t>
      </w:r>
      <w:r w:rsidRPr="00B50802">
        <w:t>. This includes establishing a National Urban Forum of experts that will inform the Policy.</w:t>
      </w:r>
    </w:p>
    <w:p w14:paraId="144636EC" w14:textId="77777777" w:rsidR="00CF32CF" w:rsidRPr="00B50802" w:rsidRDefault="00CF32CF" w:rsidP="00CF32CF">
      <w:pPr>
        <w:rPr>
          <w:noProof/>
          <w:lang w:eastAsia="en-AU"/>
        </w:rPr>
      </w:pPr>
    </w:p>
    <w:p w14:paraId="64B5BC05" w14:textId="77777777" w:rsidR="00E20AA6" w:rsidRPr="00B50802" w:rsidRDefault="00E20AA6" w:rsidP="00CF32CF">
      <w:pPr>
        <w:spacing w:after="0"/>
        <w:rPr>
          <w:noProof/>
          <w:lang w:eastAsia="en-AU"/>
        </w:rPr>
      </w:pPr>
    </w:p>
    <w:p w14:paraId="2AFB062D" w14:textId="77777777" w:rsidR="00E20AA6" w:rsidRPr="00B50802" w:rsidRDefault="00E20AA6">
      <w:pPr>
        <w:rPr>
          <w:noProof/>
          <w:lang w:eastAsia="en-AU"/>
        </w:rPr>
      </w:pPr>
      <w:r w:rsidRPr="00B50802">
        <w:rPr>
          <w:noProof/>
          <w:lang w:eastAsia="en-AU"/>
        </w:rPr>
        <w:br w:type="page"/>
      </w:r>
    </w:p>
    <w:p w14:paraId="7B28B793" w14:textId="77777777" w:rsidR="00B25FF8" w:rsidRPr="00B50802" w:rsidRDefault="00B25FF8" w:rsidP="00CF32CF">
      <w:pPr>
        <w:spacing w:after="0"/>
        <w:rPr>
          <w:noProof/>
          <w:lang w:eastAsia="en-AU"/>
        </w:rPr>
      </w:pPr>
    </w:p>
    <w:p w14:paraId="64176A53" w14:textId="77777777" w:rsidR="00E20AA6" w:rsidRPr="00B50802" w:rsidRDefault="00E20AA6" w:rsidP="00E20AA6">
      <w:pPr>
        <w:spacing w:after="0"/>
        <w:rPr>
          <w:noProof/>
          <w:lang w:eastAsia="en-AU"/>
        </w:rPr>
      </w:pPr>
      <w:r w:rsidRPr="00B50802">
        <w:rPr>
          <w:noProof/>
          <w:lang w:eastAsia="en-AU"/>
        </w:rPr>
        <mc:AlternateContent>
          <mc:Choice Requires="wps">
            <w:drawing>
              <wp:anchor distT="0" distB="0" distL="114300" distR="114300" simplePos="0" relativeHeight="251658271" behindDoc="0" locked="0" layoutInCell="1" allowOverlap="1" wp14:anchorId="5FFE4A9A" wp14:editId="072B4886">
                <wp:simplePos x="0" y="0"/>
                <wp:positionH relativeFrom="column">
                  <wp:posOffset>-61784</wp:posOffset>
                </wp:positionH>
                <wp:positionV relativeFrom="paragraph">
                  <wp:posOffset>74707</wp:posOffset>
                </wp:positionV>
                <wp:extent cx="5894173" cy="3562503"/>
                <wp:effectExtent l="0" t="0" r="11430" b="19050"/>
                <wp:wrapNone/>
                <wp:docPr id="196" name="Rectangle 196" descr="Decorative"/>
                <wp:cNvGraphicFramePr/>
                <a:graphic xmlns:a="http://schemas.openxmlformats.org/drawingml/2006/main">
                  <a:graphicData uri="http://schemas.microsoft.com/office/word/2010/wordprocessingShape">
                    <wps:wsp>
                      <wps:cNvSpPr/>
                      <wps:spPr>
                        <a:xfrm>
                          <a:off x="0" y="0"/>
                          <a:ext cx="5894173" cy="3562503"/>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702B" id="Rectangle 196" o:spid="_x0000_s1026" alt="Decorative" style="position:absolute;margin-left:-4.85pt;margin-top:5.9pt;width:464.1pt;height:28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" filled="f" strokecolor="#005a70" strokeweight="2pt"/>
            </w:pict>
          </mc:Fallback>
        </mc:AlternateContent>
      </w:r>
      <w:r w:rsidRPr="00B50802">
        <w:rPr>
          <w:noProof/>
          <w:lang w:eastAsia="en-AU"/>
        </w:rPr>
        <w:drawing>
          <wp:anchor distT="0" distB="0" distL="114300" distR="114300" simplePos="0" relativeHeight="251658270" behindDoc="1" locked="0" layoutInCell="1" allowOverlap="1" wp14:anchorId="220891A5" wp14:editId="524F9132">
            <wp:simplePos x="0" y="0"/>
            <wp:positionH relativeFrom="column">
              <wp:posOffset>58064</wp:posOffset>
            </wp:positionH>
            <wp:positionV relativeFrom="paragraph">
              <wp:posOffset>143434</wp:posOffset>
            </wp:positionV>
            <wp:extent cx="572770" cy="506095"/>
            <wp:effectExtent l="0" t="0" r="0" b="8255"/>
            <wp:wrapNone/>
            <wp:docPr id="195" name="Picture 19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770" cy="506095"/>
                    </a:xfrm>
                    <a:prstGeom prst="rect">
                      <a:avLst/>
                    </a:prstGeom>
                    <a:noFill/>
                  </pic:spPr>
                </pic:pic>
              </a:graphicData>
            </a:graphic>
            <wp14:sizeRelH relativeFrom="page">
              <wp14:pctWidth>0</wp14:pctWidth>
            </wp14:sizeRelH>
            <wp14:sizeRelV relativeFrom="page">
              <wp14:pctHeight>0</wp14:pctHeight>
            </wp14:sizeRelV>
          </wp:anchor>
        </w:drawing>
      </w:r>
    </w:p>
    <w:p w14:paraId="7156EFF4" w14:textId="77777777" w:rsidR="00E20AA6" w:rsidRPr="00B50802" w:rsidRDefault="00E20AA6" w:rsidP="00E20AA6">
      <w:pPr>
        <w:pStyle w:val="Bullet"/>
        <w:jc w:val="right"/>
        <w:rPr>
          <w:rFonts w:eastAsiaTheme="minorHAnsi" w:cs="Arial"/>
          <w:color w:val="005A70"/>
        </w:rPr>
      </w:pPr>
      <w:r w:rsidRPr="00B50802">
        <w:rPr>
          <w:rFonts w:ascii="Arial" w:eastAsiaTheme="minorHAnsi" w:hAnsi="Arial" w:cs="Arial"/>
          <w:b/>
          <w:color w:val="005A70"/>
        </w:rPr>
        <w:t>Case study – South Australia affordable housing planning provisions</w:t>
      </w:r>
    </w:p>
    <w:p w14:paraId="2F4062DF" w14:textId="77777777" w:rsidR="00E20AA6" w:rsidRPr="00B50802" w:rsidRDefault="00E20AA6" w:rsidP="00E20AA6">
      <w:pPr>
        <w:pStyle w:val="Bullet"/>
        <w:jc w:val="right"/>
        <w:rPr>
          <w:rFonts w:eastAsiaTheme="minorHAnsi" w:cs="Arial"/>
          <w:color w:val="005A70"/>
        </w:rPr>
      </w:pPr>
    </w:p>
    <w:p w14:paraId="541DC8F9" w14:textId="77777777" w:rsidR="00E20AA6" w:rsidRPr="00B50802" w:rsidRDefault="00E20AA6" w:rsidP="00E20AA6">
      <w:r w:rsidRPr="00B50802">
        <w:br/>
        <w:t>The SA Housing Authority enables the private development industry to supply at least 15% of significant new residential development as affordable home purchase or rental opportunities through planning incentives in the development assessment process. The Authority has agreements in place with private and not-for-profit sector developers representing 121 residential projects that will yield approximately 4,473 affordable dwellings over the next 10 years.</w:t>
      </w:r>
    </w:p>
    <w:p w14:paraId="15B3C8A2" w14:textId="77777777" w:rsidR="00E20AA6" w:rsidRPr="00B50802" w:rsidRDefault="00E20AA6" w:rsidP="00E20AA6">
      <w:r w:rsidRPr="00B50802">
        <w:t>Builders and developers build homes to a set price point ($417,000 as at 15 February 2023) and may apply for up to a 15% price variance above the set price point if they can demonstrate the home includes features that provide an ongoing benefit to the homeowner, such as cost savings offsetting higher mortgage payments. Cost savings may include energy efficiency features, close proximity to public transport, or a specialised finance product (such as shared equity).</w:t>
      </w:r>
    </w:p>
    <w:p w14:paraId="2D24AFF7" w14:textId="77777777" w:rsidR="00E20AA6" w:rsidRPr="00B50802" w:rsidRDefault="00E20AA6" w:rsidP="00E20AA6">
      <w:r w:rsidRPr="00B50802">
        <w:t xml:space="preserve">Homes are listed for sale at a set price through HomeSeeker SA, which provides exclusive access to eligible purchasers for the listing period. </w:t>
      </w:r>
    </w:p>
    <w:p w14:paraId="737F6AA6" w14:textId="77777777" w:rsidR="00E20AA6" w:rsidRPr="00B50802" w:rsidRDefault="00E20AA6" w:rsidP="00E20AA6">
      <w:pPr>
        <w:spacing w:after="0"/>
        <w:rPr>
          <w:noProof/>
          <w:lang w:eastAsia="en-AU"/>
        </w:rPr>
      </w:pPr>
    </w:p>
    <w:p w14:paraId="7A2B4CED" w14:textId="7BEDD783" w:rsidR="00E20AA6" w:rsidRPr="00B50802" w:rsidRDefault="00E20AA6" w:rsidP="00E20AA6">
      <w:pPr>
        <w:spacing w:after="0"/>
        <w:rPr>
          <w:noProof/>
          <w:lang w:eastAsia="en-AU"/>
        </w:rPr>
      </w:pPr>
      <w:r w:rsidRPr="00B50802">
        <w:rPr>
          <w:noProof/>
          <w:lang w:eastAsia="en-AU"/>
        </w:rPr>
        <mc:AlternateContent>
          <mc:Choice Requires="wps">
            <w:drawing>
              <wp:anchor distT="0" distB="0" distL="114300" distR="114300" simplePos="0" relativeHeight="251658272" behindDoc="0" locked="0" layoutInCell="1" allowOverlap="1" wp14:anchorId="430E90FF" wp14:editId="31A7D15C">
                <wp:simplePos x="0" y="0"/>
                <wp:positionH relativeFrom="margin">
                  <wp:posOffset>-61784</wp:posOffset>
                </wp:positionH>
                <wp:positionV relativeFrom="paragraph">
                  <wp:posOffset>75514</wp:posOffset>
                </wp:positionV>
                <wp:extent cx="5894070" cy="2842592"/>
                <wp:effectExtent l="0" t="0" r="11430" b="15240"/>
                <wp:wrapNone/>
                <wp:docPr id="194" name="Rectangle 194" descr="Decorative"/>
                <wp:cNvGraphicFramePr/>
                <a:graphic xmlns:a="http://schemas.openxmlformats.org/drawingml/2006/main">
                  <a:graphicData uri="http://schemas.microsoft.com/office/word/2010/wordprocessingShape">
                    <wps:wsp>
                      <wps:cNvSpPr/>
                      <wps:spPr>
                        <a:xfrm>
                          <a:off x="0" y="0"/>
                          <a:ext cx="5894070" cy="2842592"/>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F56C" id="Rectangle 194" o:spid="_x0000_s1026" alt="Decorative" style="position:absolute;margin-left:-4.85pt;margin-top:5.95pt;width:464.1pt;height:223.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" filled="f" strokecolor="#005a70" strokeweight="2pt">
                <w10:wrap anchorx="margin"/>
              </v:rect>
            </w:pict>
          </mc:Fallback>
        </mc:AlternateContent>
      </w:r>
    </w:p>
    <w:p w14:paraId="6A330C38" w14:textId="77777777" w:rsidR="00E20AA6" w:rsidRPr="00B50802" w:rsidRDefault="003865C1" w:rsidP="00E20AA6">
      <w:pPr>
        <w:pStyle w:val="Bullet"/>
        <w:jc w:val="right"/>
        <w:rPr>
          <w:noProof/>
        </w:rPr>
      </w:pPr>
      <w:r w:rsidRPr="00B50802">
        <w:rPr>
          <w:noProof/>
        </w:rPr>
        <w:drawing>
          <wp:anchor distT="0" distB="0" distL="114300" distR="114300" simplePos="0" relativeHeight="251658284" behindDoc="0" locked="0" layoutInCell="1" allowOverlap="1" wp14:anchorId="686912E1" wp14:editId="0265FBCB">
            <wp:simplePos x="0" y="0"/>
            <wp:positionH relativeFrom="column">
              <wp:posOffset>85504</wp:posOffset>
            </wp:positionH>
            <wp:positionV relativeFrom="paragraph">
              <wp:posOffset>9525</wp:posOffset>
            </wp:positionV>
            <wp:extent cx="903605" cy="629285"/>
            <wp:effectExtent l="0" t="0" r="0" b="0"/>
            <wp:wrapSquare wrapText="bothSides"/>
            <wp:docPr id="34" name="Pictur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03605" cy="629285"/>
                    </a:xfrm>
                    <a:prstGeom prst="rect">
                      <a:avLst/>
                    </a:prstGeom>
                    <a:noFill/>
                    <a:ln>
                      <a:noFill/>
                    </a:ln>
                  </pic:spPr>
                </pic:pic>
              </a:graphicData>
            </a:graphic>
          </wp:anchor>
        </w:drawing>
      </w:r>
    </w:p>
    <w:p w14:paraId="43689E61" w14:textId="77777777" w:rsidR="00E20AA6" w:rsidRPr="00B50802" w:rsidRDefault="00E20AA6" w:rsidP="00E20AA6">
      <w:pPr>
        <w:pStyle w:val="Bullet"/>
        <w:jc w:val="right"/>
        <w:rPr>
          <w:rFonts w:eastAsiaTheme="minorHAnsi" w:cs="Arial"/>
          <w:color w:val="005A70"/>
        </w:rPr>
      </w:pPr>
      <w:r w:rsidRPr="00B50802">
        <w:rPr>
          <w:rFonts w:ascii="Arial" w:eastAsiaTheme="minorHAnsi" w:hAnsi="Arial" w:cs="Arial"/>
          <w:b/>
          <w:color w:val="005A70"/>
        </w:rPr>
        <w:t xml:space="preserve">Case study – South Australia building Karoonda Initiative  </w:t>
      </w:r>
    </w:p>
    <w:p w14:paraId="1F90C782" w14:textId="77777777" w:rsidR="00E20AA6" w:rsidRPr="00B50802" w:rsidRDefault="00E20AA6" w:rsidP="00E20AA6"/>
    <w:p w14:paraId="104278A8" w14:textId="77777777" w:rsidR="00E20AA6" w:rsidRPr="00B50802" w:rsidRDefault="00E20AA6" w:rsidP="00E20AA6">
      <w:r w:rsidRPr="00B50802">
        <w:t>To address housing supply and affordability issues, Karoonda East Murray Council in South</w:t>
      </w:r>
      <w:r w:rsidR="00EC120A" w:rsidRPr="00B50802">
        <w:t> </w:t>
      </w:r>
      <w:r w:rsidRPr="00B50802">
        <w:t xml:space="preserve">Australia offered cash rebates of 90% of the purchase price when buying designated vacant blocks of council land in 2020. Purchasers were eligible for the rebate if they commenced building a house within a set timeframe, and could pay under $2,000 in total for the land after receiving the rebate. The initiative was aimed at renters in the area looking to buy their own property and free up rentals, as well as those looking to relocate or purchase an investment property. </w:t>
      </w:r>
    </w:p>
    <w:p w14:paraId="611B81DF" w14:textId="77777777" w:rsidR="00E20AA6" w:rsidRPr="00B50802" w:rsidRDefault="00E20AA6" w:rsidP="00E20AA6">
      <w:pPr>
        <w:spacing w:after="0"/>
        <w:rPr>
          <w:noProof/>
          <w:lang w:eastAsia="en-AU"/>
        </w:rPr>
      </w:pPr>
      <w:r w:rsidRPr="00B50802">
        <w:t>Now in Stage 2 of the initiative, the Karoonda East Murray Council will run the rebate program alongside a new self-funded initiative where the Council will have 3 turnkey houses built on council-owned blocks to be sold between $250,000 and $300,000.</w:t>
      </w:r>
    </w:p>
    <w:p w14:paraId="775234BB" w14:textId="77777777" w:rsidR="00CF32CF" w:rsidRPr="00B50802" w:rsidRDefault="00CF32CF" w:rsidP="00CF32CF">
      <w:pPr>
        <w:spacing w:after="0"/>
      </w:pPr>
    </w:p>
    <w:p w14:paraId="27BDD947" w14:textId="77777777" w:rsidR="006106DD" w:rsidRPr="00B50802" w:rsidRDefault="006106DD" w:rsidP="00CF32CF">
      <w:pPr>
        <w:spacing w:after="0"/>
      </w:pPr>
    </w:p>
    <w:p w14:paraId="39454FA3" w14:textId="77777777" w:rsidR="006106DD" w:rsidRPr="00B50802" w:rsidRDefault="006106DD" w:rsidP="00CF32CF">
      <w:pPr>
        <w:spacing w:after="0"/>
      </w:pPr>
    </w:p>
    <w:p w14:paraId="330CE7B3" w14:textId="77777777" w:rsidR="00CF32CF" w:rsidRPr="00B50802" w:rsidRDefault="00CF32CF" w:rsidP="00CF32CF">
      <w:pPr>
        <w:spacing w:before="240"/>
        <w:rPr>
          <w:rStyle w:val="Strong"/>
          <w:rFonts w:ascii="Georgia" w:eastAsiaTheme="majorEastAsia" w:hAnsi="Georgia" w:cstheme="majorBidi"/>
          <w:sz w:val="28"/>
          <w:szCs w:val="28"/>
        </w:rPr>
      </w:pPr>
    </w:p>
    <w:p w14:paraId="11217C72" w14:textId="77777777" w:rsidR="00E20AA6" w:rsidRPr="00B50802" w:rsidRDefault="00E20AA6" w:rsidP="00E20AA6">
      <w:pPr>
        <w:spacing w:after="0"/>
        <w:rPr>
          <w:noProof/>
          <w:lang w:eastAsia="en-AU"/>
        </w:rPr>
      </w:pPr>
    </w:p>
    <w:p w14:paraId="4CAFE0A7" w14:textId="77777777" w:rsidR="00E20AA6" w:rsidRPr="00B50802" w:rsidRDefault="00E20AA6">
      <w:pPr>
        <w:rPr>
          <w:noProof/>
          <w:lang w:eastAsia="en-AU"/>
        </w:rPr>
      </w:pPr>
      <w:r w:rsidRPr="00B50802">
        <w:rPr>
          <w:noProof/>
          <w:lang w:eastAsia="en-AU"/>
        </w:rPr>
        <w:br w:type="page"/>
      </w:r>
    </w:p>
    <w:p w14:paraId="124A4C33" w14:textId="32A4F3DB" w:rsidR="00E20AA6" w:rsidRPr="00B50802" w:rsidRDefault="00E20AA6" w:rsidP="00E20AA6">
      <w:pPr>
        <w:spacing w:after="0"/>
        <w:rPr>
          <w:noProof/>
          <w:lang w:eastAsia="en-AU"/>
        </w:rPr>
      </w:pPr>
    </w:p>
    <w:p w14:paraId="4759F8B9" w14:textId="77777777" w:rsidR="00E20AA6" w:rsidRPr="00B50802" w:rsidRDefault="00882959" w:rsidP="00E20AA6">
      <w:pPr>
        <w:pStyle w:val="Bullet"/>
        <w:jc w:val="right"/>
        <w:rPr>
          <w:rFonts w:eastAsiaTheme="minorHAnsi" w:cs="Arial"/>
          <w:color w:val="005A70"/>
        </w:rPr>
      </w:pPr>
      <w:r w:rsidRPr="00B50802">
        <w:rPr>
          <w:rFonts w:cs="Arial"/>
          <w:b/>
          <w:noProof/>
          <w:color w:val="005A70"/>
        </w:rPr>
        <mc:AlternateContent>
          <mc:Choice Requires="wps">
            <w:drawing>
              <wp:anchor distT="0" distB="0" distL="114300" distR="114300" simplePos="0" relativeHeight="251658273" behindDoc="0" locked="0" layoutInCell="1" allowOverlap="1" wp14:anchorId="5FD2A922" wp14:editId="71432BDE">
                <wp:simplePos x="0" y="0"/>
                <wp:positionH relativeFrom="margin">
                  <wp:posOffset>-66612</wp:posOffset>
                </wp:positionH>
                <wp:positionV relativeFrom="paragraph">
                  <wp:posOffset>45329</wp:posOffset>
                </wp:positionV>
                <wp:extent cx="5904238" cy="4542155"/>
                <wp:effectExtent l="0" t="0" r="20320" b="10795"/>
                <wp:wrapNone/>
                <wp:docPr id="156" name="Rectangle 156" descr="Decorative"/>
                <wp:cNvGraphicFramePr/>
                <a:graphic xmlns:a="http://schemas.openxmlformats.org/drawingml/2006/main">
                  <a:graphicData uri="http://schemas.microsoft.com/office/word/2010/wordprocessingShape">
                    <wps:wsp>
                      <wps:cNvSpPr/>
                      <wps:spPr>
                        <a:xfrm>
                          <a:off x="0" y="0"/>
                          <a:ext cx="5904238" cy="4542155"/>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42D5" id="Rectangle 156" o:spid="_x0000_s1026" alt="Decorative" style="position:absolute;margin-left:-5.25pt;margin-top:3.55pt;width:464.9pt;height:357.6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" filled="f" strokecolor="#005a70" strokeweight="2pt">
                <w10:wrap anchorx="margin"/>
              </v:rect>
            </w:pict>
          </mc:Fallback>
        </mc:AlternateContent>
      </w:r>
      <w:r w:rsidR="00453E5B" w:rsidRPr="00B50802">
        <w:rPr>
          <w:rFonts w:cs="Arial"/>
          <w:b/>
          <w:noProof/>
          <w:color w:val="005A70"/>
        </w:rPr>
        <w:drawing>
          <wp:anchor distT="0" distB="0" distL="114300" distR="114300" simplePos="0" relativeHeight="251658285" behindDoc="1" locked="0" layoutInCell="1" allowOverlap="1" wp14:anchorId="780C3DCD" wp14:editId="4F39AF38">
            <wp:simplePos x="0" y="0"/>
            <wp:positionH relativeFrom="column">
              <wp:posOffset>36195</wp:posOffset>
            </wp:positionH>
            <wp:positionV relativeFrom="paragraph">
              <wp:posOffset>50736</wp:posOffset>
            </wp:positionV>
            <wp:extent cx="433070" cy="658495"/>
            <wp:effectExtent l="0" t="0" r="5080" b="8255"/>
            <wp:wrapNone/>
            <wp:docPr id="105" name="Picture 10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070" cy="658495"/>
                    </a:xfrm>
                    <a:prstGeom prst="rect">
                      <a:avLst/>
                    </a:prstGeom>
                    <a:noFill/>
                  </pic:spPr>
                </pic:pic>
              </a:graphicData>
            </a:graphic>
            <wp14:sizeRelH relativeFrom="page">
              <wp14:pctWidth>0</wp14:pctWidth>
            </wp14:sizeRelH>
            <wp14:sizeRelV relativeFrom="page">
              <wp14:pctHeight>0</wp14:pctHeight>
            </wp14:sizeRelV>
          </wp:anchor>
        </w:drawing>
      </w:r>
      <w:r w:rsidR="00E20AA6" w:rsidRPr="00B50802">
        <w:rPr>
          <w:rStyle w:val="Strong"/>
          <w:rFonts w:ascii="Georgia" w:eastAsiaTheme="majorEastAsia" w:hAnsi="Georgia" w:cstheme="majorBidi"/>
          <w:sz w:val="28"/>
          <w:szCs w:val="28"/>
        </w:rPr>
        <w:br/>
      </w:r>
      <w:r w:rsidR="00E20AA6" w:rsidRPr="00B50802">
        <w:rPr>
          <w:rFonts w:ascii="Arial" w:eastAsiaTheme="minorHAnsi" w:hAnsi="Arial" w:cs="Arial"/>
          <w:b/>
          <w:color w:val="005A70"/>
        </w:rPr>
        <w:t xml:space="preserve">Case study – Western Australia planning for reform  </w:t>
      </w:r>
    </w:p>
    <w:p w14:paraId="61A7B3E3" w14:textId="77777777" w:rsidR="00E20AA6" w:rsidRPr="00B50802" w:rsidRDefault="00E20AA6" w:rsidP="00E20AA6"/>
    <w:p w14:paraId="79ACEDC4" w14:textId="77777777" w:rsidR="00E20AA6" w:rsidRPr="00B50802" w:rsidRDefault="00E20AA6" w:rsidP="00E20AA6">
      <w:pPr>
        <w:rPr>
          <w:rStyle w:val="ui-provider"/>
        </w:rPr>
      </w:pPr>
      <w:r w:rsidRPr="00B50802">
        <w:rPr>
          <w:rStyle w:val="ui-provider"/>
        </w:rPr>
        <w:t>In 2019, the Western Australian Department of Planning, Lands and Heritage commenced a comprehensive program of planning reform to create an easier to use, more streamlined and strategically focused planning system. Key achievements of Phase 1 – Action Plan for Planning Reforms include the new Design WA policy suite, which has progressively reformed State Planning Policies to create well designed built environments to support vibrant liveable communities. Revised State Planning Policies have since been adopted to guide improved apartment design and precinct scale development, delivering broad housing benefits and outcomes.  </w:t>
      </w:r>
    </w:p>
    <w:p w14:paraId="7A2A8464" w14:textId="77777777" w:rsidR="00E20AA6" w:rsidRPr="00B50802" w:rsidRDefault="00E20AA6" w:rsidP="00E20AA6">
      <w:pPr>
        <w:rPr>
          <w:rStyle w:val="ui-provider"/>
        </w:rPr>
      </w:pPr>
      <w:r w:rsidRPr="00B50802">
        <w:rPr>
          <w:rStyle w:val="ui-provider"/>
        </w:rPr>
        <w:t>Phase 2 – Planning Reforms is now examining opportunities for the WA Planning system to better support the delivery of social housing. These reforms include:</w:t>
      </w:r>
    </w:p>
    <w:p w14:paraId="4C25EAD6" w14:textId="77777777" w:rsidR="00E20AA6" w:rsidRPr="00B50802" w:rsidRDefault="00E20AA6" w:rsidP="00E20AA6">
      <w:pPr>
        <w:pStyle w:val="Bullets"/>
        <w:rPr>
          <w:rStyle w:val="ui-provider"/>
        </w:rPr>
      </w:pPr>
      <w:r w:rsidRPr="00B50802">
        <w:rPr>
          <w:rStyle w:val="ui-provider"/>
        </w:rPr>
        <w:t>reviewing delegations to the Department of Communities to increase scale of development (up to 20 dwellings) that can be determined ‘in-house’ (reform complete)</w:t>
      </w:r>
    </w:p>
    <w:p w14:paraId="65AEECFB" w14:textId="77777777" w:rsidR="00E20AA6" w:rsidRPr="00B50802" w:rsidRDefault="00E20AA6" w:rsidP="00E20AA6">
      <w:pPr>
        <w:pStyle w:val="Bullets"/>
        <w:rPr>
          <w:rStyle w:val="ui-provider"/>
        </w:rPr>
      </w:pPr>
      <w:r w:rsidRPr="00B50802">
        <w:rPr>
          <w:rStyle w:val="ui-provider"/>
        </w:rPr>
        <w:t>reviewing Region Planning Schemes to achieve greater alignment, where aligned exemptions would exempt approximately 98% of development from the need to obtain development approval (under review)</w:t>
      </w:r>
    </w:p>
    <w:p w14:paraId="02C63FD7" w14:textId="77777777" w:rsidR="00E20AA6" w:rsidRPr="00B50802" w:rsidRDefault="00E20AA6" w:rsidP="000837D5">
      <w:pPr>
        <w:pStyle w:val="Bullets"/>
        <w:spacing w:after="240"/>
        <w:ind w:left="714" w:hanging="357"/>
        <w:rPr>
          <w:rStyle w:val="ui-provider"/>
        </w:rPr>
      </w:pPr>
      <w:r w:rsidRPr="00B50802">
        <w:rPr>
          <w:rStyle w:val="ui-provider"/>
        </w:rPr>
        <w:t>investigating the provision of a density bonus to incentivise private sector development that includes the provision of at least 5% social or community housing.</w:t>
      </w:r>
    </w:p>
    <w:p w14:paraId="0A8BC8BE" w14:textId="77777777" w:rsidR="00E20AA6" w:rsidRPr="009274D8" w:rsidRDefault="00E20AA6" w:rsidP="009274D8">
      <w:pPr>
        <w:pStyle w:val="Bullet"/>
        <w:tabs>
          <w:tab w:val="clear" w:pos="520"/>
          <w:tab w:val="num" w:pos="0"/>
        </w:tabs>
        <w:spacing w:after="200"/>
        <w:ind w:left="0" w:firstLine="0"/>
        <w:rPr>
          <w:rFonts w:ascii="Georgia" w:hAnsi="Georgia"/>
          <w:b/>
          <w:sz w:val="28"/>
        </w:rPr>
      </w:pPr>
      <w:bookmarkStart w:id="1851" w:name="_Toc134784722"/>
      <w:bookmarkStart w:id="1852" w:name="_Toc135035241"/>
      <w:bookmarkStart w:id="1853" w:name="_Toc135060918"/>
      <w:bookmarkStart w:id="1854" w:name="_Toc135161390"/>
      <w:bookmarkStart w:id="1855" w:name="_Toc135162336"/>
      <w:bookmarkStart w:id="1856" w:name="_Toc135162510"/>
      <w:bookmarkStart w:id="1857" w:name="_Toc135206089"/>
      <w:bookmarkStart w:id="1858" w:name="_Toc135206174"/>
      <w:bookmarkStart w:id="1859" w:name="_Toc139464332"/>
      <w:bookmarkStart w:id="1860" w:name="_Toc141969867"/>
      <w:bookmarkStart w:id="1861" w:name="_Toc141972490"/>
      <w:bookmarkStart w:id="1862" w:name="_Toc141972703"/>
      <w:bookmarkStart w:id="1863" w:name="_Toc141972977"/>
      <w:bookmarkStart w:id="1864" w:name="_Toc142042537"/>
      <w:bookmarkStart w:id="1865" w:name="_Toc142042810"/>
      <w:r w:rsidRPr="009274D8">
        <w:rPr>
          <w:rFonts w:ascii="Georgia" w:hAnsi="Georgia"/>
          <w:b/>
          <w:sz w:val="28"/>
        </w:rPr>
        <w:t>Productivity Commission Review – recommendations on planning and zoning</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2FA0C5E4" w14:textId="4E73187F" w:rsidR="00CF32CF" w:rsidRPr="00B50802" w:rsidRDefault="00E20AA6" w:rsidP="00CF32CF">
      <w:r w:rsidRPr="00B50802">
        <w:t>T</w:t>
      </w:r>
      <w:r w:rsidR="00CF32CF" w:rsidRPr="00B50802">
        <w:t xml:space="preserve">he 2022 Productivity Commission’s review of the National Housing and Homelessness Agreement explored land use planning and zoning. The review acknowledged the importance of planning and zoning regulations and how </w:t>
      </w:r>
      <w:r w:rsidR="008A6FEE">
        <w:t>they</w:t>
      </w:r>
      <w:r w:rsidR="008A6FEE" w:rsidRPr="00B50802">
        <w:t xml:space="preserve"> </w:t>
      </w:r>
      <w:r w:rsidR="00CF32CF" w:rsidRPr="00B50802">
        <w:t>can both positively and negatively affect the supply and affordability of new housing (including consideration of inclusionary zoning and land release strategies).</w:t>
      </w:r>
    </w:p>
    <w:p w14:paraId="45D49462" w14:textId="77777777" w:rsidR="00CF32CF" w:rsidRPr="00B50802" w:rsidRDefault="00CF32CF" w:rsidP="00CF32CF">
      <w:r w:rsidRPr="00B50802">
        <w:t>The review argue</w:t>
      </w:r>
      <w:r w:rsidR="00181AFB" w:rsidRPr="00B50802">
        <w:t>d</w:t>
      </w:r>
      <w:r w:rsidRPr="00B50802">
        <w:t xml:space="preserve"> although states are reforming land use planning, more needs </w:t>
      </w:r>
      <w:r w:rsidRPr="00B50802">
        <w:br/>
        <w:t>to be done to ensure housing supply responds to demand. As such, the review made the following recommendations in relation to land use planning:</w:t>
      </w:r>
    </w:p>
    <w:p w14:paraId="074D5905" w14:textId="77777777" w:rsidR="00CF32CF" w:rsidRPr="00B50802" w:rsidRDefault="00181AFB" w:rsidP="00F17FAF">
      <w:pPr>
        <w:pStyle w:val="ListParagraph"/>
        <w:numPr>
          <w:ilvl w:val="0"/>
          <w:numId w:val="3"/>
        </w:numPr>
        <w:ind w:left="714" w:hanging="357"/>
        <w:contextualSpacing w:val="0"/>
      </w:pPr>
      <w:r w:rsidRPr="00B50802">
        <w:t>s</w:t>
      </w:r>
      <w:r w:rsidR="00CF32CF" w:rsidRPr="00B50802">
        <w:t>tates should report annual progress against land supply targets</w:t>
      </w:r>
    </w:p>
    <w:p w14:paraId="3D5CD5B4" w14:textId="77777777" w:rsidR="00CF32CF" w:rsidRPr="00B50802" w:rsidRDefault="00181AFB" w:rsidP="00F17FAF">
      <w:pPr>
        <w:pStyle w:val="ListParagraph"/>
        <w:numPr>
          <w:ilvl w:val="0"/>
          <w:numId w:val="3"/>
        </w:numPr>
        <w:ind w:left="714" w:hanging="357"/>
        <w:contextualSpacing w:val="0"/>
      </w:pPr>
      <w:r w:rsidRPr="00B50802">
        <w:t>s</w:t>
      </w:r>
      <w:r w:rsidR="00CF32CF" w:rsidRPr="00B50802">
        <w:t>tate and local governments should revise their planning regulations to promote greater housing density and diversity</w:t>
      </w:r>
    </w:p>
    <w:p w14:paraId="2D7F3FC5" w14:textId="77777777" w:rsidR="00CF32CF" w:rsidRPr="00B50802" w:rsidRDefault="00181AFB" w:rsidP="00F17FAF">
      <w:pPr>
        <w:pStyle w:val="ListParagraph"/>
        <w:numPr>
          <w:ilvl w:val="0"/>
          <w:numId w:val="3"/>
        </w:numPr>
        <w:ind w:left="714" w:hanging="357"/>
        <w:contextualSpacing w:val="0"/>
      </w:pPr>
      <w:r w:rsidRPr="00B50802">
        <w:t>a</w:t>
      </w:r>
      <w:r w:rsidR="00CF32CF" w:rsidRPr="00B50802">
        <w:t>ll states should set housing targets and work with local governments to meet these targets</w:t>
      </w:r>
    </w:p>
    <w:p w14:paraId="05BE3931" w14:textId="77777777" w:rsidR="00CF32CF" w:rsidRPr="00B50802" w:rsidRDefault="00181AFB" w:rsidP="00F17FAF">
      <w:pPr>
        <w:pStyle w:val="ListParagraph"/>
        <w:numPr>
          <w:ilvl w:val="0"/>
          <w:numId w:val="3"/>
        </w:numPr>
        <w:ind w:left="714" w:hanging="357"/>
        <w:contextualSpacing w:val="0"/>
      </w:pPr>
      <w:r w:rsidRPr="00B50802">
        <w:t>t</w:t>
      </w:r>
      <w:r w:rsidR="00CF32CF" w:rsidRPr="00B50802">
        <w:t>he next National Housing and Homelessness Agreement should acknowledge the importance of housing supply as a solution to housing affordability and replace planning reforms with housing targets.</w:t>
      </w:r>
    </w:p>
    <w:p w14:paraId="6DA4D15C" w14:textId="77777777" w:rsidR="00CF32CF" w:rsidRPr="00B50802" w:rsidRDefault="00CF32CF" w:rsidP="00CF32CF">
      <w:r w:rsidRPr="00B50802">
        <w:lastRenderedPageBreak/>
        <w:t xml:space="preserve">In March 2021, the </w:t>
      </w:r>
      <w:r w:rsidR="00181AFB" w:rsidRPr="00B50802">
        <w:t xml:space="preserve">Productivity </w:t>
      </w:r>
      <w:r w:rsidRPr="00B50802">
        <w:t xml:space="preserve">Commission also released </w:t>
      </w:r>
      <w:r w:rsidRPr="00B50802">
        <w:rPr>
          <w:i/>
          <w:iCs/>
        </w:rPr>
        <w:t>the Plan to Identify Planning and Zoning Reforms</w:t>
      </w:r>
      <w:r w:rsidRPr="00B50802">
        <w:t xml:space="preserve"> which considered the impacts </w:t>
      </w:r>
      <w:r w:rsidR="00181AFB" w:rsidRPr="00B50802">
        <w:t xml:space="preserve">of </w:t>
      </w:r>
      <w:r w:rsidRPr="00B50802">
        <w:t xml:space="preserve">planning and zoning policy on patterns </w:t>
      </w:r>
      <w:r w:rsidRPr="00B50802">
        <w:br/>
        <w:t xml:space="preserve">of economic activity. </w:t>
      </w:r>
    </w:p>
    <w:p w14:paraId="670097FA" w14:textId="77777777" w:rsidR="00CF32CF" w:rsidRPr="00B50802" w:rsidRDefault="00CF32CF" w:rsidP="00CF32CF">
      <w:r w:rsidRPr="00B50802">
        <w:t>The paper suggested the following reforms:</w:t>
      </w:r>
    </w:p>
    <w:p w14:paraId="1CD33ED8" w14:textId="77777777" w:rsidR="00CF32CF" w:rsidRPr="00B50802" w:rsidRDefault="00CF32CF" w:rsidP="00BC0294">
      <w:pPr>
        <w:pStyle w:val="Bullets"/>
        <w:numPr>
          <w:ilvl w:val="0"/>
          <w:numId w:val="41"/>
        </w:numPr>
      </w:pPr>
      <w:r w:rsidRPr="00B50802">
        <w:t xml:space="preserve">aligning plans at different levels of government so governments are collectively better able to meet their development objectives </w:t>
      </w:r>
    </w:p>
    <w:p w14:paraId="6F1EA2F5" w14:textId="77777777" w:rsidR="00CF32CF" w:rsidRPr="00B50802" w:rsidRDefault="00CF32CF" w:rsidP="00BC0294">
      <w:pPr>
        <w:pStyle w:val="Bullets"/>
        <w:numPr>
          <w:ilvl w:val="0"/>
          <w:numId w:val="41"/>
        </w:numPr>
      </w:pPr>
      <w:r w:rsidRPr="00B50802">
        <w:t>creating land use regulations which allow for a broad range of uses and wherever possible limiting the need for rezoning or</w:t>
      </w:r>
      <w:r w:rsidR="00C90677" w:rsidRPr="00B50802">
        <w:t xml:space="preserve"> </w:t>
      </w:r>
      <w:r w:rsidRPr="00B50802">
        <w:t>outright prohibitions on certain land uses</w:t>
      </w:r>
    </w:p>
    <w:p w14:paraId="055E7D94" w14:textId="77777777" w:rsidR="00CF32CF" w:rsidRPr="00B50802" w:rsidRDefault="00CF32CF" w:rsidP="00BC0294">
      <w:pPr>
        <w:pStyle w:val="Bullets"/>
        <w:numPr>
          <w:ilvl w:val="0"/>
          <w:numId w:val="41"/>
        </w:numPr>
      </w:pPr>
      <w:r w:rsidRPr="00B50802">
        <w:t>getting more of the simpler decisions out of the detailed assessment processes (through greater use of streamlined assessments or exemptions)</w:t>
      </w:r>
    </w:p>
    <w:p w14:paraId="150451E3" w14:textId="7310888B" w:rsidR="00E20AA6" w:rsidRPr="00B50802" w:rsidRDefault="00095978" w:rsidP="00BC0294">
      <w:pPr>
        <w:pStyle w:val="Bullets"/>
        <w:numPr>
          <w:ilvl w:val="0"/>
          <w:numId w:val="41"/>
        </w:numPr>
      </w:pPr>
      <w:r w:rsidRPr="00B75F7D">
        <w:rPr>
          <w:noProof/>
          <w:lang w:eastAsia="en-AU"/>
        </w:rPr>
        <mc:AlternateContent>
          <mc:Choice Requires="wps">
            <w:drawing>
              <wp:anchor distT="0" distB="0" distL="114300" distR="114300" simplePos="0" relativeHeight="251658274" behindDoc="1" locked="0" layoutInCell="1" allowOverlap="1" wp14:anchorId="443CE42F" wp14:editId="032A1C22">
                <wp:simplePos x="0" y="0"/>
                <wp:positionH relativeFrom="margin">
                  <wp:posOffset>-147955</wp:posOffset>
                </wp:positionH>
                <wp:positionV relativeFrom="paragraph">
                  <wp:posOffset>316024</wp:posOffset>
                </wp:positionV>
                <wp:extent cx="6190974" cy="5354197"/>
                <wp:effectExtent l="0" t="0" r="19685" b="18415"/>
                <wp:wrapNone/>
                <wp:docPr id="49" name="Rectangle 49" descr="Decorative"/>
                <wp:cNvGraphicFramePr/>
                <a:graphic xmlns:a="http://schemas.openxmlformats.org/drawingml/2006/main">
                  <a:graphicData uri="http://schemas.microsoft.com/office/word/2010/wordprocessingShape">
                    <wps:wsp>
                      <wps:cNvSpPr/>
                      <wps:spPr>
                        <a:xfrm>
                          <a:off x="0" y="0"/>
                          <a:ext cx="6190974" cy="5354197"/>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28F7F" id="Rectangle 49" o:spid="_x0000_s1026" alt="Decorative" style="position:absolute;margin-left:-11.65pt;margin-top:24.9pt;width:487.5pt;height:421.6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" fillcolor="#daeef3" strokecolor="black [3213]" strokeweight=".25pt">
                <w10:wrap anchorx="margin"/>
              </v:rect>
            </w:pict>
          </mc:Fallback>
        </mc:AlternateContent>
      </w:r>
      <w:r w:rsidR="00CF32CF" w:rsidRPr="00B50802">
        <w:t>making the administration of development assessments more efficient.</w:t>
      </w:r>
    </w:p>
    <w:p w14:paraId="61C63101" w14:textId="77777777" w:rsidR="00E20AA6" w:rsidRPr="00B50802" w:rsidRDefault="00E20AA6" w:rsidP="00F4737A">
      <w:pPr>
        <w:pStyle w:val="Style1"/>
      </w:pPr>
      <w:bookmarkStart w:id="1866" w:name="_Toc135035242"/>
      <w:bookmarkStart w:id="1867" w:name="_Toc135060919"/>
      <w:bookmarkStart w:id="1868" w:name="_Toc135161391"/>
      <w:bookmarkStart w:id="1869" w:name="_Toc135162337"/>
      <w:bookmarkStart w:id="1870" w:name="_Toc135162511"/>
      <w:bookmarkStart w:id="1871" w:name="_Toc135206090"/>
      <w:bookmarkStart w:id="1872" w:name="_Toc135206175"/>
      <w:bookmarkStart w:id="1873" w:name="_Toc139464333"/>
      <w:bookmarkStart w:id="1874" w:name="_Toc141969868"/>
      <w:bookmarkStart w:id="1875" w:name="_Toc141972491"/>
      <w:bookmarkStart w:id="1876" w:name="_Toc141972704"/>
      <w:bookmarkStart w:id="1877" w:name="_Toc141972978"/>
      <w:bookmarkStart w:id="1878" w:name="_Toc142042538"/>
      <w:bookmarkStart w:id="1879" w:name="_Toc142042811"/>
      <w:r w:rsidRPr="00B50802">
        <w:t>Questions for consideration</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0B52CE68" w14:textId="77777777" w:rsidR="00095978" w:rsidRPr="00B50802" w:rsidRDefault="00EF3D1C" w:rsidP="00F17FAF">
      <w:pPr>
        <w:pStyle w:val="ListParagraph"/>
        <w:numPr>
          <w:ilvl w:val="0"/>
          <w:numId w:val="16"/>
        </w:numPr>
        <w:ind w:left="714" w:hanging="357"/>
        <w:contextualSpacing w:val="0"/>
      </w:pPr>
      <w:r w:rsidRPr="00B50802">
        <w:t xml:space="preserve">To what extent is the supply, affordability and diversity of houses affected by planning and zoning regulations and administrative processes? </w:t>
      </w:r>
    </w:p>
    <w:p w14:paraId="02C5137F" w14:textId="77777777" w:rsidR="00EF3D1C" w:rsidRPr="00B50802" w:rsidRDefault="00EF3D1C" w:rsidP="00F17FAF">
      <w:pPr>
        <w:pStyle w:val="ListParagraph"/>
        <w:numPr>
          <w:ilvl w:val="0"/>
          <w:numId w:val="16"/>
        </w:numPr>
      </w:pPr>
      <w:r w:rsidRPr="00B50802">
        <w:t>How can planning and zoning regulations effectively increase the suppl</w:t>
      </w:r>
      <w:r w:rsidR="005B154A" w:rsidRPr="00B50802">
        <w:t xml:space="preserve">y of land in well-located areas </w:t>
      </w:r>
      <w:r w:rsidR="005B154A" w:rsidRPr="00B50802">
        <w:rPr>
          <w:rFonts w:eastAsia="Times New Roman"/>
        </w:rPr>
        <w:t>taking into consideration current and future hazard risk?</w:t>
      </w:r>
    </w:p>
    <w:p w14:paraId="5D89ACF3" w14:textId="67E99330" w:rsidR="00095978" w:rsidRPr="00B50802" w:rsidRDefault="00095978" w:rsidP="00F17FAF">
      <w:pPr>
        <w:numPr>
          <w:ilvl w:val="0"/>
          <w:numId w:val="16"/>
        </w:numPr>
      </w:pPr>
      <w:r w:rsidRPr="00B50802">
        <w:t>How can government</w:t>
      </w:r>
      <w:r w:rsidR="00C8359E" w:rsidRPr="00B50802">
        <w:t>s</w:t>
      </w:r>
      <w:r w:rsidRPr="00B50802">
        <w:t xml:space="preserve"> work together to be more responsive and flexible to housing demand pressures, both now and in the future?</w:t>
      </w:r>
    </w:p>
    <w:p w14:paraId="05BCE0DE" w14:textId="59A9FFBE" w:rsidR="00095978" w:rsidRPr="00B50802" w:rsidRDefault="00095978" w:rsidP="00F17FAF">
      <w:pPr>
        <w:numPr>
          <w:ilvl w:val="0"/>
          <w:numId w:val="16"/>
        </w:numPr>
      </w:pPr>
      <w:r w:rsidRPr="00B50802">
        <w:t xml:space="preserve">What is the role of </w:t>
      </w:r>
      <w:r w:rsidR="00C8359E" w:rsidRPr="00B50802">
        <w:t>state and local</w:t>
      </w:r>
      <w:r w:rsidRPr="00B50802">
        <w:t xml:space="preserve"> governments in the improvement of speed and/or transparency of development assessment processes to help improve supply of housing and the affordability of homes?</w:t>
      </w:r>
    </w:p>
    <w:p w14:paraId="3A0B4F0F" w14:textId="77777777" w:rsidR="00095978" w:rsidRPr="00B50802" w:rsidRDefault="00095978" w:rsidP="00F17FAF">
      <w:pPr>
        <w:pStyle w:val="ListParagraph"/>
        <w:numPr>
          <w:ilvl w:val="0"/>
          <w:numId w:val="16"/>
        </w:numPr>
        <w:autoSpaceDE w:val="0"/>
        <w:autoSpaceDN w:val="0"/>
        <w:adjustRightInd w:val="0"/>
      </w:pPr>
      <w:r w:rsidRPr="00B50802">
        <w:t>How can the development assessment process address community concerns, so the length of appeals processes is minimised, and developers have an efficient path to resolve issues and gain approval?</w:t>
      </w:r>
    </w:p>
    <w:p w14:paraId="5EE4C4F2" w14:textId="003FF648" w:rsidR="00095978" w:rsidRPr="00B50802" w:rsidRDefault="00095978" w:rsidP="00F17FAF">
      <w:pPr>
        <w:numPr>
          <w:ilvl w:val="0"/>
          <w:numId w:val="16"/>
        </w:numPr>
      </w:pPr>
      <w:r w:rsidRPr="00B50802">
        <w:t xml:space="preserve">How can </w:t>
      </w:r>
      <w:r w:rsidR="003F6259">
        <w:t xml:space="preserve">state and local </w:t>
      </w:r>
      <w:r w:rsidRPr="00B50802">
        <w:t>governments improve accessibility (</w:t>
      </w:r>
      <w:r w:rsidRPr="00B50802">
        <w:rPr>
          <w:rStyle w:val="ui-provider"/>
        </w:rPr>
        <w:t>particular in the physical environment</w:t>
      </w:r>
      <w:r w:rsidRPr="00B50802">
        <w:t>) through planning and zoning, for example, to ensure transport systems are accessible for the whole community?</w:t>
      </w:r>
    </w:p>
    <w:p w14:paraId="0964513B" w14:textId="05DB1C52" w:rsidR="00095978" w:rsidRPr="00B50802" w:rsidRDefault="00095978" w:rsidP="00F17FAF">
      <w:pPr>
        <w:numPr>
          <w:ilvl w:val="0"/>
          <w:numId w:val="16"/>
        </w:numPr>
      </w:pPr>
      <w:r w:rsidRPr="00B50802">
        <w:t xml:space="preserve">What key short, medium and long-term planning and zoning reforms </w:t>
      </w:r>
      <w:r w:rsidR="00C8359E" w:rsidRPr="00B50802">
        <w:t xml:space="preserve">could </w:t>
      </w:r>
      <w:r w:rsidRPr="00B50802">
        <w:t>be explored in the Plan?</w:t>
      </w:r>
    </w:p>
    <w:p w14:paraId="688D0BB0" w14:textId="77777777" w:rsidR="00095978" w:rsidRPr="00B50802" w:rsidRDefault="00095978" w:rsidP="00F17FAF">
      <w:pPr>
        <w:pStyle w:val="Bullets"/>
        <w:numPr>
          <w:ilvl w:val="0"/>
          <w:numId w:val="16"/>
        </w:numPr>
      </w:pPr>
      <w:r w:rsidRPr="00B50802">
        <w:t>What other reforms, beyond planning and zoning, can governments implement to improve the speed and efficiency of the supply of housing?</w:t>
      </w:r>
    </w:p>
    <w:p w14:paraId="0606552E" w14:textId="1D51AEEB" w:rsidR="005B154A" w:rsidRPr="00B50802" w:rsidRDefault="005B154A" w:rsidP="00F17FAF">
      <w:pPr>
        <w:pStyle w:val="Bullets"/>
        <w:numPr>
          <w:ilvl w:val="0"/>
          <w:numId w:val="16"/>
        </w:numPr>
      </w:pPr>
      <w:r w:rsidRPr="00B50802">
        <w:t>How can government</w:t>
      </w:r>
      <w:r w:rsidR="00C8359E" w:rsidRPr="00B50802">
        <w:t>s</w:t>
      </w:r>
      <w:r w:rsidRPr="00B50802">
        <w:t xml:space="preserve"> and other stakeholders (e.g. property developers) ensure that planning and housing decisions do</w:t>
      </w:r>
      <w:r w:rsidR="00EC120A" w:rsidRPr="00B50802">
        <w:t xml:space="preserve"> no</w:t>
      </w:r>
      <w:r w:rsidRPr="00B50802">
        <w:t>t create or embed hazard risks?</w:t>
      </w:r>
    </w:p>
    <w:p w14:paraId="3BFE6AF3" w14:textId="77777777" w:rsidR="00EF3D1C" w:rsidRPr="00B50802" w:rsidRDefault="00EF3D1C">
      <w:pPr>
        <w:rPr>
          <w:rFonts w:cs="Arial"/>
        </w:rPr>
      </w:pPr>
      <w:r w:rsidRPr="00B50802">
        <w:br w:type="page"/>
      </w:r>
    </w:p>
    <w:p w14:paraId="2A59D0AF" w14:textId="77777777" w:rsidR="004F5C88" w:rsidRPr="00B50802" w:rsidRDefault="004F5C88" w:rsidP="00C90677">
      <w:pPr>
        <w:pStyle w:val="Heading2"/>
      </w:pPr>
      <w:bookmarkStart w:id="1880" w:name="_Toc128041558"/>
      <w:bookmarkStart w:id="1881" w:name="_Toc128043363"/>
      <w:bookmarkStart w:id="1882" w:name="_Toc128044755"/>
      <w:bookmarkStart w:id="1883" w:name="_Toc128044803"/>
      <w:bookmarkStart w:id="1884" w:name="_Toc128046338"/>
      <w:bookmarkStart w:id="1885" w:name="_Toc128047223"/>
      <w:bookmarkStart w:id="1886" w:name="_Toc128048250"/>
      <w:bookmarkStart w:id="1887" w:name="_Toc128049422"/>
      <w:bookmarkStart w:id="1888" w:name="_Toc128054959"/>
      <w:bookmarkStart w:id="1889" w:name="_Toc128062104"/>
      <w:bookmarkStart w:id="1890" w:name="_Toc128063242"/>
      <w:bookmarkStart w:id="1891" w:name="_Toc128064577"/>
      <w:bookmarkStart w:id="1892" w:name="_Toc128065150"/>
      <w:bookmarkStart w:id="1893" w:name="_Toc128064941"/>
      <w:bookmarkStart w:id="1894" w:name="_Toc128125908"/>
      <w:bookmarkStart w:id="1895" w:name="_Toc128126150"/>
      <w:bookmarkStart w:id="1896" w:name="_Toc129345274"/>
      <w:bookmarkStart w:id="1897" w:name="_Toc129346023"/>
      <w:bookmarkStart w:id="1898" w:name="_Toc129348501"/>
      <w:bookmarkStart w:id="1899" w:name="_Toc129348593"/>
      <w:bookmarkStart w:id="1900" w:name="_Toc129349421"/>
      <w:bookmarkStart w:id="1901" w:name="_Toc129351680"/>
      <w:bookmarkStart w:id="1902" w:name="_Toc129353957"/>
      <w:bookmarkStart w:id="1903" w:name="_Toc129354156"/>
      <w:bookmarkStart w:id="1904" w:name="_Toc129354258"/>
      <w:bookmarkStart w:id="1905" w:name="_Toc129355788"/>
      <w:bookmarkStart w:id="1906" w:name="_Toc129356737"/>
      <w:bookmarkStart w:id="1907" w:name="_Toc129359519"/>
      <w:bookmarkStart w:id="1908" w:name="_Toc129359609"/>
      <w:bookmarkStart w:id="1909" w:name="_Toc129360259"/>
      <w:bookmarkStart w:id="1910" w:name="_Toc129360504"/>
      <w:bookmarkStart w:id="1911" w:name="_Toc129360831"/>
      <w:bookmarkStart w:id="1912" w:name="_Toc127873478"/>
      <w:bookmarkStart w:id="1913" w:name="_Toc127881154"/>
      <w:bookmarkStart w:id="1914" w:name="_Toc127883131"/>
      <w:bookmarkStart w:id="1915" w:name="_Toc127884724"/>
      <w:bookmarkStart w:id="1916" w:name="_Toc127885789"/>
      <w:bookmarkStart w:id="1917" w:name="_Toc127892108"/>
      <w:bookmarkStart w:id="1918" w:name="_Toc127949780"/>
      <w:bookmarkStart w:id="1919" w:name="_Toc127954304"/>
      <w:bookmarkStart w:id="1920" w:name="_Toc127958443"/>
      <w:bookmarkStart w:id="1921" w:name="_Toc127960323"/>
      <w:bookmarkStart w:id="1922" w:name="_Toc127960429"/>
      <w:bookmarkStart w:id="1923" w:name="_Toc127962415"/>
      <w:bookmarkStart w:id="1924" w:name="_Toc127963094"/>
      <w:bookmarkStart w:id="1925" w:name="_Toc127964093"/>
      <w:bookmarkStart w:id="1926" w:name="_Toc127964547"/>
      <w:bookmarkStart w:id="1927" w:name="_Toc127957710"/>
      <w:bookmarkStart w:id="1928" w:name="_Toc127968800"/>
      <w:bookmarkStart w:id="1929" w:name="_Toc127968829"/>
      <w:bookmarkStart w:id="1930" w:name="_Toc127969692"/>
      <w:bookmarkStart w:id="1931" w:name="_Toc127970410"/>
      <w:bookmarkStart w:id="1932" w:name="_Toc127971972"/>
      <w:bookmarkStart w:id="1933" w:name="_Toc127974284"/>
      <w:bookmarkStart w:id="1934" w:name="_Toc127974806"/>
      <w:bookmarkStart w:id="1935" w:name="_Toc127975961"/>
      <w:bookmarkStart w:id="1936" w:name="_Toc127976392"/>
      <w:bookmarkStart w:id="1937" w:name="_Toc127977532"/>
      <w:bookmarkStart w:id="1938" w:name="_Toc127977860"/>
      <w:bookmarkStart w:id="1939" w:name="_Toc127978629"/>
      <w:bookmarkStart w:id="1940" w:name="_Toc127981690"/>
      <w:bookmarkStart w:id="1941" w:name="_Toc127981312"/>
      <w:bookmarkStart w:id="1942" w:name="_Toc127981925"/>
      <w:bookmarkStart w:id="1943" w:name="_Toc127982870"/>
      <w:bookmarkStart w:id="1944" w:name="_Toc128037624"/>
      <w:bookmarkStart w:id="1945" w:name="_Toc128038079"/>
      <w:bookmarkStart w:id="1946" w:name="_Toc128039393"/>
      <w:bookmarkStart w:id="1947" w:name="_Toc128040539"/>
      <w:bookmarkStart w:id="1948" w:name="_Toc128041561"/>
      <w:bookmarkStart w:id="1949" w:name="_Toc128043366"/>
      <w:bookmarkStart w:id="1950" w:name="_Toc128044758"/>
      <w:bookmarkStart w:id="1951" w:name="_Toc128044806"/>
      <w:bookmarkStart w:id="1952" w:name="_Toc128046341"/>
      <w:bookmarkStart w:id="1953" w:name="_Toc128047226"/>
      <w:bookmarkStart w:id="1954" w:name="_Toc128048253"/>
      <w:bookmarkStart w:id="1955" w:name="_Toc128049425"/>
      <w:bookmarkStart w:id="1956" w:name="_Toc128054962"/>
      <w:bookmarkStart w:id="1957" w:name="_Toc128062107"/>
      <w:bookmarkStart w:id="1958" w:name="_Toc128063245"/>
      <w:bookmarkStart w:id="1959" w:name="_Toc128064580"/>
      <w:bookmarkStart w:id="1960" w:name="_Toc128065153"/>
      <w:bookmarkStart w:id="1961" w:name="_Toc128064944"/>
      <w:bookmarkStart w:id="1962" w:name="_Toc128125911"/>
      <w:bookmarkStart w:id="1963" w:name="_Toc128126153"/>
      <w:bookmarkStart w:id="1964" w:name="_Toc129345277"/>
      <w:bookmarkStart w:id="1965" w:name="_Toc129346026"/>
      <w:bookmarkStart w:id="1966" w:name="_Toc129348504"/>
      <w:bookmarkStart w:id="1967" w:name="_Toc129348596"/>
      <w:bookmarkStart w:id="1968" w:name="_Toc129349424"/>
      <w:bookmarkStart w:id="1969" w:name="_Toc129351683"/>
      <w:bookmarkStart w:id="1970" w:name="_Toc129353960"/>
      <w:bookmarkStart w:id="1971" w:name="_Toc129356740"/>
      <w:bookmarkStart w:id="1972" w:name="_Toc129354159"/>
      <w:bookmarkStart w:id="1973" w:name="_Toc129354261"/>
      <w:bookmarkStart w:id="1974" w:name="_Toc129359522"/>
      <w:bookmarkStart w:id="1975" w:name="_Toc129359612"/>
      <w:bookmarkStart w:id="1976" w:name="_Toc129360262"/>
      <w:bookmarkStart w:id="1977" w:name="_Toc129360507"/>
      <w:bookmarkStart w:id="1978" w:name="_Toc129360834"/>
      <w:bookmarkStart w:id="1979" w:name="_Toc132293098"/>
      <w:bookmarkStart w:id="1980" w:name="_Toc132293475"/>
      <w:bookmarkStart w:id="1981" w:name="_Toc132293564"/>
      <w:bookmarkStart w:id="1982" w:name="_Toc132294178"/>
      <w:bookmarkStart w:id="1983" w:name="_Toc132360631"/>
      <w:bookmarkStart w:id="1984" w:name="_Toc132708343"/>
      <w:bookmarkStart w:id="1985" w:name="_Toc133839377"/>
      <w:bookmarkStart w:id="1986" w:name="_Toc133840282"/>
      <w:bookmarkStart w:id="1987" w:name="_Toc135162338"/>
      <w:bookmarkStart w:id="1988" w:name="_Toc141972492"/>
      <w:bookmarkStart w:id="1989" w:name="_Toc141972705"/>
      <w:bookmarkStart w:id="1990" w:name="_Toc141972979"/>
      <w:bookmarkStart w:id="1991" w:name="_Toc142042539"/>
      <w:bookmarkStart w:id="1992" w:name="_Toc142042812"/>
      <w:bookmarkStart w:id="1993" w:name="_Toc142051875"/>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rsidRPr="00B50802">
        <w:lastRenderedPageBreak/>
        <w:t>3.</w:t>
      </w:r>
      <w:r w:rsidR="00BD1D92" w:rsidRPr="00B50802">
        <w:t>7</w:t>
      </w:r>
      <w:r w:rsidRPr="00B50802">
        <w:t xml:space="preserve"> </w:t>
      </w:r>
      <w:r w:rsidR="0081131A" w:rsidRPr="00B50802">
        <w:t xml:space="preserve">The </w:t>
      </w:r>
      <w:r w:rsidR="001722E2" w:rsidRPr="00B50802">
        <w:t>i</w:t>
      </w:r>
      <w:r w:rsidR="0081131A" w:rsidRPr="00B50802">
        <w:t xml:space="preserve">mpact of </w:t>
      </w:r>
      <w:r w:rsidR="001722E2" w:rsidRPr="00B50802">
        <w:t>c</w:t>
      </w:r>
      <w:r w:rsidRPr="00B50802">
        <w:t xml:space="preserve">limate </w:t>
      </w:r>
      <w:r w:rsidR="001722E2" w:rsidRPr="00B50802">
        <w:t>c</w:t>
      </w:r>
      <w:r w:rsidRPr="00B50802">
        <w:t xml:space="preserve">hange and </w:t>
      </w:r>
      <w:r w:rsidR="001722E2" w:rsidRPr="00B50802">
        <w:t>d</w:t>
      </w:r>
      <w:r w:rsidRPr="00B50802">
        <w:t xml:space="preserve">isasters on </w:t>
      </w:r>
      <w:r w:rsidR="001722E2" w:rsidRPr="00B50802">
        <w:t>h</w:t>
      </w:r>
      <w:r w:rsidRPr="00B50802">
        <w:t xml:space="preserve">ousing </w:t>
      </w:r>
      <w:r w:rsidR="001722E2" w:rsidRPr="00B50802">
        <w:t>s</w:t>
      </w:r>
      <w:r w:rsidRPr="00B50802">
        <w:t>ecurity</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r w:rsidR="00431B15" w:rsidRPr="00B50802">
        <w:t xml:space="preserve">, </w:t>
      </w:r>
      <w:r w:rsidR="001722E2" w:rsidRPr="00B50802">
        <w:t>s</w:t>
      </w:r>
      <w:r w:rsidR="00431B15" w:rsidRPr="00B50802">
        <w:t xml:space="preserve">ustainability and </w:t>
      </w:r>
      <w:r w:rsidR="001722E2" w:rsidRPr="00B50802">
        <w:t>h</w:t>
      </w:r>
      <w:r w:rsidR="00431B15" w:rsidRPr="00B50802">
        <w:t>ealth</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14:paraId="52A78C56" w14:textId="77777777" w:rsidR="0074320A" w:rsidRPr="009274D8" w:rsidRDefault="0074320A" w:rsidP="009274D8">
      <w:pPr>
        <w:pStyle w:val="Bullet"/>
        <w:tabs>
          <w:tab w:val="clear" w:pos="520"/>
          <w:tab w:val="num" w:pos="0"/>
        </w:tabs>
        <w:spacing w:after="200"/>
        <w:ind w:left="0" w:firstLine="0"/>
        <w:rPr>
          <w:rFonts w:ascii="Georgia" w:hAnsi="Georgia"/>
          <w:b/>
          <w:sz w:val="28"/>
        </w:rPr>
      </w:pPr>
      <w:bookmarkStart w:id="1994" w:name="_Toc134784725"/>
      <w:bookmarkStart w:id="1995" w:name="_Toc135035244"/>
      <w:bookmarkStart w:id="1996" w:name="_Toc135060921"/>
      <w:bookmarkStart w:id="1997" w:name="_Toc135161393"/>
      <w:bookmarkStart w:id="1998" w:name="_Toc135162339"/>
      <w:bookmarkStart w:id="1999" w:name="_Toc135162513"/>
      <w:bookmarkStart w:id="2000" w:name="_Toc135206092"/>
      <w:bookmarkStart w:id="2001" w:name="_Toc135206177"/>
      <w:bookmarkStart w:id="2002" w:name="_Toc139464335"/>
      <w:bookmarkStart w:id="2003" w:name="_Toc141969870"/>
      <w:bookmarkStart w:id="2004" w:name="_Toc141972493"/>
      <w:bookmarkStart w:id="2005" w:name="_Toc141972706"/>
      <w:bookmarkStart w:id="2006" w:name="_Toc141972980"/>
      <w:bookmarkStart w:id="2007" w:name="_Toc142042540"/>
      <w:bookmarkStart w:id="2008" w:name="_Toc142042813"/>
      <w:bookmarkEnd w:id="1222"/>
      <w:bookmarkEnd w:id="1223"/>
      <w:bookmarkEnd w:id="1224"/>
      <w:bookmarkEnd w:id="1225"/>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9274D8">
        <w:rPr>
          <w:rFonts w:ascii="Georgia" w:hAnsi="Georgia"/>
          <w:b/>
          <w:sz w:val="28"/>
        </w:rPr>
        <w:t>Climate change impacts the availability and quality of housing</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9274D8">
        <w:rPr>
          <w:rFonts w:ascii="Georgia" w:hAnsi="Georgia"/>
          <w:b/>
          <w:sz w:val="28"/>
        </w:rPr>
        <w:t xml:space="preserve"> </w:t>
      </w:r>
    </w:p>
    <w:p w14:paraId="00BF9304" w14:textId="73304F32" w:rsidR="0074320A" w:rsidRPr="00B50802" w:rsidRDefault="0074320A" w:rsidP="00C90677">
      <w:r w:rsidRPr="00B50802">
        <w:t xml:space="preserve">As the </w:t>
      </w:r>
      <w:r w:rsidR="000F288D" w:rsidRPr="00B50802">
        <w:t>c</w:t>
      </w:r>
      <w:r w:rsidRPr="00B50802">
        <w:t xml:space="preserve">limate warms, Australia will experience </w:t>
      </w:r>
      <w:r w:rsidR="00EF1E90" w:rsidRPr="00B50802">
        <w:t>both acute and slow-onset climate impacts. Acute impacts (disasters) can affect the availability of housing, while slow-onset impacts such as increases in average temperatures can affect occupants’ comfort. Examples of expected climate impacts include</w:t>
      </w:r>
      <w:r w:rsidRPr="00B50802">
        <w:t xml:space="preserve"> rising sea levels, longer fire seasons,</w:t>
      </w:r>
      <w:r w:rsidRPr="00B50802" w:rsidDel="00702214">
        <w:t xml:space="preserve"> </w:t>
      </w:r>
      <w:r w:rsidRPr="00B50802">
        <w:t>more heatwaves, flooding, storm surges and short-term heavy rainfall.</w:t>
      </w:r>
      <w:r w:rsidR="006B1A6A" w:rsidRPr="00B50802">
        <w:rPr>
          <w:rStyle w:val="FootnoteReference"/>
          <w:rFonts w:cs="Arial"/>
        </w:rPr>
        <w:footnoteReference w:id="153"/>
      </w:r>
      <w:r w:rsidRPr="00B50802">
        <w:t xml:space="preserve"> </w:t>
      </w:r>
    </w:p>
    <w:p w14:paraId="5077B6C7" w14:textId="7C0C4FAA" w:rsidR="00BD63F1" w:rsidRPr="00B50802" w:rsidRDefault="00C90677" w:rsidP="00C90677">
      <w:r w:rsidRPr="00B50802">
        <w:t>T</w:t>
      </w:r>
      <w:r w:rsidR="0074320A" w:rsidRPr="00B50802">
        <w:t>he impacts of disasters are being felt</w:t>
      </w:r>
      <w:r w:rsidRPr="00B50802">
        <w:t xml:space="preserve"> across the country</w:t>
      </w:r>
      <w:r w:rsidR="0074320A" w:rsidRPr="00B50802">
        <w:t>. Floods and fires have caused wi</w:t>
      </w:r>
      <w:r w:rsidR="00F416C7" w:rsidRPr="00B50802">
        <w:t>de</w:t>
      </w:r>
      <w:r w:rsidRPr="00B50802">
        <w:t>-</w:t>
      </w:r>
      <w:r w:rsidR="0074320A" w:rsidRPr="00B50802">
        <w:t>scale damage to, and loss of, housing</w:t>
      </w:r>
      <w:r w:rsidR="000F288D" w:rsidRPr="00B50802">
        <w:t>,</w:t>
      </w:r>
      <w:r w:rsidR="0074320A" w:rsidRPr="00B50802">
        <w:t xml:space="preserve"> often impacting entire communities.</w:t>
      </w:r>
      <w:r w:rsidR="00703E9D" w:rsidRPr="00B50802">
        <w:t xml:space="preserve"> This is expected to continue as climate change increases the rate and severity of </w:t>
      </w:r>
      <w:r w:rsidR="00F416C7" w:rsidRPr="00B50802">
        <w:t xml:space="preserve">these </w:t>
      </w:r>
      <w:r w:rsidR="00703E9D" w:rsidRPr="00B50802">
        <w:t>disasters</w:t>
      </w:r>
      <w:r w:rsidR="0074320A" w:rsidRPr="00B50802">
        <w:t>.</w:t>
      </w:r>
      <w:r w:rsidR="00377C63" w:rsidRPr="00B50802">
        <w:rPr>
          <w:rStyle w:val="FootnoteReference"/>
          <w:rFonts w:cs="Arial"/>
        </w:rPr>
        <w:footnoteReference w:id="154"/>
      </w:r>
      <w:r w:rsidR="00B20E45" w:rsidRPr="00B50802">
        <w:t xml:space="preserve"> </w:t>
      </w:r>
      <w:r w:rsidR="00C6276E" w:rsidRPr="00B50802">
        <w:t>Community r</w:t>
      </w:r>
      <w:r w:rsidR="0074320A" w:rsidRPr="00B50802">
        <w:t>ecovery from disaster</w:t>
      </w:r>
      <w:r w:rsidR="00C72DD3" w:rsidRPr="00B50802">
        <w:t xml:space="preserve"> events</w:t>
      </w:r>
      <w:r w:rsidR="0074320A" w:rsidRPr="00B50802">
        <w:t xml:space="preserve"> is often slow</w:t>
      </w:r>
      <w:r w:rsidR="00C6276E" w:rsidRPr="00B50802">
        <w:t xml:space="preserve">, with significant additional resources and capacity </w:t>
      </w:r>
      <w:r w:rsidR="00C8359E" w:rsidRPr="00B50802">
        <w:t>required</w:t>
      </w:r>
      <w:r w:rsidR="00C6276E" w:rsidRPr="00B50802">
        <w:t xml:space="preserve"> to support those living in affected areas</w:t>
      </w:r>
      <w:r w:rsidR="0074320A" w:rsidRPr="00B50802">
        <w:t>.</w:t>
      </w:r>
      <w:r w:rsidR="00802608" w:rsidRPr="00B50802">
        <w:rPr>
          <w:rStyle w:val="FootnoteReference"/>
          <w:rFonts w:cs="Arial"/>
        </w:rPr>
        <w:footnoteReference w:id="155"/>
      </w:r>
      <w:r w:rsidR="00303003" w:rsidRPr="00B50802">
        <w:t xml:space="preserve"> </w:t>
      </w:r>
      <w:r w:rsidR="00F070B2" w:rsidRPr="00B50802">
        <w:t xml:space="preserve">Climate disasters can place strain on transitional </w:t>
      </w:r>
      <w:r w:rsidR="0069455A" w:rsidRPr="00B50802">
        <w:t xml:space="preserve">and short-term housing services </w:t>
      </w:r>
      <w:r w:rsidR="002D3046" w:rsidRPr="00B50802">
        <w:t xml:space="preserve">and providers </w:t>
      </w:r>
      <w:r w:rsidR="0069455A" w:rsidRPr="00B50802">
        <w:t>as well as</w:t>
      </w:r>
      <w:r w:rsidR="00F070B2" w:rsidRPr="00B50802">
        <w:t xml:space="preserve"> the broader housing sector due to increased demand. </w:t>
      </w:r>
      <w:r w:rsidRPr="00B50802">
        <w:t>T</w:t>
      </w:r>
      <w:r w:rsidR="00095BEF" w:rsidRPr="00B50802">
        <w:t xml:space="preserve">he </w:t>
      </w:r>
      <w:r w:rsidR="00303003" w:rsidRPr="00B50802">
        <w:t>National Emergency Management Agency</w:t>
      </w:r>
      <w:r w:rsidR="00703E9D" w:rsidRPr="00B50802">
        <w:t xml:space="preserve"> </w:t>
      </w:r>
      <w:r w:rsidR="004148B3" w:rsidRPr="00B50802">
        <w:t xml:space="preserve">works </w:t>
      </w:r>
      <w:r w:rsidR="0084536C" w:rsidRPr="00B50802">
        <w:t>with</w:t>
      </w:r>
      <w:r w:rsidR="0082247F" w:rsidRPr="00B50802">
        <w:t xml:space="preserve"> </w:t>
      </w:r>
      <w:r w:rsidR="004148B3" w:rsidRPr="00B50802">
        <w:t>local communities to provide</w:t>
      </w:r>
      <w:r w:rsidR="00095BEF" w:rsidRPr="00B50802">
        <w:t xml:space="preserve"> strategic oversight and guidance</w:t>
      </w:r>
      <w:r w:rsidRPr="00B50802">
        <w:t xml:space="preserve"> to help prepare for, respond to and recover from disaster events</w:t>
      </w:r>
      <w:r w:rsidR="004148B3" w:rsidRPr="00B50802">
        <w:t xml:space="preserve">. </w:t>
      </w:r>
    </w:p>
    <w:p w14:paraId="1BABBE39" w14:textId="77777777" w:rsidR="00785900" w:rsidRPr="00B50802" w:rsidRDefault="0074320A" w:rsidP="00C90677">
      <w:r w:rsidRPr="00B50802">
        <w:t xml:space="preserve">Even for those who are not impacted by </w:t>
      </w:r>
      <w:r w:rsidR="00644B6D" w:rsidRPr="00B50802">
        <w:t>disasters</w:t>
      </w:r>
      <w:r w:rsidRPr="00B50802">
        <w:t xml:space="preserve">, the impacts of climate change can </w:t>
      </w:r>
      <w:r w:rsidR="00D93730" w:rsidRPr="00B50802">
        <w:br/>
      </w:r>
      <w:r w:rsidRPr="00B50802">
        <w:t xml:space="preserve">be seen in rising costs </w:t>
      </w:r>
      <w:r w:rsidR="000E24CE" w:rsidRPr="00B50802">
        <w:t>for households</w:t>
      </w:r>
      <w:r w:rsidRPr="00B50802">
        <w:t xml:space="preserve">. Climate change impacts housing costs in a number </w:t>
      </w:r>
      <w:r w:rsidR="00D93730" w:rsidRPr="00B50802">
        <w:br/>
      </w:r>
      <w:r w:rsidRPr="00B50802">
        <w:t>of ways</w:t>
      </w:r>
      <w:r w:rsidR="00C06D0E" w:rsidRPr="00B50802">
        <w:t>,</w:t>
      </w:r>
      <w:r w:rsidR="00BB1CDC" w:rsidRPr="00B50802">
        <w:rPr>
          <w:rStyle w:val="FootnoteReference"/>
          <w:rFonts w:cs="Arial"/>
        </w:rPr>
        <w:footnoteReference w:id="156"/>
      </w:r>
      <w:r w:rsidRPr="00B50802">
        <w:t xml:space="preserve"> including</w:t>
      </w:r>
      <w:r w:rsidR="00560761" w:rsidRPr="00B50802">
        <w:t xml:space="preserve"> </w:t>
      </w:r>
      <w:r w:rsidR="00644B6D" w:rsidRPr="00B50802">
        <w:t xml:space="preserve">rising insurance premiums and </w:t>
      </w:r>
      <w:r w:rsidR="00560761" w:rsidRPr="00B50802">
        <w:t>increas</w:t>
      </w:r>
      <w:r w:rsidR="00644B6D" w:rsidRPr="00B50802">
        <w:t>ing</w:t>
      </w:r>
      <w:r w:rsidR="00560761" w:rsidRPr="00B50802">
        <w:t xml:space="preserve"> energy </w:t>
      </w:r>
      <w:r w:rsidR="000E24CE" w:rsidRPr="00B50802">
        <w:t>consumption and usage</w:t>
      </w:r>
      <w:r w:rsidR="00560761" w:rsidRPr="00B50802">
        <w:t xml:space="preserve"> and demand</w:t>
      </w:r>
      <w:r w:rsidR="00644B6D" w:rsidRPr="00B50802">
        <w:t xml:space="preserve">. </w:t>
      </w:r>
      <w:r w:rsidR="0099331D" w:rsidRPr="00B50802">
        <w:t>These rising housing costs will particularly impact low</w:t>
      </w:r>
      <w:r w:rsidR="0024779B" w:rsidRPr="00B50802">
        <w:t>-</w:t>
      </w:r>
      <w:r w:rsidR="0099331D" w:rsidRPr="00B50802">
        <w:t>income households</w:t>
      </w:r>
      <w:r w:rsidR="002F435F" w:rsidRPr="00B50802">
        <w:t xml:space="preserve">, who are </w:t>
      </w:r>
      <w:r w:rsidR="009F18D5" w:rsidRPr="00B50802">
        <w:t xml:space="preserve">more </w:t>
      </w:r>
      <w:r w:rsidR="002F435F" w:rsidRPr="00B50802">
        <w:t xml:space="preserve">likely to live in </w:t>
      </w:r>
      <w:r w:rsidR="009F18D5" w:rsidRPr="00B50802">
        <w:t xml:space="preserve">poor quality </w:t>
      </w:r>
      <w:r w:rsidR="002F435F" w:rsidRPr="00B50802">
        <w:t>housing</w:t>
      </w:r>
      <w:r w:rsidR="003440A8" w:rsidRPr="00B50802">
        <w:t xml:space="preserve"> </w:t>
      </w:r>
      <w:r w:rsidR="009F18D5" w:rsidRPr="00B50802">
        <w:t>which</w:t>
      </w:r>
      <w:r w:rsidR="00F33432" w:rsidRPr="00B50802">
        <w:t xml:space="preserve"> require</w:t>
      </w:r>
      <w:r w:rsidR="009F18D5" w:rsidRPr="00B50802">
        <w:t xml:space="preserve"> higher energy usage</w:t>
      </w:r>
      <w:r w:rsidR="0099331D" w:rsidRPr="00B50802">
        <w:t>.</w:t>
      </w:r>
      <w:r w:rsidR="0099331D" w:rsidRPr="00B50802">
        <w:rPr>
          <w:rStyle w:val="FootnoteReference"/>
          <w:rFonts w:cs="Arial"/>
        </w:rPr>
        <w:footnoteReference w:id="157"/>
      </w:r>
    </w:p>
    <w:p w14:paraId="26AD4C0D" w14:textId="0325C785" w:rsidR="0074320A" w:rsidRPr="00B50802" w:rsidRDefault="00560761" w:rsidP="00C90677">
      <w:pPr>
        <w:rPr>
          <w:color w:val="FFFFFF" w:themeColor="background1"/>
        </w:rPr>
      </w:pPr>
      <w:r w:rsidRPr="00B50802">
        <w:t xml:space="preserve">As climate change </w:t>
      </w:r>
      <w:r w:rsidR="008A38B1" w:rsidRPr="00B50802">
        <w:t xml:space="preserve">increases the risk and severity of </w:t>
      </w:r>
      <w:r w:rsidRPr="00B50802">
        <w:t>disasters</w:t>
      </w:r>
      <w:r w:rsidR="008A38B1" w:rsidRPr="00B50802">
        <w:t>, as well as</w:t>
      </w:r>
      <w:r w:rsidRPr="00B50802" w:rsidDel="008A38B1">
        <w:t xml:space="preserve"> </w:t>
      </w:r>
      <w:r w:rsidRPr="00B50802">
        <w:t xml:space="preserve">the cost </w:t>
      </w:r>
      <w:r w:rsidR="00D93730" w:rsidRPr="00B50802">
        <w:br/>
      </w:r>
      <w:r w:rsidRPr="00B50802">
        <w:t>of recovery, insurance is becoming more expensive and unattainable</w:t>
      </w:r>
      <w:r w:rsidR="008A38B1" w:rsidRPr="00B50802">
        <w:t xml:space="preserve">. </w:t>
      </w:r>
      <w:r w:rsidR="00942A25" w:rsidRPr="00B75F7D">
        <w:rPr>
          <w:rFonts w:cs="Arial"/>
        </w:rPr>
        <w:t>One</w:t>
      </w:r>
      <w:r w:rsidR="00DD69E3" w:rsidRPr="00B50802">
        <w:rPr>
          <w:rFonts w:cs="Arial"/>
        </w:rPr>
        <w:t xml:space="preserve"> in 25 houses are expected to have annual damage costs from extreme weather and climate change that make them effectively uninsurable by 2030</w:t>
      </w:r>
      <w:r w:rsidRPr="00B50802">
        <w:t>.</w:t>
      </w:r>
      <w:r w:rsidRPr="00B50802">
        <w:rPr>
          <w:rStyle w:val="FootnoteReference"/>
          <w:rFonts w:cs="Arial"/>
        </w:rPr>
        <w:footnoteReference w:id="158"/>
      </w:r>
      <w:r w:rsidR="00644B6D" w:rsidRPr="00B50802">
        <w:t xml:space="preserve"> Insurance barriers can lead to </w:t>
      </w:r>
      <w:r w:rsidR="008A1B48" w:rsidRPr="00B50802">
        <w:t>h</w:t>
      </w:r>
      <w:r w:rsidR="00644B6D" w:rsidRPr="00B50802">
        <w:t>ousing insecurity following disasters</w:t>
      </w:r>
      <w:r w:rsidR="0099331D" w:rsidRPr="00B50802">
        <w:t>, particularly for low</w:t>
      </w:r>
      <w:r w:rsidR="0024779B" w:rsidRPr="00B50802">
        <w:t>-</w:t>
      </w:r>
      <w:r w:rsidR="0099331D" w:rsidRPr="00B50802">
        <w:t xml:space="preserve">income households </w:t>
      </w:r>
      <w:r w:rsidRPr="00B50802">
        <w:t xml:space="preserve">who </w:t>
      </w:r>
      <w:r w:rsidR="0099331D" w:rsidRPr="00B50802">
        <w:t xml:space="preserve">may not be able to </w:t>
      </w:r>
      <w:r w:rsidRPr="00B50802">
        <w:t xml:space="preserve">pay higher premiums </w:t>
      </w:r>
      <w:r w:rsidR="0099331D" w:rsidRPr="00B50802">
        <w:t>or</w:t>
      </w:r>
      <w:r w:rsidRPr="00B50802">
        <w:t xml:space="preserve"> reloca</w:t>
      </w:r>
      <w:r w:rsidR="00644B6D" w:rsidRPr="00B50802">
        <w:t>te to insurable</w:t>
      </w:r>
      <w:r w:rsidRPr="00B50802">
        <w:t xml:space="preserve"> and appropriate housing.</w:t>
      </w:r>
      <w:r w:rsidRPr="00B50802">
        <w:rPr>
          <w:rStyle w:val="FootnoteReference"/>
          <w:rFonts w:cs="Arial"/>
        </w:rPr>
        <w:footnoteReference w:id="159"/>
      </w:r>
    </w:p>
    <w:p w14:paraId="614B632A" w14:textId="77777777" w:rsidR="008B6AC7" w:rsidRPr="00B50802" w:rsidRDefault="00371663" w:rsidP="00C90677">
      <w:pPr>
        <w:rPr>
          <w:i/>
          <w:color w:val="000000" w:themeColor="text1"/>
        </w:rPr>
      </w:pPr>
      <w:r w:rsidRPr="00B50802">
        <w:rPr>
          <w:color w:val="000000" w:themeColor="text1"/>
        </w:rPr>
        <w:lastRenderedPageBreak/>
        <w:t>In addition, housing quality and sustainability affects our physical and mental health, with one study finding improved energy efficiency and thermal comforts reduced breathlessness and improved mental health of participants.</w:t>
      </w:r>
      <w:r w:rsidRPr="00B50802">
        <w:rPr>
          <w:rStyle w:val="FootnoteReference"/>
          <w:rFonts w:cs="Arial"/>
          <w:color w:val="000000" w:themeColor="text1"/>
        </w:rPr>
        <w:footnoteReference w:id="160"/>
      </w:r>
    </w:p>
    <w:p w14:paraId="2428374C" w14:textId="77777777" w:rsidR="0074320A" w:rsidRPr="00B50802" w:rsidRDefault="0074320A" w:rsidP="008A6FEE">
      <w:pPr>
        <w:pStyle w:val="Heading4"/>
        <w:spacing w:after="200"/>
        <w:rPr>
          <w:b w:val="0"/>
        </w:rPr>
      </w:pPr>
      <w:r w:rsidRPr="00B50802">
        <w:rPr>
          <w:b w:val="0"/>
        </w:rPr>
        <w:t xml:space="preserve">People </w:t>
      </w:r>
      <w:r w:rsidR="0091384C" w:rsidRPr="00B50802">
        <w:rPr>
          <w:b w:val="0"/>
        </w:rPr>
        <w:t>experiencing or</w:t>
      </w:r>
      <w:r w:rsidRPr="00B50802">
        <w:rPr>
          <w:b w:val="0"/>
        </w:rPr>
        <w:t xml:space="preserve"> at risk of homelessness are least able to recover following disasters</w:t>
      </w:r>
    </w:p>
    <w:p w14:paraId="35DE2DCF" w14:textId="77777777" w:rsidR="0074320A" w:rsidRPr="00B50802" w:rsidRDefault="0074320A" w:rsidP="00BE227D">
      <w:r w:rsidRPr="008A6FEE">
        <w:t>Someone without access to appropriate housing (including those experiencing homelessness and cost of living pressures) will be less able to prepare for, endure and recover from extreme weather events.</w:t>
      </w:r>
      <w:r w:rsidR="00B6493F" w:rsidRPr="008A6FEE">
        <w:rPr>
          <w:rStyle w:val="FootnoteReference"/>
          <w:rFonts w:cs="Arial"/>
        </w:rPr>
        <w:footnoteReference w:id="161"/>
      </w:r>
      <w:r w:rsidR="0091384C" w:rsidRPr="008A6FEE">
        <w:t xml:space="preserve"> </w:t>
      </w:r>
      <w:r w:rsidR="00E3102D" w:rsidRPr="008A6FEE">
        <w:t>Limited protection from weather extremes, such as heatwaves, increases the risk of mortality and health conditions.</w:t>
      </w:r>
      <w:r w:rsidR="00597936" w:rsidRPr="008A6FEE">
        <w:rPr>
          <w:rStyle w:val="FootnoteReference"/>
          <w:rFonts w:cs="Arial"/>
        </w:rPr>
        <w:footnoteReference w:id="162"/>
      </w:r>
      <w:r w:rsidR="00E3102D" w:rsidRPr="008A6FEE">
        <w:t xml:space="preserve"> </w:t>
      </w:r>
      <w:r w:rsidR="0091384C" w:rsidRPr="008A6FEE">
        <w:t xml:space="preserve">Someone who </w:t>
      </w:r>
      <w:r w:rsidR="00D93730" w:rsidRPr="008A6FEE">
        <w:br/>
      </w:r>
      <w:r w:rsidR="0091384C" w:rsidRPr="00B50802">
        <w:t xml:space="preserve">is already experiencing homelessness prior to a disaster will often have less access to </w:t>
      </w:r>
      <w:r w:rsidR="00B6493F" w:rsidRPr="00B50802">
        <w:t>public safety</w:t>
      </w:r>
      <w:r w:rsidR="0091384C" w:rsidRPr="00B50802">
        <w:t xml:space="preserve"> information and services, </w:t>
      </w:r>
      <w:r w:rsidR="00B6493F" w:rsidRPr="00B50802">
        <w:t xml:space="preserve">which both </w:t>
      </w:r>
      <w:r w:rsidR="0091384C" w:rsidRPr="00B50802">
        <w:t>increas</w:t>
      </w:r>
      <w:r w:rsidR="00B6493F" w:rsidRPr="00B50802">
        <w:t>es</w:t>
      </w:r>
      <w:r w:rsidR="0091384C" w:rsidRPr="00B50802">
        <w:t xml:space="preserve"> danger during events</w:t>
      </w:r>
      <w:r w:rsidR="00B6493F" w:rsidRPr="00B50802">
        <w:t xml:space="preserve"> and creates barriers for recovery after the event</w:t>
      </w:r>
      <w:r w:rsidR="000D507D" w:rsidRPr="00B50802">
        <w:t>.</w:t>
      </w:r>
      <w:r w:rsidR="000D507D" w:rsidRPr="00B50802">
        <w:rPr>
          <w:rStyle w:val="FootnoteReference"/>
          <w:rFonts w:cs="Arial"/>
        </w:rPr>
        <w:footnoteReference w:id="163"/>
      </w:r>
      <w:r w:rsidR="00B6493F" w:rsidRPr="00B50802">
        <w:t xml:space="preserve"> </w:t>
      </w:r>
      <w:r w:rsidRPr="00B50802">
        <w:t xml:space="preserve">People can </w:t>
      </w:r>
      <w:r w:rsidR="0091384C" w:rsidRPr="00B50802">
        <w:t xml:space="preserve">also </w:t>
      </w:r>
      <w:r w:rsidRPr="00B50802">
        <w:t xml:space="preserve">be left homeless following disasters, for both </w:t>
      </w:r>
      <w:r w:rsidR="00437AB4" w:rsidRPr="00B50802">
        <w:t>long and short periods of time</w:t>
      </w:r>
      <w:r w:rsidRPr="00B50802">
        <w:t>.</w:t>
      </w:r>
      <w:r w:rsidR="007C0C38" w:rsidRPr="00B50802">
        <w:rPr>
          <w:rStyle w:val="FootnoteReference"/>
          <w:rFonts w:cs="Arial"/>
        </w:rPr>
        <w:footnoteReference w:id="164"/>
      </w:r>
      <w:r w:rsidRPr="00B50802">
        <w:t xml:space="preserve"> </w:t>
      </w:r>
    </w:p>
    <w:p w14:paraId="06625BB3" w14:textId="6163F376" w:rsidR="009E7D10" w:rsidRPr="00B50802" w:rsidRDefault="009E7D10" w:rsidP="008A6FEE">
      <w:pPr>
        <w:spacing w:before="200"/>
        <w:outlineLvl w:val="3"/>
        <w:rPr>
          <w:rFonts w:eastAsiaTheme="majorEastAsia" w:cstheme="majorBidi"/>
          <w:bCs/>
          <w:i/>
          <w:iCs/>
        </w:rPr>
      </w:pPr>
      <w:r w:rsidRPr="00B50802">
        <w:rPr>
          <w:rFonts w:eastAsiaTheme="majorEastAsia" w:cstheme="majorBidi"/>
          <w:bCs/>
          <w:i/>
          <w:iCs/>
        </w:rPr>
        <w:t xml:space="preserve">Regional and remote Aboriginal and Torres Strait Islander communities are often more vulnerable to climate change impacts </w:t>
      </w:r>
    </w:p>
    <w:p w14:paraId="62BA09B1" w14:textId="5B63F927" w:rsidR="0074320A" w:rsidRPr="00B50802" w:rsidRDefault="00640472" w:rsidP="00BE227D">
      <w:r w:rsidRPr="00B50802">
        <w:t>Aboriginal and Torres Strait Islander</w:t>
      </w:r>
      <w:r w:rsidR="0074320A" w:rsidRPr="00B50802">
        <w:t xml:space="preserve"> peoples are </w:t>
      </w:r>
      <w:r w:rsidR="009E7D10" w:rsidRPr="00B50802">
        <w:t>more exposed</w:t>
      </w:r>
      <w:r w:rsidR="00DA52D1" w:rsidRPr="00B50802">
        <w:t xml:space="preserve"> </w:t>
      </w:r>
      <w:r w:rsidR="009E7D10" w:rsidRPr="00B50802">
        <w:t>to</w:t>
      </w:r>
      <w:r w:rsidR="0074320A" w:rsidRPr="00B50802">
        <w:t xml:space="preserve"> climate change </w:t>
      </w:r>
      <w:r w:rsidR="00B6493F" w:rsidRPr="00B50802">
        <w:t xml:space="preserve">impacts </w:t>
      </w:r>
      <w:r w:rsidR="0074320A" w:rsidRPr="00B50802">
        <w:t xml:space="preserve">and </w:t>
      </w:r>
      <w:r w:rsidR="009E7D10" w:rsidRPr="00B50802">
        <w:t xml:space="preserve">risk being </w:t>
      </w:r>
      <w:r w:rsidR="0074320A" w:rsidRPr="00B50802">
        <w:t xml:space="preserve">more </w:t>
      </w:r>
      <w:r w:rsidR="009E7D10" w:rsidRPr="00B50802">
        <w:t>affected</w:t>
      </w:r>
      <w:r w:rsidR="0074320A" w:rsidRPr="00B50802">
        <w:t xml:space="preserve">. </w:t>
      </w:r>
      <w:r w:rsidR="00DD69E3" w:rsidRPr="00B50802">
        <w:t>For example, m</w:t>
      </w:r>
      <w:r w:rsidR="0074320A" w:rsidRPr="00B50802">
        <w:t xml:space="preserve">any homes in remote </w:t>
      </w:r>
      <w:r w:rsidRPr="00B50802">
        <w:t>Aboriginal and Torres Strait Islander</w:t>
      </w:r>
      <w:r w:rsidR="0074320A" w:rsidRPr="00B50802">
        <w:t xml:space="preserve"> communities do not have the resources needed to heat and cool in response to e</w:t>
      </w:r>
      <w:r w:rsidR="00437AB4" w:rsidRPr="00B50802">
        <w:t>xtreme weather</w:t>
      </w:r>
      <w:r w:rsidR="0074320A" w:rsidRPr="00B50802">
        <w:t>.</w:t>
      </w:r>
      <w:r w:rsidR="007C0C38" w:rsidRPr="00B50802">
        <w:rPr>
          <w:rStyle w:val="FootnoteReference"/>
          <w:rFonts w:cs="Arial"/>
        </w:rPr>
        <w:footnoteReference w:id="165"/>
      </w:r>
      <w:r w:rsidR="0074320A" w:rsidRPr="00B50802">
        <w:t xml:space="preserve"> This inadequate heating and cooling can affect health, particularly for infants and older Australians.</w:t>
      </w:r>
      <w:r w:rsidR="00D445AA" w:rsidRPr="00B50802">
        <w:t xml:space="preserve"> Providing appropriate and quality housing to withstand adverse climate impacts in regional and remote Aboriginal and Torres Strait Islander communities will not only improve health outcomes, </w:t>
      </w:r>
      <w:r w:rsidR="00BE227D" w:rsidRPr="00B50802">
        <w:t xml:space="preserve">it </w:t>
      </w:r>
      <w:r w:rsidR="00D445AA" w:rsidRPr="00B50802">
        <w:t>will also reduce home running costs and improve affordability in the medium to long</w:t>
      </w:r>
      <w:r w:rsidR="007636E0" w:rsidRPr="00B75F7D">
        <w:t xml:space="preserve"> </w:t>
      </w:r>
      <w:r w:rsidR="00D445AA" w:rsidRPr="00B50802">
        <w:t xml:space="preserve">term. </w:t>
      </w:r>
    </w:p>
    <w:p w14:paraId="1612B10E" w14:textId="0A5C96CE" w:rsidR="00B6493F" w:rsidRPr="00B50802" w:rsidRDefault="00B6493F" w:rsidP="00BE227D">
      <w:r w:rsidRPr="00B50802">
        <w:t xml:space="preserve">Aboriginal and Torres Strait Islander communities have a connection to Country and expertise </w:t>
      </w:r>
      <w:r w:rsidR="00304361" w:rsidRPr="00B50802">
        <w:t>which</w:t>
      </w:r>
      <w:r w:rsidRPr="00B50802">
        <w:t xml:space="preserve"> can strengthen climate change</w:t>
      </w:r>
      <w:r w:rsidR="003761C4" w:rsidRPr="00B50802">
        <w:t xml:space="preserve"> actions,</w:t>
      </w:r>
      <w:r w:rsidRPr="00B50802">
        <w:rPr>
          <w:rStyle w:val="FootnoteReference"/>
          <w:rFonts w:cs="Arial"/>
        </w:rPr>
        <w:footnoteReference w:id="166"/>
      </w:r>
      <w:r w:rsidR="003761C4" w:rsidRPr="00B50802">
        <w:t xml:space="preserve"> such as </w:t>
      </w:r>
      <w:r w:rsidR="00463936" w:rsidRPr="00B50802">
        <w:t xml:space="preserve">ensuring </w:t>
      </w:r>
      <w:r w:rsidR="003761C4" w:rsidRPr="00B50802">
        <w:t xml:space="preserve">place-based initiatives </w:t>
      </w:r>
      <w:r w:rsidR="00463936" w:rsidRPr="00B50802">
        <w:t>are developed to suit the local context and environment</w:t>
      </w:r>
      <w:r w:rsidR="003761C4" w:rsidRPr="00B50802">
        <w:t>.</w:t>
      </w:r>
      <w:r w:rsidRPr="00B50802">
        <w:t xml:space="preserve"> Further, there are better life outcomes when </w:t>
      </w:r>
      <w:r w:rsidR="00640472" w:rsidRPr="00B50802">
        <w:t>Aboriginal and Torres Strait Islander</w:t>
      </w:r>
      <w:r w:rsidRPr="00B50802">
        <w:t xml:space="preserve"> people are included in the decision</w:t>
      </w:r>
      <w:r w:rsidR="00475203">
        <w:noBreakHyphen/>
      </w:r>
      <w:r w:rsidRPr="00B50802">
        <w:t xml:space="preserve">making and development of policy and services </w:t>
      </w:r>
      <w:r w:rsidR="00304361" w:rsidRPr="00B50802">
        <w:t>which</w:t>
      </w:r>
      <w:r w:rsidRPr="00B50802">
        <w:t xml:space="preserve"> affect them.</w:t>
      </w:r>
      <w:r w:rsidRPr="00B50802">
        <w:rPr>
          <w:rStyle w:val="FootnoteReference"/>
          <w:rFonts w:cs="Arial"/>
        </w:rPr>
        <w:footnoteReference w:id="167"/>
      </w:r>
      <w:r w:rsidR="0095475D" w:rsidRPr="00B50802">
        <w:t xml:space="preserve"> In recognition of this, the Australian Government is currently developing the First Nations Clean Energy Strategy in partnership with the First Nations Clean Energy Network.</w:t>
      </w:r>
      <w:r w:rsidR="00E554E1" w:rsidRPr="00B50802">
        <w:rPr>
          <w:rStyle w:val="FootnoteReference"/>
          <w:rFonts w:cs="Arial"/>
        </w:rPr>
        <w:footnoteReference w:id="168"/>
      </w:r>
      <w:r w:rsidR="0095475D" w:rsidRPr="00B50802">
        <w:t xml:space="preserve"> </w:t>
      </w:r>
      <w:r w:rsidR="00961325" w:rsidRPr="00B50802">
        <w:t xml:space="preserve">The first National Climate Risk Assessment will consider nationally significant climate risks including those </w:t>
      </w:r>
      <w:r w:rsidR="00961325" w:rsidRPr="00B50802">
        <w:lastRenderedPageBreak/>
        <w:t>relating to vulnerable groups and the built environment. The inaugural National Adaptation Plan will address the significant risks identified by the assessment.</w:t>
      </w:r>
    </w:p>
    <w:p w14:paraId="661F332F" w14:textId="77777777" w:rsidR="0074320A" w:rsidRPr="00B50802" w:rsidRDefault="00BE227D" w:rsidP="00BE227D">
      <w:r w:rsidRPr="00B50802">
        <w:t xml:space="preserve">More </w:t>
      </w:r>
      <w:r w:rsidR="0074320A" w:rsidRPr="00B50802">
        <w:t xml:space="preserve">information on the need for </w:t>
      </w:r>
      <w:r w:rsidR="00640472" w:rsidRPr="00B50802">
        <w:t>Aboriginal and Torres Strait Islander</w:t>
      </w:r>
      <w:r w:rsidR="0074320A" w:rsidRPr="00B50802">
        <w:t xml:space="preserve"> peoples and </w:t>
      </w:r>
      <w:r w:rsidRPr="00B50802">
        <w:t>g</w:t>
      </w:r>
      <w:r w:rsidR="0074320A" w:rsidRPr="00B50802">
        <w:t xml:space="preserve">overnment </w:t>
      </w:r>
      <w:r w:rsidRPr="00B50802">
        <w:t xml:space="preserve">to </w:t>
      </w:r>
      <w:r w:rsidR="0074320A" w:rsidRPr="00B50802">
        <w:t>work in partnership</w:t>
      </w:r>
      <w:r w:rsidRPr="00B50802">
        <w:t xml:space="preserve"> is in </w:t>
      </w:r>
      <w:r w:rsidR="0074320A" w:rsidRPr="00B50802">
        <w:rPr>
          <w:i/>
          <w:iCs/>
        </w:rPr>
        <w:t>3.</w:t>
      </w:r>
      <w:r w:rsidR="001F6829" w:rsidRPr="00B50802">
        <w:rPr>
          <w:i/>
          <w:iCs/>
        </w:rPr>
        <w:t>3</w:t>
      </w:r>
      <w:r w:rsidRPr="00B50802">
        <w:t xml:space="preserve"> </w:t>
      </w:r>
      <w:r w:rsidRPr="00B50802">
        <w:rPr>
          <w:i/>
          <w:iCs/>
        </w:rPr>
        <w:t>Aboriginal and Torres Strait Islander Housing</w:t>
      </w:r>
      <w:r w:rsidR="0074320A" w:rsidRPr="00B50802">
        <w:t>.</w:t>
      </w:r>
    </w:p>
    <w:p w14:paraId="55FB8EC1" w14:textId="77777777" w:rsidR="0074320A" w:rsidRPr="009274D8" w:rsidRDefault="0074320A" w:rsidP="009274D8">
      <w:pPr>
        <w:pStyle w:val="Bullet"/>
        <w:tabs>
          <w:tab w:val="clear" w:pos="520"/>
          <w:tab w:val="num" w:pos="0"/>
        </w:tabs>
        <w:spacing w:after="200"/>
        <w:ind w:left="0" w:firstLine="0"/>
        <w:rPr>
          <w:rFonts w:ascii="Georgia" w:hAnsi="Georgia"/>
          <w:b/>
          <w:sz w:val="28"/>
        </w:rPr>
      </w:pPr>
      <w:bookmarkStart w:id="2009" w:name="_Toc134784726"/>
      <w:bookmarkStart w:id="2010" w:name="_Toc135035245"/>
      <w:bookmarkStart w:id="2011" w:name="_Toc135060922"/>
      <w:bookmarkStart w:id="2012" w:name="_Toc135161394"/>
      <w:bookmarkStart w:id="2013" w:name="_Toc135162340"/>
      <w:bookmarkStart w:id="2014" w:name="_Toc135162514"/>
      <w:bookmarkStart w:id="2015" w:name="_Toc135206093"/>
      <w:bookmarkStart w:id="2016" w:name="_Toc135206178"/>
      <w:bookmarkStart w:id="2017" w:name="_Toc139464336"/>
      <w:bookmarkStart w:id="2018" w:name="_Toc141969871"/>
      <w:bookmarkStart w:id="2019" w:name="_Toc141972494"/>
      <w:bookmarkStart w:id="2020" w:name="_Toc141972707"/>
      <w:bookmarkStart w:id="2021" w:name="_Toc141972981"/>
      <w:bookmarkStart w:id="2022" w:name="_Toc142042541"/>
      <w:bookmarkStart w:id="2023" w:name="_Toc142042814"/>
      <w:r w:rsidRPr="009274D8">
        <w:rPr>
          <w:rFonts w:ascii="Georgia" w:hAnsi="Georgia"/>
          <w:b/>
          <w:sz w:val="28"/>
        </w:rPr>
        <w:t>Sustainable housing</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2EA0658B" w14:textId="77777777" w:rsidR="004454A1" w:rsidRPr="009274D8" w:rsidRDefault="0074320A" w:rsidP="009274D8">
      <w:pPr>
        <w:pStyle w:val="Bullet"/>
        <w:tabs>
          <w:tab w:val="clear" w:pos="520"/>
          <w:tab w:val="num" w:pos="0"/>
        </w:tabs>
        <w:spacing w:after="200"/>
        <w:ind w:left="0" w:firstLine="0"/>
        <w:rPr>
          <w:rFonts w:ascii="Arial" w:hAnsi="Arial" w:cs="Arial"/>
          <w:i/>
        </w:rPr>
      </w:pPr>
      <w:r w:rsidRPr="009274D8">
        <w:rPr>
          <w:rFonts w:ascii="Arial" w:hAnsi="Arial" w:cs="Arial"/>
          <w:i/>
        </w:rPr>
        <w:t>Appropriate housing can protect Australians from some climate change risks, but many homes are vulnerable to the impacts of climate change</w:t>
      </w:r>
    </w:p>
    <w:p w14:paraId="5A6460C2" w14:textId="12F2AE3A" w:rsidR="008F1255" w:rsidRPr="00B50802" w:rsidRDefault="00D57256" w:rsidP="00E87F6A">
      <w:r w:rsidRPr="00B50802">
        <w:t>Effective housing design</w:t>
      </w:r>
      <w:r w:rsidR="0074320A" w:rsidRPr="00B50802">
        <w:t xml:space="preserve"> can reduce and protect from the negative impacts of extreme </w:t>
      </w:r>
      <w:r w:rsidR="00371663" w:rsidRPr="00B50802">
        <w:t>temperatures</w:t>
      </w:r>
      <w:r w:rsidRPr="00B50802">
        <w:t xml:space="preserve"> and disasters</w:t>
      </w:r>
      <w:r w:rsidR="0074320A" w:rsidRPr="00B50802">
        <w:t xml:space="preserve">. The National Construction Code (NCC) sets out the minimum performance requirements for the design, construction and performance of buildings (2003). </w:t>
      </w:r>
      <w:r w:rsidR="006E45E1" w:rsidRPr="00B50802">
        <w:t>The NCC defines 8 climate zones in Australia</w:t>
      </w:r>
      <w:r w:rsidR="002521B7" w:rsidRPr="00B50802">
        <w:t>,</w:t>
      </w:r>
      <w:r w:rsidR="006E45E1" w:rsidRPr="00B50802">
        <w:t xml:space="preserve"> each </w:t>
      </w:r>
      <w:r w:rsidR="002521B7" w:rsidRPr="00B50802">
        <w:t xml:space="preserve">with </w:t>
      </w:r>
      <w:r w:rsidR="006E45E1" w:rsidRPr="00B50802">
        <w:t xml:space="preserve">different design and construction requirements for resilient and comfortable housing. </w:t>
      </w:r>
      <w:r w:rsidR="0074320A" w:rsidRPr="00B50802">
        <w:t xml:space="preserve">The NCC adopted requirements for thermal performance in 2003 with the Nationwide House Energy Rating Scheme. However, houses built before 2003 are not subject to the minimum requirements and the NCC is </w:t>
      </w:r>
      <w:r w:rsidR="007636E0" w:rsidRPr="00B75F7D">
        <w:t xml:space="preserve">not </w:t>
      </w:r>
      <w:r w:rsidR="0074320A" w:rsidRPr="00B50802">
        <w:t xml:space="preserve">applied </w:t>
      </w:r>
      <w:r w:rsidR="0074320A" w:rsidRPr="00B75F7D">
        <w:t>consistently</w:t>
      </w:r>
      <w:r w:rsidR="0074320A" w:rsidRPr="00B50802">
        <w:t xml:space="preserve"> across Australia.</w:t>
      </w:r>
      <w:r w:rsidR="00930A90" w:rsidRPr="00B50802">
        <w:t xml:space="preserve"> </w:t>
      </w:r>
    </w:p>
    <w:p w14:paraId="57E0D575" w14:textId="77777777" w:rsidR="00265FBF" w:rsidRPr="00B50802" w:rsidRDefault="00C708D6" w:rsidP="00E87F6A">
      <w:r w:rsidRPr="00B75F7D">
        <w:rPr>
          <w:color w:val="000000" w:themeColor="text1"/>
        </w:rPr>
        <w:t>Some h</w:t>
      </w:r>
      <w:r w:rsidR="0074320A" w:rsidRPr="00B75F7D">
        <w:rPr>
          <w:color w:val="000000" w:themeColor="text1"/>
        </w:rPr>
        <w:t xml:space="preserve">omes across Australia are not designed to withstand climate change </w:t>
      </w:r>
      <w:r w:rsidR="00303003" w:rsidRPr="00B75F7D">
        <w:rPr>
          <w:color w:val="000000" w:themeColor="text1"/>
        </w:rPr>
        <w:t>or increasing disasters, such as</w:t>
      </w:r>
      <w:r w:rsidR="0074320A" w:rsidRPr="00B75F7D">
        <w:rPr>
          <w:color w:val="000000" w:themeColor="text1"/>
        </w:rPr>
        <w:t xml:space="preserve"> homes built in known bushfire and flood prone areas</w:t>
      </w:r>
      <w:r w:rsidR="006E45E1" w:rsidRPr="00B75F7D">
        <w:rPr>
          <w:color w:val="000000" w:themeColor="text1"/>
        </w:rPr>
        <w:t xml:space="preserve"> or homes lacking passive design principles</w:t>
      </w:r>
      <w:r w:rsidR="0074320A" w:rsidRPr="00B75F7D">
        <w:rPr>
          <w:color w:val="000000" w:themeColor="text1"/>
        </w:rPr>
        <w:t xml:space="preserve">. </w:t>
      </w:r>
      <w:r w:rsidR="006E45E1" w:rsidRPr="00B75F7D">
        <w:rPr>
          <w:color w:val="000000" w:themeColor="text1"/>
        </w:rPr>
        <w:t>Modifications to existing housing can increase thermal performance and reduce heating and cooling needs (which can make up 20</w:t>
      </w:r>
      <w:r w:rsidR="002521B7" w:rsidRPr="00B75F7D">
        <w:rPr>
          <w:color w:val="000000" w:themeColor="text1"/>
        </w:rPr>
        <w:t>–</w:t>
      </w:r>
      <w:r w:rsidR="006E45E1" w:rsidRPr="00B75F7D">
        <w:rPr>
          <w:color w:val="000000" w:themeColor="text1"/>
        </w:rPr>
        <w:t>50% of household energy usage depending on the climate zone).</w:t>
      </w:r>
      <w:r w:rsidR="00265FBF" w:rsidRPr="00B75F7D">
        <w:rPr>
          <w:rStyle w:val="FootnoteReference"/>
          <w:rFonts w:cs="Arial"/>
          <w:color w:val="000000" w:themeColor="text1"/>
        </w:rPr>
        <w:footnoteReference w:id="169"/>
      </w:r>
      <w:r w:rsidR="006E45E1" w:rsidRPr="00B75F7D">
        <w:rPr>
          <w:color w:val="000000" w:themeColor="text1"/>
        </w:rPr>
        <w:t xml:space="preserve"> However, some households face barriers to retrofitting homes, such as low</w:t>
      </w:r>
      <w:r w:rsidR="0024779B" w:rsidRPr="00B75F7D">
        <w:rPr>
          <w:color w:val="000000" w:themeColor="text1"/>
        </w:rPr>
        <w:t>-</w:t>
      </w:r>
      <w:r w:rsidR="006E45E1" w:rsidRPr="00B75F7D">
        <w:rPr>
          <w:color w:val="000000" w:themeColor="text1"/>
        </w:rPr>
        <w:t>income homeowners</w:t>
      </w:r>
      <w:r w:rsidR="003F1C65" w:rsidRPr="00B75F7D">
        <w:rPr>
          <w:color w:val="000000" w:themeColor="text1"/>
        </w:rPr>
        <w:t>, social housing residents</w:t>
      </w:r>
      <w:r w:rsidR="006E45E1" w:rsidRPr="00B75F7D">
        <w:rPr>
          <w:color w:val="000000" w:themeColor="text1"/>
        </w:rPr>
        <w:t xml:space="preserve"> or renters. </w:t>
      </w:r>
      <w:r w:rsidR="00B8125F" w:rsidRPr="00B50802">
        <w:t>Households, particularly low-income households, may be reluctant to redirect resources from more immediate expenses to disaster resilience due to uncertainty on disaster likelihood</w:t>
      </w:r>
      <w:r w:rsidR="00BD42E8" w:rsidRPr="00B50802">
        <w:rPr>
          <w:rStyle w:val="FootnoteReference"/>
          <w:rFonts w:cs="Arial"/>
        </w:rPr>
        <w:footnoteReference w:id="170"/>
      </w:r>
      <w:r w:rsidR="00B8125F" w:rsidRPr="00B50802">
        <w:t xml:space="preserve"> and </w:t>
      </w:r>
      <w:r w:rsidR="00F33432" w:rsidRPr="00B50802">
        <w:t xml:space="preserve">the </w:t>
      </w:r>
      <w:r w:rsidR="00BD42E8" w:rsidRPr="00B50802">
        <w:t>cost</w:t>
      </w:r>
      <w:r w:rsidR="00F33432" w:rsidRPr="00B50802">
        <w:t>s</w:t>
      </w:r>
      <w:r w:rsidR="00AC5EBD" w:rsidRPr="00B50802">
        <w:t xml:space="preserve"> involved</w:t>
      </w:r>
      <w:r w:rsidR="00D57256" w:rsidRPr="00B50802">
        <w:t>.</w:t>
      </w:r>
      <w:r w:rsidR="00BD42E8" w:rsidRPr="00B50802">
        <w:rPr>
          <w:rStyle w:val="FootnoteReference"/>
          <w:rFonts w:cs="Arial"/>
        </w:rPr>
        <w:footnoteReference w:id="171"/>
      </w:r>
      <w:r w:rsidR="00B8125F" w:rsidRPr="00B50802">
        <w:t xml:space="preserve"> </w:t>
      </w:r>
    </w:p>
    <w:p w14:paraId="6769C151" w14:textId="73595F83" w:rsidR="00265FBF" w:rsidRPr="00B50802" w:rsidRDefault="0074320A" w:rsidP="00E87F6A">
      <w:r w:rsidRPr="00B50802">
        <w:t xml:space="preserve">For rental properties, there </w:t>
      </w:r>
      <w:r w:rsidR="00ED24F4" w:rsidRPr="00B50802">
        <w:t xml:space="preserve">are </w:t>
      </w:r>
      <w:r w:rsidRPr="00B50802">
        <w:t>limited</w:t>
      </w:r>
      <w:r w:rsidR="00ED24F4" w:rsidRPr="00B50802">
        <w:t xml:space="preserve"> financial</w:t>
      </w:r>
      <w:r w:rsidRPr="00B50802">
        <w:t xml:space="preserve"> incentive</w:t>
      </w:r>
      <w:r w:rsidR="006A671B" w:rsidRPr="00B50802">
        <w:t>s</w:t>
      </w:r>
      <w:r w:rsidRPr="00B50802">
        <w:t xml:space="preserve"> for landlords to invest in more energy efficient infrastructure, particularly with</w:t>
      </w:r>
      <w:r w:rsidRPr="00B50802">
        <w:rPr>
          <w:i/>
        </w:rPr>
        <w:t xml:space="preserve"> </w:t>
      </w:r>
      <w:r w:rsidRPr="00B50802">
        <w:t xml:space="preserve">low vacancy rates and </w:t>
      </w:r>
      <w:r w:rsidR="003C183C" w:rsidRPr="00B50802">
        <w:t xml:space="preserve">energy costs </w:t>
      </w:r>
      <w:r w:rsidR="00265FBF" w:rsidRPr="00B50802">
        <w:t xml:space="preserve">most commonly </w:t>
      </w:r>
      <w:r w:rsidR="003C183C" w:rsidRPr="00B50802">
        <w:t>covered by tenan</w:t>
      </w:r>
      <w:r w:rsidR="00D93730" w:rsidRPr="00B50802">
        <w:t>ts.</w:t>
      </w:r>
      <w:r w:rsidR="00D93730" w:rsidRPr="00B50802">
        <w:rPr>
          <w:rStyle w:val="FootnoteReference"/>
          <w:rFonts w:cs="Arial"/>
        </w:rPr>
        <w:footnoteReference w:id="172"/>
      </w:r>
      <w:r w:rsidR="006E45E1" w:rsidRPr="00B50802">
        <w:t xml:space="preserve"> </w:t>
      </w:r>
    </w:p>
    <w:p w14:paraId="5F2A3C21" w14:textId="77777777" w:rsidR="00CE4E54" w:rsidRPr="00B50802" w:rsidRDefault="00ED24F4" w:rsidP="00CE4E54">
      <w:r w:rsidRPr="00B50802">
        <w:t>Costs involved with the</w:t>
      </w:r>
      <w:r w:rsidR="00D57256" w:rsidRPr="00B50802">
        <w:t xml:space="preserve"> </w:t>
      </w:r>
      <w:r w:rsidR="00314FE4" w:rsidRPr="00B50802">
        <w:t>regular maintenance and retrofitting</w:t>
      </w:r>
      <w:r w:rsidR="00D57256" w:rsidRPr="00B50802">
        <w:t xml:space="preserve"> </w:t>
      </w:r>
      <w:r w:rsidR="00D17BC6" w:rsidRPr="00B50802">
        <w:t xml:space="preserve">of social housing, </w:t>
      </w:r>
      <w:r w:rsidRPr="00B50802">
        <w:t>along with</w:t>
      </w:r>
      <w:r w:rsidR="00D17BC6" w:rsidRPr="00B50802">
        <w:t xml:space="preserve"> limited resources or broader supply chain issues, </w:t>
      </w:r>
      <w:r w:rsidR="00D57256" w:rsidRPr="00B50802">
        <w:t>mean that not all</w:t>
      </w:r>
      <w:r w:rsidR="00265FBF" w:rsidRPr="00B50802">
        <w:t xml:space="preserve"> social housing</w:t>
      </w:r>
      <w:r w:rsidR="00D57256" w:rsidRPr="00B50802">
        <w:t xml:space="preserve"> stock is able to </w:t>
      </w:r>
      <w:r w:rsidR="00E6372D" w:rsidRPr="00B50802">
        <w:t xml:space="preserve">adequately </w:t>
      </w:r>
      <w:r w:rsidR="00D57256" w:rsidRPr="00B50802">
        <w:t>protect against climate impacts.</w:t>
      </w:r>
      <w:r w:rsidR="00314FE4" w:rsidRPr="00B50802">
        <w:t xml:space="preserve"> </w:t>
      </w:r>
      <w:r w:rsidR="00CE4E54" w:rsidRPr="00B50802">
        <w:rPr>
          <w:rFonts w:cs="Arial"/>
        </w:rPr>
        <w:br w:type="page"/>
      </w:r>
    </w:p>
    <w:p w14:paraId="7251B9EB" w14:textId="77777777" w:rsidR="00CE4E54" w:rsidRPr="00B50802" w:rsidRDefault="007C55B6" w:rsidP="00CE4E54">
      <w:pPr>
        <w:spacing w:after="240" w:line="240" w:lineRule="auto"/>
        <w:rPr>
          <w:rFonts w:cs="Arial"/>
        </w:rPr>
      </w:pPr>
      <w:r w:rsidRPr="00B50802">
        <w:rPr>
          <w:noProof/>
          <w:lang w:eastAsia="en-AU"/>
        </w:rPr>
        <w:lastRenderedPageBreak/>
        <mc:AlternateContent>
          <mc:Choice Requires="wps">
            <w:drawing>
              <wp:anchor distT="0" distB="0" distL="114300" distR="114300" simplePos="0" relativeHeight="251658276" behindDoc="0" locked="0" layoutInCell="1" allowOverlap="1" wp14:anchorId="0A75CE66" wp14:editId="779BE5CA">
                <wp:simplePos x="0" y="0"/>
                <wp:positionH relativeFrom="margin">
                  <wp:align>center</wp:align>
                </wp:positionH>
                <wp:positionV relativeFrom="paragraph">
                  <wp:posOffset>22526</wp:posOffset>
                </wp:positionV>
                <wp:extent cx="5896800" cy="5048410"/>
                <wp:effectExtent l="0" t="0" r="27940" b="19050"/>
                <wp:wrapNone/>
                <wp:docPr id="22" name="Rectangle 22" descr="Decorative"/>
                <wp:cNvGraphicFramePr/>
                <a:graphic xmlns:a="http://schemas.openxmlformats.org/drawingml/2006/main">
                  <a:graphicData uri="http://schemas.microsoft.com/office/word/2010/wordprocessingShape">
                    <wps:wsp>
                      <wps:cNvSpPr/>
                      <wps:spPr>
                        <a:xfrm>
                          <a:off x="0" y="0"/>
                          <a:ext cx="5896800" cy="5048410"/>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B969076" id="Rectangle 22" o:spid="_x0000_s1026" alt="Decorative" style="position:absolute;margin-left:0;margin-top:1.75pt;width:464.3pt;height:397.5pt;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" filled="f" strokecolor="#005a70" strokeweight="2pt">
                <v:textbox style="mso-fit-shape-to-text:t"/>
                <w10:wrap anchorx="margin"/>
              </v:rect>
            </w:pict>
          </mc:Fallback>
        </mc:AlternateContent>
      </w:r>
      <w:r w:rsidR="003865C1" w:rsidRPr="00B50802">
        <w:rPr>
          <w:rFonts w:cs="Arial"/>
          <w:noProof/>
          <w:lang w:eastAsia="en-AU"/>
        </w:rPr>
        <mc:AlternateContent>
          <mc:Choice Requires="wps">
            <w:drawing>
              <wp:anchor distT="0" distB="0" distL="114300" distR="114300" simplePos="0" relativeHeight="251658275" behindDoc="1" locked="0" layoutInCell="1" allowOverlap="1" wp14:anchorId="7C0C4B4D" wp14:editId="32CB7B62">
                <wp:simplePos x="0" y="0"/>
                <wp:positionH relativeFrom="column">
                  <wp:posOffset>-1684</wp:posOffset>
                </wp:positionH>
                <wp:positionV relativeFrom="paragraph">
                  <wp:posOffset>55245</wp:posOffset>
                </wp:positionV>
                <wp:extent cx="459740" cy="523875"/>
                <wp:effectExtent l="0" t="0" r="16510" b="28575"/>
                <wp:wrapNone/>
                <wp:docPr id="134" name="Freeform 17"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459740" cy="523875"/>
                        </a:xfrm>
                        <a:custGeom>
                          <a:avLst/>
                          <a:gdLst>
                            <a:gd name="T0" fmla="*/ 6 w 1739"/>
                            <a:gd name="T1" fmla="*/ 690 h 2416"/>
                            <a:gd name="T2" fmla="*/ 0 w 1739"/>
                            <a:gd name="T3" fmla="*/ 1972 h 2416"/>
                            <a:gd name="T4" fmla="*/ 323 w 1739"/>
                            <a:gd name="T5" fmla="*/ 2011 h 2416"/>
                            <a:gd name="T6" fmla="*/ 323 w 1739"/>
                            <a:gd name="T7" fmla="*/ 2335 h 2416"/>
                            <a:gd name="T8" fmla="*/ 1225 w 1739"/>
                            <a:gd name="T9" fmla="*/ 2416 h 2416"/>
                            <a:gd name="T10" fmla="*/ 1275 w 1739"/>
                            <a:gd name="T11" fmla="*/ 2354 h 2416"/>
                            <a:gd name="T12" fmla="*/ 1395 w 1739"/>
                            <a:gd name="T13" fmla="*/ 2354 h 2416"/>
                            <a:gd name="T14" fmla="*/ 1456 w 1739"/>
                            <a:gd name="T15" fmla="*/ 2415 h 2416"/>
                            <a:gd name="T16" fmla="*/ 1557 w 1739"/>
                            <a:gd name="T17" fmla="*/ 2415 h 2416"/>
                            <a:gd name="T18" fmla="*/ 1598 w 1739"/>
                            <a:gd name="T19" fmla="*/ 2354 h 2416"/>
                            <a:gd name="T20" fmla="*/ 1739 w 1739"/>
                            <a:gd name="T21" fmla="*/ 2354 h 2416"/>
                            <a:gd name="T22" fmla="*/ 1712 w 1739"/>
                            <a:gd name="T23" fmla="*/ 2246 h 2416"/>
                            <a:gd name="T24" fmla="*/ 1730 w 1739"/>
                            <a:gd name="T25" fmla="*/ 2074 h 2416"/>
                            <a:gd name="T26" fmla="*/ 1651 w 1739"/>
                            <a:gd name="T27" fmla="*/ 1864 h 2416"/>
                            <a:gd name="T28" fmla="*/ 1522 w 1739"/>
                            <a:gd name="T29" fmla="*/ 1721 h 2416"/>
                            <a:gd name="T30" fmla="*/ 1503 w 1739"/>
                            <a:gd name="T31" fmla="*/ 1563 h 2416"/>
                            <a:gd name="T32" fmla="*/ 1383 w 1739"/>
                            <a:gd name="T33" fmla="*/ 1563 h 2416"/>
                            <a:gd name="T34" fmla="*/ 1376 w 1739"/>
                            <a:gd name="T35" fmla="*/ 1446 h 2416"/>
                            <a:gd name="T36" fmla="*/ 1298 w 1739"/>
                            <a:gd name="T37" fmla="*/ 1365 h 2416"/>
                            <a:gd name="T38" fmla="*/ 1329 w 1739"/>
                            <a:gd name="T39" fmla="*/ 1320 h 2416"/>
                            <a:gd name="T40" fmla="*/ 1298 w 1739"/>
                            <a:gd name="T41" fmla="*/ 1257 h 2416"/>
                            <a:gd name="T42" fmla="*/ 1177 w 1739"/>
                            <a:gd name="T43" fmla="*/ 1209 h 2416"/>
                            <a:gd name="T44" fmla="*/ 1146 w 1739"/>
                            <a:gd name="T45" fmla="*/ 1137 h 2416"/>
                            <a:gd name="T46" fmla="*/ 1020 w 1739"/>
                            <a:gd name="T47" fmla="*/ 1084 h 2416"/>
                            <a:gd name="T48" fmla="*/ 990 w 1739"/>
                            <a:gd name="T49" fmla="*/ 826 h 2416"/>
                            <a:gd name="T50" fmla="*/ 929 w 1739"/>
                            <a:gd name="T51" fmla="*/ 777 h 2416"/>
                            <a:gd name="T52" fmla="*/ 935 w 1739"/>
                            <a:gd name="T53" fmla="*/ 557 h 2416"/>
                            <a:gd name="T54" fmla="*/ 833 w 1739"/>
                            <a:gd name="T55" fmla="*/ 479 h 2416"/>
                            <a:gd name="T56" fmla="*/ 794 w 1739"/>
                            <a:gd name="T57" fmla="*/ 472 h 2416"/>
                            <a:gd name="T58" fmla="*/ 771 w 1739"/>
                            <a:gd name="T59" fmla="*/ 511 h 2416"/>
                            <a:gd name="T60" fmla="*/ 742 w 1739"/>
                            <a:gd name="T61" fmla="*/ 487 h 2416"/>
                            <a:gd name="T62" fmla="*/ 710 w 1739"/>
                            <a:gd name="T63" fmla="*/ 314 h 2416"/>
                            <a:gd name="T64" fmla="*/ 710 w 1739"/>
                            <a:gd name="T65" fmla="*/ 244 h 2416"/>
                            <a:gd name="T66" fmla="*/ 667 w 1739"/>
                            <a:gd name="T67" fmla="*/ 227 h 2416"/>
                            <a:gd name="T68" fmla="*/ 667 w 1739"/>
                            <a:gd name="T69" fmla="*/ 172 h 2416"/>
                            <a:gd name="T70" fmla="*/ 642 w 1739"/>
                            <a:gd name="T71" fmla="*/ 189 h 2416"/>
                            <a:gd name="T72" fmla="*/ 601 w 1739"/>
                            <a:gd name="T73" fmla="*/ 0 h 2416"/>
                            <a:gd name="T74" fmla="*/ 473 w 1739"/>
                            <a:gd name="T75" fmla="*/ 164 h 2416"/>
                            <a:gd name="T76" fmla="*/ 467 w 1739"/>
                            <a:gd name="T77" fmla="*/ 227 h 2416"/>
                            <a:gd name="T78" fmla="*/ 515 w 1739"/>
                            <a:gd name="T79" fmla="*/ 251 h 2416"/>
                            <a:gd name="T80" fmla="*/ 511 w 1739"/>
                            <a:gd name="T81" fmla="*/ 291 h 2416"/>
                            <a:gd name="T82" fmla="*/ 479 w 1739"/>
                            <a:gd name="T83" fmla="*/ 260 h 2416"/>
                            <a:gd name="T84" fmla="*/ 456 w 1739"/>
                            <a:gd name="T85" fmla="*/ 408 h 2416"/>
                            <a:gd name="T86" fmla="*/ 473 w 1739"/>
                            <a:gd name="T87" fmla="*/ 462 h 2416"/>
                            <a:gd name="T88" fmla="*/ 432 w 1739"/>
                            <a:gd name="T89" fmla="*/ 753 h 2416"/>
                            <a:gd name="T90" fmla="*/ 371 w 1739"/>
                            <a:gd name="T91" fmla="*/ 841 h 2416"/>
                            <a:gd name="T92" fmla="*/ 291 w 1739"/>
                            <a:gd name="T93" fmla="*/ 896 h 2416"/>
                            <a:gd name="T94" fmla="*/ 177 w 1739"/>
                            <a:gd name="T95" fmla="*/ 864 h 2416"/>
                            <a:gd name="T96" fmla="*/ 146 w 1739"/>
                            <a:gd name="T97" fmla="*/ 760 h 2416"/>
                            <a:gd name="T98" fmla="*/ 49 w 1739"/>
                            <a:gd name="T99" fmla="*/ 760 h 2416"/>
                            <a:gd name="T100" fmla="*/ 6 w 1739"/>
                            <a:gd name="T101" fmla="*/ 690 h 2416"/>
                            <a:gd name="T102" fmla="*/ 6 w 1739"/>
                            <a:gd name="T103" fmla="*/ 690 h 24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739"/>
                            <a:gd name="T157" fmla="*/ 0 h 2416"/>
                            <a:gd name="T158" fmla="*/ 1739 w 1739"/>
                            <a:gd name="T159" fmla="*/ 2416 h 241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739" h="2416">
                              <a:moveTo>
                                <a:pt x="6" y="690"/>
                              </a:moveTo>
                              <a:lnTo>
                                <a:pt x="0" y="1972"/>
                              </a:lnTo>
                              <a:lnTo>
                                <a:pt x="323" y="2011"/>
                              </a:lnTo>
                              <a:lnTo>
                                <a:pt x="323" y="2335"/>
                              </a:lnTo>
                              <a:lnTo>
                                <a:pt x="1225" y="2416"/>
                              </a:lnTo>
                              <a:lnTo>
                                <a:pt x="1275" y="2354"/>
                              </a:lnTo>
                              <a:lnTo>
                                <a:pt x="1395" y="2354"/>
                              </a:lnTo>
                              <a:lnTo>
                                <a:pt x="1456" y="2415"/>
                              </a:lnTo>
                              <a:lnTo>
                                <a:pt x="1557" y="2415"/>
                              </a:lnTo>
                              <a:lnTo>
                                <a:pt x="1598" y="2354"/>
                              </a:lnTo>
                              <a:lnTo>
                                <a:pt x="1739" y="2354"/>
                              </a:lnTo>
                              <a:lnTo>
                                <a:pt x="1712" y="2246"/>
                              </a:lnTo>
                              <a:lnTo>
                                <a:pt x="1730" y="2074"/>
                              </a:lnTo>
                              <a:lnTo>
                                <a:pt x="1651" y="1864"/>
                              </a:lnTo>
                              <a:lnTo>
                                <a:pt x="1522" y="1721"/>
                              </a:lnTo>
                              <a:lnTo>
                                <a:pt x="1503" y="1563"/>
                              </a:lnTo>
                              <a:lnTo>
                                <a:pt x="1383" y="1563"/>
                              </a:lnTo>
                              <a:lnTo>
                                <a:pt x="1376" y="1446"/>
                              </a:lnTo>
                              <a:lnTo>
                                <a:pt x="1298" y="1365"/>
                              </a:lnTo>
                              <a:lnTo>
                                <a:pt x="1329" y="1320"/>
                              </a:lnTo>
                              <a:lnTo>
                                <a:pt x="1298" y="1257"/>
                              </a:lnTo>
                              <a:lnTo>
                                <a:pt x="1177" y="1209"/>
                              </a:lnTo>
                              <a:lnTo>
                                <a:pt x="1146" y="1137"/>
                              </a:lnTo>
                              <a:lnTo>
                                <a:pt x="1020" y="1084"/>
                              </a:lnTo>
                              <a:lnTo>
                                <a:pt x="990" y="826"/>
                              </a:lnTo>
                              <a:lnTo>
                                <a:pt x="929" y="777"/>
                              </a:lnTo>
                              <a:lnTo>
                                <a:pt x="935" y="557"/>
                              </a:lnTo>
                              <a:lnTo>
                                <a:pt x="833" y="479"/>
                              </a:lnTo>
                              <a:lnTo>
                                <a:pt x="794" y="472"/>
                              </a:lnTo>
                              <a:lnTo>
                                <a:pt x="771" y="511"/>
                              </a:lnTo>
                              <a:lnTo>
                                <a:pt x="742" y="487"/>
                              </a:lnTo>
                              <a:lnTo>
                                <a:pt x="710" y="314"/>
                              </a:lnTo>
                              <a:lnTo>
                                <a:pt x="710" y="244"/>
                              </a:lnTo>
                              <a:lnTo>
                                <a:pt x="667" y="227"/>
                              </a:lnTo>
                              <a:lnTo>
                                <a:pt x="667" y="172"/>
                              </a:lnTo>
                              <a:lnTo>
                                <a:pt x="642" y="189"/>
                              </a:lnTo>
                              <a:lnTo>
                                <a:pt x="601" y="0"/>
                              </a:lnTo>
                              <a:lnTo>
                                <a:pt x="473" y="164"/>
                              </a:lnTo>
                              <a:lnTo>
                                <a:pt x="467" y="227"/>
                              </a:lnTo>
                              <a:lnTo>
                                <a:pt x="515" y="251"/>
                              </a:lnTo>
                              <a:lnTo>
                                <a:pt x="511" y="291"/>
                              </a:lnTo>
                              <a:lnTo>
                                <a:pt x="479" y="260"/>
                              </a:lnTo>
                              <a:lnTo>
                                <a:pt x="456" y="408"/>
                              </a:lnTo>
                              <a:lnTo>
                                <a:pt x="473" y="462"/>
                              </a:lnTo>
                              <a:lnTo>
                                <a:pt x="432" y="753"/>
                              </a:lnTo>
                              <a:lnTo>
                                <a:pt x="371" y="841"/>
                              </a:lnTo>
                              <a:lnTo>
                                <a:pt x="291" y="896"/>
                              </a:lnTo>
                              <a:lnTo>
                                <a:pt x="177" y="864"/>
                              </a:lnTo>
                              <a:lnTo>
                                <a:pt x="146" y="760"/>
                              </a:lnTo>
                              <a:lnTo>
                                <a:pt x="49" y="760"/>
                              </a:lnTo>
                              <a:lnTo>
                                <a:pt x="6" y="690"/>
                              </a:lnTo>
                              <a:close/>
                            </a:path>
                          </a:pathLst>
                        </a:custGeom>
                        <a:solidFill>
                          <a:srgbClr val="005A70"/>
                        </a:solidFill>
                        <a:ln w="12700">
                          <a:solidFill>
                            <a:schemeClr val="bg1"/>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FA29A7" id="Freeform 17" o:spid="_x0000_s1026" alt="Decorative" style="position:absolute;margin-left:-.15pt;margin-top:4.35pt;width:36.2pt;height:41.2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9,2416"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" path="m6,690l,1972r323,39l323,2335r902,81l1275,2354r120,l1456,2415r101,l1598,2354r141,l1712,2246r18,-172l1651,1864,1522,1721r-19,-158l1383,1563r-7,-117l1298,1365r31,-45l1298,1257r-121,-48l1146,1137r-126,-53l990,826,929,777r6,-220l833,479r-39,-7l771,511,742,487,710,314r,-70l667,227r,-55l642,189,601,,473,164r-6,63l515,251r-4,40l479,260,456,408r17,54l432,753r-61,88l291,896,177,864,146,760r-97,l6,690xe" fillcolor="#005a70" strokecolor="white [3212]" strokeweight="1pt">
                <v:path arrowok="t" o:connecttype="custom" o:connectlocs="1586,149617;0,427600;85392,436057;85392,506311;323854,523875;337072,510431;368797,510431;384923,523658;411625,523658;422464,510431;459740,510431;452602,487013;457361,449717;436475,404182;402372,373174;397349,338914;365624,338914;363774,313544;343153,295981;351348,286223;343153,272562;311164,262154;302968,246542;269658,235050;261727,179106;245600,168481;247186,120777;220220,103864;209910,102346;203830,110803;196163,105599;187703,68086;187703,52908;176335,49222;176335,37296;169726,40982;158887,0;125047,35561;123461,49222;136151,54426;135093,63099;126633,56377;120553,88469;125047,100178;114208,163277;98081,182359;76932,194285;46794,187346;38598,164795;12954,164795;1586,149617;1586,149617" o:connectangles="0,0,0,0,0,0,0,0,0,0,0,0,0,0,0,0,0,0,0,0,0,0,0,0,0,0,0,0,0,0,0,0,0,0,0,0,0,0,0,0,0,0,0,0,0,0,0,0,0,0,0,0" textboxrect="0,0,1739,2416"/>
                <o:lock v:ext="edit" aspectratio="t"/>
              </v:shape>
            </w:pict>
          </mc:Fallback>
        </mc:AlternateContent>
      </w:r>
    </w:p>
    <w:p w14:paraId="445656D8" w14:textId="77777777" w:rsidR="00CE4E54" w:rsidRPr="00B50802" w:rsidRDefault="00CE4E54" w:rsidP="00453E5B">
      <w:pPr>
        <w:pStyle w:val="Bullet"/>
        <w:ind w:left="522" w:hanging="522"/>
        <w:jc w:val="right"/>
        <w:rPr>
          <w:rFonts w:eastAsiaTheme="minorHAnsi" w:cs="Arial"/>
          <w:color w:val="005A70"/>
        </w:rPr>
      </w:pPr>
      <w:r w:rsidRPr="00B50802">
        <w:rPr>
          <w:rFonts w:cs="Arial"/>
        </w:rPr>
        <w:tab/>
      </w:r>
      <w:r w:rsidRPr="00B50802">
        <w:rPr>
          <w:rFonts w:cs="Arial"/>
        </w:rPr>
        <w:tab/>
      </w:r>
      <w:r w:rsidRPr="00B50802">
        <w:rPr>
          <w:rFonts w:cs="Arial"/>
        </w:rPr>
        <w:tab/>
      </w:r>
      <w:r w:rsidRPr="00B50802">
        <w:rPr>
          <w:rFonts w:ascii="Arial" w:eastAsiaTheme="minorHAnsi" w:hAnsi="Arial" w:cs="Arial"/>
          <w:b/>
          <w:color w:val="005A70"/>
        </w:rPr>
        <w:t>Case study – Gympie Recovery Accommodation Park</w:t>
      </w:r>
    </w:p>
    <w:p w14:paraId="3F4E7AA7" w14:textId="77777777" w:rsidR="00CE4E54" w:rsidRPr="00B50802" w:rsidRDefault="00CE4E54" w:rsidP="007C55B6">
      <w:r w:rsidRPr="00B50802">
        <w:br/>
        <w:t xml:space="preserve">Following the February 2022 flooding event that resulted in many Gympie residents being displaced, the Queensland Government worked with the Gympie Regional Council to accommodate flood-impacted households. On 6 April 2022, the Queensland Government executed an initial, 24-month lease over the Gympie Caravan Park and worked to deliver 26 units of accommodation. This included reinstating existing park dwellings, transporting cabins from other locations, and building units. </w:t>
      </w:r>
    </w:p>
    <w:p w14:paraId="40C43EDF" w14:textId="03129D53" w:rsidR="00CE4E54" w:rsidRPr="00B50802" w:rsidRDefault="00CE4E54" w:rsidP="007C55B6">
      <w:r w:rsidRPr="00B50802">
        <w:t xml:space="preserve">A small team of Queensland Government staff provide property and tenancy management services on-site, with funding provided for a Community Action </w:t>
      </w:r>
      <w:r w:rsidR="00094B35" w:rsidRPr="00B50802">
        <w:t>Inc.</w:t>
      </w:r>
      <w:r w:rsidRPr="00B50802">
        <w:t xml:space="preserve"> mobile support worker to provide outreach support. </w:t>
      </w:r>
      <w:r w:rsidR="002F3587" w:rsidRPr="00B50802">
        <w:t xml:space="preserve">Between April 2022 and May 2023, 16 flood-affected households have transitioned into longer-term housing, including 4 households assisted into social housing, one household that secured a private rental, 3 households assisted into properties head leased from the private rental sector. </w:t>
      </w:r>
      <w:r w:rsidR="007636E0" w:rsidRPr="00B75F7D">
        <w:t>Four</w:t>
      </w:r>
      <w:r w:rsidR="002F3587" w:rsidRPr="00B50802">
        <w:t xml:space="preserve"> households have reunited with family or relocated, 2 households have transitioned into community housing and 2 households returned to their home after completion of repairs or purchased a property.</w:t>
      </w:r>
    </w:p>
    <w:p w14:paraId="43ACC18F" w14:textId="77777777" w:rsidR="00CE4E54" w:rsidRPr="00B50802" w:rsidRDefault="00CE4E54" w:rsidP="007C55B6">
      <w:r w:rsidRPr="00B50802">
        <w:t>Investment has supported an enhanced housing and homelessness response in Gympie, including funding a care coordinator and homelessness outreach worker, building the capacity of the sector and strengthening responses to reports of homelessness. The Queensland Government has funded a non-government provider to provide emergency hotel accommodation for homeless families under the Immediate Housing Response Fund and a support worker to work with these families to support their transition into longer-term accommodation. A focus for 2023–24 includes identifying accommodation options for people with a disability and those in high needs groups.</w:t>
      </w:r>
    </w:p>
    <w:p w14:paraId="558A6EE7" w14:textId="77777777" w:rsidR="00CE4E54" w:rsidRPr="00B50802" w:rsidRDefault="007C55B6" w:rsidP="00CE4E54">
      <w:pPr>
        <w:spacing w:after="240" w:line="240" w:lineRule="auto"/>
        <w:rPr>
          <w:rFonts w:cs="Arial"/>
        </w:rPr>
      </w:pPr>
      <w:r w:rsidRPr="00B50802">
        <w:rPr>
          <w:rFonts w:cs="Arial"/>
          <w:noProof/>
          <w:lang w:eastAsia="en-AU"/>
        </w:rPr>
        <mc:AlternateContent>
          <mc:Choice Requires="wps">
            <w:drawing>
              <wp:anchor distT="0" distB="0" distL="114300" distR="114300" simplePos="0" relativeHeight="251658278" behindDoc="0" locked="0" layoutInCell="1" allowOverlap="1" wp14:anchorId="04602208" wp14:editId="434921F6">
                <wp:simplePos x="0" y="0"/>
                <wp:positionH relativeFrom="margin">
                  <wp:align>center</wp:align>
                </wp:positionH>
                <wp:positionV relativeFrom="paragraph">
                  <wp:posOffset>344714</wp:posOffset>
                </wp:positionV>
                <wp:extent cx="5895837" cy="3396343"/>
                <wp:effectExtent l="0" t="0" r="10160" b="13970"/>
                <wp:wrapNone/>
                <wp:docPr id="79" name="Rectangle 79" descr="Decorative"/>
                <wp:cNvGraphicFramePr/>
                <a:graphic xmlns:a="http://schemas.openxmlformats.org/drawingml/2006/main">
                  <a:graphicData uri="http://schemas.microsoft.com/office/word/2010/wordprocessingShape">
                    <wps:wsp>
                      <wps:cNvSpPr/>
                      <wps:spPr>
                        <a:xfrm>
                          <a:off x="0" y="0"/>
                          <a:ext cx="5895837" cy="3396343"/>
                        </a:xfrm>
                        <a:prstGeom prst="rect">
                          <a:avLst/>
                        </a:prstGeom>
                        <a:noFill/>
                        <a:ln>
                          <a:solidFill>
                            <a:srgbClr val="005A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C30E27F" id="Rectangle 79" o:spid="_x0000_s1026" alt="Decorative" style="position:absolute;margin-left:0;margin-top:27.15pt;width:464.25pt;height:267.45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" filled="f" strokecolor="#005a70" strokeweight="2pt">
                <v:textbox style="mso-fit-shape-to-text:t"/>
                <w10:wrap anchorx="margin"/>
              </v:rect>
            </w:pict>
          </mc:Fallback>
        </mc:AlternateContent>
      </w:r>
      <w:r w:rsidR="00CE4E54" w:rsidRPr="00B50802">
        <w:rPr>
          <w:rFonts w:eastAsiaTheme="minorEastAsia"/>
          <w:bCs/>
          <w:noProof/>
          <w:lang w:eastAsia="en-AU"/>
        </w:rPr>
        <w:t xml:space="preserve"> </w:t>
      </w:r>
    </w:p>
    <w:p w14:paraId="3ACD7999" w14:textId="77777777" w:rsidR="00CE4E54" w:rsidRPr="00B50802" w:rsidRDefault="00CE4E54" w:rsidP="00CE4E54">
      <w:pPr>
        <w:spacing w:after="240" w:line="240" w:lineRule="auto"/>
        <w:rPr>
          <w:rFonts w:cs="Arial"/>
        </w:rPr>
      </w:pPr>
      <w:r w:rsidRPr="00B50802">
        <w:rPr>
          <w:rFonts w:cs="Arial"/>
          <w:b/>
          <w:noProof/>
          <w:color w:val="005A70"/>
          <w:lang w:eastAsia="en-AU"/>
        </w:rPr>
        <w:drawing>
          <wp:anchor distT="0" distB="0" distL="114300" distR="114300" simplePos="0" relativeHeight="251658277" behindDoc="1" locked="0" layoutInCell="1" allowOverlap="1" wp14:anchorId="456246F7" wp14:editId="67A8BF85">
            <wp:simplePos x="0" y="0"/>
            <wp:positionH relativeFrom="column">
              <wp:posOffset>76200</wp:posOffset>
            </wp:positionH>
            <wp:positionV relativeFrom="paragraph">
              <wp:posOffset>130810</wp:posOffset>
            </wp:positionV>
            <wp:extent cx="640080" cy="518160"/>
            <wp:effectExtent l="0" t="0" r="7620" b="0"/>
            <wp:wrapNone/>
            <wp:docPr id="133" name="Picture 1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 cy="518160"/>
                    </a:xfrm>
                    <a:prstGeom prst="rect">
                      <a:avLst/>
                    </a:prstGeom>
                    <a:noFill/>
                  </pic:spPr>
                </pic:pic>
              </a:graphicData>
            </a:graphic>
            <wp14:sizeRelH relativeFrom="page">
              <wp14:pctWidth>0</wp14:pctWidth>
            </wp14:sizeRelH>
            <wp14:sizeRelV relativeFrom="page">
              <wp14:pctHeight>0</wp14:pctHeight>
            </wp14:sizeRelV>
          </wp:anchor>
        </w:drawing>
      </w:r>
    </w:p>
    <w:p w14:paraId="77BEA8B6" w14:textId="77777777" w:rsidR="00CE4E54" w:rsidRPr="00B50802" w:rsidRDefault="00CE4E54" w:rsidP="00453E5B">
      <w:pPr>
        <w:pStyle w:val="Bullet"/>
        <w:spacing w:after="120"/>
        <w:ind w:left="522" w:hanging="522"/>
        <w:jc w:val="right"/>
        <w:rPr>
          <w:rFonts w:eastAsiaTheme="minorHAnsi"/>
          <w:color w:val="005A70"/>
        </w:rPr>
      </w:pPr>
      <w:r w:rsidRPr="00B50802">
        <w:rPr>
          <w:rFonts w:ascii="Arial" w:eastAsiaTheme="minorHAnsi" w:hAnsi="Arial" w:cs="Arial"/>
          <w:b/>
          <w:color w:val="005A70"/>
        </w:rPr>
        <w:t>Case study – New South W</w:t>
      </w:r>
      <w:r w:rsidR="003948E7" w:rsidRPr="00B50802">
        <w:rPr>
          <w:rFonts w:ascii="Arial" w:eastAsiaTheme="minorHAnsi" w:hAnsi="Arial" w:cs="Arial"/>
          <w:b/>
          <w:color w:val="005A70"/>
        </w:rPr>
        <w:t>al</w:t>
      </w:r>
      <w:r w:rsidRPr="00B50802">
        <w:rPr>
          <w:rFonts w:ascii="Arial" w:eastAsiaTheme="minorHAnsi" w:hAnsi="Arial" w:cs="Arial"/>
          <w:b/>
          <w:color w:val="005A70"/>
        </w:rPr>
        <w:t xml:space="preserve">es solar panels and </w:t>
      </w:r>
      <w:r w:rsidRPr="00B50802">
        <w:rPr>
          <w:rFonts w:ascii="Arial" w:eastAsiaTheme="minorHAnsi" w:hAnsi="Arial" w:cs="Arial"/>
          <w:b/>
          <w:color w:val="005A70"/>
        </w:rPr>
        <w:br/>
        <w:t>air conditioners for social housing residents</w:t>
      </w:r>
      <w:r w:rsidRPr="00B50802">
        <w:rPr>
          <w:rFonts w:eastAsiaTheme="minorHAnsi"/>
          <w:color w:val="005A70"/>
        </w:rPr>
        <w:t xml:space="preserve"> </w:t>
      </w:r>
    </w:p>
    <w:p w14:paraId="685B4EEB" w14:textId="77777777" w:rsidR="00CE4E54" w:rsidRPr="00B50802" w:rsidRDefault="00CE4E54" w:rsidP="00CE4E54">
      <w:r w:rsidRPr="00B50802">
        <w:t xml:space="preserve">Solar panels have been retrofitted at over 6,300 New South Wales social housing dwellings to reduce carbon emissions and energy bills for social housing residents in </w:t>
      </w:r>
      <w:r w:rsidR="006547A8" w:rsidRPr="00B50802">
        <w:t>New South Wales</w:t>
      </w:r>
      <w:r w:rsidRPr="00B50802">
        <w:t xml:space="preserve">. Solar panels have been prioritised for properties in Far West New South Wales and regional areas that experience hot summers and cold winters. </w:t>
      </w:r>
    </w:p>
    <w:p w14:paraId="11EF7081" w14:textId="77777777" w:rsidR="00CE4E54" w:rsidRPr="00B50802" w:rsidRDefault="00CE4E54" w:rsidP="00CE4E54">
      <w:r w:rsidRPr="00B50802">
        <w:t>Air conditioners have also been retrofitted at 2,200 dwellings in Far West N</w:t>
      </w:r>
      <w:r w:rsidR="006547A8" w:rsidRPr="00B50802">
        <w:t xml:space="preserve">ew </w:t>
      </w:r>
      <w:r w:rsidRPr="00B50802">
        <w:t>S</w:t>
      </w:r>
      <w:r w:rsidR="006547A8" w:rsidRPr="00B50802">
        <w:t xml:space="preserve">outh </w:t>
      </w:r>
      <w:r w:rsidRPr="00B50802">
        <w:t>W</w:t>
      </w:r>
      <w:r w:rsidR="006547A8" w:rsidRPr="00B50802">
        <w:t>ales</w:t>
      </w:r>
      <w:r w:rsidRPr="00B50802">
        <w:t xml:space="preserve"> and Regional N</w:t>
      </w:r>
      <w:r w:rsidR="006547A8" w:rsidRPr="00B50802">
        <w:t xml:space="preserve">ew </w:t>
      </w:r>
      <w:r w:rsidRPr="00B50802">
        <w:t>S</w:t>
      </w:r>
      <w:r w:rsidR="006547A8" w:rsidRPr="00B50802">
        <w:t xml:space="preserve">outh </w:t>
      </w:r>
      <w:r w:rsidRPr="00B50802">
        <w:t>W</w:t>
      </w:r>
      <w:r w:rsidR="006547A8" w:rsidRPr="00B50802">
        <w:t>ales</w:t>
      </w:r>
      <w:r w:rsidRPr="00B50802">
        <w:t xml:space="preserve"> to replace aged flued gas, electric space heaters and wood fire heaters. Solar panels and air conditioners help social housing residents to heat and cool their home, without facing higher electricity bills.</w:t>
      </w:r>
    </w:p>
    <w:p w14:paraId="29BBC441" w14:textId="77777777" w:rsidR="00CE4E54" w:rsidRPr="00B50802" w:rsidRDefault="00CE4E54" w:rsidP="00CE4E54">
      <w:r w:rsidRPr="00B50802">
        <w:t>A 2022 survey of social housing residents with solar panels and air conditioners highlighted the benefit of the program. The majority of residents were satisfied or very satisfied with their new solar panels (92%) and air conditioner (93%). Residents reported their new air conditioner was easy to operate (87%), improved comfort of living areas in summer months (92%), and reduced energy bills (78%).</w:t>
      </w:r>
    </w:p>
    <w:p w14:paraId="2364BEB7" w14:textId="7B878C7A" w:rsidR="00CE4E54" w:rsidRPr="00B50802" w:rsidRDefault="003F582A" w:rsidP="00CE4E54">
      <w:pPr>
        <w:jc w:val="center"/>
        <w:rPr>
          <w:b/>
          <w:color w:val="000000" w:themeColor="text1"/>
        </w:rPr>
      </w:pPr>
      <w:r w:rsidRPr="00B50802">
        <w:rPr>
          <w:noProof/>
          <w:color w:val="000000" w:themeColor="text1"/>
          <w:lang w:eastAsia="en-AU"/>
        </w:rPr>
        <w:lastRenderedPageBreak/>
        <mc:AlternateContent>
          <mc:Choice Requires="wps">
            <w:drawing>
              <wp:anchor distT="0" distB="0" distL="114300" distR="114300" simplePos="0" relativeHeight="251658279" behindDoc="1" locked="0" layoutInCell="1" allowOverlap="1" wp14:anchorId="5F0EA840" wp14:editId="4FC83366">
                <wp:simplePos x="0" y="0"/>
                <wp:positionH relativeFrom="margin">
                  <wp:posOffset>-63795</wp:posOffset>
                </wp:positionH>
                <wp:positionV relativeFrom="paragraph">
                  <wp:posOffset>10633</wp:posOffset>
                </wp:positionV>
                <wp:extent cx="5896610" cy="4635795"/>
                <wp:effectExtent l="0" t="0" r="27940" b="12700"/>
                <wp:wrapNone/>
                <wp:docPr id="229" name="Rectangle 229" descr="Decorative"/>
                <wp:cNvGraphicFramePr/>
                <a:graphic xmlns:a="http://schemas.openxmlformats.org/drawingml/2006/main">
                  <a:graphicData uri="http://schemas.microsoft.com/office/word/2010/wordprocessingShape">
                    <wps:wsp>
                      <wps:cNvSpPr/>
                      <wps:spPr>
                        <a:xfrm>
                          <a:off x="0" y="0"/>
                          <a:ext cx="5896610" cy="4635795"/>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95FE1" id="Rectangle 229" o:spid="_x0000_s1026" alt="Decorative" style="position:absolute;margin-left:-5pt;margin-top:.85pt;width:464.3pt;height:36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" fillcolor="#f2f2f2 [3052]" strokecolor="black [3213]" strokeweight=".25pt">
                <w10:wrap anchorx="margin"/>
              </v:rect>
            </w:pict>
          </mc:Fallback>
        </mc:AlternateContent>
      </w:r>
      <w:r w:rsidR="00453E5B" w:rsidRPr="00B50802">
        <w:rPr>
          <w:rFonts w:cs="Arial"/>
          <w:noProof/>
          <w:lang w:eastAsia="en-AU"/>
        </w:rPr>
        <mc:AlternateContent>
          <mc:Choice Requires="wpg">
            <w:drawing>
              <wp:anchor distT="0" distB="0" distL="114300" distR="114300" simplePos="0" relativeHeight="251658280" behindDoc="0" locked="0" layoutInCell="1" allowOverlap="1" wp14:anchorId="23470456" wp14:editId="4E68A0FA">
                <wp:simplePos x="0" y="0"/>
                <wp:positionH relativeFrom="column">
                  <wp:posOffset>29210</wp:posOffset>
                </wp:positionH>
                <wp:positionV relativeFrom="paragraph">
                  <wp:posOffset>60896</wp:posOffset>
                </wp:positionV>
                <wp:extent cx="581025" cy="453390"/>
                <wp:effectExtent l="0" t="0" r="28575" b="22860"/>
                <wp:wrapSquare wrapText="bothSides"/>
                <wp:docPr id="19" name="Group 19" descr="Decorative"/>
                <wp:cNvGraphicFramePr/>
                <a:graphic xmlns:a="http://schemas.openxmlformats.org/drawingml/2006/main">
                  <a:graphicData uri="http://schemas.microsoft.com/office/word/2010/wordprocessingGroup">
                    <wpg:wgp>
                      <wpg:cNvGrpSpPr/>
                      <wpg:grpSpPr>
                        <a:xfrm>
                          <a:off x="0" y="0"/>
                          <a:ext cx="581025" cy="453390"/>
                          <a:chOff x="-5901" y="-8509215"/>
                          <a:chExt cx="581128" cy="453865"/>
                        </a:xfrm>
                        <a:noFill/>
                      </wpg:grpSpPr>
                      <wps:wsp>
                        <wps:cNvPr id="20" name="Freeform 268"/>
                        <wps:cNvSpPr>
                          <a:spLocks/>
                        </wps:cNvSpPr>
                        <wps:spPr bwMode="auto">
                          <a:xfrm>
                            <a:off x="-5901" y="-8509215"/>
                            <a:ext cx="581128" cy="380781"/>
                          </a:xfrm>
                          <a:custGeom>
                            <a:avLst/>
                            <a:gdLst>
                              <a:gd name="T0" fmla="*/ 2147483646 w 757"/>
                              <a:gd name="T1" fmla="*/ 2147483646 h 577"/>
                              <a:gd name="T2" fmla="*/ 2147483646 w 757"/>
                              <a:gd name="T3" fmla="*/ 2147483646 h 577"/>
                              <a:gd name="T4" fmla="*/ 0 w 757"/>
                              <a:gd name="T5" fmla="*/ 2147483646 h 577"/>
                              <a:gd name="T6" fmla="*/ 2147483646 w 757"/>
                              <a:gd name="T7" fmla="*/ 2147483646 h 577"/>
                              <a:gd name="T8" fmla="*/ 2147483646 w 757"/>
                              <a:gd name="T9" fmla="*/ 2147483646 h 577"/>
                              <a:gd name="T10" fmla="*/ 2147483646 w 757"/>
                              <a:gd name="T11" fmla="*/ 2147483646 h 577"/>
                              <a:gd name="T12" fmla="*/ 2147483646 w 757"/>
                              <a:gd name="T13" fmla="*/ 2147483646 h 577"/>
                              <a:gd name="T14" fmla="*/ 2147483646 w 757"/>
                              <a:gd name="T15" fmla="*/ 2147483646 h 577"/>
                              <a:gd name="T16" fmla="*/ 2147483646 w 757"/>
                              <a:gd name="T17" fmla="*/ 2147483646 h 577"/>
                              <a:gd name="T18" fmla="*/ 2147483646 w 757"/>
                              <a:gd name="T19" fmla="*/ 2147483646 h 577"/>
                              <a:gd name="T20" fmla="*/ 2147483646 w 757"/>
                              <a:gd name="T21" fmla="*/ 0 h 577"/>
                              <a:gd name="T22" fmla="*/ 2147483646 w 757"/>
                              <a:gd name="T23" fmla="*/ 2147483646 h 577"/>
                              <a:gd name="T24" fmla="*/ 2147483646 w 757"/>
                              <a:gd name="T25" fmla="*/ 2147483646 h 577"/>
                              <a:gd name="T26" fmla="*/ 2147483646 w 757"/>
                              <a:gd name="T27" fmla="*/ 2147483646 h 577"/>
                              <a:gd name="T28" fmla="*/ 2147483646 w 757"/>
                              <a:gd name="T29" fmla="*/ 2147483646 h 577"/>
                              <a:gd name="T30" fmla="*/ 2147483646 w 757"/>
                              <a:gd name="T31" fmla="*/ 2147483646 h 577"/>
                              <a:gd name="T32" fmla="*/ 2147483646 w 757"/>
                              <a:gd name="T33" fmla="*/ 2147483646 h 577"/>
                              <a:gd name="T34" fmla="*/ 2147483646 w 757"/>
                              <a:gd name="T35" fmla="*/ 2147483646 h 577"/>
                              <a:gd name="T36" fmla="*/ 2147483646 w 757"/>
                              <a:gd name="T37" fmla="*/ 2147483646 h 577"/>
                              <a:gd name="T38" fmla="*/ 2147483646 w 757"/>
                              <a:gd name="T39" fmla="*/ 2147483646 h 577"/>
                              <a:gd name="T40" fmla="*/ 2147483646 w 757"/>
                              <a:gd name="T41" fmla="*/ 2147483646 h 577"/>
                              <a:gd name="T42" fmla="*/ 2147483646 w 757"/>
                              <a:gd name="T43" fmla="*/ 2147483646 h 577"/>
                              <a:gd name="T44" fmla="*/ 2147483646 w 757"/>
                              <a:gd name="T45" fmla="*/ 2147483646 h 577"/>
                              <a:gd name="T46" fmla="*/ 2147483646 w 757"/>
                              <a:gd name="T47" fmla="*/ 2147483646 h 577"/>
                              <a:gd name="T48" fmla="*/ 2147483646 w 757"/>
                              <a:gd name="T49" fmla="*/ 2147483646 h 577"/>
                              <a:gd name="T50" fmla="*/ 2147483646 w 757"/>
                              <a:gd name="T51" fmla="*/ 2147483646 h 577"/>
                              <a:gd name="T52" fmla="*/ 2147483646 w 757"/>
                              <a:gd name="T53" fmla="*/ 2147483646 h 577"/>
                              <a:gd name="T54" fmla="*/ 2147483646 w 757"/>
                              <a:gd name="T55" fmla="*/ 2147483646 h 577"/>
                              <a:gd name="T56" fmla="*/ 2147483646 w 757"/>
                              <a:gd name="T57" fmla="*/ 2147483646 h 577"/>
                              <a:gd name="T58" fmla="*/ 2147483646 w 757"/>
                              <a:gd name="T59" fmla="*/ 2147483646 h 577"/>
                              <a:gd name="T60" fmla="*/ 2147483646 w 757"/>
                              <a:gd name="T61" fmla="*/ 2147483646 h 577"/>
                              <a:gd name="T62" fmla="*/ 2147483646 w 757"/>
                              <a:gd name="T63" fmla="*/ 2147483646 h 577"/>
                              <a:gd name="T64" fmla="*/ 2147483646 w 757"/>
                              <a:gd name="T65" fmla="*/ 2147483646 h 577"/>
                              <a:gd name="T66" fmla="*/ 2147483646 w 757"/>
                              <a:gd name="T67" fmla="*/ 2147483646 h 577"/>
                              <a:gd name="T68" fmla="*/ 2147483646 w 757"/>
                              <a:gd name="T69" fmla="*/ 2147483646 h 577"/>
                              <a:gd name="T70" fmla="*/ 2147483646 w 757"/>
                              <a:gd name="T71" fmla="*/ 2147483646 h 5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7" h="577">
                                <a:moveTo>
                                  <a:pt x="30" y="463"/>
                                </a:moveTo>
                                <a:lnTo>
                                  <a:pt x="36" y="415"/>
                                </a:lnTo>
                                <a:lnTo>
                                  <a:pt x="30" y="385"/>
                                </a:lnTo>
                                <a:lnTo>
                                  <a:pt x="6" y="307"/>
                                </a:lnTo>
                                <a:lnTo>
                                  <a:pt x="6" y="283"/>
                                </a:lnTo>
                                <a:lnTo>
                                  <a:pt x="0" y="247"/>
                                </a:lnTo>
                                <a:lnTo>
                                  <a:pt x="6" y="217"/>
                                </a:lnTo>
                                <a:lnTo>
                                  <a:pt x="30" y="193"/>
                                </a:lnTo>
                                <a:lnTo>
                                  <a:pt x="78" y="175"/>
                                </a:lnTo>
                                <a:lnTo>
                                  <a:pt x="114" y="151"/>
                                </a:lnTo>
                                <a:lnTo>
                                  <a:pt x="144" y="145"/>
                                </a:lnTo>
                                <a:lnTo>
                                  <a:pt x="156" y="109"/>
                                </a:lnTo>
                                <a:lnTo>
                                  <a:pt x="180" y="97"/>
                                </a:lnTo>
                                <a:lnTo>
                                  <a:pt x="204" y="90"/>
                                </a:lnTo>
                                <a:lnTo>
                                  <a:pt x="240" y="60"/>
                                </a:lnTo>
                                <a:lnTo>
                                  <a:pt x="264" y="48"/>
                                </a:lnTo>
                                <a:lnTo>
                                  <a:pt x="282" y="60"/>
                                </a:lnTo>
                                <a:lnTo>
                                  <a:pt x="300" y="66"/>
                                </a:lnTo>
                                <a:lnTo>
                                  <a:pt x="312" y="42"/>
                                </a:lnTo>
                                <a:lnTo>
                                  <a:pt x="330" y="24"/>
                                </a:lnTo>
                                <a:lnTo>
                                  <a:pt x="360" y="18"/>
                                </a:lnTo>
                                <a:lnTo>
                                  <a:pt x="372" y="0"/>
                                </a:lnTo>
                                <a:lnTo>
                                  <a:pt x="396" y="6"/>
                                </a:lnTo>
                                <a:lnTo>
                                  <a:pt x="438" y="12"/>
                                </a:lnTo>
                                <a:lnTo>
                                  <a:pt x="432" y="36"/>
                                </a:lnTo>
                                <a:lnTo>
                                  <a:pt x="420" y="66"/>
                                </a:lnTo>
                                <a:lnTo>
                                  <a:pt x="438" y="78"/>
                                </a:lnTo>
                                <a:lnTo>
                                  <a:pt x="468" y="78"/>
                                </a:lnTo>
                                <a:lnTo>
                                  <a:pt x="492" y="115"/>
                                </a:lnTo>
                                <a:lnTo>
                                  <a:pt x="510" y="109"/>
                                </a:lnTo>
                                <a:lnTo>
                                  <a:pt x="540" y="90"/>
                                </a:lnTo>
                                <a:lnTo>
                                  <a:pt x="540" y="30"/>
                                </a:lnTo>
                                <a:lnTo>
                                  <a:pt x="564" y="0"/>
                                </a:lnTo>
                                <a:lnTo>
                                  <a:pt x="576" y="42"/>
                                </a:lnTo>
                                <a:lnTo>
                                  <a:pt x="582" y="54"/>
                                </a:lnTo>
                                <a:lnTo>
                                  <a:pt x="594" y="60"/>
                                </a:lnTo>
                                <a:lnTo>
                                  <a:pt x="612" y="121"/>
                                </a:lnTo>
                                <a:lnTo>
                                  <a:pt x="642" y="151"/>
                                </a:lnTo>
                                <a:lnTo>
                                  <a:pt x="678" y="163"/>
                                </a:lnTo>
                                <a:lnTo>
                                  <a:pt x="690" y="199"/>
                                </a:lnTo>
                                <a:lnTo>
                                  <a:pt x="708" y="211"/>
                                </a:lnTo>
                                <a:lnTo>
                                  <a:pt x="714" y="241"/>
                                </a:lnTo>
                                <a:lnTo>
                                  <a:pt x="751" y="265"/>
                                </a:lnTo>
                                <a:lnTo>
                                  <a:pt x="751" y="289"/>
                                </a:lnTo>
                                <a:lnTo>
                                  <a:pt x="757" y="325"/>
                                </a:lnTo>
                                <a:lnTo>
                                  <a:pt x="757" y="379"/>
                                </a:lnTo>
                                <a:lnTo>
                                  <a:pt x="714" y="469"/>
                                </a:lnTo>
                                <a:lnTo>
                                  <a:pt x="696" y="523"/>
                                </a:lnTo>
                                <a:lnTo>
                                  <a:pt x="696" y="547"/>
                                </a:lnTo>
                                <a:lnTo>
                                  <a:pt x="684" y="547"/>
                                </a:lnTo>
                                <a:lnTo>
                                  <a:pt x="660" y="559"/>
                                </a:lnTo>
                                <a:lnTo>
                                  <a:pt x="636" y="577"/>
                                </a:lnTo>
                                <a:lnTo>
                                  <a:pt x="618" y="577"/>
                                </a:lnTo>
                                <a:lnTo>
                                  <a:pt x="594" y="559"/>
                                </a:lnTo>
                                <a:lnTo>
                                  <a:pt x="576" y="571"/>
                                </a:lnTo>
                                <a:lnTo>
                                  <a:pt x="534" y="553"/>
                                </a:lnTo>
                                <a:lnTo>
                                  <a:pt x="498" y="535"/>
                                </a:lnTo>
                                <a:lnTo>
                                  <a:pt x="480" y="505"/>
                                </a:lnTo>
                                <a:lnTo>
                                  <a:pt x="468" y="481"/>
                                </a:lnTo>
                                <a:lnTo>
                                  <a:pt x="444" y="487"/>
                                </a:lnTo>
                                <a:lnTo>
                                  <a:pt x="420" y="463"/>
                                </a:lnTo>
                                <a:lnTo>
                                  <a:pt x="378" y="421"/>
                                </a:lnTo>
                                <a:lnTo>
                                  <a:pt x="312" y="409"/>
                                </a:lnTo>
                                <a:lnTo>
                                  <a:pt x="264" y="415"/>
                                </a:lnTo>
                                <a:lnTo>
                                  <a:pt x="204" y="433"/>
                                </a:lnTo>
                                <a:lnTo>
                                  <a:pt x="198" y="451"/>
                                </a:lnTo>
                                <a:lnTo>
                                  <a:pt x="162" y="457"/>
                                </a:lnTo>
                                <a:lnTo>
                                  <a:pt x="138" y="457"/>
                                </a:lnTo>
                                <a:lnTo>
                                  <a:pt x="120" y="475"/>
                                </a:lnTo>
                                <a:lnTo>
                                  <a:pt x="84" y="487"/>
                                </a:lnTo>
                                <a:lnTo>
                                  <a:pt x="60" y="487"/>
                                </a:lnTo>
                                <a:lnTo>
                                  <a:pt x="30" y="463"/>
                                </a:lnTo>
                                <a:close/>
                              </a:path>
                            </a:pathLst>
                          </a:custGeom>
                          <a:grpFill/>
                          <a:ln w="12700" cap="flat" cmpd="sng">
                            <a:solidFill>
                              <a:schemeClr val="tx1"/>
                            </a:solidFill>
                            <a:prstDash val="solid"/>
                            <a:round/>
                            <a:headEnd type="none" w="med" len="med"/>
                            <a:tailEnd type="none" w="med" len="med"/>
                          </a:ln>
                          <a:effectLst/>
                        </wps:spPr>
                        <wps:bodyPr/>
                      </wps:wsp>
                      <wps:wsp>
                        <wps:cNvPr id="21" name="Freeform 269"/>
                        <wps:cNvSpPr>
                          <a:spLocks/>
                        </wps:cNvSpPr>
                        <wps:spPr bwMode="auto">
                          <a:xfrm>
                            <a:off x="444172" y="-8103610"/>
                            <a:ext cx="50800" cy="48260"/>
                          </a:xfrm>
                          <a:custGeom>
                            <a:avLst/>
                            <a:gdLst>
                              <a:gd name="T0" fmla="*/ 0 w 66"/>
                              <a:gd name="T1" fmla="*/ 2147483646 h 91"/>
                              <a:gd name="T2" fmla="*/ 2147483646 w 66"/>
                              <a:gd name="T3" fmla="*/ 2147483646 h 91"/>
                              <a:gd name="T4" fmla="*/ 2147483646 w 66"/>
                              <a:gd name="T5" fmla="*/ 2147483646 h 91"/>
                              <a:gd name="T6" fmla="*/ 2147483646 w 66"/>
                              <a:gd name="T7" fmla="*/ 2147483646 h 91"/>
                              <a:gd name="T8" fmla="*/ 2147483646 w 66"/>
                              <a:gd name="T9" fmla="*/ 2147483646 h 91"/>
                              <a:gd name="T10" fmla="*/ 2147483646 w 66"/>
                              <a:gd name="T11" fmla="*/ 2147483646 h 91"/>
                              <a:gd name="T12" fmla="*/ 2147483646 w 66"/>
                              <a:gd name="T13" fmla="*/ 0 h 91"/>
                              <a:gd name="T14" fmla="*/ 2147483646 w 66"/>
                              <a:gd name="T15" fmla="*/ 2147483646 h 91"/>
                              <a:gd name="T16" fmla="*/ 0 w 66"/>
                              <a:gd name="T17" fmla="*/ 2147483646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 h="91">
                                <a:moveTo>
                                  <a:pt x="0" y="18"/>
                                </a:moveTo>
                                <a:lnTo>
                                  <a:pt x="12" y="48"/>
                                </a:lnTo>
                                <a:lnTo>
                                  <a:pt x="18" y="72"/>
                                </a:lnTo>
                                <a:lnTo>
                                  <a:pt x="36" y="91"/>
                                </a:lnTo>
                                <a:lnTo>
                                  <a:pt x="48" y="66"/>
                                </a:lnTo>
                                <a:lnTo>
                                  <a:pt x="66" y="30"/>
                                </a:lnTo>
                                <a:lnTo>
                                  <a:pt x="66" y="0"/>
                                </a:lnTo>
                                <a:lnTo>
                                  <a:pt x="42" y="12"/>
                                </a:lnTo>
                                <a:lnTo>
                                  <a:pt x="0" y="18"/>
                                </a:lnTo>
                                <a:close/>
                              </a:path>
                            </a:pathLst>
                          </a:custGeom>
                          <a:grpFill/>
                          <a:ln w="12700">
                            <a:solidFill>
                              <a:schemeClr val="tx1"/>
                            </a:solidFill>
                            <a:round/>
                            <a:headEnd/>
                            <a:tailEnd/>
                          </a:ln>
                        </wps:spPr>
                        <wps:bodyPr/>
                      </wps:wsp>
                    </wpg:wgp>
                  </a:graphicData>
                </a:graphic>
              </wp:anchor>
            </w:drawing>
          </mc:Choice>
          <mc:Fallback>
            <w:pict>
              <v:group w14:anchorId="5FAE4251" id="Group 19" o:spid="_x0000_s1026" alt="Decorative" style="position:absolute;margin-left:2.3pt;margin-top:4.8pt;width:45.75pt;height:35.7pt;z-index:251658280" coordorigin="-59,-85092" coordsize="581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">
                <v:shape id="Freeform 268" o:spid="_x0000_s1027" style="position:absolute;left:-59;top:-85092;width:5811;height:3808;visibility:visible;mso-wrap-style:square;v-text-anchor:top" coordsize="7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" path="m30,463r6,-48l30,385,6,307r,-24l,247,6,217,30,193,78,175r36,-24l144,145r12,-36l180,97r24,-7l240,60,264,48r18,12l300,66,312,42,330,24r30,-6l372,r24,6l438,12r-6,24l420,66r18,12l468,78r24,37l510,109,540,90r,-60l564,r12,42l582,54r12,6l612,121r30,30l678,163r12,36l708,211r6,30l751,265r,24l757,325r,54l714,469r-18,54l696,547r-12,l660,559r-24,18l618,577,594,559r-18,12l534,553,498,535,480,505,468,481r-24,6l420,463,378,421,312,409r-48,6l204,433r-6,18l162,457r-24,l120,475,84,487r-24,l30,463xe" filled="f" strokecolor="black [3213]" strokeweight="1pt">
                  <v:path arrowok="t" o:connecttype="custom" o:connectlocs="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
                </v:shape>
                <v:shape id="Freeform 269" o:spid="_x0000_s1028" style="position:absolute;left:4441;top:-81036;width:508;height:483;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" path="m,18l12,48r6,24l36,91,48,66,66,30,66,,42,12,,18xe" filled="f" strokecolor="black [3213]" strokeweight="1pt">
                  <v:path arrowok="t" o:connecttype="custom" o:connectlocs="0,2147483646;2147483646,2147483646;2147483646,2147483646;2147483646,2147483646;2147483646,2147483646;2147483646,2147483646;2147483646,0;2147483646,2147483646;0,2147483646" o:connectangles="0,0,0,0,0,0,0,0,0"/>
                </v:shape>
                <w10:wrap type="square"/>
              </v:group>
            </w:pict>
          </mc:Fallback>
        </mc:AlternateContent>
      </w:r>
      <w:r w:rsidR="00CE4E54" w:rsidRPr="00B50802">
        <w:rPr>
          <w:b/>
          <w:bCs/>
          <w:color w:val="000000" w:themeColor="text1"/>
        </w:rPr>
        <w:br/>
        <w:t>The National Energy Performance Strategy</w:t>
      </w:r>
    </w:p>
    <w:p w14:paraId="6AF548CC" w14:textId="2E4018BA" w:rsidR="00CE4E54" w:rsidRPr="00B50802" w:rsidRDefault="00453E5B" w:rsidP="00CE4E54">
      <w:r w:rsidRPr="00B50802">
        <w:br/>
      </w:r>
      <w:r w:rsidR="00CE4E54" w:rsidRPr="00B50802">
        <w:t>The Australian Government is developing a National Energy Performance Strategy. This strategy will support Australian jobs, take action on climate change, and ensure all Australians can access affordable energy. It will accelerate demand-side action to uplift energy performance, improve affordability and reduce emissions. The Australian Government is working closely with states and territories through the National Energy Transformation Partnership to ensure that the Strategy complements and enhances existing work being undertaken by jurisdictions.</w:t>
      </w:r>
    </w:p>
    <w:p w14:paraId="29FD45E8" w14:textId="77777777" w:rsidR="003F582A" w:rsidRPr="00B50802" w:rsidRDefault="00CE4E54" w:rsidP="00CE4E54">
      <w:pPr>
        <w:rPr>
          <w:iCs/>
        </w:rPr>
      </w:pPr>
      <w:r w:rsidRPr="00B50802">
        <w:rPr>
          <w:iCs/>
        </w:rPr>
        <w:t>Submissions made as part of the consultation for the National Energy Performance Strategy can be resubmitted in response to this Issues Paper, and can be referenced in submissions if you would like to provide additional information.</w:t>
      </w:r>
      <w:r w:rsidR="003F582A" w:rsidRPr="00B50802">
        <w:t xml:space="preserve"> </w:t>
      </w:r>
    </w:p>
    <w:p w14:paraId="065E03B7" w14:textId="77777777" w:rsidR="006E45C7" w:rsidRPr="00B50802" w:rsidRDefault="006E45C7" w:rsidP="00CE4E54">
      <w:pPr>
        <w:rPr>
          <w:iCs/>
        </w:rPr>
      </w:pPr>
      <w:r w:rsidRPr="00B50802">
        <w:rPr>
          <w:iCs/>
        </w:rPr>
        <w:t>I</w:t>
      </w:r>
      <w:r w:rsidR="00131FE4" w:rsidRPr="00B50802">
        <w:rPr>
          <w:iCs/>
        </w:rPr>
        <w:t>n the</w:t>
      </w:r>
      <w:r w:rsidR="003F582A" w:rsidRPr="00B50802">
        <w:rPr>
          <w:iCs/>
        </w:rPr>
        <w:t xml:space="preserve"> 2023-24 Budget</w:t>
      </w:r>
      <w:r w:rsidRPr="00B50802">
        <w:rPr>
          <w:iCs/>
        </w:rPr>
        <w:t xml:space="preserve">, the Australian Government announced the Energy Savings Package </w:t>
      </w:r>
      <w:r w:rsidR="00131FE4" w:rsidRPr="00B50802">
        <w:rPr>
          <w:iCs/>
        </w:rPr>
        <w:t>as</w:t>
      </w:r>
      <w:r w:rsidR="003F582A" w:rsidRPr="00B50802">
        <w:rPr>
          <w:iCs/>
        </w:rPr>
        <w:t xml:space="preserve"> a down payment on the National Energy Performance Strategy</w:t>
      </w:r>
      <w:r w:rsidRPr="00B50802">
        <w:rPr>
          <w:iCs/>
        </w:rPr>
        <w:t xml:space="preserve">. </w:t>
      </w:r>
    </w:p>
    <w:p w14:paraId="20539936" w14:textId="3BE98D08" w:rsidR="001E0C7B" w:rsidRPr="00B50802" w:rsidRDefault="006E45C7" w:rsidP="001E0C7B">
      <w:pPr>
        <w:rPr>
          <w:iCs/>
        </w:rPr>
      </w:pPr>
      <w:r w:rsidRPr="00B50802">
        <w:rPr>
          <w:iCs/>
        </w:rPr>
        <w:t>As part of this package</w:t>
      </w:r>
      <w:r w:rsidR="001E0C7B" w:rsidRPr="00B50802">
        <w:rPr>
          <w:iCs/>
        </w:rPr>
        <w:t>, a $1.3 billion</w:t>
      </w:r>
      <w:r w:rsidR="003F582A" w:rsidRPr="00B50802">
        <w:rPr>
          <w:iCs/>
        </w:rPr>
        <w:t xml:space="preserve"> </w:t>
      </w:r>
      <w:r w:rsidRPr="00B50802">
        <w:rPr>
          <w:iCs/>
        </w:rPr>
        <w:t>Household Energy Upgrades Fund</w:t>
      </w:r>
      <w:r w:rsidR="001E0C7B" w:rsidRPr="00B50802">
        <w:rPr>
          <w:iCs/>
        </w:rPr>
        <w:t xml:space="preserve"> will be established to</w:t>
      </w:r>
      <w:r w:rsidR="003F582A" w:rsidRPr="00B50802">
        <w:rPr>
          <w:iCs/>
        </w:rPr>
        <w:t xml:space="preserve"> support home energy upgrades </w:t>
      </w:r>
      <w:r w:rsidRPr="00B50802">
        <w:rPr>
          <w:iCs/>
        </w:rPr>
        <w:t>to</w:t>
      </w:r>
      <w:r w:rsidR="003F582A" w:rsidRPr="00B50802">
        <w:rPr>
          <w:iCs/>
        </w:rPr>
        <w:t xml:space="preserve"> improve energy performance</w:t>
      </w:r>
      <w:r w:rsidR="001E0C7B" w:rsidRPr="00B50802">
        <w:rPr>
          <w:iCs/>
        </w:rPr>
        <w:t>. The</w:t>
      </w:r>
      <w:r w:rsidRPr="00B50802">
        <w:rPr>
          <w:iCs/>
        </w:rPr>
        <w:t xml:space="preserve"> </w:t>
      </w:r>
      <w:r w:rsidR="003F582A" w:rsidRPr="00B50802">
        <w:rPr>
          <w:iCs/>
        </w:rPr>
        <w:t>Fund</w:t>
      </w:r>
      <w:r w:rsidR="001E0C7B" w:rsidRPr="00B50802">
        <w:rPr>
          <w:iCs/>
        </w:rPr>
        <w:t xml:space="preserve"> </w:t>
      </w:r>
      <w:r w:rsidR="003F582A" w:rsidRPr="00B50802">
        <w:rPr>
          <w:iCs/>
        </w:rPr>
        <w:t>includes</w:t>
      </w:r>
      <w:r w:rsidR="001E0C7B" w:rsidRPr="00B50802">
        <w:rPr>
          <w:iCs/>
        </w:rPr>
        <w:t>:</w:t>
      </w:r>
      <w:r w:rsidR="003F582A" w:rsidRPr="00B50802">
        <w:rPr>
          <w:iCs/>
        </w:rPr>
        <w:t xml:space="preserve"> </w:t>
      </w:r>
    </w:p>
    <w:p w14:paraId="7E7D79BB" w14:textId="77777777" w:rsidR="001E0C7B" w:rsidRPr="00B50802" w:rsidRDefault="003F582A" w:rsidP="00F17FAF">
      <w:pPr>
        <w:pStyle w:val="ListParagraph"/>
        <w:numPr>
          <w:ilvl w:val="0"/>
          <w:numId w:val="17"/>
        </w:numPr>
        <w:rPr>
          <w:iCs/>
        </w:rPr>
      </w:pPr>
      <w:r w:rsidRPr="00B50802">
        <w:rPr>
          <w:iCs/>
        </w:rPr>
        <w:t xml:space="preserve">$1 billion for low-cost financing from the Clean Energy Finance Corporation for home upgrades that save energy; </w:t>
      </w:r>
    </w:p>
    <w:p w14:paraId="27B5172D" w14:textId="33D84547" w:rsidR="00A959B8" w:rsidRPr="00B50802" w:rsidRDefault="009F0296" w:rsidP="00F17FAF">
      <w:pPr>
        <w:pStyle w:val="ListParagraph"/>
        <w:numPr>
          <w:ilvl w:val="0"/>
          <w:numId w:val="17"/>
        </w:numPr>
      </w:pPr>
      <w:r w:rsidRPr="00B50802">
        <w:rPr>
          <w:noProof/>
          <w:lang w:eastAsia="en-AU"/>
        </w:rPr>
        <mc:AlternateContent>
          <mc:Choice Requires="wps">
            <w:drawing>
              <wp:anchor distT="0" distB="0" distL="114300" distR="114300" simplePos="0" relativeHeight="251658296" behindDoc="1" locked="0" layoutInCell="1" allowOverlap="1" wp14:anchorId="186C80A5" wp14:editId="2F450EB6">
                <wp:simplePos x="0" y="0"/>
                <wp:positionH relativeFrom="margin">
                  <wp:posOffset>-67945</wp:posOffset>
                </wp:positionH>
                <wp:positionV relativeFrom="paragraph">
                  <wp:posOffset>618821</wp:posOffset>
                </wp:positionV>
                <wp:extent cx="5896610" cy="3749040"/>
                <wp:effectExtent l="0" t="0" r="27940" b="22860"/>
                <wp:wrapNone/>
                <wp:docPr id="6" name="Rectangle 6" descr="Decorative"/>
                <wp:cNvGraphicFramePr/>
                <a:graphic xmlns:a="http://schemas.openxmlformats.org/drawingml/2006/main">
                  <a:graphicData uri="http://schemas.microsoft.com/office/word/2010/wordprocessingShape">
                    <wps:wsp>
                      <wps:cNvSpPr/>
                      <wps:spPr>
                        <a:xfrm>
                          <a:off x="0" y="0"/>
                          <a:ext cx="5896610" cy="3749040"/>
                        </a:xfrm>
                        <a:prstGeom prst="rect">
                          <a:avLst/>
                        </a:prstGeom>
                        <a:solidFill>
                          <a:srgbClr val="DAEEF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EEB6D" id="Rectangle 6" o:spid="_x0000_s1026" alt="Decorative" style="position:absolute;margin-left:-5.35pt;margin-top:48.75pt;width:464.3pt;height:295.2pt;z-index:-251658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" fillcolor="#daeef3" strokecolor="black [3213]" strokeweight=".25pt">
                <w10:wrap anchorx="margin"/>
              </v:rect>
            </w:pict>
          </mc:Fallback>
        </mc:AlternateContent>
      </w:r>
      <w:r w:rsidR="003F582A" w:rsidRPr="00B50802">
        <w:rPr>
          <w:iCs/>
        </w:rPr>
        <w:t>$300 million to support upgrades to social housing;</w:t>
      </w:r>
      <w:r w:rsidR="001E0C7B" w:rsidRPr="00B50802">
        <w:rPr>
          <w:iCs/>
        </w:rPr>
        <w:t xml:space="preserve"> and</w:t>
      </w:r>
      <w:r w:rsidR="003F582A" w:rsidRPr="008A6FEE">
        <w:rPr>
          <w:iCs/>
        </w:rPr>
        <w:t xml:space="preserve">$36.7 million to develop further initiatives to improve energy performance.  </w:t>
      </w:r>
      <w:r w:rsidR="003F582A" w:rsidRPr="008A6FEE">
        <w:rPr>
          <w:iCs/>
        </w:rPr>
        <w:br/>
      </w:r>
      <w:bookmarkStart w:id="2024" w:name="_Toc135035246"/>
      <w:bookmarkStart w:id="2025" w:name="_Toc135060923"/>
      <w:bookmarkStart w:id="2026" w:name="_Toc135161395"/>
      <w:bookmarkStart w:id="2027" w:name="_Toc135162341"/>
      <w:bookmarkStart w:id="2028" w:name="_Toc135162515"/>
      <w:bookmarkStart w:id="2029" w:name="_Toc135206094"/>
      <w:bookmarkStart w:id="2030" w:name="_Toc135206179"/>
    </w:p>
    <w:p w14:paraId="352DEF8B" w14:textId="37EB7B7D" w:rsidR="00CE4E54" w:rsidRPr="00B50802" w:rsidRDefault="00CE4E54" w:rsidP="009F0296">
      <w:pPr>
        <w:pStyle w:val="Style1"/>
      </w:pPr>
      <w:bookmarkStart w:id="2031" w:name="_Toc139464337"/>
      <w:bookmarkStart w:id="2032" w:name="_Toc141969872"/>
      <w:bookmarkStart w:id="2033" w:name="_Toc141972495"/>
      <w:bookmarkStart w:id="2034" w:name="_Toc141972708"/>
      <w:bookmarkStart w:id="2035" w:name="_Toc141972982"/>
      <w:bookmarkStart w:id="2036" w:name="_Toc142042542"/>
      <w:bookmarkStart w:id="2037" w:name="_Toc142042815"/>
      <w:r w:rsidRPr="00B50802">
        <w:t>Questions for consideration</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3E4B7B31" w14:textId="696FFB64" w:rsidR="00CE4E54" w:rsidRPr="00B50802" w:rsidRDefault="00CE4E54" w:rsidP="00F17FAF">
      <w:pPr>
        <w:pStyle w:val="ListParagraph"/>
        <w:numPr>
          <w:ilvl w:val="0"/>
          <w:numId w:val="8"/>
        </w:numPr>
        <w:ind w:left="714" w:hanging="357"/>
        <w:contextualSpacing w:val="0"/>
      </w:pPr>
      <w:r w:rsidRPr="00B50802">
        <w:t xml:space="preserve">How can governments improve housing and accommodation service coordination to better support individuals affected by </w:t>
      </w:r>
      <w:r w:rsidR="003B77D6" w:rsidRPr="00B50802">
        <w:t>hazards</w:t>
      </w:r>
      <w:r w:rsidRPr="00B50802">
        <w:t>?</w:t>
      </w:r>
    </w:p>
    <w:p w14:paraId="70C1DC84" w14:textId="63CAF762" w:rsidR="00CE4E54" w:rsidRPr="00B50802" w:rsidRDefault="00CE4E54" w:rsidP="00F17FAF">
      <w:pPr>
        <w:pStyle w:val="ListParagraph"/>
        <w:numPr>
          <w:ilvl w:val="0"/>
          <w:numId w:val="8"/>
        </w:numPr>
        <w:ind w:left="714" w:hanging="357"/>
        <w:contextualSpacing w:val="0"/>
      </w:pPr>
      <w:r w:rsidRPr="00B50802">
        <w:t>How can governments support hazard resilient housing and housing modifications for new and existing housing</w:t>
      </w:r>
      <w:r w:rsidR="00C27017" w:rsidRPr="00B50802">
        <w:t>,</w:t>
      </w:r>
      <w:r w:rsidR="00EF3D1C" w:rsidRPr="00B50802">
        <w:t xml:space="preserve"> </w:t>
      </w:r>
      <w:r w:rsidR="00C27017" w:rsidRPr="00B50802">
        <w:t>i</w:t>
      </w:r>
      <w:r w:rsidR="00EF3D1C" w:rsidRPr="00B50802">
        <w:t>n particular within rural and remote locations that are more likely to be impacted by extreme weather events</w:t>
      </w:r>
      <w:r w:rsidRPr="00B50802">
        <w:t>?</w:t>
      </w:r>
    </w:p>
    <w:p w14:paraId="5835AC5D" w14:textId="77777777" w:rsidR="00CE4E54" w:rsidRPr="00B50802" w:rsidRDefault="00CE4E54" w:rsidP="00F17FAF">
      <w:pPr>
        <w:pStyle w:val="ListParagraph"/>
        <w:numPr>
          <w:ilvl w:val="0"/>
          <w:numId w:val="8"/>
        </w:numPr>
        <w:ind w:left="714" w:hanging="357"/>
        <w:contextualSpacing w:val="0"/>
      </w:pPr>
      <w:r w:rsidRPr="00B50802">
        <w:t xml:space="preserve">How can governments better encourage the uptake of energy efficient housing modifications and design? </w:t>
      </w:r>
    </w:p>
    <w:p w14:paraId="1E2241BB" w14:textId="77777777" w:rsidR="00CE4E54" w:rsidRPr="00B50802" w:rsidRDefault="00CE4E54" w:rsidP="00F17FAF">
      <w:pPr>
        <w:pStyle w:val="ListParagraph"/>
        <w:numPr>
          <w:ilvl w:val="0"/>
          <w:numId w:val="8"/>
        </w:numPr>
        <w:ind w:left="714" w:hanging="357"/>
        <w:contextualSpacing w:val="0"/>
      </w:pPr>
      <w:r w:rsidRPr="00B50802">
        <w:t>How can housing policies and programs support people who have been displaced due to climate disasters?</w:t>
      </w:r>
    </w:p>
    <w:p w14:paraId="23406386" w14:textId="77777777" w:rsidR="00CE4E54" w:rsidRPr="00B50802" w:rsidRDefault="00CE4E54" w:rsidP="00F17FAF">
      <w:pPr>
        <w:pStyle w:val="ListParagraph"/>
        <w:numPr>
          <w:ilvl w:val="0"/>
          <w:numId w:val="8"/>
        </w:numPr>
        <w:spacing w:after="240" w:line="240" w:lineRule="auto"/>
        <w:ind w:left="714" w:hanging="357"/>
        <w:contextualSpacing w:val="0"/>
      </w:pPr>
      <w:r w:rsidRPr="00B50802">
        <w:t>What options should be explored for improving the energy efficiency of rental properties?</w:t>
      </w:r>
    </w:p>
    <w:p w14:paraId="7836D52E" w14:textId="77777777" w:rsidR="00CE4E54" w:rsidRPr="00B50802" w:rsidRDefault="00CE4E54" w:rsidP="00F17FAF">
      <w:pPr>
        <w:pStyle w:val="ListParagraph"/>
        <w:numPr>
          <w:ilvl w:val="0"/>
          <w:numId w:val="8"/>
        </w:numPr>
        <w:spacing w:after="240" w:line="240" w:lineRule="auto"/>
        <w:ind w:left="714" w:hanging="357"/>
        <w:contextualSpacing w:val="0"/>
      </w:pPr>
      <w:r w:rsidRPr="00B50802">
        <w:t>How can hazard resilience and thermal performance of housing in regional and remote locations be improved?</w:t>
      </w:r>
    </w:p>
    <w:p w14:paraId="6A9D4D2E" w14:textId="77777777" w:rsidR="00C869E0" w:rsidRPr="00B50802" w:rsidRDefault="00C869E0" w:rsidP="006E45E1">
      <w:pPr>
        <w:spacing w:after="240" w:line="240" w:lineRule="auto"/>
        <w:rPr>
          <w:rFonts w:cs="Arial"/>
        </w:rPr>
      </w:pPr>
    </w:p>
    <w:p w14:paraId="2C3252FF" w14:textId="3C7EA124" w:rsidR="00691BFB" w:rsidRPr="00B50802" w:rsidRDefault="00691BFB">
      <w:pPr>
        <w:rPr>
          <w:rFonts w:ascii="Georgia" w:hAnsi="Georgia"/>
          <w:b/>
          <w:color w:val="005A70"/>
          <w:sz w:val="36"/>
          <w:szCs w:val="36"/>
        </w:rPr>
      </w:pPr>
    </w:p>
    <w:p w14:paraId="21A6CCD7" w14:textId="77777777" w:rsidR="00AF390B" w:rsidRPr="00B50802" w:rsidRDefault="00AF390B" w:rsidP="00811E03">
      <w:pPr>
        <w:pStyle w:val="Heading1"/>
      </w:pPr>
      <w:bookmarkStart w:id="2038" w:name="_Toc135162342"/>
      <w:bookmarkStart w:id="2039" w:name="_Toc141972496"/>
      <w:bookmarkStart w:id="2040" w:name="_Toc141972709"/>
      <w:bookmarkStart w:id="2041" w:name="_Toc141972983"/>
      <w:bookmarkStart w:id="2042" w:name="_Toc142042543"/>
      <w:bookmarkStart w:id="2043" w:name="_Toc142042816"/>
      <w:bookmarkStart w:id="2044" w:name="_Toc142051876"/>
      <w:r w:rsidRPr="00B50802">
        <w:lastRenderedPageBreak/>
        <w:t>Your feedback is important</w:t>
      </w:r>
      <w:bookmarkEnd w:id="2038"/>
      <w:bookmarkEnd w:id="2039"/>
      <w:bookmarkEnd w:id="2040"/>
      <w:bookmarkEnd w:id="2041"/>
      <w:bookmarkEnd w:id="2042"/>
      <w:bookmarkEnd w:id="2043"/>
      <w:bookmarkEnd w:id="2044"/>
    </w:p>
    <w:p w14:paraId="170D2388" w14:textId="77777777" w:rsidR="00AF390B" w:rsidRPr="00B50802" w:rsidRDefault="00AF390B" w:rsidP="00811E03">
      <w:r w:rsidRPr="00B50802">
        <w:t xml:space="preserve">Your ideas and experiences will help drive long-term, nationally consistent change for individuals and families impacted by housing and homelessness. </w:t>
      </w:r>
    </w:p>
    <w:p w14:paraId="6E18E08F" w14:textId="77777777" w:rsidR="00AF390B" w:rsidRPr="00B50802" w:rsidRDefault="00AF390B" w:rsidP="00811E03">
      <w:pPr>
        <w:rPr>
          <w:rFonts w:eastAsiaTheme="minorEastAsia"/>
          <w:i/>
          <w:iCs/>
        </w:rPr>
      </w:pPr>
      <w:r w:rsidRPr="00B50802">
        <w:rPr>
          <w:rFonts w:eastAsiaTheme="minorEastAsia"/>
        </w:rPr>
        <w:t xml:space="preserve">This Issues Paper has been developed as a way to seek your feedback on what the Plan should address. </w:t>
      </w:r>
    </w:p>
    <w:p w14:paraId="4B6BCB14" w14:textId="77777777" w:rsidR="00AF390B" w:rsidRPr="00B50802" w:rsidRDefault="00AF390B" w:rsidP="00811E03">
      <w:pPr>
        <w:rPr>
          <w:rFonts w:eastAsiaTheme="minorEastAsia"/>
          <w:i/>
          <w:iCs/>
        </w:rPr>
      </w:pPr>
      <w:r w:rsidRPr="00B50802">
        <w:rPr>
          <w:rFonts w:eastAsiaTheme="minorEastAsia"/>
        </w:rPr>
        <w:t xml:space="preserve">We want you to consider what parts of the housing systems governments and the sector need to improve, including how governments can better work together. Throughout the paper are a series of discussion questions that </w:t>
      </w:r>
      <w:r w:rsidR="00CB21C1" w:rsidRPr="00B50802">
        <w:rPr>
          <w:rFonts w:eastAsiaTheme="minorEastAsia"/>
        </w:rPr>
        <w:t xml:space="preserve">may </w:t>
      </w:r>
      <w:r w:rsidRPr="00B50802">
        <w:rPr>
          <w:rFonts w:eastAsiaTheme="minorEastAsia"/>
        </w:rPr>
        <w:t xml:space="preserve">help you in providing feedback. </w:t>
      </w:r>
      <w:r w:rsidR="006F2238" w:rsidRPr="00B50802">
        <w:rPr>
          <w:rFonts w:eastAsiaTheme="minorEastAsia"/>
        </w:rPr>
        <w:t xml:space="preserve">Submissions do not need to </w:t>
      </w:r>
      <w:r w:rsidR="00CB21C1" w:rsidRPr="00B50802">
        <w:rPr>
          <w:rFonts w:eastAsiaTheme="minorEastAsia"/>
        </w:rPr>
        <w:t xml:space="preserve">include </w:t>
      </w:r>
      <w:r w:rsidR="006F2238" w:rsidRPr="00B50802">
        <w:rPr>
          <w:rFonts w:eastAsiaTheme="minorEastAsia"/>
        </w:rPr>
        <w:t xml:space="preserve">a response to every discussion question. </w:t>
      </w:r>
      <w:r w:rsidR="00CB21C1" w:rsidRPr="00B50802">
        <w:rPr>
          <w:rFonts w:eastAsiaTheme="minorEastAsia"/>
        </w:rPr>
        <w:t xml:space="preserve">These </w:t>
      </w:r>
      <w:r w:rsidR="006F2238" w:rsidRPr="00B50802">
        <w:rPr>
          <w:rFonts w:eastAsiaTheme="minorEastAsia"/>
        </w:rPr>
        <w:t xml:space="preserve">questions have been included as a prompt to guide </w:t>
      </w:r>
      <w:r w:rsidR="00CB21C1" w:rsidRPr="00B50802">
        <w:rPr>
          <w:rFonts w:eastAsiaTheme="minorEastAsia"/>
        </w:rPr>
        <w:t xml:space="preserve">you </w:t>
      </w:r>
      <w:r w:rsidR="006F2238" w:rsidRPr="00B50802">
        <w:rPr>
          <w:rFonts w:eastAsiaTheme="minorEastAsia"/>
        </w:rPr>
        <w:t xml:space="preserve">on which areas would be useful to explore further in the development of the Plan. </w:t>
      </w:r>
      <w:r w:rsidRPr="00B50802">
        <w:rPr>
          <w:rFonts w:eastAsiaTheme="minorEastAsia"/>
        </w:rPr>
        <w:t xml:space="preserve">We also want to know whether these issues align with your experience. </w:t>
      </w:r>
    </w:p>
    <w:p w14:paraId="015AA54C" w14:textId="77777777" w:rsidR="00AF390B" w:rsidRPr="00B50802" w:rsidRDefault="00AF390B" w:rsidP="00811E03">
      <w:r w:rsidRPr="00B50802">
        <w:t>We note that there have been several inquiries and reviews into housing in Australia over recent years with similar submission processes</w:t>
      </w:r>
      <w:r w:rsidR="00CB21C1" w:rsidRPr="00B50802">
        <w:t xml:space="preserve"> and </w:t>
      </w:r>
      <w:r w:rsidRPr="00B50802">
        <w:t>as such</w:t>
      </w:r>
      <w:r w:rsidR="00746FE3" w:rsidRPr="00B50802">
        <w:t>,</w:t>
      </w:r>
      <w:r w:rsidRPr="00B50802">
        <w:t xml:space="preserve"> </w:t>
      </w:r>
      <w:r w:rsidR="008A1B48" w:rsidRPr="00B50802">
        <w:t>you are welcome</w:t>
      </w:r>
      <w:r w:rsidR="00CB21C1" w:rsidRPr="00B50802">
        <w:t xml:space="preserve"> to resubmit </w:t>
      </w:r>
      <w:r w:rsidRPr="00B50802">
        <w:t>previous submissions for the purposes of this consultation process.</w:t>
      </w:r>
    </w:p>
    <w:p w14:paraId="0D83FEB9" w14:textId="77777777" w:rsidR="00AF390B" w:rsidRPr="009274D8" w:rsidRDefault="00AF390B" w:rsidP="009274D8">
      <w:pPr>
        <w:pStyle w:val="Bullet"/>
        <w:spacing w:after="200"/>
        <w:ind w:left="522" w:hanging="522"/>
        <w:rPr>
          <w:rFonts w:ascii="Georgia" w:hAnsi="Georgia"/>
          <w:color w:val="005A70"/>
          <w:sz w:val="36"/>
          <w:szCs w:val="36"/>
        </w:rPr>
      </w:pPr>
      <w:bookmarkStart w:id="2045" w:name="_Toc134784729"/>
      <w:bookmarkStart w:id="2046" w:name="_Toc135035248"/>
      <w:bookmarkStart w:id="2047" w:name="_Toc135060925"/>
      <w:bookmarkStart w:id="2048" w:name="_Toc135161397"/>
      <w:bookmarkStart w:id="2049" w:name="_Toc135162343"/>
      <w:bookmarkStart w:id="2050" w:name="_Toc135162517"/>
      <w:bookmarkStart w:id="2051" w:name="_Toc135206096"/>
      <w:bookmarkStart w:id="2052" w:name="_Toc135206181"/>
      <w:bookmarkStart w:id="2053" w:name="_Toc139464339"/>
      <w:bookmarkStart w:id="2054" w:name="_Toc141969874"/>
      <w:bookmarkStart w:id="2055" w:name="_Toc141972497"/>
      <w:bookmarkStart w:id="2056" w:name="_Toc141972710"/>
      <w:bookmarkStart w:id="2057" w:name="_Toc141972984"/>
      <w:bookmarkStart w:id="2058" w:name="_Toc142042544"/>
      <w:bookmarkStart w:id="2059" w:name="_Toc142042817"/>
      <w:r w:rsidRPr="009274D8">
        <w:rPr>
          <w:rFonts w:ascii="Georgia" w:hAnsi="Georgia"/>
          <w:color w:val="005A70"/>
          <w:sz w:val="36"/>
          <w:szCs w:val="36"/>
        </w:rPr>
        <w:t>How to get involved</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1BCFB5D5" w14:textId="6E5E2C6D" w:rsidR="00A3439D" w:rsidRPr="00B50802" w:rsidRDefault="00CB21C1" w:rsidP="00CB21C1">
      <w:r w:rsidRPr="00B50802">
        <w:t xml:space="preserve">Respond to </w:t>
      </w:r>
      <w:r w:rsidR="00A3439D" w:rsidRPr="00B50802">
        <w:t>the guided, short-form questions:</w:t>
      </w:r>
    </w:p>
    <w:p w14:paraId="0A7F7B52" w14:textId="77777777" w:rsidR="00A3439D" w:rsidRPr="00B50802" w:rsidRDefault="00A3439D" w:rsidP="00BC0294">
      <w:pPr>
        <w:pStyle w:val="Bullets"/>
        <w:numPr>
          <w:ilvl w:val="0"/>
          <w:numId w:val="42"/>
        </w:numPr>
      </w:pPr>
      <w:r w:rsidRPr="00B50802">
        <w:t xml:space="preserve">You may wish to respond to all of the questions, or choose to answer only the questions of most interest to you. </w:t>
      </w:r>
    </w:p>
    <w:p w14:paraId="57AAA6D5" w14:textId="77777777" w:rsidR="00A3439D" w:rsidRPr="00B50802" w:rsidRDefault="00A3439D" w:rsidP="00BC0294">
      <w:pPr>
        <w:pStyle w:val="Bullets"/>
        <w:numPr>
          <w:ilvl w:val="0"/>
          <w:numId w:val="42"/>
        </w:numPr>
      </w:pPr>
      <w:r w:rsidRPr="00B50802">
        <w:t>Individual responses may not be published, or may only be published in part.</w:t>
      </w:r>
    </w:p>
    <w:p w14:paraId="48CF17C0" w14:textId="77777777" w:rsidR="00AF390B" w:rsidRPr="00B50802" w:rsidRDefault="00A3439D" w:rsidP="00CB21C1">
      <w:pPr>
        <w:rPr>
          <w:rFonts w:cs="Arial"/>
        </w:rPr>
      </w:pPr>
      <w:r w:rsidRPr="00B50802" w:rsidDel="00A3439D">
        <w:t xml:space="preserve"> </w:t>
      </w:r>
      <w:r w:rsidR="00AF390B" w:rsidRPr="00B50802">
        <w:t>Lodg</w:t>
      </w:r>
      <w:r w:rsidR="00CB21C1" w:rsidRPr="00B50802">
        <w:t>e</w:t>
      </w:r>
      <w:r w:rsidR="00AF390B" w:rsidRPr="00B50802">
        <w:t xml:space="preserve"> a written submission online:</w:t>
      </w:r>
    </w:p>
    <w:p w14:paraId="4BCF0527" w14:textId="77777777" w:rsidR="00AF390B" w:rsidRPr="00B50802" w:rsidRDefault="00AF390B" w:rsidP="00BC0294">
      <w:pPr>
        <w:pStyle w:val="Bullets"/>
        <w:numPr>
          <w:ilvl w:val="0"/>
          <w:numId w:val="43"/>
        </w:numPr>
      </w:pPr>
      <w:r w:rsidRPr="00B50802">
        <w:t xml:space="preserve">If you lodge a written submission, please include headings with the relevant topics </w:t>
      </w:r>
      <w:r w:rsidR="00D93730" w:rsidRPr="00B50802">
        <w:br/>
      </w:r>
      <w:r w:rsidRPr="00B50802">
        <w:t xml:space="preserve">or questions you are addressing. </w:t>
      </w:r>
    </w:p>
    <w:p w14:paraId="6005924A" w14:textId="77777777" w:rsidR="00AF390B" w:rsidRPr="00B50802" w:rsidRDefault="00AF390B" w:rsidP="00BC0294">
      <w:pPr>
        <w:pStyle w:val="Bullets"/>
        <w:numPr>
          <w:ilvl w:val="0"/>
          <w:numId w:val="43"/>
        </w:numPr>
      </w:pPr>
      <w:r w:rsidRPr="00B50802">
        <w:t xml:space="preserve">If you are representing an organisation, we encourage you to provide case studies, data and evidence to support your views. </w:t>
      </w:r>
    </w:p>
    <w:p w14:paraId="50CA1B04" w14:textId="0279ADEE" w:rsidR="00AF390B" w:rsidRPr="00B50802" w:rsidRDefault="002B4512" w:rsidP="00BC0294">
      <w:pPr>
        <w:pStyle w:val="Bullets"/>
        <w:numPr>
          <w:ilvl w:val="0"/>
          <w:numId w:val="43"/>
        </w:numPr>
      </w:pPr>
      <w:r w:rsidRPr="00BB7ED0">
        <w:rPr>
          <w:rFonts w:eastAsia="Times New Roman"/>
        </w:rPr>
        <w:t>The Government may choose to publish submissions. As such</w:t>
      </w:r>
      <w:r w:rsidRPr="002B4512">
        <w:rPr>
          <w:rFonts w:eastAsia="Times New Roman"/>
          <w:bCs/>
        </w:rPr>
        <w:t>,</w:t>
      </w:r>
      <w:r>
        <w:rPr>
          <w:rFonts w:eastAsia="Times New Roman"/>
        </w:rPr>
        <w:t xml:space="preserve"> </w:t>
      </w:r>
      <w:r w:rsidRPr="00BB7ED0">
        <w:rPr>
          <w:rFonts w:eastAsia="Times New Roman"/>
        </w:rPr>
        <w:t>w</w:t>
      </w:r>
      <w:r w:rsidR="00AF390B" w:rsidRPr="00BB7ED0">
        <w:t>hen</w:t>
      </w:r>
      <w:r w:rsidR="00AF390B" w:rsidRPr="00B50802">
        <w:t xml:space="preserve"> lodging a written submission, you will be asked to specify whether you would like your submission to be published on the department’s website. </w:t>
      </w:r>
    </w:p>
    <w:p w14:paraId="747B4523" w14:textId="77777777" w:rsidR="00AF390B" w:rsidRPr="00B50802" w:rsidRDefault="00AF390B" w:rsidP="00AF390B">
      <w:pPr>
        <w:spacing w:after="0"/>
        <w:contextualSpacing/>
        <w:rPr>
          <w:rFonts w:cs="Arial"/>
        </w:rPr>
      </w:pPr>
    </w:p>
    <w:p w14:paraId="38184401" w14:textId="77777777" w:rsidR="00AF390B" w:rsidRPr="009274D8" w:rsidRDefault="00AF390B" w:rsidP="009274D8">
      <w:pPr>
        <w:pStyle w:val="Bullet"/>
        <w:spacing w:after="200"/>
        <w:ind w:left="522" w:hanging="522"/>
        <w:rPr>
          <w:rFonts w:ascii="Georgia" w:hAnsi="Georgia"/>
          <w:color w:val="005A70"/>
          <w:sz w:val="36"/>
          <w:szCs w:val="36"/>
        </w:rPr>
      </w:pPr>
      <w:bookmarkStart w:id="2060" w:name="_Toc134784730"/>
      <w:bookmarkStart w:id="2061" w:name="_Toc135035249"/>
      <w:bookmarkStart w:id="2062" w:name="_Toc135060926"/>
      <w:bookmarkStart w:id="2063" w:name="_Toc135161398"/>
      <w:bookmarkStart w:id="2064" w:name="_Toc135162344"/>
      <w:bookmarkStart w:id="2065" w:name="_Toc135162518"/>
      <w:bookmarkStart w:id="2066" w:name="_Toc135206097"/>
      <w:bookmarkStart w:id="2067" w:name="_Toc135206182"/>
      <w:bookmarkStart w:id="2068" w:name="_Toc139464340"/>
      <w:bookmarkStart w:id="2069" w:name="_Toc141969875"/>
      <w:bookmarkStart w:id="2070" w:name="_Toc141972498"/>
      <w:bookmarkStart w:id="2071" w:name="_Toc141972711"/>
      <w:bookmarkStart w:id="2072" w:name="_Toc141972985"/>
      <w:bookmarkStart w:id="2073" w:name="_Toc142042545"/>
      <w:bookmarkStart w:id="2074" w:name="_Toc142042818"/>
      <w:r w:rsidRPr="009274D8">
        <w:rPr>
          <w:rFonts w:ascii="Georgia" w:hAnsi="Georgia"/>
          <w:color w:val="005A70"/>
          <w:sz w:val="36"/>
          <w:szCs w:val="36"/>
        </w:rPr>
        <w:t>Other ways to share your feedback</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14:paraId="15F5B09C" w14:textId="77777777" w:rsidR="00AF390B" w:rsidRPr="00B50802" w:rsidRDefault="00CB21C1" w:rsidP="00AF390B">
      <w:r w:rsidRPr="00B50802">
        <w:rPr>
          <w:b/>
          <w:bCs/>
        </w:rPr>
        <w:t>Email a w</w:t>
      </w:r>
      <w:r w:rsidR="00AF390B" w:rsidRPr="00B50802">
        <w:rPr>
          <w:b/>
          <w:bCs/>
        </w:rPr>
        <w:t>ritten submission:</w:t>
      </w:r>
      <w:r w:rsidR="00AF390B" w:rsidRPr="00B50802">
        <w:t> You can email your written submission directly to </w:t>
      </w:r>
      <w:hyperlink r:id="rId114" w:history="1">
        <w:r w:rsidR="00AF390B" w:rsidRPr="00B50802">
          <w:rPr>
            <w:rStyle w:val="Hyperlink"/>
          </w:rPr>
          <w:t>HousingandHomelessnessPlan@dss.gov.au</w:t>
        </w:r>
      </w:hyperlink>
    </w:p>
    <w:p w14:paraId="0D8506C6" w14:textId="77777777" w:rsidR="00AF390B" w:rsidRPr="00B50802" w:rsidRDefault="00AF390B" w:rsidP="00AF390B">
      <w:pPr>
        <w:rPr>
          <w:b/>
          <w:bCs/>
        </w:rPr>
      </w:pPr>
      <w:r w:rsidRPr="00B50802">
        <w:rPr>
          <w:b/>
          <w:bCs/>
        </w:rPr>
        <w:t xml:space="preserve">Language </w:t>
      </w:r>
      <w:r w:rsidR="00C27017" w:rsidRPr="00B50802">
        <w:rPr>
          <w:b/>
          <w:bCs/>
        </w:rPr>
        <w:t>t</w:t>
      </w:r>
      <w:r w:rsidRPr="00B50802">
        <w:rPr>
          <w:b/>
          <w:bCs/>
        </w:rPr>
        <w:t>ranslations:</w:t>
      </w:r>
      <w:r w:rsidRPr="00B50802">
        <w:t xml:space="preserve"> Please contact us at </w:t>
      </w:r>
      <w:hyperlink r:id="rId115" w:history="1">
        <w:r w:rsidRPr="00B50802">
          <w:rPr>
            <w:rStyle w:val="Hyperlink"/>
          </w:rPr>
          <w:t>HousingandHomelessnessPlan@dss.gov.au</w:t>
        </w:r>
      </w:hyperlink>
      <w:r w:rsidRPr="00B50802">
        <w:t xml:space="preserve"> should you require support for translations</w:t>
      </w:r>
      <w:r w:rsidR="00596C74" w:rsidRPr="00B50802">
        <w:t xml:space="preserve"> (including braille)</w:t>
      </w:r>
      <w:r w:rsidRPr="00B50802">
        <w:t>.</w:t>
      </w:r>
    </w:p>
    <w:p w14:paraId="436192F3" w14:textId="77777777" w:rsidR="00AF390B" w:rsidRPr="00B50802" w:rsidRDefault="00AF390B" w:rsidP="00AF390B">
      <w:r w:rsidRPr="00B50802">
        <w:rPr>
          <w:b/>
          <w:bCs/>
        </w:rPr>
        <w:lastRenderedPageBreak/>
        <w:t xml:space="preserve">Video or </w:t>
      </w:r>
      <w:r w:rsidR="00CB21C1" w:rsidRPr="00B50802">
        <w:rPr>
          <w:b/>
          <w:bCs/>
        </w:rPr>
        <w:t>a</w:t>
      </w:r>
      <w:r w:rsidRPr="00B50802">
        <w:rPr>
          <w:b/>
          <w:bCs/>
        </w:rPr>
        <w:t>udio response:</w:t>
      </w:r>
      <w:r w:rsidRPr="00B50802">
        <w:t> To provide a video or audio response, including in Auslan, please email </w:t>
      </w:r>
      <w:hyperlink r:id="rId116" w:history="1">
        <w:r w:rsidRPr="00B50802">
          <w:rPr>
            <w:rStyle w:val="Hyperlink"/>
          </w:rPr>
          <w:t>HousingandHomelessnessPlan@dss.gov.au</w:t>
        </w:r>
      </w:hyperlink>
      <w:r w:rsidRPr="00B50802">
        <w:rPr>
          <w:rStyle w:val="BookTitle"/>
        </w:rPr>
        <w:t xml:space="preserve"> </w:t>
      </w:r>
      <w:r w:rsidRPr="00B50802">
        <w:t>for guidance.</w:t>
      </w:r>
    </w:p>
    <w:p w14:paraId="114F56E3" w14:textId="77777777" w:rsidR="00AF390B" w:rsidRPr="00B50802" w:rsidRDefault="00D32A6D" w:rsidP="00AF390B">
      <w:r w:rsidRPr="00B50802">
        <w:rPr>
          <w:b/>
          <w:bCs/>
        </w:rPr>
        <w:t>Mail</w:t>
      </w:r>
      <w:r w:rsidR="007A7E8C" w:rsidRPr="00B50802">
        <w:rPr>
          <w:b/>
          <w:bCs/>
        </w:rPr>
        <w:t xml:space="preserve"> a written response</w:t>
      </w:r>
      <w:r w:rsidR="00AF390B" w:rsidRPr="00B50802">
        <w:rPr>
          <w:b/>
          <w:bCs/>
        </w:rPr>
        <w:t>:</w:t>
      </w:r>
      <w:r w:rsidR="00AF390B" w:rsidRPr="00B50802">
        <w:t xml:space="preserve"> If you cannot complete the </w:t>
      </w:r>
      <w:r w:rsidR="00DC360F" w:rsidRPr="00B50802">
        <w:t>guided, short-form questions,</w:t>
      </w:r>
      <w:r w:rsidR="00AF390B" w:rsidRPr="00B50802">
        <w:t xml:space="preserve"> or provide a submission online, you can print a PDF [492 kB] or DOCX [96 kB] version of this document and provide a written submission to: </w:t>
      </w:r>
    </w:p>
    <w:p w14:paraId="2BC4F771" w14:textId="77777777" w:rsidR="00AF390B" w:rsidRPr="00B50802" w:rsidRDefault="00AF390B" w:rsidP="00AF390B">
      <w:r w:rsidRPr="00B50802">
        <w:t>National Housing and Homelessness Plan</w:t>
      </w:r>
      <w:r w:rsidRPr="00B50802">
        <w:br/>
        <w:t>Department of Social Services</w:t>
      </w:r>
      <w:r w:rsidRPr="00B50802">
        <w:br/>
        <w:t>GPO Box 9820</w:t>
      </w:r>
      <w:r w:rsidRPr="00B50802">
        <w:br/>
        <w:t>Canberra, ACT 2601</w:t>
      </w:r>
    </w:p>
    <w:p w14:paraId="3E556DA3" w14:textId="77777777" w:rsidR="00AF390B" w:rsidRPr="00B50802" w:rsidRDefault="00AF390B" w:rsidP="00AF390B">
      <w:pPr>
        <w:spacing w:after="240" w:line="240" w:lineRule="auto"/>
        <w:rPr>
          <w:rFonts w:cs="Arial"/>
        </w:rPr>
      </w:pPr>
      <w:r w:rsidRPr="00B50802">
        <w:rPr>
          <w:rFonts w:cs="Arial"/>
        </w:rPr>
        <w:t xml:space="preserve">For </w:t>
      </w:r>
      <w:r w:rsidRPr="00B50802">
        <w:rPr>
          <w:rFonts w:cs="Arial"/>
          <w:b/>
          <w:bCs/>
        </w:rPr>
        <w:t>written or recorded</w:t>
      </w:r>
      <w:r w:rsidRPr="00B50802">
        <w:rPr>
          <w:rFonts w:cs="Arial"/>
        </w:rPr>
        <w:t xml:space="preserve"> </w:t>
      </w:r>
      <w:r w:rsidRPr="00B50802">
        <w:rPr>
          <w:rFonts w:cs="Arial"/>
          <w:b/>
          <w:bCs/>
        </w:rPr>
        <w:t>submissions</w:t>
      </w:r>
      <w:r w:rsidRPr="00B50802">
        <w:rPr>
          <w:rFonts w:cs="Arial"/>
        </w:rPr>
        <w:t xml:space="preserve">, please let us know if you would like your input </w:t>
      </w:r>
      <w:r w:rsidR="00D93730" w:rsidRPr="00B50802">
        <w:rPr>
          <w:rFonts w:cs="Arial"/>
        </w:rPr>
        <w:br/>
      </w:r>
      <w:r w:rsidRPr="00B50802">
        <w:rPr>
          <w:rFonts w:cs="Arial"/>
        </w:rPr>
        <w:t>to remain anonymous.</w:t>
      </w:r>
    </w:p>
    <w:p w14:paraId="6E5BD9E8" w14:textId="77777777" w:rsidR="00D32A6D" w:rsidRPr="00B50802" w:rsidRDefault="0033700D" w:rsidP="00AF390B">
      <w:pPr>
        <w:spacing w:after="240" w:line="240" w:lineRule="auto"/>
        <w:rPr>
          <w:rFonts w:cs="Arial"/>
        </w:rPr>
      </w:pPr>
      <w:r w:rsidRPr="00B50802">
        <w:rPr>
          <w:rFonts w:cs="Arial"/>
        </w:rPr>
        <w:t>To</w:t>
      </w:r>
      <w:r w:rsidR="00AF390B" w:rsidRPr="00B50802">
        <w:rPr>
          <w:rFonts w:cs="Arial"/>
        </w:rPr>
        <w:t xml:space="preserve"> understand more about </w:t>
      </w:r>
      <w:r w:rsidR="00746FE3" w:rsidRPr="00B50802">
        <w:rPr>
          <w:rFonts w:cs="Arial"/>
        </w:rPr>
        <w:t>t</w:t>
      </w:r>
      <w:r w:rsidR="00AF390B" w:rsidRPr="00B50802">
        <w:rPr>
          <w:rFonts w:cs="Arial"/>
        </w:rPr>
        <w:t xml:space="preserve">he Department of Social Services Privacy Policy, visit this </w:t>
      </w:r>
      <w:hyperlink r:id="rId117" w:history="1">
        <w:r w:rsidR="00AF390B" w:rsidRPr="00B50802">
          <w:rPr>
            <w:rStyle w:val="Hyperlink"/>
            <w:rFonts w:cs="Arial"/>
          </w:rPr>
          <w:t>link</w:t>
        </w:r>
      </w:hyperlink>
      <w:r w:rsidR="00AF390B" w:rsidRPr="00B50802">
        <w:rPr>
          <w:rFonts w:cs="Arial"/>
        </w:rPr>
        <w:t>.</w:t>
      </w:r>
    </w:p>
    <w:p w14:paraId="54C3955D" w14:textId="77777777" w:rsidR="00AF390B" w:rsidRPr="00B50802" w:rsidRDefault="007A7E8C" w:rsidP="00AF390B">
      <w:pPr>
        <w:spacing w:after="240" w:line="240" w:lineRule="auto"/>
        <w:rPr>
          <w:rFonts w:cs="Arial"/>
          <w:color w:val="FF0000"/>
        </w:rPr>
      </w:pPr>
      <w:r w:rsidRPr="00B50802">
        <w:rPr>
          <w:rFonts w:cs="Arial"/>
          <w:b/>
          <w:bCs/>
        </w:rPr>
        <w:t>Future opportunities to provide feedback:</w:t>
      </w:r>
      <w:r w:rsidRPr="00B50802">
        <w:rPr>
          <w:rFonts w:cs="Arial"/>
        </w:rPr>
        <w:t xml:space="preserve"> </w:t>
      </w:r>
      <w:r w:rsidR="00AF390B" w:rsidRPr="00B50802">
        <w:rPr>
          <w:rFonts w:cs="Arial"/>
        </w:rPr>
        <w:t xml:space="preserve">There will be more opportunities to share your views throughout the development of the Plan. </w:t>
      </w:r>
    </w:p>
    <w:p w14:paraId="6E45E2D4" w14:textId="77777777" w:rsidR="00CE4E54" w:rsidRPr="00B50802" w:rsidRDefault="00CE4E54" w:rsidP="00CE4E54">
      <w:pPr>
        <w:pBdr>
          <w:top w:val="single" w:sz="18" w:space="1" w:color="005A70"/>
          <w:left w:val="single" w:sz="18" w:space="4" w:color="005A70"/>
          <w:bottom w:val="single" w:sz="18" w:space="1" w:color="005A70"/>
          <w:right w:val="single" w:sz="18" w:space="4" w:color="005A70"/>
        </w:pBdr>
        <w:shd w:val="clear" w:color="auto" w:fill="DAEEF3"/>
      </w:pPr>
      <w:r w:rsidRPr="00B50802">
        <w:t xml:space="preserve">You can find further information and register for updates on the consultation process on the </w:t>
      </w:r>
      <w:hyperlink r:id="rId118" w:history="1">
        <w:r w:rsidRPr="00B50802">
          <w:rPr>
            <w:rStyle w:val="Hyperlink"/>
            <w:rFonts w:cs="Arial"/>
          </w:rPr>
          <w:t>DSS Engage platform</w:t>
        </w:r>
      </w:hyperlink>
      <w:r w:rsidRPr="00B50802">
        <w:t xml:space="preserve">. </w:t>
      </w:r>
    </w:p>
    <w:p w14:paraId="0A1BDB40" w14:textId="6FD9341E" w:rsidR="00350BFF" w:rsidRPr="00B50802" w:rsidRDefault="00CE4E54" w:rsidP="00CE4E54">
      <w:pPr>
        <w:pBdr>
          <w:top w:val="single" w:sz="18" w:space="1" w:color="005A70"/>
          <w:left w:val="single" w:sz="18" w:space="4" w:color="005A70"/>
          <w:bottom w:val="single" w:sz="18" w:space="1" w:color="005A70"/>
          <w:right w:val="single" w:sz="18" w:space="4" w:color="005A70"/>
        </w:pBdr>
        <w:shd w:val="clear" w:color="auto" w:fill="DAEEF3"/>
      </w:pPr>
      <w:r w:rsidRPr="00B50802">
        <w:t xml:space="preserve">If you have any questions about making a submission, please email: </w:t>
      </w:r>
      <w:hyperlink r:id="rId119" w:history="1">
        <w:r w:rsidR="00AA5B07" w:rsidRPr="00B50802">
          <w:rPr>
            <w:rStyle w:val="Hyperlink"/>
            <w:rFonts w:cs="Arial"/>
          </w:rPr>
          <w:t>HousingandH</w:t>
        </w:r>
        <w:r w:rsidRPr="00B50802">
          <w:rPr>
            <w:rStyle w:val="Hyperlink"/>
            <w:rFonts w:cs="Arial"/>
          </w:rPr>
          <w:t>omelessness</w:t>
        </w:r>
        <w:r w:rsidR="00AA5B07" w:rsidRPr="00B50802">
          <w:rPr>
            <w:rStyle w:val="Hyperlink"/>
            <w:rFonts w:cs="Arial"/>
          </w:rPr>
          <w:t>P</w:t>
        </w:r>
        <w:r w:rsidRPr="00B50802">
          <w:rPr>
            <w:rStyle w:val="Hyperlink"/>
            <w:rFonts w:cs="Arial"/>
          </w:rPr>
          <w:t>lan@dss.gov.au</w:t>
        </w:r>
      </w:hyperlink>
      <w:r w:rsidRPr="00B50802">
        <w:t>.</w:t>
      </w:r>
      <w:r w:rsidR="00350BFF" w:rsidRPr="00B50802">
        <w:rPr>
          <w:u w:val="single"/>
        </w:rPr>
        <w:br w:type="page"/>
      </w:r>
    </w:p>
    <w:p w14:paraId="69B6E004" w14:textId="77777777" w:rsidR="00013B12" w:rsidRPr="00B50802" w:rsidRDefault="00350BFF" w:rsidP="00EA0FA4">
      <w:pPr>
        <w:rPr>
          <w:rFonts w:eastAsia="Calibri" w:cs="Arial"/>
          <w:u w:val="single"/>
        </w:rPr>
      </w:pPr>
      <w:r w:rsidRPr="00B50802">
        <w:rPr>
          <w:rFonts w:ascii="Georgia" w:hAnsi="Georgia" w:cs="Arial"/>
          <w:b/>
          <w:bCs/>
          <w:sz w:val="28"/>
          <w:szCs w:val="28"/>
        </w:rPr>
        <w:lastRenderedPageBreak/>
        <w:t xml:space="preserve">Snapshot of Australia’s </w:t>
      </w:r>
      <w:r w:rsidR="00AA73C1" w:rsidRPr="00B50802">
        <w:rPr>
          <w:rFonts w:ascii="Georgia" w:hAnsi="Georgia" w:cs="Arial"/>
          <w:b/>
          <w:bCs/>
          <w:sz w:val="28"/>
          <w:szCs w:val="28"/>
        </w:rPr>
        <w:t>h</w:t>
      </w:r>
      <w:r w:rsidRPr="00B50802">
        <w:rPr>
          <w:rFonts w:ascii="Georgia" w:hAnsi="Georgia" w:cs="Arial"/>
          <w:b/>
          <w:bCs/>
          <w:sz w:val="28"/>
          <w:szCs w:val="28"/>
        </w:rPr>
        <w:t xml:space="preserve">ousing - infographic </w:t>
      </w:r>
      <w:r w:rsidR="00013B12" w:rsidRPr="00B50802">
        <w:rPr>
          <w:rFonts w:ascii="Georgia" w:hAnsi="Georgia" w:cs="Arial"/>
          <w:b/>
          <w:bCs/>
          <w:sz w:val="28"/>
          <w:szCs w:val="28"/>
        </w:rPr>
        <w:t>references</w:t>
      </w:r>
    </w:p>
    <w:p w14:paraId="27BCFB61" w14:textId="77777777" w:rsidR="00793D2E" w:rsidRPr="00B50802" w:rsidRDefault="00793D2E"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Centre for Population, </w:t>
      </w:r>
      <w:hyperlink r:id="rId120" w:history="1">
        <w:r w:rsidRPr="00B50802">
          <w:rPr>
            <w:rStyle w:val="Hyperlink"/>
            <w:rFonts w:asciiTheme="minorHAnsi" w:eastAsia="Calibri" w:hAnsiTheme="minorHAnsi"/>
            <w:i/>
            <w:iCs/>
            <w:sz w:val="20"/>
            <w:szCs w:val="20"/>
          </w:rPr>
          <w:t>National Projections</w:t>
        </w:r>
      </w:hyperlink>
      <w:r w:rsidRPr="00B50802">
        <w:rPr>
          <w:rFonts w:asciiTheme="minorHAnsi" w:eastAsia="Calibri" w:hAnsiTheme="minorHAnsi"/>
          <w:i/>
          <w:iCs/>
          <w:sz w:val="20"/>
          <w:szCs w:val="20"/>
        </w:rPr>
        <w:t xml:space="preserve">, </w:t>
      </w:r>
      <w:r w:rsidR="00BF325A" w:rsidRPr="00B50802">
        <w:rPr>
          <w:rFonts w:asciiTheme="minorHAnsi" w:eastAsia="Calibri" w:hAnsiTheme="minorHAnsi"/>
          <w:sz w:val="20"/>
          <w:szCs w:val="20"/>
        </w:rPr>
        <w:t>2023</w:t>
      </w:r>
    </w:p>
    <w:p w14:paraId="180490BB" w14:textId="77777777" w:rsidR="00BF325A" w:rsidRPr="00B50802" w:rsidRDefault="00BF325A"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ABS, </w:t>
      </w:r>
      <w:hyperlink r:id="rId121" w:history="1">
        <w:r w:rsidRPr="00B50802">
          <w:rPr>
            <w:rStyle w:val="Hyperlink"/>
            <w:rFonts w:asciiTheme="minorHAnsi" w:eastAsia="Calibri" w:hAnsiTheme="minorHAnsi"/>
            <w:i/>
            <w:iCs/>
            <w:sz w:val="20"/>
            <w:szCs w:val="20"/>
          </w:rPr>
          <w:t>Estimated dwelling stock</w:t>
        </w:r>
      </w:hyperlink>
      <w:r w:rsidRPr="00B50802">
        <w:rPr>
          <w:rFonts w:asciiTheme="minorHAnsi" w:eastAsia="Calibri" w:hAnsiTheme="minorHAnsi"/>
          <w:i/>
          <w:iCs/>
          <w:sz w:val="20"/>
          <w:szCs w:val="20"/>
        </w:rPr>
        <w:t xml:space="preserve">, </w:t>
      </w:r>
      <w:r w:rsidRPr="00B50802">
        <w:rPr>
          <w:rFonts w:asciiTheme="minorHAnsi" w:eastAsia="Calibri" w:hAnsiTheme="minorHAnsi"/>
          <w:sz w:val="20"/>
          <w:szCs w:val="20"/>
        </w:rPr>
        <w:t>2023</w:t>
      </w:r>
    </w:p>
    <w:p w14:paraId="02311D45" w14:textId="77777777" w:rsidR="00350BFF" w:rsidRPr="00B50802" w:rsidRDefault="00BF325A"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CoreLogic, </w:t>
      </w:r>
      <w:hyperlink r:id="rId122" w:history="1">
        <w:r w:rsidRPr="00B50802">
          <w:rPr>
            <w:rStyle w:val="Hyperlink"/>
            <w:rFonts w:asciiTheme="minorHAnsi" w:eastAsia="Calibri" w:hAnsiTheme="minorHAnsi"/>
            <w:i/>
            <w:iCs/>
            <w:sz w:val="20"/>
            <w:szCs w:val="20"/>
          </w:rPr>
          <w:t>Monthly Housing Chart Pack March 2023</w:t>
        </w:r>
      </w:hyperlink>
      <w:r w:rsidRPr="00B50802">
        <w:rPr>
          <w:rFonts w:asciiTheme="minorHAnsi" w:eastAsia="Calibri" w:hAnsiTheme="minorHAnsi"/>
          <w:sz w:val="20"/>
          <w:szCs w:val="20"/>
        </w:rPr>
        <w:t>, CoreLogic Asia Pacific, 2023</w:t>
      </w:r>
    </w:p>
    <w:p w14:paraId="313C908C" w14:textId="77777777" w:rsidR="00BF325A" w:rsidRPr="00B50802" w:rsidRDefault="00BF325A"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ABS, </w:t>
      </w:r>
      <w:hyperlink r:id="rId123" w:history="1">
        <w:r w:rsidRPr="00B50802">
          <w:rPr>
            <w:rStyle w:val="Hyperlink"/>
            <w:rFonts w:asciiTheme="minorHAnsi" w:eastAsia="Calibri" w:hAnsiTheme="minorHAnsi"/>
            <w:i/>
            <w:iCs/>
            <w:sz w:val="20"/>
            <w:szCs w:val="20"/>
          </w:rPr>
          <w:t>Snapshot of Australia</w:t>
        </w:r>
      </w:hyperlink>
      <w:r w:rsidRPr="00B50802">
        <w:rPr>
          <w:rFonts w:asciiTheme="minorHAnsi" w:eastAsia="Calibri" w:hAnsiTheme="minorHAnsi"/>
          <w:sz w:val="20"/>
          <w:szCs w:val="20"/>
        </w:rPr>
        <w:t>, 2022</w:t>
      </w:r>
    </w:p>
    <w:p w14:paraId="7B821257" w14:textId="77777777" w:rsidR="00350BFF" w:rsidRPr="00B50802" w:rsidRDefault="006355AC"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ABS, </w:t>
      </w:r>
      <w:hyperlink r:id="rId124" w:history="1">
        <w:r w:rsidR="00350BFF" w:rsidRPr="00B50802">
          <w:rPr>
            <w:rStyle w:val="Hyperlink"/>
            <w:rFonts w:asciiTheme="minorHAnsi" w:eastAsia="Calibri" w:hAnsiTheme="minorHAnsi"/>
            <w:i/>
            <w:iCs/>
            <w:sz w:val="20"/>
            <w:szCs w:val="20"/>
          </w:rPr>
          <w:t>Average household size</w:t>
        </w:r>
        <w:r w:rsidRPr="00B50802">
          <w:rPr>
            <w:rStyle w:val="Hyperlink"/>
            <w:rFonts w:asciiTheme="minorHAnsi" w:eastAsia="Calibri" w:hAnsiTheme="minorHAnsi"/>
            <w:i/>
            <w:iCs/>
            <w:sz w:val="20"/>
            <w:szCs w:val="20"/>
          </w:rPr>
          <w:t>: Aboriginal and Torres Strait Islander population summary</w:t>
        </w:r>
      </w:hyperlink>
      <w:r w:rsidRPr="00B50802">
        <w:rPr>
          <w:rFonts w:asciiTheme="minorHAnsi" w:eastAsia="Calibri" w:hAnsiTheme="minorHAnsi"/>
          <w:sz w:val="20"/>
          <w:szCs w:val="20"/>
        </w:rPr>
        <w:t>, 2022</w:t>
      </w:r>
      <w:r w:rsidRPr="00B50802" w:rsidDel="006355AC">
        <w:rPr>
          <w:rFonts w:asciiTheme="minorHAnsi" w:eastAsia="Calibri" w:hAnsiTheme="minorHAnsi"/>
          <w:sz w:val="20"/>
          <w:szCs w:val="20"/>
        </w:rPr>
        <w:t xml:space="preserve"> </w:t>
      </w:r>
    </w:p>
    <w:p w14:paraId="48068F63" w14:textId="77777777" w:rsidR="006355AC" w:rsidRPr="00B50802" w:rsidRDefault="006355AC"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CoreLogic, </w:t>
      </w:r>
      <w:hyperlink r:id="rId125" w:history="1">
        <w:r w:rsidRPr="00B50802">
          <w:rPr>
            <w:rStyle w:val="Hyperlink"/>
            <w:rFonts w:asciiTheme="minorHAnsi" w:eastAsia="Calibri" w:hAnsiTheme="minorHAnsi"/>
            <w:i/>
            <w:iCs/>
            <w:sz w:val="20"/>
            <w:szCs w:val="20"/>
          </w:rPr>
          <w:t>Housing Affordability Report</w:t>
        </w:r>
      </w:hyperlink>
      <w:r w:rsidRPr="00B50802">
        <w:rPr>
          <w:rFonts w:asciiTheme="minorHAnsi" w:eastAsia="Calibri" w:hAnsiTheme="minorHAnsi"/>
          <w:sz w:val="20"/>
          <w:szCs w:val="20"/>
        </w:rPr>
        <w:t>, CoreLogic Asia Pacific, 2022</w:t>
      </w:r>
    </w:p>
    <w:p w14:paraId="3EB7A580" w14:textId="77777777" w:rsidR="006355AC" w:rsidRPr="00B50802" w:rsidRDefault="006355AC" w:rsidP="74B6247B">
      <w:pPr>
        <w:spacing w:after="0"/>
        <w:rPr>
          <w:rFonts w:asciiTheme="minorHAnsi" w:hAnsiTheme="minorHAnsi"/>
          <w:sz w:val="20"/>
          <w:szCs w:val="20"/>
        </w:rPr>
      </w:pPr>
      <w:r w:rsidRPr="00B50802">
        <w:rPr>
          <w:rFonts w:asciiTheme="minorHAnsi" w:hAnsiTheme="minorHAnsi"/>
          <w:sz w:val="20"/>
          <w:szCs w:val="20"/>
        </w:rPr>
        <w:t xml:space="preserve">ABS, </w:t>
      </w:r>
      <w:hyperlink r:id="rId126" w:history="1">
        <w:r w:rsidRPr="00B50802">
          <w:rPr>
            <w:rStyle w:val="Hyperlink"/>
            <w:rFonts w:asciiTheme="minorHAnsi" w:hAnsiTheme="minorHAnsi"/>
            <w:i/>
            <w:iCs/>
            <w:sz w:val="20"/>
            <w:szCs w:val="20"/>
          </w:rPr>
          <w:t>Census of Population and Housing: Estimating Homelessness</w:t>
        </w:r>
      </w:hyperlink>
      <w:r w:rsidRPr="00B50802">
        <w:rPr>
          <w:rFonts w:asciiTheme="minorHAnsi" w:hAnsiTheme="minorHAnsi"/>
          <w:sz w:val="20"/>
          <w:szCs w:val="20"/>
        </w:rPr>
        <w:t>, 2023</w:t>
      </w:r>
    </w:p>
    <w:p w14:paraId="265505DB" w14:textId="77777777" w:rsidR="006355AC" w:rsidRPr="00B50802" w:rsidRDefault="006355AC"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SQM Research, </w:t>
      </w:r>
      <w:hyperlink r:id="rId127" w:history="1">
        <w:r w:rsidRPr="00B50802">
          <w:rPr>
            <w:rStyle w:val="Hyperlink"/>
            <w:rFonts w:asciiTheme="minorHAnsi" w:eastAsia="Calibri" w:hAnsiTheme="minorHAnsi"/>
            <w:i/>
            <w:iCs/>
            <w:sz w:val="20"/>
            <w:szCs w:val="20"/>
          </w:rPr>
          <w:t>Residential vacancy rates</w:t>
        </w:r>
      </w:hyperlink>
      <w:r w:rsidRPr="00B50802">
        <w:rPr>
          <w:rFonts w:asciiTheme="minorHAnsi" w:eastAsia="Calibri" w:hAnsiTheme="minorHAnsi"/>
          <w:i/>
          <w:iCs/>
          <w:sz w:val="20"/>
          <w:szCs w:val="20"/>
        </w:rPr>
        <w:t xml:space="preserve">, </w:t>
      </w:r>
      <w:r w:rsidRPr="00B50802">
        <w:rPr>
          <w:rFonts w:asciiTheme="minorHAnsi" w:eastAsia="Calibri" w:hAnsiTheme="minorHAnsi"/>
          <w:sz w:val="20"/>
          <w:szCs w:val="20"/>
        </w:rPr>
        <w:t>SQM Research PTY LTD, 2023</w:t>
      </w:r>
    </w:p>
    <w:p w14:paraId="26CE5AAF" w14:textId="77777777" w:rsidR="006355AC" w:rsidRPr="00B50802" w:rsidRDefault="006355AC"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AIHW, </w:t>
      </w:r>
      <w:hyperlink r:id="rId128" w:history="1">
        <w:r w:rsidRPr="00B50802">
          <w:rPr>
            <w:rStyle w:val="Hyperlink"/>
            <w:rFonts w:asciiTheme="minorHAnsi" w:eastAsia="Calibri" w:hAnsiTheme="minorHAnsi"/>
            <w:i/>
            <w:iCs/>
            <w:sz w:val="20"/>
            <w:szCs w:val="20"/>
          </w:rPr>
          <w:t>Housing Assistance in Australia</w:t>
        </w:r>
      </w:hyperlink>
      <w:r w:rsidRPr="00B50802">
        <w:rPr>
          <w:rFonts w:asciiTheme="minorHAnsi" w:eastAsia="Calibri" w:hAnsiTheme="minorHAnsi"/>
          <w:i/>
          <w:iCs/>
          <w:sz w:val="20"/>
          <w:szCs w:val="20"/>
        </w:rPr>
        <w:t xml:space="preserve">, </w:t>
      </w:r>
      <w:r w:rsidRPr="00B50802">
        <w:rPr>
          <w:rFonts w:asciiTheme="minorHAnsi" w:eastAsia="Calibri" w:hAnsiTheme="minorHAnsi"/>
          <w:sz w:val="20"/>
          <w:szCs w:val="20"/>
        </w:rPr>
        <w:t>2022</w:t>
      </w:r>
    </w:p>
    <w:p w14:paraId="5579A0EC" w14:textId="4E234A30" w:rsidR="006355AC" w:rsidRPr="00B50802" w:rsidRDefault="006355AC"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CoreLogic, </w:t>
      </w:r>
      <w:hyperlink r:id="rId129" w:history="1">
        <w:r w:rsidR="00A12DA3" w:rsidRPr="00A12DA3">
          <w:rPr>
            <w:rStyle w:val="Hyperlink"/>
            <w:rFonts w:asciiTheme="minorHAnsi" w:eastAsia="Calibri" w:hAnsiTheme="minorHAnsi"/>
            <w:i/>
            <w:iCs/>
            <w:sz w:val="20"/>
            <w:szCs w:val="20"/>
          </w:rPr>
          <w:t>Quarterly Rental Review Report</w:t>
        </w:r>
      </w:hyperlink>
      <w:r w:rsidRPr="00B50802">
        <w:rPr>
          <w:rFonts w:asciiTheme="minorHAnsi" w:eastAsia="Calibri" w:hAnsiTheme="minorHAnsi"/>
          <w:sz w:val="20"/>
          <w:szCs w:val="20"/>
        </w:rPr>
        <w:t xml:space="preserve">, </w:t>
      </w:r>
      <w:r w:rsidR="0049434D">
        <w:rPr>
          <w:rFonts w:asciiTheme="minorHAnsi" w:eastAsia="Calibri" w:hAnsiTheme="minorHAnsi"/>
          <w:sz w:val="20"/>
          <w:szCs w:val="20"/>
        </w:rPr>
        <w:t xml:space="preserve">2020; </w:t>
      </w:r>
      <w:r w:rsidRPr="00B50802">
        <w:rPr>
          <w:rFonts w:asciiTheme="minorHAnsi" w:eastAsia="Calibri" w:hAnsiTheme="minorHAnsi"/>
          <w:sz w:val="20"/>
          <w:szCs w:val="20"/>
        </w:rPr>
        <w:t>2023</w:t>
      </w:r>
    </w:p>
    <w:p w14:paraId="361F642A" w14:textId="77777777" w:rsidR="00EA0FA4" w:rsidRPr="00B50802" w:rsidRDefault="006355AC" w:rsidP="74B6247B">
      <w:pPr>
        <w:spacing w:after="0"/>
        <w:rPr>
          <w:rFonts w:asciiTheme="minorHAnsi" w:eastAsia="Calibri" w:hAnsiTheme="minorHAnsi"/>
          <w:sz w:val="20"/>
          <w:szCs w:val="20"/>
        </w:rPr>
      </w:pPr>
      <w:r w:rsidRPr="00B50802">
        <w:rPr>
          <w:rFonts w:asciiTheme="minorHAnsi" w:eastAsia="Calibri" w:hAnsiTheme="minorHAnsi"/>
          <w:sz w:val="20"/>
          <w:szCs w:val="20"/>
        </w:rPr>
        <w:t xml:space="preserve">Department of </w:t>
      </w:r>
      <w:r w:rsidR="00EA0FA4" w:rsidRPr="00B50802">
        <w:rPr>
          <w:rFonts w:asciiTheme="minorHAnsi" w:eastAsia="Calibri" w:hAnsiTheme="minorHAnsi"/>
          <w:sz w:val="20"/>
          <w:szCs w:val="20"/>
        </w:rPr>
        <w:t xml:space="preserve">the </w:t>
      </w:r>
      <w:r w:rsidRPr="00B50802">
        <w:rPr>
          <w:rFonts w:asciiTheme="minorHAnsi" w:eastAsia="Calibri" w:hAnsiTheme="minorHAnsi"/>
          <w:sz w:val="20"/>
          <w:szCs w:val="20"/>
        </w:rPr>
        <w:t xml:space="preserve">Treasury, </w:t>
      </w:r>
      <w:hyperlink r:id="rId130" w:history="1">
        <w:r w:rsidR="00EA0FA4" w:rsidRPr="00B50802">
          <w:rPr>
            <w:rStyle w:val="Hyperlink"/>
            <w:rFonts w:asciiTheme="minorHAnsi" w:eastAsia="Calibri" w:hAnsiTheme="minorHAnsi"/>
            <w:i/>
            <w:iCs/>
            <w:sz w:val="20"/>
            <w:szCs w:val="20"/>
          </w:rPr>
          <w:t>Statutory Review: Operation of the National Housing Finance and Investment Corporation Act 2018 Final Report</w:t>
        </w:r>
      </w:hyperlink>
      <w:r w:rsidR="00EA0FA4" w:rsidRPr="00B50802">
        <w:rPr>
          <w:rFonts w:asciiTheme="minorHAnsi" w:eastAsia="Calibri" w:hAnsiTheme="minorHAnsi"/>
          <w:sz w:val="20"/>
          <w:szCs w:val="20"/>
        </w:rPr>
        <w:t>, 2021</w:t>
      </w:r>
    </w:p>
    <w:p w14:paraId="6D525E58" w14:textId="77777777" w:rsidR="00AF390B" w:rsidRDefault="009349CC" w:rsidP="006871C6">
      <w:pPr>
        <w:rPr>
          <w:u w:val="single"/>
        </w:rPr>
      </w:pPr>
      <w:r w:rsidRPr="00B50802">
        <w:rPr>
          <w:noProof/>
          <w:lang w:eastAsia="en-AU"/>
        </w:rPr>
        <w:drawing>
          <wp:anchor distT="0" distB="0" distL="114300" distR="114300" simplePos="0" relativeHeight="251658243" behindDoc="0" locked="0" layoutInCell="1" allowOverlap="1" wp14:anchorId="4E742974" wp14:editId="238FC9B0">
            <wp:simplePos x="0" y="0"/>
            <wp:positionH relativeFrom="page">
              <wp:posOffset>10048</wp:posOffset>
            </wp:positionH>
            <wp:positionV relativeFrom="paragraph">
              <wp:posOffset>859861</wp:posOffset>
            </wp:positionV>
            <wp:extent cx="7555865" cy="6886276"/>
            <wp:effectExtent l="0" t="0" r="6985"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pencanvas.com.au/wp-content/uploads/2016/10/D0A9686-e147938295749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563854" cy="689355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390B" w:rsidSect="00CE4E54">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851" w:left="1440" w:header="708" w:footer="1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26CE2" w14:textId="77777777" w:rsidR="00551032" w:rsidRDefault="00551032" w:rsidP="00B04ED8">
      <w:pPr>
        <w:spacing w:after="0" w:line="240" w:lineRule="auto"/>
      </w:pPr>
      <w:r>
        <w:separator/>
      </w:r>
    </w:p>
  </w:endnote>
  <w:endnote w:type="continuationSeparator" w:id="0">
    <w:p w14:paraId="520960CF" w14:textId="77777777" w:rsidR="00551032" w:rsidRDefault="00551032" w:rsidP="00B04ED8">
      <w:pPr>
        <w:spacing w:after="0" w:line="240" w:lineRule="auto"/>
      </w:pPr>
      <w:r>
        <w:continuationSeparator/>
      </w:r>
    </w:p>
  </w:endnote>
  <w:endnote w:type="continuationNotice" w:id="1">
    <w:p w14:paraId="75EC8AEB" w14:textId="77777777" w:rsidR="00551032" w:rsidRDefault="005510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8DBF4" w14:textId="77777777" w:rsidR="00AB6526" w:rsidRDefault="00AB6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913311"/>
      <w:docPartObj>
        <w:docPartGallery w:val="Page Numbers (Bottom of Page)"/>
        <w:docPartUnique/>
      </w:docPartObj>
    </w:sdtPr>
    <w:sdtEndPr>
      <w:rPr>
        <w:noProof/>
      </w:rPr>
    </w:sdtEndPr>
    <w:sdtContent>
      <w:p w14:paraId="318EBD24" w14:textId="3084F22F" w:rsidR="00551032" w:rsidRPr="00233894" w:rsidRDefault="00551032" w:rsidP="00233894">
        <w:pPr>
          <w:pStyle w:val="Footer"/>
          <w:jc w:val="right"/>
        </w:pPr>
        <w:r>
          <w:fldChar w:fldCharType="begin"/>
        </w:r>
        <w:r>
          <w:instrText xml:space="preserve"> PAGE   \* MERGEFORMAT </w:instrText>
        </w:r>
        <w:r>
          <w:fldChar w:fldCharType="separate"/>
        </w:r>
        <w:r w:rsidR="002E6CF7">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3D0E" w14:textId="77777777" w:rsidR="00AB6526" w:rsidRDefault="00AB6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D0CD5" w14:textId="77777777" w:rsidR="00551032" w:rsidRDefault="00551032" w:rsidP="00B04ED8">
      <w:pPr>
        <w:spacing w:after="0" w:line="240" w:lineRule="auto"/>
      </w:pPr>
      <w:r>
        <w:separator/>
      </w:r>
    </w:p>
  </w:footnote>
  <w:footnote w:type="continuationSeparator" w:id="0">
    <w:p w14:paraId="6C38A3F4" w14:textId="77777777" w:rsidR="00551032" w:rsidRDefault="00551032" w:rsidP="00B04ED8">
      <w:pPr>
        <w:spacing w:after="0" w:line="240" w:lineRule="auto"/>
      </w:pPr>
      <w:r>
        <w:continuationSeparator/>
      </w:r>
    </w:p>
  </w:footnote>
  <w:footnote w:type="continuationNotice" w:id="1">
    <w:p w14:paraId="3DB69748" w14:textId="77777777" w:rsidR="00551032" w:rsidRDefault="00551032">
      <w:pPr>
        <w:spacing w:after="0" w:line="240" w:lineRule="auto"/>
      </w:pPr>
    </w:p>
  </w:footnote>
  <w:footnote w:id="2">
    <w:p w14:paraId="5FEDFD39" w14:textId="77777777" w:rsidR="00551032" w:rsidRPr="00DC5432" w:rsidRDefault="00551032" w:rsidP="00197C98">
      <w:pPr>
        <w:pStyle w:val="FootnoteText"/>
      </w:pPr>
      <w:r w:rsidRPr="6458E3F5">
        <w:rPr>
          <w:rStyle w:val="FootnoteReference"/>
        </w:rPr>
        <w:footnoteRef/>
      </w:r>
      <w:r w:rsidRPr="6458E3F5">
        <w:t xml:space="preserve"> The 2008 White Paper </w:t>
      </w:r>
      <w:hyperlink r:id="rId1" w:history="1">
        <w:r w:rsidRPr="6458E3F5">
          <w:rPr>
            <w:rStyle w:val="Hyperlink"/>
          </w:rPr>
          <w:t>The Road Home</w:t>
        </w:r>
      </w:hyperlink>
      <w:r w:rsidRPr="6458E3F5">
        <w:t xml:space="preserve"> sets out a national approach to reducing homelessness. The last national strategy that addresses both housing and homelessness was the 1992 </w:t>
      </w:r>
      <w:hyperlink r:id="rId2" w:history="1">
        <w:r w:rsidRPr="6458E3F5">
          <w:rPr>
            <w:rStyle w:val="Hyperlink"/>
          </w:rPr>
          <w:t>National Housing Strategy</w:t>
        </w:r>
      </w:hyperlink>
      <w:r w:rsidRPr="6458E3F5">
        <w:t>.</w:t>
      </w:r>
    </w:p>
  </w:footnote>
  <w:footnote w:id="3">
    <w:p w14:paraId="481868AC" w14:textId="77777777" w:rsidR="00551032" w:rsidRDefault="00551032">
      <w:pPr>
        <w:pStyle w:val="FootnoteText"/>
      </w:pPr>
      <w:r>
        <w:rPr>
          <w:rStyle w:val="FootnoteReference"/>
        </w:rPr>
        <w:footnoteRef/>
      </w:r>
      <w:r>
        <w:t xml:space="preserve"> Existing state plans may be updated or changed prior to the release of the Plan.</w:t>
      </w:r>
    </w:p>
  </w:footnote>
  <w:footnote w:id="4">
    <w:p w14:paraId="6B7456B7" w14:textId="77777777" w:rsidR="00551032" w:rsidRDefault="00551032">
      <w:pPr>
        <w:pStyle w:val="FootnoteText"/>
      </w:pPr>
      <w:r>
        <w:rPr>
          <w:rStyle w:val="FootnoteReference"/>
        </w:rPr>
        <w:footnoteRef/>
      </w:r>
      <w:r>
        <w:t xml:space="preserve"> World Health Organisation (WHO), </w:t>
      </w:r>
      <w:hyperlink r:id="rId3" w:history="1">
        <w:r w:rsidRPr="00410204">
          <w:rPr>
            <w:rStyle w:val="Hyperlink"/>
            <w:i/>
            <w:iCs/>
          </w:rPr>
          <w:t>WHO Housing and Health Guidelines</w:t>
        </w:r>
      </w:hyperlink>
      <w:r>
        <w:t xml:space="preserve">, 2018; the Australian Institute of Health and Welfare (AIHW) has also demonstrated that in Australia, experiences of homelessness are correlated with increased rates of mortality, exposure to violence and health concerns. AIHW, </w:t>
      </w:r>
      <w:hyperlink r:id="rId4" w:history="1">
        <w:r w:rsidRPr="74B6247B">
          <w:rPr>
            <w:rStyle w:val="Hyperlink"/>
            <w:i/>
            <w:iCs/>
          </w:rPr>
          <w:t>Health of people experiencing homelessness</w:t>
        </w:r>
      </w:hyperlink>
      <w:r w:rsidRPr="74B6247B">
        <w:rPr>
          <w:rStyle w:val="Hyperlink"/>
          <w:i/>
          <w:iCs/>
        </w:rPr>
        <w:t>,</w:t>
      </w:r>
      <w:r>
        <w:t xml:space="preserve"> 2021.</w:t>
      </w:r>
    </w:p>
  </w:footnote>
  <w:footnote w:id="5">
    <w:p w14:paraId="5F8988CF" w14:textId="77777777" w:rsidR="00551032" w:rsidRDefault="00551032" w:rsidP="00BE167F">
      <w:pPr>
        <w:pStyle w:val="FootnoteText"/>
      </w:pPr>
      <w:r>
        <w:t xml:space="preserve">Australian Housing and Urban Research Institute (AHURI), </w:t>
      </w:r>
      <w:hyperlink r:id="rId5" w:history="1">
        <w:r>
          <w:rPr>
            <w:rStyle w:val="Hyperlink"/>
          </w:rPr>
          <w:t>Housing support for ex-prisoners challenges and opportunities</w:t>
        </w:r>
      </w:hyperlink>
      <w:r>
        <w:t>, 2021.</w:t>
      </w:r>
    </w:p>
  </w:footnote>
  <w:footnote w:id="6">
    <w:p w14:paraId="3A525D71" w14:textId="77777777" w:rsidR="00551032" w:rsidRDefault="00551032">
      <w:pPr>
        <w:pStyle w:val="FootnoteText"/>
      </w:pPr>
      <w:r>
        <w:rPr>
          <w:rStyle w:val="FootnoteReference"/>
        </w:rPr>
        <w:footnoteRef/>
      </w:r>
      <w:r>
        <w:t xml:space="preserve"> AHURI, </w:t>
      </w:r>
      <w:hyperlink r:id="rId6" w:history="1">
        <w:r>
          <w:rPr>
            <w:rStyle w:val="Hyperlink"/>
          </w:rPr>
          <w:t>The staggering reality of life for young people after leaving out-of-home care</w:t>
        </w:r>
      </w:hyperlink>
      <w:r>
        <w:t>, 2021.</w:t>
      </w:r>
    </w:p>
  </w:footnote>
  <w:footnote w:id="7">
    <w:p w14:paraId="04D795A4" w14:textId="47031E42" w:rsidR="00551032" w:rsidRDefault="00551032">
      <w:pPr>
        <w:pStyle w:val="FootnoteText"/>
      </w:pPr>
      <w:r>
        <w:rPr>
          <w:rStyle w:val="FootnoteReference"/>
        </w:rPr>
        <w:footnoteRef/>
      </w:r>
      <w:r>
        <w:t xml:space="preserve"> Department of Social Services (DSS), </w:t>
      </w:r>
      <w:hyperlink r:id="rId7" w:history="1">
        <w:r w:rsidRPr="00E871F8">
          <w:rPr>
            <w:rStyle w:val="Hyperlink"/>
            <w:i/>
            <w:iCs/>
          </w:rPr>
          <w:t>National Plan to end Violence against Women and Children 2022–2032</w:t>
        </w:r>
      </w:hyperlink>
      <w:r>
        <w:t>, 2022.</w:t>
      </w:r>
    </w:p>
  </w:footnote>
  <w:footnote w:id="8">
    <w:p w14:paraId="5D946308" w14:textId="77777777" w:rsidR="00551032" w:rsidRDefault="00551032" w:rsidP="001D14EF">
      <w:pPr>
        <w:pStyle w:val="FootnoteText"/>
      </w:pPr>
      <w:r>
        <w:rPr>
          <w:rStyle w:val="FootnoteReference"/>
        </w:rPr>
        <w:footnoteRef/>
      </w:r>
      <w:r>
        <w:t xml:space="preserve"> Pawson H, Randolph B, Aminpour F and Maclennan D, </w:t>
      </w:r>
      <w:hyperlink r:id="rId8" w:history="1">
        <w:r w:rsidRPr="74B6247B">
          <w:rPr>
            <w:rStyle w:val="Hyperlink"/>
            <w:i/>
            <w:iCs/>
          </w:rPr>
          <w:t>Housing and the Economy: Interrogating Australian Experts’ Views</w:t>
        </w:r>
      </w:hyperlink>
      <w:r>
        <w:t>, City Futures Research Centre, Sydney, 2021.</w:t>
      </w:r>
    </w:p>
  </w:footnote>
  <w:footnote w:id="9">
    <w:p w14:paraId="20A81B6D" w14:textId="77777777" w:rsidR="00551032" w:rsidRPr="00046981" w:rsidRDefault="00551032" w:rsidP="00540DF4">
      <w:pPr>
        <w:pStyle w:val="FootnoteText"/>
      </w:pPr>
      <w:r w:rsidRPr="00046981">
        <w:rPr>
          <w:rStyle w:val="FootnoteReference"/>
        </w:rPr>
        <w:footnoteRef/>
      </w:r>
      <w:r w:rsidRPr="00046981">
        <w:t xml:space="preserve"> ABS, </w:t>
      </w:r>
      <w:hyperlink r:id="rId9" w:history="1">
        <w:r w:rsidRPr="00046981">
          <w:rPr>
            <w:rStyle w:val="Hyperlink"/>
            <w:i/>
          </w:rPr>
          <w:t>Survey of Income and Housing</w:t>
        </w:r>
      </w:hyperlink>
      <w:r w:rsidRPr="00046981">
        <w:t>, 2022</w:t>
      </w:r>
    </w:p>
  </w:footnote>
  <w:footnote w:id="10">
    <w:p w14:paraId="6C30DF30" w14:textId="7968436C" w:rsidR="00551032" w:rsidRPr="00046981" w:rsidRDefault="00551032" w:rsidP="00540DF4">
      <w:pPr>
        <w:pStyle w:val="FootnoteText"/>
      </w:pPr>
      <w:r w:rsidRPr="00046981">
        <w:rPr>
          <w:rStyle w:val="FootnoteReference"/>
        </w:rPr>
        <w:footnoteRef/>
      </w:r>
      <w:r w:rsidRPr="00046981">
        <w:t xml:space="preserve"> ABS, </w:t>
      </w:r>
      <w:hyperlink r:id="rId10" w:history="1">
        <w:r w:rsidRPr="00BC6DDF">
          <w:rPr>
            <w:rStyle w:val="Hyperlink"/>
            <w:i/>
          </w:rPr>
          <w:t>Consumer Price Index, Australia</w:t>
        </w:r>
        <w:r w:rsidRPr="00BC6DDF">
          <w:rPr>
            <w:rStyle w:val="Hyperlink"/>
          </w:rPr>
          <w:t>,</w:t>
        </w:r>
      </w:hyperlink>
      <w:r w:rsidRPr="00046981">
        <w:t xml:space="preserve"> </w:t>
      </w:r>
      <w:r>
        <w:t>June</w:t>
      </w:r>
      <w:r w:rsidRPr="00046981">
        <w:t xml:space="preserve"> Quarter 2023</w:t>
      </w:r>
    </w:p>
  </w:footnote>
  <w:footnote w:id="11">
    <w:p w14:paraId="42EB47E2" w14:textId="2A0ABE15" w:rsidR="00551032" w:rsidRDefault="00551032">
      <w:pPr>
        <w:pStyle w:val="FootnoteText"/>
      </w:pPr>
      <w:r w:rsidRPr="00046981">
        <w:rPr>
          <w:rStyle w:val="FootnoteReference"/>
        </w:rPr>
        <w:footnoteRef/>
      </w:r>
      <w:r w:rsidRPr="00B7744F">
        <w:t xml:space="preserve"> </w:t>
      </w:r>
      <w:r w:rsidRPr="00B7744F">
        <w:rPr>
          <w:rStyle w:val="ui-provider"/>
        </w:rPr>
        <w:t xml:space="preserve">The ABS Census: </w:t>
      </w:r>
      <w:r w:rsidRPr="00B7744F">
        <w:rPr>
          <w:rStyle w:val="Strong"/>
          <w:b w:val="0"/>
        </w:rPr>
        <w:t>Estimating Homelessness provides</w:t>
      </w:r>
      <w:r w:rsidRPr="00B7744F">
        <w:rPr>
          <w:rStyle w:val="Strong"/>
        </w:rPr>
        <w:t xml:space="preserve"> </w:t>
      </w:r>
      <w:r w:rsidRPr="00B7744F">
        <w:rPr>
          <w:rStyle w:val="ui-provider"/>
        </w:rPr>
        <w:t xml:space="preserve">estimates of the prevalence of homelessness in Australia. The Census is undertaken every 5 years, with the 2021 Census being the most recent. </w:t>
      </w:r>
      <w:hyperlink r:id="rId11" w:tgtFrame="_blank" w:tooltip="https://www.abs.gov.au/methodologies/estimating-homelessness-census-methodology/2021" w:history="1">
        <w:r w:rsidRPr="00B7744F">
          <w:rPr>
            <w:rStyle w:val="Hyperlink"/>
          </w:rPr>
          <w:t>Estimating Homelessness: Census methodology, 2021 | Australian Bureau of Statistics (abs.gov.au)</w:t>
        </w:r>
      </w:hyperlink>
      <w:r>
        <w:rPr>
          <w:rStyle w:val="Hyperlink"/>
        </w:rPr>
        <w:t xml:space="preserve">; </w:t>
      </w:r>
      <w:r w:rsidRPr="00B7744F">
        <w:t xml:space="preserve">Australian Bureau of Statistics (ABS), </w:t>
      </w:r>
      <w:hyperlink r:id="rId12" w:history="1">
        <w:r w:rsidRPr="00B7744F">
          <w:rPr>
            <w:rStyle w:val="Hyperlink"/>
            <w:i/>
            <w:iCs/>
          </w:rPr>
          <w:t>Census of Population and Housing: Estimating Homelessness</w:t>
        </w:r>
      </w:hyperlink>
      <w:r w:rsidRPr="00B3606E">
        <w:t>, 2023</w:t>
      </w:r>
      <w:r>
        <w:t>.</w:t>
      </w:r>
    </w:p>
  </w:footnote>
  <w:footnote w:id="12">
    <w:p w14:paraId="0086D3C6" w14:textId="5059418E" w:rsidR="00551032" w:rsidRDefault="00551032" w:rsidP="004C4128">
      <w:pPr>
        <w:pStyle w:val="FootnoteText"/>
      </w:pPr>
      <w:r>
        <w:rPr>
          <w:rStyle w:val="FootnoteReference"/>
        </w:rPr>
        <w:footnoteRef/>
      </w:r>
      <w:r w:rsidRPr="00B7744F">
        <w:t xml:space="preserve"> Productivity Commission</w:t>
      </w:r>
      <w:r>
        <w:t xml:space="preserve"> (PC)</w:t>
      </w:r>
      <w:r w:rsidRPr="00B7744F">
        <w:t xml:space="preserve">, </w:t>
      </w:r>
      <w:hyperlink r:id="rId13" w:history="1">
        <w:r w:rsidRPr="008B1414">
          <w:rPr>
            <w:rStyle w:val="Hyperlink"/>
            <w:i/>
          </w:rPr>
          <w:t>Housing and Homelessness Agreement Review</w:t>
        </w:r>
      </w:hyperlink>
      <w:r w:rsidRPr="00B7744F">
        <w:t>, Canberra, 2022.</w:t>
      </w:r>
    </w:p>
  </w:footnote>
  <w:footnote w:id="13">
    <w:p w14:paraId="65007826" w14:textId="1AA8946B" w:rsidR="00551032" w:rsidRDefault="00551032">
      <w:pPr>
        <w:pStyle w:val="FootnoteText"/>
      </w:pPr>
      <w:r>
        <w:rPr>
          <w:rStyle w:val="FootnoteReference"/>
        </w:rPr>
        <w:footnoteRef/>
      </w:r>
      <w:r>
        <w:t xml:space="preserve"> Productivity Commission, </w:t>
      </w:r>
      <w:hyperlink r:id="rId14" w:history="1">
        <w:r w:rsidRPr="008B1414">
          <w:rPr>
            <w:rStyle w:val="Hyperlink"/>
            <w:i/>
          </w:rPr>
          <w:t>Plan to identify planning and zoning reforms, Information Paper</w:t>
        </w:r>
      </w:hyperlink>
      <w:r>
        <w:t>, Canberra, 2021.</w:t>
      </w:r>
    </w:p>
  </w:footnote>
  <w:footnote w:id="14">
    <w:p w14:paraId="50EDEF1B" w14:textId="77777777" w:rsidR="00551032" w:rsidRDefault="00551032">
      <w:pPr>
        <w:pStyle w:val="FootnoteText"/>
      </w:pPr>
      <w:r>
        <w:rPr>
          <w:rStyle w:val="FootnoteReference"/>
        </w:rPr>
        <w:footnoteRef/>
      </w:r>
      <w:r>
        <w:t xml:space="preserve"> Productivity Commission (PC), </w:t>
      </w:r>
      <w:hyperlink r:id="rId15" w:history="1">
        <w:r w:rsidRPr="001814C7">
          <w:rPr>
            <w:rStyle w:val="Hyperlink"/>
            <w:i/>
            <w:iCs/>
          </w:rPr>
          <w:t xml:space="preserve">In need of repair: </w:t>
        </w:r>
        <w:r>
          <w:rPr>
            <w:rStyle w:val="Hyperlink"/>
            <w:i/>
            <w:iCs/>
          </w:rPr>
          <w:t xml:space="preserve">The </w:t>
        </w:r>
        <w:r w:rsidRPr="0091665B">
          <w:rPr>
            <w:rStyle w:val="Hyperlink"/>
            <w:i/>
            <w:iCs/>
          </w:rPr>
          <w:t xml:space="preserve">National </w:t>
        </w:r>
        <w:r w:rsidRPr="001814C7">
          <w:rPr>
            <w:rStyle w:val="Hyperlink"/>
            <w:i/>
            <w:iCs/>
          </w:rPr>
          <w:t>Housing and Homelessness Agreement</w:t>
        </w:r>
        <w:r>
          <w:rPr>
            <w:rStyle w:val="Hyperlink"/>
            <w:i/>
            <w:iCs/>
          </w:rPr>
          <w:t xml:space="preserve"> </w:t>
        </w:r>
        <w:r w:rsidRPr="001814C7">
          <w:rPr>
            <w:rStyle w:val="Hyperlink"/>
            <w:i/>
            <w:iCs/>
          </w:rPr>
          <w:t>– Study report</w:t>
        </w:r>
      </w:hyperlink>
      <w:r w:rsidRPr="0091665B">
        <w:rPr>
          <w:rStyle w:val="Hyperlink"/>
          <w:color w:val="auto"/>
          <w:u w:val="none"/>
        </w:rPr>
        <w:t xml:space="preserve">, </w:t>
      </w:r>
      <w:r w:rsidRPr="00EE1102">
        <w:t>2022</w:t>
      </w:r>
      <w:r>
        <w:t>.</w:t>
      </w:r>
    </w:p>
  </w:footnote>
  <w:footnote w:id="15">
    <w:p w14:paraId="766B16E8" w14:textId="77777777" w:rsidR="00551032" w:rsidRDefault="00551032" w:rsidP="00597296">
      <w:pPr>
        <w:pStyle w:val="FootnoteText"/>
      </w:pPr>
      <w:r>
        <w:rPr>
          <w:rStyle w:val="FootnoteReference"/>
        </w:rPr>
        <w:footnoteRef/>
      </w:r>
      <w:r>
        <w:t xml:space="preserve"> ABS, </w:t>
      </w:r>
      <w:hyperlink r:id="rId16" w:history="1">
        <w:r w:rsidRPr="74B6247B">
          <w:rPr>
            <w:rStyle w:val="Hyperlink"/>
            <w:i/>
            <w:iCs/>
          </w:rPr>
          <w:t>Census of Population and Housing: Estimating Homelessness methodology</w:t>
        </w:r>
      </w:hyperlink>
      <w:r>
        <w:t xml:space="preserve">, </w:t>
      </w:r>
      <w:r w:rsidRPr="001469C3">
        <w:t>20</w:t>
      </w:r>
      <w:r>
        <w:t>23</w:t>
      </w:r>
    </w:p>
  </w:footnote>
  <w:footnote w:id="16">
    <w:p w14:paraId="055AB826" w14:textId="77777777" w:rsidR="00551032" w:rsidRPr="00A76B1D" w:rsidRDefault="00551032" w:rsidP="00597296">
      <w:pPr>
        <w:pStyle w:val="FootnoteText"/>
      </w:pPr>
      <w:r>
        <w:rPr>
          <w:rStyle w:val="FootnoteReference"/>
        </w:rPr>
        <w:footnoteRef/>
      </w:r>
      <w:r>
        <w:t xml:space="preserve"> Johnson G, Scutella R, Tseng Y, Wood G, </w:t>
      </w:r>
      <w:hyperlink r:id="rId17" w:history="1">
        <w:r w:rsidRPr="74B6247B">
          <w:rPr>
            <w:rStyle w:val="Hyperlink"/>
            <w:i/>
            <w:iCs/>
          </w:rPr>
          <w:t>Entries and exits from homelessness: Entries and exits from homelessness: a dynamic analysis of the relationship between structural conditions and individual characteristics</w:t>
        </w:r>
      </w:hyperlink>
      <w:r>
        <w:t xml:space="preserve">, Australian Housing and Urban Research Institute Limited, Melbourne, 2015; Fitzpatrick S, Bramley G, Johnson S, </w:t>
      </w:r>
      <w:r w:rsidRPr="74B6247B">
        <w:rPr>
          <w:i/>
          <w:iCs/>
        </w:rPr>
        <w:t>Pathways into Multiple Exclusion Homelessness in Seven UK Cities, Urban Studies</w:t>
      </w:r>
      <w:r>
        <w:t>, 50(1), 148–168, SAGE Publications Ltd, 2012.</w:t>
      </w:r>
    </w:p>
  </w:footnote>
  <w:footnote w:id="17">
    <w:p w14:paraId="045732A5" w14:textId="77777777" w:rsidR="00551032" w:rsidRDefault="00551032" w:rsidP="00597296">
      <w:pPr>
        <w:pStyle w:val="FootnoteText"/>
      </w:pPr>
      <w:r>
        <w:rPr>
          <w:rStyle w:val="FootnoteReference"/>
        </w:rPr>
        <w:footnoteRef/>
      </w:r>
      <w:r>
        <w:t xml:space="preserve"> ABS, </w:t>
      </w:r>
      <w:hyperlink r:id="rId18" w:history="1">
        <w:r w:rsidRPr="74B6247B">
          <w:rPr>
            <w:rStyle w:val="Hyperlink"/>
            <w:i/>
            <w:iCs/>
          </w:rPr>
          <w:t>Census of Population and Housing: Estimating Homelessness</w:t>
        </w:r>
      </w:hyperlink>
      <w:r>
        <w:t>, 2023.</w:t>
      </w:r>
    </w:p>
  </w:footnote>
  <w:footnote w:id="18">
    <w:p w14:paraId="203E9732" w14:textId="08D339C5" w:rsidR="00551032" w:rsidRDefault="00551032" w:rsidP="00597296">
      <w:pPr>
        <w:pStyle w:val="FootnoteText"/>
      </w:pPr>
      <w:r>
        <w:rPr>
          <w:rStyle w:val="FootnoteReference"/>
        </w:rPr>
        <w:footnoteRef/>
      </w:r>
      <w:r>
        <w:t xml:space="preserve"> AHRC, </w:t>
      </w:r>
      <w:hyperlink r:id="rId19" w:anchor=":~:text=Older%20Women%27s%20Risk%20of%20Homelessness%3A%20Background%20Paper%20(2019),-Age%20Discrimination&amp;text=The%20number%20of%20older%20homeless,and%20women%20across%20their%20lifetimes." w:history="1">
        <w:r w:rsidRPr="74B6247B">
          <w:rPr>
            <w:rStyle w:val="Hyperlink"/>
            <w:i/>
            <w:iCs/>
          </w:rPr>
          <w:t>Older Women’s Risk of Homelessness: Background Paper</w:t>
        </w:r>
      </w:hyperlink>
      <w:r>
        <w:t>, 2019.</w:t>
      </w:r>
    </w:p>
  </w:footnote>
  <w:footnote w:id="19">
    <w:p w14:paraId="1C3B15EF" w14:textId="77777777" w:rsidR="00551032" w:rsidRDefault="00551032" w:rsidP="00597296">
      <w:pPr>
        <w:pStyle w:val="FootnoteText"/>
      </w:pPr>
      <w:r>
        <w:rPr>
          <w:rStyle w:val="FootnoteReference"/>
        </w:rPr>
        <w:footnoteRef/>
      </w:r>
      <w:r>
        <w:t xml:space="preserve"> DSS, </w:t>
      </w:r>
      <w:hyperlink r:id="rId20" w:history="1">
        <w:r w:rsidRPr="74B6247B">
          <w:rPr>
            <w:rStyle w:val="Hyperlink"/>
            <w:i/>
            <w:iCs/>
          </w:rPr>
          <w:t>National Plan to End Violence against Women and Children 2022</w:t>
        </w:r>
        <w:r>
          <w:rPr>
            <w:rStyle w:val="Hyperlink"/>
            <w:i/>
            <w:iCs/>
          </w:rPr>
          <w:t>–</w:t>
        </w:r>
        <w:r w:rsidRPr="74B6247B">
          <w:rPr>
            <w:rStyle w:val="Hyperlink"/>
            <w:i/>
            <w:iCs/>
          </w:rPr>
          <w:t>2032</w:t>
        </w:r>
      </w:hyperlink>
      <w:r>
        <w:t xml:space="preserve">, 2022. </w:t>
      </w:r>
    </w:p>
  </w:footnote>
  <w:footnote w:id="20">
    <w:p w14:paraId="21C53137" w14:textId="56F7C57C" w:rsidR="00551032" w:rsidRDefault="00551032" w:rsidP="00D90334">
      <w:pPr>
        <w:pStyle w:val="FootnoteText"/>
      </w:pPr>
      <w:r w:rsidRPr="00D90334">
        <w:rPr>
          <w:rStyle w:val="FootnoteReference"/>
        </w:rPr>
        <w:footnoteRef/>
      </w:r>
      <w:r w:rsidRPr="00D90334">
        <w:t xml:space="preserve"> ABS, </w:t>
      </w:r>
      <w:hyperlink r:id="rId21" w:history="1">
        <w:r w:rsidRPr="00D90334">
          <w:rPr>
            <w:rStyle w:val="Hyperlink"/>
            <w:i/>
          </w:rPr>
          <w:t>Census of Population and Housing: Estimating Homelessness</w:t>
        </w:r>
      </w:hyperlink>
      <w:r w:rsidRPr="00D90334">
        <w:t>, 20</w:t>
      </w:r>
      <w:r>
        <w:t>21</w:t>
      </w:r>
      <w:r w:rsidRPr="00D90334">
        <w:t>.</w:t>
      </w:r>
    </w:p>
  </w:footnote>
  <w:footnote w:id="21">
    <w:p w14:paraId="24FDD815" w14:textId="77777777" w:rsidR="00551032" w:rsidRDefault="00551032" w:rsidP="00597296">
      <w:pPr>
        <w:pStyle w:val="FootnoteText"/>
      </w:pPr>
      <w:r>
        <w:rPr>
          <w:rStyle w:val="FootnoteReference"/>
        </w:rPr>
        <w:footnoteRef/>
      </w:r>
      <w:r>
        <w:t xml:space="preserve"> PC, </w:t>
      </w:r>
      <w:hyperlink r:id="rId22" w:history="1">
        <w:r w:rsidRPr="74B6247B">
          <w:rPr>
            <w:rStyle w:val="Hyperlink"/>
            <w:i/>
            <w:iCs/>
          </w:rPr>
          <w:t>In need of repair: The National Housing and Homelessness Agreement</w:t>
        </w:r>
      </w:hyperlink>
      <w:r>
        <w:rPr>
          <w:rStyle w:val="Hyperlink"/>
          <w:i/>
          <w:iCs/>
        </w:rPr>
        <w:t xml:space="preserve"> – Study report</w:t>
      </w:r>
      <w:r>
        <w:t>, 2022.</w:t>
      </w:r>
    </w:p>
  </w:footnote>
  <w:footnote w:id="22">
    <w:p w14:paraId="395773F2" w14:textId="497F1F41" w:rsidR="00551032" w:rsidRDefault="00551032" w:rsidP="00597296">
      <w:pPr>
        <w:pStyle w:val="FootnoteText"/>
      </w:pPr>
      <w:r>
        <w:rPr>
          <w:rStyle w:val="FootnoteReference"/>
        </w:rPr>
        <w:footnoteRef/>
      </w:r>
      <w:r>
        <w:t xml:space="preserve"> Hill, A O, et. al. (2021). </w:t>
      </w:r>
      <w:hyperlink r:id="rId23" w:history="1">
        <w:r w:rsidRPr="005450A8">
          <w:rPr>
            <w:rStyle w:val="Hyperlink"/>
            <w:i/>
          </w:rPr>
          <w:t>Writing themselves in 4: The health and wellbeing of LGBTQA+ young people in Australia</w:t>
        </w:r>
      </w:hyperlink>
      <w:r w:rsidRPr="009127DE">
        <w:rPr>
          <w:i/>
        </w:rPr>
        <w:t>.</w:t>
      </w:r>
      <w:r>
        <w:t xml:space="preserve"> National report, monograph series number 124. Australian Research Centre in Sex, Health and Society, La Trobe University, 2021.</w:t>
      </w:r>
    </w:p>
  </w:footnote>
  <w:footnote w:id="23">
    <w:p w14:paraId="7FD8612F" w14:textId="5D3762FB" w:rsidR="00551032" w:rsidRDefault="00551032">
      <w:pPr>
        <w:pStyle w:val="FootnoteText"/>
      </w:pPr>
      <w:r>
        <w:rPr>
          <w:rStyle w:val="FootnoteReference"/>
        </w:rPr>
        <w:footnoteRef/>
      </w:r>
      <w:r>
        <w:t xml:space="preserve"> ABS, </w:t>
      </w:r>
      <w:hyperlink r:id="rId24" w:history="1">
        <w:r w:rsidRPr="74B6247B">
          <w:rPr>
            <w:rStyle w:val="Hyperlink"/>
            <w:i/>
            <w:iCs/>
          </w:rPr>
          <w:t>Census of Population and Housing: Estimating Homelessness</w:t>
        </w:r>
      </w:hyperlink>
      <w:r>
        <w:t>, 2023</w:t>
      </w:r>
    </w:p>
  </w:footnote>
  <w:footnote w:id="24">
    <w:p w14:paraId="6B07EE57" w14:textId="77777777" w:rsidR="00551032" w:rsidRDefault="00551032" w:rsidP="00597296">
      <w:pPr>
        <w:pStyle w:val="FootnoteText"/>
      </w:pPr>
      <w:r>
        <w:rPr>
          <w:rStyle w:val="FootnoteReference"/>
        </w:rPr>
        <w:footnoteRef/>
      </w:r>
      <w:r>
        <w:t xml:space="preserve"> ABS, </w:t>
      </w:r>
      <w:hyperlink r:id="rId25" w:history="1">
        <w:r w:rsidRPr="74B6247B">
          <w:rPr>
            <w:rStyle w:val="Hyperlink"/>
            <w:i/>
            <w:iCs/>
          </w:rPr>
          <w:t>Census of Population and Housing: Estimating Homelessness</w:t>
        </w:r>
      </w:hyperlink>
      <w:r>
        <w:t>, 2023.</w:t>
      </w:r>
    </w:p>
  </w:footnote>
  <w:footnote w:id="25">
    <w:p w14:paraId="2A4F813C" w14:textId="77777777" w:rsidR="00551032" w:rsidRDefault="00551032" w:rsidP="00597296">
      <w:pPr>
        <w:pStyle w:val="FootnoteText"/>
      </w:pPr>
      <w:r>
        <w:rPr>
          <w:rStyle w:val="FootnoteReference"/>
        </w:rPr>
        <w:footnoteRef/>
      </w:r>
      <w:r>
        <w:t xml:space="preserve"> ABS, </w:t>
      </w:r>
      <w:hyperlink r:id="rId26" w:history="1">
        <w:r w:rsidRPr="74B6247B">
          <w:rPr>
            <w:rStyle w:val="Hyperlink"/>
            <w:i/>
            <w:iCs/>
          </w:rPr>
          <w:t>Census of Population and Housing: Estimating Homelessness</w:t>
        </w:r>
      </w:hyperlink>
      <w:r>
        <w:t>, 2023</w:t>
      </w:r>
    </w:p>
  </w:footnote>
  <w:footnote w:id="26">
    <w:p w14:paraId="471D9790" w14:textId="77777777" w:rsidR="00551032" w:rsidRDefault="00551032" w:rsidP="00597296">
      <w:pPr>
        <w:pStyle w:val="FootnoteText"/>
      </w:pPr>
      <w:r>
        <w:rPr>
          <w:rStyle w:val="FootnoteReference"/>
        </w:rPr>
        <w:footnoteRef/>
      </w:r>
      <w:r>
        <w:t xml:space="preserve"> Martin C, Reeve R, McCausland R, Burton P, White R, Thomas S</w:t>
      </w:r>
      <w:r w:rsidRPr="74B6247B">
        <w:rPr>
          <w:i/>
          <w:iCs/>
        </w:rPr>
        <w:t xml:space="preserve">, </w:t>
      </w:r>
      <w:hyperlink r:id="rId27" w:history="1">
        <w:r w:rsidRPr="74B6247B">
          <w:rPr>
            <w:rStyle w:val="Hyperlink"/>
            <w:i/>
            <w:iCs/>
          </w:rPr>
          <w:t>Exiting prison with complex support needs: the role of housing assistance</w:t>
        </w:r>
      </w:hyperlink>
      <w:r>
        <w:t>, AHURI, 2021</w:t>
      </w:r>
    </w:p>
  </w:footnote>
  <w:footnote w:id="27">
    <w:p w14:paraId="554C5510" w14:textId="77777777" w:rsidR="00551032" w:rsidRDefault="00551032" w:rsidP="00597296">
      <w:pPr>
        <w:pStyle w:val="FootnoteText"/>
      </w:pPr>
      <w:r>
        <w:rPr>
          <w:rStyle w:val="FootnoteReference"/>
        </w:rPr>
        <w:footnoteRef/>
      </w:r>
      <w:r>
        <w:t xml:space="preserve"> Hilferty </w:t>
      </w:r>
      <w:r w:rsidRPr="00B22A3F">
        <w:t>F</w:t>
      </w:r>
      <w:r>
        <w:t>, Katz</w:t>
      </w:r>
      <w:r w:rsidRPr="00B22A3F">
        <w:t xml:space="preserve"> I, Zmudzki F, Hooff M</w:t>
      </w:r>
      <w:r>
        <w:t xml:space="preserve">, Lawrence-Wood </w:t>
      </w:r>
      <w:r w:rsidRPr="00B22A3F">
        <w:t>E</w:t>
      </w:r>
      <w:r>
        <w:t>, Searle A</w:t>
      </w:r>
      <w:r w:rsidRPr="00B22A3F">
        <w:t>, Evans</w:t>
      </w:r>
      <w:r>
        <w:t xml:space="preserve"> G, Challinor B, and Talbot</w:t>
      </w:r>
      <w:r w:rsidRPr="00B22A3F">
        <w:t xml:space="preserve"> A</w:t>
      </w:r>
      <w:r>
        <w:t xml:space="preserve"> </w:t>
      </w:r>
      <w:hyperlink r:id="rId28" w:history="1">
        <w:r w:rsidRPr="74B6247B">
          <w:rPr>
            <w:rStyle w:val="Hyperlink"/>
            <w:i/>
            <w:iCs/>
          </w:rPr>
          <w:t>Homelessness amongst Australian veterans</w:t>
        </w:r>
      </w:hyperlink>
      <w:r w:rsidRPr="74B6247B">
        <w:rPr>
          <w:i/>
          <w:iCs/>
        </w:rPr>
        <w:t>,</w:t>
      </w:r>
      <w:r w:rsidRPr="00B22A3F">
        <w:t xml:space="preserve"> </w:t>
      </w:r>
      <w:r>
        <w:t>AHURI, 2019.</w:t>
      </w:r>
    </w:p>
  </w:footnote>
  <w:footnote w:id="28">
    <w:p w14:paraId="6C683A46" w14:textId="0DEF77B0" w:rsidR="00551032" w:rsidRDefault="00551032" w:rsidP="00597296">
      <w:pPr>
        <w:pStyle w:val="FootnoteText"/>
      </w:pPr>
      <w:r>
        <w:rPr>
          <w:rStyle w:val="FootnoteReference"/>
        </w:rPr>
        <w:footnoteRef/>
      </w:r>
      <w:r>
        <w:t xml:space="preserve"> </w:t>
      </w:r>
      <w:r w:rsidRPr="001469C3">
        <w:t>Phil</w:t>
      </w:r>
      <w:r>
        <w:t xml:space="preserve">lips R and Parsell C, </w:t>
      </w:r>
      <w:hyperlink r:id="rId29" w:history="1">
        <w:r w:rsidRPr="74B6247B">
          <w:rPr>
            <w:rStyle w:val="Hyperlink"/>
            <w:i/>
            <w:iCs/>
          </w:rPr>
          <w:t>The role of assertive outreach in ending 'rough sleeping</w:t>
        </w:r>
      </w:hyperlink>
      <w:r>
        <w:rPr>
          <w:rStyle w:val="Hyperlink"/>
          <w:i/>
          <w:iCs/>
        </w:rPr>
        <w:t>’</w:t>
      </w:r>
      <w:r w:rsidRPr="003E1AAE">
        <w:t>, AHURI,</w:t>
      </w:r>
      <w:r>
        <w:t xml:space="preserve"> 2012.</w:t>
      </w:r>
    </w:p>
  </w:footnote>
  <w:footnote w:id="29">
    <w:p w14:paraId="75908C1B" w14:textId="77777777" w:rsidR="00551032" w:rsidRDefault="00551032" w:rsidP="00597296">
      <w:pPr>
        <w:pStyle w:val="FootnoteText"/>
      </w:pPr>
      <w:r>
        <w:rPr>
          <w:rStyle w:val="FootnoteReference"/>
        </w:rPr>
        <w:footnoteRef/>
      </w:r>
      <w:r>
        <w:t xml:space="preserve"> ABS, </w:t>
      </w:r>
      <w:hyperlink r:id="rId30" w:history="1">
        <w:r w:rsidRPr="74B6247B">
          <w:rPr>
            <w:rStyle w:val="Hyperlink"/>
            <w:i/>
            <w:iCs/>
          </w:rPr>
          <w:t>Census of Population and Housing: Estimating Homelessness</w:t>
        </w:r>
      </w:hyperlink>
      <w:r>
        <w:t>, 2023.</w:t>
      </w:r>
    </w:p>
  </w:footnote>
  <w:footnote w:id="30">
    <w:p w14:paraId="455BF19A" w14:textId="77777777" w:rsidR="00551032" w:rsidRDefault="00551032" w:rsidP="00597296">
      <w:pPr>
        <w:pStyle w:val="FootnoteText"/>
      </w:pPr>
      <w:r>
        <w:rPr>
          <w:rStyle w:val="FootnoteReference"/>
        </w:rPr>
        <w:footnoteRef/>
      </w:r>
      <w:r>
        <w:t xml:space="preserve"> AIHW</w:t>
      </w:r>
      <w:r w:rsidRPr="74B6247B">
        <w:rPr>
          <w:i/>
          <w:iCs/>
        </w:rPr>
        <w:t xml:space="preserve">, </w:t>
      </w:r>
      <w:hyperlink r:id="rId31" w:history="1">
        <w:r w:rsidRPr="74B6247B">
          <w:rPr>
            <w:rStyle w:val="Hyperlink"/>
            <w:i/>
            <w:iCs/>
          </w:rPr>
          <w:t>Sleeping rough: a profile of Specialist Homelessness Services clients</w:t>
        </w:r>
      </w:hyperlink>
      <w:r>
        <w:t xml:space="preserve">, 2018. </w:t>
      </w:r>
    </w:p>
  </w:footnote>
  <w:footnote w:id="31">
    <w:p w14:paraId="73507C48" w14:textId="77777777" w:rsidR="00551032" w:rsidRDefault="00551032" w:rsidP="00C02BC0">
      <w:pPr>
        <w:pStyle w:val="FootnoteText"/>
      </w:pPr>
      <w:r>
        <w:rPr>
          <w:rStyle w:val="FootnoteReference"/>
        </w:rPr>
        <w:footnoteRef/>
      </w:r>
      <w:r>
        <w:t xml:space="preserve"> AIHW</w:t>
      </w:r>
      <w:r w:rsidRPr="74B6247B">
        <w:rPr>
          <w:i/>
          <w:iCs/>
        </w:rPr>
        <w:t xml:space="preserve">, </w:t>
      </w:r>
      <w:hyperlink r:id="rId32" w:history="1">
        <w:r w:rsidRPr="74B6247B">
          <w:rPr>
            <w:rStyle w:val="Hyperlink"/>
            <w:i/>
            <w:iCs/>
          </w:rPr>
          <w:t>Sleeping rough: a profile of Specialist Homelessness Services clients</w:t>
        </w:r>
      </w:hyperlink>
      <w:r>
        <w:t>, 2018.</w:t>
      </w:r>
    </w:p>
  </w:footnote>
  <w:footnote w:id="32">
    <w:p w14:paraId="71BCC01A" w14:textId="4581EC76" w:rsidR="00551032" w:rsidRDefault="00551032" w:rsidP="00597296">
      <w:pPr>
        <w:pStyle w:val="FootnoteText"/>
      </w:pPr>
      <w:r>
        <w:rPr>
          <w:rStyle w:val="FootnoteReference"/>
        </w:rPr>
        <w:footnoteRef/>
      </w:r>
      <w:r>
        <w:t xml:space="preserve"> AIHW, </w:t>
      </w:r>
      <w:hyperlink r:id="rId33" w:history="1">
        <w:r w:rsidRPr="00BC3055">
          <w:rPr>
            <w:rStyle w:val="Hyperlink"/>
            <w:i/>
          </w:rPr>
          <w:t>Sleeping rough: a profile of Specialist Homelessness Service clients</w:t>
        </w:r>
      </w:hyperlink>
      <w:r>
        <w:t>, Canberra, 2018.</w:t>
      </w:r>
    </w:p>
  </w:footnote>
  <w:footnote w:id="33">
    <w:p w14:paraId="5EE8F934" w14:textId="77777777" w:rsidR="00551032" w:rsidRDefault="00551032" w:rsidP="00D50CFA">
      <w:pPr>
        <w:pStyle w:val="FootnoteText"/>
      </w:pPr>
      <w:r>
        <w:rPr>
          <w:rStyle w:val="FootnoteReference"/>
        </w:rPr>
        <w:footnoteRef/>
      </w:r>
      <w:r>
        <w:t xml:space="preserve"> Brackertz, N, Davison, J, Borrowman, L and Roggenbuck, C </w:t>
      </w:r>
      <w:hyperlink r:id="rId34" w:history="1">
        <w:r w:rsidRPr="74B6247B">
          <w:rPr>
            <w:rStyle w:val="Hyperlink"/>
            <w:i/>
            <w:iCs/>
          </w:rPr>
          <w:t>‘Overcrowding and severe overcrowding: an analysis of literature, data, policies and programs’</w:t>
        </w:r>
      </w:hyperlink>
      <w:r w:rsidRPr="74B6247B">
        <w:rPr>
          <w:i/>
          <w:iCs/>
        </w:rPr>
        <w:t xml:space="preserve">, </w:t>
      </w:r>
      <w:r>
        <w:t>AHURI, 2019.</w:t>
      </w:r>
    </w:p>
  </w:footnote>
  <w:footnote w:id="34">
    <w:p w14:paraId="2AAD33D8" w14:textId="77777777" w:rsidR="00551032" w:rsidRDefault="00551032" w:rsidP="00D50CFA">
      <w:pPr>
        <w:pStyle w:val="FootnoteText"/>
      </w:pPr>
      <w:r>
        <w:rPr>
          <w:rStyle w:val="FootnoteReference"/>
        </w:rPr>
        <w:footnoteRef/>
      </w:r>
      <w:r>
        <w:t xml:space="preserve"> Brackertz, N, Wilkinson, A</w:t>
      </w:r>
      <w:r w:rsidRPr="74B6247B">
        <w:rPr>
          <w:i/>
          <w:iCs/>
        </w:rPr>
        <w:t xml:space="preserve"> </w:t>
      </w:r>
      <w:hyperlink r:id="rId35" w:history="1">
        <w:r w:rsidRPr="74B6247B">
          <w:rPr>
            <w:rStyle w:val="Hyperlink"/>
            <w:i/>
            <w:iCs/>
          </w:rPr>
          <w:t>Research synthesis of social and economic outcomes of good housing for Aboriginal and Torres Strait Islander People</w:t>
        </w:r>
      </w:hyperlink>
      <w:r w:rsidRPr="74B6247B">
        <w:rPr>
          <w:i/>
          <w:iCs/>
        </w:rPr>
        <w:t>,</w:t>
      </w:r>
      <w:r>
        <w:t xml:space="preserve"> AHURI, 2017.</w:t>
      </w:r>
    </w:p>
  </w:footnote>
  <w:footnote w:id="35">
    <w:p w14:paraId="51AAAF7F" w14:textId="77777777" w:rsidR="00551032" w:rsidRDefault="00551032" w:rsidP="00D50CFA">
      <w:pPr>
        <w:pStyle w:val="FootnoteText"/>
      </w:pPr>
      <w:r>
        <w:rPr>
          <w:rStyle w:val="FootnoteReference"/>
        </w:rPr>
        <w:footnoteRef/>
      </w:r>
      <w:r>
        <w:t xml:space="preserve"> </w:t>
      </w:r>
      <w:r w:rsidRPr="007D3668">
        <w:t xml:space="preserve">Dockery M, Moskos M, Isherwood L, and Harris M, </w:t>
      </w:r>
      <w:r w:rsidRPr="007D3668">
        <w:rPr>
          <w:i/>
        </w:rPr>
        <w:t xml:space="preserve">How many in a crowd? </w:t>
      </w:r>
      <w:hyperlink r:id="rId36" w:history="1">
        <w:r w:rsidRPr="007D3668">
          <w:rPr>
            <w:rStyle w:val="Hyperlink"/>
            <w:i/>
          </w:rPr>
          <w:t>Assessing overcrowding measures in Australian housing</w:t>
        </w:r>
      </w:hyperlink>
      <w:r w:rsidRPr="007D3668">
        <w:t>, AHURI, 2022</w:t>
      </w:r>
    </w:p>
  </w:footnote>
  <w:footnote w:id="36">
    <w:p w14:paraId="1C1B86A9" w14:textId="52433085" w:rsidR="00551032" w:rsidRDefault="00551032" w:rsidP="00D50CFA">
      <w:pPr>
        <w:pStyle w:val="FootnoteText"/>
      </w:pPr>
      <w:r>
        <w:rPr>
          <w:rStyle w:val="FootnoteReference"/>
        </w:rPr>
        <w:footnoteRef/>
      </w:r>
      <w:r>
        <w:t xml:space="preserve"> </w:t>
      </w:r>
      <w:r w:rsidRPr="74B6247B">
        <w:t xml:space="preserve">Organisation for Economic Co-operation and </w:t>
      </w:r>
      <w:r w:rsidRPr="00C528E0">
        <w:t>Development (OECD)</w:t>
      </w:r>
      <w:r>
        <w:t xml:space="preserve"> </w:t>
      </w:r>
      <w:hyperlink r:id="rId37" w:history="1">
        <w:r w:rsidRPr="00585D09">
          <w:rPr>
            <w:rStyle w:val="Hyperlink"/>
            <w:i/>
            <w:iCs/>
          </w:rPr>
          <w:t>Affordable Housing Database</w:t>
        </w:r>
      </w:hyperlink>
      <w:r>
        <w:t xml:space="preserve">, </w:t>
      </w:r>
      <w:r w:rsidRPr="0038176B">
        <w:t xml:space="preserve">HC3.1. </w:t>
      </w:r>
      <w:r>
        <w:t>Homeless Population, 2020.</w:t>
      </w:r>
    </w:p>
  </w:footnote>
  <w:footnote w:id="37">
    <w:p w14:paraId="6709CDF8" w14:textId="77777777" w:rsidR="00551032" w:rsidRDefault="00551032" w:rsidP="00D50CFA">
      <w:pPr>
        <w:pStyle w:val="FootnoteText"/>
      </w:pPr>
      <w:r>
        <w:rPr>
          <w:rStyle w:val="FootnoteReference"/>
        </w:rPr>
        <w:footnoteRef/>
      </w:r>
      <w:r>
        <w:t xml:space="preserve"> ABS, </w:t>
      </w:r>
      <w:hyperlink r:id="rId38" w:history="1">
        <w:r w:rsidRPr="74B6247B">
          <w:rPr>
            <w:rStyle w:val="Hyperlink"/>
            <w:i/>
            <w:iCs/>
          </w:rPr>
          <w:t>Census of Population and Housing: Estimating Homelessness</w:t>
        </w:r>
      </w:hyperlink>
      <w:r>
        <w:t>, 2023.</w:t>
      </w:r>
    </w:p>
  </w:footnote>
  <w:footnote w:id="38">
    <w:p w14:paraId="4D931333" w14:textId="77777777" w:rsidR="00551032" w:rsidRDefault="00551032" w:rsidP="0044372D">
      <w:pPr>
        <w:pStyle w:val="FootnoteText"/>
      </w:pPr>
      <w:r>
        <w:rPr>
          <w:rStyle w:val="FootnoteReference"/>
        </w:rPr>
        <w:footnoteRef/>
      </w:r>
      <w:r>
        <w:t xml:space="preserve"> Productivity Commission, </w:t>
      </w:r>
      <w:hyperlink r:id="rId39" w:history="1">
        <w:r w:rsidRPr="0091389E">
          <w:rPr>
            <w:rStyle w:val="Hyperlink"/>
            <w:i/>
          </w:rPr>
          <w:t>Report on Government Services</w:t>
        </w:r>
      </w:hyperlink>
      <w:r>
        <w:t>, 2021 accessed 28 July 2023.</w:t>
      </w:r>
    </w:p>
  </w:footnote>
  <w:footnote w:id="39">
    <w:p w14:paraId="6552C1CB" w14:textId="77777777" w:rsidR="00551032" w:rsidRDefault="00551032" w:rsidP="00597296">
      <w:pPr>
        <w:pStyle w:val="FootnoteText"/>
      </w:pPr>
      <w:r>
        <w:rPr>
          <w:rStyle w:val="FootnoteReference"/>
        </w:rPr>
        <w:footnoteRef/>
      </w:r>
      <w:r>
        <w:t xml:space="preserve"> AIHW, </w:t>
      </w:r>
      <w:hyperlink r:id="rId40" w:history="1">
        <w:r w:rsidRPr="74B6247B">
          <w:rPr>
            <w:rStyle w:val="Hyperlink"/>
            <w:i/>
            <w:iCs/>
          </w:rPr>
          <w:t>Specialist homelessness services annual report 2021–22</w:t>
        </w:r>
      </w:hyperlink>
      <w:r>
        <w:t>, 2022.</w:t>
      </w:r>
    </w:p>
  </w:footnote>
  <w:footnote w:id="40">
    <w:p w14:paraId="32E176BE" w14:textId="3B2D73AD" w:rsidR="00551032" w:rsidRDefault="00551032" w:rsidP="00597296">
      <w:pPr>
        <w:pStyle w:val="FootnoteText"/>
        <w:rPr>
          <w:i/>
        </w:rPr>
      </w:pPr>
      <w:r w:rsidRPr="002226F2">
        <w:rPr>
          <w:rStyle w:val="FootnoteReference"/>
          <w:iCs/>
        </w:rPr>
        <w:footnoteRef/>
      </w:r>
      <w:r>
        <w:t xml:space="preserve"> </w:t>
      </w:r>
      <w:r w:rsidRPr="00B6096E">
        <w:t>Flatau</w:t>
      </w:r>
      <w:r>
        <w:t xml:space="preserve"> P</w:t>
      </w:r>
      <w:r w:rsidRPr="00B6096E">
        <w:t>, Conroy</w:t>
      </w:r>
      <w:r>
        <w:t xml:space="preserve"> E</w:t>
      </w:r>
      <w:r w:rsidRPr="00B6096E">
        <w:t>, Spooner</w:t>
      </w:r>
      <w:r>
        <w:t xml:space="preserve"> C</w:t>
      </w:r>
      <w:r w:rsidRPr="00B6096E">
        <w:t>, Eardley</w:t>
      </w:r>
      <w:r>
        <w:t xml:space="preserve"> T</w:t>
      </w:r>
      <w:r w:rsidRPr="00B6096E">
        <w:t>,</w:t>
      </w:r>
      <w:r>
        <w:t xml:space="preserve"> and Forbes C, </w:t>
      </w:r>
      <w:hyperlink r:id="rId41" w:history="1">
        <w:r w:rsidRPr="74B6247B">
          <w:rPr>
            <w:rStyle w:val="Hyperlink"/>
            <w:i/>
            <w:iCs/>
          </w:rPr>
          <w:t>Lifetime and intergenerational experiences of homelessness in Australia</w:t>
        </w:r>
      </w:hyperlink>
      <w:r w:rsidRPr="00B6096E">
        <w:t xml:space="preserve">, AHURI Final Report No. 200, </w:t>
      </w:r>
      <w:r>
        <w:t xml:space="preserve">2013, in AIHW, </w:t>
      </w:r>
      <w:hyperlink r:id="rId42" w:history="1">
        <w:r w:rsidRPr="74B6247B">
          <w:rPr>
            <w:rStyle w:val="Hyperlink"/>
            <w:i/>
            <w:iCs/>
          </w:rPr>
          <w:t>Australia's children</w:t>
        </w:r>
      </w:hyperlink>
      <w:r w:rsidRPr="00B6096E">
        <w:t xml:space="preserve">, </w:t>
      </w:r>
      <w:r>
        <w:t>2022.</w:t>
      </w:r>
    </w:p>
    <w:p w14:paraId="0E952361" w14:textId="77777777" w:rsidR="00551032" w:rsidRPr="00D2018B" w:rsidRDefault="00551032" w:rsidP="00597296">
      <w:pPr>
        <w:pStyle w:val="FootnoteText"/>
        <w:rPr>
          <w:iCs/>
        </w:rPr>
      </w:pPr>
      <w:r w:rsidRPr="00D2018B">
        <w:rPr>
          <w:iCs/>
        </w:rPr>
        <w:t>Note: different data sets, policies and programs use different age ranges to classify ‘young people’.</w:t>
      </w:r>
    </w:p>
  </w:footnote>
  <w:footnote w:id="41">
    <w:p w14:paraId="2A6B9F13" w14:textId="6A3D6B65" w:rsidR="00551032" w:rsidRPr="007D3668" w:rsidRDefault="00551032" w:rsidP="00597296">
      <w:pPr>
        <w:pStyle w:val="FootnoteText"/>
        <w:rPr>
          <w:i/>
        </w:rPr>
      </w:pPr>
      <w:r>
        <w:rPr>
          <w:rStyle w:val="FootnoteReference"/>
        </w:rPr>
        <w:footnoteRef/>
      </w:r>
      <w:r>
        <w:t xml:space="preserve"> </w:t>
      </w:r>
      <w:r w:rsidRPr="00B6096E">
        <w:t>Flatau</w:t>
      </w:r>
      <w:r>
        <w:t xml:space="preserve"> P</w:t>
      </w:r>
      <w:r w:rsidRPr="00B6096E">
        <w:t>, Conroy</w:t>
      </w:r>
      <w:r>
        <w:t xml:space="preserve"> E</w:t>
      </w:r>
      <w:r w:rsidRPr="00B6096E">
        <w:t>, Spooner</w:t>
      </w:r>
      <w:r>
        <w:t xml:space="preserve"> C</w:t>
      </w:r>
      <w:r w:rsidRPr="00B6096E">
        <w:t>, Eardley</w:t>
      </w:r>
      <w:r>
        <w:t xml:space="preserve"> T</w:t>
      </w:r>
      <w:r w:rsidRPr="00B6096E">
        <w:t>,</w:t>
      </w:r>
      <w:r>
        <w:t xml:space="preserve"> and Forbes C, </w:t>
      </w:r>
      <w:hyperlink r:id="rId43" w:history="1">
        <w:r w:rsidRPr="74B6247B">
          <w:rPr>
            <w:rStyle w:val="Hyperlink"/>
            <w:i/>
            <w:iCs/>
          </w:rPr>
          <w:t>Lifetime and intergenerational experiences of homelessness in Australia</w:t>
        </w:r>
      </w:hyperlink>
      <w:r w:rsidRPr="00B6096E">
        <w:t xml:space="preserve">, AHURI Final Report No. 200, </w:t>
      </w:r>
      <w:r>
        <w:t xml:space="preserve">2013, in AIHW, </w:t>
      </w:r>
      <w:hyperlink r:id="rId44" w:history="1">
        <w:r w:rsidRPr="74B6247B">
          <w:rPr>
            <w:rStyle w:val="Hyperlink"/>
            <w:i/>
            <w:iCs/>
          </w:rPr>
          <w:t>Australia's children</w:t>
        </w:r>
      </w:hyperlink>
      <w:r w:rsidRPr="00B6096E">
        <w:t xml:space="preserve">, </w:t>
      </w:r>
      <w:r>
        <w:t>2022.</w:t>
      </w:r>
    </w:p>
  </w:footnote>
  <w:footnote w:id="42">
    <w:p w14:paraId="7DC2736A" w14:textId="2D1398D1" w:rsidR="00551032" w:rsidRDefault="00551032" w:rsidP="00597296">
      <w:pPr>
        <w:pStyle w:val="FootnoteText"/>
      </w:pPr>
      <w:r>
        <w:rPr>
          <w:rStyle w:val="FootnoteReference"/>
        </w:rPr>
        <w:footnoteRef/>
      </w:r>
      <w:r>
        <w:t xml:space="preserve"> </w:t>
      </w:r>
      <w:r>
        <w:rPr>
          <w:rStyle w:val="ui-provider"/>
        </w:rPr>
        <w:t>MacKenzie D, Hand T, Zufferey C, McNelis S, Spinne, A and Tedmanson D</w:t>
      </w:r>
      <w:r w:rsidRPr="74B6247B">
        <w:rPr>
          <w:rStyle w:val="ui-provider"/>
          <w:i/>
          <w:iCs/>
        </w:rPr>
        <w:t xml:space="preserve">, </w:t>
      </w:r>
      <w:hyperlink r:id="rId45" w:history="1">
        <w:r w:rsidRPr="0093783D">
          <w:rPr>
            <w:rStyle w:val="Hyperlink"/>
            <w:i/>
            <w:iCs/>
          </w:rPr>
          <w:t>Redesign of a homelessness service system for young people</w:t>
        </w:r>
      </w:hyperlink>
      <w:r>
        <w:rPr>
          <w:rStyle w:val="ui-provider"/>
        </w:rPr>
        <w:t>, AHURI Final Report No. 327, 2020.</w:t>
      </w:r>
    </w:p>
  </w:footnote>
  <w:footnote w:id="43">
    <w:p w14:paraId="27D2AFB5" w14:textId="77777777" w:rsidR="00551032" w:rsidRDefault="00551032" w:rsidP="00597296">
      <w:pPr>
        <w:pStyle w:val="FootnoteText"/>
      </w:pPr>
      <w:r>
        <w:rPr>
          <w:rStyle w:val="FootnoteReference"/>
        </w:rPr>
        <w:footnoteRef/>
      </w:r>
      <w:r>
        <w:t xml:space="preserve"> ABS, </w:t>
      </w:r>
      <w:hyperlink r:id="rId46" w:history="1">
        <w:r w:rsidRPr="74B6247B">
          <w:rPr>
            <w:rStyle w:val="Hyperlink"/>
            <w:i/>
            <w:iCs/>
          </w:rPr>
          <w:t>Census of Population and Housing: Estimating Homelessness</w:t>
        </w:r>
      </w:hyperlink>
      <w:r>
        <w:t>, 2023.</w:t>
      </w:r>
    </w:p>
  </w:footnote>
  <w:footnote w:id="44">
    <w:p w14:paraId="58AB7284" w14:textId="77777777" w:rsidR="00551032" w:rsidRDefault="00551032" w:rsidP="00597296">
      <w:pPr>
        <w:pStyle w:val="FootnoteText"/>
      </w:pPr>
      <w:r>
        <w:rPr>
          <w:rStyle w:val="FootnoteReference"/>
        </w:rPr>
        <w:footnoteRef/>
      </w:r>
      <w:r>
        <w:t xml:space="preserve"> AIHW, </w:t>
      </w:r>
      <w:hyperlink r:id="rId47" w:history="1">
        <w:r w:rsidRPr="74B6247B">
          <w:rPr>
            <w:rStyle w:val="Hyperlink"/>
            <w:i/>
            <w:iCs/>
          </w:rPr>
          <w:t>Specialist homelessness services annual report 2021–22</w:t>
        </w:r>
      </w:hyperlink>
      <w:r>
        <w:t>, 2022.</w:t>
      </w:r>
    </w:p>
  </w:footnote>
  <w:footnote w:id="45">
    <w:p w14:paraId="445521E5" w14:textId="77777777" w:rsidR="00551032" w:rsidRDefault="00551032" w:rsidP="00597296">
      <w:pPr>
        <w:pStyle w:val="FootnoteText"/>
      </w:pPr>
      <w:r>
        <w:rPr>
          <w:rStyle w:val="FootnoteReference"/>
        </w:rPr>
        <w:footnoteRef/>
      </w:r>
      <w:r>
        <w:t xml:space="preserve"> Taylor S, and Johnson G, </w:t>
      </w:r>
      <w:hyperlink r:id="rId48" w:history="1">
        <w:r w:rsidRPr="74B6247B">
          <w:rPr>
            <w:rStyle w:val="Hyperlink"/>
            <w:i/>
            <w:iCs/>
          </w:rPr>
          <w:t>Service use patterns at a high-volume homelessness service: A longitudinal analysis of six years of administrative data</w:t>
        </w:r>
      </w:hyperlink>
      <w:r>
        <w:t>, Unison Housing, 2019.</w:t>
      </w:r>
    </w:p>
  </w:footnote>
  <w:footnote w:id="46">
    <w:p w14:paraId="11023645" w14:textId="06FE6A22" w:rsidR="00551032" w:rsidRDefault="00551032" w:rsidP="008E7FB9">
      <w:pPr>
        <w:pStyle w:val="FootnoteText"/>
      </w:pPr>
      <w:r w:rsidRPr="00880930">
        <w:rPr>
          <w:rStyle w:val="FootnoteReference"/>
        </w:rPr>
        <w:footnoteRef/>
      </w:r>
      <w:r w:rsidRPr="00880930">
        <w:t xml:space="preserve"> </w:t>
      </w:r>
      <w:r>
        <w:t xml:space="preserve">Reynolds F, </w:t>
      </w:r>
      <w:r w:rsidRPr="74B6247B">
        <w:rPr>
          <w:i/>
          <w:iCs/>
        </w:rPr>
        <w:t>To examine programs that assist vulnerable and complex chronically homeless people,</w:t>
      </w:r>
      <w:r>
        <w:t xml:space="preserve"> Churchill Fellowship report, The Winston Churchill Memorial Trust of Australia, 2008 in Zaretzky K and Flatau P</w:t>
      </w:r>
      <w:hyperlink r:id="rId49" w:history="1">
        <w:r w:rsidRPr="00FD6F73">
          <w:rPr>
            <w:rStyle w:val="Hyperlink"/>
          </w:rPr>
          <w:t xml:space="preserve">, </w:t>
        </w:r>
        <w:r w:rsidRPr="74B6247B">
          <w:rPr>
            <w:rStyle w:val="Hyperlink"/>
            <w:i/>
            <w:iCs/>
          </w:rPr>
          <w:t>The cost of homelessness and the net benefit of homelessness programs: a national study</w:t>
        </w:r>
      </w:hyperlink>
      <w:r>
        <w:t>, AHURI Final Report No. 218, 2013.</w:t>
      </w:r>
    </w:p>
  </w:footnote>
  <w:footnote w:id="47">
    <w:p w14:paraId="628A3321" w14:textId="72AF74B7" w:rsidR="00551032" w:rsidRPr="00AB2134" w:rsidRDefault="00551032">
      <w:pPr>
        <w:pStyle w:val="FootnoteText"/>
      </w:pPr>
      <w:r w:rsidRPr="00B7744F">
        <w:rPr>
          <w:rStyle w:val="FootnoteReference"/>
        </w:rPr>
        <w:footnoteRef/>
      </w:r>
      <w:r w:rsidRPr="00B7744F">
        <w:t xml:space="preserve"> Spinney A, Beer A, MacKenzie D, McNelis S, Meltzer A, Muir K, Peters A, and Valentine K, </w:t>
      </w:r>
      <w:hyperlink r:id="rId50" w:history="1">
        <w:r w:rsidRPr="00B7744F">
          <w:rPr>
            <w:rStyle w:val="Hyperlink"/>
            <w:i/>
          </w:rPr>
          <w:t>Ending homelessness in Australia: A redesigned homelessness service system</w:t>
        </w:r>
      </w:hyperlink>
      <w:r w:rsidRPr="00B7744F">
        <w:t>, AHURI, 2020</w:t>
      </w:r>
    </w:p>
  </w:footnote>
  <w:footnote w:id="48">
    <w:p w14:paraId="1CE8B402" w14:textId="77777777" w:rsidR="00551032" w:rsidRDefault="00551032" w:rsidP="00074FD2">
      <w:pPr>
        <w:pStyle w:val="FootnoteText"/>
      </w:pPr>
      <w:r w:rsidRPr="00074FD2">
        <w:rPr>
          <w:rStyle w:val="FootnoteReference"/>
        </w:rPr>
        <w:footnoteRef/>
      </w:r>
      <w:r w:rsidRPr="00074FD2">
        <w:t xml:space="preserve"> Morgan, M. et al. </w:t>
      </w:r>
      <w:hyperlink r:id="rId51" w:history="1">
        <w:r w:rsidRPr="00074FD2">
          <w:rPr>
            <w:rStyle w:val="Hyperlink"/>
            <w:i/>
          </w:rPr>
          <w:t>Indigenous lifeworlds, conditionality and housing outcomes</w:t>
        </w:r>
      </w:hyperlink>
      <w:r w:rsidRPr="00074FD2">
        <w:t>, AHURI, 2016.</w:t>
      </w:r>
    </w:p>
  </w:footnote>
  <w:footnote w:id="49">
    <w:p w14:paraId="420A85F6" w14:textId="77777777" w:rsidR="00551032" w:rsidRDefault="00551032" w:rsidP="000D1FCA">
      <w:pPr>
        <w:pStyle w:val="FootnoteText"/>
      </w:pPr>
      <w:r>
        <w:rPr>
          <w:rStyle w:val="FootnoteReference"/>
        </w:rPr>
        <w:footnoteRef/>
      </w:r>
      <w:r>
        <w:t xml:space="preserve"> </w:t>
      </w:r>
      <w:r w:rsidRPr="00706A80">
        <w:t>Census of Population and Housing, 2021, TableBuilder</w:t>
      </w:r>
    </w:p>
  </w:footnote>
  <w:footnote w:id="50">
    <w:p w14:paraId="14BA8554" w14:textId="77777777" w:rsidR="00551032" w:rsidRDefault="00551032" w:rsidP="000D1FCA">
      <w:pPr>
        <w:pStyle w:val="FootnoteText"/>
      </w:pPr>
      <w:r>
        <w:rPr>
          <w:rStyle w:val="FootnoteReference"/>
        </w:rPr>
        <w:footnoteRef/>
      </w:r>
      <w:r>
        <w:t xml:space="preserve"> </w:t>
      </w:r>
      <w:r w:rsidRPr="00706A80">
        <w:t>Census of Population and Housing, 2021, TableBuilder</w:t>
      </w:r>
    </w:p>
  </w:footnote>
  <w:footnote w:id="51">
    <w:p w14:paraId="264E7A62" w14:textId="7DDDB0D7" w:rsidR="00551032" w:rsidRDefault="00551032" w:rsidP="00AF6F67">
      <w:pPr>
        <w:pStyle w:val="FootnoteText"/>
      </w:pPr>
      <w:r>
        <w:rPr>
          <w:rStyle w:val="FootnoteReference"/>
        </w:rPr>
        <w:footnoteRef/>
      </w:r>
      <w:r>
        <w:t xml:space="preserve"> AIHW, </w:t>
      </w:r>
      <w:hyperlink r:id="rId52" w:history="1">
        <w:r w:rsidRPr="74B6247B">
          <w:rPr>
            <w:rStyle w:val="Hyperlink"/>
            <w:i/>
            <w:iCs/>
          </w:rPr>
          <w:t>Specialist homelessness services annual report 2021–22</w:t>
        </w:r>
      </w:hyperlink>
      <w:r>
        <w:t>, 2022.</w:t>
      </w:r>
    </w:p>
  </w:footnote>
  <w:footnote w:id="52">
    <w:p w14:paraId="2BB9CA49" w14:textId="77777777" w:rsidR="00551032" w:rsidRPr="004E4F4B" w:rsidRDefault="00551032" w:rsidP="00AF6F67">
      <w:pPr>
        <w:pStyle w:val="FootnoteText"/>
      </w:pPr>
      <w:r>
        <w:rPr>
          <w:rStyle w:val="FootnoteReference"/>
        </w:rPr>
        <w:footnoteRef/>
      </w:r>
      <w:r>
        <w:t xml:space="preserve"> Australian Department of Health and Aged Care (DoHAC), </w:t>
      </w:r>
      <w:hyperlink r:id="rId53" w:history="1">
        <w:r w:rsidRPr="001231F9">
          <w:rPr>
            <w:rStyle w:val="Hyperlink"/>
            <w:i/>
            <w:iCs/>
          </w:rPr>
          <w:t>Aboriginal and Torres Strait Islander Health Plan 2021–2031</w:t>
        </w:r>
      </w:hyperlink>
      <w:r w:rsidRPr="74B6247B">
        <w:rPr>
          <w:rStyle w:val="Hyperlink"/>
          <w:i/>
          <w:iCs/>
        </w:rPr>
        <w:t xml:space="preserve">, </w:t>
      </w:r>
      <w:r>
        <w:t>2021.</w:t>
      </w:r>
    </w:p>
  </w:footnote>
  <w:footnote w:id="53">
    <w:p w14:paraId="11920D57" w14:textId="77777777" w:rsidR="00551032" w:rsidRDefault="00551032" w:rsidP="00AF6F67">
      <w:pPr>
        <w:pStyle w:val="FootnoteText"/>
      </w:pPr>
      <w:r>
        <w:rPr>
          <w:rStyle w:val="FootnoteReference"/>
        </w:rPr>
        <w:footnoteRef/>
      </w:r>
      <w:r>
        <w:t xml:space="preserve"> PC, </w:t>
      </w:r>
      <w:hyperlink r:id="rId54" w:history="1">
        <w:r w:rsidRPr="74B6247B">
          <w:rPr>
            <w:rStyle w:val="Hyperlink"/>
            <w:i/>
            <w:iCs/>
          </w:rPr>
          <w:t>Socioeconomic outcome area 9</w:t>
        </w:r>
      </w:hyperlink>
      <w:r>
        <w:t>, 2021</w:t>
      </w:r>
    </w:p>
  </w:footnote>
  <w:footnote w:id="54">
    <w:p w14:paraId="53065407" w14:textId="77777777" w:rsidR="00551032" w:rsidRDefault="00551032" w:rsidP="009274D8">
      <w:pPr>
        <w:pStyle w:val="FootnoteText"/>
      </w:pPr>
      <w:r>
        <w:rPr>
          <w:rStyle w:val="FootnoteReference"/>
        </w:rPr>
        <w:footnoteRef/>
      </w:r>
      <w:r>
        <w:t xml:space="preserve"> PC, </w:t>
      </w:r>
      <w:hyperlink r:id="rId55" w:history="1">
        <w:r w:rsidRPr="74B6247B">
          <w:rPr>
            <w:rStyle w:val="Hyperlink"/>
            <w:i/>
            <w:iCs/>
          </w:rPr>
          <w:t>Socioeconomic outcome area 9</w:t>
        </w:r>
      </w:hyperlink>
      <w:r>
        <w:t>, 2021</w:t>
      </w:r>
    </w:p>
  </w:footnote>
  <w:footnote w:id="55">
    <w:p w14:paraId="541D4EA3" w14:textId="77777777" w:rsidR="00551032" w:rsidRDefault="00551032" w:rsidP="00074FD2">
      <w:pPr>
        <w:pStyle w:val="FootnoteText"/>
      </w:pPr>
      <w:r w:rsidRPr="0045B921">
        <w:rPr>
          <w:rStyle w:val="FootnoteReference"/>
        </w:rPr>
        <w:footnoteRef/>
      </w:r>
      <w:r>
        <w:t xml:space="preserve"> </w:t>
      </w:r>
      <w:r w:rsidRPr="00706A80">
        <w:t>Census of Population and Housing, 2021, TableBuilder</w:t>
      </w:r>
    </w:p>
  </w:footnote>
  <w:footnote w:id="56">
    <w:p w14:paraId="035EB110" w14:textId="77777777" w:rsidR="00551032" w:rsidRDefault="00551032" w:rsidP="00074FD2">
      <w:pPr>
        <w:pStyle w:val="FootnoteText"/>
      </w:pPr>
      <w:r w:rsidRPr="27C90680">
        <w:rPr>
          <w:rStyle w:val="FootnoteReference"/>
        </w:rPr>
        <w:footnoteRef/>
      </w:r>
      <w:r>
        <w:t xml:space="preserve"> </w:t>
      </w:r>
      <w:r w:rsidRPr="00706A80">
        <w:t>Census of Population and Housing, 2021, TableBuilder</w:t>
      </w:r>
      <w:r>
        <w:t>.</w:t>
      </w:r>
    </w:p>
  </w:footnote>
  <w:footnote w:id="57">
    <w:p w14:paraId="676A62FC" w14:textId="77777777" w:rsidR="00551032" w:rsidRDefault="00551032" w:rsidP="00247DA8">
      <w:pPr>
        <w:pStyle w:val="FootnoteText"/>
      </w:pPr>
      <w:r>
        <w:rPr>
          <w:rStyle w:val="FootnoteReference"/>
        </w:rPr>
        <w:footnoteRef/>
      </w:r>
      <w:r>
        <w:t xml:space="preserve"> PC</w:t>
      </w:r>
      <w:r w:rsidRPr="74B6247B">
        <w:rPr>
          <w:i/>
          <w:iCs/>
        </w:rPr>
        <w:t xml:space="preserve">, </w:t>
      </w:r>
      <w:hyperlink r:id="rId56" w:history="1">
        <w:r>
          <w:rPr>
            <w:rStyle w:val="Hyperlink"/>
            <w:i/>
            <w:iCs/>
          </w:rPr>
          <w:t xml:space="preserve">In need of repair: The </w:t>
        </w:r>
        <w:r w:rsidRPr="00882D1C">
          <w:rPr>
            <w:rStyle w:val="Hyperlink"/>
            <w:i/>
            <w:iCs/>
          </w:rPr>
          <w:t xml:space="preserve">National </w:t>
        </w:r>
        <w:r w:rsidRPr="74B6247B">
          <w:rPr>
            <w:rStyle w:val="Hyperlink"/>
            <w:i/>
            <w:iCs/>
          </w:rPr>
          <w:t>Housing and Homelessness Agreement</w:t>
        </w:r>
        <w:r>
          <w:rPr>
            <w:rStyle w:val="Hyperlink"/>
            <w:i/>
            <w:iCs/>
          </w:rPr>
          <w:t xml:space="preserve"> –</w:t>
        </w:r>
        <w:r w:rsidRPr="74B6247B">
          <w:rPr>
            <w:rStyle w:val="Hyperlink"/>
            <w:i/>
            <w:iCs/>
          </w:rPr>
          <w:t xml:space="preserve"> </w:t>
        </w:r>
        <w:r>
          <w:rPr>
            <w:rStyle w:val="Hyperlink"/>
            <w:i/>
            <w:iCs/>
          </w:rPr>
          <w:t>Study report</w:t>
        </w:r>
      </w:hyperlink>
      <w:r>
        <w:t>, 2022.</w:t>
      </w:r>
    </w:p>
  </w:footnote>
  <w:footnote w:id="58">
    <w:p w14:paraId="77643D27" w14:textId="77777777" w:rsidR="00551032" w:rsidRDefault="00551032" w:rsidP="00247DA8">
      <w:pPr>
        <w:pStyle w:val="FootnoteText"/>
      </w:pPr>
      <w:r>
        <w:rPr>
          <w:rStyle w:val="FootnoteReference"/>
        </w:rPr>
        <w:footnoteRef/>
      </w:r>
      <w:r>
        <w:t xml:space="preserve"> Northern Territory Government, </w:t>
      </w:r>
      <w:hyperlink r:id="rId57" w:history="1">
        <w:r w:rsidRPr="00391D82">
          <w:rPr>
            <w:rStyle w:val="Hyperlink"/>
            <w:i/>
          </w:rPr>
          <w:t>Homelessness in the Northern Territory: Northern Territory submission to the House of Representatives Standing Committee on Social Policy and Legal Affairs Inquiry into Homelessness in Australia</w:t>
        </w:r>
      </w:hyperlink>
      <w:r>
        <w:t>, 2020.</w:t>
      </w:r>
    </w:p>
  </w:footnote>
  <w:footnote w:id="59">
    <w:p w14:paraId="5B8AF8AD" w14:textId="77777777" w:rsidR="00551032" w:rsidRDefault="00551032" w:rsidP="00247DA8">
      <w:pPr>
        <w:pStyle w:val="FootnoteText"/>
      </w:pPr>
      <w:r>
        <w:rPr>
          <w:rStyle w:val="FootnoteReference"/>
        </w:rPr>
        <w:footnoteRef/>
      </w:r>
      <w:r>
        <w:t xml:space="preserve"> SEARMS Aboriginal Corporation, </w:t>
      </w:r>
      <w:hyperlink r:id="rId58" w:history="1">
        <w:r w:rsidRPr="00752D71">
          <w:rPr>
            <w:rStyle w:val="Hyperlink"/>
            <w:i/>
          </w:rPr>
          <w:t>Submission to the Productivity Commission’s Housing and Homelessness Agreement Review</w:t>
        </w:r>
      </w:hyperlink>
      <w:r>
        <w:t>, 2022</w:t>
      </w:r>
    </w:p>
  </w:footnote>
  <w:footnote w:id="60">
    <w:p w14:paraId="7D72FA42" w14:textId="5ACB14D4" w:rsidR="00551032" w:rsidRDefault="00551032" w:rsidP="00247DA8">
      <w:pPr>
        <w:pStyle w:val="FootnoteText"/>
      </w:pPr>
      <w:r>
        <w:rPr>
          <w:rStyle w:val="FootnoteReference"/>
        </w:rPr>
        <w:footnoteRef/>
      </w:r>
      <w:r>
        <w:t xml:space="preserve"> Lea et al, ‘</w:t>
      </w:r>
      <w:hyperlink r:id="rId59" w:history="1">
        <w:r w:rsidRPr="00691940">
          <w:rPr>
            <w:rStyle w:val="Hyperlink"/>
          </w:rPr>
          <w:t>Sustainable Indigenous housing in regional and remote Australia’</w:t>
        </w:r>
      </w:hyperlink>
      <w:r>
        <w:t xml:space="preserve">, </w:t>
      </w:r>
      <w:r w:rsidRPr="003563B7">
        <w:t>AHURI,</w:t>
      </w:r>
      <w:r w:rsidRPr="74B6247B">
        <w:rPr>
          <w:i/>
          <w:iCs/>
        </w:rPr>
        <w:t xml:space="preserve"> </w:t>
      </w:r>
      <w:r>
        <w:t>2021.</w:t>
      </w:r>
    </w:p>
  </w:footnote>
  <w:footnote w:id="61">
    <w:p w14:paraId="3EF7A805" w14:textId="77777777" w:rsidR="00551032" w:rsidRDefault="00551032" w:rsidP="00247DA8">
      <w:pPr>
        <w:pStyle w:val="FootnoteText"/>
      </w:pPr>
      <w:r>
        <w:rPr>
          <w:rStyle w:val="FootnoteReference"/>
        </w:rPr>
        <w:footnoteRef/>
      </w:r>
      <w:r>
        <w:t xml:space="preserve"> Lowitja Institute, </w:t>
      </w:r>
      <w:hyperlink r:id="rId60" w:history="1">
        <w:r w:rsidRPr="00752D71">
          <w:rPr>
            <w:rStyle w:val="Hyperlink"/>
            <w:i/>
          </w:rPr>
          <w:t>Submission to the Productivity Commission’s Housing and Homelessness Agreement Review</w:t>
        </w:r>
      </w:hyperlink>
      <w:r>
        <w:t>, 2022.</w:t>
      </w:r>
    </w:p>
  </w:footnote>
  <w:footnote w:id="62">
    <w:p w14:paraId="3DF58CFA" w14:textId="77777777" w:rsidR="00551032" w:rsidRPr="00367017" w:rsidRDefault="00551032" w:rsidP="00AF6F67">
      <w:pPr>
        <w:pStyle w:val="FootnoteText"/>
      </w:pPr>
      <w:r>
        <w:rPr>
          <w:rStyle w:val="FootnoteReference"/>
        </w:rPr>
        <w:footnoteRef/>
      </w:r>
      <w:r>
        <w:t xml:space="preserve"> PC, </w:t>
      </w:r>
      <w:hyperlink r:id="rId61" w:history="1">
        <w:r w:rsidRPr="74B6247B">
          <w:rPr>
            <w:rStyle w:val="Hyperlink"/>
            <w:i/>
            <w:iCs/>
          </w:rPr>
          <w:t>Report on Government Services</w:t>
        </w:r>
      </w:hyperlink>
      <w:r>
        <w:t>, 2023.</w:t>
      </w:r>
    </w:p>
  </w:footnote>
  <w:footnote w:id="63">
    <w:p w14:paraId="102E1F66" w14:textId="77777777" w:rsidR="00551032" w:rsidRDefault="00551032" w:rsidP="00AF6F67">
      <w:pPr>
        <w:pStyle w:val="FootnoteText"/>
      </w:pPr>
      <w:r>
        <w:rPr>
          <w:rStyle w:val="FootnoteReference"/>
        </w:rPr>
        <w:footnoteRef/>
      </w:r>
      <w:r>
        <w:t xml:space="preserve"> PC, </w:t>
      </w:r>
      <w:hyperlink r:id="rId62"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t>, 2022.</w:t>
      </w:r>
    </w:p>
  </w:footnote>
  <w:footnote w:id="64">
    <w:p w14:paraId="547757F5" w14:textId="3A16BC91" w:rsidR="00551032" w:rsidRDefault="00551032" w:rsidP="00AF6F67">
      <w:pPr>
        <w:pStyle w:val="FootnoteText"/>
      </w:pPr>
      <w:r>
        <w:rPr>
          <w:rStyle w:val="FootnoteReference"/>
        </w:rPr>
        <w:footnoteRef/>
      </w:r>
      <w:r>
        <w:t xml:space="preserve"> Brackertz, N., Davison, J. and Wilkinson, A., </w:t>
      </w:r>
      <w:hyperlink r:id="rId63" w:history="1">
        <w:r w:rsidRPr="00FC13A7">
          <w:rPr>
            <w:rStyle w:val="Hyperlink"/>
            <w:i/>
            <w:iCs/>
          </w:rPr>
          <w:t>How can Aboriginal housing in NSW and the Aboriginal Housing Office provide the best opportunity for Aboriginal people?</w:t>
        </w:r>
      </w:hyperlink>
      <w:r w:rsidRPr="74B6247B">
        <w:rPr>
          <w:i/>
          <w:iCs/>
        </w:rPr>
        <w:t>,</w:t>
      </w:r>
      <w:r>
        <w:t xml:space="preserve"> AHURI for Aboriginal Housing Office, NSW, 2017.</w:t>
      </w:r>
    </w:p>
  </w:footnote>
  <w:footnote w:id="65">
    <w:p w14:paraId="01762BEC" w14:textId="75A1DBEB" w:rsidR="00551032" w:rsidRDefault="00551032">
      <w:pPr>
        <w:pStyle w:val="FootnoteText"/>
      </w:pPr>
      <w:r>
        <w:rPr>
          <w:rStyle w:val="FootnoteReference"/>
        </w:rPr>
        <w:footnoteRef/>
      </w:r>
      <w:r>
        <w:t xml:space="preserve"> Brackertz, N., Davison, J. and Wilkinson, A., </w:t>
      </w:r>
      <w:hyperlink r:id="rId64" w:history="1">
        <w:r w:rsidRPr="00FC13A7">
          <w:rPr>
            <w:rStyle w:val="Hyperlink"/>
            <w:i/>
            <w:iCs/>
          </w:rPr>
          <w:t>How can Aboriginal housing in NSW and the Aboriginal Housing Office provide the best opportunity for Aboriginal people?</w:t>
        </w:r>
      </w:hyperlink>
      <w:r w:rsidRPr="74B6247B">
        <w:rPr>
          <w:i/>
          <w:iCs/>
        </w:rPr>
        <w:t>,</w:t>
      </w:r>
      <w:r>
        <w:t xml:space="preserve"> AHURI for Aboriginal Housing Office, NSW, 2017.</w:t>
      </w:r>
    </w:p>
  </w:footnote>
  <w:footnote w:id="66">
    <w:p w14:paraId="2D7FAF03" w14:textId="77777777" w:rsidR="00551032" w:rsidRDefault="00551032">
      <w:pPr>
        <w:pStyle w:val="FootnoteText"/>
      </w:pPr>
      <w:r>
        <w:rPr>
          <w:rStyle w:val="FootnoteReference"/>
        </w:rPr>
        <w:footnoteRef/>
      </w:r>
      <w:r>
        <w:t xml:space="preserve"> </w:t>
      </w:r>
      <w:r w:rsidRPr="74B6247B">
        <w:rPr>
          <w:i/>
          <w:iCs/>
        </w:rPr>
        <w:t>Housing Sector Strengthening Plan</w:t>
      </w:r>
      <w:r>
        <w:t>, 2022.</w:t>
      </w:r>
    </w:p>
  </w:footnote>
  <w:footnote w:id="67">
    <w:p w14:paraId="5551F014" w14:textId="7635D404" w:rsidR="00551032" w:rsidRDefault="00551032" w:rsidP="008F31A2">
      <w:pPr>
        <w:pStyle w:val="FootnoteText"/>
      </w:pPr>
      <w:r>
        <w:rPr>
          <w:rStyle w:val="FootnoteReference"/>
        </w:rPr>
        <w:footnoteRef/>
      </w:r>
      <w:r>
        <w:t xml:space="preserve"> AIHW, </w:t>
      </w:r>
      <w:hyperlink r:id="rId65" w:history="1">
        <w:r w:rsidRPr="00691940">
          <w:rPr>
            <w:rStyle w:val="Hyperlink"/>
            <w:i/>
            <w:iCs/>
          </w:rPr>
          <w:t>Housing assistance</w:t>
        </w:r>
      </w:hyperlink>
      <w:r>
        <w:t>, Glossary, viewed 11 April 2023.</w:t>
      </w:r>
    </w:p>
  </w:footnote>
  <w:footnote w:id="68">
    <w:p w14:paraId="1669DB5D" w14:textId="65E94594" w:rsidR="00551032" w:rsidRDefault="00551032" w:rsidP="002A75EA">
      <w:pPr>
        <w:pStyle w:val="FootnoteText"/>
      </w:pPr>
      <w:r>
        <w:rPr>
          <w:rStyle w:val="FootnoteReference"/>
        </w:rPr>
        <w:footnoteRef/>
      </w:r>
      <w:r>
        <w:t xml:space="preserve"> AIHW, </w:t>
      </w:r>
      <w:hyperlink r:id="rId66" w:history="1">
        <w:r w:rsidRPr="00691940">
          <w:rPr>
            <w:rStyle w:val="Hyperlink"/>
            <w:i/>
            <w:iCs/>
          </w:rPr>
          <w:t>Housing assistance in Australia</w:t>
        </w:r>
      </w:hyperlink>
      <w:r>
        <w:t>, 2022.</w:t>
      </w:r>
    </w:p>
  </w:footnote>
  <w:footnote w:id="69">
    <w:p w14:paraId="76113285" w14:textId="51B89EBF" w:rsidR="00551032" w:rsidRDefault="00551032" w:rsidP="002A75EA">
      <w:pPr>
        <w:pStyle w:val="FootnoteText"/>
      </w:pPr>
      <w:r>
        <w:rPr>
          <w:rStyle w:val="FootnoteReference"/>
        </w:rPr>
        <w:footnoteRef/>
      </w:r>
      <w:r>
        <w:t xml:space="preserve"> AHURI, </w:t>
      </w:r>
      <w:hyperlink r:id="rId67" w:history="1">
        <w:r w:rsidRPr="009D6442">
          <w:rPr>
            <w:rStyle w:val="Hyperlink"/>
            <w:i/>
            <w:iCs/>
          </w:rPr>
          <w:t>What is the difference between social housing and affordable housing – and why do they matter?</w:t>
        </w:r>
      </w:hyperlink>
      <w:r>
        <w:t xml:space="preserve">, 2023. </w:t>
      </w:r>
    </w:p>
  </w:footnote>
  <w:footnote w:id="70">
    <w:p w14:paraId="0CCC1590" w14:textId="3B5FFE83" w:rsidR="00551032" w:rsidRDefault="00551032" w:rsidP="002A75EA">
      <w:pPr>
        <w:pStyle w:val="FootnoteText"/>
      </w:pPr>
      <w:r>
        <w:rPr>
          <w:rStyle w:val="FootnoteReference"/>
        </w:rPr>
        <w:footnoteRef/>
      </w:r>
      <w:r>
        <w:t xml:space="preserve"> AIHW, </w:t>
      </w:r>
      <w:hyperlink r:id="rId68" w:history="1">
        <w:r w:rsidRPr="00691940">
          <w:rPr>
            <w:rStyle w:val="Hyperlink"/>
            <w:i/>
            <w:iCs/>
          </w:rPr>
          <w:t>Housing assistance in Australia</w:t>
        </w:r>
      </w:hyperlink>
      <w:r>
        <w:t>, 2019.</w:t>
      </w:r>
    </w:p>
  </w:footnote>
  <w:footnote w:id="71">
    <w:p w14:paraId="708D178D" w14:textId="74621274" w:rsidR="00551032" w:rsidRDefault="00551032" w:rsidP="002A75EA">
      <w:pPr>
        <w:pStyle w:val="FootnoteText"/>
      </w:pPr>
      <w:r>
        <w:rPr>
          <w:rStyle w:val="FootnoteReference"/>
        </w:rPr>
        <w:footnoteRef/>
      </w:r>
      <w:r>
        <w:t xml:space="preserve"> AIHW, </w:t>
      </w:r>
      <w:r w:rsidRPr="002A7A39">
        <w:t>Housing assistance in Australia</w:t>
      </w:r>
      <w:r>
        <w:t xml:space="preserve">, 2019; </w:t>
      </w:r>
      <w:r w:rsidRPr="74B6247B">
        <w:rPr>
          <w:i/>
          <w:iCs/>
        </w:rPr>
        <w:t xml:space="preserve">AHURI, </w:t>
      </w:r>
      <w:hyperlink r:id="rId69" w:history="1">
        <w:r w:rsidRPr="009D6442">
          <w:rPr>
            <w:rStyle w:val="Hyperlink"/>
            <w:i/>
            <w:iCs/>
          </w:rPr>
          <w:t>Understanding the ‘residualisation’ of social housing</w:t>
        </w:r>
      </w:hyperlink>
      <w:r>
        <w:t>, 2019.</w:t>
      </w:r>
    </w:p>
  </w:footnote>
  <w:footnote w:id="72">
    <w:p w14:paraId="6FCD7322" w14:textId="58BD9B76" w:rsidR="00551032" w:rsidRPr="002600D7" w:rsidRDefault="00551032" w:rsidP="002A75EA">
      <w:pPr>
        <w:pStyle w:val="FootnoteText"/>
      </w:pPr>
      <w:r>
        <w:rPr>
          <w:rStyle w:val="FootnoteReference"/>
        </w:rPr>
        <w:footnoteRef/>
      </w:r>
      <w:r>
        <w:t xml:space="preserve"> ABS, </w:t>
      </w:r>
      <w:hyperlink r:id="rId70" w:history="1">
        <w:r w:rsidRPr="74B6247B">
          <w:rPr>
            <w:rStyle w:val="Hyperlink"/>
            <w:i/>
            <w:iCs/>
          </w:rPr>
          <w:t>National, state and territory population, June 2021</w:t>
        </w:r>
      </w:hyperlink>
      <w:r>
        <w:t xml:space="preserve">, 2021, accessed 22 February 2023; ABS, </w:t>
      </w:r>
      <w:hyperlink r:id="rId71" w:history="1">
        <w:r w:rsidRPr="74B6247B">
          <w:rPr>
            <w:rStyle w:val="Hyperlink"/>
            <w:i/>
            <w:iCs/>
          </w:rPr>
          <w:t>2011 Australia, Census All persons QuickStats | Australian Bureau of Statistics (abs.gov.au)</w:t>
        </w:r>
      </w:hyperlink>
      <w:r>
        <w:t>, 2011, accessed 22 February 2023</w:t>
      </w:r>
      <w:r w:rsidRPr="002600D7">
        <w:t>.</w:t>
      </w:r>
    </w:p>
  </w:footnote>
  <w:footnote w:id="73">
    <w:p w14:paraId="37C6C362" w14:textId="77777777" w:rsidR="00551032" w:rsidRPr="002600D7" w:rsidRDefault="00551032" w:rsidP="002A75EA">
      <w:pPr>
        <w:pStyle w:val="FootnoteText"/>
      </w:pPr>
      <w:r w:rsidRPr="002600D7">
        <w:rPr>
          <w:rStyle w:val="FootnoteReference"/>
        </w:rPr>
        <w:footnoteRef/>
      </w:r>
      <w:r w:rsidRPr="002600D7">
        <w:t xml:space="preserve"> AIHW, ‘</w:t>
      </w:r>
      <w:hyperlink r:id="rId72" w:history="1">
        <w:r w:rsidRPr="002600D7">
          <w:rPr>
            <w:rStyle w:val="Hyperlink"/>
          </w:rPr>
          <w:t>Slow growth in social housing dwellings across Australia</w:t>
        </w:r>
      </w:hyperlink>
      <w:r w:rsidRPr="002600D7">
        <w:t>’, 2022.</w:t>
      </w:r>
    </w:p>
  </w:footnote>
  <w:footnote w:id="74">
    <w:p w14:paraId="5F424CF5" w14:textId="0E9C91B7" w:rsidR="00551032" w:rsidRPr="00F8466E" w:rsidRDefault="00551032" w:rsidP="002600D7">
      <w:pPr>
        <w:pStyle w:val="FootnoteText"/>
      </w:pPr>
      <w:r w:rsidRPr="002600D7">
        <w:rPr>
          <w:rStyle w:val="FootnoteReference"/>
        </w:rPr>
        <w:footnoteRef/>
      </w:r>
      <w:r w:rsidRPr="002600D7">
        <w:t xml:space="preserve"> ABS, Housing Mobility and Conditions, 2022, in </w:t>
      </w:r>
      <w:hyperlink r:id="rId73"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rsidRPr="002600D7">
        <w:t>, Productivity Commission, 2022.</w:t>
      </w:r>
    </w:p>
  </w:footnote>
  <w:footnote w:id="75">
    <w:p w14:paraId="0D8F425A" w14:textId="2D7637E0" w:rsidR="00551032" w:rsidRPr="00F8466E" w:rsidRDefault="00551032" w:rsidP="00074FD2">
      <w:pPr>
        <w:pStyle w:val="FootnoteText"/>
      </w:pPr>
      <w:r>
        <w:rPr>
          <w:rStyle w:val="FootnoteReference"/>
        </w:rPr>
        <w:footnoteRef/>
      </w:r>
      <w:r>
        <w:t xml:space="preserve"> </w:t>
      </w:r>
      <w:r w:rsidRPr="00453E5B">
        <w:t xml:space="preserve">ABS, Housing Mobility and Conditions, 2022, in </w:t>
      </w:r>
      <w:hyperlink r:id="rId74"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rsidRPr="00453E5B">
        <w:t>, Productivity Commission, 2022</w:t>
      </w:r>
      <w:r>
        <w:t>.</w:t>
      </w:r>
    </w:p>
  </w:footnote>
  <w:footnote w:id="76">
    <w:p w14:paraId="4BF12706" w14:textId="77777777" w:rsidR="00551032" w:rsidRDefault="00551032" w:rsidP="002A75EA">
      <w:pPr>
        <w:pStyle w:val="FootnoteText"/>
      </w:pPr>
      <w:r>
        <w:rPr>
          <w:rStyle w:val="FootnoteReference"/>
        </w:rPr>
        <w:footnoteRef/>
      </w:r>
      <w:r>
        <w:t xml:space="preserve"> PC, </w:t>
      </w:r>
      <w:hyperlink r:id="rId75"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t>, 2022.</w:t>
      </w:r>
    </w:p>
  </w:footnote>
  <w:footnote w:id="77">
    <w:p w14:paraId="7D72F116" w14:textId="77777777" w:rsidR="00551032" w:rsidRDefault="00551032" w:rsidP="00597296">
      <w:pPr>
        <w:pStyle w:val="FootnoteText"/>
      </w:pPr>
      <w:r>
        <w:rPr>
          <w:rStyle w:val="FootnoteReference"/>
        </w:rPr>
        <w:footnoteRef/>
      </w:r>
      <w:r>
        <w:t xml:space="preserve"> PC, </w:t>
      </w:r>
      <w:hyperlink r:id="rId76"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t>, 2022.</w:t>
      </w:r>
    </w:p>
  </w:footnote>
  <w:footnote w:id="78">
    <w:p w14:paraId="3D97C603" w14:textId="14A03BB9" w:rsidR="00551032" w:rsidRDefault="00551032" w:rsidP="002A75EA">
      <w:pPr>
        <w:pStyle w:val="FootnoteText"/>
      </w:pPr>
      <w:r>
        <w:rPr>
          <w:rStyle w:val="FootnoteReference"/>
        </w:rPr>
        <w:footnoteRef/>
      </w:r>
      <w:r>
        <w:t xml:space="preserve"> PC, </w:t>
      </w:r>
      <w:hyperlink r:id="rId77"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t>, 2022.</w:t>
      </w:r>
    </w:p>
  </w:footnote>
  <w:footnote w:id="79">
    <w:p w14:paraId="02944606" w14:textId="77777777" w:rsidR="00551032" w:rsidRDefault="00551032" w:rsidP="002A75EA">
      <w:pPr>
        <w:pStyle w:val="FootnoteText"/>
      </w:pPr>
      <w:r>
        <w:rPr>
          <w:rStyle w:val="FootnoteReference"/>
        </w:rPr>
        <w:footnoteRef/>
      </w:r>
      <w:r>
        <w:t xml:space="preserve"> AIHW, </w:t>
      </w:r>
      <w:hyperlink r:id="rId78" w:history="1">
        <w:r>
          <w:rPr>
            <w:rStyle w:val="Hyperlink"/>
          </w:rPr>
          <w:t>Housing assistance in Australia, About – Australian Institute of Health and Welfare</w:t>
        </w:r>
      </w:hyperlink>
      <w:r>
        <w:t>, 2022.</w:t>
      </w:r>
    </w:p>
  </w:footnote>
  <w:footnote w:id="80">
    <w:p w14:paraId="0D4EFAFF" w14:textId="77777777" w:rsidR="00551032" w:rsidRDefault="00551032" w:rsidP="002A75EA">
      <w:pPr>
        <w:pStyle w:val="FootnoteText"/>
      </w:pPr>
      <w:r>
        <w:rPr>
          <w:rStyle w:val="FootnoteReference"/>
        </w:rPr>
        <w:footnoteRef/>
      </w:r>
      <w:r>
        <w:t xml:space="preserve"> Pawson H, Lilley D, </w:t>
      </w:r>
      <w:hyperlink r:id="rId79" w:history="1">
        <w:r w:rsidRPr="002B62BE">
          <w:rPr>
            <w:rStyle w:val="Hyperlink"/>
            <w:i/>
            <w:iCs/>
          </w:rPr>
          <w:t>Managing access to social housing in Australia</w:t>
        </w:r>
        <w:r>
          <w:rPr>
            <w:rStyle w:val="Hyperlink"/>
            <w:i/>
            <w:iCs/>
          </w:rPr>
          <w:t>: U</w:t>
        </w:r>
        <w:r w:rsidRPr="002B62BE">
          <w:rPr>
            <w:rStyle w:val="Hyperlink"/>
            <w:i/>
            <w:iCs/>
          </w:rPr>
          <w:t>npacking policy frameworks and service provision outcomes</w:t>
        </w:r>
      </w:hyperlink>
      <w:r w:rsidRPr="005E6C13">
        <w:rPr>
          <w:rStyle w:val="Hyperlink"/>
        </w:rPr>
        <w:t>,</w:t>
      </w:r>
      <w:r>
        <w:t xml:space="preserve"> University of New South Wales (UNSW) City Futures Research Centre, 2022</w:t>
      </w:r>
      <w:r w:rsidRPr="00BB4ED6">
        <w:t>.</w:t>
      </w:r>
    </w:p>
  </w:footnote>
  <w:footnote w:id="81">
    <w:p w14:paraId="29FFBF90" w14:textId="3C93D1AA" w:rsidR="00551032" w:rsidRDefault="00551032" w:rsidP="002A75EA">
      <w:pPr>
        <w:pStyle w:val="FootnoteText"/>
      </w:pPr>
      <w:r>
        <w:rPr>
          <w:rStyle w:val="FootnoteReference"/>
        </w:rPr>
        <w:footnoteRef/>
      </w:r>
      <w:r>
        <w:t xml:space="preserve"> Van den Nouwelant R et al</w:t>
      </w:r>
      <w:hyperlink r:id="rId80" w:history="1">
        <w:r w:rsidRPr="003103FB">
          <w:rPr>
            <w:rStyle w:val="Hyperlink"/>
          </w:rPr>
          <w:t xml:space="preserve">. </w:t>
        </w:r>
        <w:r w:rsidRPr="003103FB">
          <w:rPr>
            <w:rStyle w:val="Hyperlink"/>
            <w:i/>
            <w:iCs/>
          </w:rPr>
          <w:t>Quantifying Australia’s unmet housing need</w:t>
        </w:r>
      </w:hyperlink>
      <w:r>
        <w:t>, Prepared for the Community Housing Industry Association (HIA), 2022.</w:t>
      </w:r>
    </w:p>
  </w:footnote>
  <w:footnote w:id="82">
    <w:p w14:paraId="5364C740" w14:textId="448AF7E0" w:rsidR="00551032" w:rsidRDefault="00551032" w:rsidP="002A75EA">
      <w:pPr>
        <w:pStyle w:val="FootnoteText"/>
      </w:pPr>
      <w:r>
        <w:rPr>
          <w:rStyle w:val="FootnoteReference"/>
        </w:rPr>
        <w:footnoteRef/>
      </w:r>
      <w:r>
        <w:t xml:space="preserve"> Lawson J, et al</w:t>
      </w:r>
      <w:r w:rsidRPr="74B6247B">
        <w:rPr>
          <w:i/>
          <w:iCs/>
        </w:rPr>
        <w:t xml:space="preserve">., </w:t>
      </w:r>
      <w:hyperlink r:id="rId81" w:history="1">
        <w:r w:rsidRPr="003103FB">
          <w:rPr>
            <w:rStyle w:val="Hyperlink"/>
            <w:i/>
            <w:iCs/>
          </w:rPr>
          <w:t>Social housing as infrastructure: an investment pathway</w:t>
        </w:r>
      </w:hyperlink>
      <w:r>
        <w:t>, AHURI Final Report No. 306, 2018.</w:t>
      </w:r>
    </w:p>
  </w:footnote>
  <w:footnote w:id="83">
    <w:p w14:paraId="46C239A3" w14:textId="1012CA7C" w:rsidR="00551032" w:rsidRDefault="00551032">
      <w:pPr>
        <w:pStyle w:val="FootnoteText"/>
      </w:pPr>
      <w:r>
        <w:rPr>
          <w:rStyle w:val="FootnoteReference"/>
        </w:rPr>
        <w:footnoteRef/>
      </w:r>
      <w:r>
        <w:t xml:space="preserve"> Levin, I., Tually, S., De Vries, J., Kollmann, T., Stone, W. and Goodwin-Smith, I, </w:t>
      </w:r>
      <w:hyperlink r:id="rId82" w:history="1">
        <w:r w:rsidRPr="003103FB">
          <w:rPr>
            <w:rStyle w:val="Hyperlink"/>
            <w:i/>
          </w:rPr>
          <w:t>Innovations in stock matching and allocations: the social housing challenge</w:t>
        </w:r>
      </w:hyperlink>
      <w:r w:rsidRPr="00037E27">
        <w:rPr>
          <w:i/>
        </w:rPr>
        <w:t>,</w:t>
      </w:r>
      <w:r>
        <w:t xml:space="preserve"> AHURI Final Report No. 394, 2023</w:t>
      </w:r>
    </w:p>
  </w:footnote>
  <w:footnote w:id="84">
    <w:p w14:paraId="61F357E1" w14:textId="1493317F" w:rsidR="00551032" w:rsidRDefault="00551032" w:rsidP="002A75EA">
      <w:pPr>
        <w:pStyle w:val="FootnoteText"/>
      </w:pPr>
      <w:r>
        <w:rPr>
          <w:rStyle w:val="FootnoteReference"/>
        </w:rPr>
        <w:footnoteRef/>
      </w:r>
      <w:r>
        <w:t xml:space="preserve"> AIHW, </w:t>
      </w:r>
      <w:hyperlink r:id="rId83" w:history="1">
        <w:r w:rsidRPr="0048654D">
          <w:rPr>
            <w:rStyle w:val="Hyperlink"/>
            <w:i/>
            <w:iCs/>
          </w:rPr>
          <w:t>Housing assistance in Australia, Suitability of dwelling size</w:t>
        </w:r>
      </w:hyperlink>
      <w:r>
        <w:t xml:space="preserve">, accessed 23 March 2023. </w:t>
      </w:r>
    </w:p>
  </w:footnote>
  <w:footnote w:id="85">
    <w:p w14:paraId="4F7F3545" w14:textId="288983A2" w:rsidR="00551032" w:rsidRDefault="00551032" w:rsidP="002A75EA">
      <w:pPr>
        <w:pStyle w:val="FootnoteText"/>
      </w:pPr>
      <w:r>
        <w:rPr>
          <w:rStyle w:val="FootnoteReference"/>
        </w:rPr>
        <w:footnoteRef/>
      </w:r>
      <w:r>
        <w:t xml:space="preserve"> AIHW, </w:t>
      </w:r>
      <w:hyperlink r:id="rId84" w:history="1">
        <w:r w:rsidR="0048654D" w:rsidRPr="0048654D">
          <w:rPr>
            <w:rStyle w:val="Hyperlink"/>
            <w:i/>
            <w:iCs/>
          </w:rPr>
          <w:t>Housing assistance in Australia, Suitability of dwelling size</w:t>
        </w:r>
      </w:hyperlink>
      <w:r>
        <w:t xml:space="preserve">, accessed 23 March 2023. </w:t>
      </w:r>
    </w:p>
  </w:footnote>
  <w:footnote w:id="86">
    <w:p w14:paraId="5E2B6C6F" w14:textId="3E8BA256" w:rsidR="00551032" w:rsidRDefault="00551032" w:rsidP="002A75EA">
      <w:pPr>
        <w:pStyle w:val="FootnoteText"/>
      </w:pPr>
      <w:r>
        <w:rPr>
          <w:rStyle w:val="FootnoteReference"/>
        </w:rPr>
        <w:footnoteRef/>
      </w:r>
      <w:r>
        <w:t xml:space="preserve"> AIHW, </w:t>
      </w:r>
      <w:hyperlink r:id="rId85" w:history="1">
        <w:r w:rsidR="0048654D" w:rsidRPr="0048654D">
          <w:rPr>
            <w:rStyle w:val="Hyperlink"/>
            <w:i/>
            <w:iCs/>
          </w:rPr>
          <w:t>Housing assistance in Australia, Suitability of dwelling size</w:t>
        </w:r>
      </w:hyperlink>
      <w:r>
        <w:t xml:space="preserve">, accessed 23 March 2023. </w:t>
      </w:r>
    </w:p>
  </w:footnote>
  <w:footnote w:id="87">
    <w:p w14:paraId="42EBCC65" w14:textId="0FFDCE81" w:rsidR="00551032" w:rsidRDefault="00551032" w:rsidP="002A75EA">
      <w:pPr>
        <w:pStyle w:val="FootnoteText"/>
      </w:pPr>
      <w:r>
        <w:rPr>
          <w:rStyle w:val="FootnoteReference"/>
        </w:rPr>
        <w:footnoteRef/>
      </w:r>
      <w:r>
        <w:t xml:space="preserve"> Liu, Marting and Easthope, </w:t>
      </w:r>
      <w:hyperlink r:id="rId86" w:history="1">
        <w:r w:rsidRPr="00691940">
          <w:rPr>
            <w:rStyle w:val="Hyperlink"/>
            <w:i/>
            <w:iCs/>
          </w:rPr>
          <w:t>Poor-quality housing and low-income households: review of evidence and options for reform</w:t>
        </w:r>
      </w:hyperlink>
      <w:r>
        <w:t>, UNSW City Futures Research Centre, 2019.</w:t>
      </w:r>
    </w:p>
  </w:footnote>
  <w:footnote w:id="88">
    <w:p w14:paraId="6B0D1202" w14:textId="77777777" w:rsidR="00551032" w:rsidRPr="0019698A" w:rsidRDefault="00551032" w:rsidP="002A75EA">
      <w:pPr>
        <w:pStyle w:val="FootnoteText"/>
        <w:rPr>
          <w:b/>
          <w:bCs/>
        </w:rPr>
      </w:pPr>
      <w:r>
        <w:rPr>
          <w:rStyle w:val="FootnoteReference"/>
        </w:rPr>
        <w:footnoteRef/>
      </w:r>
      <w:r>
        <w:t xml:space="preserve"> PC</w:t>
      </w:r>
      <w:r w:rsidRPr="0019698A">
        <w:t xml:space="preserve">, </w:t>
      </w:r>
      <w:hyperlink r:id="rId87" w:history="1">
        <w:r w:rsidRPr="009C3FCF">
          <w:rPr>
            <w:rStyle w:val="Hyperlink"/>
            <w:i/>
            <w:iCs/>
          </w:rPr>
          <w:t>Report on Government Services 2023 – section 18 Housing</w:t>
        </w:r>
      </w:hyperlink>
      <w:r>
        <w:rPr>
          <w:i/>
          <w:iCs/>
        </w:rPr>
        <w:t xml:space="preserve">, </w:t>
      </w:r>
      <w:r w:rsidRPr="00316AA1">
        <w:t>Tables 18A.36, 18A.37, 18A.38, 8A.39</w:t>
      </w:r>
      <w:r w:rsidRPr="0019698A">
        <w:t>, 2023, accessed 22 February 2023.</w:t>
      </w:r>
    </w:p>
  </w:footnote>
  <w:footnote w:id="89">
    <w:p w14:paraId="6F78D654" w14:textId="7A1E8998" w:rsidR="00551032" w:rsidRDefault="00551032" w:rsidP="00403ACD">
      <w:pPr>
        <w:pStyle w:val="FootnoteText"/>
      </w:pPr>
      <w:r w:rsidRPr="00AD526E">
        <w:rPr>
          <w:rStyle w:val="FootnoteReference"/>
        </w:rPr>
        <w:footnoteRef/>
      </w:r>
      <w:r w:rsidRPr="00AD526E">
        <w:t xml:space="preserve"> </w:t>
      </w:r>
      <w:r>
        <w:t xml:space="preserve">AIHW, </w:t>
      </w:r>
      <w:hyperlink r:id="rId88" w:history="1">
        <w:r w:rsidRPr="0048654D">
          <w:rPr>
            <w:rStyle w:val="Hyperlink"/>
            <w:i/>
          </w:rPr>
          <w:t>Aboriginal and Torres Strait Islander Health Performance Framework 2014 report</w:t>
        </w:r>
      </w:hyperlink>
      <w:r>
        <w:t>, Canberra, 2014</w:t>
      </w:r>
      <w:r w:rsidRPr="00AD526E">
        <w:t>.</w:t>
      </w:r>
    </w:p>
  </w:footnote>
  <w:footnote w:id="90">
    <w:p w14:paraId="34553E8D" w14:textId="77777777" w:rsidR="00551032" w:rsidRDefault="00551032" w:rsidP="004D7354">
      <w:pPr>
        <w:pStyle w:val="FootnoteText"/>
      </w:pPr>
      <w:r>
        <w:rPr>
          <w:rStyle w:val="FootnoteReference"/>
        </w:rPr>
        <w:footnoteRef/>
      </w:r>
      <w:r>
        <w:t xml:space="preserve"> PC, </w:t>
      </w:r>
      <w:hyperlink r:id="rId89" w:history="1">
        <w:r>
          <w:rPr>
            <w:rStyle w:val="Hyperlink"/>
            <w:i/>
            <w:iCs/>
          </w:rPr>
          <w:t>In need of repair: The</w:t>
        </w:r>
        <w:r w:rsidRPr="74B6247B">
          <w:rPr>
            <w:rStyle w:val="Hyperlink"/>
            <w:i/>
            <w:iCs/>
          </w:rPr>
          <w:t xml:space="preserve"> </w:t>
        </w:r>
        <w:r w:rsidRPr="001D6BDE">
          <w:rPr>
            <w:rStyle w:val="Hyperlink"/>
            <w:i/>
            <w:iCs/>
          </w:rPr>
          <w:t xml:space="preserve">National </w:t>
        </w:r>
        <w:r w:rsidRPr="74B6247B">
          <w:rPr>
            <w:rStyle w:val="Hyperlink"/>
            <w:i/>
            <w:iCs/>
          </w:rPr>
          <w:t xml:space="preserve">Housing and Homelessness Agreement </w:t>
        </w:r>
        <w:r>
          <w:rPr>
            <w:rStyle w:val="Hyperlink"/>
            <w:i/>
            <w:iCs/>
          </w:rPr>
          <w:t>– Study report</w:t>
        </w:r>
      </w:hyperlink>
      <w:r>
        <w:t>, 2022.</w:t>
      </w:r>
    </w:p>
  </w:footnote>
  <w:footnote w:id="91">
    <w:p w14:paraId="09C33B3F" w14:textId="77777777" w:rsidR="00551032" w:rsidRDefault="00551032" w:rsidP="00B4119E">
      <w:pPr>
        <w:pStyle w:val="FootnoteText"/>
      </w:pPr>
      <w:r w:rsidRPr="00453E5B">
        <w:rPr>
          <w:rStyle w:val="FootnoteReference"/>
        </w:rPr>
        <w:footnoteRef/>
      </w:r>
      <w:r w:rsidRPr="00453E5B">
        <w:t xml:space="preserve"> AIHW, </w:t>
      </w:r>
      <w:hyperlink r:id="rId90" w:history="1">
        <w:r w:rsidRPr="00453E5B">
          <w:rPr>
            <w:rStyle w:val="Hyperlink"/>
            <w:i/>
          </w:rPr>
          <w:t>National Social Housing Survey 2021</w:t>
        </w:r>
      </w:hyperlink>
      <w:r w:rsidRPr="00453E5B">
        <w:t>, Table S3.1, 2022.</w:t>
      </w:r>
    </w:p>
  </w:footnote>
  <w:footnote w:id="92">
    <w:p w14:paraId="21C49490" w14:textId="77777777" w:rsidR="00551032" w:rsidRDefault="00551032" w:rsidP="002A75EA">
      <w:pPr>
        <w:pStyle w:val="FootnoteText"/>
      </w:pPr>
      <w:r w:rsidRPr="00AF1BDC">
        <w:rPr>
          <w:rStyle w:val="FootnoteReference"/>
          <w:color w:val="000000" w:themeColor="text1"/>
        </w:rPr>
        <w:footnoteRef/>
      </w:r>
      <w:r w:rsidRPr="00AF1BDC">
        <w:rPr>
          <w:color w:val="000000" w:themeColor="text1"/>
        </w:rPr>
        <w:t xml:space="preserve"> CoreLogic, </w:t>
      </w:r>
      <w:r w:rsidRPr="00AF1BDC">
        <w:rPr>
          <w:i/>
          <w:iCs/>
          <w:color w:val="000000" w:themeColor="text1"/>
        </w:rPr>
        <w:t>Cordell Construction Cost Index (CCCI),</w:t>
      </w:r>
      <w:r w:rsidRPr="00AF1BDC">
        <w:rPr>
          <w:color w:val="000000" w:themeColor="text1"/>
        </w:rPr>
        <w:t xml:space="preserve"> 2022.</w:t>
      </w:r>
    </w:p>
  </w:footnote>
  <w:footnote w:id="93">
    <w:p w14:paraId="0D842664" w14:textId="7C81FB8E" w:rsidR="00551032" w:rsidRDefault="00551032" w:rsidP="00D80D75">
      <w:pPr>
        <w:pStyle w:val="FootnoteText"/>
      </w:pPr>
      <w:r>
        <w:rPr>
          <w:rStyle w:val="FootnoteReference"/>
        </w:rPr>
        <w:footnoteRef/>
      </w:r>
      <w:r>
        <w:t xml:space="preserve"> AIHW, </w:t>
      </w:r>
      <w:r w:rsidRPr="008C49D2">
        <w:t xml:space="preserve">National Social Housing Survey 2021, </w:t>
      </w:r>
      <w:hyperlink r:id="rId91" w:history="1">
        <w:r w:rsidRPr="0048654D">
          <w:rPr>
            <w:rStyle w:val="Hyperlink"/>
            <w:i/>
            <w:iCs/>
          </w:rPr>
          <w:t>What were the key factors in tenant satisfaction?</w:t>
        </w:r>
      </w:hyperlink>
      <w:r w:rsidRPr="74B6247B">
        <w:rPr>
          <w:i/>
          <w:iCs/>
        </w:rPr>
        <w:t>,</w:t>
      </w:r>
      <w:r>
        <w:t xml:space="preserve"> accessed 16 March 2023.</w:t>
      </w:r>
    </w:p>
  </w:footnote>
  <w:footnote w:id="94">
    <w:p w14:paraId="21C18825" w14:textId="77777777" w:rsidR="00551032" w:rsidRDefault="00551032" w:rsidP="002A75EA">
      <w:pPr>
        <w:pStyle w:val="FootnoteText"/>
      </w:pPr>
      <w:r>
        <w:rPr>
          <w:rStyle w:val="FootnoteReference"/>
        </w:rPr>
        <w:footnoteRef/>
      </w:r>
      <w:r>
        <w:t xml:space="preserve"> E Baker, C Leishman, R Bentley, N Thien Anh Pahm, L Daniel</w:t>
      </w:r>
      <w:r w:rsidRPr="74B6247B">
        <w:rPr>
          <w:i/>
          <w:iCs/>
        </w:rPr>
        <w:t xml:space="preserve">, </w:t>
      </w:r>
      <w:hyperlink r:id="rId92" w:history="1">
        <w:r w:rsidRPr="74B6247B">
          <w:rPr>
            <w:rStyle w:val="Hyperlink"/>
            <w:i/>
            <w:iCs/>
          </w:rPr>
          <w:t>Social housing exit points, outcomes and future pathways: an administrative data analysis</w:t>
        </w:r>
      </w:hyperlink>
      <w:r>
        <w:t xml:space="preserve"> AHURI, 2020.</w:t>
      </w:r>
    </w:p>
  </w:footnote>
  <w:footnote w:id="95">
    <w:p w14:paraId="1890C7AA" w14:textId="58DB08E6" w:rsidR="00551032" w:rsidRPr="001734E9" w:rsidRDefault="00551032" w:rsidP="002A75EA">
      <w:pPr>
        <w:pStyle w:val="FootnoteText"/>
      </w:pPr>
      <w:r>
        <w:rPr>
          <w:rStyle w:val="FootnoteReference"/>
        </w:rPr>
        <w:footnoteRef/>
      </w:r>
      <w:r>
        <w:t xml:space="preserve"> AHURI, </w:t>
      </w:r>
      <w:hyperlink r:id="rId93" w:history="1">
        <w:r w:rsidRPr="00691940">
          <w:rPr>
            <w:rStyle w:val="Hyperlink"/>
            <w:i/>
          </w:rPr>
          <w:t>The construction of social housing pathways across Australia</w:t>
        </w:r>
      </w:hyperlink>
      <w:r>
        <w:t>, 2019.</w:t>
      </w:r>
    </w:p>
  </w:footnote>
  <w:footnote w:id="96">
    <w:p w14:paraId="0AFB9AFB" w14:textId="4A4B75F6" w:rsidR="00551032" w:rsidRDefault="00551032">
      <w:pPr>
        <w:pStyle w:val="FootnoteText"/>
      </w:pPr>
      <w:r>
        <w:rPr>
          <w:rStyle w:val="FootnoteReference"/>
        </w:rPr>
        <w:footnoteRef/>
      </w:r>
      <w:r>
        <w:t xml:space="preserve"> Muir, K., Powell, A., Flanagan, K., Stone, W., Tually, S., Faulkner, D., Hartley, C., and Pawson, H, </w:t>
      </w:r>
      <w:hyperlink r:id="rId94" w:history="1">
        <w:r w:rsidRPr="00691940">
          <w:rPr>
            <w:rStyle w:val="Hyperlink"/>
            <w:i/>
          </w:rPr>
          <w:t>A pathway to where? Inquiry into understanding and reimagining social housing pathways</w:t>
        </w:r>
      </w:hyperlink>
      <w:r>
        <w:t>, AHURI Final Report No. 332, 2020</w:t>
      </w:r>
    </w:p>
  </w:footnote>
  <w:footnote w:id="97">
    <w:p w14:paraId="05487E88" w14:textId="32F0403F" w:rsidR="00551032" w:rsidRDefault="00551032" w:rsidP="002A75EA">
      <w:pPr>
        <w:pStyle w:val="FootnoteText"/>
      </w:pPr>
      <w:r>
        <w:rPr>
          <w:rStyle w:val="FootnoteReference"/>
        </w:rPr>
        <w:footnoteRef/>
      </w:r>
      <w:r>
        <w:t xml:space="preserve"> Sisson, A., Territorial stigma and territorial struggles in Sydney’s Waterloo estate, University of Sydney, 2020.; Chatterjee and Sission 2020, </w:t>
      </w:r>
      <w:hyperlink r:id="rId95" w:history="1">
        <w:r>
          <w:rPr>
            <w:rStyle w:val="Hyperlink"/>
          </w:rPr>
          <w:t>Why public housing is stigmatised and how we can fix it?</w:t>
        </w:r>
      </w:hyperlink>
      <w:r>
        <w:t>, The Conversation, accessed on 27 April 2023.</w:t>
      </w:r>
    </w:p>
  </w:footnote>
  <w:footnote w:id="98">
    <w:p w14:paraId="492ADC9B" w14:textId="3C634EB3" w:rsidR="00551032" w:rsidRDefault="00551032" w:rsidP="002A75EA">
      <w:pPr>
        <w:pStyle w:val="FootnoteText"/>
      </w:pPr>
      <w:r>
        <w:rPr>
          <w:rStyle w:val="FootnoteReference"/>
        </w:rPr>
        <w:footnoteRef/>
      </w:r>
      <w:r>
        <w:t xml:space="preserve"> AHURI, </w:t>
      </w:r>
      <w:hyperlink r:id="rId96" w:history="1">
        <w:r w:rsidRPr="00691940">
          <w:rPr>
            <w:rStyle w:val="Hyperlink"/>
            <w:i/>
            <w:iCs/>
          </w:rPr>
          <w:t>Understanding the funding gap for social housing and different ways to fund it</w:t>
        </w:r>
      </w:hyperlink>
      <w:r>
        <w:t>, 2019.</w:t>
      </w:r>
    </w:p>
  </w:footnote>
  <w:footnote w:id="99">
    <w:p w14:paraId="0D04C5CF" w14:textId="77777777" w:rsidR="00551032" w:rsidRDefault="00551032" w:rsidP="002A75EA">
      <w:pPr>
        <w:pStyle w:val="FootnoteText"/>
      </w:pPr>
      <w:r>
        <w:rPr>
          <w:rStyle w:val="FootnoteReference"/>
        </w:rPr>
        <w:footnoteRef/>
      </w:r>
      <w:r>
        <w:t xml:space="preserve"> AIHW</w:t>
      </w:r>
      <w:r w:rsidRPr="74B6247B">
        <w:rPr>
          <w:i/>
          <w:iCs/>
        </w:rPr>
        <w:t xml:space="preserve">, </w:t>
      </w:r>
      <w:hyperlink r:id="rId97" w:history="1">
        <w:r w:rsidRPr="74B6247B">
          <w:rPr>
            <w:rStyle w:val="Hyperlink"/>
            <w:i/>
            <w:iCs/>
          </w:rPr>
          <w:t>Housing assistance in Australia, Social housing dwellings,</w:t>
        </w:r>
      </w:hyperlink>
      <w:r w:rsidRPr="00E60301">
        <w:t xml:space="preserve"> </w:t>
      </w:r>
      <w:r>
        <w:t>accessed 16 March 2023.</w:t>
      </w:r>
    </w:p>
  </w:footnote>
  <w:footnote w:id="100">
    <w:p w14:paraId="0B2546AE" w14:textId="77777777" w:rsidR="00551032" w:rsidRDefault="00551032" w:rsidP="002A75EA">
      <w:pPr>
        <w:pStyle w:val="FootnoteText"/>
      </w:pPr>
      <w:r>
        <w:rPr>
          <w:rStyle w:val="FootnoteReference"/>
        </w:rPr>
        <w:footnoteRef/>
      </w:r>
      <w:r>
        <w:t xml:space="preserve"> PC, </w:t>
      </w:r>
      <w:hyperlink r:id="rId98" w:history="1">
        <w:hyperlink r:id="rId99" w:history="1">
          <w:r w:rsidRPr="009C3FCF">
            <w:rPr>
              <w:rStyle w:val="Hyperlink"/>
              <w:i/>
              <w:iCs/>
            </w:rPr>
            <w:t>Report on Government Services 2023 – section 18 Housing</w:t>
          </w:r>
        </w:hyperlink>
        <w:r w:rsidRPr="005C26F1">
          <w:rPr>
            <w:rStyle w:val="Hyperlink"/>
            <w:color w:val="auto"/>
            <w:u w:val="none"/>
          </w:rPr>
          <w:t>,</w:t>
        </w:r>
        <w:r w:rsidRPr="005C26F1">
          <w:rPr>
            <w:rStyle w:val="Hyperlink"/>
            <w:i/>
            <w:iCs/>
            <w:u w:val="none"/>
          </w:rPr>
          <w:t xml:space="preserve"> </w:t>
        </w:r>
      </w:hyperlink>
      <w:r>
        <w:t xml:space="preserve">Table 18A.3, </w:t>
      </w:r>
      <w:r w:rsidRPr="00B62FD8">
        <w:t>2023, accessed 22 February 2023.</w:t>
      </w:r>
      <w:r>
        <w:rPr>
          <w:rStyle w:val="Hyperlink"/>
        </w:rPr>
        <w:t xml:space="preserve"> </w:t>
      </w:r>
    </w:p>
  </w:footnote>
  <w:footnote w:id="101">
    <w:p w14:paraId="301548B2" w14:textId="498B897E" w:rsidR="00551032" w:rsidRDefault="00551032" w:rsidP="002A75EA">
      <w:pPr>
        <w:pStyle w:val="FootnoteText"/>
      </w:pPr>
      <w:r>
        <w:rPr>
          <w:rStyle w:val="FootnoteReference"/>
        </w:rPr>
        <w:footnoteRef/>
      </w:r>
      <w:r>
        <w:t xml:space="preserve"> PC, </w:t>
      </w:r>
      <w:hyperlink r:id="rId100" w:history="1">
        <w:hyperlink r:id="rId101" w:history="1">
          <w:r w:rsidRPr="009C3FCF">
            <w:rPr>
              <w:rStyle w:val="Hyperlink"/>
              <w:i/>
              <w:iCs/>
            </w:rPr>
            <w:t>Report on Government Services 2023 – section 18 Housing</w:t>
          </w:r>
        </w:hyperlink>
        <w:r w:rsidRPr="005C26F1">
          <w:rPr>
            <w:rStyle w:val="Hyperlink"/>
            <w:color w:val="auto"/>
            <w:u w:val="none"/>
          </w:rPr>
          <w:t>,</w:t>
        </w:r>
        <w:r w:rsidRPr="005C26F1">
          <w:rPr>
            <w:rStyle w:val="Hyperlink"/>
            <w:i/>
            <w:iCs/>
            <w:u w:val="none"/>
          </w:rPr>
          <w:t xml:space="preserve"> </w:t>
        </w:r>
      </w:hyperlink>
      <w:r>
        <w:t xml:space="preserve">Table 18A.3, </w:t>
      </w:r>
      <w:r w:rsidRPr="00B62FD8">
        <w:t>2023, accessed 22 February 2023.</w:t>
      </w:r>
    </w:p>
  </w:footnote>
  <w:footnote w:id="102">
    <w:p w14:paraId="3B929314" w14:textId="6975B556" w:rsidR="00551032" w:rsidRDefault="00551032" w:rsidP="002A75EA">
      <w:pPr>
        <w:pStyle w:val="FootnoteText"/>
      </w:pPr>
      <w:r>
        <w:rPr>
          <w:rStyle w:val="FootnoteReference"/>
        </w:rPr>
        <w:footnoteRef/>
      </w:r>
      <w:r>
        <w:t xml:space="preserve"> PC, </w:t>
      </w:r>
      <w:hyperlink r:id="rId102" w:history="1">
        <w:hyperlink r:id="rId103" w:history="1">
          <w:r w:rsidRPr="009C3FCF">
            <w:rPr>
              <w:rStyle w:val="Hyperlink"/>
              <w:i/>
              <w:iCs/>
            </w:rPr>
            <w:t>Report on Government Services 2023 – section 18 Housing</w:t>
          </w:r>
        </w:hyperlink>
        <w:r w:rsidRPr="005C26F1">
          <w:rPr>
            <w:rStyle w:val="Hyperlink"/>
            <w:color w:val="auto"/>
            <w:u w:val="none"/>
          </w:rPr>
          <w:t>,</w:t>
        </w:r>
        <w:r w:rsidRPr="005C26F1">
          <w:rPr>
            <w:rStyle w:val="Hyperlink"/>
            <w:i/>
            <w:iCs/>
            <w:u w:val="none"/>
          </w:rPr>
          <w:t xml:space="preserve"> </w:t>
        </w:r>
      </w:hyperlink>
      <w:r>
        <w:t xml:space="preserve">Table 18A.3, </w:t>
      </w:r>
      <w:r w:rsidRPr="00B62FD8">
        <w:t>2023, accessed 22 February 2023.</w:t>
      </w:r>
    </w:p>
  </w:footnote>
  <w:footnote w:id="103">
    <w:p w14:paraId="01214BDF" w14:textId="412DFDF0" w:rsidR="00551032" w:rsidRPr="003E774B" w:rsidRDefault="00551032" w:rsidP="002A75EA">
      <w:pPr>
        <w:pStyle w:val="FootnoteText"/>
      </w:pPr>
      <w:r>
        <w:rPr>
          <w:rStyle w:val="FootnoteReference"/>
        </w:rPr>
        <w:footnoteRef/>
      </w:r>
      <w:r>
        <w:t xml:space="preserve"> AHURI, </w:t>
      </w:r>
      <w:hyperlink r:id="rId104" w:history="1">
        <w:r w:rsidRPr="00691940">
          <w:rPr>
            <w:rStyle w:val="Hyperlink"/>
            <w:i/>
          </w:rPr>
          <w:t>Public stock transfers to community housing the best option for a sustainable and financially supportable housing system</w:t>
        </w:r>
      </w:hyperlink>
      <w:r>
        <w:t>, 2015.</w:t>
      </w:r>
    </w:p>
  </w:footnote>
  <w:footnote w:id="104">
    <w:p w14:paraId="7568692C" w14:textId="77777777" w:rsidR="00551032" w:rsidRDefault="00551032" w:rsidP="002A75EA">
      <w:pPr>
        <w:pStyle w:val="FootnoteText"/>
      </w:pPr>
      <w:r>
        <w:rPr>
          <w:rStyle w:val="FootnoteReference"/>
        </w:rPr>
        <w:footnoteRef/>
      </w:r>
      <w:r>
        <w:t xml:space="preserve"> National Regulatory System Community Housing, </w:t>
      </w:r>
      <w:hyperlink r:id="rId105" w:history="1">
        <w:r w:rsidRPr="74B6247B">
          <w:rPr>
            <w:rStyle w:val="Hyperlink"/>
            <w:i/>
            <w:iCs/>
          </w:rPr>
          <w:t>Categories of registration (Tiers)</w:t>
        </w:r>
      </w:hyperlink>
      <w:r w:rsidRPr="74B6247B">
        <w:rPr>
          <w:rStyle w:val="Hyperlink"/>
          <w:i/>
          <w:iCs/>
        </w:rPr>
        <w:t>,</w:t>
      </w:r>
      <w:r>
        <w:rPr>
          <w:rStyle w:val="Hyperlink"/>
        </w:rPr>
        <w:t xml:space="preserve"> </w:t>
      </w:r>
      <w:r>
        <w:t>Accessed 16 March 2023</w:t>
      </w:r>
    </w:p>
  </w:footnote>
  <w:footnote w:id="105">
    <w:p w14:paraId="4197C1E9" w14:textId="77777777" w:rsidR="00551032" w:rsidRPr="00236277" w:rsidRDefault="00551032" w:rsidP="002A75EA">
      <w:pPr>
        <w:pStyle w:val="FootnoteText"/>
      </w:pPr>
      <w:r>
        <w:rPr>
          <w:rStyle w:val="FootnoteReference"/>
        </w:rPr>
        <w:footnoteRef/>
      </w:r>
      <w:r>
        <w:t xml:space="preserve"> National Regulatory System for Community Housing, </w:t>
      </w:r>
      <w:hyperlink r:id="rId106" w:history="1">
        <w:r w:rsidRPr="00236277">
          <w:rPr>
            <w:rStyle w:val="Hyperlink"/>
            <w:i/>
          </w:rPr>
          <w:t>National Regulatory Code</w:t>
        </w:r>
      </w:hyperlink>
      <w:r>
        <w:t>, accessed 18 April 2023.</w:t>
      </w:r>
    </w:p>
  </w:footnote>
  <w:footnote w:id="106">
    <w:p w14:paraId="75F6CF7F" w14:textId="77777777" w:rsidR="00551032" w:rsidRDefault="00551032" w:rsidP="002A75EA">
      <w:pPr>
        <w:pStyle w:val="FootnoteText"/>
      </w:pPr>
      <w:r>
        <w:rPr>
          <w:rStyle w:val="FootnoteReference"/>
        </w:rPr>
        <w:footnoteRef/>
      </w:r>
      <w:r>
        <w:t xml:space="preserve"> Benedict. R, et al</w:t>
      </w:r>
      <w:r w:rsidRPr="74B6247B">
        <w:rPr>
          <w:i/>
          <w:iCs/>
        </w:rPr>
        <w:t xml:space="preserve">., </w:t>
      </w:r>
      <w:hyperlink r:id="rId107" w:history="1">
        <w:r w:rsidRPr="74B6247B">
          <w:rPr>
            <w:rStyle w:val="Hyperlink"/>
            <w:i/>
            <w:iCs/>
          </w:rPr>
          <w:t>Private sector involvement in social and affordable housing</w:t>
        </w:r>
      </w:hyperlink>
      <w:r w:rsidRPr="00E60301">
        <w:t xml:space="preserve"> </w:t>
      </w:r>
      <w:r>
        <w:t>AHURI Final Report No. 388, 2022.</w:t>
      </w:r>
    </w:p>
  </w:footnote>
  <w:footnote w:id="107">
    <w:p w14:paraId="188342C2" w14:textId="1BD2B82B" w:rsidR="00551032" w:rsidRDefault="00551032" w:rsidP="002A75EA">
      <w:pPr>
        <w:pStyle w:val="FootnoteText"/>
      </w:pPr>
      <w:r>
        <w:rPr>
          <w:rStyle w:val="FootnoteReference"/>
        </w:rPr>
        <w:footnoteRef/>
      </w:r>
      <w:r>
        <w:t xml:space="preserve"> </w:t>
      </w:r>
      <w:r w:rsidRPr="009F421B">
        <w:t>NHFIC</w:t>
      </w:r>
      <w:r>
        <w:t xml:space="preserve">, </w:t>
      </w:r>
      <w:hyperlink r:id="rId108" w:history="1">
        <w:r w:rsidRPr="74B6247B">
          <w:rPr>
            <w:rStyle w:val="Hyperlink"/>
            <w:i/>
            <w:iCs/>
          </w:rPr>
          <w:t>Our contribution | The National Housing Finance &amp; Investment Corporation</w:t>
        </w:r>
      </w:hyperlink>
      <w:r w:rsidRPr="009F421B">
        <w:t>,</w:t>
      </w:r>
      <w:r>
        <w:rPr>
          <w:i/>
          <w:iCs/>
        </w:rPr>
        <w:t xml:space="preserve"> </w:t>
      </w:r>
      <w:r>
        <w:t>accessed 4 August 2023.</w:t>
      </w:r>
    </w:p>
  </w:footnote>
  <w:footnote w:id="108">
    <w:p w14:paraId="7EA4DD9F" w14:textId="462CC4FE" w:rsidR="00551032" w:rsidRDefault="00551032" w:rsidP="002A75EA">
      <w:pPr>
        <w:pStyle w:val="FootnoteText"/>
      </w:pPr>
      <w:r>
        <w:rPr>
          <w:rStyle w:val="FootnoteReference"/>
        </w:rPr>
        <w:footnoteRef/>
      </w:r>
      <w:r>
        <w:t xml:space="preserve"> AHURI, </w:t>
      </w:r>
      <w:hyperlink r:id="rId109" w:history="1">
        <w:r w:rsidRPr="00691940">
          <w:rPr>
            <w:rStyle w:val="Hyperlink"/>
            <w:i/>
            <w:iCs/>
          </w:rPr>
          <w:t>What is the difference between social housing and affordable housing – and why do they matter?</w:t>
        </w:r>
        <w:r w:rsidRPr="00691940">
          <w:rPr>
            <w:rStyle w:val="Hyperlink"/>
          </w:rPr>
          <w:t>,</w:t>
        </w:r>
      </w:hyperlink>
      <w:r>
        <w:t xml:space="preserve"> 2023.</w:t>
      </w:r>
    </w:p>
  </w:footnote>
  <w:footnote w:id="109">
    <w:p w14:paraId="76DE344D" w14:textId="285AB07F" w:rsidR="00551032" w:rsidRDefault="00551032" w:rsidP="002A75EA">
      <w:pPr>
        <w:pStyle w:val="FootnoteText"/>
      </w:pPr>
      <w:r>
        <w:rPr>
          <w:rStyle w:val="FootnoteReference"/>
        </w:rPr>
        <w:footnoteRef/>
      </w:r>
      <w:r>
        <w:t xml:space="preserve"> Benedict R, Gurran N, Gilbert C, Hamilton C, Rowley S and Liu S, </w:t>
      </w:r>
      <w:hyperlink r:id="rId110" w:history="1">
        <w:r w:rsidRPr="00AB6E5C">
          <w:rPr>
            <w:rStyle w:val="Hyperlink"/>
            <w:i/>
            <w:iCs/>
          </w:rPr>
          <w:t>Private sector involvement in social and affordable housing</w:t>
        </w:r>
      </w:hyperlink>
      <w:r>
        <w:t>, AHURI Final Report No. 388, 2022.</w:t>
      </w:r>
    </w:p>
  </w:footnote>
  <w:footnote w:id="110">
    <w:p w14:paraId="45896B67" w14:textId="7F567816" w:rsidR="00551032" w:rsidRDefault="00551032" w:rsidP="002A75EA">
      <w:pPr>
        <w:pStyle w:val="FootnoteText"/>
      </w:pPr>
      <w:r>
        <w:rPr>
          <w:rStyle w:val="FootnoteReference"/>
        </w:rPr>
        <w:footnoteRef/>
      </w:r>
      <w:r>
        <w:t xml:space="preserve"> AHURI, </w:t>
      </w:r>
      <w:hyperlink r:id="rId111" w:history="1">
        <w:r w:rsidRPr="00AB6E5C">
          <w:rPr>
            <w:rStyle w:val="Hyperlink"/>
            <w:i/>
            <w:iCs/>
          </w:rPr>
          <w:t>What is the difference between social housing and affordable housing – and why do they matter?</w:t>
        </w:r>
        <w:r w:rsidRPr="00AB6E5C">
          <w:rPr>
            <w:rStyle w:val="Hyperlink"/>
          </w:rPr>
          <w:t>,</w:t>
        </w:r>
      </w:hyperlink>
      <w:r>
        <w:t xml:space="preserve"> 2023.</w:t>
      </w:r>
    </w:p>
  </w:footnote>
  <w:footnote w:id="111">
    <w:p w14:paraId="1F460FE8" w14:textId="4C6A10E9" w:rsidR="00551032" w:rsidRDefault="00551032">
      <w:pPr>
        <w:pStyle w:val="FootnoteText"/>
      </w:pPr>
      <w:r>
        <w:rPr>
          <w:rStyle w:val="FootnoteReference"/>
        </w:rPr>
        <w:footnoteRef/>
      </w:r>
      <w:r w:rsidRPr="00FE5694">
        <w:t xml:space="preserve"> Commonwealth of Australia, </w:t>
      </w:r>
      <w:hyperlink r:id="rId112" w:history="1">
        <w:r w:rsidRPr="00567174">
          <w:rPr>
            <w:rStyle w:val="Hyperlink"/>
            <w:i/>
          </w:rPr>
          <w:t>Measuring what matters</w:t>
        </w:r>
      </w:hyperlink>
      <w:r>
        <w:t xml:space="preserve">, </w:t>
      </w:r>
      <w:r w:rsidRPr="00FE5694">
        <w:t>July 2023</w:t>
      </w:r>
      <w:r>
        <w:t xml:space="preserve">; </w:t>
      </w:r>
      <w:r w:rsidRPr="00FE5694">
        <w:t xml:space="preserve">CoreLogic </w:t>
      </w:r>
      <w:r w:rsidRPr="00FE5694">
        <w:rPr>
          <w:i/>
        </w:rPr>
        <w:t>Quarterly Rental Review</w:t>
      </w:r>
      <w:r w:rsidRPr="00FE5694">
        <w:t>, July 2023.</w:t>
      </w:r>
    </w:p>
  </w:footnote>
  <w:footnote w:id="112">
    <w:p w14:paraId="5654DC30" w14:textId="14EEB204" w:rsidR="00551032" w:rsidRDefault="00551032" w:rsidP="002A75EA">
      <w:pPr>
        <w:pStyle w:val="FootnoteText"/>
      </w:pPr>
      <w:r>
        <w:rPr>
          <w:rStyle w:val="FootnoteReference"/>
        </w:rPr>
        <w:footnoteRef/>
      </w:r>
      <w:r>
        <w:t xml:space="preserve"> AHURI, </w:t>
      </w:r>
      <w:hyperlink r:id="rId113" w:history="1">
        <w:r w:rsidRPr="00FE5694">
          <w:rPr>
            <w:rStyle w:val="Hyperlink"/>
            <w:i/>
            <w:iCs/>
          </w:rPr>
          <w:t>Understanding the 30:40 indicator of housing affordability stress</w:t>
        </w:r>
      </w:hyperlink>
      <w:r>
        <w:t>, 2019.</w:t>
      </w:r>
    </w:p>
  </w:footnote>
  <w:footnote w:id="113">
    <w:p w14:paraId="33AAADD4" w14:textId="77777777" w:rsidR="00551032" w:rsidRDefault="00551032" w:rsidP="00F15AAC">
      <w:pPr>
        <w:pStyle w:val="FootnoteText"/>
        <w:rPr>
          <w:sz w:val="18"/>
          <w:szCs w:val="18"/>
        </w:rPr>
      </w:pPr>
      <w:r>
        <w:rPr>
          <w:rStyle w:val="FootnoteReference"/>
          <w:rFonts w:cs="Calibri Light"/>
          <w:szCs w:val="18"/>
        </w:rPr>
        <w:footnoteRef/>
      </w:r>
      <w:r>
        <w:rPr>
          <w:sz w:val="18"/>
          <w:szCs w:val="18"/>
        </w:rPr>
        <w:t xml:space="preserve"> Productivity Commission, </w:t>
      </w:r>
      <w:r>
        <w:rPr>
          <w:i/>
          <w:sz w:val="18"/>
          <w:szCs w:val="18"/>
        </w:rPr>
        <w:t>In need of repair: the National Housing and Homelessness Agreement</w:t>
      </w:r>
      <w:r>
        <w:rPr>
          <w:sz w:val="18"/>
          <w:szCs w:val="18"/>
        </w:rPr>
        <w:t>, 2023, p.305.</w:t>
      </w:r>
    </w:p>
  </w:footnote>
  <w:footnote w:id="114">
    <w:p w14:paraId="35DB680C" w14:textId="77777777" w:rsidR="00551032" w:rsidRDefault="00551032" w:rsidP="00F15AAC">
      <w:pPr>
        <w:pStyle w:val="FootnoteText"/>
        <w:rPr>
          <w:sz w:val="18"/>
          <w:szCs w:val="18"/>
        </w:rPr>
      </w:pPr>
      <w:r>
        <w:rPr>
          <w:rStyle w:val="FootnoteReference"/>
          <w:rFonts w:cs="Calibri Light"/>
          <w:szCs w:val="18"/>
        </w:rPr>
        <w:footnoteRef/>
      </w:r>
      <w:r>
        <w:rPr>
          <w:sz w:val="18"/>
          <w:szCs w:val="18"/>
        </w:rPr>
        <w:t xml:space="preserve"> Productivity Commission, </w:t>
      </w:r>
      <w:hyperlink r:id="rId114" w:history="1">
        <w:r>
          <w:rPr>
            <w:rStyle w:val="Hyperlink"/>
            <w:i/>
            <w:sz w:val="18"/>
            <w:szCs w:val="18"/>
          </w:rPr>
          <w:t>Vulnerable Private Renters: Evidence and Options</w:t>
        </w:r>
        <w:r>
          <w:rPr>
            <w:rStyle w:val="Hyperlink"/>
            <w:sz w:val="18"/>
            <w:szCs w:val="18"/>
          </w:rPr>
          <w:t xml:space="preserve">, PC, 2019, </w:t>
        </w:r>
      </w:hyperlink>
      <w:r>
        <w:rPr>
          <w:sz w:val="18"/>
          <w:szCs w:val="18"/>
        </w:rPr>
        <w:t>p.17.</w:t>
      </w:r>
    </w:p>
  </w:footnote>
  <w:footnote w:id="115">
    <w:p w14:paraId="3D335985" w14:textId="77777777" w:rsidR="00551032" w:rsidRDefault="00551032" w:rsidP="00F15AAC">
      <w:pPr>
        <w:pStyle w:val="FootnoteText"/>
        <w:rPr>
          <w:sz w:val="18"/>
          <w:szCs w:val="18"/>
        </w:rPr>
      </w:pPr>
      <w:r>
        <w:rPr>
          <w:rStyle w:val="FootnoteReference"/>
          <w:rFonts w:cs="Calibri Light"/>
          <w:szCs w:val="18"/>
        </w:rPr>
        <w:footnoteRef/>
      </w:r>
      <w:r>
        <w:rPr>
          <w:sz w:val="18"/>
          <w:szCs w:val="18"/>
        </w:rPr>
        <w:t xml:space="preserve"> National Housing Finance and Investment Corporation, </w:t>
      </w:r>
      <w:r>
        <w:rPr>
          <w:i/>
          <w:sz w:val="18"/>
          <w:szCs w:val="18"/>
        </w:rPr>
        <w:t>State of the nation’s housing 2022-23</w:t>
      </w:r>
      <w:r>
        <w:rPr>
          <w:sz w:val="18"/>
          <w:szCs w:val="18"/>
        </w:rPr>
        <w:t>, NHFIC, 2023, p.85.</w:t>
      </w:r>
    </w:p>
  </w:footnote>
  <w:footnote w:id="116">
    <w:p w14:paraId="7FF11ABC" w14:textId="5B850B54" w:rsidR="00551032" w:rsidRDefault="00551032" w:rsidP="002A75EA">
      <w:pPr>
        <w:pStyle w:val="FootnoteText"/>
      </w:pPr>
      <w:r>
        <w:rPr>
          <w:rStyle w:val="FootnoteReference"/>
        </w:rPr>
        <w:footnoteRef/>
      </w:r>
      <w:r w:rsidDel="0029631E">
        <w:t xml:space="preserve"> </w:t>
      </w:r>
      <w:r>
        <w:t xml:space="preserve">Commonwealth of Australia, </w:t>
      </w:r>
      <w:hyperlink r:id="rId115" w:history="1">
        <w:r w:rsidRPr="74B6247B">
          <w:rPr>
            <w:rStyle w:val="Hyperlink"/>
            <w:i/>
            <w:iCs/>
          </w:rPr>
          <w:t>Out of reach? The Australian housing affordability challenge</w:t>
        </w:r>
      </w:hyperlink>
      <w:r>
        <w:t>, 2015.</w:t>
      </w:r>
    </w:p>
  </w:footnote>
  <w:footnote w:id="117">
    <w:p w14:paraId="5F9B9C40" w14:textId="77777777" w:rsidR="00551032" w:rsidRDefault="00551032" w:rsidP="002A75EA">
      <w:pPr>
        <w:pStyle w:val="FootnoteText"/>
      </w:pPr>
      <w:r>
        <w:rPr>
          <w:rStyle w:val="FootnoteReference"/>
        </w:rPr>
        <w:footnoteRef/>
      </w:r>
      <w:r>
        <w:t xml:space="preserve"> ABS, </w:t>
      </w:r>
      <w:hyperlink r:id="rId116" w:history="1">
        <w:r w:rsidRPr="74B6247B">
          <w:rPr>
            <w:rStyle w:val="Hyperlink"/>
            <w:i/>
            <w:iCs/>
          </w:rPr>
          <w:t>Housing Occupancy and costs</w:t>
        </w:r>
      </w:hyperlink>
      <w:r>
        <w:t>, 2019</w:t>
      </w:r>
      <w:r w:rsidRPr="007F2FBB">
        <w:t>–</w:t>
      </w:r>
      <w:r>
        <w:t>20.</w:t>
      </w:r>
    </w:p>
  </w:footnote>
  <w:footnote w:id="118">
    <w:p w14:paraId="6FC62A20" w14:textId="76D65F13" w:rsidR="00551032" w:rsidRDefault="00551032" w:rsidP="002A75EA">
      <w:pPr>
        <w:pStyle w:val="FootnoteText"/>
      </w:pPr>
      <w:r>
        <w:rPr>
          <w:rStyle w:val="FootnoteReference"/>
        </w:rPr>
        <w:footnoteRef/>
      </w:r>
      <w:r>
        <w:t xml:space="preserve"> Commonwealth of Australia, </w:t>
      </w:r>
      <w:hyperlink r:id="rId117" w:history="1">
        <w:r w:rsidRPr="74B6247B">
          <w:rPr>
            <w:rStyle w:val="Hyperlink"/>
            <w:i/>
            <w:iCs/>
          </w:rPr>
          <w:t>Retirement Income Review</w:t>
        </w:r>
      </w:hyperlink>
      <w:r>
        <w:t>, 2020.</w:t>
      </w:r>
    </w:p>
  </w:footnote>
  <w:footnote w:id="119">
    <w:p w14:paraId="204AF687" w14:textId="77777777" w:rsidR="00551032" w:rsidRDefault="00551032" w:rsidP="002A75EA">
      <w:pPr>
        <w:pStyle w:val="FootnoteText"/>
      </w:pPr>
      <w:r>
        <w:rPr>
          <w:rStyle w:val="FootnoteReference"/>
        </w:rPr>
        <w:footnoteRef/>
      </w:r>
      <w:r>
        <w:t xml:space="preserve"> National Aboriginal Community Controlled Health Organisation (NACCHO), </w:t>
      </w:r>
      <w:hyperlink r:id="rId118" w:history="1">
        <w:r w:rsidRPr="74B6247B">
          <w:rPr>
            <w:rStyle w:val="Hyperlink"/>
            <w:i/>
            <w:iCs/>
          </w:rPr>
          <w:t>Submission to the National Housing and Homelessness Agreement Review</w:t>
        </w:r>
      </w:hyperlink>
      <w:r w:rsidRPr="74B6247B">
        <w:rPr>
          <w:i/>
          <w:iCs/>
        </w:rPr>
        <w:t>,</w:t>
      </w:r>
      <w:r>
        <w:t xml:space="preserve"> February 2022.</w:t>
      </w:r>
    </w:p>
  </w:footnote>
  <w:footnote w:id="120">
    <w:p w14:paraId="17994855" w14:textId="4995D3E3" w:rsidR="00551032" w:rsidRDefault="00551032" w:rsidP="002A75EA">
      <w:pPr>
        <w:pStyle w:val="FootnoteText"/>
      </w:pPr>
      <w:r>
        <w:rPr>
          <w:rStyle w:val="FootnoteReference"/>
        </w:rPr>
        <w:footnoteRef/>
      </w:r>
      <w:r>
        <w:t xml:space="preserve"> AIHW, </w:t>
      </w:r>
      <w:hyperlink r:id="rId119" w:history="1">
        <w:r>
          <w:rPr>
            <w:rStyle w:val="Hyperlink"/>
            <w:i/>
            <w:iCs/>
          </w:rPr>
          <w:t>Home ownership and housing tenure</w:t>
        </w:r>
      </w:hyperlink>
      <w:r>
        <w:t>, 2022.</w:t>
      </w:r>
    </w:p>
  </w:footnote>
  <w:footnote w:id="121">
    <w:p w14:paraId="6E78B1D4" w14:textId="427F6753" w:rsidR="00551032" w:rsidRDefault="00551032" w:rsidP="002A75EA">
      <w:pPr>
        <w:pStyle w:val="FootnoteText"/>
      </w:pPr>
      <w:r>
        <w:rPr>
          <w:rStyle w:val="FootnoteReference"/>
        </w:rPr>
        <w:footnoteRef/>
      </w:r>
      <w:r>
        <w:t xml:space="preserve"> ABS, </w:t>
      </w:r>
      <w:hyperlink r:id="rId120" w:history="1">
        <w:r>
          <w:rPr>
            <w:rStyle w:val="Hyperlink"/>
            <w:i/>
            <w:iCs/>
          </w:rPr>
          <w:t>Housing Occupancy and Costs</w:t>
        </w:r>
      </w:hyperlink>
      <w:r>
        <w:t>, ABS, Australian Government, 2022.</w:t>
      </w:r>
    </w:p>
  </w:footnote>
  <w:footnote w:id="122">
    <w:p w14:paraId="6DF0920F" w14:textId="2B196011" w:rsidR="00551032" w:rsidRDefault="00551032" w:rsidP="002A75EA">
      <w:pPr>
        <w:pStyle w:val="FootnoteText"/>
      </w:pPr>
      <w:r>
        <w:rPr>
          <w:rStyle w:val="FootnoteReference"/>
        </w:rPr>
        <w:footnoteRef/>
      </w:r>
      <w:r>
        <w:t xml:space="preserve"> AIHW, </w:t>
      </w:r>
      <w:hyperlink r:id="rId121" w:history="1">
        <w:r w:rsidRPr="00567174">
          <w:rPr>
            <w:rStyle w:val="Hyperlink"/>
            <w:i/>
            <w:iCs/>
          </w:rPr>
          <w:t>People with Disability in Australia</w:t>
        </w:r>
      </w:hyperlink>
      <w:r>
        <w:t>, 2022.</w:t>
      </w:r>
    </w:p>
  </w:footnote>
  <w:footnote w:id="123">
    <w:p w14:paraId="71F8E1E9" w14:textId="77777777" w:rsidR="00551032" w:rsidRDefault="00551032" w:rsidP="00093AD6">
      <w:pPr>
        <w:pStyle w:val="FootnoteText"/>
      </w:pPr>
      <w:r>
        <w:rPr>
          <w:rStyle w:val="FootnoteReference"/>
        </w:rPr>
        <w:footnoteRef/>
      </w:r>
      <w:r w:rsidRPr="74B6247B">
        <w:t xml:space="preserve"> CoreLogic, </w:t>
      </w:r>
      <w:hyperlink r:id="rId122" w:history="1">
        <w:r w:rsidRPr="74B6247B">
          <w:rPr>
            <w:rStyle w:val="Hyperlink"/>
            <w:i/>
            <w:iCs/>
          </w:rPr>
          <w:t>Women and Property: One year on</w:t>
        </w:r>
      </w:hyperlink>
      <w:r w:rsidRPr="74B6247B">
        <w:t>, CoreLogic Asia Pacific, 2022.</w:t>
      </w:r>
    </w:p>
  </w:footnote>
  <w:footnote w:id="124">
    <w:p w14:paraId="44EA8721" w14:textId="408C782D" w:rsidR="00551032" w:rsidRDefault="00551032" w:rsidP="00093AD6">
      <w:pPr>
        <w:pStyle w:val="FootnoteText"/>
      </w:pPr>
      <w:r>
        <w:rPr>
          <w:rStyle w:val="FootnoteReference"/>
        </w:rPr>
        <w:footnoteRef/>
      </w:r>
      <w:r>
        <w:t xml:space="preserve"> AHURI, </w:t>
      </w:r>
      <w:hyperlink r:id="rId123" w:anchor=":~:text=For%20example%2C%20to%20buy%20a,need%20to%20save%20for%20368" w:history="1">
        <w:r w:rsidRPr="002D6C75">
          <w:rPr>
            <w:rStyle w:val="Hyperlink"/>
            <w:i/>
            <w:iCs/>
          </w:rPr>
          <w:t>What are the real costs of Australia’s housing crisis for women?</w:t>
        </w:r>
        <w:r w:rsidRPr="002D6C75">
          <w:rPr>
            <w:rStyle w:val="Hyperlink"/>
            <w:iCs/>
          </w:rPr>
          <w:t>,</w:t>
        </w:r>
      </w:hyperlink>
      <w:r>
        <w:t xml:space="preserve"> 2023.</w:t>
      </w:r>
    </w:p>
  </w:footnote>
  <w:footnote w:id="125">
    <w:p w14:paraId="2251547F" w14:textId="7841EFCD" w:rsidR="00551032" w:rsidRPr="00093AD6" w:rsidRDefault="00551032">
      <w:pPr>
        <w:pStyle w:val="FootnoteText"/>
      </w:pPr>
      <w:r>
        <w:rPr>
          <w:rStyle w:val="FootnoteReference"/>
        </w:rPr>
        <w:footnoteRef/>
      </w:r>
      <w:r>
        <w:t xml:space="preserve"> AHURI, </w:t>
      </w:r>
      <w:hyperlink r:id="rId124" w:anchor=":~:text=For%20example%2C%20to%20buy%20a,need%20to%20save%20for%20368" w:history="1">
        <w:r w:rsidRPr="002D6C75">
          <w:rPr>
            <w:rStyle w:val="Hyperlink"/>
            <w:i/>
          </w:rPr>
          <w:t>What are the real costs of Australia’s housing crisis for women?</w:t>
        </w:r>
      </w:hyperlink>
      <w:r>
        <w:rPr>
          <w:i/>
        </w:rPr>
        <w:t xml:space="preserve">, </w:t>
      </w:r>
      <w:r>
        <w:t>2023.</w:t>
      </w:r>
    </w:p>
  </w:footnote>
  <w:footnote w:id="126">
    <w:p w14:paraId="41202B3B" w14:textId="7C7BE4E2" w:rsidR="00551032" w:rsidRDefault="00551032" w:rsidP="002A75EA">
      <w:pPr>
        <w:pStyle w:val="FootnoteText"/>
      </w:pPr>
      <w:r>
        <w:rPr>
          <w:rStyle w:val="FootnoteReference"/>
        </w:rPr>
        <w:footnoteRef/>
      </w:r>
      <w:r w:rsidRPr="74B6247B">
        <w:t xml:space="preserve"> </w:t>
      </w:r>
      <w:r>
        <w:t xml:space="preserve">ANZ, CoreLogic, </w:t>
      </w:r>
      <w:hyperlink r:id="rId125" w:history="1">
        <w:r w:rsidRPr="00D63E8E">
          <w:rPr>
            <w:rStyle w:val="Hyperlink"/>
          </w:rPr>
          <w:t>Housing Affordability Report</w:t>
        </w:r>
      </w:hyperlink>
      <w:r>
        <w:t>, May 2023</w:t>
      </w:r>
      <w:r w:rsidRPr="74B6247B">
        <w:t>.</w:t>
      </w:r>
    </w:p>
  </w:footnote>
  <w:footnote w:id="127">
    <w:p w14:paraId="0A2751ED" w14:textId="2279A015" w:rsidR="00551032" w:rsidRDefault="00551032" w:rsidP="002A75EA">
      <w:pPr>
        <w:pStyle w:val="FootnoteText"/>
      </w:pPr>
      <w:r>
        <w:rPr>
          <w:rStyle w:val="FootnoteReference"/>
        </w:rPr>
        <w:footnoteRef/>
      </w:r>
      <w:r>
        <w:t xml:space="preserve"> </w:t>
      </w:r>
      <w:r w:rsidRPr="74B6247B">
        <w:t xml:space="preserve">OECD, </w:t>
      </w:r>
      <w:hyperlink r:id="rId126" w:history="1">
        <w:r w:rsidRPr="74B6247B">
          <w:rPr>
            <w:rStyle w:val="Hyperlink"/>
            <w:i/>
            <w:iCs/>
          </w:rPr>
          <w:t>Household debt (indicator)</w:t>
        </w:r>
      </w:hyperlink>
      <w:r w:rsidRPr="74B6247B">
        <w:t>, 2021</w:t>
      </w:r>
      <w:r>
        <w:t>.</w:t>
      </w:r>
    </w:p>
  </w:footnote>
  <w:footnote w:id="128">
    <w:p w14:paraId="217E9C42" w14:textId="76BAE726" w:rsidR="00551032" w:rsidRPr="00C65871" w:rsidRDefault="00551032" w:rsidP="002A75EA">
      <w:pPr>
        <w:spacing w:after="0"/>
        <w:rPr>
          <w:rFonts w:asciiTheme="minorHAnsi" w:hAnsiTheme="minorHAnsi"/>
          <w:i/>
          <w:iCs/>
          <w:sz w:val="20"/>
          <w:szCs w:val="20"/>
        </w:rPr>
      </w:pPr>
      <w:r w:rsidRPr="74B6247B">
        <w:rPr>
          <w:rStyle w:val="FootnoteReference"/>
          <w:rFonts w:asciiTheme="minorHAnsi" w:hAnsiTheme="minorHAnsi"/>
          <w:sz w:val="20"/>
          <w:szCs w:val="20"/>
        </w:rPr>
        <w:footnoteRef/>
      </w:r>
      <w:r w:rsidRPr="74B6247B">
        <w:rPr>
          <w:rFonts w:asciiTheme="minorHAnsi" w:hAnsiTheme="minorHAnsi"/>
          <w:sz w:val="20"/>
          <w:szCs w:val="20"/>
          <w:vertAlign w:val="superscript"/>
        </w:rPr>
        <w:t xml:space="preserve"> </w:t>
      </w:r>
      <w:r w:rsidRPr="74B6247B">
        <w:rPr>
          <w:rFonts w:asciiTheme="minorHAnsi" w:hAnsiTheme="minorHAnsi"/>
          <w:color w:val="262626" w:themeColor="text1" w:themeTint="D9"/>
          <w:sz w:val="20"/>
          <w:szCs w:val="20"/>
        </w:rPr>
        <w:t xml:space="preserve">ABS, </w:t>
      </w:r>
      <w:hyperlink r:id="rId127" w:history="1">
        <w:r w:rsidRPr="00D63E8E">
          <w:rPr>
            <w:rStyle w:val="Hyperlink"/>
            <w:rFonts w:asciiTheme="minorHAnsi" w:hAnsiTheme="minorHAnsi"/>
            <w:i/>
            <w:iCs/>
            <w:sz w:val="20"/>
            <w:szCs w:val="20"/>
          </w:rPr>
          <w:t>Household Income and Wealth Australia</w:t>
        </w:r>
      </w:hyperlink>
      <w:r w:rsidRPr="74B6247B">
        <w:rPr>
          <w:rFonts w:asciiTheme="minorHAnsi" w:hAnsiTheme="minorHAnsi"/>
          <w:color w:val="262626" w:themeColor="text1" w:themeTint="D9"/>
          <w:sz w:val="20"/>
          <w:szCs w:val="20"/>
        </w:rPr>
        <w:t>, 20</w:t>
      </w:r>
      <w:r>
        <w:rPr>
          <w:rFonts w:asciiTheme="minorHAnsi" w:hAnsiTheme="minorHAnsi"/>
          <w:color w:val="262626" w:themeColor="text1" w:themeTint="D9"/>
          <w:sz w:val="20"/>
          <w:szCs w:val="20"/>
        </w:rPr>
        <w:t>1</w:t>
      </w:r>
      <w:r w:rsidRPr="74B6247B">
        <w:rPr>
          <w:rFonts w:asciiTheme="minorHAnsi" w:hAnsiTheme="minorHAnsi"/>
          <w:color w:val="262626" w:themeColor="text1" w:themeTint="D9"/>
          <w:sz w:val="20"/>
          <w:szCs w:val="20"/>
        </w:rPr>
        <w:t>9</w:t>
      </w:r>
      <w:r w:rsidRPr="00635F1A">
        <w:rPr>
          <w:rFonts w:asciiTheme="minorHAnsi" w:hAnsiTheme="minorHAnsi"/>
          <w:color w:val="262626" w:themeColor="text1" w:themeTint="D9"/>
          <w:sz w:val="20"/>
          <w:szCs w:val="20"/>
        </w:rPr>
        <w:t>–</w:t>
      </w:r>
      <w:r w:rsidRPr="74B6247B">
        <w:rPr>
          <w:rFonts w:asciiTheme="minorHAnsi" w:hAnsiTheme="minorHAnsi"/>
          <w:color w:val="262626" w:themeColor="text1" w:themeTint="D9"/>
          <w:sz w:val="20"/>
          <w:szCs w:val="20"/>
        </w:rPr>
        <w:t>20.</w:t>
      </w:r>
    </w:p>
  </w:footnote>
  <w:footnote w:id="129">
    <w:p w14:paraId="77C9B338" w14:textId="0F47DF92" w:rsidR="00551032" w:rsidRDefault="00551032" w:rsidP="003618B4">
      <w:pPr>
        <w:pStyle w:val="FootnoteText"/>
      </w:pPr>
      <w:r>
        <w:rPr>
          <w:rStyle w:val="FootnoteReference"/>
        </w:rPr>
        <w:footnoteRef/>
      </w:r>
      <w:r>
        <w:t xml:space="preserve"> ABS, </w:t>
      </w:r>
      <w:hyperlink r:id="rId128" w:history="1">
        <w:r w:rsidRPr="006572E5">
          <w:rPr>
            <w:rStyle w:val="Hyperlink"/>
            <w:i/>
            <w:iCs/>
          </w:rPr>
          <w:t>Housing Occupancy and Costs</w:t>
        </w:r>
      </w:hyperlink>
      <w:r>
        <w:t>, ABS, Australian Government, 2022.</w:t>
      </w:r>
    </w:p>
  </w:footnote>
  <w:footnote w:id="130">
    <w:p w14:paraId="1326B94A" w14:textId="39766075" w:rsidR="00551032" w:rsidRDefault="00551032" w:rsidP="00FD1C84">
      <w:pPr>
        <w:pStyle w:val="FootnoteText"/>
      </w:pPr>
      <w:r>
        <w:rPr>
          <w:rStyle w:val="FootnoteReference"/>
        </w:rPr>
        <w:footnoteRef/>
      </w:r>
      <w:r>
        <w:t xml:space="preserve"> Baker, E. and Daniel, L. (Eds.) </w:t>
      </w:r>
      <w:hyperlink r:id="rId129" w:history="1">
        <w:r w:rsidRPr="006572E5">
          <w:rPr>
            <w:rStyle w:val="Hyperlink"/>
            <w:i/>
          </w:rPr>
          <w:t>Rental Insights: A COVID-19 Collection</w:t>
        </w:r>
      </w:hyperlink>
      <w:r>
        <w:t>, AHURI, 2020.</w:t>
      </w:r>
    </w:p>
  </w:footnote>
  <w:footnote w:id="131">
    <w:p w14:paraId="2B0C225A" w14:textId="06A6E243" w:rsidR="00551032" w:rsidRDefault="00551032" w:rsidP="002A75EA">
      <w:pPr>
        <w:pStyle w:val="FootnoteText"/>
      </w:pPr>
      <w:r>
        <w:rPr>
          <w:rStyle w:val="FootnoteReference"/>
        </w:rPr>
        <w:footnoteRef/>
      </w:r>
      <w:r>
        <w:t xml:space="preserve"> Property Council of Australia, </w:t>
      </w:r>
      <w:hyperlink r:id="rId130" w:history="1">
        <w:r w:rsidRPr="00EF364E">
          <w:rPr>
            <w:rStyle w:val="Hyperlink"/>
            <w:i/>
            <w:iCs/>
          </w:rPr>
          <w:t>The economic impact of stamp duty: Three reform options</w:t>
        </w:r>
      </w:hyperlink>
      <w:r>
        <w:t>, Deloitte Access Economics, 2015.</w:t>
      </w:r>
    </w:p>
  </w:footnote>
  <w:footnote w:id="132">
    <w:p w14:paraId="0B8EA35A" w14:textId="77777777" w:rsidR="00551032" w:rsidRDefault="00551032" w:rsidP="002A75EA">
      <w:pPr>
        <w:pStyle w:val="FootnoteText"/>
      </w:pPr>
      <w:r>
        <w:rPr>
          <w:rStyle w:val="FootnoteReference"/>
        </w:rPr>
        <w:footnoteRef/>
      </w:r>
      <w:r>
        <w:t xml:space="preserve"> </w:t>
      </w:r>
      <w:r>
        <w:rPr>
          <w:rStyle w:val="authors"/>
          <w:rFonts w:cs="Arial"/>
          <w:color w:val="333333"/>
          <w:shd w:val="clear" w:color="auto" w:fill="FFFFFF"/>
        </w:rPr>
        <w:t>Hulse K, Morris A and Pawson H,</w:t>
      </w:r>
      <w:r>
        <w:rPr>
          <w:rFonts w:ascii="Arial" w:hAnsi="Arial" w:cs="Arial"/>
          <w:color w:val="333333"/>
          <w:shd w:val="clear" w:color="auto" w:fill="FFFFFF"/>
        </w:rPr>
        <w:t> </w:t>
      </w:r>
      <w:r w:rsidRPr="74B6247B">
        <w:rPr>
          <w:rStyle w:val="arttitle"/>
          <w:rFonts w:cs="Arial"/>
          <w:i/>
          <w:iCs/>
          <w:color w:val="333333"/>
          <w:shd w:val="clear" w:color="auto" w:fill="FFFFFF"/>
        </w:rPr>
        <w:t>Private Renting in a Home-owning Society: Disaster, Diversity or Deviance?,</w:t>
      </w:r>
      <w:r>
        <w:rPr>
          <w:rFonts w:ascii="Arial" w:hAnsi="Arial" w:cs="Arial"/>
          <w:color w:val="333333"/>
          <w:shd w:val="clear" w:color="auto" w:fill="FFFFFF"/>
        </w:rPr>
        <w:t> </w:t>
      </w:r>
      <w:r>
        <w:rPr>
          <w:rStyle w:val="serialtitle"/>
          <w:rFonts w:cs="Arial"/>
          <w:color w:val="333333"/>
          <w:shd w:val="clear" w:color="auto" w:fill="FFFFFF"/>
        </w:rPr>
        <w:t>Housing, Theory and Society,</w:t>
      </w:r>
      <w:r>
        <w:rPr>
          <w:rFonts w:ascii="Arial" w:hAnsi="Arial" w:cs="Arial"/>
          <w:color w:val="333333"/>
          <w:shd w:val="clear" w:color="auto" w:fill="FFFFFF"/>
        </w:rPr>
        <w:t> </w:t>
      </w:r>
      <w:r>
        <w:rPr>
          <w:rStyle w:val="volumeissue"/>
          <w:rFonts w:cs="Arial"/>
          <w:color w:val="333333"/>
          <w:shd w:val="clear" w:color="auto" w:fill="FFFFFF"/>
        </w:rPr>
        <w:t>36:2,</w:t>
      </w:r>
      <w:r>
        <w:rPr>
          <w:rFonts w:ascii="Arial" w:hAnsi="Arial" w:cs="Arial"/>
          <w:color w:val="333333"/>
          <w:shd w:val="clear" w:color="auto" w:fill="FFFFFF"/>
        </w:rPr>
        <w:t> </w:t>
      </w:r>
      <w:r>
        <w:rPr>
          <w:rStyle w:val="pagerange"/>
          <w:rFonts w:cs="Arial"/>
          <w:color w:val="333333"/>
          <w:shd w:val="clear" w:color="auto" w:fill="FFFFFF"/>
        </w:rPr>
        <w:t>167–188, 2019.</w:t>
      </w:r>
    </w:p>
  </w:footnote>
  <w:footnote w:id="133">
    <w:p w14:paraId="7A1D6033" w14:textId="0F106317" w:rsidR="00551032" w:rsidRDefault="00551032" w:rsidP="002A75EA">
      <w:pPr>
        <w:pStyle w:val="FootnoteText"/>
      </w:pPr>
      <w:r>
        <w:rPr>
          <w:rStyle w:val="FootnoteReference"/>
        </w:rPr>
        <w:footnoteRef/>
      </w:r>
      <w:r>
        <w:t xml:space="preserve"> Parkinson S, James A and Liu E, </w:t>
      </w:r>
      <w:hyperlink r:id="rId131" w:history="1">
        <w:r w:rsidRPr="00EF364E">
          <w:rPr>
            <w:rStyle w:val="Hyperlink"/>
            <w:i/>
            <w:iCs/>
          </w:rPr>
          <w:t>Navigating a changing Private Rental Sector: opportunities and challenges for low-income renters</w:t>
        </w:r>
      </w:hyperlink>
      <w:r>
        <w:t>, AHURI, 2018.</w:t>
      </w:r>
    </w:p>
  </w:footnote>
  <w:footnote w:id="134">
    <w:p w14:paraId="540080AF" w14:textId="658E2014" w:rsidR="00551032" w:rsidRPr="00EF364E" w:rsidRDefault="00551032" w:rsidP="002A75EA">
      <w:pPr>
        <w:pStyle w:val="FootnoteText"/>
        <w:rPr>
          <w:rStyle w:val="Hyperlink"/>
          <w:i/>
          <w:iCs/>
        </w:rPr>
      </w:pPr>
      <w:r>
        <w:rPr>
          <w:rStyle w:val="FootnoteReference"/>
        </w:rPr>
        <w:footnoteRef/>
      </w:r>
      <w:r>
        <w:t xml:space="preserve"> Maalsen S, Wolifson P, Rogers D, Nelson J and Buckle C, </w:t>
      </w:r>
      <w:r>
        <w:rPr>
          <w:i/>
          <w:iCs/>
        </w:rPr>
        <w:fldChar w:fldCharType="begin"/>
      </w:r>
      <w:r>
        <w:rPr>
          <w:i/>
          <w:iCs/>
        </w:rPr>
        <w:instrText xml:space="preserve"> HYPERLINK "https://www.ahuri.edu.au/research/final-reports/363" </w:instrText>
      </w:r>
      <w:r>
        <w:rPr>
          <w:i/>
          <w:iCs/>
        </w:rPr>
        <w:fldChar w:fldCharType="separate"/>
      </w:r>
      <w:r w:rsidRPr="00EF364E">
        <w:rPr>
          <w:rStyle w:val="Hyperlink"/>
          <w:i/>
          <w:iCs/>
        </w:rPr>
        <w:t xml:space="preserve">Understanding discrimination effects in private </w:t>
      </w:r>
    </w:p>
    <w:p w14:paraId="325592AA" w14:textId="0E5D2DA7" w:rsidR="00551032" w:rsidRDefault="00551032" w:rsidP="002A75EA">
      <w:pPr>
        <w:pStyle w:val="FootnoteText"/>
      </w:pPr>
      <w:r w:rsidRPr="00EF364E">
        <w:rPr>
          <w:rStyle w:val="Hyperlink"/>
          <w:i/>
          <w:iCs/>
        </w:rPr>
        <w:t>rental housing</w:t>
      </w:r>
      <w:r>
        <w:rPr>
          <w:i/>
          <w:iCs/>
        </w:rPr>
        <w:fldChar w:fldCharType="end"/>
      </w:r>
      <w:r>
        <w:t>, AHURI, 2021.</w:t>
      </w:r>
    </w:p>
  </w:footnote>
  <w:footnote w:id="135">
    <w:p w14:paraId="16A44CD5" w14:textId="3D57D045" w:rsidR="00551032" w:rsidRDefault="00551032">
      <w:pPr>
        <w:pStyle w:val="FootnoteText"/>
      </w:pPr>
      <w:r>
        <w:rPr>
          <w:rStyle w:val="FootnoteReference"/>
        </w:rPr>
        <w:footnoteRef/>
      </w:r>
      <w:r>
        <w:t xml:space="preserve"> ABS, </w:t>
      </w:r>
      <w:hyperlink r:id="rId132" w:history="1">
        <w:r w:rsidR="0048654D" w:rsidRPr="74B6247B">
          <w:rPr>
            <w:rStyle w:val="Hyperlink"/>
            <w:i/>
            <w:iCs/>
          </w:rPr>
          <w:t>Housing Occupancy and costs</w:t>
        </w:r>
      </w:hyperlink>
      <w:r>
        <w:t xml:space="preserve"> ABS, Australian Government, 2022.</w:t>
      </w:r>
    </w:p>
  </w:footnote>
  <w:footnote w:id="136">
    <w:p w14:paraId="17E85C7A" w14:textId="650A5F5B" w:rsidR="00551032" w:rsidRDefault="00551032" w:rsidP="002A75EA">
      <w:pPr>
        <w:pStyle w:val="FootnoteText"/>
      </w:pPr>
      <w:r>
        <w:rPr>
          <w:rStyle w:val="FootnoteReference"/>
        </w:rPr>
        <w:footnoteRef/>
      </w:r>
      <w:r>
        <w:t xml:space="preserve"> Gurran N, Hulse K, Dodson J, Pill M, Dowling R, Reynolds M and Maalsen S, </w:t>
      </w:r>
      <w:hyperlink r:id="rId133" w:history="1">
        <w:r w:rsidRPr="00A03750">
          <w:rPr>
            <w:rStyle w:val="Hyperlink"/>
            <w:i/>
            <w:iCs/>
          </w:rPr>
          <w:t>Urban productivity and affordable rental housing supply in Australian cities and regions</w:t>
        </w:r>
      </w:hyperlink>
      <w:r>
        <w:t>, AHURI, 2021.</w:t>
      </w:r>
    </w:p>
  </w:footnote>
  <w:footnote w:id="137">
    <w:p w14:paraId="48306A32" w14:textId="77777777" w:rsidR="00551032" w:rsidRDefault="00551032" w:rsidP="002A75EA">
      <w:pPr>
        <w:pStyle w:val="FootnoteText"/>
      </w:pPr>
      <w:r>
        <w:rPr>
          <w:rStyle w:val="FootnoteReference"/>
        </w:rPr>
        <w:footnoteRef/>
      </w:r>
      <w:r>
        <w:t xml:space="preserve"> </w:t>
      </w:r>
      <w:r w:rsidRPr="005F4F91">
        <w:t>H</w:t>
      </w:r>
      <w:r>
        <w:t xml:space="preserve">ulse K, Morris A and Pawson H, </w:t>
      </w:r>
      <w:r w:rsidRPr="74B6247B">
        <w:rPr>
          <w:i/>
          <w:iCs/>
        </w:rPr>
        <w:t>Private Renting in a Home-owning Society: Disaster, Diversity or Deviance?, Housing, Theory and Society</w:t>
      </w:r>
      <w:r w:rsidRPr="005F4F91">
        <w:t>, 36:2, 167</w:t>
      </w:r>
      <w:bookmarkStart w:id="1785" w:name="_Hlk134722644"/>
      <w:r>
        <w:t>–</w:t>
      </w:r>
      <w:bookmarkEnd w:id="1785"/>
      <w:r w:rsidRPr="005F4F91">
        <w:t>188</w:t>
      </w:r>
      <w:r>
        <w:t>, 2019.</w:t>
      </w:r>
    </w:p>
  </w:footnote>
  <w:footnote w:id="138">
    <w:p w14:paraId="122F48C5" w14:textId="0CA9011B" w:rsidR="00551032" w:rsidRDefault="00551032" w:rsidP="00177328">
      <w:pPr>
        <w:pStyle w:val="FootnoteText"/>
      </w:pPr>
      <w:r w:rsidRPr="00205A40">
        <w:rPr>
          <w:rStyle w:val="FootnoteReference"/>
        </w:rPr>
        <w:footnoteRef/>
      </w:r>
      <w:r w:rsidRPr="00205A40">
        <w:t xml:space="preserve"> CoreLogic </w:t>
      </w:r>
      <w:r w:rsidRPr="00205A40">
        <w:rPr>
          <w:i/>
        </w:rPr>
        <w:t>Quarterly Rental Review</w:t>
      </w:r>
      <w:r w:rsidRPr="00205A40">
        <w:t>, July 2023</w:t>
      </w:r>
      <w:r>
        <w:t>.</w:t>
      </w:r>
    </w:p>
  </w:footnote>
  <w:footnote w:id="139">
    <w:p w14:paraId="0466CAA6" w14:textId="34B841DC" w:rsidR="00551032" w:rsidRDefault="00551032" w:rsidP="002A75EA">
      <w:pPr>
        <w:pStyle w:val="FootnoteText"/>
      </w:pPr>
      <w:r>
        <w:rPr>
          <w:rStyle w:val="FootnoteReference"/>
        </w:rPr>
        <w:footnoteRef/>
      </w:r>
      <w:r>
        <w:t xml:space="preserve"> Hanmer F, Marquadt M, </w:t>
      </w:r>
      <w:hyperlink r:id="rId134" w:history="1">
        <w:r w:rsidRPr="00DC68E5">
          <w:rPr>
            <w:rStyle w:val="Hyperlink"/>
            <w:i/>
          </w:rPr>
          <w:t>New Insights into the Rental Market</w:t>
        </w:r>
      </w:hyperlink>
      <w:r>
        <w:t>, Reserve Bank of Australia, 2023.</w:t>
      </w:r>
    </w:p>
  </w:footnote>
  <w:footnote w:id="140">
    <w:p w14:paraId="7678E48B" w14:textId="77777777" w:rsidR="00551032" w:rsidRDefault="00551032" w:rsidP="002A75EA">
      <w:pPr>
        <w:pStyle w:val="FootnoteText"/>
      </w:pPr>
      <w:r>
        <w:rPr>
          <w:rStyle w:val="FootnoteReference"/>
        </w:rPr>
        <w:footnoteRef/>
      </w:r>
      <w:r>
        <w:t xml:space="preserve"> ibid.</w:t>
      </w:r>
    </w:p>
  </w:footnote>
  <w:footnote w:id="141">
    <w:p w14:paraId="2C86EA30" w14:textId="09B8F4E3" w:rsidR="00551032" w:rsidRPr="003423BD" w:rsidRDefault="00551032" w:rsidP="0065209F">
      <w:pPr>
        <w:pStyle w:val="FootnoteText"/>
      </w:pPr>
      <w:r w:rsidRPr="003423BD">
        <w:rPr>
          <w:rStyle w:val="FootnoteReference"/>
        </w:rPr>
        <w:footnoteRef/>
      </w:r>
      <w:r w:rsidRPr="003423BD">
        <w:t xml:space="preserve"> C Martin, K Hulse, M Ghasri, L Ralston, L Crommelin, Z Goodall, S Parkinson and E O’Brien Webb, </w:t>
      </w:r>
      <w:hyperlink r:id="rId135" w:history="1">
        <w:r w:rsidRPr="001B6FA6">
          <w:rPr>
            <w:rStyle w:val="Hyperlink"/>
            <w:i/>
          </w:rPr>
          <w:t>Regulation of residential tenancies and impacts on investment</w:t>
        </w:r>
      </w:hyperlink>
      <w:r w:rsidRPr="003423BD">
        <w:t xml:space="preserve">, </w:t>
      </w:r>
      <w:r>
        <w:t>AHURI</w:t>
      </w:r>
      <w:r w:rsidRPr="003423BD">
        <w:t>, 2022.</w:t>
      </w:r>
    </w:p>
  </w:footnote>
  <w:footnote w:id="142">
    <w:p w14:paraId="6C76F01C" w14:textId="305BBEB7" w:rsidR="00551032" w:rsidRDefault="00551032" w:rsidP="009C75C2">
      <w:pPr>
        <w:pStyle w:val="FootnoteText"/>
      </w:pPr>
      <w:r>
        <w:rPr>
          <w:rStyle w:val="FootnoteReference"/>
        </w:rPr>
        <w:footnoteRef/>
      </w:r>
      <w:r>
        <w:t xml:space="preserve"> ABS, Building Activity, Australia, March 2023.</w:t>
      </w:r>
    </w:p>
  </w:footnote>
  <w:footnote w:id="143">
    <w:p w14:paraId="29E642AE" w14:textId="59A2A63A" w:rsidR="00551032" w:rsidRDefault="00551032" w:rsidP="009C75C2">
      <w:pPr>
        <w:pStyle w:val="FootnoteText"/>
      </w:pPr>
      <w:r>
        <w:rPr>
          <w:rStyle w:val="FootnoteReference"/>
        </w:rPr>
        <w:footnoteRef/>
      </w:r>
      <w:r>
        <w:t xml:space="preserve"> AHURI, </w:t>
      </w:r>
      <w:hyperlink r:id="rId136" w:history="1">
        <w:r w:rsidRPr="00EF657D">
          <w:rPr>
            <w:rStyle w:val="Hyperlink"/>
            <w:i/>
            <w:iCs/>
          </w:rPr>
          <w:t>Why does Australia have a rental crisis, and what can be done about it?</w:t>
        </w:r>
      </w:hyperlink>
      <w:r w:rsidRPr="74B6247B">
        <w:rPr>
          <w:i/>
          <w:iCs/>
        </w:rPr>
        <w:t>,</w:t>
      </w:r>
      <w:r>
        <w:t xml:space="preserve"> 2022.</w:t>
      </w:r>
    </w:p>
  </w:footnote>
  <w:footnote w:id="144">
    <w:p w14:paraId="0198E541" w14:textId="4A2F366D" w:rsidR="00551032" w:rsidRDefault="00551032" w:rsidP="002A75EA">
      <w:pPr>
        <w:pStyle w:val="FootnoteText"/>
      </w:pPr>
      <w:r>
        <w:rPr>
          <w:rStyle w:val="FootnoteReference"/>
        </w:rPr>
        <w:footnoteRef/>
      </w:r>
      <w:r>
        <w:t xml:space="preserve"> National Skills Commission, </w:t>
      </w:r>
      <w:hyperlink r:id="rId137" w:history="1">
        <w:r w:rsidRPr="00EF657D">
          <w:rPr>
            <w:rStyle w:val="Hyperlink"/>
            <w:i/>
            <w:iCs/>
          </w:rPr>
          <w:t>Skills Priority List Key Findings Report</w:t>
        </w:r>
      </w:hyperlink>
      <w:r>
        <w:t>, 2022.</w:t>
      </w:r>
    </w:p>
  </w:footnote>
  <w:footnote w:id="145">
    <w:p w14:paraId="468FA1B5" w14:textId="77777777" w:rsidR="00551032" w:rsidRDefault="00551032" w:rsidP="002A75EA">
      <w:pPr>
        <w:pStyle w:val="FootnoteText"/>
      </w:pPr>
      <w:r>
        <w:rPr>
          <w:rStyle w:val="FootnoteReference"/>
        </w:rPr>
        <w:footnoteRef/>
      </w:r>
      <w:r>
        <w:t xml:space="preserve"> Impact Economics and Policy, </w:t>
      </w:r>
      <w:r w:rsidRPr="74B6247B">
        <w:rPr>
          <w:i/>
          <w:iCs/>
        </w:rPr>
        <w:t>Housing Critical – the role of housing in solving critical skills shortages in the regions,</w:t>
      </w:r>
      <w:r>
        <w:t xml:space="preserve"> 2022.</w:t>
      </w:r>
    </w:p>
  </w:footnote>
  <w:footnote w:id="146">
    <w:p w14:paraId="32F385A5" w14:textId="73950721" w:rsidR="00551032" w:rsidRDefault="00551032" w:rsidP="002A75EA">
      <w:pPr>
        <w:pStyle w:val="FootnoteText"/>
      </w:pPr>
      <w:r>
        <w:rPr>
          <w:rStyle w:val="FootnoteReference"/>
        </w:rPr>
        <w:footnoteRef/>
      </w:r>
      <w:r>
        <w:t xml:space="preserve"> AHURI, </w:t>
      </w:r>
      <w:hyperlink r:id="rId138" w:history="1">
        <w:r w:rsidRPr="00445FDC">
          <w:rPr>
            <w:rStyle w:val="Hyperlink"/>
            <w:i/>
            <w:iCs/>
          </w:rPr>
          <w:t>Why does Australia have a rental crisis, and what can be done about it?,</w:t>
        </w:r>
      </w:hyperlink>
      <w:r>
        <w:t xml:space="preserve"> 2022.</w:t>
      </w:r>
    </w:p>
  </w:footnote>
  <w:footnote w:id="147">
    <w:p w14:paraId="435AE707" w14:textId="7882CE34" w:rsidR="00551032" w:rsidRDefault="00551032" w:rsidP="002A75EA">
      <w:pPr>
        <w:pStyle w:val="FootnoteText"/>
      </w:pPr>
      <w:r>
        <w:rPr>
          <w:rStyle w:val="FootnoteReference"/>
        </w:rPr>
        <w:footnoteRef/>
      </w:r>
      <w:r>
        <w:t xml:space="preserve"> Crommelin T, Parkinson M, </w:t>
      </w:r>
      <w:hyperlink r:id="rId139" w:history="1">
        <w:r w:rsidRPr="00445FDC">
          <w:rPr>
            <w:rStyle w:val="Hyperlink"/>
            <w:i/>
            <w:iCs/>
          </w:rPr>
          <w:t>Technological disruption in private housing markets: the case of Airbnb</w:t>
        </w:r>
      </w:hyperlink>
      <w:r w:rsidRPr="74B6247B">
        <w:rPr>
          <w:i/>
          <w:iCs/>
        </w:rPr>
        <w:t xml:space="preserve">, </w:t>
      </w:r>
      <w:r>
        <w:t>AHURI, 2018.</w:t>
      </w:r>
    </w:p>
  </w:footnote>
  <w:footnote w:id="148">
    <w:p w14:paraId="115DDA74" w14:textId="77777777" w:rsidR="00551032" w:rsidRDefault="00551032" w:rsidP="002A75EA">
      <w:pPr>
        <w:pStyle w:val="FootnoteText"/>
      </w:pPr>
      <w:r>
        <w:rPr>
          <w:rStyle w:val="FootnoteReference"/>
        </w:rPr>
        <w:footnoteRef/>
      </w:r>
      <w:r>
        <w:t xml:space="preserve"> Phibbs P, Eli J, </w:t>
      </w:r>
      <w:r w:rsidRPr="005B0972">
        <w:rPr>
          <w:i/>
          <w:iCs/>
        </w:rPr>
        <w:t>Monitoring the Impact of Short-Term Rentals on Tasmanian Housing Markets</w:t>
      </w:r>
      <w:r>
        <w:t>, ShelterTas, 2022.</w:t>
      </w:r>
    </w:p>
  </w:footnote>
  <w:footnote w:id="149">
    <w:p w14:paraId="3C70796E" w14:textId="6ACA5BBD" w:rsidR="00551032" w:rsidRDefault="00551032" w:rsidP="002A75EA">
      <w:pPr>
        <w:pStyle w:val="FootnoteText"/>
      </w:pPr>
      <w:r>
        <w:rPr>
          <w:rStyle w:val="FootnoteReference"/>
        </w:rPr>
        <w:footnoteRef/>
      </w:r>
      <w:r>
        <w:t xml:space="preserve"> Lea T, Grealy L, Moskos M, Brambilla A, King S, Habibis D, Benedict R, Phibbs P, Sun C and Torzillo P, </w:t>
      </w:r>
      <w:hyperlink r:id="rId140" w:history="1">
        <w:r w:rsidRPr="00445FDC">
          <w:rPr>
            <w:rStyle w:val="Hyperlink"/>
            <w:i/>
            <w:iCs/>
          </w:rPr>
          <w:t>Sustainable Indigenous housing in regional and remote Australia</w:t>
        </w:r>
      </w:hyperlink>
      <w:r>
        <w:t>, AHURI Final Report No. 368, 2021.</w:t>
      </w:r>
    </w:p>
  </w:footnote>
  <w:footnote w:id="150">
    <w:p w14:paraId="41EF4448" w14:textId="13BC9C5D" w:rsidR="00551032" w:rsidRDefault="00551032" w:rsidP="002A75EA">
      <w:pPr>
        <w:pStyle w:val="FootnoteText"/>
      </w:pPr>
      <w:r>
        <w:rPr>
          <w:rStyle w:val="FootnoteReference"/>
        </w:rPr>
        <w:footnoteRef/>
      </w:r>
      <w:r>
        <w:t xml:space="preserve"> Australian Government Department of Infrastructure, </w:t>
      </w:r>
      <w:hyperlink r:id="rId141" w:anchor=":~:text=Challenges%20and%20opportunities%20in%20regional%20infrastructure%20investment%201,...%204%20Identifying%20regional%20strengths%20and%20gaps%20" w:history="1">
        <w:r w:rsidRPr="00445FDC">
          <w:rPr>
            <w:rStyle w:val="Hyperlink"/>
            <w:i/>
            <w:iCs/>
          </w:rPr>
          <w:t>Challenges and opportunities in regional infrastructure</w:t>
        </w:r>
      </w:hyperlink>
      <w:r>
        <w:t>, 2021.</w:t>
      </w:r>
    </w:p>
  </w:footnote>
  <w:footnote w:id="151">
    <w:p w14:paraId="131B5766" w14:textId="77777777" w:rsidR="00551032" w:rsidRPr="00CC08BB" w:rsidRDefault="00551032" w:rsidP="00CF32CF">
      <w:pPr>
        <w:pStyle w:val="FootnoteText"/>
      </w:pPr>
      <w:r>
        <w:rPr>
          <w:rStyle w:val="FootnoteReference"/>
        </w:rPr>
        <w:footnoteRef/>
      </w:r>
      <w:r>
        <w:t xml:space="preserve"> McDonald J, McMillen D, ‘The Economics of Zoning’, </w:t>
      </w:r>
      <w:r w:rsidRPr="74B6247B">
        <w:rPr>
          <w:i/>
          <w:iCs/>
        </w:rPr>
        <w:t>The Oxford Handbook of Urban Economics and Planning</w:t>
      </w:r>
      <w:r>
        <w:t>, Oxford University Press, 2012.</w:t>
      </w:r>
    </w:p>
  </w:footnote>
  <w:footnote w:id="152">
    <w:p w14:paraId="1AF4A459" w14:textId="59B34EEA" w:rsidR="00551032" w:rsidRDefault="00551032" w:rsidP="00CF32CF">
      <w:pPr>
        <w:pStyle w:val="FootnoteText"/>
      </w:pPr>
      <w:r>
        <w:rPr>
          <w:rStyle w:val="FootnoteReference"/>
        </w:rPr>
        <w:footnoteRef/>
      </w:r>
      <w:r>
        <w:t xml:space="preserve"> PC, </w:t>
      </w:r>
      <w:hyperlink r:id="rId142" w:history="1">
        <w:r w:rsidRPr="001B6FA6">
          <w:rPr>
            <w:rStyle w:val="Hyperlink"/>
            <w:i/>
            <w:iCs/>
          </w:rPr>
          <w:t>Plan to Identify Planning and Zoning Reforms</w:t>
        </w:r>
      </w:hyperlink>
      <w:r>
        <w:t>, 2021.</w:t>
      </w:r>
    </w:p>
  </w:footnote>
  <w:footnote w:id="153">
    <w:p w14:paraId="365197F7" w14:textId="77777777" w:rsidR="00551032" w:rsidRDefault="00551032">
      <w:pPr>
        <w:pStyle w:val="FootnoteText"/>
      </w:pPr>
      <w:r>
        <w:rPr>
          <w:rStyle w:val="FootnoteReference"/>
        </w:rPr>
        <w:footnoteRef/>
      </w:r>
      <w:r>
        <w:t xml:space="preserve"> </w:t>
      </w:r>
      <w:r w:rsidRPr="00AF390B">
        <w:t>Bureau of Meteorology; Commonwealth Scientific and Industrial Research Organisation</w:t>
      </w:r>
      <w:r>
        <w:t xml:space="preserve"> (CSIRO)</w:t>
      </w:r>
      <w:r w:rsidRPr="00AF390B">
        <w:t xml:space="preserve">, </w:t>
      </w:r>
      <w:hyperlink r:id="rId143" w:history="1">
        <w:r w:rsidRPr="74B6247B">
          <w:rPr>
            <w:rStyle w:val="Hyperlink"/>
            <w:rFonts w:ascii="Calibri" w:hAnsi="Calibri" w:cs="Calibri"/>
            <w:i/>
            <w:iCs/>
          </w:rPr>
          <w:t>State of the Climate 2022</w:t>
        </w:r>
      </w:hyperlink>
      <w:r w:rsidRPr="00AF390B">
        <w:t>, 2022.</w:t>
      </w:r>
    </w:p>
  </w:footnote>
  <w:footnote w:id="154">
    <w:p w14:paraId="733FA9F5" w14:textId="77777777" w:rsidR="00551032" w:rsidRDefault="00551032">
      <w:pPr>
        <w:pStyle w:val="FootnoteText"/>
      </w:pPr>
      <w:r>
        <w:rPr>
          <w:rStyle w:val="FootnoteReference"/>
        </w:rPr>
        <w:footnoteRef/>
      </w:r>
      <w:r>
        <w:t xml:space="preserve"> </w:t>
      </w:r>
      <w:r w:rsidRPr="00233160">
        <w:rPr>
          <w:rFonts w:ascii="Calibri" w:hAnsi="Calibri" w:cs="Calibri"/>
        </w:rPr>
        <w:t xml:space="preserve">Senate Environment and Communications References Committee </w:t>
      </w:r>
      <w:r>
        <w:rPr>
          <w:rFonts w:ascii="Calibri" w:hAnsi="Calibri" w:cs="Calibri"/>
        </w:rPr>
        <w:t>(Senate ECRC)</w:t>
      </w:r>
      <w:r w:rsidRPr="00233160">
        <w:rPr>
          <w:rFonts w:ascii="Calibri" w:hAnsi="Calibri" w:cs="Calibri"/>
        </w:rPr>
        <w:t xml:space="preserve"> </w:t>
      </w:r>
      <w:r>
        <w:rPr>
          <w:rFonts w:ascii="Calibri" w:hAnsi="Calibri" w:cs="Calibri"/>
        </w:rPr>
        <w:t>‘</w:t>
      </w:r>
      <w:hyperlink r:id="rId144" w:history="1">
        <w:r w:rsidRPr="74B6247B">
          <w:rPr>
            <w:rStyle w:val="Hyperlink"/>
            <w:rFonts w:ascii="Calibri" w:hAnsi="Calibri" w:cs="Calibri"/>
            <w:i/>
            <w:iCs/>
          </w:rPr>
          <w:t>Current and future impacts of climate change on housing, buildings and infrastructure</w:t>
        </w:r>
      </w:hyperlink>
      <w:r w:rsidRPr="74B6247B">
        <w:rPr>
          <w:rStyle w:val="Hyperlink"/>
          <w:rFonts w:ascii="Calibri" w:hAnsi="Calibri" w:cs="Calibri"/>
          <w:i/>
          <w:iCs/>
        </w:rPr>
        <w:t>’</w:t>
      </w:r>
      <w:r w:rsidRPr="74B6247B">
        <w:rPr>
          <w:rFonts w:ascii="Calibri" w:hAnsi="Calibri" w:cs="Calibri"/>
          <w:i/>
          <w:iCs/>
        </w:rPr>
        <w:t>,</w:t>
      </w:r>
      <w:r w:rsidRPr="00233160">
        <w:rPr>
          <w:rFonts w:ascii="Calibri" w:hAnsi="Calibri" w:cs="Calibri"/>
        </w:rPr>
        <w:t xml:space="preserve"> report to th</w:t>
      </w:r>
      <w:r>
        <w:rPr>
          <w:rFonts w:ascii="Calibri" w:hAnsi="Calibri" w:cs="Calibri"/>
        </w:rPr>
        <w:t>e Senate, Australian Government, 2018.</w:t>
      </w:r>
    </w:p>
  </w:footnote>
  <w:footnote w:id="155">
    <w:p w14:paraId="6C6803ED" w14:textId="77777777" w:rsidR="00551032" w:rsidRPr="008B6AC7" w:rsidRDefault="00551032">
      <w:pPr>
        <w:pStyle w:val="FootnoteText"/>
        <w:rPr>
          <w:u w:val="single"/>
        </w:rPr>
      </w:pPr>
      <w:r w:rsidRPr="008B6AC7">
        <w:rPr>
          <w:rStyle w:val="FootnoteReference"/>
        </w:rPr>
        <w:footnoteRef/>
      </w:r>
      <w:r w:rsidRPr="008B6AC7">
        <w:t xml:space="preserve"> Osborn et al., ‘Disaster preparedness: services for people experiencing homelessness and the pressure-cooker response’, </w:t>
      </w:r>
      <w:r w:rsidRPr="74B6247B">
        <w:rPr>
          <w:i/>
          <w:iCs/>
        </w:rPr>
        <w:t>Australian Journal of Emergency Management</w:t>
      </w:r>
      <w:r w:rsidRPr="008B6AC7">
        <w:t xml:space="preserve">, 2019. </w:t>
      </w:r>
    </w:p>
  </w:footnote>
  <w:footnote w:id="156">
    <w:p w14:paraId="6D6B98E6" w14:textId="77777777" w:rsidR="00551032" w:rsidRPr="008B6AC7" w:rsidRDefault="00551032">
      <w:pPr>
        <w:pStyle w:val="FootnoteText"/>
      </w:pPr>
      <w:r w:rsidRPr="008B6AC7">
        <w:rPr>
          <w:rStyle w:val="FootnoteReference"/>
        </w:rPr>
        <w:footnoteRef/>
      </w:r>
      <w:r w:rsidRPr="008B6AC7">
        <w:t xml:space="preserve"> Lefebvre </w:t>
      </w:r>
      <w:r>
        <w:t>and</w:t>
      </w:r>
      <w:r w:rsidRPr="008B6AC7">
        <w:t xml:space="preserve"> Reinhard, </w:t>
      </w:r>
      <w:hyperlink r:id="rId145" w:history="1">
        <w:r>
          <w:rPr>
            <w:rStyle w:val="Hyperlink"/>
            <w:i/>
            <w:iCs/>
          </w:rPr>
          <w:t>The cost of extreme weather: building resilience in the face of disaster</w:t>
        </w:r>
      </w:hyperlink>
      <w:r w:rsidRPr="008B6AC7">
        <w:t>, McKell Institute, 2022.</w:t>
      </w:r>
    </w:p>
  </w:footnote>
  <w:footnote w:id="157">
    <w:p w14:paraId="53D5AEDB" w14:textId="77777777" w:rsidR="00551032" w:rsidRPr="005619E1" w:rsidRDefault="00551032" w:rsidP="0099331D">
      <w:pPr>
        <w:pStyle w:val="FootnoteText"/>
        <w:rPr>
          <w:u w:val="single"/>
        </w:rPr>
      </w:pPr>
      <w:r w:rsidRPr="008B6AC7">
        <w:rPr>
          <w:rStyle w:val="FootnoteReference"/>
        </w:rPr>
        <w:footnoteRef/>
      </w:r>
      <w:r w:rsidRPr="008B6AC7">
        <w:t xml:space="preserve"> Bezgrebelna et al, ‘Climate Change, Weather, Housing Precarity, and Homelessness: A Systematic Review of Reviews’, </w:t>
      </w:r>
      <w:r w:rsidRPr="74B6247B">
        <w:rPr>
          <w:i/>
          <w:iCs/>
        </w:rPr>
        <w:t xml:space="preserve">International Journal of Environmental Research and Public Health, </w:t>
      </w:r>
      <w:r w:rsidRPr="008B6AC7">
        <w:t xml:space="preserve">2021; </w:t>
      </w:r>
      <w:r>
        <w:t xml:space="preserve">Liu et al., </w:t>
      </w:r>
      <w:hyperlink r:id="rId146" w:history="1">
        <w:r w:rsidRPr="00F33432">
          <w:rPr>
            <w:rStyle w:val="Hyperlink"/>
            <w:i/>
          </w:rPr>
          <w:t>Poor quality housing and low-income households</w:t>
        </w:r>
      </w:hyperlink>
      <w:r>
        <w:rPr>
          <w:i/>
        </w:rPr>
        <w:t xml:space="preserve">; </w:t>
      </w:r>
      <w:r w:rsidRPr="008B6AC7">
        <w:t xml:space="preserve">Paddam S, Liu C, and Philip S, </w:t>
      </w:r>
      <w:hyperlink r:id="rId147" w:history="1">
        <w:r w:rsidRPr="74B6247B">
          <w:rPr>
            <w:rStyle w:val="Hyperlink"/>
            <w:i/>
            <w:iCs/>
          </w:rPr>
          <w:t>Home insurance affordability and socioeconomic equity in a changing climate</w:t>
        </w:r>
      </w:hyperlink>
      <w:r w:rsidRPr="008B6AC7">
        <w:t>, Actuaries Ins</w:t>
      </w:r>
      <w:r>
        <w:t>t</w:t>
      </w:r>
      <w:r w:rsidRPr="008B6AC7">
        <w:t>itute</w:t>
      </w:r>
      <w:r>
        <w:t>,</w:t>
      </w:r>
      <w:r w:rsidRPr="008B6AC7">
        <w:t xml:space="preserve"> 2022.</w:t>
      </w:r>
    </w:p>
  </w:footnote>
  <w:footnote w:id="158">
    <w:p w14:paraId="47A1F8C6" w14:textId="77777777" w:rsidR="00551032" w:rsidRDefault="00551032" w:rsidP="00560761">
      <w:pPr>
        <w:pStyle w:val="FootnoteText"/>
      </w:pPr>
      <w:r>
        <w:rPr>
          <w:rStyle w:val="FootnoteReference"/>
        </w:rPr>
        <w:footnoteRef/>
      </w:r>
      <w:r>
        <w:t xml:space="preserve"> </w:t>
      </w:r>
      <w:r w:rsidRPr="00233160">
        <w:rPr>
          <w:rFonts w:ascii="Calibri" w:hAnsi="Calibri" w:cs="Calibri"/>
        </w:rPr>
        <w:t xml:space="preserve">Hutley et al. </w:t>
      </w:r>
      <w:hyperlink r:id="rId148" w:history="1">
        <w:r w:rsidRPr="74B6247B">
          <w:rPr>
            <w:rStyle w:val="Hyperlink"/>
            <w:rFonts w:ascii="Calibri" w:hAnsi="Calibri" w:cs="Calibri"/>
            <w:i/>
            <w:iCs/>
          </w:rPr>
          <w:t>Uninsurable Nation: Australia's most climate-vulnerable places</w:t>
        </w:r>
      </w:hyperlink>
      <w:r>
        <w:rPr>
          <w:rFonts w:ascii="Calibri" w:hAnsi="Calibri" w:cs="Calibri"/>
        </w:rPr>
        <w:t>, Climate Council, 2022</w:t>
      </w:r>
    </w:p>
  </w:footnote>
  <w:footnote w:id="159">
    <w:p w14:paraId="2BD1AF61" w14:textId="5B829B1F" w:rsidR="00551032" w:rsidRPr="00802608" w:rsidRDefault="00551032" w:rsidP="00560761">
      <w:pPr>
        <w:pStyle w:val="FootnoteText"/>
        <w:rPr>
          <w:u w:val="single"/>
        </w:rPr>
      </w:pPr>
      <w:r>
        <w:rPr>
          <w:rStyle w:val="FootnoteReference"/>
        </w:rPr>
        <w:footnoteRef/>
      </w:r>
      <w:r>
        <w:t xml:space="preserve"> Bezgrebelna et al, </w:t>
      </w:r>
      <w:r w:rsidRPr="74B6247B">
        <w:rPr>
          <w:i/>
          <w:iCs/>
        </w:rPr>
        <w:t>Climate Change, Weather, Housing Precarity, and Homelessness</w:t>
      </w:r>
      <w:r>
        <w:rPr>
          <w:i/>
          <w:iCs/>
        </w:rPr>
        <w:t xml:space="preserve">, </w:t>
      </w:r>
      <w:r w:rsidRPr="00122B60">
        <w:rPr>
          <w:iCs/>
        </w:rPr>
        <w:t>Int J Environ Res Public Health. 2021</w:t>
      </w:r>
      <w:r>
        <w:t>.</w:t>
      </w:r>
    </w:p>
  </w:footnote>
  <w:footnote w:id="160">
    <w:p w14:paraId="2641E1D9" w14:textId="19BDCA5A" w:rsidR="00551032" w:rsidRDefault="00551032">
      <w:pPr>
        <w:pStyle w:val="FootnoteText"/>
      </w:pPr>
      <w:r>
        <w:rPr>
          <w:rStyle w:val="FootnoteReference"/>
        </w:rPr>
        <w:footnoteRef/>
      </w:r>
      <w:r>
        <w:t xml:space="preserve"> Sustainability Victoria, The Victorian Healthy Homes Program: Research Findings, </w:t>
      </w:r>
      <w:hyperlink r:id="rId149" w:history="1">
        <w:r w:rsidRPr="74B6247B">
          <w:rPr>
            <w:rStyle w:val="Hyperlink"/>
            <w:i/>
            <w:iCs/>
          </w:rPr>
          <w:t>The Victorian Healthy Homes Program – Research findings (sustainability.vic.gov.au)</w:t>
        </w:r>
      </w:hyperlink>
      <w:r w:rsidRPr="007636E0">
        <w:rPr>
          <w:rStyle w:val="Hyperlink"/>
          <w:color w:val="000000" w:themeColor="text1"/>
          <w:u w:val="none"/>
        </w:rPr>
        <w:t>,</w:t>
      </w:r>
      <w:r w:rsidRPr="00E60301">
        <w:rPr>
          <w:rStyle w:val="Hyperlink"/>
          <w:color w:val="000000" w:themeColor="text1"/>
          <w:u w:val="none"/>
        </w:rPr>
        <w:t xml:space="preserve"> 2022</w:t>
      </w:r>
      <w:r>
        <w:rPr>
          <w:rStyle w:val="Hyperlink"/>
          <w:color w:val="000000" w:themeColor="text1"/>
          <w:u w:val="none"/>
        </w:rPr>
        <w:t>.</w:t>
      </w:r>
    </w:p>
  </w:footnote>
  <w:footnote w:id="161">
    <w:p w14:paraId="488211DB" w14:textId="77777777" w:rsidR="00551032" w:rsidRDefault="00551032">
      <w:pPr>
        <w:pStyle w:val="FootnoteText"/>
      </w:pPr>
      <w:r>
        <w:rPr>
          <w:rStyle w:val="FootnoteReference"/>
        </w:rPr>
        <w:footnoteRef/>
      </w:r>
      <w:r>
        <w:t xml:space="preserve"> </w:t>
      </w:r>
      <w:r w:rsidRPr="00233160">
        <w:rPr>
          <w:rFonts w:ascii="Calibri" w:hAnsi="Calibri" w:cs="Calibri"/>
        </w:rPr>
        <w:t xml:space="preserve">Senate </w:t>
      </w:r>
      <w:r>
        <w:rPr>
          <w:rFonts w:ascii="Calibri" w:hAnsi="Calibri" w:cs="Calibri"/>
        </w:rPr>
        <w:t>Environment and Communications References Committee (ECRC),</w:t>
      </w:r>
      <w:r w:rsidRPr="00233160">
        <w:rPr>
          <w:rFonts w:ascii="Calibri" w:hAnsi="Calibri" w:cs="Calibri"/>
        </w:rPr>
        <w:t xml:space="preserve"> </w:t>
      </w:r>
      <w:hyperlink r:id="rId150" w:history="1">
        <w:r w:rsidRPr="74B6247B">
          <w:rPr>
            <w:rStyle w:val="Hyperlink"/>
            <w:rFonts w:ascii="Calibri" w:hAnsi="Calibri" w:cs="Calibri"/>
            <w:i/>
            <w:iCs/>
          </w:rPr>
          <w:t>Current and future impacts of climate change on housing, buildings and infrastructure</w:t>
        </w:r>
      </w:hyperlink>
      <w:r>
        <w:rPr>
          <w:rFonts w:ascii="Calibri" w:hAnsi="Calibri" w:cs="Calibri"/>
        </w:rPr>
        <w:t>, 2018.</w:t>
      </w:r>
    </w:p>
  </w:footnote>
  <w:footnote w:id="162">
    <w:p w14:paraId="40F3D819" w14:textId="31C69342" w:rsidR="00551032" w:rsidRDefault="00551032">
      <w:pPr>
        <w:pStyle w:val="FootnoteText"/>
      </w:pPr>
      <w:r>
        <w:rPr>
          <w:rStyle w:val="FootnoteReference"/>
        </w:rPr>
        <w:footnoteRef/>
      </w:r>
      <w:r>
        <w:t xml:space="preserve"> Bezgrebelna et al, </w:t>
      </w:r>
      <w:r w:rsidRPr="74B6247B">
        <w:rPr>
          <w:i/>
          <w:iCs/>
        </w:rPr>
        <w:t>Climate Change, Weather, Housing Precarity, and Homelessness</w:t>
      </w:r>
      <w:r>
        <w:rPr>
          <w:i/>
          <w:iCs/>
        </w:rPr>
        <w:t xml:space="preserve"> </w:t>
      </w:r>
      <w:r w:rsidRPr="00122B60">
        <w:rPr>
          <w:iCs/>
        </w:rPr>
        <w:t>Int J Environ Res Public Health. 2021</w:t>
      </w:r>
      <w:r w:rsidRPr="00122B60">
        <w:t>.</w:t>
      </w:r>
      <w:r>
        <w:t xml:space="preserve">; Steffan W, Mallon K, Kompas T, Dean A, and Rice M, </w:t>
      </w:r>
      <w:hyperlink r:id="rId151" w:history="1">
        <w:r w:rsidRPr="003823B0">
          <w:rPr>
            <w:rStyle w:val="Hyperlink"/>
            <w:i/>
            <w:iCs/>
          </w:rPr>
          <w:t>Compound Costs: How climate change is damaging Australia’s economy</w:t>
        </w:r>
      </w:hyperlink>
      <w:r>
        <w:t xml:space="preserve">, Climate Council, 2019. </w:t>
      </w:r>
    </w:p>
  </w:footnote>
  <w:footnote w:id="163">
    <w:p w14:paraId="65B6133E" w14:textId="74030A3E" w:rsidR="00551032" w:rsidRPr="00CE4209" w:rsidRDefault="00551032">
      <w:pPr>
        <w:pStyle w:val="FootnoteText"/>
        <w:rPr>
          <w:u w:val="single"/>
        </w:rPr>
      </w:pPr>
      <w:r>
        <w:rPr>
          <w:rStyle w:val="FootnoteReference"/>
        </w:rPr>
        <w:footnoteRef/>
      </w:r>
      <w:r>
        <w:t xml:space="preserve"> Bezgrebelna et al, ‘</w:t>
      </w:r>
      <w:r w:rsidRPr="74B6247B">
        <w:rPr>
          <w:i/>
          <w:iCs/>
        </w:rPr>
        <w:t>Climate Change, Weather, Housing Precarity, and Homelessness’</w:t>
      </w:r>
      <w:r>
        <w:rPr>
          <w:i/>
          <w:iCs/>
        </w:rPr>
        <w:t xml:space="preserve"> </w:t>
      </w:r>
      <w:r w:rsidRPr="00122B60">
        <w:rPr>
          <w:iCs/>
        </w:rPr>
        <w:t>Int J Environ Res Public Health. 2021</w:t>
      </w:r>
      <w:r w:rsidRPr="00122B60">
        <w:t>.</w:t>
      </w:r>
    </w:p>
  </w:footnote>
  <w:footnote w:id="164">
    <w:p w14:paraId="150D1B66" w14:textId="77777777" w:rsidR="00551032" w:rsidRPr="00437AB4" w:rsidRDefault="00551032">
      <w:pPr>
        <w:pStyle w:val="FootnoteText"/>
        <w:rPr>
          <w:u w:val="single"/>
        </w:rPr>
      </w:pPr>
      <w:r>
        <w:rPr>
          <w:rStyle w:val="FootnoteReference"/>
        </w:rPr>
        <w:footnoteRef/>
      </w:r>
      <w:r>
        <w:t xml:space="preserve"> ibid.</w:t>
      </w:r>
    </w:p>
  </w:footnote>
  <w:footnote w:id="165">
    <w:p w14:paraId="32E0E4C8" w14:textId="08DA3940" w:rsidR="00551032" w:rsidRPr="00437AB4" w:rsidRDefault="00551032">
      <w:pPr>
        <w:pStyle w:val="FootnoteText"/>
      </w:pPr>
      <w:r>
        <w:rPr>
          <w:rStyle w:val="FootnoteReference"/>
        </w:rPr>
        <w:footnoteRef/>
      </w:r>
      <w:r>
        <w:t xml:space="preserve"> Lea et al, ‘</w:t>
      </w:r>
      <w:hyperlink r:id="rId152" w:history="1">
        <w:r w:rsidRPr="003823B0">
          <w:rPr>
            <w:rStyle w:val="Hyperlink"/>
          </w:rPr>
          <w:t>Sustainable Indigenous housing in regional and remote Australia’</w:t>
        </w:r>
      </w:hyperlink>
      <w:r>
        <w:t xml:space="preserve">, </w:t>
      </w:r>
      <w:r w:rsidRPr="00AE1BC8">
        <w:t>AHURI,</w:t>
      </w:r>
      <w:r w:rsidRPr="74B6247B">
        <w:rPr>
          <w:i/>
          <w:iCs/>
        </w:rPr>
        <w:t xml:space="preserve"> </w:t>
      </w:r>
      <w:r>
        <w:t>2021.</w:t>
      </w:r>
    </w:p>
  </w:footnote>
  <w:footnote w:id="166">
    <w:p w14:paraId="78B5A67E" w14:textId="77777777" w:rsidR="00551032" w:rsidRDefault="00551032" w:rsidP="00B6493F">
      <w:pPr>
        <w:pStyle w:val="FootnoteText"/>
      </w:pPr>
      <w:r>
        <w:rPr>
          <w:rStyle w:val="FootnoteReference"/>
        </w:rPr>
        <w:footnoteRef/>
      </w:r>
      <w:r>
        <w:t xml:space="preserve"> Green D, Minchin L, </w:t>
      </w:r>
      <w:r w:rsidRPr="00AE1BC8">
        <w:t>‘Living on Climate-Change Country: Indigenous Health, Well-Being and Climate Change in Remote Australian Communities’</w:t>
      </w:r>
      <w:r>
        <w:t xml:space="preserve">, </w:t>
      </w:r>
      <w:r w:rsidRPr="74B6247B">
        <w:rPr>
          <w:i/>
          <w:iCs/>
        </w:rPr>
        <w:t>EcoHealth</w:t>
      </w:r>
      <w:r>
        <w:t>, 2014; Ford et al, ‘</w:t>
      </w:r>
      <w:r w:rsidRPr="74B6247B">
        <w:rPr>
          <w:i/>
          <w:iCs/>
        </w:rPr>
        <w:t>The Resilience of Indigenous Peoples to Environmental Change’</w:t>
      </w:r>
      <w:r>
        <w:t xml:space="preserve">, </w:t>
      </w:r>
      <w:r w:rsidRPr="74B6247B">
        <w:rPr>
          <w:i/>
          <w:iCs/>
        </w:rPr>
        <w:t>One Earth</w:t>
      </w:r>
      <w:r>
        <w:t xml:space="preserve">, 2020; HEAL Network &amp; CRE-STRIDE 2021, </w:t>
      </w:r>
      <w:r w:rsidRPr="74B6247B">
        <w:rPr>
          <w:i/>
          <w:iCs/>
        </w:rPr>
        <w:t>Climate Change and Aboriginal and Torres Strait Islander Health</w:t>
      </w:r>
      <w:r>
        <w:t xml:space="preserve">, Lowitja Institute, Melbourne, DOI: 10.48455/bthg-aj15. </w:t>
      </w:r>
    </w:p>
  </w:footnote>
  <w:footnote w:id="167">
    <w:p w14:paraId="6BC127CE" w14:textId="613F033C" w:rsidR="00551032" w:rsidRPr="007D0988" w:rsidRDefault="00551032" w:rsidP="00B6493F">
      <w:pPr>
        <w:pStyle w:val="FootnoteText"/>
      </w:pPr>
      <w:r>
        <w:rPr>
          <w:rStyle w:val="FootnoteReference"/>
        </w:rPr>
        <w:footnoteRef/>
      </w:r>
      <w:r>
        <w:t xml:space="preserve"> Commonwealth of Australia, </w:t>
      </w:r>
      <w:hyperlink r:id="rId153" w:history="1">
        <w:r w:rsidRPr="00791E3D">
          <w:rPr>
            <w:rStyle w:val="Hyperlink"/>
            <w:i/>
            <w:iCs/>
          </w:rPr>
          <w:t>National Agreement on Closing the Gap</w:t>
        </w:r>
      </w:hyperlink>
      <w:r>
        <w:t>, Department of the Prime Minister and Cabinet, 2020.</w:t>
      </w:r>
    </w:p>
  </w:footnote>
  <w:footnote w:id="168">
    <w:p w14:paraId="6C2109BC" w14:textId="77777777" w:rsidR="00551032" w:rsidRDefault="00551032" w:rsidP="00E554E1">
      <w:pPr>
        <w:pStyle w:val="FootnoteText"/>
      </w:pPr>
      <w:r>
        <w:rPr>
          <w:rStyle w:val="FootnoteReference"/>
        </w:rPr>
        <w:footnoteRef/>
      </w:r>
      <w:r>
        <w:t xml:space="preserve"> Department of Climate Change, Energy, the Environment and Water, </w:t>
      </w:r>
      <w:hyperlink r:id="rId154" w:history="1">
        <w:r w:rsidRPr="0095475D">
          <w:rPr>
            <w:rStyle w:val="Hyperlink"/>
          </w:rPr>
          <w:t>First Nations Clean Energy Strategy</w:t>
        </w:r>
      </w:hyperlink>
      <w:r>
        <w:t xml:space="preserve">. </w:t>
      </w:r>
    </w:p>
  </w:footnote>
  <w:footnote w:id="169">
    <w:p w14:paraId="4A7F73E6" w14:textId="77777777" w:rsidR="00551032" w:rsidRDefault="00551032" w:rsidP="00265FBF">
      <w:pPr>
        <w:pStyle w:val="FootnoteText"/>
      </w:pPr>
      <w:r>
        <w:rPr>
          <w:rStyle w:val="FootnoteReference"/>
        </w:rPr>
        <w:footnoteRef/>
      </w:r>
      <w:r>
        <w:t xml:space="preserve"> Department of Climate Change, Energy, the Environment and Water, </w:t>
      </w:r>
      <w:hyperlink r:id="rId155" w:history="1">
        <w:r w:rsidRPr="00B81141">
          <w:rPr>
            <w:rStyle w:val="Hyperlink"/>
            <w:i/>
          </w:rPr>
          <w:t>Heating and Cooling</w:t>
        </w:r>
      </w:hyperlink>
      <w:r>
        <w:t>, n.d.</w:t>
      </w:r>
    </w:p>
  </w:footnote>
  <w:footnote w:id="170">
    <w:p w14:paraId="168E091C" w14:textId="77777777" w:rsidR="00551032" w:rsidRPr="004B4995" w:rsidRDefault="00551032">
      <w:pPr>
        <w:pStyle w:val="FootnoteText"/>
      </w:pPr>
      <w:r>
        <w:rPr>
          <w:rStyle w:val="FootnoteReference"/>
        </w:rPr>
        <w:footnoteRef/>
      </w:r>
      <w:r>
        <w:t xml:space="preserve"> New South Wales Independent Flood Inquiry, </w:t>
      </w:r>
      <w:hyperlink r:id="rId156" w:history="1">
        <w:r w:rsidRPr="004B4995">
          <w:rPr>
            <w:rStyle w:val="Hyperlink"/>
            <w:i/>
          </w:rPr>
          <w:t>2022 Flood Inquiry</w:t>
        </w:r>
      </w:hyperlink>
      <w:r>
        <w:rPr>
          <w:i/>
        </w:rPr>
        <w:t xml:space="preserve">, </w:t>
      </w:r>
      <w:r>
        <w:t>2022.</w:t>
      </w:r>
    </w:p>
  </w:footnote>
  <w:footnote w:id="171">
    <w:p w14:paraId="620046BE" w14:textId="77777777" w:rsidR="00551032" w:rsidRPr="00B434D4" w:rsidRDefault="00551032">
      <w:pPr>
        <w:pStyle w:val="FootnoteText"/>
      </w:pPr>
      <w:r>
        <w:rPr>
          <w:rStyle w:val="FootnoteReference"/>
        </w:rPr>
        <w:footnoteRef/>
      </w:r>
      <w:r>
        <w:t xml:space="preserve"> </w:t>
      </w:r>
      <w:r w:rsidRPr="00233160">
        <w:rPr>
          <w:rFonts w:ascii="Calibri" w:hAnsi="Calibri" w:cs="Calibri"/>
        </w:rPr>
        <w:t xml:space="preserve">Senate </w:t>
      </w:r>
      <w:r>
        <w:rPr>
          <w:rFonts w:ascii="Calibri" w:hAnsi="Calibri" w:cs="Calibri"/>
        </w:rPr>
        <w:t>ECRC,</w:t>
      </w:r>
      <w:r w:rsidRPr="00233160">
        <w:rPr>
          <w:rFonts w:ascii="Calibri" w:hAnsi="Calibri" w:cs="Calibri"/>
        </w:rPr>
        <w:t xml:space="preserve"> </w:t>
      </w:r>
      <w:hyperlink r:id="rId157" w:history="1">
        <w:r w:rsidRPr="74B6247B">
          <w:rPr>
            <w:rStyle w:val="Hyperlink"/>
            <w:rFonts w:ascii="Calibri" w:hAnsi="Calibri" w:cs="Calibri"/>
            <w:i/>
            <w:iCs/>
          </w:rPr>
          <w:t>Current and future impacts of climate change on housing, buildings and infrastructure</w:t>
        </w:r>
      </w:hyperlink>
      <w:r>
        <w:rPr>
          <w:rStyle w:val="Hyperlink"/>
          <w:rFonts w:ascii="Calibri" w:hAnsi="Calibri" w:cs="Calibri"/>
          <w:color w:val="auto"/>
          <w:u w:val="none"/>
        </w:rPr>
        <w:t>, 2018.</w:t>
      </w:r>
    </w:p>
  </w:footnote>
  <w:footnote w:id="172">
    <w:p w14:paraId="3FA6E37B" w14:textId="77777777" w:rsidR="00551032" w:rsidRDefault="00551032" w:rsidP="00D93730">
      <w:pPr>
        <w:pStyle w:val="FootnoteText"/>
      </w:pPr>
      <w:r>
        <w:rPr>
          <w:rStyle w:val="FootnoteReference"/>
        </w:rPr>
        <w:footnoteRef/>
      </w:r>
      <w:r>
        <w:t xml:space="preserve"> AHURI, </w:t>
      </w:r>
      <w:hyperlink r:id="rId158" w:history="1">
        <w:r w:rsidRPr="74B6247B">
          <w:rPr>
            <w:rStyle w:val="Hyperlink"/>
            <w:i/>
            <w:iCs/>
          </w:rPr>
          <w:t>Climate change and low-income housing</w:t>
        </w:r>
      </w:hyperlink>
      <w:r>
        <w: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D019" w14:textId="77777777" w:rsidR="00AB6526" w:rsidRDefault="00AB6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BD23F" w14:textId="77777777" w:rsidR="00AB6526" w:rsidRDefault="00AB65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924393"/>
      <w:docPartObj>
        <w:docPartGallery w:val="Cover Pages"/>
        <w:docPartUnique/>
      </w:docPartObj>
    </w:sdtPr>
    <w:sdtEndPr>
      <w:rPr>
        <w:rStyle w:val="Strong"/>
        <w:rFonts w:ascii="Georgia" w:hAnsi="Georgia"/>
        <w:b/>
        <w:bCs/>
        <w:color w:val="500778"/>
        <w:sz w:val="48"/>
        <w:szCs w:val="48"/>
      </w:rPr>
    </w:sdtEndPr>
    <w:sdtContent>
      <w:p w14:paraId="79F56DEC" w14:textId="35E8E8D8" w:rsidR="00551032" w:rsidRPr="003C24D1" w:rsidRDefault="00551032" w:rsidP="003C24D1">
        <w:pPr>
          <w:pStyle w:val="NoSpacing"/>
          <w:spacing w:before="240" w:line="216" w:lineRule="auto"/>
          <w:ind w:left="-992" w:right="-471"/>
          <w:rPr>
            <w:rStyle w:val="Strong"/>
            <w:rFonts w:ascii="Georgia" w:hAnsi="Georgia"/>
            <w:b w:val="0"/>
            <w:bCs w:val="0"/>
            <w:color w:val="000000" w:themeColor="text1"/>
            <w:sz w:val="72"/>
            <w:szCs w:val="72"/>
          </w:rPr>
        </w:pPr>
        <w:r>
          <w:rPr>
            <w:rFonts w:ascii="Georgia" w:hAnsi="Georgia"/>
            <w:color w:val="000000" w:themeColor="text1"/>
            <w:sz w:val="72"/>
            <w:szCs w:val="72"/>
          </w:rPr>
          <w:t>National Housing and Homelessness Plan</w:t>
        </w:r>
        <w:r w:rsidRPr="00657B0A">
          <w:rPr>
            <w:rFonts w:ascii="Georgia" w:hAnsi="Georgia"/>
            <w:color w:val="000000" w:themeColor="text1"/>
            <w:sz w:val="72"/>
            <w:szCs w:val="72"/>
          </w:rPr>
          <w:t xml:space="preserve"> Issues Paper</w:t>
        </w:r>
      </w:p>
    </w:sdtContent>
  </w:sdt>
  <w:p w14:paraId="74B3E7A0" w14:textId="1CB8D5F9" w:rsidR="00551032" w:rsidRPr="003C24D1" w:rsidRDefault="00551032" w:rsidP="003C24D1">
    <w:pPr>
      <w:ind w:left="-993"/>
      <w:rPr>
        <w:rFonts w:ascii="Georgia" w:hAnsi="Georgia"/>
        <w:b/>
        <w:bCs/>
        <w:color w:val="500778"/>
        <w:sz w:val="48"/>
        <w:szCs w:val="48"/>
      </w:rPr>
    </w:pPr>
    <w:r>
      <w:rPr>
        <w:noProof/>
        <w:lang w:eastAsia="en-AU"/>
      </w:rPr>
      <w:drawing>
        <wp:anchor distT="0" distB="0" distL="114300" distR="114300" simplePos="0" relativeHeight="251658240" behindDoc="0" locked="0" layoutInCell="1" allowOverlap="1" wp14:anchorId="12AED5DA" wp14:editId="14E36BDC">
          <wp:simplePos x="0" y="0"/>
          <wp:positionH relativeFrom="page">
            <wp:align>left</wp:align>
          </wp:positionH>
          <wp:positionV relativeFrom="paragraph">
            <wp:posOffset>129771</wp:posOffset>
          </wp:positionV>
          <wp:extent cx="7617534" cy="11430942"/>
          <wp:effectExtent l="0" t="0" r="2540" b="0"/>
          <wp:wrapNone/>
          <wp:docPr id="31" name="Picture 31" descr="The artwork on the cover of the paper is by artist Rodney Mallee. The artwork depicts a black and white city surounded by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pencanvas.com.au/wp-content/uploads/2016/10/D0A9686-e147938295749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534" cy="114309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A1A"/>
    <w:multiLevelType w:val="hybridMultilevel"/>
    <w:tmpl w:val="DC1A6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31801"/>
    <w:multiLevelType w:val="hybridMultilevel"/>
    <w:tmpl w:val="437A2B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B023B0"/>
    <w:multiLevelType w:val="hybridMultilevel"/>
    <w:tmpl w:val="B204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7087A"/>
    <w:multiLevelType w:val="hybridMultilevel"/>
    <w:tmpl w:val="DC96FF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6855660"/>
    <w:multiLevelType w:val="hybridMultilevel"/>
    <w:tmpl w:val="C7B4C6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E67455A"/>
    <w:multiLevelType w:val="hybridMultilevel"/>
    <w:tmpl w:val="229049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54188F"/>
    <w:multiLevelType w:val="hybridMultilevel"/>
    <w:tmpl w:val="BCEA15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7136D62"/>
    <w:multiLevelType w:val="hybridMultilevel"/>
    <w:tmpl w:val="D4FC5B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8A934AC"/>
    <w:multiLevelType w:val="hybridMultilevel"/>
    <w:tmpl w:val="F71A5B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FC74028"/>
    <w:multiLevelType w:val="hybridMultilevel"/>
    <w:tmpl w:val="F5BA79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3C4561D"/>
    <w:multiLevelType w:val="hybridMultilevel"/>
    <w:tmpl w:val="9F1220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5271039"/>
    <w:multiLevelType w:val="hybridMultilevel"/>
    <w:tmpl w:val="052C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B55751"/>
    <w:multiLevelType w:val="hybridMultilevel"/>
    <w:tmpl w:val="ED349218"/>
    <w:lvl w:ilvl="0" w:tplc="3046607C">
      <w:start w:val="1"/>
      <w:numFmt w:val="decimal"/>
      <w:lvlText w:val="%1."/>
      <w:lvlJc w:val="left"/>
      <w:pPr>
        <w:ind w:left="640" w:hanging="365"/>
      </w:pPr>
      <w:rPr>
        <w:rFonts w:ascii="Arial" w:eastAsia="Arial" w:hAnsi="Arial" w:cs="Arial" w:hint="default"/>
        <w:spacing w:val="0"/>
        <w:w w:val="100"/>
        <w:sz w:val="22"/>
        <w:szCs w:val="22"/>
        <w:lang w:val="en-US" w:eastAsia="en-US" w:bidi="ar-SA"/>
      </w:rPr>
    </w:lvl>
    <w:lvl w:ilvl="1" w:tplc="CDACD526">
      <w:numFmt w:val="bullet"/>
      <w:lvlText w:val="•"/>
      <w:lvlJc w:val="left"/>
      <w:pPr>
        <w:ind w:left="1672" w:hanging="365"/>
      </w:pPr>
      <w:rPr>
        <w:lang w:val="en-US" w:eastAsia="en-US" w:bidi="ar-SA"/>
      </w:rPr>
    </w:lvl>
    <w:lvl w:ilvl="2" w:tplc="98AC7364">
      <w:numFmt w:val="bullet"/>
      <w:lvlText w:val="•"/>
      <w:lvlJc w:val="left"/>
      <w:pPr>
        <w:ind w:left="2705" w:hanging="365"/>
      </w:pPr>
      <w:rPr>
        <w:lang w:val="en-US" w:eastAsia="en-US" w:bidi="ar-SA"/>
      </w:rPr>
    </w:lvl>
    <w:lvl w:ilvl="3" w:tplc="5C386582">
      <w:numFmt w:val="bullet"/>
      <w:lvlText w:val="•"/>
      <w:lvlJc w:val="left"/>
      <w:pPr>
        <w:ind w:left="3737" w:hanging="365"/>
      </w:pPr>
      <w:rPr>
        <w:lang w:val="en-US" w:eastAsia="en-US" w:bidi="ar-SA"/>
      </w:rPr>
    </w:lvl>
    <w:lvl w:ilvl="4" w:tplc="89BA0FA6">
      <w:numFmt w:val="bullet"/>
      <w:lvlText w:val="•"/>
      <w:lvlJc w:val="left"/>
      <w:pPr>
        <w:ind w:left="4770" w:hanging="365"/>
      </w:pPr>
      <w:rPr>
        <w:lang w:val="en-US" w:eastAsia="en-US" w:bidi="ar-SA"/>
      </w:rPr>
    </w:lvl>
    <w:lvl w:ilvl="5" w:tplc="9ACCFD20">
      <w:numFmt w:val="bullet"/>
      <w:lvlText w:val="•"/>
      <w:lvlJc w:val="left"/>
      <w:pPr>
        <w:ind w:left="5803" w:hanging="365"/>
      </w:pPr>
      <w:rPr>
        <w:lang w:val="en-US" w:eastAsia="en-US" w:bidi="ar-SA"/>
      </w:rPr>
    </w:lvl>
    <w:lvl w:ilvl="6" w:tplc="74321176">
      <w:numFmt w:val="bullet"/>
      <w:lvlText w:val="•"/>
      <w:lvlJc w:val="left"/>
      <w:pPr>
        <w:ind w:left="6835" w:hanging="365"/>
      </w:pPr>
      <w:rPr>
        <w:lang w:val="en-US" w:eastAsia="en-US" w:bidi="ar-SA"/>
      </w:rPr>
    </w:lvl>
    <w:lvl w:ilvl="7" w:tplc="224E525C">
      <w:numFmt w:val="bullet"/>
      <w:lvlText w:val="•"/>
      <w:lvlJc w:val="left"/>
      <w:pPr>
        <w:ind w:left="7868" w:hanging="365"/>
      </w:pPr>
      <w:rPr>
        <w:lang w:val="en-US" w:eastAsia="en-US" w:bidi="ar-SA"/>
      </w:rPr>
    </w:lvl>
    <w:lvl w:ilvl="8" w:tplc="053E7E96">
      <w:numFmt w:val="bullet"/>
      <w:lvlText w:val="•"/>
      <w:lvlJc w:val="left"/>
      <w:pPr>
        <w:ind w:left="8901" w:hanging="365"/>
      </w:pPr>
      <w:rPr>
        <w:lang w:val="en-US" w:eastAsia="en-US" w:bidi="ar-SA"/>
      </w:rPr>
    </w:lvl>
  </w:abstractNum>
  <w:abstractNum w:abstractNumId="13" w15:restartNumberingAfterBreak="0">
    <w:nsid w:val="26C03B41"/>
    <w:multiLevelType w:val="hybridMultilevel"/>
    <w:tmpl w:val="D54A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D75DF"/>
    <w:multiLevelType w:val="multilevel"/>
    <w:tmpl w:val="EDACA7E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607"/>
        </w:tabs>
        <w:ind w:left="1607"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5A0BB0"/>
    <w:multiLevelType w:val="hybridMultilevel"/>
    <w:tmpl w:val="35AC9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B4130F"/>
    <w:multiLevelType w:val="hybridMultilevel"/>
    <w:tmpl w:val="C8340F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8A70B06"/>
    <w:multiLevelType w:val="hybridMultilevel"/>
    <w:tmpl w:val="24982F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DAA5747"/>
    <w:multiLevelType w:val="hybridMultilevel"/>
    <w:tmpl w:val="D93A1798"/>
    <w:lvl w:ilvl="0" w:tplc="9B10637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E41C32"/>
    <w:multiLevelType w:val="hybridMultilevel"/>
    <w:tmpl w:val="2290499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8E04AC"/>
    <w:multiLevelType w:val="hybridMultilevel"/>
    <w:tmpl w:val="D15EC2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F420892"/>
    <w:multiLevelType w:val="hybridMultilevel"/>
    <w:tmpl w:val="EE5284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0DC7646"/>
    <w:multiLevelType w:val="hybridMultilevel"/>
    <w:tmpl w:val="2DB608D8"/>
    <w:lvl w:ilvl="0" w:tplc="C778CD50">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550701"/>
    <w:multiLevelType w:val="hybridMultilevel"/>
    <w:tmpl w:val="B512E99A"/>
    <w:lvl w:ilvl="0" w:tplc="7BD403A2">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5732AD"/>
    <w:multiLevelType w:val="hybridMultilevel"/>
    <w:tmpl w:val="B83204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5B6763"/>
    <w:multiLevelType w:val="hybridMultilevel"/>
    <w:tmpl w:val="5A12C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F7174EF"/>
    <w:multiLevelType w:val="hybridMultilevel"/>
    <w:tmpl w:val="A9FCB3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2AC609E"/>
    <w:multiLevelType w:val="hybridMultilevel"/>
    <w:tmpl w:val="B0A8BF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2F0123E"/>
    <w:multiLevelType w:val="hybridMultilevel"/>
    <w:tmpl w:val="2B781E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38C740E"/>
    <w:multiLevelType w:val="hybridMultilevel"/>
    <w:tmpl w:val="0E9854A6"/>
    <w:lvl w:ilvl="0" w:tplc="C61CBE5C">
      <w:start w:val="1"/>
      <w:numFmt w:val="decimal"/>
      <w:lvlText w:val="%1."/>
      <w:lvlJc w:val="left"/>
      <w:pPr>
        <w:ind w:left="720" w:hanging="360"/>
      </w:pPr>
      <w:rPr>
        <w:rFonts w:hint="default"/>
        <w:b w:val="0"/>
        <w:i w:val="0"/>
        <w:iCs w:val="0"/>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FD165A"/>
    <w:multiLevelType w:val="hybridMultilevel"/>
    <w:tmpl w:val="D8721F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D505C9"/>
    <w:multiLevelType w:val="hybridMultilevel"/>
    <w:tmpl w:val="61823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B592C49"/>
    <w:multiLevelType w:val="hybridMultilevel"/>
    <w:tmpl w:val="58B6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172E49"/>
    <w:multiLevelType w:val="hybridMultilevel"/>
    <w:tmpl w:val="BE8C9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E279C3"/>
    <w:multiLevelType w:val="hybridMultilevel"/>
    <w:tmpl w:val="88D27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A73F00"/>
    <w:multiLevelType w:val="hybridMultilevel"/>
    <w:tmpl w:val="E42644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440306E"/>
    <w:multiLevelType w:val="hybridMultilevel"/>
    <w:tmpl w:val="6B700F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4902B32"/>
    <w:multiLevelType w:val="hybridMultilevel"/>
    <w:tmpl w:val="D45A1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F4249B"/>
    <w:multiLevelType w:val="hybridMultilevel"/>
    <w:tmpl w:val="12DA7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071771C"/>
    <w:multiLevelType w:val="hybridMultilevel"/>
    <w:tmpl w:val="A1B2D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08C7033"/>
    <w:multiLevelType w:val="hybridMultilevel"/>
    <w:tmpl w:val="2D324572"/>
    <w:lvl w:ilvl="0" w:tplc="79D42F1C">
      <w:start w:val="1"/>
      <w:numFmt w:val="decimal"/>
      <w:lvlText w:val="%1."/>
      <w:lvlJc w:val="left"/>
      <w:pPr>
        <w:ind w:left="720" w:hanging="360"/>
      </w:pPr>
    </w:lvl>
    <w:lvl w:ilvl="1" w:tplc="98E8A524">
      <w:start w:val="1"/>
      <w:numFmt w:val="lowerLetter"/>
      <w:lvlText w:val="%2."/>
      <w:lvlJc w:val="left"/>
      <w:pPr>
        <w:ind w:left="1440" w:hanging="360"/>
      </w:pPr>
    </w:lvl>
    <w:lvl w:ilvl="2" w:tplc="E8B29520">
      <w:start w:val="1"/>
      <w:numFmt w:val="lowerRoman"/>
      <w:lvlText w:val="%3."/>
      <w:lvlJc w:val="right"/>
      <w:pPr>
        <w:ind w:left="2160" w:hanging="180"/>
      </w:pPr>
    </w:lvl>
    <w:lvl w:ilvl="3" w:tplc="516C0152">
      <w:start w:val="1"/>
      <w:numFmt w:val="decimal"/>
      <w:lvlText w:val="%4."/>
      <w:lvlJc w:val="left"/>
      <w:pPr>
        <w:ind w:left="2880" w:hanging="360"/>
      </w:pPr>
    </w:lvl>
    <w:lvl w:ilvl="4" w:tplc="05B2D510">
      <w:start w:val="1"/>
      <w:numFmt w:val="lowerLetter"/>
      <w:lvlText w:val="%5."/>
      <w:lvlJc w:val="left"/>
      <w:pPr>
        <w:ind w:left="3600" w:hanging="360"/>
      </w:pPr>
    </w:lvl>
    <w:lvl w:ilvl="5" w:tplc="48E2597C">
      <w:start w:val="1"/>
      <w:numFmt w:val="lowerRoman"/>
      <w:lvlText w:val="%6."/>
      <w:lvlJc w:val="right"/>
      <w:pPr>
        <w:ind w:left="4320" w:hanging="180"/>
      </w:pPr>
    </w:lvl>
    <w:lvl w:ilvl="6" w:tplc="87962F16">
      <w:start w:val="1"/>
      <w:numFmt w:val="decimal"/>
      <w:lvlText w:val="%7."/>
      <w:lvlJc w:val="left"/>
      <w:pPr>
        <w:ind w:left="5040" w:hanging="360"/>
      </w:pPr>
    </w:lvl>
    <w:lvl w:ilvl="7" w:tplc="CBB2EE26">
      <w:start w:val="1"/>
      <w:numFmt w:val="lowerLetter"/>
      <w:lvlText w:val="%8."/>
      <w:lvlJc w:val="left"/>
      <w:pPr>
        <w:ind w:left="5760" w:hanging="360"/>
      </w:pPr>
    </w:lvl>
    <w:lvl w:ilvl="8" w:tplc="D3E82020">
      <w:start w:val="1"/>
      <w:numFmt w:val="lowerRoman"/>
      <w:lvlText w:val="%9."/>
      <w:lvlJc w:val="right"/>
      <w:pPr>
        <w:ind w:left="6480" w:hanging="180"/>
      </w:pPr>
    </w:lvl>
  </w:abstractNum>
  <w:abstractNum w:abstractNumId="41" w15:restartNumberingAfterBreak="0">
    <w:nsid w:val="710A694B"/>
    <w:multiLevelType w:val="hybridMultilevel"/>
    <w:tmpl w:val="C6FE9E60"/>
    <w:lvl w:ilvl="0" w:tplc="55122946">
      <w:start w:val="1"/>
      <w:numFmt w:val="decimal"/>
      <w:lvlText w:val="%1."/>
      <w:lvlJc w:val="left"/>
      <w:pPr>
        <w:ind w:left="720" w:hanging="360"/>
      </w:pPr>
      <w:rPr>
        <w:rFonts w:ascii="Arial" w:hAnsi="Arial" w:cs="Arial" w:hint="default"/>
        <w:b w:val="0"/>
        <w:color w:val="000000" w:themeColor="text1"/>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9C7B58"/>
    <w:multiLevelType w:val="hybridMultilevel"/>
    <w:tmpl w:val="5A34F712"/>
    <w:lvl w:ilvl="0" w:tplc="02D63392">
      <w:start w:val="1"/>
      <w:numFmt w:val="decimal"/>
      <w:lvlText w:val="%1."/>
      <w:lvlJc w:val="left"/>
      <w:pPr>
        <w:ind w:left="639" w:hanging="365"/>
      </w:pPr>
      <w:rPr>
        <w:rFonts w:ascii="Arial" w:eastAsia="Arial" w:hAnsi="Arial" w:cs="Arial" w:hint="default"/>
        <w:spacing w:val="0"/>
        <w:w w:val="100"/>
        <w:sz w:val="22"/>
        <w:szCs w:val="22"/>
        <w:lang w:val="en-US" w:eastAsia="en-US" w:bidi="ar-SA"/>
      </w:rPr>
    </w:lvl>
    <w:lvl w:ilvl="1" w:tplc="BA48E078">
      <w:numFmt w:val="bullet"/>
      <w:lvlText w:val="•"/>
      <w:lvlJc w:val="left"/>
      <w:pPr>
        <w:ind w:left="1672" w:hanging="365"/>
      </w:pPr>
      <w:rPr>
        <w:lang w:val="en-US" w:eastAsia="en-US" w:bidi="ar-SA"/>
      </w:rPr>
    </w:lvl>
    <w:lvl w:ilvl="2" w:tplc="03DE9EA2">
      <w:numFmt w:val="bullet"/>
      <w:lvlText w:val="•"/>
      <w:lvlJc w:val="left"/>
      <w:pPr>
        <w:ind w:left="2705" w:hanging="365"/>
      </w:pPr>
      <w:rPr>
        <w:lang w:val="en-US" w:eastAsia="en-US" w:bidi="ar-SA"/>
      </w:rPr>
    </w:lvl>
    <w:lvl w:ilvl="3" w:tplc="5636CD36">
      <w:numFmt w:val="bullet"/>
      <w:lvlText w:val="•"/>
      <w:lvlJc w:val="left"/>
      <w:pPr>
        <w:ind w:left="3737" w:hanging="365"/>
      </w:pPr>
      <w:rPr>
        <w:lang w:val="en-US" w:eastAsia="en-US" w:bidi="ar-SA"/>
      </w:rPr>
    </w:lvl>
    <w:lvl w:ilvl="4" w:tplc="264473B0">
      <w:numFmt w:val="bullet"/>
      <w:lvlText w:val="•"/>
      <w:lvlJc w:val="left"/>
      <w:pPr>
        <w:ind w:left="4770" w:hanging="365"/>
      </w:pPr>
      <w:rPr>
        <w:lang w:val="en-US" w:eastAsia="en-US" w:bidi="ar-SA"/>
      </w:rPr>
    </w:lvl>
    <w:lvl w:ilvl="5" w:tplc="988811BA">
      <w:numFmt w:val="bullet"/>
      <w:lvlText w:val="•"/>
      <w:lvlJc w:val="left"/>
      <w:pPr>
        <w:ind w:left="5803" w:hanging="365"/>
      </w:pPr>
      <w:rPr>
        <w:lang w:val="en-US" w:eastAsia="en-US" w:bidi="ar-SA"/>
      </w:rPr>
    </w:lvl>
    <w:lvl w:ilvl="6" w:tplc="8928626A">
      <w:numFmt w:val="bullet"/>
      <w:lvlText w:val="•"/>
      <w:lvlJc w:val="left"/>
      <w:pPr>
        <w:ind w:left="6835" w:hanging="365"/>
      </w:pPr>
      <w:rPr>
        <w:lang w:val="en-US" w:eastAsia="en-US" w:bidi="ar-SA"/>
      </w:rPr>
    </w:lvl>
    <w:lvl w:ilvl="7" w:tplc="1854C9B0">
      <w:numFmt w:val="bullet"/>
      <w:lvlText w:val="•"/>
      <w:lvlJc w:val="left"/>
      <w:pPr>
        <w:ind w:left="7868" w:hanging="365"/>
      </w:pPr>
      <w:rPr>
        <w:lang w:val="en-US" w:eastAsia="en-US" w:bidi="ar-SA"/>
      </w:rPr>
    </w:lvl>
    <w:lvl w:ilvl="8" w:tplc="029C5B02">
      <w:numFmt w:val="bullet"/>
      <w:lvlText w:val="•"/>
      <w:lvlJc w:val="left"/>
      <w:pPr>
        <w:ind w:left="8901" w:hanging="365"/>
      </w:pPr>
      <w:rPr>
        <w:lang w:val="en-US" w:eastAsia="en-US" w:bidi="ar-SA"/>
      </w:rPr>
    </w:lvl>
  </w:abstractNum>
  <w:abstractNum w:abstractNumId="43" w15:restartNumberingAfterBreak="0">
    <w:nsid w:val="770605F8"/>
    <w:multiLevelType w:val="hybridMultilevel"/>
    <w:tmpl w:val="6FCA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F13A3D"/>
    <w:multiLevelType w:val="hybridMultilevel"/>
    <w:tmpl w:val="FE4662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B9C630D"/>
    <w:multiLevelType w:val="hybridMultilevel"/>
    <w:tmpl w:val="0E9854A6"/>
    <w:lvl w:ilvl="0" w:tplc="FFFFFFFF">
      <w:start w:val="1"/>
      <w:numFmt w:val="decimal"/>
      <w:lvlText w:val="%1."/>
      <w:lvlJc w:val="left"/>
      <w:pPr>
        <w:ind w:left="720" w:hanging="360"/>
      </w:pPr>
      <w:rPr>
        <w:rFonts w:hint="default"/>
        <w:b w:val="0"/>
        <w:i w:val="0"/>
        <w:iCs w:val="0"/>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4"/>
  </w:num>
  <w:num w:numId="4">
    <w:abstractNumId w:val="40"/>
  </w:num>
  <w:num w:numId="5">
    <w:abstractNumId w:val="19"/>
  </w:num>
  <w:num w:numId="6">
    <w:abstractNumId w:val="41"/>
  </w:num>
  <w:num w:numId="7">
    <w:abstractNumId w:val="29"/>
  </w:num>
  <w:num w:numId="8">
    <w:abstractNumId w:val="23"/>
  </w:num>
  <w:num w:numId="9">
    <w:abstractNumId w:val="34"/>
  </w:num>
  <w:num w:numId="10">
    <w:abstractNumId w:val="45"/>
  </w:num>
  <w:num w:numId="11">
    <w:abstractNumId w:val="5"/>
  </w:num>
  <w:num w:numId="12">
    <w:abstractNumId w:val="2"/>
  </w:num>
  <w:num w:numId="13">
    <w:abstractNumId w:val="25"/>
  </w:num>
  <w:num w:numId="14">
    <w:abstractNumId w:val="30"/>
  </w:num>
  <w:num w:numId="15">
    <w:abstractNumId w:val="15"/>
  </w:num>
  <w:num w:numId="16">
    <w:abstractNumId w:val="33"/>
  </w:num>
  <w:num w:numId="17">
    <w:abstractNumId w:val="11"/>
  </w:num>
  <w:num w:numId="18">
    <w:abstractNumId w:val="42"/>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43"/>
  </w:num>
  <w:num w:numId="21">
    <w:abstractNumId w:val="32"/>
  </w:num>
  <w:num w:numId="22">
    <w:abstractNumId w:val="37"/>
  </w:num>
  <w:num w:numId="23">
    <w:abstractNumId w:val="13"/>
  </w:num>
  <w:num w:numId="24">
    <w:abstractNumId w:val="7"/>
  </w:num>
  <w:num w:numId="25">
    <w:abstractNumId w:val="35"/>
  </w:num>
  <w:num w:numId="26">
    <w:abstractNumId w:val="4"/>
  </w:num>
  <w:num w:numId="27">
    <w:abstractNumId w:val="20"/>
  </w:num>
  <w:num w:numId="28">
    <w:abstractNumId w:val="16"/>
  </w:num>
  <w:num w:numId="29">
    <w:abstractNumId w:val="44"/>
  </w:num>
  <w:num w:numId="30">
    <w:abstractNumId w:val="21"/>
  </w:num>
  <w:num w:numId="31">
    <w:abstractNumId w:val="8"/>
  </w:num>
  <w:num w:numId="32">
    <w:abstractNumId w:val="0"/>
  </w:num>
  <w:num w:numId="33">
    <w:abstractNumId w:val="3"/>
  </w:num>
  <w:num w:numId="34">
    <w:abstractNumId w:val="9"/>
  </w:num>
  <w:num w:numId="35">
    <w:abstractNumId w:val="28"/>
  </w:num>
  <w:num w:numId="36">
    <w:abstractNumId w:val="26"/>
  </w:num>
  <w:num w:numId="37">
    <w:abstractNumId w:val="38"/>
  </w:num>
  <w:num w:numId="38">
    <w:abstractNumId w:val="6"/>
  </w:num>
  <w:num w:numId="39">
    <w:abstractNumId w:val="39"/>
  </w:num>
  <w:num w:numId="40">
    <w:abstractNumId w:val="10"/>
  </w:num>
  <w:num w:numId="41">
    <w:abstractNumId w:val="31"/>
  </w:num>
  <w:num w:numId="42">
    <w:abstractNumId w:val="36"/>
  </w:num>
  <w:num w:numId="43">
    <w:abstractNumId w:val="1"/>
  </w:num>
  <w:num w:numId="44">
    <w:abstractNumId w:val="27"/>
  </w:num>
  <w:num w:numId="45">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removePersonalInformation/>
  <w:removeDateAndTime/>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doNotTrackFormatting/>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946"/>
    <w:rsid w:val="000000D3"/>
    <w:rsid w:val="000002FC"/>
    <w:rsid w:val="0000089C"/>
    <w:rsid w:val="00000A30"/>
    <w:rsid w:val="00000D7F"/>
    <w:rsid w:val="00001231"/>
    <w:rsid w:val="000017F9"/>
    <w:rsid w:val="00001AD9"/>
    <w:rsid w:val="00001B04"/>
    <w:rsid w:val="00001D89"/>
    <w:rsid w:val="00001EC6"/>
    <w:rsid w:val="000021C8"/>
    <w:rsid w:val="00002402"/>
    <w:rsid w:val="00002B7D"/>
    <w:rsid w:val="000037D6"/>
    <w:rsid w:val="00003800"/>
    <w:rsid w:val="000038D9"/>
    <w:rsid w:val="00003936"/>
    <w:rsid w:val="00003DBC"/>
    <w:rsid w:val="00004477"/>
    <w:rsid w:val="000050C9"/>
    <w:rsid w:val="00005633"/>
    <w:rsid w:val="00005E56"/>
    <w:rsid w:val="00005E94"/>
    <w:rsid w:val="00005ED2"/>
    <w:rsid w:val="00005F55"/>
    <w:rsid w:val="00006079"/>
    <w:rsid w:val="00006424"/>
    <w:rsid w:val="000065C3"/>
    <w:rsid w:val="00006734"/>
    <w:rsid w:val="00007035"/>
    <w:rsid w:val="000073DA"/>
    <w:rsid w:val="0000740E"/>
    <w:rsid w:val="0000764F"/>
    <w:rsid w:val="00007C4D"/>
    <w:rsid w:val="00007F0A"/>
    <w:rsid w:val="00007F58"/>
    <w:rsid w:val="00010701"/>
    <w:rsid w:val="00010725"/>
    <w:rsid w:val="0001092C"/>
    <w:rsid w:val="000109AC"/>
    <w:rsid w:val="00010B1F"/>
    <w:rsid w:val="00010DE3"/>
    <w:rsid w:val="00010DF5"/>
    <w:rsid w:val="00011007"/>
    <w:rsid w:val="00011404"/>
    <w:rsid w:val="000114C7"/>
    <w:rsid w:val="00011763"/>
    <w:rsid w:val="00011855"/>
    <w:rsid w:val="00012231"/>
    <w:rsid w:val="0001250E"/>
    <w:rsid w:val="00012633"/>
    <w:rsid w:val="00012658"/>
    <w:rsid w:val="0001271F"/>
    <w:rsid w:val="000129F9"/>
    <w:rsid w:val="00012BA9"/>
    <w:rsid w:val="00013B12"/>
    <w:rsid w:val="0001422C"/>
    <w:rsid w:val="00014493"/>
    <w:rsid w:val="000146FB"/>
    <w:rsid w:val="00014DC2"/>
    <w:rsid w:val="00015E5F"/>
    <w:rsid w:val="00015F04"/>
    <w:rsid w:val="00015F27"/>
    <w:rsid w:val="00016560"/>
    <w:rsid w:val="00016922"/>
    <w:rsid w:val="00016A2C"/>
    <w:rsid w:val="00016CD6"/>
    <w:rsid w:val="00017007"/>
    <w:rsid w:val="0001723A"/>
    <w:rsid w:val="000177B6"/>
    <w:rsid w:val="00017972"/>
    <w:rsid w:val="00020263"/>
    <w:rsid w:val="0002038C"/>
    <w:rsid w:val="000203B3"/>
    <w:rsid w:val="00020810"/>
    <w:rsid w:val="00020B61"/>
    <w:rsid w:val="0002143C"/>
    <w:rsid w:val="000214C3"/>
    <w:rsid w:val="000215E6"/>
    <w:rsid w:val="00021E07"/>
    <w:rsid w:val="000223F2"/>
    <w:rsid w:val="00022715"/>
    <w:rsid w:val="00022AE9"/>
    <w:rsid w:val="00022DCA"/>
    <w:rsid w:val="00022EBD"/>
    <w:rsid w:val="00022F1F"/>
    <w:rsid w:val="00022F49"/>
    <w:rsid w:val="00023224"/>
    <w:rsid w:val="000236D5"/>
    <w:rsid w:val="000237B7"/>
    <w:rsid w:val="000238D4"/>
    <w:rsid w:val="000239BF"/>
    <w:rsid w:val="000239CF"/>
    <w:rsid w:val="00023B71"/>
    <w:rsid w:val="00023FCA"/>
    <w:rsid w:val="00024186"/>
    <w:rsid w:val="00024250"/>
    <w:rsid w:val="0002444A"/>
    <w:rsid w:val="00024528"/>
    <w:rsid w:val="00024842"/>
    <w:rsid w:val="00024855"/>
    <w:rsid w:val="00024DB6"/>
    <w:rsid w:val="00024FAA"/>
    <w:rsid w:val="00025AF3"/>
    <w:rsid w:val="00025AF6"/>
    <w:rsid w:val="00025BC8"/>
    <w:rsid w:val="00025F09"/>
    <w:rsid w:val="00025F2D"/>
    <w:rsid w:val="00025FB1"/>
    <w:rsid w:val="00025FB2"/>
    <w:rsid w:val="000266D7"/>
    <w:rsid w:val="0002691B"/>
    <w:rsid w:val="00026A3C"/>
    <w:rsid w:val="00026A78"/>
    <w:rsid w:val="000276E4"/>
    <w:rsid w:val="00027AAD"/>
    <w:rsid w:val="00027D89"/>
    <w:rsid w:val="00030123"/>
    <w:rsid w:val="000301FD"/>
    <w:rsid w:val="00030EFF"/>
    <w:rsid w:val="00031239"/>
    <w:rsid w:val="000314F4"/>
    <w:rsid w:val="000314F6"/>
    <w:rsid w:val="00031D7E"/>
    <w:rsid w:val="00031F36"/>
    <w:rsid w:val="000323A2"/>
    <w:rsid w:val="00032A21"/>
    <w:rsid w:val="000330B6"/>
    <w:rsid w:val="000330EA"/>
    <w:rsid w:val="0003357E"/>
    <w:rsid w:val="00033944"/>
    <w:rsid w:val="00033B7B"/>
    <w:rsid w:val="00033D80"/>
    <w:rsid w:val="0003402B"/>
    <w:rsid w:val="000342A6"/>
    <w:rsid w:val="0003463C"/>
    <w:rsid w:val="00034890"/>
    <w:rsid w:val="000360CB"/>
    <w:rsid w:val="00036C19"/>
    <w:rsid w:val="00036CE7"/>
    <w:rsid w:val="00037194"/>
    <w:rsid w:val="00037453"/>
    <w:rsid w:val="00037615"/>
    <w:rsid w:val="00037651"/>
    <w:rsid w:val="00037CC0"/>
    <w:rsid w:val="00037CCD"/>
    <w:rsid w:val="00037E27"/>
    <w:rsid w:val="0004046C"/>
    <w:rsid w:val="00040534"/>
    <w:rsid w:val="000409AE"/>
    <w:rsid w:val="00040B0A"/>
    <w:rsid w:val="00040B2F"/>
    <w:rsid w:val="0004124B"/>
    <w:rsid w:val="0004146D"/>
    <w:rsid w:val="000416F8"/>
    <w:rsid w:val="00041BAF"/>
    <w:rsid w:val="000422AD"/>
    <w:rsid w:val="000425F6"/>
    <w:rsid w:val="00042A39"/>
    <w:rsid w:val="00042BDF"/>
    <w:rsid w:val="00043243"/>
    <w:rsid w:val="00043488"/>
    <w:rsid w:val="00043947"/>
    <w:rsid w:val="00043DB7"/>
    <w:rsid w:val="00044005"/>
    <w:rsid w:val="00044220"/>
    <w:rsid w:val="00044377"/>
    <w:rsid w:val="00044431"/>
    <w:rsid w:val="0004449D"/>
    <w:rsid w:val="00044DCA"/>
    <w:rsid w:val="00044DE5"/>
    <w:rsid w:val="00045003"/>
    <w:rsid w:val="000453F5"/>
    <w:rsid w:val="00045491"/>
    <w:rsid w:val="000457CC"/>
    <w:rsid w:val="00045839"/>
    <w:rsid w:val="00045C16"/>
    <w:rsid w:val="00045D0A"/>
    <w:rsid w:val="00045D97"/>
    <w:rsid w:val="000460B6"/>
    <w:rsid w:val="000462C8"/>
    <w:rsid w:val="0004658C"/>
    <w:rsid w:val="000467D6"/>
    <w:rsid w:val="00046981"/>
    <w:rsid w:val="00046B7D"/>
    <w:rsid w:val="00046D8C"/>
    <w:rsid w:val="0004731B"/>
    <w:rsid w:val="0004766E"/>
    <w:rsid w:val="00047B39"/>
    <w:rsid w:val="00047C10"/>
    <w:rsid w:val="00047C7B"/>
    <w:rsid w:val="00047DAA"/>
    <w:rsid w:val="00047FEA"/>
    <w:rsid w:val="00050501"/>
    <w:rsid w:val="00050887"/>
    <w:rsid w:val="00050910"/>
    <w:rsid w:val="00050CA8"/>
    <w:rsid w:val="000512E1"/>
    <w:rsid w:val="00051D0A"/>
    <w:rsid w:val="00052762"/>
    <w:rsid w:val="00052938"/>
    <w:rsid w:val="00052EC9"/>
    <w:rsid w:val="0005357E"/>
    <w:rsid w:val="00053975"/>
    <w:rsid w:val="00053A86"/>
    <w:rsid w:val="00053B5D"/>
    <w:rsid w:val="00053DFE"/>
    <w:rsid w:val="00054C06"/>
    <w:rsid w:val="00054DD2"/>
    <w:rsid w:val="0005534B"/>
    <w:rsid w:val="0005571D"/>
    <w:rsid w:val="00055977"/>
    <w:rsid w:val="00055988"/>
    <w:rsid w:val="00055F10"/>
    <w:rsid w:val="0005617D"/>
    <w:rsid w:val="0005696E"/>
    <w:rsid w:val="00056CD1"/>
    <w:rsid w:val="000573AF"/>
    <w:rsid w:val="000575BA"/>
    <w:rsid w:val="000578D2"/>
    <w:rsid w:val="00057D0C"/>
    <w:rsid w:val="00060AF9"/>
    <w:rsid w:val="00060BD0"/>
    <w:rsid w:val="00060CD0"/>
    <w:rsid w:val="00061731"/>
    <w:rsid w:val="00061E5E"/>
    <w:rsid w:val="00061F88"/>
    <w:rsid w:val="0006277B"/>
    <w:rsid w:val="00062E0B"/>
    <w:rsid w:val="00062E12"/>
    <w:rsid w:val="00062EFD"/>
    <w:rsid w:val="00062FBA"/>
    <w:rsid w:val="0006361A"/>
    <w:rsid w:val="00063667"/>
    <w:rsid w:val="00064465"/>
    <w:rsid w:val="00064AED"/>
    <w:rsid w:val="000654CE"/>
    <w:rsid w:val="000654E4"/>
    <w:rsid w:val="00065774"/>
    <w:rsid w:val="00065FD3"/>
    <w:rsid w:val="00066437"/>
    <w:rsid w:val="000667B2"/>
    <w:rsid w:val="00066AB0"/>
    <w:rsid w:val="00066B47"/>
    <w:rsid w:val="00066E47"/>
    <w:rsid w:val="00066FAA"/>
    <w:rsid w:val="00067067"/>
    <w:rsid w:val="000671E0"/>
    <w:rsid w:val="00067498"/>
    <w:rsid w:val="00067606"/>
    <w:rsid w:val="00067649"/>
    <w:rsid w:val="000679D8"/>
    <w:rsid w:val="00070104"/>
    <w:rsid w:val="00070179"/>
    <w:rsid w:val="00070917"/>
    <w:rsid w:val="00070C58"/>
    <w:rsid w:val="00071054"/>
    <w:rsid w:val="00071392"/>
    <w:rsid w:val="00071410"/>
    <w:rsid w:val="0007167E"/>
    <w:rsid w:val="00071A10"/>
    <w:rsid w:val="0007214C"/>
    <w:rsid w:val="000727CC"/>
    <w:rsid w:val="00072938"/>
    <w:rsid w:val="000729B8"/>
    <w:rsid w:val="00072E46"/>
    <w:rsid w:val="00072EDA"/>
    <w:rsid w:val="000731F3"/>
    <w:rsid w:val="00073236"/>
    <w:rsid w:val="000735D2"/>
    <w:rsid w:val="0007378B"/>
    <w:rsid w:val="00073836"/>
    <w:rsid w:val="00073E62"/>
    <w:rsid w:val="00073ECE"/>
    <w:rsid w:val="0007410D"/>
    <w:rsid w:val="00074E0A"/>
    <w:rsid w:val="00074FD2"/>
    <w:rsid w:val="000750D8"/>
    <w:rsid w:val="00075204"/>
    <w:rsid w:val="000754CA"/>
    <w:rsid w:val="00075839"/>
    <w:rsid w:val="00075948"/>
    <w:rsid w:val="00075BF4"/>
    <w:rsid w:val="00075D0F"/>
    <w:rsid w:val="00076252"/>
    <w:rsid w:val="000766B6"/>
    <w:rsid w:val="0007682E"/>
    <w:rsid w:val="00076887"/>
    <w:rsid w:val="000769AF"/>
    <w:rsid w:val="00076AB4"/>
    <w:rsid w:val="00076D08"/>
    <w:rsid w:val="000770F9"/>
    <w:rsid w:val="00077660"/>
    <w:rsid w:val="000776F1"/>
    <w:rsid w:val="00077748"/>
    <w:rsid w:val="00077788"/>
    <w:rsid w:val="0007786D"/>
    <w:rsid w:val="00077CE2"/>
    <w:rsid w:val="0008003B"/>
    <w:rsid w:val="00080E84"/>
    <w:rsid w:val="00080EA9"/>
    <w:rsid w:val="000814F3"/>
    <w:rsid w:val="0008194C"/>
    <w:rsid w:val="00081EF6"/>
    <w:rsid w:val="000820A3"/>
    <w:rsid w:val="000832B3"/>
    <w:rsid w:val="00083308"/>
    <w:rsid w:val="000833BC"/>
    <w:rsid w:val="000834E1"/>
    <w:rsid w:val="000836E4"/>
    <w:rsid w:val="0008375A"/>
    <w:rsid w:val="000837D5"/>
    <w:rsid w:val="0008398D"/>
    <w:rsid w:val="000839BA"/>
    <w:rsid w:val="00083ABA"/>
    <w:rsid w:val="00083C28"/>
    <w:rsid w:val="00084627"/>
    <w:rsid w:val="000846D3"/>
    <w:rsid w:val="0008482C"/>
    <w:rsid w:val="00084B77"/>
    <w:rsid w:val="00084C34"/>
    <w:rsid w:val="00084D00"/>
    <w:rsid w:val="00084DAC"/>
    <w:rsid w:val="00084E4A"/>
    <w:rsid w:val="00084EEA"/>
    <w:rsid w:val="00085A08"/>
    <w:rsid w:val="00085A75"/>
    <w:rsid w:val="00085AD1"/>
    <w:rsid w:val="00085C53"/>
    <w:rsid w:val="000867A2"/>
    <w:rsid w:val="00086880"/>
    <w:rsid w:val="0008691F"/>
    <w:rsid w:val="00086B10"/>
    <w:rsid w:val="00087947"/>
    <w:rsid w:val="00087FE2"/>
    <w:rsid w:val="00090431"/>
    <w:rsid w:val="0009079F"/>
    <w:rsid w:val="00090968"/>
    <w:rsid w:val="0009096F"/>
    <w:rsid w:val="00090F45"/>
    <w:rsid w:val="00090F93"/>
    <w:rsid w:val="00090FF1"/>
    <w:rsid w:val="0009151F"/>
    <w:rsid w:val="000917BB"/>
    <w:rsid w:val="00091801"/>
    <w:rsid w:val="00091A8C"/>
    <w:rsid w:val="00091B0B"/>
    <w:rsid w:val="00092486"/>
    <w:rsid w:val="00093372"/>
    <w:rsid w:val="00093696"/>
    <w:rsid w:val="000939D2"/>
    <w:rsid w:val="00093AD6"/>
    <w:rsid w:val="00093B16"/>
    <w:rsid w:val="00093CD6"/>
    <w:rsid w:val="0009469D"/>
    <w:rsid w:val="00094723"/>
    <w:rsid w:val="000947C4"/>
    <w:rsid w:val="00094B35"/>
    <w:rsid w:val="00094D61"/>
    <w:rsid w:val="00094DC8"/>
    <w:rsid w:val="00095096"/>
    <w:rsid w:val="000952A9"/>
    <w:rsid w:val="000958AE"/>
    <w:rsid w:val="00095978"/>
    <w:rsid w:val="00095BEF"/>
    <w:rsid w:val="00096173"/>
    <w:rsid w:val="000963F5"/>
    <w:rsid w:val="00096589"/>
    <w:rsid w:val="000965D9"/>
    <w:rsid w:val="00096E49"/>
    <w:rsid w:val="00096F50"/>
    <w:rsid w:val="00097423"/>
    <w:rsid w:val="000A041A"/>
    <w:rsid w:val="000A0550"/>
    <w:rsid w:val="000A0ADE"/>
    <w:rsid w:val="000A11CD"/>
    <w:rsid w:val="000A1330"/>
    <w:rsid w:val="000A1419"/>
    <w:rsid w:val="000A2277"/>
    <w:rsid w:val="000A2448"/>
    <w:rsid w:val="000A26E5"/>
    <w:rsid w:val="000A2790"/>
    <w:rsid w:val="000A2818"/>
    <w:rsid w:val="000A2DDD"/>
    <w:rsid w:val="000A2EE4"/>
    <w:rsid w:val="000A307D"/>
    <w:rsid w:val="000A32E0"/>
    <w:rsid w:val="000A3A02"/>
    <w:rsid w:val="000A3CA8"/>
    <w:rsid w:val="000A3E1C"/>
    <w:rsid w:val="000A4066"/>
    <w:rsid w:val="000A41CE"/>
    <w:rsid w:val="000A450B"/>
    <w:rsid w:val="000A4677"/>
    <w:rsid w:val="000A4733"/>
    <w:rsid w:val="000A4AFB"/>
    <w:rsid w:val="000A4CBD"/>
    <w:rsid w:val="000A54B9"/>
    <w:rsid w:val="000A5576"/>
    <w:rsid w:val="000A5BF2"/>
    <w:rsid w:val="000A5E3E"/>
    <w:rsid w:val="000A6848"/>
    <w:rsid w:val="000A6B1F"/>
    <w:rsid w:val="000A6C2E"/>
    <w:rsid w:val="000A6CFC"/>
    <w:rsid w:val="000A6F2A"/>
    <w:rsid w:val="000A7136"/>
    <w:rsid w:val="000A753E"/>
    <w:rsid w:val="000A7915"/>
    <w:rsid w:val="000A7CE2"/>
    <w:rsid w:val="000A7D86"/>
    <w:rsid w:val="000B0010"/>
    <w:rsid w:val="000B04A4"/>
    <w:rsid w:val="000B1616"/>
    <w:rsid w:val="000B1904"/>
    <w:rsid w:val="000B1B8A"/>
    <w:rsid w:val="000B1BB6"/>
    <w:rsid w:val="000B1CFC"/>
    <w:rsid w:val="000B1D32"/>
    <w:rsid w:val="000B1DCC"/>
    <w:rsid w:val="000B1DE3"/>
    <w:rsid w:val="000B1E6E"/>
    <w:rsid w:val="000B2BE5"/>
    <w:rsid w:val="000B3491"/>
    <w:rsid w:val="000B35F9"/>
    <w:rsid w:val="000B3A40"/>
    <w:rsid w:val="000B3B0D"/>
    <w:rsid w:val="000B3C36"/>
    <w:rsid w:val="000B3E29"/>
    <w:rsid w:val="000B4039"/>
    <w:rsid w:val="000B41A4"/>
    <w:rsid w:val="000B41BF"/>
    <w:rsid w:val="000B42C5"/>
    <w:rsid w:val="000B4417"/>
    <w:rsid w:val="000B45C4"/>
    <w:rsid w:val="000B4D4E"/>
    <w:rsid w:val="000B4DBD"/>
    <w:rsid w:val="000B500C"/>
    <w:rsid w:val="000B5333"/>
    <w:rsid w:val="000B5D96"/>
    <w:rsid w:val="000B5DB0"/>
    <w:rsid w:val="000B5E50"/>
    <w:rsid w:val="000B63A8"/>
    <w:rsid w:val="000B657C"/>
    <w:rsid w:val="000B6CF5"/>
    <w:rsid w:val="000B70D8"/>
    <w:rsid w:val="000B7242"/>
    <w:rsid w:val="000B7823"/>
    <w:rsid w:val="000C0014"/>
    <w:rsid w:val="000C0735"/>
    <w:rsid w:val="000C07E1"/>
    <w:rsid w:val="000C0C1F"/>
    <w:rsid w:val="000C0C23"/>
    <w:rsid w:val="000C135F"/>
    <w:rsid w:val="000C1BC5"/>
    <w:rsid w:val="000C1C08"/>
    <w:rsid w:val="000C1DAD"/>
    <w:rsid w:val="000C21E9"/>
    <w:rsid w:val="000C2485"/>
    <w:rsid w:val="000C24A2"/>
    <w:rsid w:val="000C2955"/>
    <w:rsid w:val="000C2B76"/>
    <w:rsid w:val="000C2C81"/>
    <w:rsid w:val="000C320D"/>
    <w:rsid w:val="000C3948"/>
    <w:rsid w:val="000C40E2"/>
    <w:rsid w:val="000C491D"/>
    <w:rsid w:val="000C4DE8"/>
    <w:rsid w:val="000C4DF8"/>
    <w:rsid w:val="000C55E3"/>
    <w:rsid w:val="000C5632"/>
    <w:rsid w:val="000C5C33"/>
    <w:rsid w:val="000C5FAC"/>
    <w:rsid w:val="000C638B"/>
    <w:rsid w:val="000C64C7"/>
    <w:rsid w:val="000C69BA"/>
    <w:rsid w:val="000C6F90"/>
    <w:rsid w:val="000C716C"/>
    <w:rsid w:val="000C760E"/>
    <w:rsid w:val="000C7693"/>
    <w:rsid w:val="000C78AF"/>
    <w:rsid w:val="000D01EA"/>
    <w:rsid w:val="000D03BC"/>
    <w:rsid w:val="000D0B5E"/>
    <w:rsid w:val="000D114F"/>
    <w:rsid w:val="000D183E"/>
    <w:rsid w:val="000D194F"/>
    <w:rsid w:val="000D1B09"/>
    <w:rsid w:val="000D1D0E"/>
    <w:rsid w:val="000D1F2F"/>
    <w:rsid w:val="000D1FCA"/>
    <w:rsid w:val="000D28A4"/>
    <w:rsid w:val="000D29A7"/>
    <w:rsid w:val="000D29AD"/>
    <w:rsid w:val="000D2CB3"/>
    <w:rsid w:val="000D339B"/>
    <w:rsid w:val="000D3610"/>
    <w:rsid w:val="000D3C7A"/>
    <w:rsid w:val="000D3E64"/>
    <w:rsid w:val="000D3FA5"/>
    <w:rsid w:val="000D411F"/>
    <w:rsid w:val="000D4538"/>
    <w:rsid w:val="000D46D8"/>
    <w:rsid w:val="000D4A19"/>
    <w:rsid w:val="000D4E52"/>
    <w:rsid w:val="000D507D"/>
    <w:rsid w:val="000D5142"/>
    <w:rsid w:val="000D5559"/>
    <w:rsid w:val="000D5B4B"/>
    <w:rsid w:val="000D5E51"/>
    <w:rsid w:val="000D5F8B"/>
    <w:rsid w:val="000D62CB"/>
    <w:rsid w:val="000D64B4"/>
    <w:rsid w:val="000D656A"/>
    <w:rsid w:val="000D65AC"/>
    <w:rsid w:val="000D67A4"/>
    <w:rsid w:val="000D6A2F"/>
    <w:rsid w:val="000D6E64"/>
    <w:rsid w:val="000D6FFE"/>
    <w:rsid w:val="000E005B"/>
    <w:rsid w:val="000E042B"/>
    <w:rsid w:val="000E0996"/>
    <w:rsid w:val="000E099D"/>
    <w:rsid w:val="000E1459"/>
    <w:rsid w:val="000E165C"/>
    <w:rsid w:val="000E16C0"/>
    <w:rsid w:val="000E174A"/>
    <w:rsid w:val="000E1AAF"/>
    <w:rsid w:val="000E24CE"/>
    <w:rsid w:val="000E256B"/>
    <w:rsid w:val="000E2792"/>
    <w:rsid w:val="000E2C7D"/>
    <w:rsid w:val="000E300C"/>
    <w:rsid w:val="000E3247"/>
    <w:rsid w:val="000E3274"/>
    <w:rsid w:val="000E3496"/>
    <w:rsid w:val="000E3598"/>
    <w:rsid w:val="000E3678"/>
    <w:rsid w:val="000E369A"/>
    <w:rsid w:val="000E3926"/>
    <w:rsid w:val="000E3BA3"/>
    <w:rsid w:val="000E3ECC"/>
    <w:rsid w:val="000E421F"/>
    <w:rsid w:val="000E467C"/>
    <w:rsid w:val="000E490B"/>
    <w:rsid w:val="000E5379"/>
    <w:rsid w:val="000E5499"/>
    <w:rsid w:val="000E55A7"/>
    <w:rsid w:val="000E5963"/>
    <w:rsid w:val="000E5BB7"/>
    <w:rsid w:val="000E5F4B"/>
    <w:rsid w:val="000E6163"/>
    <w:rsid w:val="000E6628"/>
    <w:rsid w:val="000E666D"/>
    <w:rsid w:val="000E6897"/>
    <w:rsid w:val="000E693A"/>
    <w:rsid w:val="000E6C8B"/>
    <w:rsid w:val="000E6E69"/>
    <w:rsid w:val="000E6F37"/>
    <w:rsid w:val="000E73E6"/>
    <w:rsid w:val="000E73EF"/>
    <w:rsid w:val="000E752A"/>
    <w:rsid w:val="000E7988"/>
    <w:rsid w:val="000F0980"/>
    <w:rsid w:val="000F0B79"/>
    <w:rsid w:val="000F0E69"/>
    <w:rsid w:val="000F13BC"/>
    <w:rsid w:val="000F180C"/>
    <w:rsid w:val="000F288D"/>
    <w:rsid w:val="000F2B88"/>
    <w:rsid w:val="000F2BD4"/>
    <w:rsid w:val="000F2C21"/>
    <w:rsid w:val="000F33B5"/>
    <w:rsid w:val="000F3865"/>
    <w:rsid w:val="000F40E9"/>
    <w:rsid w:val="000F4261"/>
    <w:rsid w:val="000F4302"/>
    <w:rsid w:val="000F44E3"/>
    <w:rsid w:val="000F4657"/>
    <w:rsid w:val="000F48E8"/>
    <w:rsid w:val="000F4BC1"/>
    <w:rsid w:val="000F505F"/>
    <w:rsid w:val="000F5B93"/>
    <w:rsid w:val="000F5DCF"/>
    <w:rsid w:val="000F5FCF"/>
    <w:rsid w:val="000F6001"/>
    <w:rsid w:val="000F6555"/>
    <w:rsid w:val="000F6588"/>
    <w:rsid w:val="000F65DA"/>
    <w:rsid w:val="000F666A"/>
    <w:rsid w:val="000F6A86"/>
    <w:rsid w:val="000F6B05"/>
    <w:rsid w:val="000F6B86"/>
    <w:rsid w:val="000F6E49"/>
    <w:rsid w:val="000F7317"/>
    <w:rsid w:val="000F73C4"/>
    <w:rsid w:val="000F7459"/>
    <w:rsid w:val="000F77E6"/>
    <w:rsid w:val="000F7991"/>
    <w:rsid w:val="000F7C46"/>
    <w:rsid w:val="000F7D61"/>
    <w:rsid w:val="0010038D"/>
    <w:rsid w:val="001007B5"/>
    <w:rsid w:val="001009ED"/>
    <w:rsid w:val="001012A7"/>
    <w:rsid w:val="00101400"/>
    <w:rsid w:val="0010146D"/>
    <w:rsid w:val="0010161C"/>
    <w:rsid w:val="00101A8B"/>
    <w:rsid w:val="00101B05"/>
    <w:rsid w:val="00101D19"/>
    <w:rsid w:val="00101EB7"/>
    <w:rsid w:val="00101FF5"/>
    <w:rsid w:val="00102223"/>
    <w:rsid w:val="00102579"/>
    <w:rsid w:val="00102B02"/>
    <w:rsid w:val="00102B77"/>
    <w:rsid w:val="00102D17"/>
    <w:rsid w:val="00102D8A"/>
    <w:rsid w:val="00102EAD"/>
    <w:rsid w:val="00103017"/>
    <w:rsid w:val="00103230"/>
    <w:rsid w:val="0010378D"/>
    <w:rsid w:val="00103880"/>
    <w:rsid w:val="0010390D"/>
    <w:rsid w:val="00103A21"/>
    <w:rsid w:val="00103B6D"/>
    <w:rsid w:val="00103B7E"/>
    <w:rsid w:val="001042E9"/>
    <w:rsid w:val="0010450E"/>
    <w:rsid w:val="00104674"/>
    <w:rsid w:val="00104703"/>
    <w:rsid w:val="001049EA"/>
    <w:rsid w:val="00104C82"/>
    <w:rsid w:val="00104FFB"/>
    <w:rsid w:val="00105145"/>
    <w:rsid w:val="00105354"/>
    <w:rsid w:val="001057DC"/>
    <w:rsid w:val="00105B1A"/>
    <w:rsid w:val="00106120"/>
    <w:rsid w:val="00106146"/>
    <w:rsid w:val="00106378"/>
    <w:rsid w:val="00106C29"/>
    <w:rsid w:val="00106C65"/>
    <w:rsid w:val="00107118"/>
    <w:rsid w:val="001075C5"/>
    <w:rsid w:val="00107DD6"/>
    <w:rsid w:val="00107E61"/>
    <w:rsid w:val="0011006A"/>
    <w:rsid w:val="0011006E"/>
    <w:rsid w:val="00110A6F"/>
    <w:rsid w:val="00110FB2"/>
    <w:rsid w:val="001110DB"/>
    <w:rsid w:val="00111165"/>
    <w:rsid w:val="00111678"/>
    <w:rsid w:val="001116C2"/>
    <w:rsid w:val="00111930"/>
    <w:rsid w:val="00111A7B"/>
    <w:rsid w:val="00112131"/>
    <w:rsid w:val="00112421"/>
    <w:rsid w:val="00112807"/>
    <w:rsid w:val="0011284D"/>
    <w:rsid w:val="00112E57"/>
    <w:rsid w:val="00113314"/>
    <w:rsid w:val="001136C6"/>
    <w:rsid w:val="00113BE8"/>
    <w:rsid w:val="00113C65"/>
    <w:rsid w:val="0011401F"/>
    <w:rsid w:val="001141C1"/>
    <w:rsid w:val="001145D9"/>
    <w:rsid w:val="001150DE"/>
    <w:rsid w:val="0011519B"/>
    <w:rsid w:val="001156D9"/>
    <w:rsid w:val="00115809"/>
    <w:rsid w:val="00115CB0"/>
    <w:rsid w:val="00116409"/>
    <w:rsid w:val="001166C3"/>
    <w:rsid w:val="001168B3"/>
    <w:rsid w:val="00116AF4"/>
    <w:rsid w:val="00116C90"/>
    <w:rsid w:val="0011717E"/>
    <w:rsid w:val="001175EC"/>
    <w:rsid w:val="00117FE7"/>
    <w:rsid w:val="0012002B"/>
    <w:rsid w:val="00120044"/>
    <w:rsid w:val="00120C45"/>
    <w:rsid w:val="00120DCD"/>
    <w:rsid w:val="00120E74"/>
    <w:rsid w:val="00121181"/>
    <w:rsid w:val="00121C87"/>
    <w:rsid w:val="00121CFC"/>
    <w:rsid w:val="00122707"/>
    <w:rsid w:val="0012283F"/>
    <w:rsid w:val="00122AF2"/>
    <w:rsid w:val="00122B60"/>
    <w:rsid w:val="00122B6C"/>
    <w:rsid w:val="00122FE1"/>
    <w:rsid w:val="001231F9"/>
    <w:rsid w:val="00123281"/>
    <w:rsid w:val="0012331D"/>
    <w:rsid w:val="0012333B"/>
    <w:rsid w:val="001236C3"/>
    <w:rsid w:val="00123908"/>
    <w:rsid w:val="00123E2D"/>
    <w:rsid w:val="00123F72"/>
    <w:rsid w:val="00123FF8"/>
    <w:rsid w:val="0012461C"/>
    <w:rsid w:val="0012469A"/>
    <w:rsid w:val="00124BAB"/>
    <w:rsid w:val="00124EB5"/>
    <w:rsid w:val="00125C01"/>
    <w:rsid w:val="00125D2A"/>
    <w:rsid w:val="00125D5C"/>
    <w:rsid w:val="00125DD8"/>
    <w:rsid w:val="001264C9"/>
    <w:rsid w:val="001266F4"/>
    <w:rsid w:val="00126743"/>
    <w:rsid w:val="00126898"/>
    <w:rsid w:val="00126E37"/>
    <w:rsid w:val="001270D4"/>
    <w:rsid w:val="0012717A"/>
    <w:rsid w:val="001279DD"/>
    <w:rsid w:val="00127D9C"/>
    <w:rsid w:val="00127FB7"/>
    <w:rsid w:val="00130276"/>
    <w:rsid w:val="001303D7"/>
    <w:rsid w:val="0013054A"/>
    <w:rsid w:val="001307AD"/>
    <w:rsid w:val="00130818"/>
    <w:rsid w:val="001309BC"/>
    <w:rsid w:val="00131763"/>
    <w:rsid w:val="00131C24"/>
    <w:rsid w:val="00131D70"/>
    <w:rsid w:val="00131FE4"/>
    <w:rsid w:val="00132563"/>
    <w:rsid w:val="00132863"/>
    <w:rsid w:val="00132959"/>
    <w:rsid w:val="00132C6C"/>
    <w:rsid w:val="00132C72"/>
    <w:rsid w:val="00132EFA"/>
    <w:rsid w:val="001340C7"/>
    <w:rsid w:val="001344D0"/>
    <w:rsid w:val="001344FD"/>
    <w:rsid w:val="00134B0F"/>
    <w:rsid w:val="00134DEB"/>
    <w:rsid w:val="0013566C"/>
    <w:rsid w:val="001357A9"/>
    <w:rsid w:val="0013597C"/>
    <w:rsid w:val="0013627D"/>
    <w:rsid w:val="001368DB"/>
    <w:rsid w:val="00136B95"/>
    <w:rsid w:val="0013733B"/>
    <w:rsid w:val="00137476"/>
    <w:rsid w:val="001377CE"/>
    <w:rsid w:val="00137857"/>
    <w:rsid w:val="001378A5"/>
    <w:rsid w:val="00137A06"/>
    <w:rsid w:val="00137A95"/>
    <w:rsid w:val="00137CEC"/>
    <w:rsid w:val="00137CEF"/>
    <w:rsid w:val="00137CF7"/>
    <w:rsid w:val="001403DD"/>
    <w:rsid w:val="001404F1"/>
    <w:rsid w:val="001406AB"/>
    <w:rsid w:val="00140ACA"/>
    <w:rsid w:val="00140B42"/>
    <w:rsid w:val="00140D48"/>
    <w:rsid w:val="001411A4"/>
    <w:rsid w:val="0014122D"/>
    <w:rsid w:val="00141557"/>
    <w:rsid w:val="0014165A"/>
    <w:rsid w:val="00141867"/>
    <w:rsid w:val="00141A30"/>
    <w:rsid w:val="00142952"/>
    <w:rsid w:val="00142DE2"/>
    <w:rsid w:val="001434BB"/>
    <w:rsid w:val="00143F0D"/>
    <w:rsid w:val="00144768"/>
    <w:rsid w:val="001447F2"/>
    <w:rsid w:val="00145019"/>
    <w:rsid w:val="00145027"/>
    <w:rsid w:val="00145CAD"/>
    <w:rsid w:val="00145D18"/>
    <w:rsid w:val="0014636D"/>
    <w:rsid w:val="00146387"/>
    <w:rsid w:val="001466BC"/>
    <w:rsid w:val="00146A56"/>
    <w:rsid w:val="00146E60"/>
    <w:rsid w:val="00147483"/>
    <w:rsid w:val="00147994"/>
    <w:rsid w:val="001479FF"/>
    <w:rsid w:val="00147FDE"/>
    <w:rsid w:val="00150A19"/>
    <w:rsid w:val="00150B94"/>
    <w:rsid w:val="00150D47"/>
    <w:rsid w:val="0015110F"/>
    <w:rsid w:val="00151A54"/>
    <w:rsid w:val="00151BA6"/>
    <w:rsid w:val="00151C9C"/>
    <w:rsid w:val="00152507"/>
    <w:rsid w:val="0015250C"/>
    <w:rsid w:val="00152974"/>
    <w:rsid w:val="00152E4F"/>
    <w:rsid w:val="001534EE"/>
    <w:rsid w:val="00153B38"/>
    <w:rsid w:val="00153B9A"/>
    <w:rsid w:val="0015451B"/>
    <w:rsid w:val="00154544"/>
    <w:rsid w:val="00154CD9"/>
    <w:rsid w:val="001550B0"/>
    <w:rsid w:val="00155AB4"/>
    <w:rsid w:val="00155BDE"/>
    <w:rsid w:val="00155E17"/>
    <w:rsid w:val="001565C4"/>
    <w:rsid w:val="001566FF"/>
    <w:rsid w:val="001568CA"/>
    <w:rsid w:val="001568ED"/>
    <w:rsid w:val="00156E42"/>
    <w:rsid w:val="00157184"/>
    <w:rsid w:val="001571BB"/>
    <w:rsid w:val="00157561"/>
    <w:rsid w:val="00157650"/>
    <w:rsid w:val="00157D48"/>
    <w:rsid w:val="001603D3"/>
    <w:rsid w:val="001610A4"/>
    <w:rsid w:val="0016123E"/>
    <w:rsid w:val="00161569"/>
    <w:rsid w:val="00161CC2"/>
    <w:rsid w:val="00161DBB"/>
    <w:rsid w:val="00162320"/>
    <w:rsid w:val="0016240D"/>
    <w:rsid w:val="00162419"/>
    <w:rsid w:val="00162825"/>
    <w:rsid w:val="001629EE"/>
    <w:rsid w:val="00163666"/>
    <w:rsid w:val="001637F8"/>
    <w:rsid w:val="0016380E"/>
    <w:rsid w:val="001641BC"/>
    <w:rsid w:val="001647F2"/>
    <w:rsid w:val="001649B4"/>
    <w:rsid w:val="00164A3C"/>
    <w:rsid w:val="00164E83"/>
    <w:rsid w:val="00164F27"/>
    <w:rsid w:val="00165179"/>
    <w:rsid w:val="0016548A"/>
    <w:rsid w:val="001655C9"/>
    <w:rsid w:val="00165743"/>
    <w:rsid w:val="001658DB"/>
    <w:rsid w:val="001659AF"/>
    <w:rsid w:val="00165C01"/>
    <w:rsid w:val="00165CD1"/>
    <w:rsid w:val="00166052"/>
    <w:rsid w:val="0016611C"/>
    <w:rsid w:val="001661CC"/>
    <w:rsid w:val="00166412"/>
    <w:rsid w:val="0016691B"/>
    <w:rsid w:val="001669B7"/>
    <w:rsid w:val="00166FD4"/>
    <w:rsid w:val="0016726D"/>
    <w:rsid w:val="001675B8"/>
    <w:rsid w:val="00167898"/>
    <w:rsid w:val="00167B7B"/>
    <w:rsid w:val="00170707"/>
    <w:rsid w:val="00170779"/>
    <w:rsid w:val="00170964"/>
    <w:rsid w:val="00170BC1"/>
    <w:rsid w:val="0017134F"/>
    <w:rsid w:val="001714E2"/>
    <w:rsid w:val="001715A0"/>
    <w:rsid w:val="001718EC"/>
    <w:rsid w:val="00171DB9"/>
    <w:rsid w:val="001722E2"/>
    <w:rsid w:val="001723F7"/>
    <w:rsid w:val="001727A7"/>
    <w:rsid w:val="00172986"/>
    <w:rsid w:val="00173037"/>
    <w:rsid w:val="00173075"/>
    <w:rsid w:val="00173233"/>
    <w:rsid w:val="001734E9"/>
    <w:rsid w:val="00174162"/>
    <w:rsid w:val="001742F7"/>
    <w:rsid w:val="0017436F"/>
    <w:rsid w:val="00174783"/>
    <w:rsid w:val="001750E5"/>
    <w:rsid w:val="0017532F"/>
    <w:rsid w:val="001754C9"/>
    <w:rsid w:val="0017561E"/>
    <w:rsid w:val="001757BD"/>
    <w:rsid w:val="00175837"/>
    <w:rsid w:val="001759CA"/>
    <w:rsid w:val="00175D59"/>
    <w:rsid w:val="0017621C"/>
    <w:rsid w:val="001767D7"/>
    <w:rsid w:val="0017688E"/>
    <w:rsid w:val="00176902"/>
    <w:rsid w:val="00176EE1"/>
    <w:rsid w:val="0017707A"/>
    <w:rsid w:val="00177328"/>
    <w:rsid w:val="001777F1"/>
    <w:rsid w:val="001800CB"/>
    <w:rsid w:val="00180338"/>
    <w:rsid w:val="00180390"/>
    <w:rsid w:val="0018083C"/>
    <w:rsid w:val="001808DE"/>
    <w:rsid w:val="00180A28"/>
    <w:rsid w:val="0018140C"/>
    <w:rsid w:val="001814C7"/>
    <w:rsid w:val="001816C9"/>
    <w:rsid w:val="00181AFB"/>
    <w:rsid w:val="001824C3"/>
    <w:rsid w:val="0018267D"/>
    <w:rsid w:val="00182C47"/>
    <w:rsid w:val="001831FB"/>
    <w:rsid w:val="00183340"/>
    <w:rsid w:val="00183788"/>
    <w:rsid w:val="001839CE"/>
    <w:rsid w:val="001839E2"/>
    <w:rsid w:val="00183DAE"/>
    <w:rsid w:val="001840F0"/>
    <w:rsid w:val="001841E9"/>
    <w:rsid w:val="00184A4A"/>
    <w:rsid w:val="00184F57"/>
    <w:rsid w:val="001850B4"/>
    <w:rsid w:val="0018566C"/>
    <w:rsid w:val="001858C4"/>
    <w:rsid w:val="00185DE8"/>
    <w:rsid w:val="00185F7D"/>
    <w:rsid w:val="00186483"/>
    <w:rsid w:val="0018676B"/>
    <w:rsid w:val="00186CFF"/>
    <w:rsid w:val="00187062"/>
    <w:rsid w:val="001873D2"/>
    <w:rsid w:val="001900CD"/>
    <w:rsid w:val="00190700"/>
    <w:rsid w:val="00190A4D"/>
    <w:rsid w:val="00190B12"/>
    <w:rsid w:val="001919BB"/>
    <w:rsid w:val="001919C8"/>
    <w:rsid w:val="001919F5"/>
    <w:rsid w:val="00191D36"/>
    <w:rsid w:val="00191F76"/>
    <w:rsid w:val="001921F5"/>
    <w:rsid w:val="001923B4"/>
    <w:rsid w:val="001932B2"/>
    <w:rsid w:val="0019332F"/>
    <w:rsid w:val="00193644"/>
    <w:rsid w:val="0019384B"/>
    <w:rsid w:val="001939A2"/>
    <w:rsid w:val="00193A6B"/>
    <w:rsid w:val="00193BDB"/>
    <w:rsid w:val="00193BEF"/>
    <w:rsid w:val="00193C80"/>
    <w:rsid w:val="00193E32"/>
    <w:rsid w:val="00194083"/>
    <w:rsid w:val="001946BF"/>
    <w:rsid w:val="0019574A"/>
    <w:rsid w:val="0019585E"/>
    <w:rsid w:val="00195896"/>
    <w:rsid w:val="00195A98"/>
    <w:rsid w:val="00195B6C"/>
    <w:rsid w:val="00195F0A"/>
    <w:rsid w:val="00195FEB"/>
    <w:rsid w:val="001962E6"/>
    <w:rsid w:val="0019630B"/>
    <w:rsid w:val="001963FB"/>
    <w:rsid w:val="00196661"/>
    <w:rsid w:val="0019698A"/>
    <w:rsid w:val="00196F78"/>
    <w:rsid w:val="00197594"/>
    <w:rsid w:val="0019759A"/>
    <w:rsid w:val="00197978"/>
    <w:rsid w:val="00197C98"/>
    <w:rsid w:val="00197D1C"/>
    <w:rsid w:val="00197D56"/>
    <w:rsid w:val="00197E18"/>
    <w:rsid w:val="00197F14"/>
    <w:rsid w:val="001A0532"/>
    <w:rsid w:val="001A0570"/>
    <w:rsid w:val="001A095E"/>
    <w:rsid w:val="001A0C0F"/>
    <w:rsid w:val="001A0D96"/>
    <w:rsid w:val="001A115C"/>
    <w:rsid w:val="001A1ABA"/>
    <w:rsid w:val="001A1E4A"/>
    <w:rsid w:val="001A24AE"/>
    <w:rsid w:val="001A261C"/>
    <w:rsid w:val="001A274A"/>
    <w:rsid w:val="001A2E47"/>
    <w:rsid w:val="001A316E"/>
    <w:rsid w:val="001A3284"/>
    <w:rsid w:val="001A362D"/>
    <w:rsid w:val="001A366A"/>
    <w:rsid w:val="001A3F35"/>
    <w:rsid w:val="001A4091"/>
    <w:rsid w:val="001A47C2"/>
    <w:rsid w:val="001A49E6"/>
    <w:rsid w:val="001A4A1C"/>
    <w:rsid w:val="001A4DA8"/>
    <w:rsid w:val="001A50C5"/>
    <w:rsid w:val="001A5155"/>
    <w:rsid w:val="001A5156"/>
    <w:rsid w:val="001A51EF"/>
    <w:rsid w:val="001A573D"/>
    <w:rsid w:val="001A5C06"/>
    <w:rsid w:val="001A5C69"/>
    <w:rsid w:val="001A5DDC"/>
    <w:rsid w:val="001A5ED6"/>
    <w:rsid w:val="001A6B75"/>
    <w:rsid w:val="001A6E07"/>
    <w:rsid w:val="001A6FDD"/>
    <w:rsid w:val="001A74CA"/>
    <w:rsid w:val="001A7C16"/>
    <w:rsid w:val="001A7C84"/>
    <w:rsid w:val="001A7FD3"/>
    <w:rsid w:val="001B0CF7"/>
    <w:rsid w:val="001B0E39"/>
    <w:rsid w:val="001B0EF7"/>
    <w:rsid w:val="001B1010"/>
    <w:rsid w:val="001B1623"/>
    <w:rsid w:val="001B1965"/>
    <w:rsid w:val="001B1BD0"/>
    <w:rsid w:val="001B1C96"/>
    <w:rsid w:val="001B1C98"/>
    <w:rsid w:val="001B1E69"/>
    <w:rsid w:val="001B1E8A"/>
    <w:rsid w:val="001B1FDF"/>
    <w:rsid w:val="001B23D9"/>
    <w:rsid w:val="001B265B"/>
    <w:rsid w:val="001B27A7"/>
    <w:rsid w:val="001B285C"/>
    <w:rsid w:val="001B2AEE"/>
    <w:rsid w:val="001B2B27"/>
    <w:rsid w:val="001B2D6E"/>
    <w:rsid w:val="001B31FC"/>
    <w:rsid w:val="001B36D4"/>
    <w:rsid w:val="001B37FC"/>
    <w:rsid w:val="001B3994"/>
    <w:rsid w:val="001B3A5F"/>
    <w:rsid w:val="001B429F"/>
    <w:rsid w:val="001B4A9E"/>
    <w:rsid w:val="001B4AC6"/>
    <w:rsid w:val="001B51F4"/>
    <w:rsid w:val="001B5328"/>
    <w:rsid w:val="001B5462"/>
    <w:rsid w:val="001B5EEC"/>
    <w:rsid w:val="001B6042"/>
    <w:rsid w:val="001B6126"/>
    <w:rsid w:val="001B61CF"/>
    <w:rsid w:val="001B6772"/>
    <w:rsid w:val="001B6B75"/>
    <w:rsid w:val="001B6E91"/>
    <w:rsid w:val="001B6FA6"/>
    <w:rsid w:val="001B7219"/>
    <w:rsid w:val="001B75EF"/>
    <w:rsid w:val="001B76AF"/>
    <w:rsid w:val="001B787B"/>
    <w:rsid w:val="001B7B45"/>
    <w:rsid w:val="001B7FBA"/>
    <w:rsid w:val="001C0327"/>
    <w:rsid w:val="001C0836"/>
    <w:rsid w:val="001C0B28"/>
    <w:rsid w:val="001C0BF6"/>
    <w:rsid w:val="001C0DAD"/>
    <w:rsid w:val="001C0FE9"/>
    <w:rsid w:val="001C1EC3"/>
    <w:rsid w:val="001C262D"/>
    <w:rsid w:val="001C2B62"/>
    <w:rsid w:val="001C2FC2"/>
    <w:rsid w:val="001C327D"/>
    <w:rsid w:val="001C33BA"/>
    <w:rsid w:val="001C3BDB"/>
    <w:rsid w:val="001C3DE5"/>
    <w:rsid w:val="001C3E47"/>
    <w:rsid w:val="001C413A"/>
    <w:rsid w:val="001C424E"/>
    <w:rsid w:val="001C4253"/>
    <w:rsid w:val="001C4294"/>
    <w:rsid w:val="001C459E"/>
    <w:rsid w:val="001C4639"/>
    <w:rsid w:val="001C50FA"/>
    <w:rsid w:val="001C5450"/>
    <w:rsid w:val="001C5799"/>
    <w:rsid w:val="001C5851"/>
    <w:rsid w:val="001C59C0"/>
    <w:rsid w:val="001C5D7C"/>
    <w:rsid w:val="001C68EE"/>
    <w:rsid w:val="001C6F3B"/>
    <w:rsid w:val="001C7F71"/>
    <w:rsid w:val="001D0047"/>
    <w:rsid w:val="001D03E8"/>
    <w:rsid w:val="001D07FE"/>
    <w:rsid w:val="001D09FD"/>
    <w:rsid w:val="001D1354"/>
    <w:rsid w:val="001D14AE"/>
    <w:rsid w:val="001D14EF"/>
    <w:rsid w:val="001D1762"/>
    <w:rsid w:val="001D1771"/>
    <w:rsid w:val="001D180B"/>
    <w:rsid w:val="001D1BA5"/>
    <w:rsid w:val="001D227E"/>
    <w:rsid w:val="001D2354"/>
    <w:rsid w:val="001D2655"/>
    <w:rsid w:val="001D2F6A"/>
    <w:rsid w:val="001D3492"/>
    <w:rsid w:val="001D3597"/>
    <w:rsid w:val="001D368C"/>
    <w:rsid w:val="001D3D6D"/>
    <w:rsid w:val="001D3F42"/>
    <w:rsid w:val="001D41DA"/>
    <w:rsid w:val="001D4A79"/>
    <w:rsid w:val="001D4C09"/>
    <w:rsid w:val="001D4C0B"/>
    <w:rsid w:val="001D4E16"/>
    <w:rsid w:val="001D5173"/>
    <w:rsid w:val="001D52AC"/>
    <w:rsid w:val="001D55F0"/>
    <w:rsid w:val="001D5947"/>
    <w:rsid w:val="001D5AE4"/>
    <w:rsid w:val="001D5BC5"/>
    <w:rsid w:val="001D5D33"/>
    <w:rsid w:val="001D5EC7"/>
    <w:rsid w:val="001D67FD"/>
    <w:rsid w:val="001D6ADE"/>
    <w:rsid w:val="001D6BDE"/>
    <w:rsid w:val="001D6F50"/>
    <w:rsid w:val="001D7222"/>
    <w:rsid w:val="001D73D5"/>
    <w:rsid w:val="001D7A18"/>
    <w:rsid w:val="001D7ACE"/>
    <w:rsid w:val="001E015A"/>
    <w:rsid w:val="001E025C"/>
    <w:rsid w:val="001E03B5"/>
    <w:rsid w:val="001E090D"/>
    <w:rsid w:val="001E0AD0"/>
    <w:rsid w:val="001E0B50"/>
    <w:rsid w:val="001E0B52"/>
    <w:rsid w:val="001E0C7B"/>
    <w:rsid w:val="001E14E9"/>
    <w:rsid w:val="001E17EF"/>
    <w:rsid w:val="001E18F3"/>
    <w:rsid w:val="001E19BD"/>
    <w:rsid w:val="001E1D23"/>
    <w:rsid w:val="001E1D7C"/>
    <w:rsid w:val="001E24AB"/>
    <w:rsid w:val="001E2886"/>
    <w:rsid w:val="001E289B"/>
    <w:rsid w:val="001E2A8E"/>
    <w:rsid w:val="001E2D02"/>
    <w:rsid w:val="001E3118"/>
    <w:rsid w:val="001E3397"/>
    <w:rsid w:val="001E368B"/>
    <w:rsid w:val="001E3ACD"/>
    <w:rsid w:val="001E3B81"/>
    <w:rsid w:val="001E41C6"/>
    <w:rsid w:val="001E433D"/>
    <w:rsid w:val="001E4356"/>
    <w:rsid w:val="001E4427"/>
    <w:rsid w:val="001E4875"/>
    <w:rsid w:val="001E4FD1"/>
    <w:rsid w:val="001E50C8"/>
    <w:rsid w:val="001E56E4"/>
    <w:rsid w:val="001E59D6"/>
    <w:rsid w:val="001E5D87"/>
    <w:rsid w:val="001E5E5A"/>
    <w:rsid w:val="001E630D"/>
    <w:rsid w:val="001E63E3"/>
    <w:rsid w:val="001E64A3"/>
    <w:rsid w:val="001E64EC"/>
    <w:rsid w:val="001E6504"/>
    <w:rsid w:val="001E6537"/>
    <w:rsid w:val="001E6549"/>
    <w:rsid w:val="001E6C68"/>
    <w:rsid w:val="001E6EBA"/>
    <w:rsid w:val="001E6FEB"/>
    <w:rsid w:val="001E71D4"/>
    <w:rsid w:val="001E7449"/>
    <w:rsid w:val="001E785D"/>
    <w:rsid w:val="001E7988"/>
    <w:rsid w:val="001E7A89"/>
    <w:rsid w:val="001E7B06"/>
    <w:rsid w:val="001E7B96"/>
    <w:rsid w:val="001E7E30"/>
    <w:rsid w:val="001E7F53"/>
    <w:rsid w:val="001F0036"/>
    <w:rsid w:val="001F0072"/>
    <w:rsid w:val="001F04AC"/>
    <w:rsid w:val="001F087C"/>
    <w:rsid w:val="001F0928"/>
    <w:rsid w:val="001F0B1E"/>
    <w:rsid w:val="001F0D72"/>
    <w:rsid w:val="001F0D8F"/>
    <w:rsid w:val="001F0E70"/>
    <w:rsid w:val="001F0F88"/>
    <w:rsid w:val="001F1022"/>
    <w:rsid w:val="001F11A8"/>
    <w:rsid w:val="001F125B"/>
    <w:rsid w:val="001F1DCF"/>
    <w:rsid w:val="001F2205"/>
    <w:rsid w:val="001F2312"/>
    <w:rsid w:val="001F23B8"/>
    <w:rsid w:val="001F2730"/>
    <w:rsid w:val="001F2764"/>
    <w:rsid w:val="001F2AF5"/>
    <w:rsid w:val="001F2BAB"/>
    <w:rsid w:val="001F3011"/>
    <w:rsid w:val="001F3072"/>
    <w:rsid w:val="001F3ACA"/>
    <w:rsid w:val="001F41E7"/>
    <w:rsid w:val="001F481D"/>
    <w:rsid w:val="001F4DD6"/>
    <w:rsid w:val="001F579C"/>
    <w:rsid w:val="001F5AD4"/>
    <w:rsid w:val="001F5B4A"/>
    <w:rsid w:val="001F5EC4"/>
    <w:rsid w:val="001F61F3"/>
    <w:rsid w:val="001F62DB"/>
    <w:rsid w:val="001F6829"/>
    <w:rsid w:val="001F69A1"/>
    <w:rsid w:val="001F6D64"/>
    <w:rsid w:val="001F6EB8"/>
    <w:rsid w:val="001F754F"/>
    <w:rsid w:val="001F7B81"/>
    <w:rsid w:val="002001B9"/>
    <w:rsid w:val="002006E8"/>
    <w:rsid w:val="0020078D"/>
    <w:rsid w:val="002008BF"/>
    <w:rsid w:val="00200F04"/>
    <w:rsid w:val="00200F77"/>
    <w:rsid w:val="002016AE"/>
    <w:rsid w:val="00201BC7"/>
    <w:rsid w:val="00202571"/>
    <w:rsid w:val="00202B86"/>
    <w:rsid w:val="00202CA9"/>
    <w:rsid w:val="00203409"/>
    <w:rsid w:val="00203560"/>
    <w:rsid w:val="0020449C"/>
    <w:rsid w:val="00204668"/>
    <w:rsid w:val="00204710"/>
    <w:rsid w:val="00204A4B"/>
    <w:rsid w:val="00205386"/>
    <w:rsid w:val="00205410"/>
    <w:rsid w:val="00205A40"/>
    <w:rsid w:val="002060FF"/>
    <w:rsid w:val="00206364"/>
    <w:rsid w:val="0020694C"/>
    <w:rsid w:val="00206B2B"/>
    <w:rsid w:val="00206EA2"/>
    <w:rsid w:val="00207334"/>
    <w:rsid w:val="002074CE"/>
    <w:rsid w:val="002078A7"/>
    <w:rsid w:val="00207CCA"/>
    <w:rsid w:val="00207D1D"/>
    <w:rsid w:val="00210618"/>
    <w:rsid w:val="002106EB"/>
    <w:rsid w:val="00210DE3"/>
    <w:rsid w:val="00210F32"/>
    <w:rsid w:val="0021152D"/>
    <w:rsid w:val="0021165C"/>
    <w:rsid w:val="00211CED"/>
    <w:rsid w:val="002121BE"/>
    <w:rsid w:val="002127E3"/>
    <w:rsid w:val="0021294B"/>
    <w:rsid w:val="00212BA0"/>
    <w:rsid w:val="00212C1A"/>
    <w:rsid w:val="002132E4"/>
    <w:rsid w:val="002135F2"/>
    <w:rsid w:val="00213A41"/>
    <w:rsid w:val="00213B78"/>
    <w:rsid w:val="00213B7B"/>
    <w:rsid w:val="00213C07"/>
    <w:rsid w:val="00214103"/>
    <w:rsid w:val="00214B70"/>
    <w:rsid w:val="0021548F"/>
    <w:rsid w:val="002166D0"/>
    <w:rsid w:val="00216993"/>
    <w:rsid w:val="00216A4E"/>
    <w:rsid w:val="00217304"/>
    <w:rsid w:val="00217366"/>
    <w:rsid w:val="002178B3"/>
    <w:rsid w:val="00217972"/>
    <w:rsid w:val="00217A0F"/>
    <w:rsid w:val="00217EC6"/>
    <w:rsid w:val="00220288"/>
    <w:rsid w:val="00220927"/>
    <w:rsid w:val="0022128B"/>
    <w:rsid w:val="00221564"/>
    <w:rsid w:val="00221616"/>
    <w:rsid w:val="0022183E"/>
    <w:rsid w:val="00221A1F"/>
    <w:rsid w:val="00221C45"/>
    <w:rsid w:val="00221D80"/>
    <w:rsid w:val="00221DA9"/>
    <w:rsid w:val="00221DB3"/>
    <w:rsid w:val="00221F01"/>
    <w:rsid w:val="00221F35"/>
    <w:rsid w:val="00222145"/>
    <w:rsid w:val="0022225C"/>
    <w:rsid w:val="00222307"/>
    <w:rsid w:val="002224D5"/>
    <w:rsid w:val="002226F2"/>
    <w:rsid w:val="002228A2"/>
    <w:rsid w:val="002228CD"/>
    <w:rsid w:val="00222940"/>
    <w:rsid w:val="00222D44"/>
    <w:rsid w:val="00223471"/>
    <w:rsid w:val="00223484"/>
    <w:rsid w:val="00223DC4"/>
    <w:rsid w:val="00223DD5"/>
    <w:rsid w:val="00224E08"/>
    <w:rsid w:val="00224E92"/>
    <w:rsid w:val="00224FA5"/>
    <w:rsid w:val="00225331"/>
    <w:rsid w:val="0022563F"/>
    <w:rsid w:val="00226480"/>
    <w:rsid w:val="0022680E"/>
    <w:rsid w:val="0022686C"/>
    <w:rsid w:val="0022715C"/>
    <w:rsid w:val="00227C79"/>
    <w:rsid w:val="00227DD4"/>
    <w:rsid w:val="00227EDF"/>
    <w:rsid w:val="00227EE8"/>
    <w:rsid w:val="002305D1"/>
    <w:rsid w:val="00230F66"/>
    <w:rsid w:val="002310C4"/>
    <w:rsid w:val="00231B8A"/>
    <w:rsid w:val="00232AF8"/>
    <w:rsid w:val="00232E8F"/>
    <w:rsid w:val="00232EFA"/>
    <w:rsid w:val="00233050"/>
    <w:rsid w:val="002331DD"/>
    <w:rsid w:val="002332DA"/>
    <w:rsid w:val="00233306"/>
    <w:rsid w:val="00233894"/>
    <w:rsid w:val="00233C86"/>
    <w:rsid w:val="00233CF7"/>
    <w:rsid w:val="00233D06"/>
    <w:rsid w:val="00233E69"/>
    <w:rsid w:val="00233FC1"/>
    <w:rsid w:val="002340E6"/>
    <w:rsid w:val="002342A9"/>
    <w:rsid w:val="00234377"/>
    <w:rsid w:val="002349FC"/>
    <w:rsid w:val="00234A4F"/>
    <w:rsid w:val="00234C6B"/>
    <w:rsid w:val="00234CA6"/>
    <w:rsid w:val="002354FF"/>
    <w:rsid w:val="002357D6"/>
    <w:rsid w:val="00235843"/>
    <w:rsid w:val="00235B24"/>
    <w:rsid w:val="00235F17"/>
    <w:rsid w:val="00235F7C"/>
    <w:rsid w:val="00235FAD"/>
    <w:rsid w:val="00236277"/>
    <w:rsid w:val="002362BE"/>
    <w:rsid w:val="002367C0"/>
    <w:rsid w:val="00236DAF"/>
    <w:rsid w:val="00237115"/>
    <w:rsid w:val="0023735E"/>
    <w:rsid w:val="002374F2"/>
    <w:rsid w:val="00237EF4"/>
    <w:rsid w:val="00240180"/>
    <w:rsid w:val="00241543"/>
    <w:rsid w:val="00241641"/>
    <w:rsid w:val="00241957"/>
    <w:rsid w:val="00241B28"/>
    <w:rsid w:val="00241E86"/>
    <w:rsid w:val="00241EEE"/>
    <w:rsid w:val="00242296"/>
    <w:rsid w:val="0024276A"/>
    <w:rsid w:val="002429DA"/>
    <w:rsid w:val="00242AC3"/>
    <w:rsid w:val="00242E77"/>
    <w:rsid w:val="0024355B"/>
    <w:rsid w:val="002442A2"/>
    <w:rsid w:val="00244390"/>
    <w:rsid w:val="00244702"/>
    <w:rsid w:val="002447D7"/>
    <w:rsid w:val="00244904"/>
    <w:rsid w:val="00244958"/>
    <w:rsid w:val="00244D0D"/>
    <w:rsid w:val="002452A2"/>
    <w:rsid w:val="00245777"/>
    <w:rsid w:val="00245AAB"/>
    <w:rsid w:val="00245B1A"/>
    <w:rsid w:val="00246016"/>
    <w:rsid w:val="00246315"/>
    <w:rsid w:val="00246B71"/>
    <w:rsid w:val="002471B5"/>
    <w:rsid w:val="002474D9"/>
    <w:rsid w:val="0024752E"/>
    <w:rsid w:val="00247539"/>
    <w:rsid w:val="0024765A"/>
    <w:rsid w:val="0024779B"/>
    <w:rsid w:val="002477E5"/>
    <w:rsid w:val="00247BFE"/>
    <w:rsid w:val="00247DA8"/>
    <w:rsid w:val="002500F9"/>
    <w:rsid w:val="0025144B"/>
    <w:rsid w:val="00251512"/>
    <w:rsid w:val="00251ACE"/>
    <w:rsid w:val="00251D1C"/>
    <w:rsid w:val="00251DAB"/>
    <w:rsid w:val="00251DFC"/>
    <w:rsid w:val="002521B7"/>
    <w:rsid w:val="002526D3"/>
    <w:rsid w:val="00252753"/>
    <w:rsid w:val="00252850"/>
    <w:rsid w:val="002529D6"/>
    <w:rsid w:val="00252AAE"/>
    <w:rsid w:val="00252B64"/>
    <w:rsid w:val="00252B94"/>
    <w:rsid w:val="00252BB0"/>
    <w:rsid w:val="00252C91"/>
    <w:rsid w:val="00252E95"/>
    <w:rsid w:val="00252FDD"/>
    <w:rsid w:val="002530BC"/>
    <w:rsid w:val="002531F8"/>
    <w:rsid w:val="002532C7"/>
    <w:rsid w:val="00253303"/>
    <w:rsid w:val="00253380"/>
    <w:rsid w:val="0025367E"/>
    <w:rsid w:val="002539F3"/>
    <w:rsid w:val="00253E58"/>
    <w:rsid w:val="00253EBC"/>
    <w:rsid w:val="002545C3"/>
    <w:rsid w:val="002548E7"/>
    <w:rsid w:val="00254A12"/>
    <w:rsid w:val="00254A73"/>
    <w:rsid w:val="00254C61"/>
    <w:rsid w:val="00254C95"/>
    <w:rsid w:val="00254E13"/>
    <w:rsid w:val="00254E8A"/>
    <w:rsid w:val="00255043"/>
    <w:rsid w:val="0025517F"/>
    <w:rsid w:val="00255299"/>
    <w:rsid w:val="00255305"/>
    <w:rsid w:val="00255AEA"/>
    <w:rsid w:val="002569A1"/>
    <w:rsid w:val="00257B46"/>
    <w:rsid w:val="00257CC7"/>
    <w:rsid w:val="002600D7"/>
    <w:rsid w:val="00260122"/>
    <w:rsid w:val="002606DA"/>
    <w:rsid w:val="002609F6"/>
    <w:rsid w:val="00261588"/>
    <w:rsid w:val="00261801"/>
    <w:rsid w:val="0026189E"/>
    <w:rsid w:val="00261978"/>
    <w:rsid w:val="00261AD6"/>
    <w:rsid w:val="00261B0A"/>
    <w:rsid w:val="00261BC9"/>
    <w:rsid w:val="00261C7C"/>
    <w:rsid w:val="00261E25"/>
    <w:rsid w:val="002623AF"/>
    <w:rsid w:val="0026248E"/>
    <w:rsid w:val="0026253D"/>
    <w:rsid w:val="0026266D"/>
    <w:rsid w:val="00262D80"/>
    <w:rsid w:val="00262DBA"/>
    <w:rsid w:val="002632C5"/>
    <w:rsid w:val="00263429"/>
    <w:rsid w:val="002634FF"/>
    <w:rsid w:val="00263736"/>
    <w:rsid w:val="00263C56"/>
    <w:rsid w:val="00264828"/>
    <w:rsid w:val="002648F8"/>
    <w:rsid w:val="00264DBD"/>
    <w:rsid w:val="002651AB"/>
    <w:rsid w:val="002651B0"/>
    <w:rsid w:val="002656B2"/>
    <w:rsid w:val="0026590A"/>
    <w:rsid w:val="00265A05"/>
    <w:rsid w:val="00265EDF"/>
    <w:rsid w:val="00265FBF"/>
    <w:rsid w:val="0026603C"/>
    <w:rsid w:val="0026619D"/>
    <w:rsid w:val="00266256"/>
    <w:rsid w:val="0026627C"/>
    <w:rsid w:val="0026666C"/>
    <w:rsid w:val="0026677E"/>
    <w:rsid w:val="002668D7"/>
    <w:rsid w:val="00266A29"/>
    <w:rsid w:val="00266A46"/>
    <w:rsid w:val="00266DFE"/>
    <w:rsid w:val="00266E2F"/>
    <w:rsid w:val="00266FB3"/>
    <w:rsid w:val="00266FF1"/>
    <w:rsid w:val="0026710B"/>
    <w:rsid w:val="00267734"/>
    <w:rsid w:val="0026794B"/>
    <w:rsid w:val="00267A19"/>
    <w:rsid w:val="002700D8"/>
    <w:rsid w:val="00270259"/>
    <w:rsid w:val="0027068D"/>
    <w:rsid w:val="00270717"/>
    <w:rsid w:val="00270A1B"/>
    <w:rsid w:val="0027114D"/>
    <w:rsid w:val="002713BF"/>
    <w:rsid w:val="002714BF"/>
    <w:rsid w:val="00271E0D"/>
    <w:rsid w:val="00271F06"/>
    <w:rsid w:val="00272174"/>
    <w:rsid w:val="002721A4"/>
    <w:rsid w:val="00272A44"/>
    <w:rsid w:val="00272FE4"/>
    <w:rsid w:val="002733E7"/>
    <w:rsid w:val="00273596"/>
    <w:rsid w:val="00273991"/>
    <w:rsid w:val="0027417C"/>
    <w:rsid w:val="002749C4"/>
    <w:rsid w:val="002753B3"/>
    <w:rsid w:val="00275568"/>
    <w:rsid w:val="002756F4"/>
    <w:rsid w:val="00275BCD"/>
    <w:rsid w:val="00275C04"/>
    <w:rsid w:val="00275CFD"/>
    <w:rsid w:val="0027613E"/>
    <w:rsid w:val="00276157"/>
    <w:rsid w:val="00276717"/>
    <w:rsid w:val="00276928"/>
    <w:rsid w:val="00276F5B"/>
    <w:rsid w:val="0027740C"/>
    <w:rsid w:val="002777DB"/>
    <w:rsid w:val="0027787C"/>
    <w:rsid w:val="00277BDA"/>
    <w:rsid w:val="00280564"/>
    <w:rsid w:val="00280757"/>
    <w:rsid w:val="00280FDB"/>
    <w:rsid w:val="0028132B"/>
    <w:rsid w:val="00281385"/>
    <w:rsid w:val="0028183A"/>
    <w:rsid w:val="00282551"/>
    <w:rsid w:val="002826C5"/>
    <w:rsid w:val="00282716"/>
    <w:rsid w:val="00282830"/>
    <w:rsid w:val="00282963"/>
    <w:rsid w:val="00282F7D"/>
    <w:rsid w:val="00282FE6"/>
    <w:rsid w:val="0028341F"/>
    <w:rsid w:val="00283507"/>
    <w:rsid w:val="00284994"/>
    <w:rsid w:val="002849BD"/>
    <w:rsid w:val="00284DC9"/>
    <w:rsid w:val="00285070"/>
    <w:rsid w:val="0028540D"/>
    <w:rsid w:val="00285506"/>
    <w:rsid w:val="0028550A"/>
    <w:rsid w:val="002855EA"/>
    <w:rsid w:val="0028564A"/>
    <w:rsid w:val="00285667"/>
    <w:rsid w:val="002856BB"/>
    <w:rsid w:val="00285763"/>
    <w:rsid w:val="00285988"/>
    <w:rsid w:val="00285C89"/>
    <w:rsid w:val="00285E2D"/>
    <w:rsid w:val="00286389"/>
    <w:rsid w:val="00286777"/>
    <w:rsid w:val="0028680D"/>
    <w:rsid w:val="00286B72"/>
    <w:rsid w:val="00286B86"/>
    <w:rsid w:val="00286CBA"/>
    <w:rsid w:val="0028732E"/>
    <w:rsid w:val="0028794B"/>
    <w:rsid w:val="00287BC3"/>
    <w:rsid w:val="00287BD5"/>
    <w:rsid w:val="00287F59"/>
    <w:rsid w:val="0029059A"/>
    <w:rsid w:val="002905A3"/>
    <w:rsid w:val="00290BC3"/>
    <w:rsid w:val="00290D41"/>
    <w:rsid w:val="00290E10"/>
    <w:rsid w:val="002912DD"/>
    <w:rsid w:val="00291929"/>
    <w:rsid w:val="00291B1C"/>
    <w:rsid w:val="002925AD"/>
    <w:rsid w:val="002926EE"/>
    <w:rsid w:val="00292DE0"/>
    <w:rsid w:val="00292FA5"/>
    <w:rsid w:val="00293105"/>
    <w:rsid w:val="00293364"/>
    <w:rsid w:val="002936B1"/>
    <w:rsid w:val="002938EE"/>
    <w:rsid w:val="00293A12"/>
    <w:rsid w:val="00293A3E"/>
    <w:rsid w:val="00293DAF"/>
    <w:rsid w:val="00294CE2"/>
    <w:rsid w:val="00294F24"/>
    <w:rsid w:val="002959BE"/>
    <w:rsid w:val="00295C8D"/>
    <w:rsid w:val="00296025"/>
    <w:rsid w:val="00296045"/>
    <w:rsid w:val="002961C3"/>
    <w:rsid w:val="002962E3"/>
    <w:rsid w:val="0029631E"/>
    <w:rsid w:val="00296536"/>
    <w:rsid w:val="00296C05"/>
    <w:rsid w:val="0029721E"/>
    <w:rsid w:val="00297338"/>
    <w:rsid w:val="00297348"/>
    <w:rsid w:val="00297781"/>
    <w:rsid w:val="00297C66"/>
    <w:rsid w:val="00297E52"/>
    <w:rsid w:val="002A0161"/>
    <w:rsid w:val="002A073D"/>
    <w:rsid w:val="002A0A57"/>
    <w:rsid w:val="002A1180"/>
    <w:rsid w:val="002A12BA"/>
    <w:rsid w:val="002A12E7"/>
    <w:rsid w:val="002A1886"/>
    <w:rsid w:val="002A1924"/>
    <w:rsid w:val="002A194B"/>
    <w:rsid w:val="002A1BBF"/>
    <w:rsid w:val="002A1D08"/>
    <w:rsid w:val="002A1D76"/>
    <w:rsid w:val="002A223E"/>
    <w:rsid w:val="002A2430"/>
    <w:rsid w:val="002A257C"/>
    <w:rsid w:val="002A3096"/>
    <w:rsid w:val="002A37BE"/>
    <w:rsid w:val="002A39B5"/>
    <w:rsid w:val="002A3C6B"/>
    <w:rsid w:val="002A3EF1"/>
    <w:rsid w:val="002A40EA"/>
    <w:rsid w:val="002A41A5"/>
    <w:rsid w:val="002A41CE"/>
    <w:rsid w:val="002A45AF"/>
    <w:rsid w:val="002A4876"/>
    <w:rsid w:val="002A4AAE"/>
    <w:rsid w:val="002A515B"/>
    <w:rsid w:val="002A51F6"/>
    <w:rsid w:val="002A5251"/>
    <w:rsid w:val="002A59DA"/>
    <w:rsid w:val="002A5CBD"/>
    <w:rsid w:val="002A6293"/>
    <w:rsid w:val="002A6A1D"/>
    <w:rsid w:val="002A6D75"/>
    <w:rsid w:val="002A7120"/>
    <w:rsid w:val="002A75EA"/>
    <w:rsid w:val="002A7A39"/>
    <w:rsid w:val="002B00F5"/>
    <w:rsid w:val="002B0335"/>
    <w:rsid w:val="002B038C"/>
    <w:rsid w:val="002B03B3"/>
    <w:rsid w:val="002B06CF"/>
    <w:rsid w:val="002B075E"/>
    <w:rsid w:val="002B0D9F"/>
    <w:rsid w:val="002B0EE8"/>
    <w:rsid w:val="002B12C9"/>
    <w:rsid w:val="002B20A4"/>
    <w:rsid w:val="002B2FD7"/>
    <w:rsid w:val="002B35C5"/>
    <w:rsid w:val="002B366E"/>
    <w:rsid w:val="002B3BE1"/>
    <w:rsid w:val="002B3D0F"/>
    <w:rsid w:val="002B4512"/>
    <w:rsid w:val="002B4823"/>
    <w:rsid w:val="002B4999"/>
    <w:rsid w:val="002B4B7A"/>
    <w:rsid w:val="002B5048"/>
    <w:rsid w:val="002B563D"/>
    <w:rsid w:val="002B5B4C"/>
    <w:rsid w:val="002B5F02"/>
    <w:rsid w:val="002B5F23"/>
    <w:rsid w:val="002B5FE1"/>
    <w:rsid w:val="002B5FF6"/>
    <w:rsid w:val="002B611E"/>
    <w:rsid w:val="002B6292"/>
    <w:rsid w:val="002B62BE"/>
    <w:rsid w:val="002B6562"/>
    <w:rsid w:val="002B6572"/>
    <w:rsid w:val="002B6EDC"/>
    <w:rsid w:val="002B6F61"/>
    <w:rsid w:val="002B6FA0"/>
    <w:rsid w:val="002B7368"/>
    <w:rsid w:val="002B7429"/>
    <w:rsid w:val="002B7761"/>
    <w:rsid w:val="002B77E2"/>
    <w:rsid w:val="002B7C8D"/>
    <w:rsid w:val="002B7E24"/>
    <w:rsid w:val="002B7FC0"/>
    <w:rsid w:val="002C0928"/>
    <w:rsid w:val="002C1110"/>
    <w:rsid w:val="002C1922"/>
    <w:rsid w:val="002C22F7"/>
    <w:rsid w:val="002C239B"/>
    <w:rsid w:val="002C2582"/>
    <w:rsid w:val="002C2BF8"/>
    <w:rsid w:val="002C31BC"/>
    <w:rsid w:val="002C327D"/>
    <w:rsid w:val="002C3499"/>
    <w:rsid w:val="002C3827"/>
    <w:rsid w:val="002C3910"/>
    <w:rsid w:val="002C3AC2"/>
    <w:rsid w:val="002C3B0D"/>
    <w:rsid w:val="002C3C3F"/>
    <w:rsid w:val="002C4C04"/>
    <w:rsid w:val="002C5231"/>
    <w:rsid w:val="002C52CB"/>
    <w:rsid w:val="002C53F4"/>
    <w:rsid w:val="002C5700"/>
    <w:rsid w:val="002C5FAD"/>
    <w:rsid w:val="002C6185"/>
    <w:rsid w:val="002C6705"/>
    <w:rsid w:val="002C6EAF"/>
    <w:rsid w:val="002C706F"/>
    <w:rsid w:val="002C7349"/>
    <w:rsid w:val="002C756B"/>
    <w:rsid w:val="002C777A"/>
    <w:rsid w:val="002C7A95"/>
    <w:rsid w:val="002D0301"/>
    <w:rsid w:val="002D03E2"/>
    <w:rsid w:val="002D0939"/>
    <w:rsid w:val="002D0D5C"/>
    <w:rsid w:val="002D0D88"/>
    <w:rsid w:val="002D0DC3"/>
    <w:rsid w:val="002D1159"/>
    <w:rsid w:val="002D130B"/>
    <w:rsid w:val="002D168B"/>
    <w:rsid w:val="002D1701"/>
    <w:rsid w:val="002D1E0F"/>
    <w:rsid w:val="002D2091"/>
    <w:rsid w:val="002D2A83"/>
    <w:rsid w:val="002D2AE6"/>
    <w:rsid w:val="002D2CCF"/>
    <w:rsid w:val="002D2CE3"/>
    <w:rsid w:val="002D2D62"/>
    <w:rsid w:val="002D2EA9"/>
    <w:rsid w:val="002D3046"/>
    <w:rsid w:val="002D32B9"/>
    <w:rsid w:val="002D3814"/>
    <w:rsid w:val="002D381B"/>
    <w:rsid w:val="002D38A8"/>
    <w:rsid w:val="002D3B08"/>
    <w:rsid w:val="002D4260"/>
    <w:rsid w:val="002D4E33"/>
    <w:rsid w:val="002D4F55"/>
    <w:rsid w:val="002D536B"/>
    <w:rsid w:val="002D54F4"/>
    <w:rsid w:val="002D61E1"/>
    <w:rsid w:val="002D62C2"/>
    <w:rsid w:val="002D634B"/>
    <w:rsid w:val="002D66D9"/>
    <w:rsid w:val="002D6B58"/>
    <w:rsid w:val="002D6C75"/>
    <w:rsid w:val="002D6F1A"/>
    <w:rsid w:val="002D6F34"/>
    <w:rsid w:val="002D6FCA"/>
    <w:rsid w:val="002D7001"/>
    <w:rsid w:val="002D7599"/>
    <w:rsid w:val="002E0009"/>
    <w:rsid w:val="002E0322"/>
    <w:rsid w:val="002E08D4"/>
    <w:rsid w:val="002E0943"/>
    <w:rsid w:val="002E0BE6"/>
    <w:rsid w:val="002E0CE3"/>
    <w:rsid w:val="002E0F28"/>
    <w:rsid w:val="002E13E4"/>
    <w:rsid w:val="002E149A"/>
    <w:rsid w:val="002E16DF"/>
    <w:rsid w:val="002E1B6C"/>
    <w:rsid w:val="002E1EDA"/>
    <w:rsid w:val="002E2029"/>
    <w:rsid w:val="002E2450"/>
    <w:rsid w:val="002E28D0"/>
    <w:rsid w:val="002E294E"/>
    <w:rsid w:val="002E2F98"/>
    <w:rsid w:val="002E30F3"/>
    <w:rsid w:val="002E3356"/>
    <w:rsid w:val="002E34A0"/>
    <w:rsid w:val="002E37C6"/>
    <w:rsid w:val="002E3956"/>
    <w:rsid w:val="002E3FD2"/>
    <w:rsid w:val="002E449F"/>
    <w:rsid w:val="002E44DE"/>
    <w:rsid w:val="002E5013"/>
    <w:rsid w:val="002E56D7"/>
    <w:rsid w:val="002E5A48"/>
    <w:rsid w:val="002E5F23"/>
    <w:rsid w:val="002E6960"/>
    <w:rsid w:val="002E6CF7"/>
    <w:rsid w:val="002E6D5F"/>
    <w:rsid w:val="002E73F6"/>
    <w:rsid w:val="002E77B7"/>
    <w:rsid w:val="002F0213"/>
    <w:rsid w:val="002F02F7"/>
    <w:rsid w:val="002F039C"/>
    <w:rsid w:val="002F051A"/>
    <w:rsid w:val="002F062E"/>
    <w:rsid w:val="002F0A74"/>
    <w:rsid w:val="002F0A8D"/>
    <w:rsid w:val="002F0B65"/>
    <w:rsid w:val="002F0D25"/>
    <w:rsid w:val="002F1015"/>
    <w:rsid w:val="002F1018"/>
    <w:rsid w:val="002F17D2"/>
    <w:rsid w:val="002F1B0A"/>
    <w:rsid w:val="002F1CE3"/>
    <w:rsid w:val="002F243E"/>
    <w:rsid w:val="002F2591"/>
    <w:rsid w:val="002F2C26"/>
    <w:rsid w:val="002F2EE3"/>
    <w:rsid w:val="002F32A1"/>
    <w:rsid w:val="002F3379"/>
    <w:rsid w:val="002F344D"/>
    <w:rsid w:val="002F3587"/>
    <w:rsid w:val="002F3BA6"/>
    <w:rsid w:val="002F3EAE"/>
    <w:rsid w:val="002F435F"/>
    <w:rsid w:val="002F4858"/>
    <w:rsid w:val="002F48CB"/>
    <w:rsid w:val="002F4B54"/>
    <w:rsid w:val="002F5101"/>
    <w:rsid w:val="002F5389"/>
    <w:rsid w:val="002F547B"/>
    <w:rsid w:val="002F58C1"/>
    <w:rsid w:val="002F5929"/>
    <w:rsid w:val="002F5B53"/>
    <w:rsid w:val="002F5DDD"/>
    <w:rsid w:val="002F5E20"/>
    <w:rsid w:val="002F5F38"/>
    <w:rsid w:val="002F60C2"/>
    <w:rsid w:val="002F618F"/>
    <w:rsid w:val="002F62B3"/>
    <w:rsid w:val="002F63EC"/>
    <w:rsid w:val="002F65A1"/>
    <w:rsid w:val="002F6887"/>
    <w:rsid w:val="002F68DE"/>
    <w:rsid w:val="002F6A47"/>
    <w:rsid w:val="002F6FB9"/>
    <w:rsid w:val="002F780F"/>
    <w:rsid w:val="00300219"/>
    <w:rsid w:val="003004B0"/>
    <w:rsid w:val="00300930"/>
    <w:rsid w:val="00300948"/>
    <w:rsid w:val="00300DED"/>
    <w:rsid w:val="00300ECB"/>
    <w:rsid w:val="0030102D"/>
    <w:rsid w:val="0030159D"/>
    <w:rsid w:val="00301C42"/>
    <w:rsid w:val="003021A5"/>
    <w:rsid w:val="003025DD"/>
    <w:rsid w:val="003029A2"/>
    <w:rsid w:val="00303003"/>
    <w:rsid w:val="003030B1"/>
    <w:rsid w:val="0030327C"/>
    <w:rsid w:val="003032F9"/>
    <w:rsid w:val="00303D5A"/>
    <w:rsid w:val="00303D5C"/>
    <w:rsid w:val="00303EFB"/>
    <w:rsid w:val="00304046"/>
    <w:rsid w:val="003042F7"/>
    <w:rsid w:val="00304361"/>
    <w:rsid w:val="003049AE"/>
    <w:rsid w:val="00304A33"/>
    <w:rsid w:val="00304EAF"/>
    <w:rsid w:val="00304F1E"/>
    <w:rsid w:val="00304F61"/>
    <w:rsid w:val="00305723"/>
    <w:rsid w:val="00305839"/>
    <w:rsid w:val="003059A0"/>
    <w:rsid w:val="00305A0E"/>
    <w:rsid w:val="00306473"/>
    <w:rsid w:val="00306722"/>
    <w:rsid w:val="003068D3"/>
    <w:rsid w:val="00306A61"/>
    <w:rsid w:val="00306A8D"/>
    <w:rsid w:val="00306C16"/>
    <w:rsid w:val="00306CFF"/>
    <w:rsid w:val="003073E5"/>
    <w:rsid w:val="00307EA8"/>
    <w:rsid w:val="0031000D"/>
    <w:rsid w:val="00310028"/>
    <w:rsid w:val="00310054"/>
    <w:rsid w:val="003100BF"/>
    <w:rsid w:val="00310202"/>
    <w:rsid w:val="003103F4"/>
    <w:rsid w:val="003103FB"/>
    <w:rsid w:val="00310625"/>
    <w:rsid w:val="0031072D"/>
    <w:rsid w:val="00310CC4"/>
    <w:rsid w:val="003114AF"/>
    <w:rsid w:val="00311557"/>
    <w:rsid w:val="00311607"/>
    <w:rsid w:val="003118F3"/>
    <w:rsid w:val="00311E04"/>
    <w:rsid w:val="003121D2"/>
    <w:rsid w:val="00312291"/>
    <w:rsid w:val="00312334"/>
    <w:rsid w:val="0031262F"/>
    <w:rsid w:val="00312944"/>
    <w:rsid w:val="00312B6F"/>
    <w:rsid w:val="00313237"/>
    <w:rsid w:val="0031381A"/>
    <w:rsid w:val="00313D6D"/>
    <w:rsid w:val="00313E5B"/>
    <w:rsid w:val="0031432B"/>
    <w:rsid w:val="003144E9"/>
    <w:rsid w:val="003149EA"/>
    <w:rsid w:val="00314FE4"/>
    <w:rsid w:val="0031553B"/>
    <w:rsid w:val="0031599D"/>
    <w:rsid w:val="00316AA1"/>
    <w:rsid w:val="00316AFC"/>
    <w:rsid w:val="00316CEA"/>
    <w:rsid w:val="0031702B"/>
    <w:rsid w:val="0031732C"/>
    <w:rsid w:val="00317C4E"/>
    <w:rsid w:val="00317D56"/>
    <w:rsid w:val="0032090C"/>
    <w:rsid w:val="003209C3"/>
    <w:rsid w:val="00320A52"/>
    <w:rsid w:val="00320F96"/>
    <w:rsid w:val="00321487"/>
    <w:rsid w:val="00321749"/>
    <w:rsid w:val="0032194C"/>
    <w:rsid w:val="00321A42"/>
    <w:rsid w:val="00321B33"/>
    <w:rsid w:val="00321B65"/>
    <w:rsid w:val="00321BEF"/>
    <w:rsid w:val="00321F2C"/>
    <w:rsid w:val="00322955"/>
    <w:rsid w:val="00322C70"/>
    <w:rsid w:val="00322EAF"/>
    <w:rsid w:val="00323171"/>
    <w:rsid w:val="00323766"/>
    <w:rsid w:val="00323932"/>
    <w:rsid w:val="00323F26"/>
    <w:rsid w:val="00324232"/>
    <w:rsid w:val="0032445A"/>
    <w:rsid w:val="003248C0"/>
    <w:rsid w:val="00324979"/>
    <w:rsid w:val="00324A7F"/>
    <w:rsid w:val="00324BFB"/>
    <w:rsid w:val="00324EA7"/>
    <w:rsid w:val="00324F30"/>
    <w:rsid w:val="00325348"/>
    <w:rsid w:val="00325F14"/>
    <w:rsid w:val="00325F48"/>
    <w:rsid w:val="00326303"/>
    <w:rsid w:val="0032643A"/>
    <w:rsid w:val="00326514"/>
    <w:rsid w:val="0032655E"/>
    <w:rsid w:val="00326805"/>
    <w:rsid w:val="00327620"/>
    <w:rsid w:val="00327A37"/>
    <w:rsid w:val="00327B7C"/>
    <w:rsid w:val="00327E66"/>
    <w:rsid w:val="0033018A"/>
    <w:rsid w:val="00330715"/>
    <w:rsid w:val="003310B5"/>
    <w:rsid w:val="00331231"/>
    <w:rsid w:val="003313F4"/>
    <w:rsid w:val="003314FC"/>
    <w:rsid w:val="00331A77"/>
    <w:rsid w:val="00331C73"/>
    <w:rsid w:val="00331E41"/>
    <w:rsid w:val="00332314"/>
    <w:rsid w:val="00332BAE"/>
    <w:rsid w:val="00332D22"/>
    <w:rsid w:val="00332E15"/>
    <w:rsid w:val="0033301C"/>
    <w:rsid w:val="00333277"/>
    <w:rsid w:val="00333DAF"/>
    <w:rsid w:val="0033402B"/>
    <w:rsid w:val="003340A3"/>
    <w:rsid w:val="00334103"/>
    <w:rsid w:val="003343AC"/>
    <w:rsid w:val="00334C10"/>
    <w:rsid w:val="00334EB3"/>
    <w:rsid w:val="0033505B"/>
    <w:rsid w:val="003350D2"/>
    <w:rsid w:val="00335728"/>
    <w:rsid w:val="003357BC"/>
    <w:rsid w:val="00335A12"/>
    <w:rsid w:val="00335AA2"/>
    <w:rsid w:val="00335E01"/>
    <w:rsid w:val="00336130"/>
    <w:rsid w:val="003363D0"/>
    <w:rsid w:val="00336567"/>
    <w:rsid w:val="00336A73"/>
    <w:rsid w:val="00336ADC"/>
    <w:rsid w:val="0033700D"/>
    <w:rsid w:val="00337E43"/>
    <w:rsid w:val="00340759"/>
    <w:rsid w:val="00340937"/>
    <w:rsid w:val="00340A31"/>
    <w:rsid w:val="00340A81"/>
    <w:rsid w:val="00340BB4"/>
    <w:rsid w:val="00340F7A"/>
    <w:rsid w:val="00341101"/>
    <w:rsid w:val="00341254"/>
    <w:rsid w:val="00341264"/>
    <w:rsid w:val="00341474"/>
    <w:rsid w:val="00341BCF"/>
    <w:rsid w:val="00341C4F"/>
    <w:rsid w:val="0034212C"/>
    <w:rsid w:val="0034236C"/>
    <w:rsid w:val="003423BD"/>
    <w:rsid w:val="0034259F"/>
    <w:rsid w:val="003426CE"/>
    <w:rsid w:val="00342A17"/>
    <w:rsid w:val="00342C54"/>
    <w:rsid w:val="00342E9F"/>
    <w:rsid w:val="00343291"/>
    <w:rsid w:val="0034379D"/>
    <w:rsid w:val="0034391D"/>
    <w:rsid w:val="00343C43"/>
    <w:rsid w:val="00343FE4"/>
    <w:rsid w:val="003440A8"/>
    <w:rsid w:val="00344865"/>
    <w:rsid w:val="00344A03"/>
    <w:rsid w:val="00344ACF"/>
    <w:rsid w:val="00344AF1"/>
    <w:rsid w:val="00344BF9"/>
    <w:rsid w:val="00344E97"/>
    <w:rsid w:val="003451BF"/>
    <w:rsid w:val="00345470"/>
    <w:rsid w:val="0034555A"/>
    <w:rsid w:val="0034566C"/>
    <w:rsid w:val="00345910"/>
    <w:rsid w:val="00345A52"/>
    <w:rsid w:val="00346019"/>
    <w:rsid w:val="00346106"/>
    <w:rsid w:val="00346343"/>
    <w:rsid w:val="00346487"/>
    <w:rsid w:val="003469F2"/>
    <w:rsid w:val="003475BB"/>
    <w:rsid w:val="00347A84"/>
    <w:rsid w:val="00347BAF"/>
    <w:rsid w:val="00347FAB"/>
    <w:rsid w:val="00347FEB"/>
    <w:rsid w:val="00350107"/>
    <w:rsid w:val="003504C5"/>
    <w:rsid w:val="0035066B"/>
    <w:rsid w:val="0035084E"/>
    <w:rsid w:val="00350BFF"/>
    <w:rsid w:val="00350F79"/>
    <w:rsid w:val="00350FD1"/>
    <w:rsid w:val="00350FEB"/>
    <w:rsid w:val="003511D4"/>
    <w:rsid w:val="0035125E"/>
    <w:rsid w:val="003517E1"/>
    <w:rsid w:val="00351A31"/>
    <w:rsid w:val="003520FA"/>
    <w:rsid w:val="00352348"/>
    <w:rsid w:val="003523E9"/>
    <w:rsid w:val="003524A6"/>
    <w:rsid w:val="00352EF4"/>
    <w:rsid w:val="003532BE"/>
    <w:rsid w:val="0035340D"/>
    <w:rsid w:val="0035390A"/>
    <w:rsid w:val="003555FB"/>
    <w:rsid w:val="003559EB"/>
    <w:rsid w:val="00355C20"/>
    <w:rsid w:val="00355E4E"/>
    <w:rsid w:val="003563B7"/>
    <w:rsid w:val="003568FB"/>
    <w:rsid w:val="00357397"/>
    <w:rsid w:val="003578C8"/>
    <w:rsid w:val="00357FF4"/>
    <w:rsid w:val="00360530"/>
    <w:rsid w:val="0036061D"/>
    <w:rsid w:val="0036068E"/>
    <w:rsid w:val="003606DB"/>
    <w:rsid w:val="00360C9B"/>
    <w:rsid w:val="00360D9C"/>
    <w:rsid w:val="00361054"/>
    <w:rsid w:val="003615D9"/>
    <w:rsid w:val="003618B4"/>
    <w:rsid w:val="00361CB0"/>
    <w:rsid w:val="00362144"/>
    <w:rsid w:val="003621C8"/>
    <w:rsid w:val="0036235F"/>
    <w:rsid w:val="00362483"/>
    <w:rsid w:val="00362AF6"/>
    <w:rsid w:val="00362B15"/>
    <w:rsid w:val="00363F4E"/>
    <w:rsid w:val="00364BC5"/>
    <w:rsid w:val="00364DAC"/>
    <w:rsid w:val="0036545B"/>
    <w:rsid w:val="0036554B"/>
    <w:rsid w:val="003655D1"/>
    <w:rsid w:val="00365AEE"/>
    <w:rsid w:val="00365B07"/>
    <w:rsid w:val="00365D19"/>
    <w:rsid w:val="00365EFE"/>
    <w:rsid w:val="0036616B"/>
    <w:rsid w:val="0036638C"/>
    <w:rsid w:val="0036695A"/>
    <w:rsid w:val="00366DCB"/>
    <w:rsid w:val="00366F0D"/>
    <w:rsid w:val="00367017"/>
    <w:rsid w:val="0036723E"/>
    <w:rsid w:val="00367950"/>
    <w:rsid w:val="00367953"/>
    <w:rsid w:val="00367960"/>
    <w:rsid w:val="00367B38"/>
    <w:rsid w:val="00367B92"/>
    <w:rsid w:val="00367BC0"/>
    <w:rsid w:val="0037006A"/>
    <w:rsid w:val="00370320"/>
    <w:rsid w:val="00370342"/>
    <w:rsid w:val="003707F3"/>
    <w:rsid w:val="00370A84"/>
    <w:rsid w:val="0037135D"/>
    <w:rsid w:val="00371663"/>
    <w:rsid w:val="00371742"/>
    <w:rsid w:val="00371AE6"/>
    <w:rsid w:val="00371C1F"/>
    <w:rsid w:val="00371CE8"/>
    <w:rsid w:val="00371F8B"/>
    <w:rsid w:val="0037241C"/>
    <w:rsid w:val="003728FF"/>
    <w:rsid w:val="00372D39"/>
    <w:rsid w:val="00372D9F"/>
    <w:rsid w:val="003730E4"/>
    <w:rsid w:val="003731E0"/>
    <w:rsid w:val="003734DD"/>
    <w:rsid w:val="00373560"/>
    <w:rsid w:val="00373A2F"/>
    <w:rsid w:val="00373C6E"/>
    <w:rsid w:val="00373CC5"/>
    <w:rsid w:val="003743CA"/>
    <w:rsid w:val="00374676"/>
    <w:rsid w:val="003747EC"/>
    <w:rsid w:val="00374B95"/>
    <w:rsid w:val="003759D8"/>
    <w:rsid w:val="00375AFE"/>
    <w:rsid w:val="003761C4"/>
    <w:rsid w:val="003762F1"/>
    <w:rsid w:val="00376394"/>
    <w:rsid w:val="0037639A"/>
    <w:rsid w:val="00376531"/>
    <w:rsid w:val="0037657C"/>
    <w:rsid w:val="003771A7"/>
    <w:rsid w:val="0037788E"/>
    <w:rsid w:val="00377907"/>
    <w:rsid w:val="00377AC6"/>
    <w:rsid w:val="00377C63"/>
    <w:rsid w:val="00380162"/>
    <w:rsid w:val="00380A09"/>
    <w:rsid w:val="00380EF2"/>
    <w:rsid w:val="003811EF"/>
    <w:rsid w:val="00381667"/>
    <w:rsid w:val="0038176B"/>
    <w:rsid w:val="00381976"/>
    <w:rsid w:val="003819B9"/>
    <w:rsid w:val="00381AB3"/>
    <w:rsid w:val="00381ABF"/>
    <w:rsid w:val="00381AE9"/>
    <w:rsid w:val="00382033"/>
    <w:rsid w:val="003823B0"/>
    <w:rsid w:val="00382C69"/>
    <w:rsid w:val="003843C7"/>
    <w:rsid w:val="00385020"/>
    <w:rsid w:val="00385106"/>
    <w:rsid w:val="003851B4"/>
    <w:rsid w:val="00385451"/>
    <w:rsid w:val="00385452"/>
    <w:rsid w:val="003854CE"/>
    <w:rsid w:val="003857BA"/>
    <w:rsid w:val="00385D29"/>
    <w:rsid w:val="0038604B"/>
    <w:rsid w:val="003865C1"/>
    <w:rsid w:val="0038674D"/>
    <w:rsid w:val="00386A01"/>
    <w:rsid w:val="00386EBA"/>
    <w:rsid w:val="00387016"/>
    <w:rsid w:val="00387096"/>
    <w:rsid w:val="003870BE"/>
    <w:rsid w:val="003872D2"/>
    <w:rsid w:val="00387B3C"/>
    <w:rsid w:val="00387D71"/>
    <w:rsid w:val="00387DE4"/>
    <w:rsid w:val="00387F90"/>
    <w:rsid w:val="003902B3"/>
    <w:rsid w:val="00390890"/>
    <w:rsid w:val="00390F48"/>
    <w:rsid w:val="00391020"/>
    <w:rsid w:val="00391866"/>
    <w:rsid w:val="00391C5A"/>
    <w:rsid w:val="00391D48"/>
    <w:rsid w:val="00391D82"/>
    <w:rsid w:val="00392F00"/>
    <w:rsid w:val="00393278"/>
    <w:rsid w:val="003933D4"/>
    <w:rsid w:val="0039355E"/>
    <w:rsid w:val="00393664"/>
    <w:rsid w:val="0039378B"/>
    <w:rsid w:val="0039399E"/>
    <w:rsid w:val="00393BE7"/>
    <w:rsid w:val="0039424C"/>
    <w:rsid w:val="003945FA"/>
    <w:rsid w:val="003946E1"/>
    <w:rsid w:val="0039476F"/>
    <w:rsid w:val="003948E7"/>
    <w:rsid w:val="00394C1C"/>
    <w:rsid w:val="00395A59"/>
    <w:rsid w:val="00396530"/>
    <w:rsid w:val="00396B98"/>
    <w:rsid w:val="00396C83"/>
    <w:rsid w:val="003975C1"/>
    <w:rsid w:val="00397832"/>
    <w:rsid w:val="00397B8D"/>
    <w:rsid w:val="00397C7E"/>
    <w:rsid w:val="00397DD5"/>
    <w:rsid w:val="003A01C1"/>
    <w:rsid w:val="003A079C"/>
    <w:rsid w:val="003A0914"/>
    <w:rsid w:val="003A0A99"/>
    <w:rsid w:val="003A0B02"/>
    <w:rsid w:val="003A1055"/>
    <w:rsid w:val="003A1072"/>
    <w:rsid w:val="003A15D8"/>
    <w:rsid w:val="003A193F"/>
    <w:rsid w:val="003A217B"/>
    <w:rsid w:val="003A21E5"/>
    <w:rsid w:val="003A2212"/>
    <w:rsid w:val="003A221B"/>
    <w:rsid w:val="003A242A"/>
    <w:rsid w:val="003A31DF"/>
    <w:rsid w:val="003A323B"/>
    <w:rsid w:val="003A35DF"/>
    <w:rsid w:val="003A38C8"/>
    <w:rsid w:val="003A3D9A"/>
    <w:rsid w:val="003A423B"/>
    <w:rsid w:val="003A4994"/>
    <w:rsid w:val="003A4A4D"/>
    <w:rsid w:val="003A4C56"/>
    <w:rsid w:val="003A4CBD"/>
    <w:rsid w:val="003A4CE3"/>
    <w:rsid w:val="003A4E66"/>
    <w:rsid w:val="003A50D3"/>
    <w:rsid w:val="003A56E8"/>
    <w:rsid w:val="003A56F6"/>
    <w:rsid w:val="003A59EA"/>
    <w:rsid w:val="003A5BB9"/>
    <w:rsid w:val="003A5C37"/>
    <w:rsid w:val="003A670D"/>
    <w:rsid w:val="003A69F3"/>
    <w:rsid w:val="003A6B98"/>
    <w:rsid w:val="003A7414"/>
    <w:rsid w:val="003A7427"/>
    <w:rsid w:val="003A76F0"/>
    <w:rsid w:val="003A7CBC"/>
    <w:rsid w:val="003A7DDB"/>
    <w:rsid w:val="003A7E69"/>
    <w:rsid w:val="003B02CC"/>
    <w:rsid w:val="003B0D31"/>
    <w:rsid w:val="003B0E10"/>
    <w:rsid w:val="003B0E3A"/>
    <w:rsid w:val="003B11C5"/>
    <w:rsid w:val="003B1759"/>
    <w:rsid w:val="003B1866"/>
    <w:rsid w:val="003B1DC8"/>
    <w:rsid w:val="003B1EDE"/>
    <w:rsid w:val="003B21B9"/>
    <w:rsid w:val="003B2316"/>
    <w:rsid w:val="003B2359"/>
    <w:rsid w:val="003B2859"/>
    <w:rsid w:val="003B2BB8"/>
    <w:rsid w:val="003B2BFE"/>
    <w:rsid w:val="003B3C24"/>
    <w:rsid w:val="003B3CA3"/>
    <w:rsid w:val="003B3EE3"/>
    <w:rsid w:val="003B4A38"/>
    <w:rsid w:val="003B4F6F"/>
    <w:rsid w:val="003B523D"/>
    <w:rsid w:val="003B5334"/>
    <w:rsid w:val="003B53CC"/>
    <w:rsid w:val="003B5579"/>
    <w:rsid w:val="003B5BD4"/>
    <w:rsid w:val="003B5D43"/>
    <w:rsid w:val="003B5EEE"/>
    <w:rsid w:val="003B605A"/>
    <w:rsid w:val="003B610A"/>
    <w:rsid w:val="003B6251"/>
    <w:rsid w:val="003B6719"/>
    <w:rsid w:val="003B681E"/>
    <w:rsid w:val="003B6924"/>
    <w:rsid w:val="003B706F"/>
    <w:rsid w:val="003B74AD"/>
    <w:rsid w:val="003B77D6"/>
    <w:rsid w:val="003B78DE"/>
    <w:rsid w:val="003B7C4A"/>
    <w:rsid w:val="003B7D5E"/>
    <w:rsid w:val="003C05B4"/>
    <w:rsid w:val="003C0723"/>
    <w:rsid w:val="003C0C51"/>
    <w:rsid w:val="003C0F63"/>
    <w:rsid w:val="003C1089"/>
    <w:rsid w:val="003C1160"/>
    <w:rsid w:val="003C1198"/>
    <w:rsid w:val="003C11FA"/>
    <w:rsid w:val="003C183C"/>
    <w:rsid w:val="003C1B1A"/>
    <w:rsid w:val="003C1B8B"/>
    <w:rsid w:val="003C2043"/>
    <w:rsid w:val="003C24D1"/>
    <w:rsid w:val="003C289C"/>
    <w:rsid w:val="003C29D2"/>
    <w:rsid w:val="003C2B19"/>
    <w:rsid w:val="003C2BC4"/>
    <w:rsid w:val="003C2D0E"/>
    <w:rsid w:val="003C2DA9"/>
    <w:rsid w:val="003C2DCA"/>
    <w:rsid w:val="003C313C"/>
    <w:rsid w:val="003C37E4"/>
    <w:rsid w:val="003C3F46"/>
    <w:rsid w:val="003C40D1"/>
    <w:rsid w:val="003C4305"/>
    <w:rsid w:val="003C462D"/>
    <w:rsid w:val="003C497A"/>
    <w:rsid w:val="003C4DDB"/>
    <w:rsid w:val="003C5185"/>
    <w:rsid w:val="003C52B2"/>
    <w:rsid w:val="003C587C"/>
    <w:rsid w:val="003C592D"/>
    <w:rsid w:val="003C59A0"/>
    <w:rsid w:val="003C62B3"/>
    <w:rsid w:val="003C64CC"/>
    <w:rsid w:val="003C667D"/>
    <w:rsid w:val="003C68C6"/>
    <w:rsid w:val="003C6DD4"/>
    <w:rsid w:val="003C7167"/>
    <w:rsid w:val="003C75FE"/>
    <w:rsid w:val="003C78E9"/>
    <w:rsid w:val="003C79DA"/>
    <w:rsid w:val="003C7AE7"/>
    <w:rsid w:val="003C7BD5"/>
    <w:rsid w:val="003D0134"/>
    <w:rsid w:val="003D050B"/>
    <w:rsid w:val="003D0662"/>
    <w:rsid w:val="003D0683"/>
    <w:rsid w:val="003D09E4"/>
    <w:rsid w:val="003D0A54"/>
    <w:rsid w:val="003D0B44"/>
    <w:rsid w:val="003D0ED8"/>
    <w:rsid w:val="003D1089"/>
    <w:rsid w:val="003D12BA"/>
    <w:rsid w:val="003D165E"/>
    <w:rsid w:val="003D1934"/>
    <w:rsid w:val="003D1CBF"/>
    <w:rsid w:val="003D1DE9"/>
    <w:rsid w:val="003D1E92"/>
    <w:rsid w:val="003D22D0"/>
    <w:rsid w:val="003D22F9"/>
    <w:rsid w:val="003D23B7"/>
    <w:rsid w:val="003D2576"/>
    <w:rsid w:val="003D26F9"/>
    <w:rsid w:val="003D2B33"/>
    <w:rsid w:val="003D2E80"/>
    <w:rsid w:val="003D3223"/>
    <w:rsid w:val="003D34FF"/>
    <w:rsid w:val="003D3ABB"/>
    <w:rsid w:val="003D42F5"/>
    <w:rsid w:val="003D445E"/>
    <w:rsid w:val="003D5090"/>
    <w:rsid w:val="003D510F"/>
    <w:rsid w:val="003D5597"/>
    <w:rsid w:val="003D65F7"/>
    <w:rsid w:val="003D6A02"/>
    <w:rsid w:val="003D76B8"/>
    <w:rsid w:val="003D76E6"/>
    <w:rsid w:val="003D78E0"/>
    <w:rsid w:val="003E010D"/>
    <w:rsid w:val="003E026C"/>
    <w:rsid w:val="003E0C98"/>
    <w:rsid w:val="003E0F69"/>
    <w:rsid w:val="003E1122"/>
    <w:rsid w:val="003E117C"/>
    <w:rsid w:val="003E11D1"/>
    <w:rsid w:val="003E1285"/>
    <w:rsid w:val="003E13C5"/>
    <w:rsid w:val="003E1485"/>
    <w:rsid w:val="003E1724"/>
    <w:rsid w:val="003E1794"/>
    <w:rsid w:val="003E17B5"/>
    <w:rsid w:val="003E17FC"/>
    <w:rsid w:val="003E1AAE"/>
    <w:rsid w:val="003E1D06"/>
    <w:rsid w:val="003E1D68"/>
    <w:rsid w:val="003E20C1"/>
    <w:rsid w:val="003E2D46"/>
    <w:rsid w:val="003E2E45"/>
    <w:rsid w:val="003E388F"/>
    <w:rsid w:val="003E3A5E"/>
    <w:rsid w:val="003E3D68"/>
    <w:rsid w:val="003E417C"/>
    <w:rsid w:val="003E42CA"/>
    <w:rsid w:val="003E42F1"/>
    <w:rsid w:val="003E42F3"/>
    <w:rsid w:val="003E4617"/>
    <w:rsid w:val="003E4CE5"/>
    <w:rsid w:val="003E4F7B"/>
    <w:rsid w:val="003E5496"/>
    <w:rsid w:val="003E5D8B"/>
    <w:rsid w:val="003E5F8B"/>
    <w:rsid w:val="003E64F0"/>
    <w:rsid w:val="003E73FF"/>
    <w:rsid w:val="003E7712"/>
    <w:rsid w:val="003E774B"/>
    <w:rsid w:val="003E7762"/>
    <w:rsid w:val="003E793F"/>
    <w:rsid w:val="003E7C68"/>
    <w:rsid w:val="003E7FD7"/>
    <w:rsid w:val="003F00EB"/>
    <w:rsid w:val="003F015A"/>
    <w:rsid w:val="003F088B"/>
    <w:rsid w:val="003F0DAC"/>
    <w:rsid w:val="003F1038"/>
    <w:rsid w:val="003F1639"/>
    <w:rsid w:val="003F1708"/>
    <w:rsid w:val="003F1B3D"/>
    <w:rsid w:val="003F1B72"/>
    <w:rsid w:val="003F1C65"/>
    <w:rsid w:val="003F1D06"/>
    <w:rsid w:val="003F1E11"/>
    <w:rsid w:val="003F1F6A"/>
    <w:rsid w:val="003F27B4"/>
    <w:rsid w:val="003F2F53"/>
    <w:rsid w:val="003F31FD"/>
    <w:rsid w:val="003F3369"/>
    <w:rsid w:val="003F39D6"/>
    <w:rsid w:val="003F3AA4"/>
    <w:rsid w:val="003F3B72"/>
    <w:rsid w:val="003F3DC0"/>
    <w:rsid w:val="003F3FED"/>
    <w:rsid w:val="003F3FFB"/>
    <w:rsid w:val="003F4411"/>
    <w:rsid w:val="003F44C7"/>
    <w:rsid w:val="003F4672"/>
    <w:rsid w:val="003F471A"/>
    <w:rsid w:val="003F485F"/>
    <w:rsid w:val="003F49C5"/>
    <w:rsid w:val="003F4A4B"/>
    <w:rsid w:val="003F4EE8"/>
    <w:rsid w:val="003F5127"/>
    <w:rsid w:val="003F582A"/>
    <w:rsid w:val="003F6033"/>
    <w:rsid w:val="003F6259"/>
    <w:rsid w:val="003F6462"/>
    <w:rsid w:val="003F678E"/>
    <w:rsid w:val="003F6996"/>
    <w:rsid w:val="003F69C8"/>
    <w:rsid w:val="003F69FE"/>
    <w:rsid w:val="003F7071"/>
    <w:rsid w:val="003F71D4"/>
    <w:rsid w:val="003F7276"/>
    <w:rsid w:val="003F72E2"/>
    <w:rsid w:val="003F7458"/>
    <w:rsid w:val="003F754C"/>
    <w:rsid w:val="003F7A09"/>
    <w:rsid w:val="003F7CA7"/>
    <w:rsid w:val="003F7CF9"/>
    <w:rsid w:val="003F7F9A"/>
    <w:rsid w:val="00400321"/>
    <w:rsid w:val="004009A2"/>
    <w:rsid w:val="004009C7"/>
    <w:rsid w:val="00400BD7"/>
    <w:rsid w:val="00400D1A"/>
    <w:rsid w:val="00400F66"/>
    <w:rsid w:val="00401186"/>
    <w:rsid w:val="0040122D"/>
    <w:rsid w:val="00401BC6"/>
    <w:rsid w:val="00402500"/>
    <w:rsid w:val="00402663"/>
    <w:rsid w:val="004029F3"/>
    <w:rsid w:val="00402BB7"/>
    <w:rsid w:val="00402F16"/>
    <w:rsid w:val="00403195"/>
    <w:rsid w:val="0040395D"/>
    <w:rsid w:val="00403ACD"/>
    <w:rsid w:val="00403ADB"/>
    <w:rsid w:val="00403B5D"/>
    <w:rsid w:val="00403EC2"/>
    <w:rsid w:val="004041B5"/>
    <w:rsid w:val="00404357"/>
    <w:rsid w:val="004043A2"/>
    <w:rsid w:val="00404639"/>
    <w:rsid w:val="0040484D"/>
    <w:rsid w:val="00404990"/>
    <w:rsid w:val="00404EBF"/>
    <w:rsid w:val="00404F42"/>
    <w:rsid w:val="0040510C"/>
    <w:rsid w:val="0040540D"/>
    <w:rsid w:val="00405609"/>
    <w:rsid w:val="00405A6F"/>
    <w:rsid w:val="00405B0A"/>
    <w:rsid w:val="00406476"/>
    <w:rsid w:val="00406C53"/>
    <w:rsid w:val="00406D52"/>
    <w:rsid w:val="0040711B"/>
    <w:rsid w:val="00407338"/>
    <w:rsid w:val="004073AC"/>
    <w:rsid w:val="00407922"/>
    <w:rsid w:val="00407A04"/>
    <w:rsid w:val="00410131"/>
    <w:rsid w:val="00410199"/>
    <w:rsid w:val="00410204"/>
    <w:rsid w:val="004105A9"/>
    <w:rsid w:val="00410688"/>
    <w:rsid w:val="00410CAC"/>
    <w:rsid w:val="00410FDF"/>
    <w:rsid w:val="0041144A"/>
    <w:rsid w:val="00411869"/>
    <w:rsid w:val="00411B52"/>
    <w:rsid w:val="00411BAE"/>
    <w:rsid w:val="00411D74"/>
    <w:rsid w:val="004126DC"/>
    <w:rsid w:val="0041271C"/>
    <w:rsid w:val="00412836"/>
    <w:rsid w:val="00413173"/>
    <w:rsid w:val="004131FE"/>
    <w:rsid w:val="004134EE"/>
    <w:rsid w:val="004135AD"/>
    <w:rsid w:val="00413935"/>
    <w:rsid w:val="00413C02"/>
    <w:rsid w:val="00413C0E"/>
    <w:rsid w:val="00413F5B"/>
    <w:rsid w:val="00414308"/>
    <w:rsid w:val="00414361"/>
    <w:rsid w:val="004146F2"/>
    <w:rsid w:val="004148B3"/>
    <w:rsid w:val="00415274"/>
    <w:rsid w:val="00415A97"/>
    <w:rsid w:val="00415DB5"/>
    <w:rsid w:val="00415F77"/>
    <w:rsid w:val="004163A5"/>
    <w:rsid w:val="004166D4"/>
    <w:rsid w:val="00416CBD"/>
    <w:rsid w:val="00416F67"/>
    <w:rsid w:val="00416FB7"/>
    <w:rsid w:val="00417324"/>
    <w:rsid w:val="004173B1"/>
    <w:rsid w:val="00417430"/>
    <w:rsid w:val="004174D6"/>
    <w:rsid w:val="004176BA"/>
    <w:rsid w:val="00417D2D"/>
    <w:rsid w:val="00420265"/>
    <w:rsid w:val="00420286"/>
    <w:rsid w:val="004203DA"/>
    <w:rsid w:val="00420447"/>
    <w:rsid w:val="0042071D"/>
    <w:rsid w:val="00420896"/>
    <w:rsid w:val="00420AD6"/>
    <w:rsid w:val="00420DE5"/>
    <w:rsid w:val="00421247"/>
    <w:rsid w:val="004214E7"/>
    <w:rsid w:val="00421522"/>
    <w:rsid w:val="004216E8"/>
    <w:rsid w:val="0042195D"/>
    <w:rsid w:val="004219A0"/>
    <w:rsid w:val="00421E8A"/>
    <w:rsid w:val="00422668"/>
    <w:rsid w:val="004229AD"/>
    <w:rsid w:val="00422B5F"/>
    <w:rsid w:val="004234CE"/>
    <w:rsid w:val="00423746"/>
    <w:rsid w:val="00423778"/>
    <w:rsid w:val="004238C5"/>
    <w:rsid w:val="00424CFC"/>
    <w:rsid w:val="00424D7D"/>
    <w:rsid w:val="00424FB2"/>
    <w:rsid w:val="00424FB5"/>
    <w:rsid w:val="004252CE"/>
    <w:rsid w:val="004253F8"/>
    <w:rsid w:val="004256FB"/>
    <w:rsid w:val="00425704"/>
    <w:rsid w:val="00425771"/>
    <w:rsid w:val="004263F3"/>
    <w:rsid w:val="00426467"/>
    <w:rsid w:val="00426492"/>
    <w:rsid w:val="0042663D"/>
    <w:rsid w:val="00426681"/>
    <w:rsid w:val="00426691"/>
    <w:rsid w:val="00426871"/>
    <w:rsid w:val="00426AC3"/>
    <w:rsid w:val="00426B03"/>
    <w:rsid w:val="00427131"/>
    <w:rsid w:val="004273E9"/>
    <w:rsid w:val="00427531"/>
    <w:rsid w:val="004275E6"/>
    <w:rsid w:val="00427ACD"/>
    <w:rsid w:val="00427C02"/>
    <w:rsid w:val="00427EE2"/>
    <w:rsid w:val="00427F90"/>
    <w:rsid w:val="004300CE"/>
    <w:rsid w:val="0043033D"/>
    <w:rsid w:val="004307AA"/>
    <w:rsid w:val="00430BAF"/>
    <w:rsid w:val="00431141"/>
    <w:rsid w:val="00431336"/>
    <w:rsid w:val="004316BB"/>
    <w:rsid w:val="00431A77"/>
    <w:rsid w:val="00431B15"/>
    <w:rsid w:val="00431B60"/>
    <w:rsid w:val="00431B63"/>
    <w:rsid w:val="00431D66"/>
    <w:rsid w:val="00432166"/>
    <w:rsid w:val="00433693"/>
    <w:rsid w:val="00433C01"/>
    <w:rsid w:val="00433D34"/>
    <w:rsid w:val="00433E9B"/>
    <w:rsid w:val="004341BF"/>
    <w:rsid w:val="004343EB"/>
    <w:rsid w:val="00435302"/>
    <w:rsid w:val="00435363"/>
    <w:rsid w:val="004355F0"/>
    <w:rsid w:val="004357C5"/>
    <w:rsid w:val="00436B9F"/>
    <w:rsid w:val="00436BAB"/>
    <w:rsid w:val="00436C5D"/>
    <w:rsid w:val="00436D40"/>
    <w:rsid w:val="0043725B"/>
    <w:rsid w:val="00437383"/>
    <w:rsid w:val="00437567"/>
    <w:rsid w:val="00437AB4"/>
    <w:rsid w:val="00437CD4"/>
    <w:rsid w:val="00437F32"/>
    <w:rsid w:val="00440455"/>
    <w:rsid w:val="0044060F"/>
    <w:rsid w:val="004409AE"/>
    <w:rsid w:val="00440B77"/>
    <w:rsid w:val="00440C30"/>
    <w:rsid w:val="00440D35"/>
    <w:rsid w:val="0044109B"/>
    <w:rsid w:val="0044133D"/>
    <w:rsid w:val="0044155B"/>
    <w:rsid w:val="00441629"/>
    <w:rsid w:val="00441BA9"/>
    <w:rsid w:val="00441D03"/>
    <w:rsid w:val="00441E4B"/>
    <w:rsid w:val="00441EC2"/>
    <w:rsid w:val="004420AE"/>
    <w:rsid w:val="00442247"/>
    <w:rsid w:val="0044228B"/>
    <w:rsid w:val="004425F9"/>
    <w:rsid w:val="0044281B"/>
    <w:rsid w:val="004431EA"/>
    <w:rsid w:val="00443395"/>
    <w:rsid w:val="0044372D"/>
    <w:rsid w:val="004438E6"/>
    <w:rsid w:val="00443F9E"/>
    <w:rsid w:val="00444556"/>
    <w:rsid w:val="00444708"/>
    <w:rsid w:val="00444D22"/>
    <w:rsid w:val="00444D69"/>
    <w:rsid w:val="00444F8C"/>
    <w:rsid w:val="004452CF"/>
    <w:rsid w:val="004454A1"/>
    <w:rsid w:val="00445FDC"/>
    <w:rsid w:val="00446280"/>
    <w:rsid w:val="00446CDA"/>
    <w:rsid w:val="00446EDA"/>
    <w:rsid w:val="00446F35"/>
    <w:rsid w:val="00446F96"/>
    <w:rsid w:val="004471AF"/>
    <w:rsid w:val="00447565"/>
    <w:rsid w:val="004475DA"/>
    <w:rsid w:val="00447885"/>
    <w:rsid w:val="00447D15"/>
    <w:rsid w:val="00447EE6"/>
    <w:rsid w:val="004501EE"/>
    <w:rsid w:val="0045022B"/>
    <w:rsid w:val="004507D2"/>
    <w:rsid w:val="00450A1C"/>
    <w:rsid w:val="00450F40"/>
    <w:rsid w:val="00451072"/>
    <w:rsid w:val="00451319"/>
    <w:rsid w:val="00451716"/>
    <w:rsid w:val="00451C27"/>
    <w:rsid w:val="0045216E"/>
    <w:rsid w:val="004523DB"/>
    <w:rsid w:val="00452A4F"/>
    <w:rsid w:val="00452AD2"/>
    <w:rsid w:val="00452DA7"/>
    <w:rsid w:val="00452F7D"/>
    <w:rsid w:val="00453573"/>
    <w:rsid w:val="0045368B"/>
    <w:rsid w:val="0045377A"/>
    <w:rsid w:val="0045379B"/>
    <w:rsid w:val="004538CC"/>
    <w:rsid w:val="004538E6"/>
    <w:rsid w:val="00453901"/>
    <w:rsid w:val="00453C40"/>
    <w:rsid w:val="00453D75"/>
    <w:rsid w:val="00453DD0"/>
    <w:rsid w:val="00453E5B"/>
    <w:rsid w:val="0045446B"/>
    <w:rsid w:val="004546D0"/>
    <w:rsid w:val="004547BD"/>
    <w:rsid w:val="00454944"/>
    <w:rsid w:val="004549BF"/>
    <w:rsid w:val="00455088"/>
    <w:rsid w:val="004552D4"/>
    <w:rsid w:val="0045550F"/>
    <w:rsid w:val="00455787"/>
    <w:rsid w:val="004557C7"/>
    <w:rsid w:val="00455867"/>
    <w:rsid w:val="00455BDD"/>
    <w:rsid w:val="00455F5A"/>
    <w:rsid w:val="004562B8"/>
    <w:rsid w:val="00456484"/>
    <w:rsid w:val="004564F0"/>
    <w:rsid w:val="0045684F"/>
    <w:rsid w:val="004568BE"/>
    <w:rsid w:val="004577C9"/>
    <w:rsid w:val="0045796B"/>
    <w:rsid w:val="00457CCF"/>
    <w:rsid w:val="00457D1A"/>
    <w:rsid w:val="00457F4A"/>
    <w:rsid w:val="00460821"/>
    <w:rsid w:val="004620E4"/>
    <w:rsid w:val="0046213F"/>
    <w:rsid w:val="004621B3"/>
    <w:rsid w:val="0046281A"/>
    <w:rsid w:val="0046287E"/>
    <w:rsid w:val="00462A4E"/>
    <w:rsid w:val="00463486"/>
    <w:rsid w:val="00463936"/>
    <w:rsid w:val="00463C0A"/>
    <w:rsid w:val="00464515"/>
    <w:rsid w:val="0046473B"/>
    <w:rsid w:val="004649C6"/>
    <w:rsid w:val="00464DF9"/>
    <w:rsid w:val="00465329"/>
    <w:rsid w:val="00465462"/>
    <w:rsid w:val="004654CC"/>
    <w:rsid w:val="00465548"/>
    <w:rsid w:val="0046594A"/>
    <w:rsid w:val="00465B16"/>
    <w:rsid w:val="00466039"/>
    <w:rsid w:val="0046642A"/>
    <w:rsid w:val="004666C5"/>
    <w:rsid w:val="00466C7E"/>
    <w:rsid w:val="004670DC"/>
    <w:rsid w:val="004673AE"/>
    <w:rsid w:val="00467549"/>
    <w:rsid w:val="00467D18"/>
    <w:rsid w:val="004703D5"/>
    <w:rsid w:val="0047057E"/>
    <w:rsid w:val="004718C5"/>
    <w:rsid w:val="0047213C"/>
    <w:rsid w:val="004721D6"/>
    <w:rsid w:val="0047224C"/>
    <w:rsid w:val="0047235E"/>
    <w:rsid w:val="00472A7E"/>
    <w:rsid w:val="0047320D"/>
    <w:rsid w:val="00473393"/>
    <w:rsid w:val="004737AB"/>
    <w:rsid w:val="00473863"/>
    <w:rsid w:val="004742AF"/>
    <w:rsid w:val="0047434C"/>
    <w:rsid w:val="00474A15"/>
    <w:rsid w:val="00475203"/>
    <w:rsid w:val="004754FA"/>
    <w:rsid w:val="0047573C"/>
    <w:rsid w:val="00475CF1"/>
    <w:rsid w:val="0047645C"/>
    <w:rsid w:val="0047650C"/>
    <w:rsid w:val="004767D6"/>
    <w:rsid w:val="00476983"/>
    <w:rsid w:val="004769CF"/>
    <w:rsid w:val="00476D47"/>
    <w:rsid w:val="00477185"/>
    <w:rsid w:val="00477382"/>
    <w:rsid w:val="00477B51"/>
    <w:rsid w:val="00477DF7"/>
    <w:rsid w:val="00480027"/>
    <w:rsid w:val="004802D9"/>
    <w:rsid w:val="00481E44"/>
    <w:rsid w:val="004821A0"/>
    <w:rsid w:val="0048296A"/>
    <w:rsid w:val="00483499"/>
    <w:rsid w:val="00483854"/>
    <w:rsid w:val="004841FC"/>
    <w:rsid w:val="00484351"/>
    <w:rsid w:val="00484576"/>
    <w:rsid w:val="004845BD"/>
    <w:rsid w:val="00484F3A"/>
    <w:rsid w:val="00484F66"/>
    <w:rsid w:val="00485044"/>
    <w:rsid w:val="004850A5"/>
    <w:rsid w:val="00485136"/>
    <w:rsid w:val="00485B16"/>
    <w:rsid w:val="00485B8D"/>
    <w:rsid w:val="00485E3C"/>
    <w:rsid w:val="0048613B"/>
    <w:rsid w:val="0048654D"/>
    <w:rsid w:val="00486799"/>
    <w:rsid w:val="00486CD1"/>
    <w:rsid w:val="0048717F"/>
    <w:rsid w:val="004873C9"/>
    <w:rsid w:val="00487E74"/>
    <w:rsid w:val="00487ED9"/>
    <w:rsid w:val="00490215"/>
    <w:rsid w:val="00490348"/>
    <w:rsid w:val="0049049C"/>
    <w:rsid w:val="00490778"/>
    <w:rsid w:val="00490792"/>
    <w:rsid w:val="0049087B"/>
    <w:rsid w:val="00490A30"/>
    <w:rsid w:val="00490F50"/>
    <w:rsid w:val="004916C0"/>
    <w:rsid w:val="004916C1"/>
    <w:rsid w:val="00491720"/>
    <w:rsid w:val="00491955"/>
    <w:rsid w:val="00491B95"/>
    <w:rsid w:val="00491DDD"/>
    <w:rsid w:val="004921B0"/>
    <w:rsid w:val="00492287"/>
    <w:rsid w:val="00492814"/>
    <w:rsid w:val="00492C18"/>
    <w:rsid w:val="0049360F"/>
    <w:rsid w:val="0049380D"/>
    <w:rsid w:val="00493961"/>
    <w:rsid w:val="0049434D"/>
    <w:rsid w:val="004944B9"/>
    <w:rsid w:val="00494667"/>
    <w:rsid w:val="00494CA2"/>
    <w:rsid w:val="00494FC3"/>
    <w:rsid w:val="00495555"/>
    <w:rsid w:val="004959E3"/>
    <w:rsid w:val="00495D3A"/>
    <w:rsid w:val="004962E2"/>
    <w:rsid w:val="0049642B"/>
    <w:rsid w:val="004965D7"/>
    <w:rsid w:val="00496EF8"/>
    <w:rsid w:val="004970B8"/>
    <w:rsid w:val="00497150"/>
    <w:rsid w:val="00497293"/>
    <w:rsid w:val="0049778C"/>
    <w:rsid w:val="004A06F9"/>
    <w:rsid w:val="004A09A4"/>
    <w:rsid w:val="004A0E5F"/>
    <w:rsid w:val="004A10AA"/>
    <w:rsid w:val="004A1154"/>
    <w:rsid w:val="004A1590"/>
    <w:rsid w:val="004A17A1"/>
    <w:rsid w:val="004A1B85"/>
    <w:rsid w:val="004A1EF7"/>
    <w:rsid w:val="004A1F76"/>
    <w:rsid w:val="004A1FA1"/>
    <w:rsid w:val="004A252B"/>
    <w:rsid w:val="004A2757"/>
    <w:rsid w:val="004A2F81"/>
    <w:rsid w:val="004A2FD1"/>
    <w:rsid w:val="004A354D"/>
    <w:rsid w:val="004A41CC"/>
    <w:rsid w:val="004A43C3"/>
    <w:rsid w:val="004A4402"/>
    <w:rsid w:val="004A4FCC"/>
    <w:rsid w:val="004A55AE"/>
    <w:rsid w:val="004A55FB"/>
    <w:rsid w:val="004A5DD7"/>
    <w:rsid w:val="004A6511"/>
    <w:rsid w:val="004A6637"/>
    <w:rsid w:val="004A676B"/>
    <w:rsid w:val="004A6BFC"/>
    <w:rsid w:val="004A6F87"/>
    <w:rsid w:val="004A79D5"/>
    <w:rsid w:val="004B0333"/>
    <w:rsid w:val="004B0397"/>
    <w:rsid w:val="004B071E"/>
    <w:rsid w:val="004B127E"/>
    <w:rsid w:val="004B1FC9"/>
    <w:rsid w:val="004B22D2"/>
    <w:rsid w:val="004B27EB"/>
    <w:rsid w:val="004B28C4"/>
    <w:rsid w:val="004B28CD"/>
    <w:rsid w:val="004B2911"/>
    <w:rsid w:val="004B327A"/>
    <w:rsid w:val="004B3291"/>
    <w:rsid w:val="004B38E7"/>
    <w:rsid w:val="004B4995"/>
    <w:rsid w:val="004B4E99"/>
    <w:rsid w:val="004B4EF7"/>
    <w:rsid w:val="004B534E"/>
    <w:rsid w:val="004B54CA"/>
    <w:rsid w:val="004B5D5C"/>
    <w:rsid w:val="004B616F"/>
    <w:rsid w:val="004B621C"/>
    <w:rsid w:val="004B651B"/>
    <w:rsid w:val="004B66AB"/>
    <w:rsid w:val="004B6875"/>
    <w:rsid w:val="004B6A24"/>
    <w:rsid w:val="004B6D30"/>
    <w:rsid w:val="004B7161"/>
    <w:rsid w:val="004B76BB"/>
    <w:rsid w:val="004B7848"/>
    <w:rsid w:val="004B799A"/>
    <w:rsid w:val="004B7BCD"/>
    <w:rsid w:val="004C02D1"/>
    <w:rsid w:val="004C0F86"/>
    <w:rsid w:val="004C1246"/>
    <w:rsid w:val="004C12E9"/>
    <w:rsid w:val="004C1868"/>
    <w:rsid w:val="004C1A00"/>
    <w:rsid w:val="004C1AD8"/>
    <w:rsid w:val="004C1CA2"/>
    <w:rsid w:val="004C21A8"/>
    <w:rsid w:val="004C2222"/>
    <w:rsid w:val="004C237D"/>
    <w:rsid w:val="004C24BA"/>
    <w:rsid w:val="004C24CD"/>
    <w:rsid w:val="004C2914"/>
    <w:rsid w:val="004C2AA8"/>
    <w:rsid w:val="004C2AAF"/>
    <w:rsid w:val="004C2B16"/>
    <w:rsid w:val="004C2B70"/>
    <w:rsid w:val="004C349B"/>
    <w:rsid w:val="004C3526"/>
    <w:rsid w:val="004C3A65"/>
    <w:rsid w:val="004C3D90"/>
    <w:rsid w:val="004C3DE4"/>
    <w:rsid w:val="004C4128"/>
    <w:rsid w:val="004C4598"/>
    <w:rsid w:val="004C467F"/>
    <w:rsid w:val="004C4C93"/>
    <w:rsid w:val="004C4EF4"/>
    <w:rsid w:val="004C4EF8"/>
    <w:rsid w:val="004C59D1"/>
    <w:rsid w:val="004C69D2"/>
    <w:rsid w:val="004C6A3C"/>
    <w:rsid w:val="004C6CE5"/>
    <w:rsid w:val="004C6DEA"/>
    <w:rsid w:val="004C70FD"/>
    <w:rsid w:val="004C7192"/>
    <w:rsid w:val="004C72F9"/>
    <w:rsid w:val="004C74F0"/>
    <w:rsid w:val="004C7731"/>
    <w:rsid w:val="004C77D8"/>
    <w:rsid w:val="004C79DE"/>
    <w:rsid w:val="004C7A94"/>
    <w:rsid w:val="004C7B67"/>
    <w:rsid w:val="004C7F07"/>
    <w:rsid w:val="004D103A"/>
    <w:rsid w:val="004D16E4"/>
    <w:rsid w:val="004D1800"/>
    <w:rsid w:val="004D1A3B"/>
    <w:rsid w:val="004D1D98"/>
    <w:rsid w:val="004D2257"/>
    <w:rsid w:val="004D25C8"/>
    <w:rsid w:val="004D287B"/>
    <w:rsid w:val="004D2B58"/>
    <w:rsid w:val="004D346B"/>
    <w:rsid w:val="004D356F"/>
    <w:rsid w:val="004D375A"/>
    <w:rsid w:val="004D3ADD"/>
    <w:rsid w:val="004D3CDF"/>
    <w:rsid w:val="004D3E8F"/>
    <w:rsid w:val="004D4343"/>
    <w:rsid w:val="004D4491"/>
    <w:rsid w:val="004D4BA9"/>
    <w:rsid w:val="004D4C3A"/>
    <w:rsid w:val="004D4C41"/>
    <w:rsid w:val="004D5056"/>
    <w:rsid w:val="004D50BE"/>
    <w:rsid w:val="004D51D1"/>
    <w:rsid w:val="004D52EF"/>
    <w:rsid w:val="004D52FF"/>
    <w:rsid w:val="004D5B33"/>
    <w:rsid w:val="004D5F00"/>
    <w:rsid w:val="004D7064"/>
    <w:rsid w:val="004D7354"/>
    <w:rsid w:val="004D74E9"/>
    <w:rsid w:val="004E0189"/>
    <w:rsid w:val="004E0307"/>
    <w:rsid w:val="004E0447"/>
    <w:rsid w:val="004E09F5"/>
    <w:rsid w:val="004E0A1A"/>
    <w:rsid w:val="004E0AA2"/>
    <w:rsid w:val="004E10EA"/>
    <w:rsid w:val="004E112E"/>
    <w:rsid w:val="004E14DA"/>
    <w:rsid w:val="004E157F"/>
    <w:rsid w:val="004E16D9"/>
    <w:rsid w:val="004E1754"/>
    <w:rsid w:val="004E1991"/>
    <w:rsid w:val="004E19C4"/>
    <w:rsid w:val="004E230A"/>
    <w:rsid w:val="004E2487"/>
    <w:rsid w:val="004E264B"/>
    <w:rsid w:val="004E2D01"/>
    <w:rsid w:val="004E36CB"/>
    <w:rsid w:val="004E3F3B"/>
    <w:rsid w:val="004E40AF"/>
    <w:rsid w:val="004E4208"/>
    <w:rsid w:val="004E4560"/>
    <w:rsid w:val="004E4855"/>
    <w:rsid w:val="004E4E97"/>
    <w:rsid w:val="004E4F4B"/>
    <w:rsid w:val="004E50C2"/>
    <w:rsid w:val="004E5CBF"/>
    <w:rsid w:val="004E5F5A"/>
    <w:rsid w:val="004E69F0"/>
    <w:rsid w:val="004E721A"/>
    <w:rsid w:val="004E787F"/>
    <w:rsid w:val="004E7F62"/>
    <w:rsid w:val="004F0107"/>
    <w:rsid w:val="004F03C2"/>
    <w:rsid w:val="004F03F5"/>
    <w:rsid w:val="004F07A0"/>
    <w:rsid w:val="004F0A6E"/>
    <w:rsid w:val="004F1031"/>
    <w:rsid w:val="004F105D"/>
    <w:rsid w:val="004F1092"/>
    <w:rsid w:val="004F1739"/>
    <w:rsid w:val="004F206B"/>
    <w:rsid w:val="004F2103"/>
    <w:rsid w:val="004F2199"/>
    <w:rsid w:val="004F28EC"/>
    <w:rsid w:val="004F3027"/>
    <w:rsid w:val="004F3963"/>
    <w:rsid w:val="004F3B2B"/>
    <w:rsid w:val="004F3C41"/>
    <w:rsid w:val="004F3F28"/>
    <w:rsid w:val="004F3FEF"/>
    <w:rsid w:val="004F4033"/>
    <w:rsid w:val="004F462C"/>
    <w:rsid w:val="004F46B2"/>
    <w:rsid w:val="004F4801"/>
    <w:rsid w:val="004F4983"/>
    <w:rsid w:val="004F55BF"/>
    <w:rsid w:val="004F580B"/>
    <w:rsid w:val="004F5C88"/>
    <w:rsid w:val="004F6BCC"/>
    <w:rsid w:val="004F6C84"/>
    <w:rsid w:val="004F781E"/>
    <w:rsid w:val="004F79BD"/>
    <w:rsid w:val="004F7BF7"/>
    <w:rsid w:val="00500665"/>
    <w:rsid w:val="005006C0"/>
    <w:rsid w:val="00500B3C"/>
    <w:rsid w:val="00500D19"/>
    <w:rsid w:val="00500F5E"/>
    <w:rsid w:val="00500FB9"/>
    <w:rsid w:val="005012E8"/>
    <w:rsid w:val="00501EEA"/>
    <w:rsid w:val="005021C7"/>
    <w:rsid w:val="00502523"/>
    <w:rsid w:val="005027D0"/>
    <w:rsid w:val="00502847"/>
    <w:rsid w:val="00502E3C"/>
    <w:rsid w:val="00503093"/>
    <w:rsid w:val="005033EE"/>
    <w:rsid w:val="0050345B"/>
    <w:rsid w:val="00503A23"/>
    <w:rsid w:val="0050435F"/>
    <w:rsid w:val="00504984"/>
    <w:rsid w:val="00504E4B"/>
    <w:rsid w:val="0050506C"/>
    <w:rsid w:val="0050533E"/>
    <w:rsid w:val="0050566B"/>
    <w:rsid w:val="0050576B"/>
    <w:rsid w:val="005058BC"/>
    <w:rsid w:val="00506012"/>
    <w:rsid w:val="00506288"/>
    <w:rsid w:val="00506313"/>
    <w:rsid w:val="00506F4B"/>
    <w:rsid w:val="00506F6B"/>
    <w:rsid w:val="005078CB"/>
    <w:rsid w:val="00507AD3"/>
    <w:rsid w:val="00507D23"/>
    <w:rsid w:val="0051031B"/>
    <w:rsid w:val="005110E4"/>
    <w:rsid w:val="0051115C"/>
    <w:rsid w:val="0051141B"/>
    <w:rsid w:val="00511AEC"/>
    <w:rsid w:val="00511E3A"/>
    <w:rsid w:val="00512439"/>
    <w:rsid w:val="00513385"/>
    <w:rsid w:val="00513498"/>
    <w:rsid w:val="0051350C"/>
    <w:rsid w:val="005136D5"/>
    <w:rsid w:val="005138A6"/>
    <w:rsid w:val="00513C9C"/>
    <w:rsid w:val="00513DC5"/>
    <w:rsid w:val="00513E4F"/>
    <w:rsid w:val="00513F58"/>
    <w:rsid w:val="00513FEA"/>
    <w:rsid w:val="0051427A"/>
    <w:rsid w:val="0051491E"/>
    <w:rsid w:val="00514948"/>
    <w:rsid w:val="00514BD2"/>
    <w:rsid w:val="00515597"/>
    <w:rsid w:val="00515671"/>
    <w:rsid w:val="00515680"/>
    <w:rsid w:val="00515790"/>
    <w:rsid w:val="00515BB2"/>
    <w:rsid w:val="0051612A"/>
    <w:rsid w:val="005161E0"/>
    <w:rsid w:val="005163EF"/>
    <w:rsid w:val="005164F0"/>
    <w:rsid w:val="00516B06"/>
    <w:rsid w:val="00516BDC"/>
    <w:rsid w:val="00516D1C"/>
    <w:rsid w:val="00517634"/>
    <w:rsid w:val="005177F7"/>
    <w:rsid w:val="0051797A"/>
    <w:rsid w:val="00520012"/>
    <w:rsid w:val="0052032A"/>
    <w:rsid w:val="00520677"/>
    <w:rsid w:val="005211EA"/>
    <w:rsid w:val="0052133E"/>
    <w:rsid w:val="0052156F"/>
    <w:rsid w:val="0052182A"/>
    <w:rsid w:val="00521A5D"/>
    <w:rsid w:val="00522268"/>
    <w:rsid w:val="00522549"/>
    <w:rsid w:val="00522585"/>
    <w:rsid w:val="005229E1"/>
    <w:rsid w:val="00523D96"/>
    <w:rsid w:val="00524018"/>
    <w:rsid w:val="005241F7"/>
    <w:rsid w:val="005242AA"/>
    <w:rsid w:val="005246B0"/>
    <w:rsid w:val="0052507F"/>
    <w:rsid w:val="005254DC"/>
    <w:rsid w:val="005259F3"/>
    <w:rsid w:val="00525B7E"/>
    <w:rsid w:val="00525E5A"/>
    <w:rsid w:val="00525E72"/>
    <w:rsid w:val="00525EAE"/>
    <w:rsid w:val="005260E9"/>
    <w:rsid w:val="00526688"/>
    <w:rsid w:val="00526D7A"/>
    <w:rsid w:val="00526F06"/>
    <w:rsid w:val="00527297"/>
    <w:rsid w:val="005273E9"/>
    <w:rsid w:val="005273F8"/>
    <w:rsid w:val="0052745F"/>
    <w:rsid w:val="00527508"/>
    <w:rsid w:val="005276EA"/>
    <w:rsid w:val="005276FA"/>
    <w:rsid w:val="00527A8D"/>
    <w:rsid w:val="00527CE0"/>
    <w:rsid w:val="0053075D"/>
    <w:rsid w:val="005309D3"/>
    <w:rsid w:val="00530A9F"/>
    <w:rsid w:val="00530BFB"/>
    <w:rsid w:val="00530C40"/>
    <w:rsid w:val="00530D80"/>
    <w:rsid w:val="00530DD7"/>
    <w:rsid w:val="00530E5E"/>
    <w:rsid w:val="00530F07"/>
    <w:rsid w:val="00531136"/>
    <w:rsid w:val="00531615"/>
    <w:rsid w:val="00531667"/>
    <w:rsid w:val="005319E7"/>
    <w:rsid w:val="00531ABA"/>
    <w:rsid w:val="00531D06"/>
    <w:rsid w:val="00532B88"/>
    <w:rsid w:val="00533008"/>
    <w:rsid w:val="0053323E"/>
    <w:rsid w:val="00533299"/>
    <w:rsid w:val="00533516"/>
    <w:rsid w:val="00533792"/>
    <w:rsid w:val="00533AA3"/>
    <w:rsid w:val="00533CED"/>
    <w:rsid w:val="00534797"/>
    <w:rsid w:val="00534991"/>
    <w:rsid w:val="00534D40"/>
    <w:rsid w:val="005351F0"/>
    <w:rsid w:val="0053526C"/>
    <w:rsid w:val="00535279"/>
    <w:rsid w:val="00535328"/>
    <w:rsid w:val="005354D6"/>
    <w:rsid w:val="00535FE8"/>
    <w:rsid w:val="00536149"/>
    <w:rsid w:val="00536247"/>
    <w:rsid w:val="005368E7"/>
    <w:rsid w:val="00536DC6"/>
    <w:rsid w:val="00536F18"/>
    <w:rsid w:val="00537179"/>
    <w:rsid w:val="005376B7"/>
    <w:rsid w:val="00537D66"/>
    <w:rsid w:val="00537E36"/>
    <w:rsid w:val="00537F09"/>
    <w:rsid w:val="00537F56"/>
    <w:rsid w:val="00540598"/>
    <w:rsid w:val="005407E4"/>
    <w:rsid w:val="00540864"/>
    <w:rsid w:val="00540B89"/>
    <w:rsid w:val="00540DF4"/>
    <w:rsid w:val="00540EF5"/>
    <w:rsid w:val="00540F54"/>
    <w:rsid w:val="00541989"/>
    <w:rsid w:val="00541CF3"/>
    <w:rsid w:val="0054204E"/>
    <w:rsid w:val="0054244B"/>
    <w:rsid w:val="00542567"/>
    <w:rsid w:val="00542612"/>
    <w:rsid w:val="005429ED"/>
    <w:rsid w:val="00542B8C"/>
    <w:rsid w:val="00542BFC"/>
    <w:rsid w:val="0054324A"/>
    <w:rsid w:val="00543EFA"/>
    <w:rsid w:val="00544953"/>
    <w:rsid w:val="005450A8"/>
    <w:rsid w:val="005456CF"/>
    <w:rsid w:val="00545821"/>
    <w:rsid w:val="005458D7"/>
    <w:rsid w:val="00545B0F"/>
    <w:rsid w:val="00545EC7"/>
    <w:rsid w:val="00545FC1"/>
    <w:rsid w:val="00546104"/>
    <w:rsid w:val="00546DC9"/>
    <w:rsid w:val="00547340"/>
    <w:rsid w:val="005473FB"/>
    <w:rsid w:val="005478A9"/>
    <w:rsid w:val="00550017"/>
    <w:rsid w:val="0055039E"/>
    <w:rsid w:val="005503C7"/>
    <w:rsid w:val="00550656"/>
    <w:rsid w:val="00550675"/>
    <w:rsid w:val="00550A17"/>
    <w:rsid w:val="00550C01"/>
    <w:rsid w:val="00550C63"/>
    <w:rsid w:val="00550FCC"/>
    <w:rsid w:val="00550FF7"/>
    <w:rsid w:val="00551032"/>
    <w:rsid w:val="005511DE"/>
    <w:rsid w:val="00551B43"/>
    <w:rsid w:val="00551D25"/>
    <w:rsid w:val="005522F7"/>
    <w:rsid w:val="00552317"/>
    <w:rsid w:val="005523ED"/>
    <w:rsid w:val="00552806"/>
    <w:rsid w:val="00554279"/>
    <w:rsid w:val="00554667"/>
    <w:rsid w:val="00554B2B"/>
    <w:rsid w:val="005557EE"/>
    <w:rsid w:val="00555920"/>
    <w:rsid w:val="00555937"/>
    <w:rsid w:val="00555AC0"/>
    <w:rsid w:val="00555D1E"/>
    <w:rsid w:val="00556B07"/>
    <w:rsid w:val="00556CE4"/>
    <w:rsid w:val="00556DA8"/>
    <w:rsid w:val="00556DA9"/>
    <w:rsid w:val="005572E0"/>
    <w:rsid w:val="00557418"/>
    <w:rsid w:val="00557C94"/>
    <w:rsid w:val="00557D25"/>
    <w:rsid w:val="00557E1E"/>
    <w:rsid w:val="005600E6"/>
    <w:rsid w:val="00560737"/>
    <w:rsid w:val="00560761"/>
    <w:rsid w:val="00560CC5"/>
    <w:rsid w:val="00561881"/>
    <w:rsid w:val="005619E1"/>
    <w:rsid w:val="00562398"/>
    <w:rsid w:val="005628C1"/>
    <w:rsid w:val="00562ADA"/>
    <w:rsid w:val="00562E9D"/>
    <w:rsid w:val="00562FE4"/>
    <w:rsid w:val="00563210"/>
    <w:rsid w:val="00563519"/>
    <w:rsid w:val="0056351A"/>
    <w:rsid w:val="00563675"/>
    <w:rsid w:val="00563D71"/>
    <w:rsid w:val="00563E4C"/>
    <w:rsid w:val="0056469C"/>
    <w:rsid w:val="0056471F"/>
    <w:rsid w:val="0056539A"/>
    <w:rsid w:val="00565806"/>
    <w:rsid w:val="00565B83"/>
    <w:rsid w:val="00566527"/>
    <w:rsid w:val="00566AFF"/>
    <w:rsid w:val="00566C5E"/>
    <w:rsid w:val="00566CA0"/>
    <w:rsid w:val="00566CE8"/>
    <w:rsid w:val="00566E2C"/>
    <w:rsid w:val="00567174"/>
    <w:rsid w:val="0056729A"/>
    <w:rsid w:val="005676D7"/>
    <w:rsid w:val="00567733"/>
    <w:rsid w:val="00567783"/>
    <w:rsid w:val="005678F6"/>
    <w:rsid w:val="0057089C"/>
    <w:rsid w:val="00570A67"/>
    <w:rsid w:val="00570B7F"/>
    <w:rsid w:val="00570E0D"/>
    <w:rsid w:val="0057104B"/>
    <w:rsid w:val="00571CE4"/>
    <w:rsid w:val="00571D96"/>
    <w:rsid w:val="00571F91"/>
    <w:rsid w:val="005721E3"/>
    <w:rsid w:val="005722BC"/>
    <w:rsid w:val="0057230C"/>
    <w:rsid w:val="0057237A"/>
    <w:rsid w:val="00572E11"/>
    <w:rsid w:val="00572E45"/>
    <w:rsid w:val="00572EC3"/>
    <w:rsid w:val="005731AE"/>
    <w:rsid w:val="00573E37"/>
    <w:rsid w:val="0057480A"/>
    <w:rsid w:val="00575B5C"/>
    <w:rsid w:val="00575EBE"/>
    <w:rsid w:val="00576007"/>
    <w:rsid w:val="0057603A"/>
    <w:rsid w:val="005762BA"/>
    <w:rsid w:val="00576399"/>
    <w:rsid w:val="00576890"/>
    <w:rsid w:val="00576BEE"/>
    <w:rsid w:val="00576C40"/>
    <w:rsid w:val="00576C75"/>
    <w:rsid w:val="0057758B"/>
    <w:rsid w:val="005777D9"/>
    <w:rsid w:val="005777F8"/>
    <w:rsid w:val="00577991"/>
    <w:rsid w:val="00577B1D"/>
    <w:rsid w:val="00577BDC"/>
    <w:rsid w:val="00577EE9"/>
    <w:rsid w:val="00577F05"/>
    <w:rsid w:val="00580301"/>
    <w:rsid w:val="0058081D"/>
    <w:rsid w:val="00580AF3"/>
    <w:rsid w:val="00580E03"/>
    <w:rsid w:val="0058113E"/>
    <w:rsid w:val="00581880"/>
    <w:rsid w:val="0058197B"/>
    <w:rsid w:val="00581B00"/>
    <w:rsid w:val="0058273D"/>
    <w:rsid w:val="00582E58"/>
    <w:rsid w:val="005830F7"/>
    <w:rsid w:val="00583291"/>
    <w:rsid w:val="005832F0"/>
    <w:rsid w:val="00583321"/>
    <w:rsid w:val="00583522"/>
    <w:rsid w:val="005835B9"/>
    <w:rsid w:val="005838DA"/>
    <w:rsid w:val="00583918"/>
    <w:rsid w:val="00584442"/>
    <w:rsid w:val="00584827"/>
    <w:rsid w:val="00584CE3"/>
    <w:rsid w:val="00584D07"/>
    <w:rsid w:val="005851F0"/>
    <w:rsid w:val="00585398"/>
    <w:rsid w:val="00585890"/>
    <w:rsid w:val="00585D09"/>
    <w:rsid w:val="00585D10"/>
    <w:rsid w:val="00585E1A"/>
    <w:rsid w:val="0058675E"/>
    <w:rsid w:val="00586B5E"/>
    <w:rsid w:val="0058727B"/>
    <w:rsid w:val="0058742A"/>
    <w:rsid w:val="00587A4C"/>
    <w:rsid w:val="00587C65"/>
    <w:rsid w:val="00587D0E"/>
    <w:rsid w:val="0059059C"/>
    <w:rsid w:val="00590864"/>
    <w:rsid w:val="0059095C"/>
    <w:rsid w:val="00590BEE"/>
    <w:rsid w:val="00590BF8"/>
    <w:rsid w:val="00590D9F"/>
    <w:rsid w:val="005913A5"/>
    <w:rsid w:val="005913DD"/>
    <w:rsid w:val="005913FE"/>
    <w:rsid w:val="00591651"/>
    <w:rsid w:val="0059178F"/>
    <w:rsid w:val="00591849"/>
    <w:rsid w:val="00591924"/>
    <w:rsid w:val="005919F5"/>
    <w:rsid w:val="00591AC2"/>
    <w:rsid w:val="00591EE3"/>
    <w:rsid w:val="00592092"/>
    <w:rsid w:val="0059240D"/>
    <w:rsid w:val="00592824"/>
    <w:rsid w:val="00592B84"/>
    <w:rsid w:val="00592EC2"/>
    <w:rsid w:val="00592FBA"/>
    <w:rsid w:val="005934F6"/>
    <w:rsid w:val="00593D84"/>
    <w:rsid w:val="0059419B"/>
    <w:rsid w:val="005946A0"/>
    <w:rsid w:val="00594CE8"/>
    <w:rsid w:val="00594DCC"/>
    <w:rsid w:val="00595D6E"/>
    <w:rsid w:val="00595D73"/>
    <w:rsid w:val="00595E39"/>
    <w:rsid w:val="00596159"/>
    <w:rsid w:val="00596591"/>
    <w:rsid w:val="00596738"/>
    <w:rsid w:val="00596808"/>
    <w:rsid w:val="00596A78"/>
    <w:rsid w:val="00596B86"/>
    <w:rsid w:val="00596C74"/>
    <w:rsid w:val="00597296"/>
    <w:rsid w:val="00597936"/>
    <w:rsid w:val="005A05F9"/>
    <w:rsid w:val="005A0F33"/>
    <w:rsid w:val="005A17C3"/>
    <w:rsid w:val="005A18BF"/>
    <w:rsid w:val="005A1A20"/>
    <w:rsid w:val="005A294C"/>
    <w:rsid w:val="005A2AA3"/>
    <w:rsid w:val="005A2D14"/>
    <w:rsid w:val="005A340A"/>
    <w:rsid w:val="005A34FF"/>
    <w:rsid w:val="005A36E7"/>
    <w:rsid w:val="005A3AD6"/>
    <w:rsid w:val="005A3B06"/>
    <w:rsid w:val="005A3B76"/>
    <w:rsid w:val="005A3E77"/>
    <w:rsid w:val="005A4317"/>
    <w:rsid w:val="005A44CC"/>
    <w:rsid w:val="005A4519"/>
    <w:rsid w:val="005A4575"/>
    <w:rsid w:val="005A474B"/>
    <w:rsid w:val="005A4F70"/>
    <w:rsid w:val="005A5377"/>
    <w:rsid w:val="005A56EA"/>
    <w:rsid w:val="005A5821"/>
    <w:rsid w:val="005A5F01"/>
    <w:rsid w:val="005A6355"/>
    <w:rsid w:val="005A6953"/>
    <w:rsid w:val="005A6B20"/>
    <w:rsid w:val="005A6CA1"/>
    <w:rsid w:val="005A6F7A"/>
    <w:rsid w:val="005A7661"/>
    <w:rsid w:val="005A795D"/>
    <w:rsid w:val="005B0014"/>
    <w:rsid w:val="005B0972"/>
    <w:rsid w:val="005B12C9"/>
    <w:rsid w:val="005B132E"/>
    <w:rsid w:val="005B1436"/>
    <w:rsid w:val="005B154A"/>
    <w:rsid w:val="005B16B7"/>
    <w:rsid w:val="005B1727"/>
    <w:rsid w:val="005B18B7"/>
    <w:rsid w:val="005B18C9"/>
    <w:rsid w:val="005B196F"/>
    <w:rsid w:val="005B1C6E"/>
    <w:rsid w:val="005B1CE5"/>
    <w:rsid w:val="005B21EE"/>
    <w:rsid w:val="005B254B"/>
    <w:rsid w:val="005B2879"/>
    <w:rsid w:val="005B2896"/>
    <w:rsid w:val="005B299A"/>
    <w:rsid w:val="005B2C15"/>
    <w:rsid w:val="005B32A4"/>
    <w:rsid w:val="005B3BBD"/>
    <w:rsid w:val="005B3BC9"/>
    <w:rsid w:val="005B3CF1"/>
    <w:rsid w:val="005B3D10"/>
    <w:rsid w:val="005B3DEC"/>
    <w:rsid w:val="005B3F15"/>
    <w:rsid w:val="005B445B"/>
    <w:rsid w:val="005B48B1"/>
    <w:rsid w:val="005B4A45"/>
    <w:rsid w:val="005B4F33"/>
    <w:rsid w:val="005B4F81"/>
    <w:rsid w:val="005B539A"/>
    <w:rsid w:val="005B558F"/>
    <w:rsid w:val="005B5623"/>
    <w:rsid w:val="005B5666"/>
    <w:rsid w:val="005B5B5E"/>
    <w:rsid w:val="005B6160"/>
    <w:rsid w:val="005B6613"/>
    <w:rsid w:val="005B6A57"/>
    <w:rsid w:val="005B6B57"/>
    <w:rsid w:val="005B6CEB"/>
    <w:rsid w:val="005B6FE0"/>
    <w:rsid w:val="005B70DA"/>
    <w:rsid w:val="005B7101"/>
    <w:rsid w:val="005B722B"/>
    <w:rsid w:val="005B775E"/>
    <w:rsid w:val="005B7CBC"/>
    <w:rsid w:val="005B7D05"/>
    <w:rsid w:val="005B7E94"/>
    <w:rsid w:val="005B7F24"/>
    <w:rsid w:val="005C05C0"/>
    <w:rsid w:val="005C0628"/>
    <w:rsid w:val="005C0D0C"/>
    <w:rsid w:val="005C0E34"/>
    <w:rsid w:val="005C0EBB"/>
    <w:rsid w:val="005C0F9C"/>
    <w:rsid w:val="005C103B"/>
    <w:rsid w:val="005C1138"/>
    <w:rsid w:val="005C1BB9"/>
    <w:rsid w:val="005C1BE0"/>
    <w:rsid w:val="005C1CA0"/>
    <w:rsid w:val="005C2004"/>
    <w:rsid w:val="005C24E4"/>
    <w:rsid w:val="005C26F1"/>
    <w:rsid w:val="005C293D"/>
    <w:rsid w:val="005C2961"/>
    <w:rsid w:val="005C2F10"/>
    <w:rsid w:val="005C30F5"/>
    <w:rsid w:val="005C35DE"/>
    <w:rsid w:val="005C3704"/>
    <w:rsid w:val="005C373E"/>
    <w:rsid w:val="005C3AA9"/>
    <w:rsid w:val="005C4A3C"/>
    <w:rsid w:val="005C4F3B"/>
    <w:rsid w:val="005C51E1"/>
    <w:rsid w:val="005C5375"/>
    <w:rsid w:val="005C5465"/>
    <w:rsid w:val="005C5990"/>
    <w:rsid w:val="005C5D1B"/>
    <w:rsid w:val="005C5EAC"/>
    <w:rsid w:val="005C631E"/>
    <w:rsid w:val="005C6609"/>
    <w:rsid w:val="005C6727"/>
    <w:rsid w:val="005C6AAC"/>
    <w:rsid w:val="005C6E8D"/>
    <w:rsid w:val="005C6F11"/>
    <w:rsid w:val="005C73AC"/>
    <w:rsid w:val="005C7578"/>
    <w:rsid w:val="005C77D6"/>
    <w:rsid w:val="005C7A41"/>
    <w:rsid w:val="005C7A88"/>
    <w:rsid w:val="005C7AF4"/>
    <w:rsid w:val="005D0385"/>
    <w:rsid w:val="005D08E2"/>
    <w:rsid w:val="005D0935"/>
    <w:rsid w:val="005D0AC2"/>
    <w:rsid w:val="005D0B24"/>
    <w:rsid w:val="005D0B53"/>
    <w:rsid w:val="005D0D76"/>
    <w:rsid w:val="005D12EA"/>
    <w:rsid w:val="005D13C0"/>
    <w:rsid w:val="005D1545"/>
    <w:rsid w:val="005D1C5C"/>
    <w:rsid w:val="005D1FDD"/>
    <w:rsid w:val="005D201E"/>
    <w:rsid w:val="005D26B9"/>
    <w:rsid w:val="005D27A4"/>
    <w:rsid w:val="005D2820"/>
    <w:rsid w:val="005D2D02"/>
    <w:rsid w:val="005D2D1C"/>
    <w:rsid w:val="005D30F9"/>
    <w:rsid w:val="005D33C9"/>
    <w:rsid w:val="005D3415"/>
    <w:rsid w:val="005D38B8"/>
    <w:rsid w:val="005D3FB1"/>
    <w:rsid w:val="005D45CE"/>
    <w:rsid w:val="005D5188"/>
    <w:rsid w:val="005D5548"/>
    <w:rsid w:val="005D5E5D"/>
    <w:rsid w:val="005D5F98"/>
    <w:rsid w:val="005D6046"/>
    <w:rsid w:val="005D62E6"/>
    <w:rsid w:val="005D6697"/>
    <w:rsid w:val="005D6701"/>
    <w:rsid w:val="005D6ABD"/>
    <w:rsid w:val="005D6C79"/>
    <w:rsid w:val="005D78E0"/>
    <w:rsid w:val="005D7C2C"/>
    <w:rsid w:val="005E11A5"/>
    <w:rsid w:val="005E11F0"/>
    <w:rsid w:val="005E199A"/>
    <w:rsid w:val="005E19B3"/>
    <w:rsid w:val="005E2081"/>
    <w:rsid w:val="005E20AA"/>
    <w:rsid w:val="005E2583"/>
    <w:rsid w:val="005E26D7"/>
    <w:rsid w:val="005E28AB"/>
    <w:rsid w:val="005E29E5"/>
    <w:rsid w:val="005E2D5A"/>
    <w:rsid w:val="005E2E4B"/>
    <w:rsid w:val="005E30E4"/>
    <w:rsid w:val="005E3362"/>
    <w:rsid w:val="005E338A"/>
    <w:rsid w:val="005E3709"/>
    <w:rsid w:val="005E3794"/>
    <w:rsid w:val="005E392B"/>
    <w:rsid w:val="005E3AEF"/>
    <w:rsid w:val="005E3B00"/>
    <w:rsid w:val="005E3BF9"/>
    <w:rsid w:val="005E4108"/>
    <w:rsid w:val="005E43BD"/>
    <w:rsid w:val="005E5678"/>
    <w:rsid w:val="005E57AE"/>
    <w:rsid w:val="005E594C"/>
    <w:rsid w:val="005E5BCA"/>
    <w:rsid w:val="005E69DD"/>
    <w:rsid w:val="005E6C13"/>
    <w:rsid w:val="005E760B"/>
    <w:rsid w:val="005E7A70"/>
    <w:rsid w:val="005E7B2F"/>
    <w:rsid w:val="005E7BF0"/>
    <w:rsid w:val="005F03DF"/>
    <w:rsid w:val="005F06D8"/>
    <w:rsid w:val="005F10BA"/>
    <w:rsid w:val="005F167B"/>
    <w:rsid w:val="005F1B71"/>
    <w:rsid w:val="005F200E"/>
    <w:rsid w:val="005F200F"/>
    <w:rsid w:val="005F234F"/>
    <w:rsid w:val="005F2969"/>
    <w:rsid w:val="005F2A65"/>
    <w:rsid w:val="005F2BCE"/>
    <w:rsid w:val="005F30F8"/>
    <w:rsid w:val="005F3131"/>
    <w:rsid w:val="005F34F3"/>
    <w:rsid w:val="005F3683"/>
    <w:rsid w:val="005F3B2A"/>
    <w:rsid w:val="005F3FD6"/>
    <w:rsid w:val="005F4604"/>
    <w:rsid w:val="005F47BF"/>
    <w:rsid w:val="005F48DA"/>
    <w:rsid w:val="005F48F0"/>
    <w:rsid w:val="005F4C10"/>
    <w:rsid w:val="005F4CE3"/>
    <w:rsid w:val="005F4EFF"/>
    <w:rsid w:val="005F50DE"/>
    <w:rsid w:val="005F5871"/>
    <w:rsid w:val="005F5A3D"/>
    <w:rsid w:val="005F5BF0"/>
    <w:rsid w:val="005F5FA0"/>
    <w:rsid w:val="005F65AB"/>
    <w:rsid w:val="005F674F"/>
    <w:rsid w:val="005F68EC"/>
    <w:rsid w:val="005F6C69"/>
    <w:rsid w:val="005F6D3B"/>
    <w:rsid w:val="005F70AD"/>
    <w:rsid w:val="005F71A4"/>
    <w:rsid w:val="005F725E"/>
    <w:rsid w:val="005F75BC"/>
    <w:rsid w:val="005F7775"/>
    <w:rsid w:val="005F7D58"/>
    <w:rsid w:val="006000D0"/>
    <w:rsid w:val="006001E8"/>
    <w:rsid w:val="006002D7"/>
    <w:rsid w:val="00600420"/>
    <w:rsid w:val="00600AB3"/>
    <w:rsid w:val="00600BBD"/>
    <w:rsid w:val="00600D36"/>
    <w:rsid w:val="00601117"/>
    <w:rsid w:val="00601940"/>
    <w:rsid w:val="00601B31"/>
    <w:rsid w:val="00601D1C"/>
    <w:rsid w:val="00601F19"/>
    <w:rsid w:val="00602057"/>
    <w:rsid w:val="00602238"/>
    <w:rsid w:val="006023F2"/>
    <w:rsid w:val="00602836"/>
    <w:rsid w:val="006028C3"/>
    <w:rsid w:val="0060297A"/>
    <w:rsid w:val="00602A77"/>
    <w:rsid w:val="00602B25"/>
    <w:rsid w:val="00602C0C"/>
    <w:rsid w:val="00602D19"/>
    <w:rsid w:val="00602F05"/>
    <w:rsid w:val="0060369B"/>
    <w:rsid w:val="00603EA5"/>
    <w:rsid w:val="006040F3"/>
    <w:rsid w:val="00604A3D"/>
    <w:rsid w:val="00604A90"/>
    <w:rsid w:val="006051C3"/>
    <w:rsid w:val="00605296"/>
    <w:rsid w:val="006052EB"/>
    <w:rsid w:val="0060537F"/>
    <w:rsid w:val="00605795"/>
    <w:rsid w:val="006058EB"/>
    <w:rsid w:val="00605ABF"/>
    <w:rsid w:val="00605C40"/>
    <w:rsid w:val="006060D3"/>
    <w:rsid w:val="006062F4"/>
    <w:rsid w:val="006064DD"/>
    <w:rsid w:val="006065B5"/>
    <w:rsid w:val="0060677C"/>
    <w:rsid w:val="006079C3"/>
    <w:rsid w:val="00607A13"/>
    <w:rsid w:val="00607E2A"/>
    <w:rsid w:val="00607E3D"/>
    <w:rsid w:val="00607E6A"/>
    <w:rsid w:val="00607F97"/>
    <w:rsid w:val="006100D0"/>
    <w:rsid w:val="006106DD"/>
    <w:rsid w:val="0061079E"/>
    <w:rsid w:val="00610881"/>
    <w:rsid w:val="00610A6B"/>
    <w:rsid w:val="006113E2"/>
    <w:rsid w:val="0061146B"/>
    <w:rsid w:val="00611ECA"/>
    <w:rsid w:val="00612208"/>
    <w:rsid w:val="006122F6"/>
    <w:rsid w:val="00612A8D"/>
    <w:rsid w:val="00612B92"/>
    <w:rsid w:val="0061362A"/>
    <w:rsid w:val="006138C0"/>
    <w:rsid w:val="006139BC"/>
    <w:rsid w:val="00614CED"/>
    <w:rsid w:val="00614D08"/>
    <w:rsid w:val="0061551A"/>
    <w:rsid w:val="0061569C"/>
    <w:rsid w:val="006158AA"/>
    <w:rsid w:val="00615F90"/>
    <w:rsid w:val="00616252"/>
    <w:rsid w:val="00616979"/>
    <w:rsid w:val="00616A7A"/>
    <w:rsid w:val="00616AA8"/>
    <w:rsid w:val="00616F94"/>
    <w:rsid w:val="006170EF"/>
    <w:rsid w:val="0061722C"/>
    <w:rsid w:val="00617559"/>
    <w:rsid w:val="006175E7"/>
    <w:rsid w:val="006176D4"/>
    <w:rsid w:val="00617878"/>
    <w:rsid w:val="00617DCD"/>
    <w:rsid w:val="00617F0C"/>
    <w:rsid w:val="0062009A"/>
    <w:rsid w:val="006200F9"/>
    <w:rsid w:val="00620352"/>
    <w:rsid w:val="00620A19"/>
    <w:rsid w:val="00620D6F"/>
    <w:rsid w:val="00620D8B"/>
    <w:rsid w:val="0062100E"/>
    <w:rsid w:val="00621282"/>
    <w:rsid w:val="006212DD"/>
    <w:rsid w:val="006218A5"/>
    <w:rsid w:val="006218D7"/>
    <w:rsid w:val="00621CE2"/>
    <w:rsid w:val="00621FC5"/>
    <w:rsid w:val="00622000"/>
    <w:rsid w:val="006224AA"/>
    <w:rsid w:val="006226BA"/>
    <w:rsid w:val="006226FB"/>
    <w:rsid w:val="0062299D"/>
    <w:rsid w:val="00622D42"/>
    <w:rsid w:val="00622F04"/>
    <w:rsid w:val="006232EE"/>
    <w:rsid w:val="006235DF"/>
    <w:rsid w:val="00623A7D"/>
    <w:rsid w:val="00624604"/>
    <w:rsid w:val="0062465A"/>
    <w:rsid w:val="00624771"/>
    <w:rsid w:val="006248FF"/>
    <w:rsid w:val="00624A16"/>
    <w:rsid w:val="00624D62"/>
    <w:rsid w:val="00624E80"/>
    <w:rsid w:val="00625A00"/>
    <w:rsid w:val="00625B3F"/>
    <w:rsid w:val="00625CD6"/>
    <w:rsid w:val="00625D37"/>
    <w:rsid w:val="00625EFA"/>
    <w:rsid w:val="006262A9"/>
    <w:rsid w:val="006264AE"/>
    <w:rsid w:val="006268D9"/>
    <w:rsid w:val="00626F6F"/>
    <w:rsid w:val="00627040"/>
    <w:rsid w:val="006274BB"/>
    <w:rsid w:val="006277A8"/>
    <w:rsid w:val="006300AB"/>
    <w:rsid w:val="006301DE"/>
    <w:rsid w:val="00630A97"/>
    <w:rsid w:val="00630AF3"/>
    <w:rsid w:val="00630D19"/>
    <w:rsid w:val="00631870"/>
    <w:rsid w:val="00631B27"/>
    <w:rsid w:val="00631B82"/>
    <w:rsid w:val="0063225A"/>
    <w:rsid w:val="006322E1"/>
    <w:rsid w:val="00632437"/>
    <w:rsid w:val="00632CCB"/>
    <w:rsid w:val="00633A61"/>
    <w:rsid w:val="00633BAE"/>
    <w:rsid w:val="00633C25"/>
    <w:rsid w:val="00633D61"/>
    <w:rsid w:val="00633F18"/>
    <w:rsid w:val="00634106"/>
    <w:rsid w:val="006342BC"/>
    <w:rsid w:val="006346F8"/>
    <w:rsid w:val="00634941"/>
    <w:rsid w:val="00634D52"/>
    <w:rsid w:val="006355AC"/>
    <w:rsid w:val="00635EE4"/>
    <w:rsid w:val="00635F1A"/>
    <w:rsid w:val="00636142"/>
    <w:rsid w:val="006365A0"/>
    <w:rsid w:val="00636C74"/>
    <w:rsid w:val="00636EAF"/>
    <w:rsid w:val="0063767A"/>
    <w:rsid w:val="00637820"/>
    <w:rsid w:val="0063794B"/>
    <w:rsid w:val="00637B02"/>
    <w:rsid w:val="00637E68"/>
    <w:rsid w:val="00640064"/>
    <w:rsid w:val="006400CB"/>
    <w:rsid w:val="006400D3"/>
    <w:rsid w:val="00640472"/>
    <w:rsid w:val="006408EC"/>
    <w:rsid w:val="0064095F"/>
    <w:rsid w:val="00640D2F"/>
    <w:rsid w:val="00641019"/>
    <w:rsid w:val="006411B9"/>
    <w:rsid w:val="00641491"/>
    <w:rsid w:val="0064158C"/>
    <w:rsid w:val="00641AB3"/>
    <w:rsid w:val="00641CF6"/>
    <w:rsid w:val="0064234D"/>
    <w:rsid w:val="0064234E"/>
    <w:rsid w:val="00642504"/>
    <w:rsid w:val="00642640"/>
    <w:rsid w:val="006430D4"/>
    <w:rsid w:val="00643502"/>
    <w:rsid w:val="006435A3"/>
    <w:rsid w:val="0064372C"/>
    <w:rsid w:val="00643795"/>
    <w:rsid w:val="0064380D"/>
    <w:rsid w:val="00643A98"/>
    <w:rsid w:val="00643BF7"/>
    <w:rsid w:val="00643D31"/>
    <w:rsid w:val="0064444B"/>
    <w:rsid w:val="00644B6D"/>
    <w:rsid w:val="00644BEC"/>
    <w:rsid w:val="00644C8A"/>
    <w:rsid w:val="00644D3E"/>
    <w:rsid w:val="00644D73"/>
    <w:rsid w:val="00644E80"/>
    <w:rsid w:val="006450F1"/>
    <w:rsid w:val="00645120"/>
    <w:rsid w:val="00645775"/>
    <w:rsid w:val="00645ACD"/>
    <w:rsid w:val="00645B97"/>
    <w:rsid w:val="00646019"/>
    <w:rsid w:val="006464B8"/>
    <w:rsid w:val="006465FA"/>
    <w:rsid w:val="00646FAB"/>
    <w:rsid w:val="00647522"/>
    <w:rsid w:val="00647858"/>
    <w:rsid w:val="00647A44"/>
    <w:rsid w:val="00647D19"/>
    <w:rsid w:val="00650625"/>
    <w:rsid w:val="006509C3"/>
    <w:rsid w:val="006511CB"/>
    <w:rsid w:val="00651642"/>
    <w:rsid w:val="006516F5"/>
    <w:rsid w:val="00651B95"/>
    <w:rsid w:val="00651C07"/>
    <w:rsid w:val="00651CBF"/>
    <w:rsid w:val="00651DCB"/>
    <w:rsid w:val="00651E2B"/>
    <w:rsid w:val="0065209F"/>
    <w:rsid w:val="00652185"/>
    <w:rsid w:val="00652291"/>
    <w:rsid w:val="0065264E"/>
    <w:rsid w:val="00652925"/>
    <w:rsid w:val="00652B50"/>
    <w:rsid w:val="00652B76"/>
    <w:rsid w:val="00652D6F"/>
    <w:rsid w:val="00653397"/>
    <w:rsid w:val="0065345F"/>
    <w:rsid w:val="00653705"/>
    <w:rsid w:val="00653847"/>
    <w:rsid w:val="00653BA6"/>
    <w:rsid w:val="00654046"/>
    <w:rsid w:val="006547A8"/>
    <w:rsid w:val="00654D11"/>
    <w:rsid w:val="00654E17"/>
    <w:rsid w:val="00655055"/>
    <w:rsid w:val="00655294"/>
    <w:rsid w:val="00655554"/>
    <w:rsid w:val="00655ACE"/>
    <w:rsid w:val="00656426"/>
    <w:rsid w:val="00656581"/>
    <w:rsid w:val="00656755"/>
    <w:rsid w:val="006569B5"/>
    <w:rsid w:val="00656A0A"/>
    <w:rsid w:val="006572E5"/>
    <w:rsid w:val="006575D2"/>
    <w:rsid w:val="00657634"/>
    <w:rsid w:val="00657B0A"/>
    <w:rsid w:val="00657DD7"/>
    <w:rsid w:val="00657E56"/>
    <w:rsid w:val="00660039"/>
    <w:rsid w:val="006600C7"/>
    <w:rsid w:val="0066011B"/>
    <w:rsid w:val="006607BD"/>
    <w:rsid w:val="00660A2E"/>
    <w:rsid w:val="00660B4A"/>
    <w:rsid w:val="00660B57"/>
    <w:rsid w:val="00660E99"/>
    <w:rsid w:val="0066156B"/>
    <w:rsid w:val="006618B1"/>
    <w:rsid w:val="00661B95"/>
    <w:rsid w:val="006629AC"/>
    <w:rsid w:val="00662BC9"/>
    <w:rsid w:val="00663986"/>
    <w:rsid w:val="00664605"/>
    <w:rsid w:val="00664789"/>
    <w:rsid w:val="00664DB6"/>
    <w:rsid w:val="006650D9"/>
    <w:rsid w:val="006653A1"/>
    <w:rsid w:val="00665B5F"/>
    <w:rsid w:val="0066609C"/>
    <w:rsid w:val="0066636C"/>
    <w:rsid w:val="0066655B"/>
    <w:rsid w:val="006665DC"/>
    <w:rsid w:val="0066671B"/>
    <w:rsid w:val="00666855"/>
    <w:rsid w:val="00666CBA"/>
    <w:rsid w:val="00666EBA"/>
    <w:rsid w:val="00667EFF"/>
    <w:rsid w:val="006700D2"/>
    <w:rsid w:val="00670151"/>
    <w:rsid w:val="006703FB"/>
    <w:rsid w:val="00670C01"/>
    <w:rsid w:val="00670DA5"/>
    <w:rsid w:val="00670DE1"/>
    <w:rsid w:val="00670DF8"/>
    <w:rsid w:val="0067116D"/>
    <w:rsid w:val="00671354"/>
    <w:rsid w:val="00671440"/>
    <w:rsid w:val="00671864"/>
    <w:rsid w:val="006718F2"/>
    <w:rsid w:val="00672BAA"/>
    <w:rsid w:val="00672E3A"/>
    <w:rsid w:val="00672F5D"/>
    <w:rsid w:val="0067304D"/>
    <w:rsid w:val="00673570"/>
    <w:rsid w:val="00673765"/>
    <w:rsid w:val="006738AE"/>
    <w:rsid w:val="00674125"/>
    <w:rsid w:val="00674B0F"/>
    <w:rsid w:val="00675BB7"/>
    <w:rsid w:val="00675E1C"/>
    <w:rsid w:val="00675FE1"/>
    <w:rsid w:val="00676140"/>
    <w:rsid w:val="006765D5"/>
    <w:rsid w:val="006768A4"/>
    <w:rsid w:val="00676C83"/>
    <w:rsid w:val="00677129"/>
    <w:rsid w:val="00677948"/>
    <w:rsid w:val="00677BA2"/>
    <w:rsid w:val="00677E6D"/>
    <w:rsid w:val="00677F76"/>
    <w:rsid w:val="0068006F"/>
    <w:rsid w:val="006802E2"/>
    <w:rsid w:val="00680547"/>
    <w:rsid w:val="0068085A"/>
    <w:rsid w:val="006809A6"/>
    <w:rsid w:val="00680BD2"/>
    <w:rsid w:val="00681712"/>
    <w:rsid w:val="00681D88"/>
    <w:rsid w:val="0068297A"/>
    <w:rsid w:val="00682C85"/>
    <w:rsid w:val="00682F42"/>
    <w:rsid w:val="0068339F"/>
    <w:rsid w:val="0068342F"/>
    <w:rsid w:val="0068367A"/>
    <w:rsid w:val="00683A84"/>
    <w:rsid w:val="00683D31"/>
    <w:rsid w:val="00684749"/>
    <w:rsid w:val="006848B6"/>
    <w:rsid w:val="00684978"/>
    <w:rsid w:val="00684B71"/>
    <w:rsid w:val="00684C36"/>
    <w:rsid w:val="00684FA9"/>
    <w:rsid w:val="0068555A"/>
    <w:rsid w:val="006856A2"/>
    <w:rsid w:val="00685984"/>
    <w:rsid w:val="00685A60"/>
    <w:rsid w:val="00686D60"/>
    <w:rsid w:val="006871C6"/>
    <w:rsid w:val="00687C4E"/>
    <w:rsid w:val="00687E46"/>
    <w:rsid w:val="006902DD"/>
    <w:rsid w:val="0069046C"/>
    <w:rsid w:val="00690C35"/>
    <w:rsid w:val="00690C76"/>
    <w:rsid w:val="00690DF0"/>
    <w:rsid w:val="00691060"/>
    <w:rsid w:val="00691215"/>
    <w:rsid w:val="006913C4"/>
    <w:rsid w:val="006916DB"/>
    <w:rsid w:val="00691940"/>
    <w:rsid w:val="00691B3A"/>
    <w:rsid w:val="00691BFB"/>
    <w:rsid w:val="0069203F"/>
    <w:rsid w:val="00692224"/>
    <w:rsid w:val="00692372"/>
    <w:rsid w:val="006924AF"/>
    <w:rsid w:val="0069256E"/>
    <w:rsid w:val="00692E31"/>
    <w:rsid w:val="00693737"/>
    <w:rsid w:val="00693951"/>
    <w:rsid w:val="00693DCC"/>
    <w:rsid w:val="0069455A"/>
    <w:rsid w:val="006949B7"/>
    <w:rsid w:val="0069517D"/>
    <w:rsid w:val="00695245"/>
    <w:rsid w:val="00695AC3"/>
    <w:rsid w:val="00695C7F"/>
    <w:rsid w:val="00695E03"/>
    <w:rsid w:val="00696880"/>
    <w:rsid w:val="00696ABE"/>
    <w:rsid w:val="00696AE5"/>
    <w:rsid w:val="00696E01"/>
    <w:rsid w:val="006971C4"/>
    <w:rsid w:val="006975C3"/>
    <w:rsid w:val="0069760E"/>
    <w:rsid w:val="00697E00"/>
    <w:rsid w:val="00697E28"/>
    <w:rsid w:val="006A17A0"/>
    <w:rsid w:val="006A17C2"/>
    <w:rsid w:val="006A19F2"/>
    <w:rsid w:val="006A1F03"/>
    <w:rsid w:val="006A1F57"/>
    <w:rsid w:val="006A1FDA"/>
    <w:rsid w:val="006A208D"/>
    <w:rsid w:val="006A20AC"/>
    <w:rsid w:val="006A247D"/>
    <w:rsid w:val="006A2582"/>
    <w:rsid w:val="006A2877"/>
    <w:rsid w:val="006A2902"/>
    <w:rsid w:val="006A2BD5"/>
    <w:rsid w:val="006A2BFF"/>
    <w:rsid w:val="006A2C29"/>
    <w:rsid w:val="006A2D02"/>
    <w:rsid w:val="006A332A"/>
    <w:rsid w:val="006A387C"/>
    <w:rsid w:val="006A3998"/>
    <w:rsid w:val="006A3A2C"/>
    <w:rsid w:val="006A3B85"/>
    <w:rsid w:val="006A3B89"/>
    <w:rsid w:val="006A41F8"/>
    <w:rsid w:val="006A4250"/>
    <w:rsid w:val="006A4888"/>
    <w:rsid w:val="006A4B22"/>
    <w:rsid w:val="006A4C9D"/>
    <w:rsid w:val="006A4CE7"/>
    <w:rsid w:val="006A4FC0"/>
    <w:rsid w:val="006A5656"/>
    <w:rsid w:val="006A575D"/>
    <w:rsid w:val="006A5863"/>
    <w:rsid w:val="006A5986"/>
    <w:rsid w:val="006A59B9"/>
    <w:rsid w:val="006A5D9C"/>
    <w:rsid w:val="006A603E"/>
    <w:rsid w:val="006A61C1"/>
    <w:rsid w:val="006A640F"/>
    <w:rsid w:val="006A66DC"/>
    <w:rsid w:val="006A671B"/>
    <w:rsid w:val="006A6F77"/>
    <w:rsid w:val="006A744E"/>
    <w:rsid w:val="006A7454"/>
    <w:rsid w:val="006A75A1"/>
    <w:rsid w:val="006A7881"/>
    <w:rsid w:val="006A7917"/>
    <w:rsid w:val="006A7963"/>
    <w:rsid w:val="006A7ABC"/>
    <w:rsid w:val="006A7FEB"/>
    <w:rsid w:val="006B01BD"/>
    <w:rsid w:val="006B0407"/>
    <w:rsid w:val="006B0A0F"/>
    <w:rsid w:val="006B0B48"/>
    <w:rsid w:val="006B0F5D"/>
    <w:rsid w:val="006B15A1"/>
    <w:rsid w:val="006B1993"/>
    <w:rsid w:val="006B1A6A"/>
    <w:rsid w:val="006B1B57"/>
    <w:rsid w:val="006B1B59"/>
    <w:rsid w:val="006B2001"/>
    <w:rsid w:val="006B209F"/>
    <w:rsid w:val="006B22D6"/>
    <w:rsid w:val="006B23FA"/>
    <w:rsid w:val="006B25F8"/>
    <w:rsid w:val="006B27E0"/>
    <w:rsid w:val="006B2A1D"/>
    <w:rsid w:val="006B2B68"/>
    <w:rsid w:val="006B3034"/>
    <w:rsid w:val="006B34C9"/>
    <w:rsid w:val="006B3962"/>
    <w:rsid w:val="006B3BBE"/>
    <w:rsid w:val="006B3D47"/>
    <w:rsid w:val="006B40A2"/>
    <w:rsid w:val="006B49AC"/>
    <w:rsid w:val="006B557B"/>
    <w:rsid w:val="006B5903"/>
    <w:rsid w:val="006B5D2C"/>
    <w:rsid w:val="006B5FA6"/>
    <w:rsid w:val="006B6037"/>
    <w:rsid w:val="006B6624"/>
    <w:rsid w:val="006B68A4"/>
    <w:rsid w:val="006B7074"/>
    <w:rsid w:val="006B75E5"/>
    <w:rsid w:val="006B7C3E"/>
    <w:rsid w:val="006C00CB"/>
    <w:rsid w:val="006C0129"/>
    <w:rsid w:val="006C0D40"/>
    <w:rsid w:val="006C10E3"/>
    <w:rsid w:val="006C12F4"/>
    <w:rsid w:val="006C153E"/>
    <w:rsid w:val="006C16EA"/>
    <w:rsid w:val="006C1714"/>
    <w:rsid w:val="006C1BF1"/>
    <w:rsid w:val="006C1C79"/>
    <w:rsid w:val="006C1C8C"/>
    <w:rsid w:val="006C1D37"/>
    <w:rsid w:val="006C1EA7"/>
    <w:rsid w:val="006C2857"/>
    <w:rsid w:val="006C292D"/>
    <w:rsid w:val="006C2C7D"/>
    <w:rsid w:val="006C2CED"/>
    <w:rsid w:val="006C32E5"/>
    <w:rsid w:val="006C335D"/>
    <w:rsid w:val="006C3597"/>
    <w:rsid w:val="006C35E5"/>
    <w:rsid w:val="006C393C"/>
    <w:rsid w:val="006C3A5A"/>
    <w:rsid w:val="006C3ABC"/>
    <w:rsid w:val="006C3EC4"/>
    <w:rsid w:val="006C410E"/>
    <w:rsid w:val="006C4219"/>
    <w:rsid w:val="006C42C1"/>
    <w:rsid w:val="006C4321"/>
    <w:rsid w:val="006C440C"/>
    <w:rsid w:val="006C4E21"/>
    <w:rsid w:val="006C59B0"/>
    <w:rsid w:val="006C59E1"/>
    <w:rsid w:val="006C6006"/>
    <w:rsid w:val="006C6060"/>
    <w:rsid w:val="006C6587"/>
    <w:rsid w:val="006C6736"/>
    <w:rsid w:val="006C67A1"/>
    <w:rsid w:val="006C7597"/>
    <w:rsid w:val="006C796B"/>
    <w:rsid w:val="006C7C5B"/>
    <w:rsid w:val="006D01E9"/>
    <w:rsid w:val="006D03CB"/>
    <w:rsid w:val="006D03D9"/>
    <w:rsid w:val="006D0D19"/>
    <w:rsid w:val="006D15CF"/>
    <w:rsid w:val="006D15EE"/>
    <w:rsid w:val="006D18B3"/>
    <w:rsid w:val="006D1906"/>
    <w:rsid w:val="006D1CF9"/>
    <w:rsid w:val="006D2347"/>
    <w:rsid w:val="006D267C"/>
    <w:rsid w:val="006D28FC"/>
    <w:rsid w:val="006D296B"/>
    <w:rsid w:val="006D389A"/>
    <w:rsid w:val="006D391A"/>
    <w:rsid w:val="006D3A6B"/>
    <w:rsid w:val="006D3B2E"/>
    <w:rsid w:val="006D3CC7"/>
    <w:rsid w:val="006D45B8"/>
    <w:rsid w:val="006D4FE9"/>
    <w:rsid w:val="006D5066"/>
    <w:rsid w:val="006D507B"/>
    <w:rsid w:val="006D56A5"/>
    <w:rsid w:val="006D5960"/>
    <w:rsid w:val="006D5B42"/>
    <w:rsid w:val="006D5EE0"/>
    <w:rsid w:val="006D7287"/>
    <w:rsid w:val="006D7870"/>
    <w:rsid w:val="006E0699"/>
    <w:rsid w:val="006E0CF3"/>
    <w:rsid w:val="006E0EB3"/>
    <w:rsid w:val="006E113F"/>
    <w:rsid w:val="006E11FB"/>
    <w:rsid w:val="006E1514"/>
    <w:rsid w:val="006E16A4"/>
    <w:rsid w:val="006E193B"/>
    <w:rsid w:val="006E1A6F"/>
    <w:rsid w:val="006E1BE8"/>
    <w:rsid w:val="006E1C31"/>
    <w:rsid w:val="006E23E0"/>
    <w:rsid w:val="006E24BA"/>
    <w:rsid w:val="006E26A8"/>
    <w:rsid w:val="006E2720"/>
    <w:rsid w:val="006E2B2E"/>
    <w:rsid w:val="006E301D"/>
    <w:rsid w:val="006E3075"/>
    <w:rsid w:val="006E3210"/>
    <w:rsid w:val="006E3258"/>
    <w:rsid w:val="006E37E9"/>
    <w:rsid w:val="006E3A0F"/>
    <w:rsid w:val="006E3AC5"/>
    <w:rsid w:val="006E3D32"/>
    <w:rsid w:val="006E4109"/>
    <w:rsid w:val="006E43E6"/>
    <w:rsid w:val="006E451A"/>
    <w:rsid w:val="006E45BA"/>
    <w:rsid w:val="006E45C7"/>
    <w:rsid w:val="006E45E1"/>
    <w:rsid w:val="006E4840"/>
    <w:rsid w:val="006E4846"/>
    <w:rsid w:val="006E4AB3"/>
    <w:rsid w:val="006E4E54"/>
    <w:rsid w:val="006E5214"/>
    <w:rsid w:val="006E5973"/>
    <w:rsid w:val="006E5E2F"/>
    <w:rsid w:val="006E5E7E"/>
    <w:rsid w:val="006E64C9"/>
    <w:rsid w:val="006E6857"/>
    <w:rsid w:val="006E6DFC"/>
    <w:rsid w:val="006E7072"/>
    <w:rsid w:val="006E7109"/>
    <w:rsid w:val="006E765C"/>
    <w:rsid w:val="006E798F"/>
    <w:rsid w:val="006E7F12"/>
    <w:rsid w:val="006E7F43"/>
    <w:rsid w:val="006F077F"/>
    <w:rsid w:val="006F0D66"/>
    <w:rsid w:val="006F101F"/>
    <w:rsid w:val="006F15E7"/>
    <w:rsid w:val="006F1722"/>
    <w:rsid w:val="006F18D0"/>
    <w:rsid w:val="006F1D31"/>
    <w:rsid w:val="006F1E11"/>
    <w:rsid w:val="006F20DB"/>
    <w:rsid w:val="006F2238"/>
    <w:rsid w:val="006F2374"/>
    <w:rsid w:val="006F280E"/>
    <w:rsid w:val="006F2B04"/>
    <w:rsid w:val="006F3D88"/>
    <w:rsid w:val="006F46C5"/>
    <w:rsid w:val="006F4858"/>
    <w:rsid w:val="006F488A"/>
    <w:rsid w:val="006F4974"/>
    <w:rsid w:val="006F5138"/>
    <w:rsid w:val="006F52BE"/>
    <w:rsid w:val="006F5C40"/>
    <w:rsid w:val="006F5FBA"/>
    <w:rsid w:val="006F5FCB"/>
    <w:rsid w:val="006F61C1"/>
    <w:rsid w:val="006F704E"/>
    <w:rsid w:val="006F7545"/>
    <w:rsid w:val="006F7913"/>
    <w:rsid w:val="006F7A17"/>
    <w:rsid w:val="00700256"/>
    <w:rsid w:val="007004D2"/>
    <w:rsid w:val="007008E1"/>
    <w:rsid w:val="00700F28"/>
    <w:rsid w:val="007011BB"/>
    <w:rsid w:val="007013BD"/>
    <w:rsid w:val="0070170A"/>
    <w:rsid w:val="00701A13"/>
    <w:rsid w:val="00701C83"/>
    <w:rsid w:val="00701EE3"/>
    <w:rsid w:val="007025B8"/>
    <w:rsid w:val="00702719"/>
    <w:rsid w:val="00702977"/>
    <w:rsid w:val="00702A09"/>
    <w:rsid w:val="007030A5"/>
    <w:rsid w:val="00703D4D"/>
    <w:rsid w:val="00703E9D"/>
    <w:rsid w:val="00704179"/>
    <w:rsid w:val="007042CF"/>
    <w:rsid w:val="007043C1"/>
    <w:rsid w:val="00704D7A"/>
    <w:rsid w:val="00705215"/>
    <w:rsid w:val="007056F5"/>
    <w:rsid w:val="007057C9"/>
    <w:rsid w:val="00705AED"/>
    <w:rsid w:val="00705CC8"/>
    <w:rsid w:val="007063E6"/>
    <w:rsid w:val="00706404"/>
    <w:rsid w:val="007064AB"/>
    <w:rsid w:val="0070692A"/>
    <w:rsid w:val="00706E6F"/>
    <w:rsid w:val="0070722E"/>
    <w:rsid w:val="00707A70"/>
    <w:rsid w:val="00707BFF"/>
    <w:rsid w:val="00710108"/>
    <w:rsid w:val="00710498"/>
    <w:rsid w:val="00710B90"/>
    <w:rsid w:val="0071119D"/>
    <w:rsid w:val="007114F6"/>
    <w:rsid w:val="00711610"/>
    <w:rsid w:val="00711968"/>
    <w:rsid w:val="00711CBA"/>
    <w:rsid w:val="00712103"/>
    <w:rsid w:val="00712140"/>
    <w:rsid w:val="0071230D"/>
    <w:rsid w:val="00712607"/>
    <w:rsid w:val="007126ED"/>
    <w:rsid w:val="00712816"/>
    <w:rsid w:val="00712873"/>
    <w:rsid w:val="00712A47"/>
    <w:rsid w:val="00712C2D"/>
    <w:rsid w:val="00712D18"/>
    <w:rsid w:val="007130B3"/>
    <w:rsid w:val="007136F7"/>
    <w:rsid w:val="00713C0E"/>
    <w:rsid w:val="00713C55"/>
    <w:rsid w:val="00713D5B"/>
    <w:rsid w:val="007142F0"/>
    <w:rsid w:val="0071469E"/>
    <w:rsid w:val="00714778"/>
    <w:rsid w:val="0071481C"/>
    <w:rsid w:val="00714AC5"/>
    <w:rsid w:val="00715181"/>
    <w:rsid w:val="00715708"/>
    <w:rsid w:val="00715F6A"/>
    <w:rsid w:val="00716658"/>
    <w:rsid w:val="00716A08"/>
    <w:rsid w:val="00716AC0"/>
    <w:rsid w:val="007170AD"/>
    <w:rsid w:val="0071726D"/>
    <w:rsid w:val="007178E8"/>
    <w:rsid w:val="00720156"/>
    <w:rsid w:val="0072025B"/>
    <w:rsid w:val="007202DE"/>
    <w:rsid w:val="00720587"/>
    <w:rsid w:val="007205EC"/>
    <w:rsid w:val="007205FB"/>
    <w:rsid w:val="00720BF2"/>
    <w:rsid w:val="00720C35"/>
    <w:rsid w:val="00720EB7"/>
    <w:rsid w:val="00721BA6"/>
    <w:rsid w:val="00721C6A"/>
    <w:rsid w:val="00721DC6"/>
    <w:rsid w:val="00722131"/>
    <w:rsid w:val="007221A4"/>
    <w:rsid w:val="0072222A"/>
    <w:rsid w:val="00722827"/>
    <w:rsid w:val="00722A3D"/>
    <w:rsid w:val="00722C49"/>
    <w:rsid w:val="00722E90"/>
    <w:rsid w:val="007230D4"/>
    <w:rsid w:val="007230F2"/>
    <w:rsid w:val="00723219"/>
    <w:rsid w:val="00723C20"/>
    <w:rsid w:val="00723C96"/>
    <w:rsid w:val="00723F5C"/>
    <w:rsid w:val="00724785"/>
    <w:rsid w:val="007249A2"/>
    <w:rsid w:val="00724B02"/>
    <w:rsid w:val="00724F46"/>
    <w:rsid w:val="00725053"/>
    <w:rsid w:val="00725103"/>
    <w:rsid w:val="00725276"/>
    <w:rsid w:val="007253C5"/>
    <w:rsid w:val="00725B08"/>
    <w:rsid w:val="0072642C"/>
    <w:rsid w:val="0072644F"/>
    <w:rsid w:val="007265FA"/>
    <w:rsid w:val="0072674C"/>
    <w:rsid w:val="00726C97"/>
    <w:rsid w:val="00726D34"/>
    <w:rsid w:val="0072722C"/>
    <w:rsid w:val="0072742D"/>
    <w:rsid w:val="00727EE0"/>
    <w:rsid w:val="00730260"/>
    <w:rsid w:val="007303BB"/>
    <w:rsid w:val="00730A1A"/>
    <w:rsid w:val="00730E35"/>
    <w:rsid w:val="0073143F"/>
    <w:rsid w:val="00731D0A"/>
    <w:rsid w:val="0073226C"/>
    <w:rsid w:val="007332B8"/>
    <w:rsid w:val="007334A9"/>
    <w:rsid w:val="00733714"/>
    <w:rsid w:val="007337AD"/>
    <w:rsid w:val="007338FB"/>
    <w:rsid w:val="007339FD"/>
    <w:rsid w:val="00733B28"/>
    <w:rsid w:val="00733BD5"/>
    <w:rsid w:val="00734A1F"/>
    <w:rsid w:val="00734A80"/>
    <w:rsid w:val="00734D04"/>
    <w:rsid w:val="00734E32"/>
    <w:rsid w:val="00734E8E"/>
    <w:rsid w:val="00734FB7"/>
    <w:rsid w:val="00735393"/>
    <w:rsid w:val="0073566F"/>
    <w:rsid w:val="0073571B"/>
    <w:rsid w:val="0073577B"/>
    <w:rsid w:val="00735F8E"/>
    <w:rsid w:val="00736AA4"/>
    <w:rsid w:val="00736AEB"/>
    <w:rsid w:val="00736CCE"/>
    <w:rsid w:val="00736F74"/>
    <w:rsid w:val="007378AE"/>
    <w:rsid w:val="00737A2F"/>
    <w:rsid w:val="00737D9E"/>
    <w:rsid w:val="007406E8"/>
    <w:rsid w:val="00740ABA"/>
    <w:rsid w:val="00740AFA"/>
    <w:rsid w:val="00740EEC"/>
    <w:rsid w:val="0074101C"/>
    <w:rsid w:val="0074132B"/>
    <w:rsid w:val="0074172E"/>
    <w:rsid w:val="00741A1B"/>
    <w:rsid w:val="00741CEE"/>
    <w:rsid w:val="0074214E"/>
    <w:rsid w:val="007422BD"/>
    <w:rsid w:val="00742537"/>
    <w:rsid w:val="00742665"/>
    <w:rsid w:val="0074320A"/>
    <w:rsid w:val="00743437"/>
    <w:rsid w:val="007439A0"/>
    <w:rsid w:val="007439B7"/>
    <w:rsid w:val="00743A9C"/>
    <w:rsid w:val="00743AC7"/>
    <w:rsid w:val="0074416E"/>
    <w:rsid w:val="007441B5"/>
    <w:rsid w:val="007442C1"/>
    <w:rsid w:val="00744356"/>
    <w:rsid w:val="007445CE"/>
    <w:rsid w:val="0074485B"/>
    <w:rsid w:val="00744C6E"/>
    <w:rsid w:val="00744C78"/>
    <w:rsid w:val="00744D94"/>
    <w:rsid w:val="00744F7E"/>
    <w:rsid w:val="00744FC7"/>
    <w:rsid w:val="007452B7"/>
    <w:rsid w:val="00745857"/>
    <w:rsid w:val="00745920"/>
    <w:rsid w:val="00745AB2"/>
    <w:rsid w:val="00745C4A"/>
    <w:rsid w:val="00745CCE"/>
    <w:rsid w:val="00746002"/>
    <w:rsid w:val="007467FA"/>
    <w:rsid w:val="007469BA"/>
    <w:rsid w:val="007469D8"/>
    <w:rsid w:val="00746D55"/>
    <w:rsid w:val="00746FE3"/>
    <w:rsid w:val="00747906"/>
    <w:rsid w:val="00747B68"/>
    <w:rsid w:val="00747E6D"/>
    <w:rsid w:val="00747F04"/>
    <w:rsid w:val="00747FE4"/>
    <w:rsid w:val="007501F2"/>
    <w:rsid w:val="0075022A"/>
    <w:rsid w:val="0075030C"/>
    <w:rsid w:val="00750684"/>
    <w:rsid w:val="007506A4"/>
    <w:rsid w:val="00750834"/>
    <w:rsid w:val="00750997"/>
    <w:rsid w:val="00750A40"/>
    <w:rsid w:val="007510A7"/>
    <w:rsid w:val="00751272"/>
    <w:rsid w:val="00751681"/>
    <w:rsid w:val="00751BC4"/>
    <w:rsid w:val="00751E0D"/>
    <w:rsid w:val="0075208B"/>
    <w:rsid w:val="007523CF"/>
    <w:rsid w:val="007526C0"/>
    <w:rsid w:val="00752AAE"/>
    <w:rsid w:val="00752D31"/>
    <w:rsid w:val="00752D71"/>
    <w:rsid w:val="00752DC6"/>
    <w:rsid w:val="007531DE"/>
    <w:rsid w:val="00753BEF"/>
    <w:rsid w:val="00754B2B"/>
    <w:rsid w:val="00754BFE"/>
    <w:rsid w:val="00754F67"/>
    <w:rsid w:val="00755280"/>
    <w:rsid w:val="00755300"/>
    <w:rsid w:val="007554EC"/>
    <w:rsid w:val="007559C1"/>
    <w:rsid w:val="00755DB2"/>
    <w:rsid w:val="00755DDD"/>
    <w:rsid w:val="00756CE4"/>
    <w:rsid w:val="0075701E"/>
    <w:rsid w:val="007571BE"/>
    <w:rsid w:val="00757CCE"/>
    <w:rsid w:val="007603BA"/>
    <w:rsid w:val="007606FE"/>
    <w:rsid w:val="00760A79"/>
    <w:rsid w:val="00760E54"/>
    <w:rsid w:val="007611AA"/>
    <w:rsid w:val="00761558"/>
    <w:rsid w:val="0076183A"/>
    <w:rsid w:val="00761DE3"/>
    <w:rsid w:val="00762031"/>
    <w:rsid w:val="00762534"/>
    <w:rsid w:val="0076257C"/>
    <w:rsid w:val="007628D5"/>
    <w:rsid w:val="00762B90"/>
    <w:rsid w:val="0076359A"/>
    <w:rsid w:val="007636E0"/>
    <w:rsid w:val="00763803"/>
    <w:rsid w:val="0076383E"/>
    <w:rsid w:val="00763AD0"/>
    <w:rsid w:val="00763FEB"/>
    <w:rsid w:val="007640A5"/>
    <w:rsid w:val="00764151"/>
    <w:rsid w:val="00764353"/>
    <w:rsid w:val="00764817"/>
    <w:rsid w:val="00764988"/>
    <w:rsid w:val="00764B75"/>
    <w:rsid w:val="00764F46"/>
    <w:rsid w:val="007650D0"/>
    <w:rsid w:val="00765127"/>
    <w:rsid w:val="0076580D"/>
    <w:rsid w:val="00765850"/>
    <w:rsid w:val="00765903"/>
    <w:rsid w:val="00765D5A"/>
    <w:rsid w:val="007664EB"/>
    <w:rsid w:val="0076693C"/>
    <w:rsid w:val="007676D8"/>
    <w:rsid w:val="007678A7"/>
    <w:rsid w:val="00767CEC"/>
    <w:rsid w:val="00767D99"/>
    <w:rsid w:val="00767EE2"/>
    <w:rsid w:val="00770539"/>
    <w:rsid w:val="00770867"/>
    <w:rsid w:val="00771427"/>
    <w:rsid w:val="00771453"/>
    <w:rsid w:val="0077152C"/>
    <w:rsid w:val="00771748"/>
    <w:rsid w:val="00771A58"/>
    <w:rsid w:val="00771B84"/>
    <w:rsid w:val="00771C16"/>
    <w:rsid w:val="00771E1E"/>
    <w:rsid w:val="0077236A"/>
    <w:rsid w:val="007726B4"/>
    <w:rsid w:val="00772B84"/>
    <w:rsid w:val="00772E3F"/>
    <w:rsid w:val="007732BC"/>
    <w:rsid w:val="00773385"/>
    <w:rsid w:val="00773B5A"/>
    <w:rsid w:val="00773D24"/>
    <w:rsid w:val="00773D95"/>
    <w:rsid w:val="00774421"/>
    <w:rsid w:val="007745D5"/>
    <w:rsid w:val="00774911"/>
    <w:rsid w:val="0077492F"/>
    <w:rsid w:val="00774A8A"/>
    <w:rsid w:val="00775053"/>
    <w:rsid w:val="007753F2"/>
    <w:rsid w:val="0077575F"/>
    <w:rsid w:val="00775C2B"/>
    <w:rsid w:val="00775E41"/>
    <w:rsid w:val="0077610A"/>
    <w:rsid w:val="00776537"/>
    <w:rsid w:val="00776712"/>
    <w:rsid w:val="0077681C"/>
    <w:rsid w:val="00776A13"/>
    <w:rsid w:val="00776B7A"/>
    <w:rsid w:val="00776B98"/>
    <w:rsid w:val="00776F7A"/>
    <w:rsid w:val="007771AC"/>
    <w:rsid w:val="00777231"/>
    <w:rsid w:val="007772BC"/>
    <w:rsid w:val="007772E6"/>
    <w:rsid w:val="007773F3"/>
    <w:rsid w:val="00777938"/>
    <w:rsid w:val="00777FA9"/>
    <w:rsid w:val="007803FA"/>
    <w:rsid w:val="007805FA"/>
    <w:rsid w:val="00780A44"/>
    <w:rsid w:val="00780CCB"/>
    <w:rsid w:val="007812F7"/>
    <w:rsid w:val="007816A1"/>
    <w:rsid w:val="007817A7"/>
    <w:rsid w:val="00781FF3"/>
    <w:rsid w:val="00782321"/>
    <w:rsid w:val="007824DC"/>
    <w:rsid w:val="00782591"/>
    <w:rsid w:val="007825C7"/>
    <w:rsid w:val="0078286E"/>
    <w:rsid w:val="00783543"/>
    <w:rsid w:val="00784996"/>
    <w:rsid w:val="00784AD3"/>
    <w:rsid w:val="00784F2E"/>
    <w:rsid w:val="00784F5F"/>
    <w:rsid w:val="007850EF"/>
    <w:rsid w:val="00785261"/>
    <w:rsid w:val="007853DE"/>
    <w:rsid w:val="007854DE"/>
    <w:rsid w:val="00785687"/>
    <w:rsid w:val="00785900"/>
    <w:rsid w:val="00785933"/>
    <w:rsid w:val="00785CFC"/>
    <w:rsid w:val="00785E65"/>
    <w:rsid w:val="00786083"/>
    <w:rsid w:val="0078654B"/>
    <w:rsid w:val="00786ABB"/>
    <w:rsid w:val="00787413"/>
    <w:rsid w:val="007878A6"/>
    <w:rsid w:val="0079014D"/>
    <w:rsid w:val="00790387"/>
    <w:rsid w:val="007906BC"/>
    <w:rsid w:val="00790DD7"/>
    <w:rsid w:val="00790E40"/>
    <w:rsid w:val="0079100A"/>
    <w:rsid w:val="007912D7"/>
    <w:rsid w:val="007917A4"/>
    <w:rsid w:val="00791C73"/>
    <w:rsid w:val="00791E3D"/>
    <w:rsid w:val="00791FC7"/>
    <w:rsid w:val="00792961"/>
    <w:rsid w:val="00792AD1"/>
    <w:rsid w:val="00792BF0"/>
    <w:rsid w:val="00793191"/>
    <w:rsid w:val="00793369"/>
    <w:rsid w:val="007934B0"/>
    <w:rsid w:val="0079358F"/>
    <w:rsid w:val="007935D7"/>
    <w:rsid w:val="00793D2E"/>
    <w:rsid w:val="00793EC2"/>
    <w:rsid w:val="00794799"/>
    <w:rsid w:val="00794800"/>
    <w:rsid w:val="007949B0"/>
    <w:rsid w:val="00794F0A"/>
    <w:rsid w:val="00795085"/>
    <w:rsid w:val="007953C2"/>
    <w:rsid w:val="00795732"/>
    <w:rsid w:val="00795790"/>
    <w:rsid w:val="00795ABC"/>
    <w:rsid w:val="00795BC3"/>
    <w:rsid w:val="00795C03"/>
    <w:rsid w:val="007963A7"/>
    <w:rsid w:val="0079684A"/>
    <w:rsid w:val="00796F07"/>
    <w:rsid w:val="007970B3"/>
    <w:rsid w:val="007974D9"/>
    <w:rsid w:val="00797704"/>
    <w:rsid w:val="00797936"/>
    <w:rsid w:val="007A03AD"/>
    <w:rsid w:val="007A03E2"/>
    <w:rsid w:val="007A0B90"/>
    <w:rsid w:val="007A0F6A"/>
    <w:rsid w:val="007A0FDF"/>
    <w:rsid w:val="007A1C84"/>
    <w:rsid w:val="007A2347"/>
    <w:rsid w:val="007A3243"/>
    <w:rsid w:val="007A35F2"/>
    <w:rsid w:val="007A383B"/>
    <w:rsid w:val="007A384F"/>
    <w:rsid w:val="007A3860"/>
    <w:rsid w:val="007A391A"/>
    <w:rsid w:val="007A3A91"/>
    <w:rsid w:val="007A3BC5"/>
    <w:rsid w:val="007A4B4B"/>
    <w:rsid w:val="007A4E5D"/>
    <w:rsid w:val="007A50BC"/>
    <w:rsid w:val="007A5220"/>
    <w:rsid w:val="007A5AAF"/>
    <w:rsid w:val="007A5D75"/>
    <w:rsid w:val="007A5D83"/>
    <w:rsid w:val="007A5E50"/>
    <w:rsid w:val="007A6503"/>
    <w:rsid w:val="007A684C"/>
    <w:rsid w:val="007A6F5C"/>
    <w:rsid w:val="007A717E"/>
    <w:rsid w:val="007A71AF"/>
    <w:rsid w:val="007A7299"/>
    <w:rsid w:val="007A72EC"/>
    <w:rsid w:val="007A743B"/>
    <w:rsid w:val="007A78B0"/>
    <w:rsid w:val="007A7A7D"/>
    <w:rsid w:val="007A7C7E"/>
    <w:rsid w:val="007A7D1F"/>
    <w:rsid w:val="007A7E8C"/>
    <w:rsid w:val="007B0256"/>
    <w:rsid w:val="007B08DA"/>
    <w:rsid w:val="007B11C0"/>
    <w:rsid w:val="007B134C"/>
    <w:rsid w:val="007B1399"/>
    <w:rsid w:val="007B1ED2"/>
    <w:rsid w:val="007B21DD"/>
    <w:rsid w:val="007B21F4"/>
    <w:rsid w:val="007B2841"/>
    <w:rsid w:val="007B29C8"/>
    <w:rsid w:val="007B2F2C"/>
    <w:rsid w:val="007B2F7E"/>
    <w:rsid w:val="007B3D69"/>
    <w:rsid w:val="007B4204"/>
    <w:rsid w:val="007B425C"/>
    <w:rsid w:val="007B48C0"/>
    <w:rsid w:val="007B4ACC"/>
    <w:rsid w:val="007B4BCE"/>
    <w:rsid w:val="007B5772"/>
    <w:rsid w:val="007B66DD"/>
    <w:rsid w:val="007B6A6D"/>
    <w:rsid w:val="007B6C71"/>
    <w:rsid w:val="007B7112"/>
    <w:rsid w:val="007B76E4"/>
    <w:rsid w:val="007B77F3"/>
    <w:rsid w:val="007B7CDF"/>
    <w:rsid w:val="007C0028"/>
    <w:rsid w:val="007C0303"/>
    <w:rsid w:val="007C0541"/>
    <w:rsid w:val="007C07FF"/>
    <w:rsid w:val="007C0C38"/>
    <w:rsid w:val="007C114E"/>
    <w:rsid w:val="007C1438"/>
    <w:rsid w:val="007C1D6C"/>
    <w:rsid w:val="007C1E95"/>
    <w:rsid w:val="007C230D"/>
    <w:rsid w:val="007C2636"/>
    <w:rsid w:val="007C2668"/>
    <w:rsid w:val="007C2C92"/>
    <w:rsid w:val="007C2DF9"/>
    <w:rsid w:val="007C33F0"/>
    <w:rsid w:val="007C34B3"/>
    <w:rsid w:val="007C34F1"/>
    <w:rsid w:val="007C37B0"/>
    <w:rsid w:val="007C3896"/>
    <w:rsid w:val="007C38BF"/>
    <w:rsid w:val="007C38EF"/>
    <w:rsid w:val="007C3F43"/>
    <w:rsid w:val="007C475C"/>
    <w:rsid w:val="007C48A6"/>
    <w:rsid w:val="007C4C05"/>
    <w:rsid w:val="007C4F0B"/>
    <w:rsid w:val="007C506E"/>
    <w:rsid w:val="007C55B6"/>
    <w:rsid w:val="007C5869"/>
    <w:rsid w:val="007C59BF"/>
    <w:rsid w:val="007C59D2"/>
    <w:rsid w:val="007C5EEB"/>
    <w:rsid w:val="007C609E"/>
    <w:rsid w:val="007C6136"/>
    <w:rsid w:val="007C69A3"/>
    <w:rsid w:val="007C6ADA"/>
    <w:rsid w:val="007C6CB3"/>
    <w:rsid w:val="007C7450"/>
    <w:rsid w:val="007C74C5"/>
    <w:rsid w:val="007C7F10"/>
    <w:rsid w:val="007C7FC4"/>
    <w:rsid w:val="007D0139"/>
    <w:rsid w:val="007D02AC"/>
    <w:rsid w:val="007D037C"/>
    <w:rsid w:val="007D09E0"/>
    <w:rsid w:val="007D0B63"/>
    <w:rsid w:val="007D0CBA"/>
    <w:rsid w:val="007D0D62"/>
    <w:rsid w:val="007D12F3"/>
    <w:rsid w:val="007D14E5"/>
    <w:rsid w:val="007D158C"/>
    <w:rsid w:val="007D1E25"/>
    <w:rsid w:val="007D1F02"/>
    <w:rsid w:val="007D2131"/>
    <w:rsid w:val="007D216C"/>
    <w:rsid w:val="007D21A5"/>
    <w:rsid w:val="007D3668"/>
    <w:rsid w:val="007D3F03"/>
    <w:rsid w:val="007D3FF9"/>
    <w:rsid w:val="007D3FFE"/>
    <w:rsid w:val="007D4044"/>
    <w:rsid w:val="007D42EA"/>
    <w:rsid w:val="007D4360"/>
    <w:rsid w:val="007D44BB"/>
    <w:rsid w:val="007D48F6"/>
    <w:rsid w:val="007D4AA9"/>
    <w:rsid w:val="007D4ADA"/>
    <w:rsid w:val="007D4C7E"/>
    <w:rsid w:val="007D4EB5"/>
    <w:rsid w:val="007D51DA"/>
    <w:rsid w:val="007D546F"/>
    <w:rsid w:val="007D5EDB"/>
    <w:rsid w:val="007D6977"/>
    <w:rsid w:val="007D6C29"/>
    <w:rsid w:val="007D6F79"/>
    <w:rsid w:val="007D6FD9"/>
    <w:rsid w:val="007D724B"/>
    <w:rsid w:val="007D7419"/>
    <w:rsid w:val="007D75D0"/>
    <w:rsid w:val="007E00EA"/>
    <w:rsid w:val="007E0483"/>
    <w:rsid w:val="007E06A9"/>
    <w:rsid w:val="007E0807"/>
    <w:rsid w:val="007E0853"/>
    <w:rsid w:val="007E08DC"/>
    <w:rsid w:val="007E0DE9"/>
    <w:rsid w:val="007E0E7E"/>
    <w:rsid w:val="007E1A04"/>
    <w:rsid w:val="007E1D94"/>
    <w:rsid w:val="007E1DCF"/>
    <w:rsid w:val="007E1F40"/>
    <w:rsid w:val="007E22F3"/>
    <w:rsid w:val="007E2755"/>
    <w:rsid w:val="007E2942"/>
    <w:rsid w:val="007E3041"/>
    <w:rsid w:val="007E306A"/>
    <w:rsid w:val="007E32FA"/>
    <w:rsid w:val="007E3C2E"/>
    <w:rsid w:val="007E4390"/>
    <w:rsid w:val="007E4746"/>
    <w:rsid w:val="007E4977"/>
    <w:rsid w:val="007E4B50"/>
    <w:rsid w:val="007E4C44"/>
    <w:rsid w:val="007E4C60"/>
    <w:rsid w:val="007E4D3B"/>
    <w:rsid w:val="007E50BB"/>
    <w:rsid w:val="007E5364"/>
    <w:rsid w:val="007E560B"/>
    <w:rsid w:val="007E5635"/>
    <w:rsid w:val="007E5711"/>
    <w:rsid w:val="007E59C6"/>
    <w:rsid w:val="007E5DB9"/>
    <w:rsid w:val="007E608A"/>
    <w:rsid w:val="007E623C"/>
    <w:rsid w:val="007E65C7"/>
    <w:rsid w:val="007E6A30"/>
    <w:rsid w:val="007E719D"/>
    <w:rsid w:val="007E79AE"/>
    <w:rsid w:val="007F00BB"/>
    <w:rsid w:val="007F01F1"/>
    <w:rsid w:val="007F0CFF"/>
    <w:rsid w:val="007F2094"/>
    <w:rsid w:val="007F2243"/>
    <w:rsid w:val="007F2281"/>
    <w:rsid w:val="007F2A2E"/>
    <w:rsid w:val="007F2FBB"/>
    <w:rsid w:val="007F349E"/>
    <w:rsid w:val="007F3BCB"/>
    <w:rsid w:val="007F3F37"/>
    <w:rsid w:val="007F3FD2"/>
    <w:rsid w:val="007F41FC"/>
    <w:rsid w:val="007F4F2D"/>
    <w:rsid w:val="007F524E"/>
    <w:rsid w:val="007F55F1"/>
    <w:rsid w:val="007F5711"/>
    <w:rsid w:val="007F58FB"/>
    <w:rsid w:val="007F5974"/>
    <w:rsid w:val="007F5D90"/>
    <w:rsid w:val="007F6A75"/>
    <w:rsid w:val="007F6E85"/>
    <w:rsid w:val="007F70AE"/>
    <w:rsid w:val="007F71E8"/>
    <w:rsid w:val="007F739C"/>
    <w:rsid w:val="007F76AF"/>
    <w:rsid w:val="007F7EAE"/>
    <w:rsid w:val="008002B0"/>
    <w:rsid w:val="00800A92"/>
    <w:rsid w:val="00800D5F"/>
    <w:rsid w:val="008010C0"/>
    <w:rsid w:val="008010C2"/>
    <w:rsid w:val="0080130A"/>
    <w:rsid w:val="008013F8"/>
    <w:rsid w:val="0080142E"/>
    <w:rsid w:val="00801AE0"/>
    <w:rsid w:val="00801DD5"/>
    <w:rsid w:val="0080211B"/>
    <w:rsid w:val="00802577"/>
    <w:rsid w:val="00802608"/>
    <w:rsid w:val="008028C5"/>
    <w:rsid w:val="00802FD9"/>
    <w:rsid w:val="0080301C"/>
    <w:rsid w:val="00803CA4"/>
    <w:rsid w:val="00803FBA"/>
    <w:rsid w:val="00804087"/>
    <w:rsid w:val="00804608"/>
    <w:rsid w:val="0080487F"/>
    <w:rsid w:val="00804F48"/>
    <w:rsid w:val="00805231"/>
    <w:rsid w:val="00805B25"/>
    <w:rsid w:val="00805CDD"/>
    <w:rsid w:val="00806339"/>
    <w:rsid w:val="0080637F"/>
    <w:rsid w:val="00806808"/>
    <w:rsid w:val="008075CE"/>
    <w:rsid w:val="008076BF"/>
    <w:rsid w:val="00807ECF"/>
    <w:rsid w:val="008100A8"/>
    <w:rsid w:val="00810232"/>
    <w:rsid w:val="0081023E"/>
    <w:rsid w:val="00810302"/>
    <w:rsid w:val="0081049D"/>
    <w:rsid w:val="0081080C"/>
    <w:rsid w:val="00810901"/>
    <w:rsid w:val="00810C00"/>
    <w:rsid w:val="00811232"/>
    <w:rsid w:val="008112CF"/>
    <w:rsid w:val="0081131A"/>
    <w:rsid w:val="00811690"/>
    <w:rsid w:val="00811745"/>
    <w:rsid w:val="0081183B"/>
    <w:rsid w:val="00811970"/>
    <w:rsid w:val="00811B12"/>
    <w:rsid w:val="00811DDB"/>
    <w:rsid w:val="00811E03"/>
    <w:rsid w:val="0081213B"/>
    <w:rsid w:val="00812AFE"/>
    <w:rsid w:val="00812CBD"/>
    <w:rsid w:val="0081326C"/>
    <w:rsid w:val="0081339A"/>
    <w:rsid w:val="008135C8"/>
    <w:rsid w:val="00813941"/>
    <w:rsid w:val="00813B36"/>
    <w:rsid w:val="00813C85"/>
    <w:rsid w:val="00813DD4"/>
    <w:rsid w:val="00814186"/>
    <w:rsid w:val="0081423B"/>
    <w:rsid w:val="00814515"/>
    <w:rsid w:val="0081457A"/>
    <w:rsid w:val="00814729"/>
    <w:rsid w:val="00814760"/>
    <w:rsid w:val="00814A0A"/>
    <w:rsid w:val="00814A81"/>
    <w:rsid w:val="00814B54"/>
    <w:rsid w:val="00814EA0"/>
    <w:rsid w:val="00814ED0"/>
    <w:rsid w:val="0081534F"/>
    <w:rsid w:val="0081545C"/>
    <w:rsid w:val="008154EF"/>
    <w:rsid w:val="008155BC"/>
    <w:rsid w:val="008156AC"/>
    <w:rsid w:val="00815B71"/>
    <w:rsid w:val="008160E4"/>
    <w:rsid w:val="00816224"/>
    <w:rsid w:val="008163CC"/>
    <w:rsid w:val="0081658E"/>
    <w:rsid w:val="00816DCD"/>
    <w:rsid w:val="00816E3D"/>
    <w:rsid w:val="008171B3"/>
    <w:rsid w:val="0081758F"/>
    <w:rsid w:val="008179CD"/>
    <w:rsid w:val="00817A52"/>
    <w:rsid w:val="00817DE8"/>
    <w:rsid w:val="008201BC"/>
    <w:rsid w:val="00820345"/>
    <w:rsid w:val="008204FF"/>
    <w:rsid w:val="00820FAC"/>
    <w:rsid w:val="00821621"/>
    <w:rsid w:val="00821CF1"/>
    <w:rsid w:val="0082247F"/>
    <w:rsid w:val="0082264F"/>
    <w:rsid w:val="00822C6E"/>
    <w:rsid w:val="00822CAC"/>
    <w:rsid w:val="008230EE"/>
    <w:rsid w:val="00823100"/>
    <w:rsid w:val="0082387D"/>
    <w:rsid w:val="00823C89"/>
    <w:rsid w:val="008243C2"/>
    <w:rsid w:val="0082465E"/>
    <w:rsid w:val="0082511C"/>
    <w:rsid w:val="008254C9"/>
    <w:rsid w:val="0082586B"/>
    <w:rsid w:val="008258C3"/>
    <w:rsid w:val="0082591E"/>
    <w:rsid w:val="00825AAA"/>
    <w:rsid w:val="00825F1C"/>
    <w:rsid w:val="00825F24"/>
    <w:rsid w:val="00826B22"/>
    <w:rsid w:val="00826DC3"/>
    <w:rsid w:val="00826EA6"/>
    <w:rsid w:val="008274D3"/>
    <w:rsid w:val="008278E7"/>
    <w:rsid w:val="008278EB"/>
    <w:rsid w:val="008279D3"/>
    <w:rsid w:val="00827AE5"/>
    <w:rsid w:val="00827B82"/>
    <w:rsid w:val="00827BCE"/>
    <w:rsid w:val="008302F2"/>
    <w:rsid w:val="00830518"/>
    <w:rsid w:val="00830641"/>
    <w:rsid w:val="008306E9"/>
    <w:rsid w:val="00830940"/>
    <w:rsid w:val="008309D3"/>
    <w:rsid w:val="00830D1B"/>
    <w:rsid w:val="00830E07"/>
    <w:rsid w:val="00830EB6"/>
    <w:rsid w:val="00830FDD"/>
    <w:rsid w:val="008311B2"/>
    <w:rsid w:val="008313BB"/>
    <w:rsid w:val="008313C6"/>
    <w:rsid w:val="008314BD"/>
    <w:rsid w:val="008316CC"/>
    <w:rsid w:val="0083177B"/>
    <w:rsid w:val="008317DE"/>
    <w:rsid w:val="00831B82"/>
    <w:rsid w:val="0083293E"/>
    <w:rsid w:val="00832A3B"/>
    <w:rsid w:val="00832AA1"/>
    <w:rsid w:val="0083315E"/>
    <w:rsid w:val="0083316D"/>
    <w:rsid w:val="00833175"/>
    <w:rsid w:val="008332BB"/>
    <w:rsid w:val="00833362"/>
    <w:rsid w:val="00833726"/>
    <w:rsid w:val="008339AB"/>
    <w:rsid w:val="00833AEE"/>
    <w:rsid w:val="00833E14"/>
    <w:rsid w:val="008340AF"/>
    <w:rsid w:val="00834321"/>
    <w:rsid w:val="00834C29"/>
    <w:rsid w:val="00835E06"/>
    <w:rsid w:val="00836313"/>
    <w:rsid w:val="00836359"/>
    <w:rsid w:val="00836CB2"/>
    <w:rsid w:val="00836FF0"/>
    <w:rsid w:val="00837032"/>
    <w:rsid w:val="008371B6"/>
    <w:rsid w:val="00837754"/>
    <w:rsid w:val="008377CC"/>
    <w:rsid w:val="0083790C"/>
    <w:rsid w:val="00837ED2"/>
    <w:rsid w:val="0084041F"/>
    <w:rsid w:val="0084049B"/>
    <w:rsid w:val="008409B0"/>
    <w:rsid w:val="00840C7A"/>
    <w:rsid w:val="008413F2"/>
    <w:rsid w:val="0084146A"/>
    <w:rsid w:val="008414DE"/>
    <w:rsid w:val="0084150F"/>
    <w:rsid w:val="00841EEC"/>
    <w:rsid w:val="00842062"/>
    <w:rsid w:val="008424CD"/>
    <w:rsid w:val="00842DFE"/>
    <w:rsid w:val="00843092"/>
    <w:rsid w:val="00843133"/>
    <w:rsid w:val="008431A9"/>
    <w:rsid w:val="00843801"/>
    <w:rsid w:val="00843D6B"/>
    <w:rsid w:val="00843FE0"/>
    <w:rsid w:val="008442B7"/>
    <w:rsid w:val="0084445D"/>
    <w:rsid w:val="00844D7D"/>
    <w:rsid w:val="00844D8D"/>
    <w:rsid w:val="00844D97"/>
    <w:rsid w:val="00845021"/>
    <w:rsid w:val="0084536C"/>
    <w:rsid w:val="00845767"/>
    <w:rsid w:val="00845C63"/>
    <w:rsid w:val="00845E54"/>
    <w:rsid w:val="00846109"/>
    <w:rsid w:val="0084623E"/>
    <w:rsid w:val="00846352"/>
    <w:rsid w:val="008467BC"/>
    <w:rsid w:val="00846886"/>
    <w:rsid w:val="00846B40"/>
    <w:rsid w:val="00846E09"/>
    <w:rsid w:val="008474EE"/>
    <w:rsid w:val="00847893"/>
    <w:rsid w:val="00847B99"/>
    <w:rsid w:val="0085024F"/>
    <w:rsid w:val="008502E5"/>
    <w:rsid w:val="00850420"/>
    <w:rsid w:val="008506E2"/>
    <w:rsid w:val="00850B5E"/>
    <w:rsid w:val="00850E50"/>
    <w:rsid w:val="0085170F"/>
    <w:rsid w:val="00851814"/>
    <w:rsid w:val="00851C6C"/>
    <w:rsid w:val="00851CF8"/>
    <w:rsid w:val="008521AE"/>
    <w:rsid w:val="008522DF"/>
    <w:rsid w:val="0085243E"/>
    <w:rsid w:val="00852D70"/>
    <w:rsid w:val="008535A7"/>
    <w:rsid w:val="00853ACE"/>
    <w:rsid w:val="00853B82"/>
    <w:rsid w:val="00853E53"/>
    <w:rsid w:val="00853EFF"/>
    <w:rsid w:val="008540FB"/>
    <w:rsid w:val="008545D3"/>
    <w:rsid w:val="00854901"/>
    <w:rsid w:val="008549FD"/>
    <w:rsid w:val="00855656"/>
    <w:rsid w:val="00855711"/>
    <w:rsid w:val="0085580C"/>
    <w:rsid w:val="00855B72"/>
    <w:rsid w:val="00855D49"/>
    <w:rsid w:val="00855F0F"/>
    <w:rsid w:val="008561E3"/>
    <w:rsid w:val="00856353"/>
    <w:rsid w:val="008564A5"/>
    <w:rsid w:val="008564DE"/>
    <w:rsid w:val="00856AA0"/>
    <w:rsid w:val="00856BF5"/>
    <w:rsid w:val="00856DB8"/>
    <w:rsid w:val="00857149"/>
    <w:rsid w:val="00857781"/>
    <w:rsid w:val="008577FC"/>
    <w:rsid w:val="00857839"/>
    <w:rsid w:val="00857E74"/>
    <w:rsid w:val="00857F95"/>
    <w:rsid w:val="008601AE"/>
    <w:rsid w:val="008601D1"/>
    <w:rsid w:val="00860352"/>
    <w:rsid w:val="008605FB"/>
    <w:rsid w:val="008606F3"/>
    <w:rsid w:val="008608CD"/>
    <w:rsid w:val="0086108C"/>
    <w:rsid w:val="0086138D"/>
    <w:rsid w:val="00861469"/>
    <w:rsid w:val="008615EB"/>
    <w:rsid w:val="00861870"/>
    <w:rsid w:val="008618BC"/>
    <w:rsid w:val="00861C38"/>
    <w:rsid w:val="00861C7D"/>
    <w:rsid w:val="0086223C"/>
    <w:rsid w:val="00862337"/>
    <w:rsid w:val="0086245B"/>
    <w:rsid w:val="008626F7"/>
    <w:rsid w:val="00862846"/>
    <w:rsid w:val="00862ADC"/>
    <w:rsid w:val="00862C87"/>
    <w:rsid w:val="00862EB3"/>
    <w:rsid w:val="008630DF"/>
    <w:rsid w:val="008630ED"/>
    <w:rsid w:val="00863299"/>
    <w:rsid w:val="00863744"/>
    <w:rsid w:val="00863854"/>
    <w:rsid w:val="00863EB9"/>
    <w:rsid w:val="00864048"/>
    <w:rsid w:val="008644C7"/>
    <w:rsid w:val="008646DE"/>
    <w:rsid w:val="008648A2"/>
    <w:rsid w:val="008649F2"/>
    <w:rsid w:val="00864D9B"/>
    <w:rsid w:val="0086541E"/>
    <w:rsid w:val="008654C3"/>
    <w:rsid w:val="00865533"/>
    <w:rsid w:val="008661E3"/>
    <w:rsid w:val="00866741"/>
    <w:rsid w:val="00866DE9"/>
    <w:rsid w:val="00866F02"/>
    <w:rsid w:val="008670EC"/>
    <w:rsid w:val="008675BA"/>
    <w:rsid w:val="0086766B"/>
    <w:rsid w:val="00867C95"/>
    <w:rsid w:val="00867E71"/>
    <w:rsid w:val="00870175"/>
    <w:rsid w:val="0087033F"/>
    <w:rsid w:val="00870363"/>
    <w:rsid w:val="00870947"/>
    <w:rsid w:val="0087120D"/>
    <w:rsid w:val="008716A0"/>
    <w:rsid w:val="00871DD4"/>
    <w:rsid w:val="00872177"/>
    <w:rsid w:val="008721C5"/>
    <w:rsid w:val="008722DF"/>
    <w:rsid w:val="008729E2"/>
    <w:rsid w:val="00872F08"/>
    <w:rsid w:val="00872F7D"/>
    <w:rsid w:val="008734D3"/>
    <w:rsid w:val="008738E5"/>
    <w:rsid w:val="00873C64"/>
    <w:rsid w:val="00874039"/>
    <w:rsid w:val="008741F0"/>
    <w:rsid w:val="00874464"/>
    <w:rsid w:val="0087472E"/>
    <w:rsid w:val="00874A5F"/>
    <w:rsid w:val="00874C96"/>
    <w:rsid w:val="00874DE9"/>
    <w:rsid w:val="00875447"/>
    <w:rsid w:val="00875B3D"/>
    <w:rsid w:val="00875F3A"/>
    <w:rsid w:val="00876331"/>
    <w:rsid w:val="00876617"/>
    <w:rsid w:val="008766FB"/>
    <w:rsid w:val="00876A31"/>
    <w:rsid w:val="00877D70"/>
    <w:rsid w:val="00880376"/>
    <w:rsid w:val="0088039B"/>
    <w:rsid w:val="008803F2"/>
    <w:rsid w:val="008803F3"/>
    <w:rsid w:val="008804FD"/>
    <w:rsid w:val="00880506"/>
    <w:rsid w:val="00880509"/>
    <w:rsid w:val="00880930"/>
    <w:rsid w:val="00880F38"/>
    <w:rsid w:val="00880F72"/>
    <w:rsid w:val="00881450"/>
    <w:rsid w:val="008818B8"/>
    <w:rsid w:val="0088198C"/>
    <w:rsid w:val="00881EA8"/>
    <w:rsid w:val="00882081"/>
    <w:rsid w:val="0088276F"/>
    <w:rsid w:val="00882959"/>
    <w:rsid w:val="00882A75"/>
    <w:rsid w:val="00882B0A"/>
    <w:rsid w:val="00882D1C"/>
    <w:rsid w:val="008831AE"/>
    <w:rsid w:val="0088342B"/>
    <w:rsid w:val="008834BB"/>
    <w:rsid w:val="0088363E"/>
    <w:rsid w:val="008837DC"/>
    <w:rsid w:val="0088388E"/>
    <w:rsid w:val="008839B0"/>
    <w:rsid w:val="00883A66"/>
    <w:rsid w:val="00884171"/>
    <w:rsid w:val="008842AF"/>
    <w:rsid w:val="0088453D"/>
    <w:rsid w:val="0088472D"/>
    <w:rsid w:val="0088483A"/>
    <w:rsid w:val="00884D34"/>
    <w:rsid w:val="00884D73"/>
    <w:rsid w:val="00885159"/>
    <w:rsid w:val="0088529A"/>
    <w:rsid w:val="0088542B"/>
    <w:rsid w:val="00885DCB"/>
    <w:rsid w:val="00885F01"/>
    <w:rsid w:val="008861A9"/>
    <w:rsid w:val="00886783"/>
    <w:rsid w:val="008867E5"/>
    <w:rsid w:val="00886D47"/>
    <w:rsid w:val="00886DF0"/>
    <w:rsid w:val="008870C8"/>
    <w:rsid w:val="00887147"/>
    <w:rsid w:val="00887851"/>
    <w:rsid w:val="008878AD"/>
    <w:rsid w:val="00887D2C"/>
    <w:rsid w:val="00887FB7"/>
    <w:rsid w:val="00890040"/>
    <w:rsid w:val="0089014E"/>
    <w:rsid w:val="00890255"/>
    <w:rsid w:val="008903B3"/>
    <w:rsid w:val="008904E1"/>
    <w:rsid w:val="0089081F"/>
    <w:rsid w:val="00890B9A"/>
    <w:rsid w:val="008914C1"/>
    <w:rsid w:val="00891A2D"/>
    <w:rsid w:val="00891AA0"/>
    <w:rsid w:val="00891C3E"/>
    <w:rsid w:val="00891C97"/>
    <w:rsid w:val="00891E98"/>
    <w:rsid w:val="00892161"/>
    <w:rsid w:val="008923BC"/>
    <w:rsid w:val="00892479"/>
    <w:rsid w:val="00892F70"/>
    <w:rsid w:val="00892FF5"/>
    <w:rsid w:val="0089310B"/>
    <w:rsid w:val="008932FA"/>
    <w:rsid w:val="008935AD"/>
    <w:rsid w:val="00893DC6"/>
    <w:rsid w:val="00893EF1"/>
    <w:rsid w:val="00893F3E"/>
    <w:rsid w:val="00894116"/>
    <w:rsid w:val="0089418B"/>
    <w:rsid w:val="00894407"/>
    <w:rsid w:val="0089443C"/>
    <w:rsid w:val="008944F1"/>
    <w:rsid w:val="008948A6"/>
    <w:rsid w:val="0089491A"/>
    <w:rsid w:val="008949B8"/>
    <w:rsid w:val="00894BB7"/>
    <w:rsid w:val="00894C8C"/>
    <w:rsid w:val="00895A3D"/>
    <w:rsid w:val="0089602C"/>
    <w:rsid w:val="008963F1"/>
    <w:rsid w:val="008965E9"/>
    <w:rsid w:val="00896D0E"/>
    <w:rsid w:val="00897199"/>
    <w:rsid w:val="008972A7"/>
    <w:rsid w:val="008976B5"/>
    <w:rsid w:val="00897771"/>
    <w:rsid w:val="00897F49"/>
    <w:rsid w:val="008A006C"/>
    <w:rsid w:val="008A03A5"/>
    <w:rsid w:val="008A0575"/>
    <w:rsid w:val="008A0F02"/>
    <w:rsid w:val="008A10C7"/>
    <w:rsid w:val="008A11AF"/>
    <w:rsid w:val="008A11CA"/>
    <w:rsid w:val="008A1350"/>
    <w:rsid w:val="008A151F"/>
    <w:rsid w:val="008A167A"/>
    <w:rsid w:val="008A1B1C"/>
    <w:rsid w:val="008A1B48"/>
    <w:rsid w:val="008A1E0E"/>
    <w:rsid w:val="008A1E91"/>
    <w:rsid w:val="008A2355"/>
    <w:rsid w:val="008A2731"/>
    <w:rsid w:val="008A2F66"/>
    <w:rsid w:val="008A30D2"/>
    <w:rsid w:val="008A34D4"/>
    <w:rsid w:val="008A3549"/>
    <w:rsid w:val="008A38B1"/>
    <w:rsid w:val="008A39FB"/>
    <w:rsid w:val="008A3B09"/>
    <w:rsid w:val="008A3F02"/>
    <w:rsid w:val="008A4698"/>
    <w:rsid w:val="008A46E9"/>
    <w:rsid w:val="008A4F4E"/>
    <w:rsid w:val="008A538D"/>
    <w:rsid w:val="008A56AA"/>
    <w:rsid w:val="008A56DD"/>
    <w:rsid w:val="008A6222"/>
    <w:rsid w:val="008A666A"/>
    <w:rsid w:val="008A687B"/>
    <w:rsid w:val="008A698E"/>
    <w:rsid w:val="008A6A1E"/>
    <w:rsid w:val="008A6EBD"/>
    <w:rsid w:val="008A6FEE"/>
    <w:rsid w:val="008A7275"/>
    <w:rsid w:val="008A748B"/>
    <w:rsid w:val="008A7683"/>
    <w:rsid w:val="008A786B"/>
    <w:rsid w:val="008A78DB"/>
    <w:rsid w:val="008A7939"/>
    <w:rsid w:val="008A7ABD"/>
    <w:rsid w:val="008A7D67"/>
    <w:rsid w:val="008B0263"/>
    <w:rsid w:val="008B043D"/>
    <w:rsid w:val="008B071D"/>
    <w:rsid w:val="008B089F"/>
    <w:rsid w:val="008B0A77"/>
    <w:rsid w:val="008B0CFE"/>
    <w:rsid w:val="008B0FEC"/>
    <w:rsid w:val="008B1130"/>
    <w:rsid w:val="008B12E8"/>
    <w:rsid w:val="008B1414"/>
    <w:rsid w:val="008B15CE"/>
    <w:rsid w:val="008B21B3"/>
    <w:rsid w:val="008B2368"/>
    <w:rsid w:val="008B2478"/>
    <w:rsid w:val="008B2858"/>
    <w:rsid w:val="008B2E04"/>
    <w:rsid w:val="008B337E"/>
    <w:rsid w:val="008B33CC"/>
    <w:rsid w:val="008B35A0"/>
    <w:rsid w:val="008B396E"/>
    <w:rsid w:val="008B3B1E"/>
    <w:rsid w:val="008B3E3D"/>
    <w:rsid w:val="008B41D1"/>
    <w:rsid w:val="008B4396"/>
    <w:rsid w:val="008B45A4"/>
    <w:rsid w:val="008B4678"/>
    <w:rsid w:val="008B4DC8"/>
    <w:rsid w:val="008B59D0"/>
    <w:rsid w:val="008B5D0C"/>
    <w:rsid w:val="008B5DE5"/>
    <w:rsid w:val="008B6135"/>
    <w:rsid w:val="008B64E2"/>
    <w:rsid w:val="008B689C"/>
    <w:rsid w:val="008B691D"/>
    <w:rsid w:val="008B6AC7"/>
    <w:rsid w:val="008B6C02"/>
    <w:rsid w:val="008B6C07"/>
    <w:rsid w:val="008B6C6D"/>
    <w:rsid w:val="008B6E15"/>
    <w:rsid w:val="008B6E47"/>
    <w:rsid w:val="008B72AC"/>
    <w:rsid w:val="008B73C2"/>
    <w:rsid w:val="008B7885"/>
    <w:rsid w:val="008B78C7"/>
    <w:rsid w:val="008B7A6B"/>
    <w:rsid w:val="008B7D29"/>
    <w:rsid w:val="008C025F"/>
    <w:rsid w:val="008C0288"/>
    <w:rsid w:val="008C08CB"/>
    <w:rsid w:val="008C0AD1"/>
    <w:rsid w:val="008C12D8"/>
    <w:rsid w:val="008C187A"/>
    <w:rsid w:val="008C19C1"/>
    <w:rsid w:val="008C1A5C"/>
    <w:rsid w:val="008C1CE4"/>
    <w:rsid w:val="008C1F3B"/>
    <w:rsid w:val="008C20C9"/>
    <w:rsid w:val="008C2227"/>
    <w:rsid w:val="008C261A"/>
    <w:rsid w:val="008C2A9D"/>
    <w:rsid w:val="008C2C5A"/>
    <w:rsid w:val="008C344A"/>
    <w:rsid w:val="008C377F"/>
    <w:rsid w:val="008C38D7"/>
    <w:rsid w:val="008C39C0"/>
    <w:rsid w:val="008C49D2"/>
    <w:rsid w:val="008C4A37"/>
    <w:rsid w:val="008C4DD1"/>
    <w:rsid w:val="008C4F1E"/>
    <w:rsid w:val="008C4F24"/>
    <w:rsid w:val="008C505E"/>
    <w:rsid w:val="008C533F"/>
    <w:rsid w:val="008C5481"/>
    <w:rsid w:val="008C57BF"/>
    <w:rsid w:val="008C5F03"/>
    <w:rsid w:val="008C61A2"/>
    <w:rsid w:val="008C638D"/>
    <w:rsid w:val="008C65D8"/>
    <w:rsid w:val="008C666C"/>
    <w:rsid w:val="008C707C"/>
    <w:rsid w:val="008C7689"/>
    <w:rsid w:val="008D03E5"/>
    <w:rsid w:val="008D049F"/>
    <w:rsid w:val="008D1034"/>
    <w:rsid w:val="008D12C6"/>
    <w:rsid w:val="008D17C4"/>
    <w:rsid w:val="008D1FCC"/>
    <w:rsid w:val="008D210F"/>
    <w:rsid w:val="008D216D"/>
    <w:rsid w:val="008D250A"/>
    <w:rsid w:val="008D2524"/>
    <w:rsid w:val="008D26E5"/>
    <w:rsid w:val="008D29F1"/>
    <w:rsid w:val="008D2AD6"/>
    <w:rsid w:val="008D2B16"/>
    <w:rsid w:val="008D2BD1"/>
    <w:rsid w:val="008D3303"/>
    <w:rsid w:val="008D35E6"/>
    <w:rsid w:val="008D38BF"/>
    <w:rsid w:val="008D38F7"/>
    <w:rsid w:val="008D3964"/>
    <w:rsid w:val="008D3E49"/>
    <w:rsid w:val="008D499B"/>
    <w:rsid w:val="008D4FC6"/>
    <w:rsid w:val="008D54C9"/>
    <w:rsid w:val="008D55C2"/>
    <w:rsid w:val="008D5E9A"/>
    <w:rsid w:val="008D6453"/>
    <w:rsid w:val="008D6BFF"/>
    <w:rsid w:val="008D7177"/>
    <w:rsid w:val="008D7830"/>
    <w:rsid w:val="008D7924"/>
    <w:rsid w:val="008D7A95"/>
    <w:rsid w:val="008D7D85"/>
    <w:rsid w:val="008D7D8C"/>
    <w:rsid w:val="008E078E"/>
    <w:rsid w:val="008E188B"/>
    <w:rsid w:val="008E1C58"/>
    <w:rsid w:val="008E22FA"/>
    <w:rsid w:val="008E240E"/>
    <w:rsid w:val="008E246B"/>
    <w:rsid w:val="008E2737"/>
    <w:rsid w:val="008E28D8"/>
    <w:rsid w:val="008E29A6"/>
    <w:rsid w:val="008E2EBD"/>
    <w:rsid w:val="008E2FA6"/>
    <w:rsid w:val="008E35EC"/>
    <w:rsid w:val="008E384E"/>
    <w:rsid w:val="008E3883"/>
    <w:rsid w:val="008E3C42"/>
    <w:rsid w:val="008E3DB9"/>
    <w:rsid w:val="008E3DE7"/>
    <w:rsid w:val="008E420A"/>
    <w:rsid w:val="008E433B"/>
    <w:rsid w:val="008E43D0"/>
    <w:rsid w:val="008E4B24"/>
    <w:rsid w:val="008E55BA"/>
    <w:rsid w:val="008E5B62"/>
    <w:rsid w:val="008E6075"/>
    <w:rsid w:val="008E62BC"/>
    <w:rsid w:val="008E6401"/>
    <w:rsid w:val="008E68C2"/>
    <w:rsid w:val="008E6AFD"/>
    <w:rsid w:val="008E7013"/>
    <w:rsid w:val="008E7117"/>
    <w:rsid w:val="008E7396"/>
    <w:rsid w:val="008E7550"/>
    <w:rsid w:val="008E7AFD"/>
    <w:rsid w:val="008E7B3F"/>
    <w:rsid w:val="008E7C43"/>
    <w:rsid w:val="008E7F66"/>
    <w:rsid w:val="008E7FB9"/>
    <w:rsid w:val="008F0090"/>
    <w:rsid w:val="008F067B"/>
    <w:rsid w:val="008F0960"/>
    <w:rsid w:val="008F0AE7"/>
    <w:rsid w:val="008F0DCA"/>
    <w:rsid w:val="008F0FB5"/>
    <w:rsid w:val="008F1255"/>
    <w:rsid w:val="008F1F99"/>
    <w:rsid w:val="008F2168"/>
    <w:rsid w:val="008F2453"/>
    <w:rsid w:val="008F270C"/>
    <w:rsid w:val="008F27C4"/>
    <w:rsid w:val="008F27D5"/>
    <w:rsid w:val="008F2A76"/>
    <w:rsid w:val="008F2D16"/>
    <w:rsid w:val="008F31A2"/>
    <w:rsid w:val="008F3450"/>
    <w:rsid w:val="008F36BB"/>
    <w:rsid w:val="008F3877"/>
    <w:rsid w:val="008F3909"/>
    <w:rsid w:val="008F392E"/>
    <w:rsid w:val="008F3A6C"/>
    <w:rsid w:val="008F3B24"/>
    <w:rsid w:val="008F3C40"/>
    <w:rsid w:val="008F3CCE"/>
    <w:rsid w:val="008F3EF9"/>
    <w:rsid w:val="008F456D"/>
    <w:rsid w:val="008F47B1"/>
    <w:rsid w:val="008F4FF0"/>
    <w:rsid w:val="008F50B2"/>
    <w:rsid w:val="008F5B47"/>
    <w:rsid w:val="008F5D0D"/>
    <w:rsid w:val="008F66DD"/>
    <w:rsid w:val="008F68FD"/>
    <w:rsid w:val="008F6BF0"/>
    <w:rsid w:val="008F6DC5"/>
    <w:rsid w:val="008F6F9C"/>
    <w:rsid w:val="008F78D1"/>
    <w:rsid w:val="008F79DE"/>
    <w:rsid w:val="009003DF"/>
    <w:rsid w:val="009007DA"/>
    <w:rsid w:val="0090080F"/>
    <w:rsid w:val="00900863"/>
    <w:rsid w:val="0090094E"/>
    <w:rsid w:val="00900C9D"/>
    <w:rsid w:val="00900D5D"/>
    <w:rsid w:val="0090123F"/>
    <w:rsid w:val="009013D6"/>
    <w:rsid w:val="00901725"/>
    <w:rsid w:val="00901A11"/>
    <w:rsid w:val="00901A90"/>
    <w:rsid w:val="00901BDF"/>
    <w:rsid w:val="00902025"/>
    <w:rsid w:val="00902B32"/>
    <w:rsid w:val="00903217"/>
    <w:rsid w:val="00903600"/>
    <w:rsid w:val="00903720"/>
    <w:rsid w:val="009037ED"/>
    <w:rsid w:val="009039C4"/>
    <w:rsid w:val="00903A50"/>
    <w:rsid w:val="00903DDF"/>
    <w:rsid w:val="00903F0C"/>
    <w:rsid w:val="009042DE"/>
    <w:rsid w:val="009044A0"/>
    <w:rsid w:val="00904605"/>
    <w:rsid w:val="009049B8"/>
    <w:rsid w:val="00904A89"/>
    <w:rsid w:val="00904F73"/>
    <w:rsid w:val="00905630"/>
    <w:rsid w:val="00906731"/>
    <w:rsid w:val="0090713E"/>
    <w:rsid w:val="009072AF"/>
    <w:rsid w:val="009075CC"/>
    <w:rsid w:val="009076E9"/>
    <w:rsid w:val="00910BED"/>
    <w:rsid w:val="00911857"/>
    <w:rsid w:val="00911A20"/>
    <w:rsid w:val="00911BAC"/>
    <w:rsid w:val="00911BF4"/>
    <w:rsid w:val="00911C30"/>
    <w:rsid w:val="00911C5D"/>
    <w:rsid w:val="00912111"/>
    <w:rsid w:val="009121E3"/>
    <w:rsid w:val="009127DE"/>
    <w:rsid w:val="00912F97"/>
    <w:rsid w:val="0091317B"/>
    <w:rsid w:val="009137D7"/>
    <w:rsid w:val="0091384C"/>
    <w:rsid w:val="0091389E"/>
    <w:rsid w:val="009138DC"/>
    <w:rsid w:val="00913A46"/>
    <w:rsid w:val="00913AB5"/>
    <w:rsid w:val="00913AFB"/>
    <w:rsid w:val="00913DA4"/>
    <w:rsid w:val="00913F4F"/>
    <w:rsid w:val="0091458B"/>
    <w:rsid w:val="00914666"/>
    <w:rsid w:val="009149A8"/>
    <w:rsid w:val="00914BF6"/>
    <w:rsid w:val="00914EED"/>
    <w:rsid w:val="00914F6F"/>
    <w:rsid w:val="0091665B"/>
    <w:rsid w:val="0091689D"/>
    <w:rsid w:val="009169E7"/>
    <w:rsid w:val="00916BD0"/>
    <w:rsid w:val="00917751"/>
    <w:rsid w:val="00917C7F"/>
    <w:rsid w:val="00917E33"/>
    <w:rsid w:val="00917E85"/>
    <w:rsid w:val="0092030D"/>
    <w:rsid w:val="009203D9"/>
    <w:rsid w:val="00920478"/>
    <w:rsid w:val="00920F85"/>
    <w:rsid w:val="009215D6"/>
    <w:rsid w:val="0092209A"/>
    <w:rsid w:val="009220C1"/>
    <w:rsid w:val="00922516"/>
    <w:rsid w:val="009225F0"/>
    <w:rsid w:val="0092277B"/>
    <w:rsid w:val="00923395"/>
    <w:rsid w:val="00923526"/>
    <w:rsid w:val="00923663"/>
    <w:rsid w:val="00923816"/>
    <w:rsid w:val="00924022"/>
    <w:rsid w:val="009243D9"/>
    <w:rsid w:val="00924632"/>
    <w:rsid w:val="00924C48"/>
    <w:rsid w:val="00925087"/>
    <w:rsid w:val="009252FE"/>
    <w:rsid w:val="009255FC"/>
    <w:rsid w:val="0092589F"/>
    <w:rsid w:val="009258CB"/>
    <w:rsid w:val="009260EF"/>
    <w:rsid w:val="00926100"/>
    <w:rsid w:val="0092687C"/>
    <w:rsid w:val="0092693A"/>
    <w:rsid w:val="0092693E"/>
    <w:rsid w:val="00926BE9"/>
    <w:rsid w:val="00926D41"/>
    <w:rsid w:val="00926EFE"/>
    <w:rsid w:val="00927303"/>
    <w:rsid w:val="009274D8"/>
    <w:rsid w:val="00927DF1"/>
    <w:rsid w:val="00927F91"/>
    <w:rsid w:val="00930172"/>
    <w:rsid w:val="00930234"/>
    <w:rsid w:val="00930321"/>
    <w:rsid w:val="00930A90"/>
    <w:rsid w:val="00930C0F"/>
    <w:rsid w:val="00930F47"/>
    <w:rsid w:val="009313AB"/>
    <w:rsid w:val="009313C3"/>
    <w:rsid w:val="009316D5"/>
    <w:rsid w:val="00931B5B"/>
    <w:rsid w:val="00931C5F"/>
    <w:rsid w:val="00932033"/>
    <w:rsid w:val="00932574"/>
    <w:rsid w:val="00932617"/>
    <w:rsid w:val="009327FE"/>
    <w:rsid w:val="009328B3"/>
    <w:rsid w:val="00932F10"/>
    <w:rsid w:val="0093307A"/>
    <w:rsid w:val="00933494"/>
    <w:rsid w:val="009335F8"/>
    <w:rsid w:val="009339C3"/>
    <w:rsid w:val="009343F6"/>
    <w:rsid w:val="0093462C"/>
    <w:rsid w:val="009346A7"/>
    <w:rsid w:val="0093499B"/>
    <w:rsid w:val="009349CC"/>
    <w:rsid w:val="00934BAC"/>
    <w:rsid w:val="00934E9E"/>
    <w:rsid w:val="00934F92"/>
    <w:rsid w:val="00935074"/>
    <w:rsid w:val="0093517D"/>
    <w:rsid w:val="00935709"/>
    <w:rsid w:val="00935896"/>
    <w:rsid w:val="00935D9C"/>
    <w:rsid w:val="0093604D"/>
    <w:rsid w:val="00936257"/>
    <w:rsid w:val="009368A2"/>
    <w:rsid w:val="009369DF"/>
    <w:rsid w:val="00936DDD"/>
    <w:rsid w:val="0093701D"/>
    <w:rsid w:val="00937416"/>
    <w:rsid w:val="00937492"/>
    <w:rsid w:val="0093783D"/>
    <w:rsid w:val="00937B6F"/>
    <w:rsid w:val="00937F2F"/>
    <w:rsid w:val="0094019D"/>
    <w:rsid w:val="0094095F"/>
    <w:rsid w:val="00940FEE"/>
    <w:rsid w:val="00941623"/>
    <w:rsid w:val="00941677"/>
    <w:rsid w:val="00941776"/>
    <w:rsid w:val="009418AE"/>
    <w:rsid w:val="0094199D"/>
    <w:rsid w:val="00941D47"/>
    <w:rsid w:val="00941DE9"/>
    <w:rsid w:val="0094246B"/>
    <w:rsid w:val="00942A0C"/>
    <w:rsid w:val="00942A25"/>
    <w:rsid w:val="00942B8A"/>
    <w:rsid w:val="00943154"/>
    <w:rsid w:val="00943292"/>
    <w:rsid w:val="00943496"/>
    <w:rsid w:val="00943574"/>
    <w:rsid w:val="00943E8D"/>
    <w:rsid w:val="00944203"/>
    <w:rsid w:val="00944989"/>
    <w:rsid w:val="00944B17"/>
    <w:rsid w:val="00944D26"/>
    <w:rsid w:val="00944FBF"/>
    <w:rsid w:val="00944FCA"/>
    <w:rsid w:val="009450F3"/>
    <w:rsid w:val="00946051"/>
    <w:rsid w:val="00946C29"/>
    <w:rsid w:val="00946D2E"/>
    <w:rsid w:val="009475CB"/>
    <w:rsid w:val="00947665"/>
    <w:rsid w:val="00947762"/>
    <w:rsid w:val="00947C5B"/>
    <w:rsid w:val="00947F6E"/>
    <w:rsid w:val="009500DF"/>
    <w:rsid w:val="009506EB"/>
    <w:rsid w:val="009510F5"/>
    <w:rsid w:val="009513B7"/>
    <w:rsid w:val="00951406"/>
    <w:rsid w:val="009514EE"/>
    <w:rsid w:val="00951870"/>
    <w:rsid w:val="009519EF"/>
    <w:rsid w:val="00952600"/>
    <w:rsid w:val="00952D33"/>
    <w:rsid w:val="00952E8B"/>
    <w:rsid w:val="00953406"/>
    <w:rsid w:val="00953482"/>
    <w:rsid w:val="00953603"/>
    <w:rsid w:val="009536B0"/>
    <w:rsid w:val="00953795"/>
    <w:rsid w:val="009543E9"/>
    <w:rsid w:val="0095475D"/>
    <w:rsid w:val="00954A4C"/>
    <w:rsid w:val="00954B13"/>
    <w:rsid w:val="00954FAF"/>
    <w:rsid w:val="00955700"/>
    <w:rsid w:val="0095580B"/>
    <w:rsid w:val="00955827"/>
    <w:rsid w:val="00955EF2"/>
    <w:rsid w:val="00955F80"/>
    <w:rsid w:val="00956A02"/>
    <w:rsid w:val="00956A4E"/>
    <w:rsid w:val="00956A58"/>
    <w:rsid w:val="00956A6C"/>
    <w:rsid w:val="00956AC4"/>
    <w:rsid w:val="00957724"/>
    <w:rsid w:val="009577F4"/>
    <w:rsid w:val="009578AD"/>
    <w:rsid w:val="00957D46"/>
    <w:rsid w:val="00960080"/>
    <w:rsid w:val="0096019F"/>
    <w:rsid w:val="00960C85"/>
    <w:rsid w:val="00960CD5"/>
    <w:rsid w:val="0096127A"/>
    <w:rsid w:val="00961325"/>
    <w:rsid w:val="00961553"/>
    <w:rsid w:val="009617C4"/>
    <w:rsid w:val="009621F3"/>
    <w:rsid w:val="00962460"/>
    <w:rsid w:val="00962495"/>
    <w:rsid w:val="00962CB0"/>
    <w:rsid w:val="00962D3B"/>
    <w:rsid w:val="00962D48"/>
    <w:rsid w:val="00962EE3"/>
    <w:rsid w:val="00962F5E"/>
    <w:rsid w:val="009634CD"/>
    <w:rsid w:val="009634DB"/>
    <w:rsid w:val="00963511"/>
    <w:rsid w:val="009636D4"/>
    <w:rsid w:val="00963A47"/>
    <w:rsid w:val="00963EEA"/>
    <w:rsid w:val="009645A8"/>
    <w:rsid w:val="0096561D"/>
    <w:rsid w:val="00965B4D"/>
    <w:rsid w:val="00965CB3"/>
    <w:rsid w:val="00965FD3"/>
    <w:rsid w:val="00966427"/>
    <w:rsid w:val="00966DF2"/>
    <w:rsid w:val="00966F92"/>
    <w:rsid w:val="00967027"/>
    <w:rsid w:val="00967203"/>
    <w:rsid w:val="009673C4"/>
    <w:rsid w:val="00967B56"/>
    <w:rsid w:val="00970090"/>
    <w:rsid w:val="009704D2"/>
    <w:rsid w:val="00970BDA"/>
    <w:rsid w:val="00970BF8"/>
    <w:rsid w:val="00970D7A"/>
    <w:rsid w:val="00970F0B"/>
    <w:rsid w:val="0097122E"/>
    <w:rsid w:val="00971425"/>
    <w:rsid w:val="00971B9E"/>
    <w:rsid w:val="00971BCC"/>
    <w:rsid w:val="00971D21"/>
    <w:rsid w:val="00971DA0"/>
    <w:rsid w:val="00971DE1"/>
    <w:rsid w:val="00971F87"/>
    <w:rsid w:val="00972155"/>
    <w:rsid w:val="00972486"/>
    <w:rsid w:val="009728DB"/>
    <w:rsid w:val="00972A3F"/>
    <w:rsid w:val="00972B82"/>
    <w:rsid w:val="00972E19"/>
    <w:rsid w:val="0097372C"/>
    <w:rsid w:val="00973BE4"/>
    <w:rsid w:val="00973F4F"/>
    <w:rsid w:val="00974189"/>
    <w:rsid w:val="009742EF"/>
    <w:rsid w:val="00974525"/>
    <w:rsid w:val="00974E1B"/>
    <w:rsid w:val="00974ED6"/>
    <w:rsid w:val="00975241"/>
    <w:rsid w:val="00975243"/>
    <w:rsid w:val="00975380"/>
    <w:rsid w:val="0097568C"/>
    <w:rsid w:val="00975AC0"/>
    <w:rsid w:val="00976014"/>
    <w:rsid w:val="009761C0"/>
    <w:rsid w:val="0097636D"/>
    <w:rsid w:val="00976653"/>
    <w:rsid w:val="009767FB"/>
    <w:rsid w:val="0097690A"/>
    <w:rsid w:val="00976D42"/>
    <w:rsid w:val="00977194"/>
    <w:rsid w:val="0097726F"/>
    <w:rsid w:val="00977E6C"/>
    <w:rsid w:val="00980265"/>
    <w:rsid w:val="00980328"/>
    <w:rsid w:val="009803B8"/>
    <w:rsid w:val="00981798"/>
    <w:rsid w:val="009818B7"/>
    <w:rsid w:val="00982660"/>
    <w:rsid w:val="00982F61"/>
    <w:rsid w:val="009830C7"/>
    <w:rsid w:val="00983193"/>
    <w:rsid w:val="009834AA"/>
    <w:rsid w:val="00983603"/>
    <w:rsid w:val="00983627"/>
    <w:rsid w:val="00983761"/>
    <w:rsid w:val="00983F67"/>
    <w:rsid w:val="00984382"/>
    <w:rsid w:val="009843AA"/>
    <w:rsid w:val="009844DD"/>
    <w:rsid w:val="00984854"/>
    <w:rsid w:val="00984BEA"/>
    <w:rsid w:val="00984D19"/>
    <w:rsid w:val="00985A8A"/>
    <w:rsid w:val="00985CC7"/>
    <w:rsid w:val="00985F24"/>
    <w:rsid w:val="00985F72"/>
    <w:rsid w:val="0098602E"/>
    <w:rsid w:val="009867FC"/>
    <w:rsid w:val="00986863"/>
    <w:rsid w:val="00986B59"/>
    <w:rsid w:val="00986B89"/>
    <w:rsid w:val="00986F32"/>
    <w:rsid w:val="009872E7"/>
    <w:rsid w:val="00987E05"/>
    <w:rsid w:val="009901BF"/>
    <w:rsid w:val="00990423"/>
    <w:rsid w:val="009904A5"/>
    <w:rsid w:val="009907CF"/>
    <w:rsid w:val="00990A97"/>
    <w:rsid w:val="00990B04"/>
    <w:rsid w:val="00990B60"/>
    <w:rsid w:val="00990D8F"/>
    <w:rsid w:val="00991159"/>
    <w:rsid w:val="00991190"/>
    <w:rsid w:val="009911A2"/>
    <w:rsid w:val="0099168D"/>
    <w:rsid w:val="009920E4"/>
    <w:rsid w:val="0099212D"/>
    <w:rsid w:val="0099228E"/>
    <w:rsid w:val="00992427"/>
    <w:rsid w:val="0099246D"/>
    <w:rsid w:val="009924A2"/>
    <w:rsid w:val="009928BC"/>
    <w:rsid w:val="00992A11"/>
    <w:rsid w:val="00992DCC"/>
    <w:rsid w:val="00992F0B"/>
    <w:rsid w:val="0099331D"/>
    <w:rsid w:val="009934DA"/>
    <w:rsid w:val="00993FAD"/>
    <w:rsid w:val="009940F9"/>
    <w:rsid w:val="0099448B"/>
    <w:rsid w:val="0099477F"/>
    <w:rsid w:val="0099481C"/>
    <w:rsid w:val="00994961"/>
    <w:rsid w:val="009949D7"/>
    <w:rsid w:val="00994C51"/>
    <w:rsid w:val="00994E60"/>
    <w:rsid w:val="00995194"/>
    <w:rsid w:val="0099577C"/>
    <w:rsid w:val="00995877"/>
    <w:rsid w:val="00995897"/>
    <w:rsid w:val="00995A30"/>
    <w:rsid w:val="00995C82"/>
    <w:rsid w:val="009963F0"/>
    <w:rsid w:val="00996DD1"/>
    <w:rsid w:val="00997CD6"/>
    <w:rsid w:val="00997E7A"/>
    <w:rsid w:val="009A004D"/>
    <w:rsid w:val="009A03A2"/>
    <w:rsid w:val="009A03F4"/>
    <w:rsid w:val="009A0851"/>
    <w:rsid w:val="009A0F07"/>
    <w:rsid w:val="009A10BE"/>
    <w:rsid w:val="009A13F8"/>
    <w:rsid w:val="009A1628"/>
    <w:rsid w:val="009A1750"/>
    <w:rsid w:val="009A1AAF"/>
    <w:rsid w:val="009A1C05"/>
    <w:rsid w:val="009A2E9A"/>
    <w:rsid w:val="009A307E"/>
    <w:rsid w:val="009A334D"/>
    <w:rsid w:val="009A37F2"/>
    <w:rsid w:val="009A3E80"/>
    <w:rsid w:val="009A43B3"/>
    <w:rsid w:val="009A44A1"/>
    <w:rsid w:val="009A4CC6"/>
    <w:rsid w:val="009A5705"/>
    <w:rsid w:val="009A5873"/>
    <w:rsid w:val="009A58A5"/>
    <w:rsid w:val="009A5916"/>
    <w:rsid w:val="009A5FC2"/>
    <w:rsid w:val="009A603A"/>
    <w:rsid w:val="009A7071"/>
    <w:rsid w:val="009A70F2"/>
    <w:rsid w:val="009A74EE"/>
    <w:rsid w:val="009A79B0"/>
    <w:rsid w:val="009A7BDA"/>
    <w:rsid w:val="009A7F2B"/>
    <w:rsid w:val="009B00EC"/>
    <w:rsid w:val="009B02B9"/>
    <w:rsid w:val="009B067E"/>
    <w:rsid w:val="009B0818"/>
    <w:rsid w:val="009B08B6"/>
    <w:rsid w:val="009B097C"/>
    <w:rsid w:val="009B0C28"/>
    <w:rsid w:val="009B0CCC"/>
    <w:rsid w:val="009B0EED"/>
    <w:rsid w:val="009B12A6"/>
    <w:rsid w:val="009B131C"/>
    <w:rsid w:val="009B1325"/>
    <w:rsid w:val="009B1507"/>
    <w:rsid w:val="009B1AA7"/>
    <w:rsid w:val="009B1D1D"/>
    <w:rsid w:val="009B1E84"/>
    <w:rsid w:val="009B2D2B"/>
    <w:rsid w:val="009B2E44"/>
    <w:rsid w:val="009B312A"/>
    <w:rsid w:val="009B329D"/>
    <w:rsid w:val="009B3516"/>
    <w:rsid w:val="009B367A"/>
    <w:rsid w:val="009B39C1"/>
    <w:rsid w:val="009B3E96"/>
    <w:rsid w:val="009B408B"/>
    <w:rsid w:val="009B4614"/>
    <w:rsid w:val="009B46BA"/>
    <w:rsid w:val="009B4C28"/>
    <w:rsid w:val="009B504F"/>
    <w:rsid w:val="009B5078"/>
    <w:rsid w:val="009B5314"/>
    <w:rsid w:val="009B5335"/>
    <w:rsid w:val="009B5431"/>
    <w:rsid w:val="009B58B8"/>
    <w:rsid w:val="009B5D9B"/>
    <w:rsid w:val="009B6619"/>
    <w:rsid w:val="009B691C"/>
    <w:rsid w:val="009B691D"/>
    <w:rsid w:val="009B6C44"/>
    <w:rsid w:val="009B6DCE"/>
    <w:rsid w:val="009B7096"/>
    <w:rsid w:val="009B71A3"/>
    <w:rsid w:val="009C098C"/>
    <w:rsid w:val="009C09D9"/>
    <w:rsid w:val="009C0B32"/>
    <w:rsid w:val="009C0BDE"/>
    <w:rsid w:val="009C0C1E"/>
    <w:rsid w:val="009C15D5"/>
    <w:rsid w:val="009C204F"/>
    <w:rsid w:val="009C22EB"/>
    <w:rsid w:val="009C244A"/>
    <w:rsid w:val="009C247C"/>
    <w:rsid w:val="009C287C"/>
    <w:rsid w:val="009C3193"/>
    <w:rsid w:val="009C3528"/>
    <w:rsid w:val="009C3873"/>
    <w:rsid w:val="009C3987"/>
    <w:rsid w:val="009C3C49"/>
    <w:rsid w:val="009C3FCF"/>
    <w:rsid w:val="009C48F3"/>
    <w:rsid w:val="009C4B26"/>
    <w:rsid w:val="009C4DE6"/>
    <w:rsid w:val="009C4E7C"/>
    <w:rsid w:val="009C509E"/>
    <w:rsid w:val="009C53ED"/>
    <w:rsid w:val="009C56B5"/>
    <w:rsid w:val="009C5C5C"/>
    <w:rsid w:val="009C6313"/>
    <w:rsid w:val="009C64EA"/>
    <w:rsid w:val="009C75C2"/>
    <w:rsid w:val="009C75DB"/>
    <w:rsid w:val="009C76A7"/>
    <w:rsid w:val="009C76FA"/>
    <w:rsid w:val="009C78BD"/>
    <w:rsid w:val="009C7C96"/>
    <w:rsid w:val="009C7E1D"/>
    <w:rsid w:val="009C7ED8"/>
    <w:rsid w:val="009C7F8E"/>
    <w:rsid w:val="009D0199"/>
    <w:rsid w:val="009D06FF"/>
    <w:rsid w:val="009D08F7"/>
    <w:rsid w:val="009D0A2F"/>
    <w:rsid w:val="009D1106"/>
    <w:rsid w:val="009D12AA"/>
    <w:rsid w:val="009D12B5"/>
    <w:rsid w:val="009D13D6"/>
    <w:rsid w:val="009D14AF"/>
    <w:rsid w:val="009D14C7"/>
    <w:rsid w:val="009D180B"/>
    <w:rsid w:val="009D1E5D"/>
    <w:rsid w:val="009D259C"/>
    <w:rsid w:val="009D2A2D"/>
    <w:rsid w:val="009D2A55"/>
    <w:rsid w:val="009D2C83"/>
    <w:rsid w:val="009D2CA5"/>
    <w:rsid w:val="009D2E26"/>
    <w:rsid w:val="009D3070"/>
    <w:rsid w:val="009D3348"/>
    <w:rsid w:val="009D3B7A"/>
    <w:rsid w:val="009D3B88"/>
    <w:rsid w:val="009D3E70"/>
    <w:rsid w:val="009D43A7"/>
    <w:rsid w:val="009D4A1E"/>
    <w:rsid w:val="009D4AD5"/>
    <w:rsid w:val="009D4B72"/>
    <w:rsid w:val="009D54CE"/>
    <w:rsid w:val="009D551C"/>
    <w:rsid w:val="009D57E6"/>
    <w:rsid w:val="009D5908"/>
    <w:rsid w:val="009D5D06"/>
    <w:rsid w:val="009D5DD7"/>
    <w:rsid w:val="009D5E09"/>
    <w:rsid w:val="009D5FFA"/>
    <w:rsid w:val="009D6409"/>
    <w:rsid w:val="009D6442"/>
    <w:rsid w:val="009D64D0"/>
    <w:rsid w:val="009D6843"/>
    <w:rsid w:val="009D68D4"/>
    <w:rsid w:val="009D6919"/>
    <w:rsid w:val="009D6F81"/>
    <w:rsid w:val="009D79A9"/>
    <w:rsid w:val="009D7E91"/>
    <w:rsid w:val="009E0108"/>
    <w:rsid w:val="009E056C"/>
    <w:rsid w:val="009E0D26"/>
    <w:rsid w:val="009E0F72"/>
    <w:rsid w:val="009E10BD"/>
    <w:rsid w:val="009E1C82"/>
    <w:rsid w:val="009E1D5C"/>
    <w:rsid w:val="009E1ECA"/>
    <w:rsid w:val="009E201A"/>
    <w:rsid w:val="009E298B"/>
    <w:rsid w:val="009E2D21"/>
    <w:rsid w:val="009E30C3"/>
    <w:rsid w:val="009E32A0"/>
    <w:rsid w:val="009E3354"/>
    <w:rsid w:val="009E3399"/>
    <w:rsid w:val="009E3787"/>
    <w:rsid w:val="009E3E64"/>
    <w:rsid w:val="009E3F13"/>
    <w:rsid w:val="009E43B4"/>
    <w:rsid w:val="009E4855"/>
    <w:rsid w:val="009E4BAC"/>
    <w:rsid w:val="009E51B3"/>
    <w:rsid w:val="009E520F"/>
    <w:rsid w:val="009E5315"/>
    <w:rsid w:val="009E5514"/>
    <w:rsid w:val="009E560E"/>
    <w:rsid w:val="009E5965"/>
    <w:rsid w:val="009E601A"/>
    <w:rsid w:val="009E68F9"/>
    <w:rsid w:val="009E6B14"/>
    <w:rsid w:val="009E7348"/>
    <w:rsid w:val="009E7D10"/>
    <w:rsid w:val="009E7DB8"/>
    <w:rsid w:val="009E7DD3"/>
    <w:rsid w:val="009E7DE3"/>
    <w:rsid w:val="009E7F99"/>
    <w:rsid w:val="009F0296"/>
    <w:rsid w:val="009F02DF"/>
    <w:rsid w:val="009F081F"/>
    <w:rsid w:val="009F0C5F"/>
    <w:rsid w:val="009F0C7C"/>
    <w:rsid w:val="009F18D5"/>
    <w:rsid w:val="009F259F"/>
    <w:rsid w:val="009F27D7"/>
    <w:rsid w:val="009F27F6"/>
    <w:rsid w:val="009F2A68"/>
    <w:rsid w:val="009F2C37"/>
    <w:rsid w:val="009F2F56"/>
    <w:rsid w:val="009F34A6"/>
    <w:rsid w:val="009F377E"/>
    <w:rsid w:val="009F393D"/>
    <w:rsid w:val="009F3A28"/>
    <w:rsid w:val="009F3B84"/>
    <w:rsid w:val="009F3C85"/>
    <w:rsid w:val="009F421B"/>
    <w:rsid w:val="009F4994"/>
    <w:rsid w:val="009F499D"/>
    <w:rsid w:val="009F4C6D"/>
    <w:rsid w:val="009F4D12"/>
    <w:rsid w:val="009F50E7"/>
    <w:rsid w:val="009F59F1"/>
    <w:rsid w:val="009F5BFB"/>
    <w:rsid w:val="009F5F4E"/>
    <w:rsid w:val="009F61CE"/>
    <w:rsid w:val="009F6D39"/>
    <w:rsid w:val="009F6F3A"/>
    <w:rsid w:val="009F7146"/>
    <w:rsid w:val="009F7321"/>
    <w:rsid w:val="009F75EF"/>
    <w:rsid w:val="009F7675"/>
    <w:rsid w:val="009F7934"/>
    <w:rsid w:val="00A0009E"/>
    <w:rsid w:val="00A001D1"/>
    <w:rsid w:val="00A00254"/>
    <w:rsid w:val="00A00829"/>
    <w:rsid w:val="00A00AE7"/>
    <w:rsid w:val="00A00D1B"/>
    <w:rsid w:val="00A00E9A"/>
    <w:rsid w:val="00A00EA1"/>
    <w:rsid w:val="00A013F6"/>
    <w:rsid w:val="00A01CB0"/>
    <w:rsid w:val="00A02264"/>
    <w:rsid w:val="00A0296C"/>
    <w:rsid w:val="00A0350E"/>
    <w:rsid w:val="00A03750"/>
    <w:rsid w:val="00A04324"/>
    <w:rsid w:val="00A051D0"/>
    <w:rsid w:val="00A05527"/>
    <w:rsid w:val="00A0553F"/>
    <w:rsid w:val="00A0587D"/>
    <w:rsid w:val="00A05A37"/>
    <w:rsid w:val="00A069F8"/>
    <w:rsid w:val="00A071E3"/>
    <w:rsid w:val="00A07DEB"/>
    <w:rsid w:val="00A07FE1"/>
    <w:rsid w:val="00A101C3"/>
    <w:rsid w:val="00A101FC"/>
    <w:rsid w:val="00A102F6"/>
    <w:rsid w:val="00A1086A"/>
    <w:rsid w:val="00A10C8C"/>
    <w:rsid w:val="00A11CF0"/>
    <w:rsid w:val="00A12092"/>
    <w:rsid w:val="00A127E1"/>
    <w:rsid w:val="00A12A60"/>
    <w:rsid w:val="00A12B0F"/>
    <w:rsid w:val="00A12DA3"/>
    <w:rsid w:val="00A12DEF"/>
    <w:rsid w:val="00A13A87"/>
    <w:rsid w:val="00A13C98"/>
    <w:rsid w:val="00A13FAF"/>
    <w:rsid w:val="00A14894"/>
    <w:rsid w:val="00A1500E"/>
    <w:rsid w:val="00A1537D"/>
    <w:rsid w:val="00A159EE"/>
    <w:rsid w:val="00A15E0C"/>
    <w:rsid w:val="00A16279"/>
    <w:rsid w:val="00A16581"/>
    <w:rsid w:val="00A16BF5"/>
    <w:rsid w:val="00A17096"/>
    <w:rsid w:val="00A1750D"/>
    <w:rsid w:val="00A1776F"/>
    <w:rsid w:val="00A17C7B"/>
    <w:rsid w:val="00A2017D"/>
    <w:rsid w:val="00A208C7"/>
    <w:rsid w:val="00A2095C"/>
    <w:rsid w:val="00A210D0"/>
    <w:rsid w:val="00A2124C"/>
    <w:rsid w:val="00A22604"/>
    <w:rsid w:val="00A226C0"/>
    <w:rsid w:val="00A22806"/>
    <w:rsid w:val="00A22918"/>
    <w:rsid w:val="00A22A20"/>
    <w:rsid w:val="00A22B8F"/>
    <w:rsid w:val="00A22CDA"/>
    <w:rsid w:val="00A22D6A"/>
    <w:rsid w:val="00A22F8E"/>
    <w:rsid w:val="00A23286"/>
    <w:rsid w:val="00A23368"/>
    <w:rsid w:val="00A23680"/>
    <w:rsid w:val="00A2370D"/>
    <w:rsid w:val="00A2395D"/>
    <w:rsid w:val="00A23BFA"/>
    <w:rsid w:val="00A240D5"/>
    <w:rsid w:val="00A2498E"/>
    <w:rsid w:val="00A24AF6"/>
    <w:rsid w:val="00A24C82"/>
    <w:rsid w:val="00A25650"/>
    <w:rsid w:val="00A258FC"/>
    <w:rsid w:val="00A25EE2"/>
    <w:rsid w:val="00A2627A"/>
    <w:rsid w:val="00A26718"/>
    <w:rsid w:val="00A26751"/>
    <w:rsid w:val="00A26911"/>
    <w:rsid w:val="00A26C8F"/>
    <w:rsid w:val="00A26FFC"/>
    <w:rsid w:val="00A27078"/>
    <w:rsid w:val="00A27E57"/>
    <w:rsid w:val="00A30526"/>
    <w:rsid w:val="00A3055A"/>
    <w:rsid w:val="00A30661"/>
    <w:rsid w:val="00A30717"/>
    <w:rsid w:val="00A30880"/>
    <w:rsid w:val="00A30917"/>
    <w:rsid w:val="00A30AFC"/>
    <w:rsid w:val="00A30BD4"/>
    <w:rsid w:val="00A31487"/>
    <w:rsid w:val="00A31AAF"/>
    <w:rsid w:val="00A31D67"/>
    <w:rsid w:val="00A31F23"/>
    <w:rsid w:val="00A3217D"/>
    <w:rsid w:val="00A322B1"/>
    <w:rsid w:val="00A3236E"/>
    <w:rsid w:val="00A3258E"/>
    <w:rsid w:val="00A3321B"/>
    <w:rsid w:val="00A3439D"/>
    <w:rsid w:val="00A34604"/>
    <w:rsid w:val="00A349B8"/>
    <w:rsid w:val="00A34CF5"/>
    <w:rsid w:val="00A35878"/>
    <w:rsid w:val="00A35951"/>
    <w:rsid w:val="00A35B30"/>
    <w:rsid w:val="00A35D8B"/>
    <w:rsid w:val="00A35FB0"/>
    <w:rsid w:val="00A36157"/>
    <w:rsid w:val="00A3628B"/>
    <w:rsid w:val="00A364DD"/>
    <w:rsid w:val="00A366F8"/>
    <w:rsid w:val="00A36946"/>
    <w:rsid w:val="00A3699D"/>
    <w:rsid w:val="00A37535"/>
    <w:rsid w:val="00A37D62"/>
    <w:rsid w:val="00A4012B"/>
    <w:rsid w:val="00A40178"/>
    <w:rsid w:val="00A403DD"/>
    <w:rsid w:val="00A40694"/>
    <w:rsid w:val="00A40A75"/>
    <w:rsid w:val="00A40B73"/>
    <w:rsid w:val="00A40DD5"/>
    <w:rsid w:val="00A4125C"/>
    <w:rsid w:val="00A42472"/>
    <w:rsid w:val="00A42C10"/>
    <w:rsid w:val="00A42C1E"/>
    <w:rsid w:val="00A4316A"/>
    <w:rsid w:val="00A4316F"/>
    <w:rsid w:val="00A4338A"/>
    <w:rsid w:val="00A4341F"/>
    <w:rsid w:val="00A438DB"/>
    <w:rsid w:val="00A439CF"/>
    <w:rsid w:val="00A43E39"/>
    <w:rsid w:val="00A43E7F"/>
    <w:rsid w:val="00A44306"/>
    <w:rsid w:val="00A44893"/>
    <w:rsid w:val="00A44C76"/>
    <w:rsid w:val="00A4528E"/>
    <w:rsid w:val="00A454CD"/>
    <w:rsid w:val="00A459D3"/>
    <w:rsid w:val="00A4629E"/>
    <w:rsid w:val="00A464B0"/>
    <w:rsid w:val="00A46A9B"/>
    <w:rsid w:val="00A4733A"/>
    <w:rsid w:val="00A50095"/>
    <w:rsid w:val="00A50337"/>
    <w:rsid w:val="00A50530"/>
    <w:rsid w:val="00A50C1F"/>
    <w:rsid w:val="00A50CCC"/>
    <w:rsid w:val="00A513F3"/>
    <w:rsid w:val="00A514F6"/>
    <w:rsid w:val="00A51863"/>
    <w:rsid w:val="00A51CF4"/>
    <w:rsid w:val="00A523B5"/>
    <w:rsid w:val="00A524A6"/>
    <w:rsid w:val="00A5274D"/>
    <w:rsid w:val="00A530A4"/>
    <w:rsid w:val="00A53256"/>
    <w:rsid w:val="00A536DD"/>
    <w:rsid w:val="00A53B56"/>
    <w:rsid w:val="00A53ED2"/>
    <w:rsid w:val="00A54135"/>
    <w:rsid w:val="00A54153"/>
    <w:rsid w:val="00A541AA"/>
    <w:rsid w:val="00A54623"/>
    <w:rsid w:val="00A5487A"/>
    <w:rsid w:val="00A54C1F"/>
    <w:rsid w:val="00A54E0B"/>
    <w:rsid w:val="00A54EBE"/>
    <w:rsid w:val="00A54FF3"/>
    <w:rsid w:val="00A5521A"/>
    <w:rsid w:val="00A5564E"/>
    <w:rsid w:val="00A55A71"/>
    <w:rsid w:val="00A55BFE"/>
    <w:rsid w:val="00A56002"/>
    <w:rsid w:val="00A560E1"/>
    <w:rsid w:val="00A56451"/>
    <w:rsid w:val="00A56489"/>
    <w:rsid w:val="00A56520"/>
    <w:rsid w:val="00A5661B"/>
    <w:rsid w:val="00A56DA4"/>
    <w:rsid w:val="00A56E6F"/>
    <w:rsid w:val="00A5736D"/>
    <w:rsid w:val="00A573EB"/>
    <w:rsid w:val="00A57D59"/>
    <w:rsid w:val="00A6036F"/>
    <w:rsid w:val="00A60549"/>
    <w:rsid w:val="00A60625"/>
    <w:rsid w:val="00A609E3"/>
    <w:rsid w:val="00A60D03"/>
    <w:rsid w:val="00A613C1"/>
    <w:rsid w:val="00A61681"/>
    <w:rsid w:val="00A61BA7"/>
    <w:rsid w:val="00A61BD3"/>
    <w:rsid w:val="00A61F32"/>
    <w:rsid w:val="00A62245"/>
    <w:rsid w:val="00A62506"/>
    <w:rsid w:val="00A62D98"/>
    <w:rsid w:val="00A631C3"/>
    <w:rsid w:val="00A633AA"/>
    <w:rsid w:val="00A634AD"/>
    <w:rsid w:val="00A63556"/>
    <w:rsid w:val="00A63637"/>
    <w:rsid w:val="00A6375C"/>
    <w:rsid w:val="00A63F12"/>
    <w:rsid w:val="00A6440E"/>
    <w:rsid w:val="00A64682"/>
    <w:rsid w:val="00A647E8"/>
    <w:rsid w:val="00A647FC"/>
    <w:rsid w:val="00A64AFD"/>
    <w:rsid w:val="00A64FF2"/>
    <w:rsid w:val="00A65B65"/>
    <w:rsid w:val="00A660AB"/>
    <w:rsid w:val="00A66355"/>
    <w:rsid w:val="00A66511"/>
    <w:rsid w:val="00A665E8"/>
    <w:rsid w:val="00A668FC"/>
    <w:rsid w:val="00A66AB9"/>
    <w:rsid w:val="00A6735A"/>
    <w:rsid w:val="00A6746B"/>
    <w:rsid w:val="00A675DF"/>
    <w:rsid w:val="00A677C8"/>
    <w:rsid w:val="00A67B85"/>
    <w:rsid w:val="00A67D03"/>
    <w:rsid w:val="00A70457"/>
    <w:rsid w:val="00A71A66"/>
    <w:rsid w:val="00A71CEF"/>
    <w:rsid w:val="00A721D3"/>
    <w:rsid w:val="00A72609"/>
    <w:rsid w:val="00A72989"/>
    <w:rsid w:val="00A72E74"/>
    <w:rsid w:val="00A7373D"/>
    <w:rsid w:val="00A73F90"/>
    <w:rsid w:val="00A73FF4"/>
    <w:rsid w:val="00A74678"/>
    <w:rsid w:val="00A7487D"/>
    <w:rsid w:val="00A74F0E"/>
    <w:rsid w:val="00A751ED"/>
    <w:rsid w:val="00A75336"/>
    <w:rsid w:val="00A75533"/>
    <w:rsid w:val="00A75698"/>
    <w:rsid w:val="00A75B05"/>
    <w:rsid w:val="00A75E3D"/>
    <w:rsid w:val="00A7635A"/>
    <w:rsid w:val="00A765C6"/>
    <w:rsid w:val="00A768AB"/>
    <w:rsid w:val="00A76B1D"/>
    <w:rsid w:val="00A76D1B"/>
    <w:rsid w:val="00A775A8"/>
    <w:rsid w:val="00A776BD"/>
    <w:rsid w:val="00A804B4"/>
    <w:rsid w:val="00A80748"/>
    <w:rsid w:val="00A80FF3"/>
    <w:rsid w:val="00A81255"/>
    <w:rsid w:val="00A81430"/>
    <w:rsid w:val="00A81900"/>
    <w:rsid w:val="00A82113"/>
    <w:rsid w:val="00A829B2"/>
    <w:rsid w:val="00A82E42"/>
    <w:rsid w:val="00A82E61"/>
    <w:rsid w:val="00A839A1"/>
    <w:rsid w:val="00A8427F"/>
    <w:rsid w:val="00A84ED5"/>
    <w:rsid w:val="00A8577F"/>
    <w:rsid w:val="00A85841"/>
    <w:rsid w:val="00A85FCE"/>
    <w:rsid w:val="00A868D1"/>
    <w:rsid w:val="00A86A12"/>
    <w:rsid w:val="00A86A8D"/>
    <w:rsid w:val="00A86FDD"/>
    <w:rsid w:val="00A871EC"/>
    <w:rsid w:val="00A8725C"/>
    <w:rsid w:val="00A90070"/>
    <w:rsid w:val="00A90595"/>
    <w:rsid w:val="00A907A5"/>
    <w:rsid w:val="00A909DB"/>
    <w:rsid w:val="00A90B15"/>
    <w:rsid w:val="00A90D75"/>
    <w:rsid w:val="00A90DCC"/>
    <w:rsid w:val="00A91307"/>
    <w:rsid w:val="00A9161B"/>
    <w:rsid w:val="00A916B3"/>
    <w:rsid w:val="00A91B6A"/>
    <w:rsid w:val="00A920B7"/>
    <w:rsid w:val="00A928F6"/>
    <w:rsid w:val="00A92DA6"/>
    <w:rsid w:val="00A9312B"/>
    <w:rsid w:val="00A93199"/>
    <w:rsid w:val="00A93D15"/>
    <w:rsid w:val="00A9463E"/>
    <w:rsid w:val="00A94DFF"/>
    <w:rsid w:val="00A94E83"/>
    <w:rsid w:val="00A951CF"/>
    <w:rsid w:val="00A9522B"/>
    <w:rsid w:val="00A95235"/>
    <w:rsid w:val="00A95262"/>
    <w:rsid w:val="00A957F8"/>
    <w:rsid w:val="00A959B8"/>
    <w:rsid w:val="00A959BA"/>
    <w:rsid w:val="00A95C6C"/>
    <w:rsid w:val="00A95CDB"/>
    <w:rsid w:val="00A95FB7"/>
    <w:rsid w:val="00A96308"/>
    <w:rsid w:val="00A96706"/>
    <w:rsid w:val="00A96E63"/>
    <w:rsid w:val="00A96E84"/>
    <w:rsid w:val="00A976F0"/>
    <w:rsid w:val="00A9770A"/>
    <w:rsid w:val="00A97890"/>
    <w:rsid w:val="00A97D11"/>
    <w:rsid w:val="00A97FD9"/>
    <w:rsid w:val="00AA032A"/>
    <w:rsid w:val="00AA0853"/>
    <w:rsid w:val="00AA16A3"/>
    <w:rsid w:val="00AA1C57"/>
    <w:rsid w:val="00AA2077"/>
    <w:rsid w:val="00AA21ED"/>
    <w:rsid w:val="00AA223E"/>
    <w:rsid w:val="00AA2926"/>
    <w:rsid w:val="00AA2B6A"/>
    <w:rsid w:val="00AA3141"/>
    <w:rsid w:val="00AA3A48"/>
    <w:rsid w:val="00AA3B4C"/>
    <w:rsid w:val="00AA3BFB"/>
    <w:rsid w:val="00AA3D25"/>
    <w:rsid w:val="00AA41F6"/>
    <w:rsid w:val="00AA451D"/>
    <w:rsid w:val="00AA4816"/>
    <w:rsid w:val="00AA4A0A"/>
    <w:rsid w:val="00AA4D2C"/>
    <w:rsid w:val="00AA512A"/>
    <w:rsid w:val="00AA57C9"/>
    <w:rsid w:val="00AA59F4"/>
    <w:rsid w:val="00AA5B07"/>
    <w:rsid w:val="00AA5EB3"/>
    <w:rsid w:val="00AA5F57"/>
    <w:rsid w:val="00AA61F0"/>
    <w:rsid w:val="00AA687C"/>
    <w:rsid w:val="00AA6CB4"/>
    <w:rsid w:val="00AA6EF5"/>
    <w:rsid w:val="00AA7214"/>
    <w:rsid w:val="00AA72E1"/>
    <w:rsid w:val="00AA73C1"/>
    <w:rsid w:val="00AA76E1"/>
    <w:rsid w:val="00AA77BF"/>
    <w:rsid w:val="00AB0523"/>
    <w:rsid w:val="00AB052F"/>
    <w:rsid w:val="00AB05AB"/>
    <w:rsid w:val="00AB094A"/>
    <w:rsid w:val="00AB09AF"/>
    <w:rsid w:val="00AB0C34"/>
    <w:rsid w:val="00AB0E04"/>
    <w:rsid w:val="00AB0EF5"/>
    <w:rsid w:val="00AB138D"/>
    <w:rsid w:val="00AB15D3"/>
    <w:rsid w:val="00AB17A7"/>
    <w:rsid w:val="00AB1B00"/>
    <w:rsid w:val="00AB1E5B"/>
    <w:rsid w:val="00AB20ED"/>
    <w:rsid w:val="00AB2134"/>
    <w:rsid w:val="00AB2397"/>
    <w:rsid w:val="00AB256E"/>
    <w:rsid w:val="00AB2CC9"/>
    <w:rsid w:val="00AB2DF5"/>
    <w:rsid w:val="00AB2EFE"/>
    <w:rsid w:val="00AB30AF"/>
    <w:rsid w:val="00AB35D5"/>
    <w:rsid w:val="00AB3785"/>
    <w:rsid w:val="00AB3C87"/>
    <w:rsid w:val="00AB3D7A"/>
    <w:rsid w:val="00AB41DF"/>
    <w:rsid w:val="00AB44FD"/>
    <w:rsid w:val="00AB46FD"/>
    <w:rsid w:val="00AB48A2"/>
    <w:rsid w:val="00AB48B1"/>
    <w:rsid w:val="00AB48D0"/>
    <w:rsid w:val="00AB4B63"/>
    <w:rsid w:val="00AB4C3B"/>
    <w:rsid w:val="00AB4E19"/>
    <w:rsid w:val="00AB5CA9"/>
    <w:rsid w:val="00AB5D34"/>
    <w:rsid w:val="00AB5E27"/>
    <w:rsid w:val="00AB6526"/>
    <w:rsid w:val="00AB6536"/>
    <w:rsid w:val="00AB65D6"/>
    <w:rsid w:val="00AB67E1"/>
    <w:rsid w:val="00AB6BA2"/>
    <w:rsid w:val="00AB6BCE"/>
    <w:rsid w:val="00AB6C19"/>
    <w:rsid w:val="00AB6E5C"/>
    <w:rsid w:val="00AB70F6"/>
    <w:rsid w:val="00AB7792"/>
    <w:rsid w:val="00AB78E7"/>
    <w:rsid w:val="00AC0452"/>
    <w:rsid w:val="00AC0528"/>
    <w:rsid w:val="00AC0537"/>
    <w:rsid w:val="00AC0B08"/>
    <w:rsid w:val="00AC163F"/>
    <w:rsid w:val="00AC1852"/>
    <w:rsid w:val="00AC205E"/>
    <w:rsid w:val="00AC2104"/>
    <w:rsid w:val="00AC2458"/>
    <w:rsid w:val="00AC246F"/>
    <w:rsid w:val="00AC2591"/>
    <w:rsid w:val="00AC25A4"/>
    <w:rsid w:val="00AC26C2"/>
    <w:rsid w:val="00AC28B0"/>
    <w:rsid w:val="00AC28F0"/>
    <w:rsid w:val="00AC2B49"/>
    <w:rsid w:val="00AC322E"/>
    <w:rsid w:val="00AC3A56"/>
    <w:rsid w:val="00AC3C07"/>
    <w:rsid w:val="00AC3D85"/>
    <w:rsid w:val="00AC4070"/>
    <w:rsid w:val="00AC49FF"/>
    <w:rsid w:val="00AC4A1E"/>
    <w:rsid w:val="00AC4A54"/>
    <w:rsid w:val="00AC4B19"/>
    <w:rsid w:val="00AC4E36"/>
    <w:rsid w:val="00AC4ED9"/>
    <w:rsid w:val="00AC4EDE"/>
    <w:rsid w:val="00AC4F47"/>
    <w:rsid w:val="00AC5EBD"/>
    <w:rsid w:val="00AC6225"/>
    <w:rsid w:val="00AC6258"/>
    <w:rsid w:val="00AC6C2B"/>
    <w:rsid w:val="00AC6CB8"/>
    <w:rsid w:val="00AC73AC"/>
    <w:rsid w:val="00AC74DC"/>
    <w:rsid w:val="00AD0516"/>
    <w:rsid w:val="00AD0584"/>
    <w:rsid w:val="00AD061E"/>
    <w:rsid w:val="00AD0A9E"/>
    <w:rsid w:val="00AD14B8"/>
    <w:rsid w:val="00AD1B48"/>
    <w:rsid w:val="00AD1D98"/>
    <w:rsid w:val="00AD20AF"/>
    <w:rsid w:val="00AD21DE"/>
    <w:rsid w:val="00AD21E6"/>
    <w:rsid w:val="00AD2B7D"/>
    <w:rsid w:val="00AD2BEC"/>
    <w:rsid w:val="00AD2CC9"/>
    <w:rsid w:val="00AD2F11"/>
    <w:rsid w:val="00AD308B"/>
    <w:rsid w:val="00AD3249"/>
    <w:rsid w:val="00AD32F5"/>
    <w:rsid w:val="00AD409B"/>
    <w:rsid w:val="00AD42F4"/>
    <w:rsid w:val="00AD4937"/>
    <w:rsid w:val="00AD4DC7"/>
    <w:rsid w:val="00AD4EDA"/>
    <w:rsid w:val="00AD526E"/>
    <w:rsid w:val="00AD54C5"/>
    <w:rsid w:val="00AD584C"/>
    <w:rsid w:val="00AD5A5C"/>
    <w:rsid w:val="00AD6767"/>
    <w:rsid w:val="00AD686D"/>
    <w:rsid w:val="00AD6BDD"/>
    <w:rsid w:val="00AD6D6A"/>
    <w:rsid w:val="00AD6F20"/>
    <w:rsid w:val="00AD7273"/>
    <w:rsid w:val="00AD72B2"/>
    <w:rsid w:val="00AD7491"/>
    <w:rsid w:val="00AD7606"/>
    <w:rsid w:val="00AD76FA"/>
    <w:rsid w:val="00AD77F9"/>
    <w:rsid w:val="00AD782A"/>
    <w:rsid w:val="00AD7864"/>
    <w:rsid w:val="00AD7A1D"/>
    <w:rsid w:val="00AE00D5"/>
    <w:rsid w:val="00AE0A4E"/>
    <w:rsid w:val="00AE0BCB"/>
    <w:rsid w:val="00AE0CEB"/>
    <w:rsid w:val="00AE0EA4"/>
    <w:rsid w:val="00AE110A"/>
    <w:rsid w:val="00AE17C2"/>
    <w:rsid w:val="00AE1BC8"/>
    <w:rsid w:val="00AE1D1B"/>
    <w:rsid w:val="00AE2B6A"/>
    <w:rsid w:val="00AE2E98"/>
    <w:rsid w:val="00AE30E6"/>
    <w:rsid w:val="00AE31EF"/>
    <w:rsid w:val="00AE3202"/>
    <w:rsid w:val="00AE3770"/>
    <w:rsid w:val="00AE39C2"/>
    <w:rsid w:val="00AE3CA1"/>
    <w:rsid w:val="00AE41D3"/>
    <w:rsid w:val="00AE4AAA"/>
    <w:rsid w:val="00AE4C4A"/>
    <w:rsid w:val="00AE4C64"/>
    <w:rsid w:val="00AE533A"/>
    <w:rsid w:val="00AE5FFD"/>
    <w:rsid w:val="00AE6854"/>
    <w:rsid w:val="00AE707A"/>
    <w:rsid w:val="00AE71BB"/>
    <w:rsid w:val="00AE7277"/>
    <w:rsid w:val="00AE7DEF"/>
    <w:rsid w:val="00AE7EE7"/>
    <w:rsid w:val="00AF0340"/>
    <w:rsid w:val="00AF048A"/>
    <w:rsid w:val="00AF0808"/>
    <w:rsid w:val="00AF122B"/>
    <w:rsid w:val="00AF1343"/>
    <w:rsid w:val="00AF1447"/>
    <w:rsid w:val="00AF148E"/>
    <w:rsid w:val="00AF157A"/>
    <w:rsid w:val="00AF16AE"/>
    <w:rsid w:val="00AF1726"/>
    <w:rsid w:val="00AF1764"/>
    <w:rsid w:val="00AF1BDC"/>
    <w:rsid w:val="00AF1DF6"/>
    <w:rsid w:val="00AF1EE5"/>
    <w:rsid w:val="00AF2604"/>
    <w:rsid w:val="00AF2B85"/>
    <w:rsid w:val="00AF2FA2"/>
    <w:rsid w:val="00AF34CF"/>
    <w:rsid w:val="00AF37D6"/>
    <w:rsid w:val="00AF3883"/>
    <w:rsid w:val="00AF389D"/>
    <w:rsid w:val="00AF390B"/>
    <w:rsid w:val="00AF3997"/>
    <w:rsid w:val="00AF3D06"/>
    <w:rsid w:val="00AF44FC"/>
    <w:rsid w:val="00AF4B29"/>
    <w:rsid w:val="00AF527C"/>
    <w:rsid w:val="00AF5CE7"/>
    <w:rsid w:val="00AF5E38"/>
    <w:rsid w:val="00AF5E5A"/>
    <w:rsid w:val="00AF6330"/>
    <w:rsid w:val="00AF6451"/>
    <w:rsid w:val="00AF6792"/>
    <w:rsid w:val="00AF6C0E"/>
    <w:rsid w:val="00AF6F67"/>
    <w:rsid w:val="00AF6FAD"/>
    <w:rsid w:val="00AF7324"/>
    <w:rsid w:val="00AF74A3"/>
    <w:rsid w:val="00AF7652"/>
    <w:rsid w:val="00AF77FB"/>
    <w:rsid w:val="00AF7978"/>
    <w:rsid w:val="00B0008E"/>
    <w:rsid w:val="00B00394"/>
    <w:rsid w:val="00B005B5"/>
    <w:rsid w:val="00B0086C"/>
    <w:rsid w:val="00B00FC4"/>
    <w:rsid w:val="00B0156C"/>
    <w:rsid w:val="00B01BA0"/>
    <w:rsid w:val="00B01DCF"/>
    <w:rsid w:val="00B0229E"/>
    <w:rsid w:val="00B0265F"/>
    <w:rsid w:val="00B02F74"/>
    <w:rsid w:val="00B038D4"/>
    <w:rsid w:val="00B03A5F"/>
    <w:rsid w:val="00B03BEC"/>
    <w:rsid w:val="00B046A7"/>
    <w:rsid w:val="00B0485B"/>
    <w:rsid w:val="00B04AD7"/>
    <w:rsid w:val="00B04ED8"/>
    <w:rsid w:val="00B0510E"/>
    <w:rsid w:val="00B05118"/>
    <w:rsid w:val="00B05179"/>
    <w:rsid w:val="00B0535C"/>
    <w:rsid w:val="00B05595"/>
    <w:rsid w:val="00B05640"/>
    <w:rsid w:val="00B05B62"/>
    <w:rsid w:val="00B05B7F"/>
    <w:rsid w:val="00B05FD9"/>
    <w:rsid w:val="00B06083"/>
    <w:rsid w:val="00B06605"/>
    <w:rsid w:val="00B069FC"/>
    <w:rsid w:val="00B06D0B"/>
    <w:rsid w:val="00B0723B"/>
    <w:rsid w:val="00B072EF"/>
    <w:rsid w:val="00B076C7"/>
    <w:rsid w:val="00B07826"/>
    <w:rsid w:val="00B10400"/>
    <w:rsid w:val="00B106C5"/>
    <w:rsid w:val="00B10CEF"/>
    <w:rsid w:val="00B11028"/>
    <w:rsid w:val="00B1146C"/>
    <w:rsid w:val="00B11535"/>
    <w:rsid w:val="00B115E0"/>
    <w:rsid w:val="00B11F5B"/>
    <w:rsid w:val="00B1283D"/>
    <w:rsid w:val="00B129D9"/>
    <w:rsid w:val="00B130C8"/>
    <w:rsid w:val="00B133B0"/>
    <w:rsid w:val="00B13603"/>
    <w:rsid w:val="00B138D1"/>
    <w:rsid w:val="00B1396E"/>
    <w:rsid w:val="00B13DB0"/>
    <w:rsid w:val="00B13E82"/>
    <w:rsid w:val="00B140B0"/>
    <w:rsid w:val="00B1440C"/>
    <w:rsid w:val="00B1472D"/>
    <w:rsid w:val="00B14BC9"/>
    <w:rsid w:val="00B14DE5"/>
    <w:rsid w:val="00B14E5B"/>
    <w:rsid w:val="00B151D5"/>
    <w:rsid w:val="00B153AB"/>
    <w:rsid w:val="00B158DC"/>
    <w:rsid w:val="00B15B17"/>
    <w:rsid w:val="00B15D53"/>
    <w:rsid w:val="00B15DDE"/>
    <w:rsid w:val="00B16B82"/>
    <w:rsid w:val="00B16BD6"/>
    <w:rsid w:val="00B16F6B"/>
    <w:rsid w:val="00B16FA6"/>
    <w:rsid w:val="00B172AD"/>
    <w:rsid w:val="00B17769"/>
    <w:rsid w:val="00B17851"/>
    <w:rsid w:val="00B17F04"/>
    <w:rsid w:val="00B201D9"/>
    <w:rsid w:val="00B20E45"/>
    <w:rsid w:val="00B20FDF"/>
    <w:rsid w:val="00B212E4"/>
    <w:rsid w:val="00B215E4"/>
    <w:rsid w:val="00B2160E"/>
    <w:rsid w:val="00B220B0"/>
    <w:rsid w:val="00B22168"/>
    <w:rsid w:val="00B221A8"/>
    <w:rsid w:val="00B226C4"/>
    <w:rsid w:val="00B22972"/>
    <w:rsid w:val="00B22A3F"/>
    <w:rsid w:val="00B2356C"/>
    <w:rsid w:val="00B2365C"/>
    <w:rsid w:val="00B23C81"/>
    <w:rsid w:val="00B23D76"/>
    <w:rsid w:val="00B23E25"/>
    <w:rsid w:val="00B2444E"/>
    <w:rsid w:val="00B244A6"/>
    <w:rsid w:val="00B2477E"/>
    <w:rsid w:val="00B24C5B"/>
    <w:rsid w:val="00B24D42"/>
    <w:rsid w:val="00B25256"/>
    <w:rsid w:val="00B254E5"/>
    <w:rsid w:val="00B2593F"/>
    <w:rsid w:val="00B25BA5"/>
    <w:rsid w:val="00B25BC1"/>
    <w:rsid w:val="00B25D0A"/>
    <w:rsid w:val="00B25FE9"/>
    <w:rsid w:val="00B25FF8"/>
    <w:rsid w:val="00B26011"/>
    <w:rsid w:val="00B2625C"/>
    <w:rsid w:val="00B26622"/>
    <w:rsid w:val="00B26CE9"/>
    <w:rsid w:val="00B276C7"/>
    <w:rsid w:val="00B27A77"/>
    <w:rsid w:val="00B27A88"/>
    <w:rsid w:val="00B30AE6"/>
    <w:rsid w:val="00B30BF9"/>
    <w:rsid w:val="00B318B3"/>
    <w:rsid w:val="00B31AD6"/>
    <w:rsid w:val="00B323BE"/>
    <w:rsid w:val="00B326FD"/>
    <w:rsid w:val="00B32700"/>
    <w:rsid w:val="00B3276D"/>
    <w:rsid w:val="00B32E65"/>
    <w:rsid w:val="00B33D4F"/>
    <w:rsid w:val="00B3413C"/>
    <w:rsid w:val="00B34B2B"/>
    <w:rsid w:val="00B358B8"/>
    <w:rsid w:val="00B3606E"/>
    <w:rsid w:val="00B36C7E"/>
    <w:rsid w:val="00B36DDE"/>
    <w:rsid w:val="00B37127"/>
    <w:rsid w:val="00B37F2A"/>
    <w:rsid w:val="00B37FD5"/>
    <w:rsid w:val="00B40275"/>
    <w:rsid w:val="00B4047E"/>
    <w:rsid w:val="00B40785"/>
    <w:rsid w:val="00B40B35"/>
    <w:rsid w:val="00B4119E"/>
    <w:rsid w:val="00B416AD"/>
    <w:rsid w:val="00B41DB4"/>
    <w:rsid w:val="00B41EBC"/>
    <w:rsid w:val="00B41ED3"/>
    <w:rsid w:val="00B42268"/>
    <w:rsid w:val="00B43169"/>
    <w:rsid w:val="00B433CC"/>
    <w:rsid w:val="00B434D4"/>
    <w:rsid w:val="00B43772"/>
    <w:rsid w:val="00B43C0C"/>
    <w:rsid w:val="00B44131"/>
    <w:rsid w:val="00B443BB"/>
    <w:rsid w:val="00B44927"/>
    <w:rsid w:val="00B44C9C"/>
    <w:rsid w:val="00B45055"/>
    <w:rsid w:val="00B4589E"/>
    <w:rsid w:val="00B462B5"/>
    <w:rsid w:val="00B463A7"/>
    <w:rsid w:val="00B46409"/>
    <w:rsid w:val="00B465B2"/>
    <w:rsid w:val="00B46A2D"/>
    <w:rsid w:val="00B46BB1"/>
    <w:rsid w:val="00B46F22"/>
    <w:rsid w:val="00B46F23"/>
    <w:rsid w:val="00B4742B"/>
    <w:rsid w:val="00B478D7"/>
    <w:rsid w:val="00B47B3F"/>
    <w:rsid w:val="00B501E3"/>
    <w:rsid w:val="00B50802"/>
    <w:rsid w:val="00B5093C"/>
    <w:rsid w:val="00B50B9B"/>
    <w:rsid w:val="00B50C73"/>
    <w:rsid w:val="00B51ED8"/>
    <w:rsid w:val="00B5201F"/>
    <w:rsid w:val="00B5266A"/>
    <w:rsid w:val="00B52FFD"/>
    <w:rsid w:val="00B53052"/>
    <w:rsid w:val="00B5405B"/>
    <w:rsid w:val="00B5407A"/>
    <w:rsid w:val="00B544E1"/>
    <w:rsid w:val="00B54A9F"/>
    <w:rsid w:val="00B54C6D"/>
    <w:rsid w:val="00B54E63"/>
    <w:rsid w:val="00B54FE2"/>
    <w:rsid w:val="00B5556F"/>
    <w:rsid w:val="00B55B20"/>
    <w:rsid w:val="00B56011"/>
    <w:rsid w:val="00B560D8"/>
    <w:rsid w:val="00B56346"/>
    <w:rsid w:val="00B56359"/>
    <w:rsid w:val="00B568BE"/>
    <w:rsid w:val="00B56997"/>
    <w:rsid w:val="00B57D8C"/>
    <w:rsid w:val="00B6020B"/>
    <w:rsid w:val="00B6024A"/>
    <w:rsid w:val="00B60504"/>
    <w:rsid w:val="00B608A5"/>
    <w:rsid w:val="00B6096E"/>
    <w:rsid w:val="00B609EF"/>
    <w:rsid w:val="00B60A4D"/>
    <w:rsid w:val="00B60CEE"/>
    <w:rsid w:val="00B60F13"/>
    <w:rsid w:val="00B61052"/>
    <w:rsid w:val="00B618F8"/>
    <w:rsid w:val="00B61A3A"/>
    <w:rsid w:val="00B61D81"/>
    <w:rsid w:val="00B622C8"/>
    <w:rsid w:val="00B62E9A"/>
    <w:rsid w:val="00B62FD8"/>
    <w:rsid w:val="00B6318F"/>
    <w:rsid w:val="00B63370"/>
    <w:rsid w:val="00B63490"/>
    <w:rsid w:val="00B63502"/>
    <w:rsid w:val="00B640A4"/>
    <w:rsid w:val="00B64248"/>
    <w:rsid w:val="00B64381"/>
    <w:rsid w:val="00B646E2"/>
    <w:rsid w:val="00B6472B"/>
    <w:rsid w:val="00B647D0"/>
    <w:rsid w:val="00B647E1"/>
    <w:rsid w:val="00B6480B"/>
    <w:rsid w:val="00B6493F"/>
    <w:rsid w:val="00B649BE"/>
    <w:rsid w:val="00B64B40"/>
    <w:rsid w:val="00B64BFA"/>
    <w:rsid w:val="00B64FC4"/>
    <w:rsid w:val="00B650D8"/>
    <w:rsid w:val="00B653CA"/>
    <w:rsid w:val="00B655C3"/>
    <w:rsid w:val="00B65BFD"/>
    <w:rsid w:val="00B65E6D"/>
    <w:rsid w:val="00B65FEE"/>
    <w:rsid w:val="00B6674C"/>
    <w:rsid w:val="00B66914"/>
    <w:rsid w:val="00B66F24"/>
    <w:rsid w:val="00B66FD5"/>
    <w:rsid w:val="00B670C9"/>
    <w:rsid w:val="00B6735B"/>
    <w:rsid w:val="00B67463"/>
    <w:rsid w:val="00B677C4"/>
    <w:rsid w:val="00B678CF"/>
    <w:rsid w:val="00B67BC0"/>
    <w:rsid w:val="00B67CF9"/>
    <w:rsid w:val="00B67F90"/>
    <w:rsid w:val="00B67FAD"/>
    <w:rsid w:val="00B701FC"/>
    <w:rsid w:val="00B70260"/>
    <w:rsid w:val="00B702A0"/>
    <w:rsid w:val="00B702EB"/>
    <w:rsid w:val="00B7070B"/>
    <w:rsid w:val="00B70C2B"/>
    <w:rsid w:val="00B70EE6"/>
    <w:rsid w:val="00B71462"/>
    <w:rsid w:val="00B71465"/>
    <w:rsid w:val="00B715EA"/>
    <w:rsid w:val="00B7226C"/>
    <w:rsid w:val="00B72438"/>
    <w:rsid w:val="00B7249A"/>
    <w:rsid w:val="00B72633"/>
    <w:rsid w:val="00B72A90"/>
    <w:rsid w:val="00B72C1B"/>
    <w:rsid w:val="00B7357D"/>
    <w:rsid w:val="00B7372A"/>
    <w:rsid w:val="00B73A28"/>
    <w:rsid w:val="00B73F62"/>
    <w:rsid w:val="00B744BA"/>
    <w:rsid w:val="00B7473C"/>
    <w:rsid w:val="00B74787"/>
    <w:rsid w:val="00B747F3"/>
    <w:rsid w:val="00B74814"/>
    <w:rsid w:val="00B74E8D"/>
    <w:rsid w:val="00B7505C"/>
    <w:rsid w:val="00B755C7"/>
    <w:rsid w:val="00B75639"/>
    <w:rsid w:val="00B75E4A"/>
    <w:rsid w:val="00B75EA5"/>
    <w:rsid w:val="00B75F7D"/>
    <w:rsid w:val="00B763CE"/>
    <w:rsid w:val="00B7645E"/>
    <w:rsid w:val="00B7645F"/>
    <w:rsid w:val="00B766F9"/>
    <w:rsid w:val="00B76C9B"/>
    <w:rsid w:val="00B7744F"/>
    <w:rsid w:val="00B7796C"/>
    <w:rsid w:val="00B80308"/>
    <w:rsid w:val="00B80ADA"/>
    <w:rsid w:val="00B8104A"/>
    <w:rsid w:val="00B81081"/>
    <w:rsid w:val="00B810B1"/>
    <w:rsid w:val="00B81141"/>
    <w:rsid w:val="00B8125F"/>
    <w:rsid w:val="00B81E96"/>
    <w:rsid w:val="00B821F7"/>
    <w:rsid w:val="00B82323"/>
    <w:rsid w:val="00B82500"/>
    <w:rsid w:val="00B82552"/>
    <w:rsid w:val="00B82C39"/>
    <w:rsid w:val="00B82E91"/>
    <w:rsid w:val="00B83283"/>
    <w:rsid w:val="00B832CA"/>
    <w:rsid w:val="00B83EF5"/>
    <w:rsid w:val="00B844BB"/>
    <w:rsid w:val="00B849FA"/>
    <w:rsid w:val="00B84EFA"/>
    <w:rsid w:val="00B84FBE"/>
    <w:rsid w:val="00B8560E"/>
    <w:rsid w:val="00B856C6"/>
    <w:rsid w:val="00B858FC"/>
    <w:rsid w:val="00B867BC"/>
    <w:rsid w:val="00B868AF"/>
    <w:rsid w:val="00B86D48"/>
    <w:rsid w:val="00B86EAB"/>
    <w:rsid w:val="00B86F28"/>
    <w:rsid w:val="00B875DB"/>
    <w:rsid w:val="00B877CC"/>
    <w:rsid w:val="00B879BC"/>
    <w:rsid w:val="00B9044A"/>
    <w:rsid w:val="00B908F3"/>
    <w:rsid w:val="00B90ED9"/>
    <w:rsid w:val="00B90F84"/>
    <w:rsid w:val="00B91314"/>
    <w:rsid w:val="00B91531"/>
    <w:rsid w:val="00B91799"/>
    <w:rsid w:val="00B91E3E"/>
    <w:rsid w:val="00B9351E"/>
    <w:rsid w:val="00B937C8"/>
    <w:rsid w:val="00B939BC"/>
    <w:rsid w:val="00B93A94"/>
    <w:rsid w:val="00B93D36"/>
    <w:rsid w:val="00B93EDE"/>
    <w:rsid w:val="00B94362"/>
    <w:rsid w:val="00B94939"/>
    <w:rsid w:val="00B94B93"/>
    <w:rsid w:val="00B94E8D"/>
    <w:rsid w:val="00B95174"/>
    <w:rsid w:val="00B951C4"/>
    <w:rsid w:val="00B9527E"/>
    <w:rsid w:val="00B95379"/>
    <w:rsid w:val="00B957B6"/>
    <w:rsid w:val="00B96066"/>
    <w:rsid w:val="00B969CC"/>
    <w:rsid w:val="00B97243"/>
    <w:rsid w:val="00B97560"/>
    <w:rsid w:val="00B97934"/>
    <w:rsid w:val="00B97B5B"/>
    <w:rsid w:val="00B97F68"/>
    <w:rsid w:val="00BA01DC"/>
    <w:rsid w:val="00BA0431"/>
    <w:rsid w:val="00BA0496"/>
    <w:rsid w:val="00BA064D"/>
    <w:rsid w:val="00BA08D9"/>
    <w:rsid w:val="00BA19B7"/>
    <w:rsid w:val="00BA2AEC"/>
    <w:rsid w:val="00BA2DB9"/>
    <w:rsid w:val="00BA3274"/>
    <w:rsid w:val="00BA3B9A"/>
    <w:rsid w:val="00BA3BBD"/>
    <w:rsid w:val="00BA3C64"/>
    <w:rsid w:val="00BA3FA8"/>
    <w:rsid w:val="00BA40A0"/>
    <w:rsid w:val="00BA447A"/>
    <w:rsid w:val="00BA45DE"/>
    <w:rsid w:val="00BA50A2"/>
    <w:rsid w:val="00BA5367"/>
    <w:rsid w:val="00BA55F7"/>
    <w:rsid w:val="00BA5784"/>
    <w:rsid w:val="00BA5818"/>
    <w:rsid w:val="00BA5978"/>
    <w:rsid w:val="00BA5BF8"/>
    <w:rsid w:val="00BA5D85"/>
    <w:rsid w:val="00BA5D8E"/>
    <w:rsid w:val="00BA5E74"/>
    <w:rsid w:val="00BA5E76"/>
    <w:rsid w:val="00BA5F03"/>
    <w:rsid w:val="00BA5F2E"/>
    <w:rsid w:val="00BA6045"/>
    <w:rsid w:val="00BA637D"/>
    <w:rsid w:val="00BA6737"/>
    <w:rsid w:val="00BA67B0"/>
    <w:rsid w:val="00BA6969"/>
    <w:rsid w:val="00BA73DC"/>
    <w:rsid w:val="00BA76F5"/>
    <w:rsid w:val="00BB05AF"/>
    <w:rsid w:val="00BB07F6"/>
    <w:rsid w:val="00BB098E"/>
    <w:rsid w:val="00BB1127"/>
    <w:rsid w:val="00BB199C"/>
    <w:rsid w:val="00BB1BAA"/>
    <w:rsid w:val="00BB1C1A"/>
    <w:rsid w:val="00BB1C80"/>
    <w:rsid w:val="00BB1C94"/>
    <w:rsid w:val="00BB1CDC"/>
    <w:rsid w:val="00BB2034"/>
    <w:rsid w:val="00BB28B3"/>
    <w:rsid w:val="00BB2979"/>
    <w:rsid w:val="00BB2A0E"/>
    <w:rsid w:val="00BB2AC5"/>
    <w:rsid w:val="00BB321C"/>
    <w:rsid w:val="00BB3521"/>
    <w:rsid w:val="00BB3554"/>
    <w:rsid w:val="00BB3C96"/>
    <w:rsid w:val="00BB3CE0"/>
    <w:rsid w:val="00BB3CE3"/>
    <w:rsid w:val="00BB3FE8"/>
    <w:rsid w:val="00BB437D"/>
    <w:rsid w:val="00BB4544"/>
    <w:rsid w:val="00BB4906"/>
    <w:rsid w:val="00BB4EBC"/>
    <w:rsid w:val="00BB4ED6"/>
    <w:rsid w:val="00BB5325"/>
    <w:rsid w:val="00BB58B6"/>
    <w:rsid w:val="00BB59B5"/>
    <w:rsid w:val="00BB5A7F"/>
    <w:rsid w:val="00BB5AC6"/>
    <w:rsid w:val="00BB6539"/>
    <w:rsid w:val="00BB6596"/>
    <w:rsid w:val="00BB65FA"/>
    <w:rsid w:val="00BB68D7"/>
    <w:rsid w:val="00BB695D"/>
    <w:rsid w:val="00BB6EFC"/>
    <w:rsid w:val="00BB7067"/>
    <w:rsid w:val="00BB7343"/>
    <w:rsid w:val="00BB7949"/>
    <w:rsid w:val="00BB7975"/>
    <w:rsid w:val="00BB79E5"/>
    <w:rsid w:val="00BB7BCA"/>
    <w:rsid w:val="00BB7C9B"/>
    <w:rsid w:val="00BB7CA7"/>
    <w:rsid w:val="00BB7E4B"/>
    <w:rsid w:val="00BB7ED0"/>
    <w:rsid w:val="00BB7F0A"/>
    <w:rsid w:val="00BB7F90"/>
    <w:rsid w:val="00BC0294"/>
    <w:rsid w:val="00BC0FD2"/>
    <w:rsid w:val="00BC1058"/>
    <w:rsid w:val="00BC14B8"/>
    <w:rsid w:val="00BC1643"/>
    <w:rsid w:val="00BC2128"/>
    <w:rsid w:val="00BC230D"/>
    <w:rsid w:val="00BC2465"/>
    <w:rsid w:val="00BC2743"/>
    <w:rsid w:val="00BC276C"/>
    <w:rsid w:val="00BC29FC"/>
    <w:rsid w:val="00BC2C72"/>
    <w:rsid w:val="00BC3055"/>
    <w:rsid w:val="00BC35F2"/>
    <w:rsid w:val="00BC3E60"/>
    <w:rsid w:val="00BC4649"/>
    <w:rsid w:val="00BC485E"/>
    <w:rsid w:val="00BC5736"/>
    <w:rsid w:val="00BC5C2F"/>
    <w:rsid w:val="00BC6369"/>
    <w:rsid w:val="00BC63E8"/>
    <w:rsid w:val="00BC67CE"/>
    <w:rsid w:val="00BC6823"/>
    <w:rsid w:val="00BC6938"/>
    <w:rsid w:val="00BC6965"/>
    <w:rsid w:val="00BC6DDF"/>
    <w:rsid w:val="00BC719D"/>
    <w:rsid w:val="00BC7575"/>
    <w:rsid w:val="00BC77D6"/>
    <w:rsid w:val="00BC783A"/>
    <w:rsid w:val="00BC7911"/>
    <w:rsid w:val="00BC7A1B"/>
    <w:rsid w:val="00BD00A5"/>
    <w:rsid w:val="00BD083A"/>
    <w:rsid w:val="00BD0CF7"/>
    <w:rsid w:val="00BD1295"/>
    <w:rsid w:val="00BD15DE"/>
    <w:rsid w:val="00BD1994"/>
    <w:rsid w:val="00BD1D92"/>
    <w:rsid w:val="00BD1D9C"/>
    <w:rsid w:val="00BD2295"/>
    <w:rsid w:val="00BD2EA2"/>
    <w:rsid w:val="00BD2F00"/>
    <w:rsid w:val="00BD3034"/>
    <w:rsid w:val="00BD36F7"/>
    <w:rsid w:val="00BD40E0"/>
    <w:rsid w:val="00BD4188"/>
    <w:rsid w:val="00BD42E8"/>
    <w:rsid w:val="00BD44FB"/>
    <w:rsid w:val="00BD4955"/>
    <w:rsid w:val="00BD4A9B"/>
    <w:rsid w:val="00BD4D18"/>
    <w:rsid w:val="00BD5126"/>
    <w:rsid w:val="00BD597D"/>
    <w:rsid w:val="00BD5B9D"/>
    <w:rsid w:val="00BD5C12"/>
    <w:rsid w:val="00BD5FBA"/>
    <w:rsid w:val="00BD63F1"/>
    <w:rsid w:val="00BD66BA"/>
    <w:rsid w:val="00BD6D6B"/>
    <w:rsid w:val="00BD6FAA"/>
    <w:rsid w:val="00BD6FB8"/>
    <w:rsid w:val="00BD7515"/>
    <w:rsid w:val="00BD7C21"/>
    <w:rsid w:val="00BD7CDE"/>
    <w:rsid w:val="00BE073C"/>
    <w:rsid w:val="00BE0884"/>
    <w:rsid w:val="00BE09E0"/>
    <w:rsid w:val="00BE0AED"/>
    <w:rsid w:val="00BE0D83"/>
    <w:rsid w:val="00BE1227"/>
    <w:rsid w:val="00BE167F"/>
    <w:rsid w:val="00BE174A"/>
    <w:rsid w:val="00BE1A05"/>
    <w:rsid w:val="00BE20BB"/>
    <w:rsid w:val="00BE227D"/>
    <w:rsid w:val="00BE2338"/>
    <w:rsid w:val="00BE2351"/>
    <w:rsid w:val="00BE25BA"/>
    <w:rsid w:val="00BE2A5C"/>
    <w:rsid w:val="00BE2FDC"/>
    <w:rsid w:val="00BE31FF"/>
    <w:rsid w:val="00BE383D"/>
    <w:rsid w:val="00BE39B5"/>
    <w:rsid w:val="00BE3AB0"/>
    <w:rsid w:val="00BE3D4E"/>
    <w:rsid w:val="00BE42E9"/>
    <w:rsid w:val="00BE47F7"/>
    <w:rsid w:val="00BE498F"/>
    <w:rsid w:val="00BE4B23"/>
    <w:rsid w:val="00BE4E08"/>
    <w:rsid w:val="00BE510F"/>
    <w:rsid w:val="00BE594E"/>
    <w:rsid w:val="00BE5EDB"/>
    <w:rsid w:val="00BE6145"/>
    <w:rsid w:val="00BE6387"/>
    <w:rsid w:val="00BE6962"/>
    <w:rsid w:val="00BE69E2"/>
    <w:rsid w:val="00BE6A82"/>
    <w:rsid w:val="00BE6AF9"/>
    <w:rsid w:val="00BE6C7F"/>
    <w:rsid w:val="00BE7148"/>
    <w:rsid w:val="00BE74DD"/>
    <w:rsid w:val="00BE76B7"/>
    <w:rsid w:val="00BE7710"/>
    <w:rsid w:val="00BE771C"/>
    <w:rsid w:val="00BE7780"/>
    <w:rsid w:val="00BE78CC"/>
    <w:rsid w:val="00BE7C70"/>
    <w:rsid w:val="00BE7E32"/>
    <w:rsid w:val="00BE7EB0"/>
    <w:rsid w:val="00BF013F"/>
    <w:rsid w:val="00BF02DD"/>
    <w:rsid w:val="00BF0409"/>
    <w:rsid w:val="00BF07A4"/>
    <w:rsid w:val="00BF127D"/>
    <w:rsid w:val="00BF1425"/>
    <w:rsid w:val="00BF16C0"/>
    <w:rsid w:val="00BF1A1C"/>
    <w:rsid w:val="00BF1B65"/>
    <w:rsid w:val="00BF2323"/>
    <w:rsid w:val="00BF2686"/>
    <w:rsid w:val="00BF2871"/>
    <w:rsid w:val="00BF2BF1"/>
    <w:rsid w:val="00BF2C99"/>
    <w:rsid w:val="00BF2E58"/>
    <w:rsid w:val="00BF2F61"/>
    <w:rsid w:val="00BF325A"/>
    <w:rsid w:val="00BF338A"/>
    <w:rsid w:val="00BF4482"/>
    <w:rsid w:val="00BF4685"/>
    <w:rsid w:val="00BF4735"/>
    <w:rsid w:val="00BF4A04"/>
    <w:rsid w:val="00BF4CAC"/>
    <w:rsid w:val="00BF4D9F"/>
    <w:rsid w:val="00BF5A4E"/>
    <w:rsid w:val="00BF61BC"/>
    <w:rsid w:val="00BF66A8"/>
    <w:rsid w:val="00BF69D5"/>
    <w:rsid w:val="00BF69F9"/>
    <w:rsid w:val="00BF6AE4"/>
    <w:rsid w:val="00BF7C35"/>
    <w:rsid w:val="00C000E7"/>
    <w:rsid w:val="00C004A7"/>
    <w:rsid w:val="00C00527"/>
    <w:rsid w:val="00C0054B"/>
    <w:rsid w:val="00C00708"/>
    <w:rsid w:val="00C00830"/>
    <w:rsid w:val="00C0127A"/>
    <w:rsid w:val="00C01459"/>
    <w:rsid w:val="00C014C3"/>
    <w:rsid w:val="00C01A2F"/>
    <w:rsid w:val="00C01CF0"/>
    <w:rsid w:val="00C0213C"/>
    <w:rsid w:val="00C02162"/>
    <w:rsid w:val="00C024E9"/>
    <w:rsid w:val="00C02653"/>
    <w:rsid w:val="00C02BC0"/>
    <w:rsid w:val="00C0336A"/>
    <w:rsid w:val="00C04152"/>
    <w:rsid w:val="00C0449F"/>
    <w:rsid w:val="00C04739"/>
    <w:rsid w:val="00C04BA2"/>
    <w:rsid w:val="00C04DAE"/>
    <w:rsid w:val="00C04DD3"/>
    <w:rsid w:val="00C05B76"/>
    <w:rsid w:val="00C062DF"/>
    <w:rsid w:val="00C0658E"/>
    <w:rsid w:val="00C06D0E"/>
    <w:rsid w:val="00C06EBF"/>
    <w:rsid w:val="00C0704F"/>
    <w:rsid w:val="00C0726E"/>
    <w:rsid w:val="00C079EA"/>
    <w:rsid w:val="00C07E37"/>
    <w:rsid w:val="00C106C8"/>
    <w:rsid w:val="00C1071F"/>
    <w:rsid w:val="00C10780"/>
    <w:rsid w:val="00C10A5F"/>
    <w:rsid w:val="00C10BED"/>
    <w:rsid w:val="00C11611"/>
    <w:rsid w:val="00C11966"/>
    <w:rsid w:val="00C11B37"/>
    <w:rsid w:val="00C11CD0"/>
    <w:rsid w:val="00C11E54"/>
    <w:rsid w:val="00C11E84"/>
    <w:rsid w:val="00C12344"/>
    <w:rsid w:val="00C126B6"/>
    <w:rsid w:val="00C12BBF"/>
    <w:rsid w:val="00C12F59"/>
    <w:rsid w:val="00C13115"/>
    <w:rsid w:val="00C132EA"/>
    <w:rsid w:val="00C13809"/>
    <w:rsid w:val="00C13957"/>
    <w:rsid w:val="00C13C13"/>
    <w:rsid w:val="00C13CB5"/>
    <w:rsid w:val="00C13E97"/>
    <w:rsid w:val="00C13F18"/>
    <w:rsid w:val="00C14110"/>
    <w:rsid w:val="00C14205"/>
    <w:rsid w:val="00C1420E"/>
    <w:rsid w:val="00C146DA"/>
    <w:rsid w:val="00C149CD"/>
    <w:rsid w:val="00C14ABA"/>
    <w:rsid w:val="00C1533F"/>
    <w:rsid w:val="00C15754"/>
    <w:rsid w:val="00C159E3"/>
    <w:rsid w:val="00C15B6C"/>
    <w:rsid w:val="00C15DE5"/>
    <w:rsid w:val="00C16381"/>
    <w:rsid w:val="00C17619"/>
    <w:rsid w:val="00C17712"/>
    <w:rsid w:val="00C1789F"/>
    <w:rsid w:val="00C17AB8"/>
    <w:rsid w:val="00C17D6D"/>
    <w:rsid w:val="00C20293"/>
    <w:rsid w:val="00C20629"/>
    <w:rsid w:val="00C20868"/>
    <w:rsid w:val="00C20A09"/>
    <w:rsid w:val="00C21154"/>
    <w:rsid w:val="00C21187"/>
    <w:rsid w:val="00C2125D"/>
    <w:rsid w:val="00C212FD"/>
    <w:rsid w:val="00C21338"/>
    <w:rsid w:val="00C21347"/>
    <w:rsid w:val="00C21531"/>
    <w:rsid w:val="00C21A48"/>
    <w:rsid w:val="00C21BDE"/>
    <w:rsid w:val="00C225A5"/>
    <w:rsid w:val="00C226A3"/>
    <w:rsid w:val="00C2306A"/>
    <w:rsid w:val="00C23350"/>
    <w:rsid w:val="00C23513"/>
    <w:rsid w:val="00C2375D"/>
    <w:rsid w:val="00C23E5E"/>
    <w:rsid w:val="00C23F9F"/>
    <w:rsid w:val="00C242ED"/>
    <w:rsid w:val="00C24DF9"/>
    <w:rsid w:val="00C24FA6"/>
    <w:rsid w:val="00C250FB"/>
    <w:rsid w:val="00C25981"/>
    <w:rsid w:val="00C25992"/>
    <w:rsid w:val="00C26051"/>
    <w:rsid w:val="00C26944"/>
    <w:rsid w:val="00C269EE"/>
    <w:rsid w:val="00C26E74"/>
    <w:rsid w:val="00C27017"/>
    <w:rsid w:val="00C27523"/>
    <w:rsid w:val="00C276FC"/>
    <w:rsid w:val="00C27B23"/>
    <w:rsid w:val="00C27B3F"/>
    <w:rsid w:val="00C27E0F"/>
    <w:rsid w:val="00C30531"/>
    <w:rsid w:val="00C311FB"/>
    <w:rsid w:val="00C318FC"/>
    <w:rsid w:val="00C31C5C"/>
    <w:rsid w:val="00C32362"/>
    <w:rsid w:val="00C32488"/>
    <w:rsid w:val="00C3277F"/>
    <w:rsid w:val="00C32FA5"/>
    <w:rsid w:val="00C32FB4"/>
    <w:rsid w:val="00C33C4C"/>
    <w:rsid w:val="00C33C91"/>
    <w:rsid w:val="00C348ED"/>
    <w:rsid w:val="00C353AB"/>
    <w:rsid w:val="00C35BF9"/>
    <w:rsid w:val="00C36752"/>
    <w:rsid w:val="00C36985"/>
    <w:rsid w:val="00C36E01"/>
    <w:rsid w:val="00C37088"/>
    <w:rsid w:val="00C37821"/>
    <w:rsid w:val="00C37875"/>
    <w:rsid w:val="00C37CE5"/>
    <w:rsid w:val="00C37E88"/>
    <w:rsid w:val="00C37F16"/>
    <w:rsid w:val="00C37FCF"/>
    <w:rsid w:val="00C40098"/>
    <w:rsid w:val="00C40314"/>
    <w:rsid w:val="00C40433"/>
    <w:rsid w:val="00C40492"/>
    <w:rsid w:val="00C40A67"/>
    <w:rsid w:val="00C40AAD"/>
    <w:rsid w:val="00C40D85"/>
    <w:rsid w:val="00C40DB5"/>
    <w:rsid w:val="00C40E6C"/>
    <w:rsid w:val="00C41331"/>
    <w:rsid w:val="00C41362"/>
    <w:rsid w:val="00C41413"/>
    <w:rsid w:val="00C41629"/>
    <w:rsid w:val="00C417BD"/>
    <w:rsid w:val="00C420A0"/>
    <w:rsid w:val="00C42385"/>
    <w:rsid w:val="00C42A1F"/>
    <w:rsid w:val="00C42A68"/>
    <w:rsid w:val="00C42AC9"/>
    <w:rsid w:val="00C43013"/>
    <w:rsid w:val="00C431D7"/>
    <w:rsid w:val="00C43950"/>
    <w:rsid w:val="00C43AD2"/>
    <w:rsid w:val="00C43C94"/>
    <w:rsid w:val="00C43D56"/>
    <w:rsid w:val="00C43FFA"/>
    <w:rsid w:val="00C4415A"/>
    <w:rsid w:val="00C441E3"/>
    <w:rsid w:val="00C44218"/>
    <w:rsid w:val="00C4443E"/>
    <w:rsid w:val="00C4452F"/>
    <w:rsid w:val="00C449A7"/>
    <w:rsid w:val="00C45273"/>
    <w:rsid w:val="00C456F3"/>
    <w:rsid w:val="00C45ADF"/>
    <w:rsid w:val="00C45BA1"/>
    <w:rsid w:val="00C45BC0"/>
    <w:rsid w:val="00C45BD3"/>
    <w:rsid w:val="00C45C50"/>
    <w:rsid w:val="00C4662A"/>
    <w:rsid w:val="00C4694A"/>
    <w:rsid w:val="00C46B8C"/>
    <w:rsid w:val="00C4706A"/>
    <w:rsid w:val="00C470DD"/>
    <w:rsid w:val="00C471A3"/>
    <w:rsid w:val="00C473F4"/>
    <w:rsid w:val="00C4759E"/>
    <w:rsid w:val="00C47706"/>
    <w:rsid w:val="00C47BCE"/>
    <w:rsid w:val="00C47C22"/>
    <w:rsid w:val="00C47E00"/>
    <w:rsid w:val="00C47F4F"/>
    <w:rsid w:val="00C503FA"/>
    <w:rsid w:val="00C50934"/>
    <w:rsid w:val="00C50E05"/>
    <w:rsid w:val="00C510EA"/>
    <w:rsid w:val="00C5125C"/>
    <w:rsid w:val="00C516DD"/>
    <w:rsid w:val="00C51E15"/>
    <w:rsid w:val="00C51E44"/>
    <w:rsid w:val="00C51FC9"/>
    <w:rsid w:val="00C52158"/>
    <w:rsid w:val="00C5224A"/>
    <w:rsid w:val="00C52264"/>
    <w:rsid w:val="00C528E0"/>
    <w:rsid w:val="00C52922"/>
    <w:rsid w:val="00C52A40"/>
    <w:rsid w:val="00C52E62"/>
    <w:rsid w:val="00C534E8"/>
    <w:rsid w:val="00C53640"/>
    <w:rsid w:val="00C537D1"/>
    <w:rsid w:val="00C5419E"/>
    <w:rsid w:val="00C542D5"/>
    <w:rsid w:val="00C54484"/>
    <w:rsid w:val="00C54CC2"/>
    <w:rsid w:val="00C5509B"/>
    <w:rsid w:val="00C5548F"/>
    <w:rsid w:val="00C55A1D"/>
    <w:rsid w:val="00C564F8"/>
    <w:rsid w:val="00C565A2"/>
    <w:rsid w:val="00C568BB"/>
    <w:rsid w:val="00C56A71"/>
    <w:rsid w:val="00C56C3B"/>
    <w:rsid w:val="00C56D71"/>
    <w:rsid w:val="00C57485"/>
    <w:rsid w:val="00C57D35"/>
    <w:rsid w:val="00C57DAB"/>
    <w:rsid w:val="00C60102"/>
    <w:rsid w:val="00C603EA"/>
    <w:rsid w:val="00C604D3"/>
    <w:rsid w:val="00C6071C"/>
    <w:rsid w:val="00C60967"/>
    <w:rsid w:val="00C60C52"/>
    <w:rsid w:val="00C611AF"/>
    <w:rsid w:val="00C616CE"/>
    <w:rsid w:val="00C618A8"/>
    <w:rsid w:val="00C61CCF"/>
    <w:rsid w:val="00C61DA1"/>
    <w:rsid w:val="00C625AA"/>
    <w:rsid w:val="00C6276E"/>
    <w:rsid w:val="00C627F0"/>
    <w:rsid w:val="00C62915"/>
    <w:rsid w:val="00C62A78"/>
    <w:rsid w:val="00C62AFF"/>
    <w:rsid w:val="00C62C82"/>
    <w:rsid w:val="00C63B05"/>
    <w:rsid w:val="00C642D9"/>
    <w:rsid w:val="00C6433D"/>
    <w:rsid w:val="00C64820"/>
    <w:rsid w:val="00C64B88"/>
    <w:rsid w:val="00C64BC1"/>
    <w:rsid w:val="00C64D16"/>
    <w:rsid w:val="00C64F6B"/>
    <w:rsid w:val="00C65263"/>
    <w:rsid w:val="00C65494"/>
    <w:rsid w:val="00C65871"/>
    <w:rsid w:val="00C65A3E"/>
    <w:rsid w:val="00C65C17"/>
    <w:rsid w:val="00C65C52"/>
    <w:rsid w:val="00C65F50"/>
    <w:rsid w:val="00C66191"/>
    <w:rsid w:val="00C667A5"/>
    <w:rsid w:val="00C66CA5"/>
    <w:rsid w:val="00C66D06"/>
    <w:rsid w:val="00C6747F"/>
    <w:rsid w:val="00C677C4"/>
    <w:rsid w:val="00C67890"/>
    <w:rsid w:val="00C6797E"/>
    <w:rsid w:val="00C67D0B"/>
    <w:rsid w:val="00C7018E"/>
    <w:rsid w:val="00C708D6"/>
    <w:rsid w:val="00C70A3B"/>
    <w:rsid w:val="00C70C48"/>
    <w:rsid w:val="00C70E27"/>
    <w:rsid w:val="00C710DD"/>
    <w:rsid w:val="00C71280"/>
    <w:rsid w:val="00C713D6"/>
    <w:rsid w:val="00C71990"/>
    <w:rsid w:val="00C71B88"/>
    <w:rsid w:val="00C71E3E"/>
    <w:rsid w:val="00C7202E"/>
    <w:rsid w:val="00C72075"/>
    <w:rsid w:val="00C72C21"/>
    <w:rsid w:val="00C72D01"/>
    <w:rsid w:val="00C72DD3"/>
    <w:rsid w:val="00C72F15"/>
    <w:rsid w:val="00C730C8"/>
    <w:rsid w:val="00C7353F"/>
    <w:rsid w:val="00C73675"/>
    <w:rsid w:val="00C73782"/>
    <w:rsid w:val="00C738B8"/>
    <w:rsid w:val="00C73DE9"/>
    <w:rsid w:val="00C74238"/>
    <w:rsid w:val="00C745C5"/>
    <w:rsid w:val="00C74EA9"/>
    <w:rsid w:val="00C74FFB"/>
    <w:rsid w:val="00C750D1"/>
    <w:rsid w:val="00C750DB"/>
    <w:rsid w:val="00C755C4"/>
    <w:rsid w:val="00C75F74"/>
    <w:rsid w:val="00C76016"/>
    <w:rsid w:val="00C76116"/>
    <w:rsid w:val="00C768EB"/>
    <w:rsid w:val="00C7785D"/>
    <w:rsid w:val="00C778F4"/>
    <w:rsid w:val="00C77C12"/>
    <w:rsid w:val="00C77D62"/>
    <w:rsid w:val="00C800AF"/>
    <w:rsid w:val="00C80385"/>
    <w:rsid w:val="00C80B43"/>
    <w:rsid w:val="00C80C3C"/>
    <w:rsid w:val="00C80E2E"/>
    <w:rsid w:val="00C80E55"/>
    <w:rsid w:val="00C80F28"/>
    <w:rsid w:val="00C813C5"/>
    <w:rsid w:val="00C814B1"/>
    <w:rsid w:val="00C818F1"/>
    <w:rsid w:val="00C81A74"/>
    <w:rsid w:val="00C81A91"/>
    <w:rsid w:val="00C81F7E"/>
    <w:rsid w:val="00C8251A"/>
    <w:rsid w:val="00C827BB"/>
    <w:rsid w:val="00C82CFF"/>
    <w:rsid w:val="00C830F4"/>
    <w:rsid w:val="00C8359E"/>
    <w:rsid w:val="00C83671"/>
    <w:rsid w:val="00C839F8"/>
    <w:rsid w:val="00C83CBB"/>
    <w:rsid w:val="00C842B7"/>
    <w:rsid w:val="00C842F4"/>
    <w:rsid w:val="00C8448F"/>
    <w:rsid w:val="00C84743"/>
    <w:rsid w:val="00C8499B"/>
    <w:rsid w:val="00C84DD7"/>
    <w:rsid w:val="00C84EFE"/>
    <w:rsid w:val="00C85114"/>
    <w:rsid w:val="00C851B3"/>
    <w:rsid w:val="00C85463"/>
    <w:rsid w:val="00C85489"/>
    <w:rsid w:val="00C8559A"/>
    <w:rsid w:val="00C85987"/>
    <w:rsid w:val="00C85CB0"/>
    <w:rsid w:val="00C85EDF"/>
    <w:rsid w:val="00C8637D"/>
    <w:rsid w:val="00C866B4"/>
    <w:rsid w:val="00C8689D"/>
    <w:rsid w:val="00C869E0"/>
    <w:rsid w:val="00C869E7"/>
    <w:rsid w:val="00C8735A"/>
    <w:rsid w:val="00C874E9"/>
    <w:rsid w:val="00C87899"/>
    <w:rsid w:val="00C87D68"/>
    <w:rsid w:val="00C87E58"/>
    <w:rsid w:val="00C90281"/>
    <w:rsid w:val="00C902A0"/>
    <w:rsid w:val="00C90456"/>
    <w:rsid w:val="00C905F9"/>
    <w:rsid w:val="00C90677"/>
    <w:rsid w:val="00C908F0"/>
    <w:rsid w:val="00C90936"/>
    <w:rsid w:val="00C90CF8"/>
    <w:rsid w:val="00C91775"/>
    <w:rsid w:val="00C91F79"/>
    <w:rsid w:val="00C928E2"/>
    <w:rsid w:val="00C929B2"/>
    <w:rsid w:val="00C92F0A"/>
    <w:rsid w:val="00C93054"/>
    <w:rsid w:val="00C933DE"/>
    <w:rsid w:val="00C9360C"/>
    <w:rsid w:val="00C9363D"/>
    <w:rsid w:val="00C937E4"/>
    <w:rsid w:val="00C93D5D"/>
    <w:rsid w:val="00C94170"/>
    <w:rsid w:val="00C9419E"/>
    <w:rsid w:val="00C94487"/>
    <w:rsid w:val="00C94AFE"/>
    <w:rsid w:val="00C94C97"/>
    <w:rsid w:val="00C94E51"/>
    <w:rsid w:val="00C9511F"/>
    <w:rsid w:val="00C95340"/>
    <w:rsid w:val="00C95670"/>
    <w:rsid w:val="00C9583D"/>
    <w:rsid w:val="00C9596D"/>
    <w:rsid w:val="00C96148"/>
    <w:rsid w:val="00C96302"/>
    <w:rsid w:val="00C969EA"/>
    <w:rsid w:val="00C96C3A"/>
    <w:rsid w:val="00C96CEC"/>
    <w:rsid w:val="00C972B6"/>
    <w:rsid w:val="00C974C5"/>
    <w:rsid w:val="00C97649"/>
    <w:rsid w:val="00C97AF8"/>
    <w:rsid w:val="00C97EA4"/>
    <w:rsid w:val="00CA0540"/>
    <w:rsid w:val="00CA054D"/>
    <w:rsid w:val="00CA05EC"/>
    <w:rsid w:val="00CA0FB2"/>
    <w:rsid w:val="00CA1792"/>
    <w:rsid w:val="00CA1EDF"/>
    <w:rsid w:val="00CA214E"/>
    <w:rsid w:val="00CA25D7"/>
    <w:rsid w:val="00CA283B"/>
    <w:rsid w:val="00CA2FD0"/>
    <w:rsid w:val="00CA2FE3"/>
    <w:rsid w:val="00CA3082"/>
    <w:rsid w:val="00CA3363"/>
    <w:rsid w:val="00CA347E"/>
    <w:rsid w:val="00CA3B41"/>
    <w:rsid w:val="00CA3ECE"/>
    <w:rsid w:val="00CA3FE0"/>
    <w:rsid w:val="00CA4670"/>
    <w:rsid w:val="00CA494A"/>
    <w:rsid w:val="00CA4B6D"/>
    <w:rsid w:val="00CA4C3F"/>
    <w:rsid w:val="00CA4C5B"/>
    <w:rsid w:val="00CA4C7F"/>
    <w:rsid w:val="00CA4F19"/>
    <w:rsid w:val="00CA5564"/>
    <w:rsid w:val="00CA5E7E"/>
    <w:rsid w:val="00CA6A67"/>
    <w:rsid w:val="00CA6BDA"/>
    <w:rsid w:val="00CA6CF4"/>
    <w:rsid w:val="00CA6D3A"/>
    <w:rsid w:val="00CA6DC4"/>
    <w:rsid w:val="00CA6FD6"/>
    <w:rsid w:val="00CA7195"/>
    <w:rsid w:val="00CA727D"/>
    <w:rsid w:val="00CA74B6"/>
    <w:rsid w:val="00CB00B9"/>
    <w:rsid w:val="00CB0133"/>
    <w:rsid w:val="00CB055D"/>
    <w:rsid w:val="00CB0B53"/>
    <w:rsid w:val="00CB0BCC"/>
    <w:rsid w:val="00CB0D36"/>
    <w:rsid w:val="00CB0E99"/>
    <w:rsid w:val="00CB0F77"/>
    <w:rsid w:val="00CB12CA"/>
    <w:rsid w:val="00CB1D86"/>
    <w:rsid w:val="00CB1F31"/>
    <w:rsid w:val="00CB200E"/>
    <w:rsid w:val="00CB21C1"/>
    <w:rsid w:val="00CB26B6"/>
    <w:rsid w:val="00CB2848"/>
    <w:rsid w:val="00CB2A5B"/>
    <w:rsid w:val="00CB34D6"/>
    <w:rsid w:val="00CB3BB0"/>
    <w:rsid w:val="00CB3BF1"/>
    <w:rsid w:val="00CB3D12"/>
    <w:rsid w:val="00CB4715"/>
    <w:rsid w:val="00CB5010"/>
    <w:rsid w:val="00CB5045"/>
    <w:rsid w:val="00CB5255"/>
    <w:rsid w:val="00CB5492"/>
    <w:rsid w:val="00CB5781"/>
    <w:rsid w:val="00CB5863"/>
    <w:rsid w:val="00CB5BBD"/>
    <w:rsid w:val="00CB5F19"/>
    <w:rsid w:val="00CB639F"/>
    <w:rsid w:val="00CB6405"/>
    <w:rsid w:val="00CB66EF"/>
    <w:rsid w:val="00CB69AA"/>
    <w:rsid w:val="00CB6BDC"/>
    <w:rsid w:val="00CB719F"/>
    <w:rsid w:val="00CB725D"/>
    <w:rsid w:val="00CB7334"/>
    <w:rsid w:val="00CB734C"/>
    <w:rsid w:val="00CB749A"/>
    <w:rsid w:val="00CB7702"/>
    <w:rsid w:val="00CB7A9C"/>
    <w:rsid w:val="00CB7AA7"/>
    <w:rsid w:val="00CB7C04"/>
    <w:rsid w:val="00CB7E49"/>
    <w:rsid w:val="00CB7F96"/>
    <w:rsid w:val="00CB7FAA"/>
    <w:rsid w:val="00CC0069"/>
    <w:rsid w:val="00CC00B3"/>
    <w:rsid w:val="00CC0115"/>
    <w:rsid w:val="00CC01AD"/>
    <w:rsid w:val="00CC0494"/>
    <w:rsid w:val="00CC060A"/>
    <w:rsid w:val="00CC0687"/>
    <w:rsid w:val="00CC08AF"/>
    <w:rsid w:val="00CC08BB"/>
    <w:rsid w:val="00CC1595"/>
    <w:rsid w:val="00CC16D5"/>
    <w:rsid w:val="00CC17F9"/>
    <w:rsid w:val="00CC24F0"/>
    <w:rsid w:val="00CC2512"/>
    <w:rsid w:val="00CC2668"/>
    <w:rsid w:val="00CC2A16"/>
    <w:rsid w:val="00CC2DC6"/>
    <w:rsid w:val="00CC2E61"/>
    <w:rsid w:val="00CC3189"/>
    <w:rsid w:val="00CC334C"/>
    <w:rsid w:val="00CC360B"/>
    <w:rsid w:val="00CC3829"/>
    <w:rsid w:val="00CC3AE2"/>
    <w:rsid w:val="00CC3D21"/>
    <w:rsid w:val="00CC3D2C"/>
    <w:rsid w:val="00CC45A9"/>
    <w:rsid w:val="00CC495D"/>
    <w:rsid w:val="00CC4ACF"/>
    <w:rsid w:val="00CC4BB9"/>
    <w:rsid w:val="00CC4E6C"/>
    <w:rsid w:val="00CC518D"/>
    <w:rsid w:val="00CC5625"/>
    <w:rsid w:val="00CC57FF"/>
    <w:rsid w:val="00CC5BB2"/>
    <w:rsid w:val="00CC5C37"/>
    <w:rsid w:val="00CC5E6A"/>
    <w:rsid w:val="00CC623C"/>
    <w:rsid w:val="00CC673A"/>
    <w:rsid w:val="00CC67C6"/>
    <w:rsid w:val="00CC6A20"/>
    <w:rsid w:val="00CC6B48"/>
    <w:rsid w:val="00CC6D91"/>
    <w:rsid w:val="00CC7094"/>
    <w:rsid w:val="00CC7110"/>
    <w:rsid w:val="00CC79BE"/>
    <w:rsid w:val="00CC7BE9"/>
    <w:rsid w:val="00CD01A0"/>
    <w:rsid w:val="00CD0A6F"/>
    <w:rsid w:val="00CD0BAA"/>
    <w:rsid w:val="00CD0BDE"/>
    <w:rsid w:val="00CD0C77"/>
    <w:rsid w:val="00CD12D6"/>
    <w:rsid w:val="00CD1BE5"/>
    <w:rsid w:val="00CD1BFA"/>
    <w:rsid w:val="00CD1D4E"/>
    <w:rsid w:val="00CD1ED2"/>
    <w:rsid w:val="00CD279C"/>
    <w:rsid w:val="00CD27FF"/>
    <w:rsid w:val="00CD30B1"/>
    <w:rsid w:val="00CD36A7"/>
    <w:rsid w:val="00CD371A"/>
    <w:rsid w:val="00CD3722"/>
    <w:rsid w:val="00CD377D"/>
    <w:rsid w:val="00CD37D8"/>
    <w:rsid w:val="00CD3A05"/>
    <w:rsid w:val="00CD3E65"/>
    <w:rsid w:val="00CD3EF2"/>
    <w:rsid w:val="00CD3F1E"/>
    <w:rsid w:val="00CD41CC"/>
    <w:rsid w:val="00CD4285"/>
    <w:rsid w:val="00CD4533"/>
    <w:rsid w:val="00CD4690"/>
    <w:rsid w:val="00CD47E7"/>
    <w:rsid w:val="00CD4AF3"/>
    <w:rsid w:val="00CD4C71"/>
    <w:rsid w:val="00CD4F7C"/>
    <w:rsid w:val="00CD5580"/>
    <w:rsid w:val="00CD5927"/>
    <w:rsid w:val="00CD67B4"/>
    <w:rsid w:val="00CD691B"/>
    <w:rsid w:val="00CD6BDE"/>
    <w:rsid w:val="00CD6F6F"/>
    <w:rsid w:val="00CD6F8E"/>
    <w:rsid w:val="00CD761B"/>
    <w:rsid w:val="00CD7685"/>
    <w:rsid w:val="00CD78D5"/>
    <w:rsid w:val="00CD79F9"/>
    <w:rsid w:val="00CD7BAF"/>
    <w:rsid w:val="00CD7E90"/>
    <w:rsid w:val="00CD7EA5"/>
    <w:rsid w:val="00CE0018"/>
    <w:rsid w:val="00CE0062"/>
    <w:rsid w:val="00CE0474"/>
    <w:rsid w:val="00CE0A31"/>
    <w:rsid w:val="00CE0C4D"/>
    <w:rsid w:val="00CE0D0F"/>
    <w:rsid w:val="00CE0DB6"/>
    <w:rsid w:val="00CE13B9"/>
    <w:rsid w:val="00CE13F8"/>
    <w:rsid w:val="00CE17FB"/>
    <w:rsid w:val="00CE1BDC"/>
    <w:rsid w:val="00CE2606"/>
    <w:rsid w:val="00CE2CBB"/>
    <w:rsid w:val="00CE34F3"/>
    <w:rsid w:val="00CE355D"/>
    <w:rsid w:val="00CE4209"/>
    <w:rsid w:val="00CE479C"/>
    <w:rsid w:val="00CE484D"/>
    <w:rsid w:val="00CE493D"/>
    <w:rsid w:val="00CE4E54"/>
    <w:rsid w:val="00CE5525"/>
    <w:rsid w:val="00CE65F6"/>
    <w:rsid w:val="00CE6754"/>
    <w:rsid w:val="00CE68E3"/>
    <w:rsid w:val="00CE6B77"/>
    <w:rsid w:val="00CE75F5"/>
    <w:rsid w:val="00CE79A5"/>
    <w:rsid w:val="00CE7B3B"/>
    <w:rsid w:val="00CE7B91"/>
    <w:rsid w:val="00CE7F8F"/>
    <w:rsid w:val="00CF0032"/>
    <w:rsid w:val="00CF0071"/>
    <w:rsid w:val="00CF0215"/>
    <w:rsid w:val="00CF06F7"/>
    <w:rsid w:val="00CF0C56"/>
    <w:rsid w:val="00CF150D"/>
    <w:rsid w:val="00CF153E"/>
    <w:rsid w:val="00CF1AC2"/>
    <w:rsid w:val="00CF1AD8"/>
    <w:rsid w:val="00CF24A5"/>
    <w:rsid w:val="00CF2553"/>
    <w:rsid w:val="00CF304D"/>
    <w:rsid w:val="00CF32CF"/>
    <w:rsid w:val="00CF33B5"/>
    <w:rsid w:val="00CF3402"/>
    <w:rsid w:val="00CF3582"/>
    <w:rsid w:val="00CF3A62"/>
    <w:rsid w:val="00CF3B2D"/>
    <w:rsid w:val="00CF3D44"/>
    <w:rsid w:val="00CF4725"/>
    <w:rsid w:val="00CF4945"/>
    <w:rsid w:val="00CF4CDB"/>
    <w:rsid w:val="00CF4E8F"/>
    <w:rsid w:val="00CF534A"/>
    <w:rsid w:val="00CF58C5"/>
    <w:rsid w:val="00CF599F"/>
    <w:rsid w:val="00CF5A3E"/>
    <w:rsid w:val="00CF5CBC"/>
    <w:rsid w:val="00CF5FAE"/>
    <w:rsid w:val="00CF65AA"/>
    <w:rsid w:val="00CF65E3"/>
    <w:rsid w:val="00CF6AB9"/>
    <w:rsid w:val="00CF6E28"/>
    <w:rsid w:val="00CF6EEF"/>
    <w:rsid w:val="00CF7018"/>
    <w:rsid w:val="00CF71D5"/>
    <w:rsid w:val="00CF7602"/>
    <w:rsid w:val="00CF7D4D"/>
    <w:rsid w:val="00CF7D9C"/>
    <w:rsid w:val="00D001D5"/>
    <w:rsid w:val="00D00621"/>
    <w:rsid w:val="00D00D78"/>
    <w:rsid w:val="00D0144D"/>
    <w:rsid w:val="00D01864"/>
    <w:rsid w:val="00D023E9"/>
    <w:rsid w:val="00D02789"/>
    <w:rsid w:val="00D02AA8"/>
    <w:rsid w:val="00D03034"/>
    <w:rsid w:val="00D03199"/>
    <w:rsid w:val="00D031C0"/>
    <w:rsid w:val="00D0341F"/>
    <w:rsid w:val="00D03456"/>
    <w:rsid w:val="00D03571"/>
    <w:rsid w:val="00D0357A"/>
    <w:rsid w:val="00D035D9"/>
    <w:rsid w:val="00D03887"/>
    <w:rsid w:val="00D04178"/>
    <w:rsid w:val="00D042B2"/>
    <w:rsid w:val="00D04545"/>
    <w:rsid w:val="00D0474B"/>
    <w:rsid w:val="00D0544C"/>
    <w:rsid w:val="00D05488"/>
    <w:rsid w:val="00D05BDD"/>
    <w:rsid w:val="00D05D12"/>
    <w:rsid w:val="00D0646E"/>
    <w:rsid w:val="00D06A82"/>
    <w:rsid w:val="00D06BE2"/>
    <w:rsid w:val="00D06CDD"/>
    <w:rsid w:val="00D06D74"/>
    <w:rsid w:val="00D07528"/>
    <w:rsid w:val="00D076AE"/>
    <w:rsid w:val="00D077A6"/>
    <w:rsid w:val="00D07FDD"/>
    <w:rsid w:val="00D1017E"/>
    <w:rsid w:val="00D10BB5"/>
    <w:rsid w:val="00D10FE0"/>
    <w:rsid w:val="00D1138D"/>
    <w:rsid w:val="00D1171C"/>
    <w:rsid w:val="00D117FD"/>
    <w:rsid w:val="00D1197A"/>
    <w:rsid w:val="00D11EBB"/>
    <w:rsid w:val="00D122AF"/>
    <w:rsid w:val="00D12492"/>
    <w:rsid w:val="00D128E5"/>
    <w:rsid w:val="00D12AEF"/>
    <w:rsid w:val="00D12BF4"/>
    <w:rsid w:val="00D13153"/>
    <w:rsid w:val="00D136AA"/>
    <w:rsid w:val="00D13B82"/>
    <w:rsid w:val="00D14163"/>
    <w:rsid w:val="00D14844"/>
    <w:rsid w:val="00D14D3E"/>
    <w:rsid w:val="00D14EAE"/>
    <w:rsid w:val="00D1516B"/>
    <w:rsid w:val="00D15223"/>
    <w:rsid w:val="00D15288"/>
    <w:rsid w:val="00D155AC"/>
    <w:rsid w:val="00D159BB"/>
    <w:rsid w:val="00D15A70"/>
    <w:rsid w:val="00D15E7B"/>
    <w:rsid w:val="00D16284"/>
    <w:rsid w:val="00D163DA"/>
    <w:rsid w:val="00D1660B"/>
    <w:rsid w:val="00D16985"/>
    <w:rsid w:val="00D16A8B"/>
    <w:rsid w:val="00D16B11"/>
    <w:rsid w:val="00D171E5"/>
    <w:rsid w:val="00D173BA"/>
    <w:rsid w:val="00D17901"/>
    <w:rsid w:val="00D17BC6"/>
    <w:rsid w:val="00D17EB5"/>
    <w:rsid w:val="00D2018B"/>
    <w:rsid w:val="00D204B0"/>
    <w:rsid w:val="00D20BC4"/>
    <w:rsid w:val="00D20C61"/>
    <w:rsid w:val="00D20F79"/>
    <w:rsid w:val="00D21202"/>
    <w:rsid w:val="00D21AE6"/>
    <w:rsid w:val="00D21B60"/>
    <w:rsid w:val="00D21FFC"/>
    <w:rsid w:val="00D220BC"/>
    <w:rsid w:val="00D229D6"/>
    <w:rsid w:val="00D22C72"/>
    <w:rsid w:val="00D22D36"/>
    <w:rsid w:val="00D22E18"/>
    <w:rsid w:val="00D2324F"/>
    <w:rsid w:val="00D23526"/>
    <w:rsid w:val="00D235BE"/>
    <w:rsid w:val="00D238D7"/>
    <w:rsid w:val="00D238FC"/>
    <w:rsid w:val="00D23D23"/>
    <w:rsid w:val="00D23E05"/>
    <w:rsid w:val="00D244EA"/>
    <w:rsid w:val="00D24CE5"/>
    <w:rsid w:val="00D24FF8"/>
    <w:rsid w:val="00D26057"/>
    <w:rsid w:val="00D26607"/>
    <w:rsid w:val="00D266DF"/>
    <w:rsid w:val="00D266E4"/>
    <w:rsid w:val="00D26751"/>
    <w:rsid w:val="00D26E57"/>
    <w:rsid w:val="00D271B7"/>
    <w:rsid w:val="00D272B7"/>
    <w:rsid w:val="00D27442"/>
    <w:rsid w:val="00D279F2"/>
    <w:rsid w:val="00D27B09"/>
    <w:rsid w:val="00D27B9A"/>
    <w:rsid w:val="00D3057C"/>
    <w:rsid w:val="00D306D7"/>
    <w:rsid w:val="00D30C06"/>
    <w:rsid w:val="00D30C1F"/>
    <w:rsid w:val="00D30DC2"/>
    <w:rsid w:val="00D30DE0"/>
    <w:rsid w:val="00D3118E"/>
    <w:rsid w:val="00D31375"/>
    <w:rsid w:val="00D318CD"/>
    <w:rsid w:val="00D323D4"/>
    <w:rsid w:val="00D324D1"/>
    <w:rsid w:val="00D32A6D"/>
    <w:rsid w:val="00D32FDC"/>
    <w:rsid w:val="00D33338"/>
    <w:rsid w:val="00D339C0"/>
    <w:rsid w:val="00D34055"/>
    <w:rsid w:val="00D3409B"/>
    <w:rsid w:val="00D341D7"/>
    <w:rsid w:val="00D3421A"/>
    <w:rsid w:val="00D34A2F"/>
    <w:rsid w:val="00D34B41"/>
    <w:rsid w:val="00D34E15"/>
    <w:rsid w:val="00D35340"/>
    <w:rsid w:val="00D35366"/>
    <w:rsid w:val="00D356F5"/>
    <w:rsid w:val="00D35F27"/>
    <w:rsid w:val="00D3665B"/>
    <w:rsid w:val="00D36CCA"/>
    <w:rsid w:val="00D37617"/>
    <w:rsid w:val="00D376D9"/>
    <w:rsid w:val="00D379A0"/>
    <w:rsid w:val="00D379DE"/>
    <w:rsid w:val="00D37F29"/>
    <w:rsid w:val="00D40146"/>
    <w:rsid w:val="00D403B6"/>
    <w:rsid w:val="00D4084A"/>
    <w:rsid w:val="00D40B39"/>
    <w:rsid w:val="00D410D1"/>
    <w:rsid w:val="00D41100"/>
    <w:rsid w:val="00D4114A"/>
    <w:rsid w:val="00D4132F"/>
    <w:rsid w:val="00D414DB"/>
    <w:rsid w:val="00D41868"/>
    <w:rsid w:val="00D4186B"/>
    <w:rsid w:val="00D41A48"/>
    <w:rsid w:val="00D41E64"/>
    <w:rsid w:val="00D41EC4"/>
    <w:rsid w:val="00D41F85"/>
    <w:rsid w:val="00D422E4"/>
    <w:rsid w:val="00D4260C"/>
    <w:rsid w:val="00D42A3D"/>
    <w:rsid w:val="00D42C7A"/>
    <w:rsid w:val="00D42D89"/>
    <w:rsid w:val="00D4370D"/>
    <w:rsid w:val="00D4383D"/>
    <w:rsid w:val="00D439FD"/>
    <w:rsid w:val="00D43CE9"/>
    <w:rsid w:val="00D43DA7"/>
    <w:rsid w:val="00D43E92"/>
    <w:rsid w:val="00D44228"/>
    <w:rsid w:val="00D4457C"/>
    <w:rsid w:val="00D445AA"/>
    <w:rsid w:val="00D44A26"/>
    <w:rsid w:val="00D44B0A"/>
    <w:rsid w:val="00D45748"/>
    <w:rsid w:val="00D45DE0"/>
    <w:rsid w:val="00D45E34"/>
    <w:rsid w:val="00D46197"/>
    <w:rsid w:val="00D4630E"/>
    <w:rsid w:val="00D47255"/>
    <w:rsid w:val="00D47373"/>
    <w:rsid w:val="00D4788A"/>
    <w:rsid w:val="00D47D18"/>
    <w:rsid w:val="00D50364"/>
    <w:rsid w:val="00D50C80"/>
    <w:rsid w:val="00D50CFA"/>
    <w:rsid w:val="00D50D70"/>
    <w:rsid w:val="00D50D91"/>
    <w:rsid w:val="00D51206"/>
    <w:rsid w:val="00D513C6"/>
    <w:rsid w:val="00D518A4"/>
    <w:rsid w:val="00D52196"/>
    <w:rsid w:val="00D5223A"/>
    <w:rsid w:val="00D522A0"/>
    <w:rsid w:val="00D52568"/>
    <w:rsid w:val="00D52843"/>
    <w:rsid w:val="00D53596"/>
    <w:rsid w:val="00D538F1"/>
    <w:rsid w:val="00D53A8E"/>
    <w:rsid w:val="00D53B8A"/>
    <w:rsid w:val="00D53C0A"/>
    <w:rsid w:val="00D542CB"/>
    <w:rsid w:val="00D54375"/>
    <w:rsid w:val="00D543F0"/>
    <w:rsid w:val="00D54631"/>
    <w:rsid w:val="00D54C4E"/>
    <w:rsid w:val="00D54C8B"/>
    <w:rsid w:val="00D54F5B"/>
    <w:rsid w:val="00D5514D"/>
    <w:rsid w:val="00D551C0"/>
    <w:rsid w:val="00D554BC"/>
    <w:rsid w:val="00D55D25"/>
    <w:rsid w:val="00D560C4"/>
    <w:rsid w:val="00D56670"/>
    <w:rsid w:val="00D566AF"/>
    <w:rsid w:val="00D56948"/>
    <w:rsid w:val="00D56D0C"/>
    <w:rsid w:val="00D570EA"/>
    <w:rsid w:val="00D57256"/>
    <w:rsid w:val="00D57339"/>
    <w:rsid w:val="00D57463"/>
    <w:rsid w:val="00D574A5"/>
    <w:rsid w:val="00D57611"/>
    <w:rsid w:val="00D57635"/>
    <w:rsid w:val="00D5785E"/>
    <w:rsid w:val="00D579F6"/>
    <w:rsid w:val="00D57DFB"/>
    <w:rsid w:val="00D60490"/>
    <w:rsid w:val="00D60FAB"/>
    <w:rsid w:val="00D61098"/>
    <w:rsid w:val="00D616FE"/>
    <w:rsid w:val="00D6186E"/>
    <w:rsid w:val="00D618C7"/>
    <w:rsid w:val="00D61A08"/>
    <w:rsid w:val="00D61C12"/>
    <w:rsid w:val="00D61C99"/>
    <w:rsid w:val="00D628BD"/>
    <w:rsid w:val="00D62B69"/>
    <w:rsid w:val="00D63194"/>
    <w:rsid w:val="00D63A1D"/>
    <w:rsid w:val="00D63A9F"/>
    <w:rsid w:val="00D63B45"/>
    <w:rsid w:val="00D63E8E"/>
    <w:rsid w:val="00D6400A"/>
    <w:rsid w:val="00D641ED"/>
    <w:rsid w:val="00D64377"/>
    <w:rsid w:val="00D64389"/>
    <w:rsid w:val="00D643AC"/>
    <w:rsid w:val="00D6467A"/>
    <w:rsid w:val="00D6498D"/>
    <w:rsid w:val="00D64DAE"/>
    <w:rsid w:val="00D64EC1"/>
    <w:rsid w:val="00D65218"/>
    <w:rsid w:val="00D6591B"/>
    <w:rsid w:val="00D65DBB"/>
    <w:rsid w:val="00D66006"/>
    <w:rsid w:val="00D661C9"/>
    <w:rsid w:val="00D66589"/>
    <w:rsid w:val="00D667DA"/>
    <w:rsid w:val="00D6681A"/>
    <w:rsid w:val="00D672A2"/>
    <w:rsid w:val="00D67427"/>
    <w:rsid w:val="00D6749E"/>
    <w:rsid w:val="00D676E8"/>
    <w:rsid w:val="00D6775C"/>
    <w:rsid w:val="00D67858"/>
    <w:rsid w:val="00D70BF5"/>
    <w:rsid w:val="00D7163C"/>
    <w:rsid w:val="00D71B4D"/>
    <w:rsid w:val="00D71CAF"/>
    <w:rsid w:val="00D71D1D"/>
    <w:rsid w:val="00D72054"/>
    <w:rsid w:val="00D72433"/>
    <w:rsid w:val="00D724F2"/>
    <w:rsid w:val="00D727F8"/>
    <w:rsid w:val="00D7295A"/>
    <w:rsid w:val="00D72A95"/>
    <w:rsid w:val="00D72B21"/>
    <w:rsid w:val="00D73882"/>
    <w:rsid w:val="00D739FE"/>
    <w:rsid w:val="00D73BD2"/>
    <w:rsid w:val="00D73E33"/>
    <w:rsid w:val="00D73F0B"/>
    <w:rsid w:val="00D73FA1"/>
    <w:rsid w:val="00D74932"/>
    <w:rsid w:val="00D752BE"/>
    <w:rsid w:val="00D7556C"/>
    <w:rsid w:val="00D75933"/>
    <w:rsid w:val="00D75C9C"/>
    <w:rsid w:val="00D7619D"/>
    <w:rsid w:val="00D7644E"/>
    <w:rsid w:val="00D76634"/>
    <w:rsid w:val="00D76D71"/>
    <w:rsid w:val="00D77288"/>
    <w:rsid w:val="00D77388"/>
    <w:rsid w:val="00D77442"/>
    <w:rsid w:val="00D774D7"/>
    <w:rsid w:val="00D77684"/>
    <w:rsid w:val="00D77856"/>
    <w:rsid w:val="00D779AD"/>
    <w:rsid w:val="00D77FDE"/>
    <w:rsid w:val="00D801D0"/>
    <w:rsid w:val="00D80908"/>
    <w:rsid w:val="00D80ADE"/>
    <w:rsid w:val="00D80C94"/>
    <w:rsid w:val="00D80D75"/>
    <w:rsid w:val="00D80DC2"/>
    <w:rsid w:val="00D811CD"/>
    <w:rsid w:val="00D81330"/>
    <w:rsid w:val="00D818A9"/>
    <w:rsid w:val="00D81B30"/>
    <w:rsid w:val="00D81BC9"/>
    <w:rsid w:val="00D81CF9"/>
    <w:rsid w:val="00D82352"/>
    <w:rsid w:val="00D824FD"/>
    <w:rsid w:val="00D82785"/>
    <w:rsid w:val="00D828F1"/>
    <w:rsid w:val="00D829E1"/>
    <w:rsid w:val="00D82B72"/>
    <w:rsid w:val="00D83012"/>
    <w:rsid w:val="00D830C2"/>
    <w:rsid w:val="00D83157"/>
    <w:rsid w:val="00D83250"/>
    <w:rsid w:val="00D834F0"/>
    <w:rsid w:val="00D8364B"/>
    <w:rsid w:val="00D83927"/>
    <w:rsid w:val="00D8397B"/>
    <w:rsid w:val="00D839AB"/>
    <w:rsid w:val="00D83D48"/>
    <w:rsid w:val="00D83D4A"/>
    <w:rsid w:val="00D83F81"/>
    <w:rsid w:val="00D84118"/>
    <w:rsid w:val="00D846C8"/>
    <w:rsid w:val="00D85032"/>
    <w:rsid w:val="00D85303"/>
    <w:rsid w:val="00D861FE"/>
    <w:rsid w:val="00D8628D"/>
    <w:rsid w:val="00D863BD"/>
    <w:rsid w:val="00D8652E"/>
    <w:rsid w:val="00D865C7"/>
    <w:rsid w:val="00D869F7"/>
    <w:rsid w:val="00D86E79"/>
    <w:rsid w:val="00D87310"/>
    <w:rsid w:val="00D875CC"/>
    <w:rsid w:val="00D875E2"/>
    <w:rsid w:val="00D90330"/>
    <w:rsid w:val="00D90334"/>
    <w:rsid w:val="00D90381"/>
    <w:rsid w:val="00D905F1"/>
    <w:rsid w:val="00D90A1C"/>
    <w:rsid w:val="00D90BB9"/>
    <w:rsid w:val="00D90FB7"/>
    <w:rsid w:val="00D91E04"/>
    <w:rsid w:val="00D92731"/>
    <w:rsid w:val="00D92869"/>
    <w:rsid w:val="00D92BCF"/>
    <w:rsid w:val="00D92E71"/>
    <w:rsid w:val="00D92E8F"/>
    <w:rsid w:val="00D92EB7"/>
    <w:rsid w:val="00D930E0"/>
    <w:rsid w:val="00D93120"/>
    <w:rsid w:val="00D93520"/>
    <w:rsid w:val="00D93730"/>
    <w:rsid w:val="00D93858"/>
    <w:rsid w:val="00D938F9"/>
    <w:rsid w:val="00D93AEE"/>
    <w:rsid w:val="00D93B8A"/>
    <w:rsid w:val="00D940FE"/>
    <w:rsid w:val="00D94515"/>
    <w:rsid w:val="00D945CB"/>
    <w:rsid w:val="00D94768"/>
    <w:rsid w:val="00D94912"/>
    <w:rsid w:val="00D9492D"/>
    <w:rsid w:val="00D94B59"/>
    <w:rsid w:val="00D95093"/>
    <w:rsid w:val="00D951AF"/>
    <w:rsid w:val="00D95383"/>
    <w:rsid w:val="00D95704"/>
    <w:rsid w:val="00D957AB"/>
    <w:rsid w:val="00D959E6"/>
    <w:rsid w:val="00D95A36"/>
    <w:rsid w:val="00D95B4A"/>
    <w:rsid w:val="00D95BDE"/>
    <w:rsid w:val="00D965F5"/>
    <w:rsid w:val="00D96ADE"/>
    <w:rsid w:val="00D96D29"/>
    <w:rsid w:val="00D96E4A"/>
    <w:rsid w:val="00D96FA7"/>
    <w:rsid w:val="00D972C9"/>
    <w:rsid w:val="00D97420"/>
    <w:rsid w:val="00D9764E"/>
    <w:rsid w:val="00D9765F"/>
    <w:rsid w:val="00DA0B48"/>
    <w:rsid w:val="00DA11AC"/>
    <w:rsid w:val="00DA13EC"/>
    <w:rsid w:val="00DA157A"/>
    <w:rsid w:val="00DA175A"/>
    <w:rsid w:val="00DA1937"/>
    <w:rsid w:val="00DA1A80"/>
    <w:rsid w:val="00DA1AC7"/>
    <w:rsid w:val="00DA1C03"/>
    <w:rsid w:val="00DA1EF9"/>
    <w:rsid w:val="00DA23B5"/>
    <w:rsid w:val="00DA2420"/>
    <w:rsid w:val="00DA243A"/>
    <w:rsid w:val="00DA24CE"/>
    <w:rsid w:val="00DA25C0"/>
    <w:rsid w:val="00DA2A82"/>
    <w:rsid w:val="00DA2BF1"/>
    <w:rsid w:val="00DA2DF7"/>
    <w:rsid w:val="00DA2EF9"/>
    <w:rsid w:val="00DA32EB"/>
    <w:rsid w:val="00DA355D"/>
    <w:rsid w:val="00DA39C1"/>
    <w:rsid w:val="00DA3B6B"/>
    <w:rsid w:val="00DA3C44"/>
    <w:rsid w:val="00DA3CF0"/>
    <w:rsid w:val="00DA3ECA"/>
    <w:rsid w:val="00DA40DD"/>
    <w:rsid w:val="00DA4386"/>
    <w:rsid w:val="00DA473E"/>
    <w:rsid w:val="00DA52D1"/>
    <w:rsid w:val="00DA53F4"/>
    <w:rsid w:val="00DA5586"/>
    <w:rsid w:val="00DA560B"/>
    <w:rsid w:val="00DA568A"/>
    <w:rsid w:val="00DA5703"/>
    <w:rsid w:val="00DA587A"/>
    <w:rsid w:val="00DA5E29"/>
    <w:rsid w:val="00DA62AE"/>
    <w:rsid w:val="00DA63BE"/>
    <w:rsid w:val="00DA6A07"/>
    <w:rsid w:val="00DA6F32"/>
    <w:rsid w:val="00DA719B"/>
    <w:rsid w:val="00DA792C"/>
    <w:rsid w:val="00DA7E83"/>
    <w:rsid w:val="00DA7FD9"/>
    <w:rsid w:val="00DB045F"/>
    <w:rsid w:val="00DB0838"/>
    <w:rsid w:val="00DB0A78"/>
    <w:rsid w:val="00DB0B01"/>
    <w:rsid w:val="00DB0B77"/>
    <w:rsid w:val="00DB0E4E"/>
    <w:rsid w:val="00DB10E3"/>
    <w:rsid w:val="00DB110B"/>
    <w:rsid w:val="00DB1344"/>
    <w:rsid w:val="00DB17E4"/>
    <w:rsid w:val="00DB1F51"/>
    <w:rsid w:val="00DB22AC"/>
    <w:rsid w:val="00DB261C"/>
    <w:rsid w:val="00DB2702"/>
    <w:rsid w:val="00DB29E8"/>
    <w:rsid w:val="00DB3587"/>
    <w:rsid w:val="00DB3D9A"/>
    <w:rsid w:val="00DB4058"/>
    <w:rsid w:val="00DB4134"/>
    <w:rsid w:val="00DB45A4"/>
    <w:rsid w:val="00DB46CB"/>
    <w:rsid w:val="00DB48A9"/>
    <w:rsid w:val="00DB4C43"/>
    <w:rsid w:val="00DB4CCE"/>
    <w:rsid w:val="00DB4DBA"/>
    <w:rsid w:val="00DB51DF"/>
    <w:rsid w:val="00DB5334"/>
    <w:rsid w:val="00DB5530"/>
    <w:rsid w:val="00DB5684"/>
    <w:rsid w:val="00DB583C"/>
    <w:rsid w:val="00DB5B1A"/>
    <w:rsid w:val="00DB6282"/>
    <w:rsid w:val="00DB6681"/>
    <w:rsid w:val="00DB6D86"/>
    <w:rsid w:val="00DB6F1B"/>
    <w:rsid w:val="00DB74B7"/>
    <w:rsid w:val="00DB772D"/>
    <w:rsid w:val="00DB7857"/>
    <w:rsid w:val="00DB7EC7"/>
    <w:rsid w:val="00DC0786"/>
    <w:rsid w:val="00DC11B2"/>
    <w:rsid w:val="00DC1524"/>
    <w:rsid w:val="00DC178A"/>
    <w:rsid w:val="00DC1967"/>
    <w:rsid w:val="00DC235D"/>
    <w:rsid w:val="00DC2549"/>
    <w:rsid w:val="00DC2A64"/>
    <w:rsid w:val="00DC360F"/>
    <w:rsid w:val="00DC37AE"/>
    <w:rsid w:val="00DC3993"/>
    <w:rsid w:val="00DC3A14"/>
    <w:rsid w:val="00DC3BB4"/>
    <w:rsid w:val="00DC3C51"/>
    <w:rsid w:val="00DC3CA0"/>
    <w:rsid w:val="00DC3D21"/>
    <w:rsid w:val="00DC4073"/>
    <w:rsid w:val="00DC466B"/>
    <w:rsid w:val="00DC4813"/>
    <w:rsid w:val="00DC4B31"/>
    <w:rsid w:val="00DC4CAD"/>
    <w:rsid w:val="00DC5432"/>
    <w:rsid w:val="00DC5518"/>
    <w:rsid w:val="00DC5A7A"/>
    <w:rsid w:val="00DC5BE3"/>
    <w:rsid w:val="00DC6072"/>
    <w:rsid w:val="00DC68E5"/>
    <w:rsid w:val="00DC6A98"/>
    <w:rsid w:val="00DC733A"/>
    <w:rsid w:val="00DC7AD9"/>
    <w:rsid w:val="00DC7EAB"/>
    <w:rsid w:val="00DD03D8"/>
    <w:rsid w:val="00DD0777"/>
    <w:rsid w:val="00DD08BC"/>
    <w:rsid w:val="00DD08E4"/>
    <w:rsid w:val="00DD0E0F"/>
    <w:rsid w:val="00DD0F4A"/>
    <w:rsid w:val="00DD131A"/>
    <w:rsid w:val="00DD13F7"/>
    <w:rsid w:val="00DD140A"/>
    <w:rsid w:val="00DD17C9"/>
    <w:rsid w:val="00DD1D77"/>
    <w:rsid w:val="00DD2333"/>
    <w:rsid w:val="00DD24A4"/>
    <w:rsid w:val="00DD25A9"/>
    <w:rsid w:val="00DD27EF"/>
    <w:rsid w:val="00DD2FB1"/>
    <w:rsid w:val="00DD3291"/>
    <w:rsid w:val="00DD3519"/>
    <w:rsid w:val="00DD388B"/>
    <w:rsid w:val="00DD3978"/>
    <w:rsid w:val="00DD3A4F"/>
    <w:rsid w:val="00DD3CE0"/>
    <w:rsid w:val="00DD43FB"/>
    <w:rsid w:val="00DD45B5"/>
    <w:rsid w:val="00DD4B4D"/>
    <w:rsid w:val="00DD4DF6"/>
    <w:rsid w:val="00DD538B"/>
    <w:rsid w:val="00DD53ED"/>
    <w:rsid w:val="00DD5618"/>
    <w:rsid w:val="00DD5AA2"/>
    <w:rsid w:val="00DD5CE0"/>
    <w:rsid w:val="00DD65E0"/>
    <w:rsid w:val="00DD69E3"/>
    <w:rsid w:val="00DD6BD8"/>
    <w:rsid w:val="00DD70DB"/>
    <w:rsid w:val="00DD7107"/>
    <w:rsid w:val="00DD767D"/>
    <w:rsid w:val="00DD79AA"/>
    <w:rsid w:val="00DD7DE1"/>
    <w:rsid w:val="00DE033A"/>
    <w:rsid w:val="00DE0427"/>
    <w:rsid w:val="00DE0881"/>
    <w:rsid w:val="00DE09E8"/>
    <w:rsid w:val="00DE0A00"/>
    <w:rsid w:val="00DE0C4B"/>
    <w:rsid w:val="00DE0CDC"/>
    <w:rsid w:val="00DE1478"/>
    <w:rsid w:val="00DE14B3"/>
    <w:rsid w:val="00DE1602"/>
    <w:rsid w:val="00DE1788"/>
    <w:rsid w:val="00DE18D6"/>
    <w:rsid w:val="00DE19C5"/>
    <w:rsid w:val="00DE1B0C"/>
    <w:rsid w:val="00DE1EE6"/>
    <w:rsid w:val="00DE2BA9"/>
    <w:rsid w:val="00DE3CBC"/>
    <w:rsid w:val="00DE3F45"/>
    <w:rsid w:val="00DE45E0"/>
    <w:rsid w:val="00DE5366"/>
    <w:rsid w:val="00DE5A63"/>
    <w:rsid w:val="00DE5A83"/>
    <w:rsid w:val="00DE5B06"/>
    <w:rsid w:val="00DE5BF6"/>
    <w:rsid w:val="00DE5C82"/>
    <w:rsid w:val="00DE607B"/>
    <w:rsid w:val="00DE6310"/>
    <w:rsid w:val="00DE67BA"/>
    <w:rsid w:val="00DE67CC"/>
    <w:rsid w:val="00DE6808"/>
    <w:rsid w:val="00DE6AB6"/>
    <w:rsid w:val="00DE6F0A"/>
    <w:rsid w:val="00DE7A4D"/>
    <w:rsid w:val="00DE7F6A"/>
    <w:rsid w:val="00DF039A"/>
    <w:rsid w:val="00DF09CF"/>
    <w:rsid w:val="00DF0BC2"/>
    <w:rsid w:val="00DF0C32"/>
    <w:rsid w:val="00DF0DE5"/>
    <w:rsid w:val="00DF0F65"/>
    <w:rsid w:val="00DF1312"/>
    <w:rsid w:val="00DF16FF"/>
    <w:rsid w:val="00DF187E"/>
    <w:rsid w:val="00DF1914"/>
    <w:rsid w:val="00DF1BB9"/>
    <w:rsid w:val="00DF1E8E"/>
    <w:rsid w:val="00DF226A"/>
    <w:rsid w:val="00DF22D1"/>
    <w:rsid w:val="00DF25A7"/>
    <w:rsid w:val="00DF30BF"/>
    <w:rsid w:val="00DF3541"/>
    <w:rsid w:val="00DF3819"/>
    <w:rsid w:val="00DF3D0F"/>
    <w:rsid w:val="00DF4132"/>
    <w:rsid w:val="00DF4276"/>
    <w:rsid w:val="00DF48DB"/>
    <w:rsid w:val="00DF4902"/>
    <w:rsid w:val="00DF5027"/>
    <w:rsid w:val="00DF530F"/>
    <w:rsid w:val="00DF548C"/>
    <w:rsid w:val="00DF56B5"/>
    <w:rsid w:val="00DF5D3A"/>
    <w:rsid w:val="00DF61AF"/>
    <w:rsid w:val="00DF6870"/>
    <w:rsid w:val="00DF6A6F"/>
    <w:rsid w:val="00DF6E9B"/>
    <w:rsid w:val="00DF6FA8"/>
    <w:rsid w:val="00DF7380"/>
    <w:rsid w:val="00DF776E"/>
    <w:rsid w:val="00E0036D"/>
    <w:rsid w:val="00E0037C"/>
    <w:rsid w:val="00E0087E"/>
    <w:rsid w:val="00E009E9"/>
    <w:rsid w:val="00E014C5"/>
    <w:rsid w:val="00E015D9"/>
    <w:rsid w:val="00E015FD"/>
    <w:rsid w:val="00E01925"/>
    <w:rsid w:val="00E019C6"/>
    <w:rsid w:val="00E02032"/>
    <w:rsid w:val="00E02651"/>
    <w:rsid w:val="00E02978"/>
    <w:rsid w:val="00E02AB0"/>
    <w:rsid w:val="00E02C2F"/>
    <w:rsid w:val="00E02F9F"/>
    <w:rsid w:val="00E030E5"/>
    <w:rsid w:val="00E031D7"/>
    <w:rsid w:val="00E0320B"/>
    <w:rsid w:val="00E0345F"/>
    <w:rsid w:val="00E03617"/>
    <w:rsid w:val="00E039CA"/>
    <w:rsid w:val="00E03D1B"/>
    <w:rsid w:val="00E044D7"/>
    <w:rsid w:val="00E046E5"/>
    <w:rsid w:val="00E04939"/>
    <w:rsid w:val="00E04AEC"/>
    <w:rsid w:val="00E04F65"/>
    <w:rsid w:val="00E0622D"/>
    <w:rsid w:val="00E064F2"/>
    <w:rsid w:val="00E06FBE"/>
    <w:rsid w:val="00E107FF"/>
    <w:rsid w:val="00E1093F"/>
    <w:rsid w:val="00E1098F"/>
    <w:rsid w:val="00E10A84"/>
    <w:rsid w:val="00E10CE1"/>
    <w:rsid w:val="00E1110D"/>
    <w:rsid w:val="00E116B6"/>
    <w:rsid w:val="00E11B8F"/>
    <w:rsid w:val="00E1267C"/>
    <w:rsid w:val="00E1268C"/>
    <w:rsid w:val="00E126FA"/>
    <w:rsid w:val="00E12761"/>
    <w:rsid w:val="00E12ACA"/>
    <w:rsid w:val="00E12D1F"/>
    <w:rsid w:val="00E12DE4"/>
    <w:rsid w:val="00E13502"/>
    <w:rsid w:val="00E1393C"/>
    <w:rsid w:val="00E13AFB"/>
    <w:rsid w:val="00E13B32"/>
    <w:rsid w:val="00E1427B"/>
    <w:rsid w:val="00E1481A"/>
    <w:rsid w:val="00E1525B"/>
    <w:rsid w:val="00E15C0A"/>
    <w:rsid w:val="00E15C4A"/>
    <w:rsid w:val="00E15F55"/>
    <w:rsid w:val="00E16135"/>
    <w:rsid w:val="00E162B8"/>
    <w:rsid w:val="00E16774"/>
    <w:rsid w:val="00E16C93"/>
    <w:rsid w:val="00E16D6F"/>
    <w:rsid w:val="00E16FE8"/>
    <w:rsid w:val="00E1703B"/>
    <w:rsid w:val="00E17287"/>
    <w:rsid w:val="00E17634"/>
    <w:rsid w:val="00E176D4"/>
    <w:rsid w:val="00E17D07"/>
    <w:rsid w:val="00E200CE"/>
    <w:rsid w:val="00E202F5"/>
    <w:rsid w:val="00E2087A"/>
    <w:rsid w:val="00E20A79"/>
    <w:rsid w:val="00E20AA6"/>
    <w:rsid w:val="00E20ED4"/>
    <w:rsid w:val="00E210AB"/>
    <w:rsid w:val="00E21149"/>
    <w:rsid w:val="00E213B7"/>
    <w:rsid w:val="00E21504"/>
    <w:rsid w:val="00E219A4"/>
    <w:rsid w:val="00E219F2"/>
    <w:rsid w:val="00E21E0C"/>
    <w:rsid w:val="00E21EE3"/>
    <w:rsid w:val="00E222B7"/>
    <w:rsid w:val="00E2236B"/>
    <w:rsid w:val="00E225E5"/>
    <w:rsid w:val="00E22826"/>
    <w:rsid w:val="00E2283C"/>
    <w:rsid w:val="00E229AB"/>
    <w:rsid w:val="00E22D8D"/>
    <w:rsid w:val="00E23065"/>
    <w:rsid w:val="00E237D9"/>
    <w:rsid w:val="00E23864"/>
    <w:rsid w:val="00E23E71"/>
    <w:rsid w:val="00E241B3"/>
    <w:rsid w:val="00E2444A"/>
    <w:rsid w:val="00E2460B"/>
    <w:rsid w:val="00E24860"/>
    <w:rsid w:val="00E24C69"/>
    <w:rsid w:val="00E24CD6"/>
    <w:rsid w:val="00E24E65"/>
    <w:rsid w:val="00E25125"/>
    <w:rsid w:val="00E252DD"/>
    <w:rsid w:val="00E2550E"/>
    <w:rsid w:val="00E2589D"/>
    <w:rsid w:val="00E25D26"/>
    <w:rsid w:val="00E25D4F"/>
    <w:rsid w:val="00E25F58"/>
    <w:rsid w:val="00E263BF"/>
    <w:rsid w:val="00E264D8"/>
    <w:rsid w:val="00E2699E"/>
    <w:rsid w:val="00E26B64"/>
    <w:rsid w:val="00E26FC9"/>
    <w:rsid w:val="00E270B7"/>
    <w:rsid w:val="00E27154"/>
    <w:rsid w:val="00E2719E"/>
    <w:rsid w:val="00E272E3"/>
    <w:rsid w:val="00E273E4"/>
    <w:rsid w:val="00E27423"/>
    <w:rsid w:val="00E27751"/>
    <w:rsid w:val="00E2792B"/>
    <w:rsid w:val="00E27A03"/>
    <w:rsid w:val="00E27A27"/>
    <w:rsid w:val="00E27B39"/>
    <w:rsid w:val="00E27C93"/>
    <w:rsid w:val="00E3068D"/>
    <w:rsid w:val="00E307E2"/>
    <w:rsid w:val="00E308ED"/>
    <w:rsid w:val="00E3102D"/>
    <w:rsid w:val="00E310AC"/>
    <w:rsid w:val="00E315C0"/>
    <w:rsid w:val="00E318E5"/>
    <w:rsid w:val="00E3192A"/>
    <w:rsid w:val="00E3194A"/>
    <w:rsid w:val="00E31AE0"/>
    <w:rsid w:val="00E31D50"/>
    <w:rsid w:val="00E31D8A"/>
    <w:rsid w:val="00E31DE5"/>
    <w:rsid w:val="00E31E9F"/>
    <w:rsid w:val="00E321E1"/>
    <w:rsid w:val="00E3277A"/>
    <w:rsid w:val="00E32D94"/>
    <w:rsid w:val="00E331B3"/>
    <w:rsid w:val="00E33273"/>
    <w:rsid w:val="00E33A57"/>
    <w:rsid w:val="00E33DB1"/>
    <w:rsid w:val="00E33E7E"/>
    <w:rsid w:val="00E3421C"/>
    <w:rsid w:val="00E343AF"/>
    <w:rsid w:val="00E345C6"/>
    <w:rsid w:val="00E3462C"/>
    <w:rsid w:val="00E3470D"/>
    <w:rsid w:val="00E3573B"/>
    <w:rsid w:val="00E35817"/>
    <w:rsid w:val="00E35B1F"/>
    <w:rsid w:val="00E35BCB"/>
    <w:rsid w:val="00E35C68"/>
    <w:rsid w:val="00E35F6E"/>
    <w:rsid w:val="00E361E1"/>
    <w:rsid w:val="00E36BCC"/>
    <w:rsid w:val="00E372E2"/>
    <w:rsid w:val="00E37915"/>
    <w:rsid w:val="00E379C7"/>
    <w:rsid w:val="00E37CF7"/>
    <w:rsid w:val="00E40141"/>
    <w:rsid w:val="00E40151"/>
    <w:rsid w:val="00E4033A"/>
    <w:rsid w:val="00E406C6"/>
    <w:rsid w:val="00E40740"/>
    <w:rsid w:val="00E409E0"/>
    <w:rsid w:val="00E4169E"/>
    <w:rsid w:val="00E4177B"/>
    <w:rsid w:val="00E41854"/>
    <w:rsid w:val="00E4199B"/>
    <w:rsid w:val="00E41E6B"/>
    <w:rsid w:val="00E41F28"/>
    <w:rsid w:val="00E42003"/>
    <w:rsid w:val="00E42482"/>
    <w:rsid w:val="00E42636"/>
    <w:rsid w:val="00E426A5"/>
    <w:rsid w:val="00E42856"/>
    <w:rsid w:val="00E42F78"/>
    <w:rsid w:val="00E4319B"/>
    <w:rsid w:val="00E4330A"/>
    <w:rsid w:val="00E437C4"/>
    <w:rsid w:val="00E43BBC"/>
    <w:rsid w:val="00E43BC4"/>
    <w:rsid w:val="00E4437F"/>
    <w:rsid w:val="00E444AA"/>
    <w:rsid w:val="00E445DC"/>
    <w:rsid w:val="00E445E4"/>
    <w:rsid w:val="00E446B2"/>
    <w:rsid w:val="00E44AFD"/>
    <w:rsid w:val="00E44C46"/>
    <w:rsid w:val="00E454C4"/>
    <w:rsid w:val="00E45723"/>
    <w:rsid w:val="00E45AD2"/>
    <w:rsid w:val="00E45EE4"/>
    <w:rsid w:val="00E4623C"/>
    <w:rsid w:val="00E463BF"/>
    <w:rsid w:val="00E4647E"/>
    <w:rsid w:val="00E476D6"/>
    <w:rsid w:val="00E47916"/>
    <w:rsid w:val="00E47C1D"/>
    <w:rsid w:val="00E47E4B"/>
    <w:rsid w:val="00E502C8"/>
    <w:rsid w:val="00E50668"/>
    <w:rsid w:val="00E50772"/>
    <w:rsid w:val="00E509AE"/>
    <w:rsid w:val="00E50FA5"/>
    <w:rsid w:val="00E51930"/>
    <w:rsid w:val="00E520A6"/>
    <w:rsid w:val="00E524B9"/>
    <w:rsid w:val="00E525CE"/>
    <w:rsid w:val="00E5299D"/>
    <w:rsid w:val="00E530CD"/>
    <w:rsid w:val="00E530CF"/>
    <w:rsid w:val="00E53A80"/>
    <w:rsid w:val="00E53BB8"/>
    <w:rsid w:val="00E54164"/>
    <w:rsid w:val="00E54186"/>
    <w:rsid w:val="00E5429A"/>
    <w:rsid w:val="00E544C1"/>
    <w:rsid w:val="00E547B5"/>
    <w:rsid w:val="00E54A58"/>
    <w:rsid w:val="00E54A9C"/>
    <w:rsid w:val="00E54BB9"/>
    <w:rsid w:val="00E54C53"/>
    <w:rsid w:val="00E550D5"/>
    <w:rsid w:val="00E55137"/>
    <w:rsid w:val="00E554BC"/>
    <w:rsid w:val="00E554E1"/>
    <w:rsid w:val="00E55679"/>
    <w:rsid w:val="00E561CB"/>
    <w:rsid w:val="00E563E2"/>
    <w:rsid w:val="00E565F2"/>
    <w:rsid w:val="00E56DA1"/>
    <w:rsid w:val="00E57338"/>
    <w:rsid w:val="00E573D1"/>
    <w:rsid w:val="00E57585"/>
    <w:rsid w:val="00E577BA"/>
    <w:rsid w:val="00E57EB0"/>
    <w:rsid w:val="00E60288"/>
    <w:rsid w:val="00E60301"/>
    <w:rsid w:val="00E609CD"/>
    <w:rsid w:val="00E60CAF"/>
    <w:rsid w:val="00E60D58"/>
    <w:rsid w:val="00E60F5F"/>
    <w:rsid w:val="00E617D6"/>
    <w:rsid w:val="00E61940"/>
    <w:rsid w:val="00E61C9C"/>
    <w:rsid w:val="00E62000"/>
    <w:rsid w:val="00E62245"/>
    <w:rsid w:val="00E6258B"/>
    <w:rsid w:val="00E62941"/>
    <w:rsid w:val="00E62A33"/>
    <w:rsid w:val="00E62FB2"/>
    <w:rsid w:val="00E62FC3"/>
    <w:rsid w:val="00E62FDE"/>
    <w:rsid w:val="00E632B9"/>
    <w:rsid w:val="00E632F3"/>
    <w:rsid w:val="00E6372D"/>
    <w:rsid w:val="00E63869"/>
    <w:rsid w:val="00E63A7D"/>
    <w:rsid w:val="00E63CC3"/>
    <w:rsid w:val="00E63D06"/>
    <w:rsid w:val="00E641D8"/>
    <w:rsid w:val="00E644F7"/>
    <w:rsid w:val="00E64DCB"/>
    <w:rsid w:val="00E65205"/>
    <w:rsid w:val="00E654DC"/>
    <w:rsid w:val="00E65D54"/>
    <w:rsid w:val="00E65F67"/>
    <w:rsid w:val="00E660AB"/>
    <w:rsid w:val="00E66128"/>
    <w:rsid w:val="00E6624F"/>
    <w:rsid w:val="00E663A3"/>
    <w:rsid w:val="00E66860"/>
    <w:rsid w:val="00E668F1"/>
    <w:rsid w:val="00E66CEA"/>
    <w:rsid w:val="00E66FAB"/>
    <w:rsid w:val="00E67029"/>
    <w:rsid w:val="00E677A9"/>
    <w:rsid w:val="00E67B5A"/>
    <w:rsid w:val="00E67DAB"/>
    <w:rsid w:val="00E67EA9"/>
    <w:rsid w:val="00E70246"/>
    <w:rsid w:val="00E70737"/>
    <w:rsid w:val="00E70849"/>
    <w:rsid w:val="00E7099E"/>
    <w:rsid w:val="00E709BE"/>
    <w:rsid w:val="00E70AEB"/>
    <w:rsid w:val="00E7114D"/>
    <w:rsid w:val="00E71365"/>
    <w:rsid w:val="00E71480"/>
    <w:rsid w:val="00E718A8"/>
    <w:rsid w:val="00E71BC0"/>
    <w:rsid w:val="00E72080"/>
    <w:rsid w:val="00E72E4A"/>
    <w:rsid w:val="00E731A6"/>
    <w:rsid w:val="00E73463"/>
    <w:rsid w:val="00E73959"/>
    <w:rsid w:val="00E73E28"/>
    <w:rsid w:val="00E73FE7"/>
    <w:rsid w:val="00E7436A"/>
    <w:rsid w:val="00E74A13"/>
    <w:rsid w:val="00E74B8B"/>
    <w:rsid w:val="00E7544F"/>
    <w:rsid w:val="00E7610C"/>
    <w:rsid w:val="00E765B3"/>
    <w:rsid w:val="00E76664"/>
    <w:rsid w:val="00E76DDF"/>
    <w:rsid w:val="00E77916"/>
    <w:rsid w:val="00E779CA"/>
    <w:rsid w:val="00E779FC"/>
    <w:rsid w:val="00E77BDA"/>
    <w:rsid w:val="00E8002E"/>
    <w:rsid w:val="00E8034D"/>
    <w:rsid w:val="00E8058B"/>
    <w:rsid w:val="00E80BEA"/>
    <w:rsid w:val="00E80CE3"/>
    <w:rsid w:val="00E80E36"/>
    <w:rsid w:val="00E811BD"/>
    <w:rsid w:val="00E81294"/>
    <w:rsid w:val="00E812B7"/>
    <w:rsid w:val="00E8145C"/>
    <w:rsid w:val="00E818F4"/>
    <w:rsid w:val="00E81C02"/>
    <w:rsid w:val="00E81C34"/>
    <w:rsid w:val="00E81CF6"/>
    <w:rsid w:val="00E81F1D"/>
    <w:rsid w:val="00E8234C"/>
    <w:rsid w:val="00E82B4D"/>
    <w:rsid w:val="00E8362E"/>
    <w:rsid w:val="00E838F9"/>
    <w:rsid w:val="00E83A8F"/>
    <w:rsid w:val="00E83ACF"/>
    <w:rsid w:val="00E83CEA"/>
    <w:rsid w:val="00E8442D"/>
    <w:rsid w:val="00E84D6F"/>
    <w:rsid w:val="00E85477"/>
    <w:rsid w:val="00E855AC"/>
    <w:rsid w:val="00E85701"/>
    <w:rsid w:val="00E858FB"/>
    <w:rsid w:val="00E8593C"/>
    <w:rsid w:val="00E85D7C"/>
    <w:rsid w:val="00E860E0"/>
    <w:rsid w:val="00E8614C"/>
    <w:rsid w:val="00E868F7"/>
    <w:rsid w:val="00E86A95"/>
    <w:rsid w:val="00E86EE0"/>
    <w:rsid w:val="00E86F1D"/>
    <w:rsid w:val="00E871F8"/>
    <w:rsid w:val="00E87249"/>
    <w:rsid w:val="00E87297"/>
    <w:rsid w:val="00E87408"/>
    <w:rsid w:val="00E87541"/>
    <w:rsid w:val="00E87692"/>
    <w:rsid w:val="00E87F6A"/>
    <w:rsid w:val="00E9001C"/>
    <w:rsid w:val="00E90159"/>
    <w:rsid w:val="00E90236"/>
    <w:rsid w:val="00E9029B"/>
    <w:rsid w:val="00E90395"/>
    <w:rsid w:val="00E90420"/>
    <w:rsid w:val="00E90436"/>
    <w:rsid w:val="00E90488"/>
    <w:rsid w:val="00E90B21"/>
    <w:rsid w:val="00E91333"/>
    <w:rsid w:val="00E9135B"/>
    <w:rsid w:val="00E91672"/>
    <w:rsid w:val="00E91AA2"/>
    <w:rsid w:val="00E91B8E"/>
    <w:rsid w:val="00E920B8"/>
    <w:rsid w:val="00E920DA"/>
    <w:rsid w:val="00E9302E"/>
    <w:rsid w:val="00E93658"/>
    <w:rsid w:val="00E93D03"/>
    <w:rsid w:val="00E93F88"/>
    <w:rsid w:val="00E94044"/>
    <w:rsid w:val="00E9485B"/>
    <w:rsid w:val="00E94C8C"/>
    <w:rsid w:val="00E94F20"/>
    <w:rsid w:val="00E952D6"/>
    <w:rsid w:val="00E955CA"/>
    <w:rsid w:val="00E956F6"/>
    <w:rsid w:val="00E95738"/>
    <w:rsid w:val="00E958DB"/>
    <w:rsid w:val="00E95A6A"/>
    <w:rsid w:val="00E95C93"/>
    <w:rsid w:val="00E95F34"/>
    <w:rsid w:val="00E95FF6"/>
    <w:rsid w:val="00E962D7"/>
    <w:rsid w:val="00E96AB5"/>
    <w:rsid w:val="00E97061"/>
    <w:rsid w:val="00E972BE"/>
    <w:rsid w:val="00EA0232"/>
    <w:rsid w:val="00EA03CD"/>
    <w:rsid w:val="00EA044E"/>
    <w:rsid w:val="00EA0482"/>
    <w:rsid w:val="00EA08CE"/>
    <w:rsid w:val="00EA08D5"/>
    <w:rsid w:val="00EA0BE9"/>
    <w:rsid w:val="00EA0F7D"/>
    <w:rsid w:val="00EA0FA4"/>
    <w:rsid w:val="00EA183B"/>
    <w:rsid w:val="00EA1960"/>
    <w:rsid w:val="00EA1DA6"/>
    <w:rsid w:val="00EA3141"/>
    <w:rsid w:val="00EA339B"/>
    <w:rsid w:val="00EA36CD"/>
    <w:rsid w:val="00EA3766"/>
    <w:rsid w:val="00EA3767"/>
    <w:rsid w:val="00EA382E"/>
    <w:rsid w:val="00EA3968"/>
    <w:rsid w:val="00EA4725"/>
    <w:rsid w:val="00EA4C26"/>
    <w:rsid w:val="00EA53D2"/>
    <w:rsid w:val="00EA544A"/>
    <w:rsid w:val="00EA5589"/>
    <w:rsid w:val="00EA5BF3"/>
    <w:rsid w:val="00EA6401"/>
    <w:rsid w:val="00EA641B"/>
    <w:rsid w:val="00EA66BE"/>
    <w:rsid w:val="00EA66C2"/>
    <w:rsid w:val="00EA75F9"/>
    <w:rsid w:val="00EA761B"/>
    <w:rsid w:val="00EA7FD8"/>
    <w:rsid w:val="00EB035F"/>
    <w:rsid w:val="00EB06BE"/>
    <w:rsid w:val="00EB0A37"/>
    <w:rsid w:val="00EB0B3E"/>
    <w:rsid w:val="00EB137F"/>
    <w:rsid w:val="00EB152D"/>
    <w:rsid w:val="00EB161A"/>
    <w:rsid w:val="00EB1B0A"/>
    <w:rsid w:val="00EB2118"/>
    <w:rsid w:val="00EB22B6"/>
    <w:rsid w:val="00EB23A4"/>
    <w:rsid w:val="00EB2D88"/>
    <w:rsid w:val="00EB2F0C"/>
    <w:rsid w:val="00EB2F7C"/>
    <w:rsid w:val="00EB39B5"/>
    <w:rsid w:val="00EB3A3E"/>
    <w:rsid w:val="00EB3EEA"/>
    <w:rsid w:val="00EB4151"/>
    <w:rsid w:val="00EB4182"/>
    <w:rsid w:val="00EB41C1"/>
    <w:rsid w:val="00EB48DA"/>
    <w:rsid w:val="00EB5385"/>
    <w:rsid w:val="00EB53D0"/>
    <w:rsid w:val="00EB5AAC"/>
    <w:rsid w:val="00EB5C73"/>
    <w:rsid w:val="00EB5DC3"/>
    <w:rsid w:val="00EB5FED"/>
    <w:rsid w:val="00EB6181"/>
    <w:rsid w:val="00EB67DA"/>
    <w:rsid w:val="00EB6859"/>
    <w:rsid w:val="00EB6ACF"/>
    <w:rsid w:val="00EB73CC"/>
    <w:rsid w:val="00EC0189"/>
    <w:rsid w:val="00EC02E1"/>
    <w:rsid w:val="00EC0342"/>
    <w:rsid w:val="00EC06F4"/>
    <w:rsid w:val="00EC0B05"/>
    <w:rsid w:val="00EC120A"/>
    <w:rsid w:val="00EC149C"/>
    <w:rsid w:val="00EC1F0C"/>
    <w:rsid w:val="00EC1F36"/>
    <w:rsid w:val="00EC23E5"/>
    <w:rsid w:val="00EC2656"/>
    <w:rsid w:val="00EC282B"/>
    <w:rsid w:val="00EC29DD"/>
    <w:rsid w:val="00EC2C34"/>
    <w:rsid w:val="00EC2CD3"/>
    <w:rsid w:val="00EC2EA0"/>
    <w:rsid w:val="00EC314E"/>
    <w:rsid w:val="00EC334C"/>
    <w:rsid w:val="00EC3596"/>
    <w:rsid w:val="00EC3BF8"/>
    <w:rsid w:val="00EC3CB4"/>
    <w:rsid w:val="00EC4016"/>
    <w:rsid w:val="00EC40B1"/>
    <w:rsid w:val="00EC474F"/>
    <w:rsid w:val="00EC4835"/>
    <w:rsid w:val="00EC48EA"/>
    <w:rsid w:val="00EC4A4D"/>
    <w:rsid w:val="00EC4C45"/>
    <w:rsid w:val="00EC572B"/>
    <w:rsid w:val="00EC57C7"/>
    <w:rsid w:val="00EC5831"/>
    <w:rsid w:val="00EC58E0"/>
    <w:rsid w:val="00EC6DA5"/>
    <w:rsid w:val="00EC6E5C"/>
    <w:rsid w:val="00EC6F0E"/>
    <w:rsid w:val="00EC7088"/>
    <w:rsid w:val="00EC75EE"/>
    <w:rsid w:val="00EC7773"/>
    <w:rsid w:val="00ED03D5"/>
    <w:rsid w:val="00ED09E5"/>
    <w:rsid w:val="00ED09E7"/>
    <w:rsid w:val="00ED1014"/>
    <w:rsid w:val="00ED1236"/>
    <w:rsid w:val="00ED128F"/>
    <w:rsid w:val="00ED1563"/>
    <w:rsid w:val="00ED176C"/>
    <w:rsid w:val="00ED1943"/>
    <w:rsid w:val="00ED1954"/>
    <w:rsid w:val="00ED1971"/>
    <w:rsid w:val="00ED19E8"/>
    <w:rsid w:val="00ED1C23"/>
    <w:rsid w:val="00ED1EB8"/>
    <w:rsid w:val="00ED24F4"/>
    <w:rsid w:val="00ED2BE5"/>
    <w:rsid w:val="00ED2CBC"/>
    <w:rsid w:val="00ED2E00"/>
    <w:rsid w:val="00ED2FE0"/>
    <w:rsid w:val="00ED2FEE"/>
    <w:rsid w:val="00ED3430"/>
    <w:rsid w:val="00ED3A52"/>
    <w:rsid w:val="00ED3FE6"/>
    <w:rsid w:val="00ED4254"/>
    <w:rsid w:val="00ED47B9"/>
    <w:rsid w:val="00ED4B81"/>
    <w:rsid w:val="00ED4C4C"/>
    <w:rsid w:val="00ED4C62"/>
    <w:rsid w:val="00ED5378"/>
    <w:rsid w:val="00ED5D77"/>
    <w:rsid w:val="00ED6271"/>
    <w:rsid w:val="00ED66F9"/>
    <w:rsid w:val="00ED6757"/>
    <w:rsid w:val="00ED712D"/>
    <w:rsid w:val="00ED72E8"/>
    <w:rsid w:val="00ED7369"/>
    <w:rsid w:val="00ED79ED"/>
    <w:rsid w:val="00EE029A"/>
    <w:rsid w:val="00EE0699"/>
    <w:rsid w:val="00EE0E55"/>
    <w:rsid w:val="00EE1087"/>
    <w:rsid w:val="00EE1102"/>
    <w:rsid w:val="00EE17C8"/>
    <w:rsid w:val="00EE1FA9"/>
    <w:rsid w:val="00EE27D3"/>
    <w:rsid w:val="00EE288F"/>
    <w:rsid w:val="00EE2AC6"/>
    <w:rsid w:val="00EE2D03"/>
    <w:rsid w:val="00EE3481"/>
    <w:rsid w:val="00EE3945"/>
    <w:rsid w:val="00EE3A0E"/>
    <w:rsid w:val="00EE3DE0"/>
    <w:rsid w:val="00EE405C"/>
    <w:rsid w:val="00EE431A"/>
    <w:rsid w:val="00EE45E3"/>
    <w:rsid w:val="00EE48CD"/>
    <w:rsid w:val="00EE4B63"/>
    <w:rsid w:val="00EE4C5C"/>
    <w:rsid w:val="00EE4DAA"/>
    <w:rsid w:val="00EE51CE"/>
    <w:rsid w:val="00EE5235"/>
    <w:rsid w:val="00EE56EF"/>
    <w:rsid w:val="00EE5C9B"/>
    <w:rsid w:val="00EE5DA0"/>
    <w:rsid w:val="00EE5F84"/>
    <w:rsid w:val="00EE61E6"/>
    <w:rsid w:val="00EE631A"/>
    <w:rsid w:val="00EE6868"/>
    <w:rsid w:val="00EE6C2F"/>
    <w:rsid w:val="00EE6CCC"/>
    <w:rsid w:val="00EE6DF0"/>
    <w:rsid w:val="00EE720D"/>
    <w:rsid w:val="00EE7D88"/>
    <w:rsid w:val="00EE7DD5"/>
    <w:rsid w:val="00EE7DDF"/>
    <w:rsid w:val="00EE7EA1"/>
    <w:rsid w:val="00EE7ED0"/>
    <w:rsid w:val="00EF00F8"/>
    <w:rsid w:val="00EF093D"/>
    <w:rsid w:val="00EF0B0A"/>
    <w:rsid w:val="00EF0C58"/>
    <w:rsid w:val="00EF156D"/>
    <w:rsid w:val="00EF15DF"/>
    <w:rsid w:val="00EF1C86"/>
    <w:rsid w:val="00EF1E90"/>
    <w:rsid w:val="00EF2352"/>
    <w:rsid w:val="00EF2550"/>
    <w:rsid w:val="00EF2A8E"/>
    <w:rsid w:val="00EF2B47"/>
    <w:rsid w:val="00EF3488"/>
    <w:rsid w:val="00EF34DB"/>
    <w:rsid w:val="00EF364E"/>
    <w:rsid w:val="00EF36B7"/>
    <w:rsid w:val="00EF3A09"/>
    <w:rsid w:val="00EF3D1C"/>
    <w:rsid w:val="00EF43F5"/>
    <w:rsid w:val="00EF45F9"/>
    <w:rsid w:val="00EF4A55"/>
    <w:rsid w:val="00EF4CB6"/>
    <w:rsid w:val="00EF5643"/>
    <w:rsid w:val="00EF5BD4"/>
    <w:rsid w:val="00EF5D1A"/>
    <w:rsid w:val="00EF5F24"/>
    <w:rsid w:val="00EF657D"/>
    <w:rsid w:val="00EF69FB"/>
    <w:rsid w:val="00EF6BDA"/>
    <w:rsid w:val="00EF7295"/>
    <w:rsid w:val="00EF789F"/>
    <w:rsid w:val="00F00054"/>
    <w:rsid w:val="00F00721"/>
    <w:rsid w:val="00F00A97"/>
    <w:rsid w:val="00F01211"/>
    <w:rsid w:val="00F02164"/>
    <w:rsid w:val="00F025FD"/>
    <w:rsid w:val="00F026CE"/>
    <w:rsid w:val="00F02721"/>
    <w:rsid w:val="00F027AF"/>
    <w:rsid w:val="00F0296F"/>
    <w:rsid w:val="00F02CFA"/>
    <w:rsid w:val="00F03018"/>
    <w:rsid w:val="00F03812"/>
    <w:rsid w:val="00F0381E"/>
    <w:rsid w:val="00F038D1"/>
    <w:rsid w:val="00F03B90"/>
    <w:rsid w:val="00F03EEC"/>
    <w:rsid w:val="00F03FC8"/>
    <w:rsid w:val="00F040D6"/>
    <w:rsid w:val="00F045CE"/>
    <w:rsid w:val="00F04907"/>
    <w:rsid w:val="00F04B13"/>
    <w:rsid w:val="00F04CC8"/>
    <w:rsid w:val="00F04D88"/>
    <w:rsid w:val="00F054AD"/>
    <w:rsid w:val="00F056DF"/>
    <w:rsid w:val="00F062ED"/>
    <w:rsid w:val="00F0635B"/>
    <w:rsid w:val="00F06466"/>
    <w:rsid w:val="00F06A7A"/>
    <w:rsid w:val="00F06F14"/>
    <w:rsid w:val="00F06F58"/>
    <w:rsid w:val="00F070B2"/>
    <w:rsid w:val="00F07449"/>
    <w:rsid w:val="00F07512"/>
    <w:rsid w:val="00F07615"/>
    <w:rsid w:val="00F07AC2"/>
    <w:rsid w:val="00F07C06"/>
    <w:rsid w:val="00F10192"/>
    <w:rsid w:val="00F10502"/>
    <w:rsid w:val="00F105C1"/>
    <w:rsid w:val="00F1062B"/>
    <w:rsid w:val="00F1079F"/>
    <w:rsid w:val="00F107FE"/>
    <w:rsid w:val="00F11122"/>
    <w:rsid w:val="00F1114C"/>
    <w:rsid w:val="00F11362"/>
    <w:rsid w:val="00F114B0"/>
    <w:rsid w:val="00F11834"/>
    <w:rsid w:val="00F1204A"/>
    <w:rsid w:val="00F12362"/>
    <w:rsid w:val="00F128FF"/>
    <w:rsid w:val="00F129DE"/>
    <w:rsid w:val="00F129F8"/>
    <w:rsid w:val="00F12AF2"/>
    <w:rsid w:val="00F12BB5"/>
    <w:rsid w:val="00F12C2D"/>
    <w:rsid w:val="00F139E4"/>
    <w:rsid w:val="00F13FC9"/>
    <w:rsid w:val="00F1405A"/>
    <w:rsid w:val="00F14792"/>
    <w:rsid w:val="00F148F0"/>
    <w:rsid w:val="00F14AC0"/>
    <w:rsid w:val="00F14FE4"/>
    <w:rsid w:val="00F15153"/>
    <w:rsid w:val="00F15384"/>
    <w:rsid w:val="00F153E4"/>
    <w:rsid w:val="00F154C0"/>
    <w:rsid w:val="00F1586C"/>
    <w:rsid w:val="00F15AAC"/>
    <w:rsid w:val="00F15B34"/>
    <w:rsid w:val="00F16116"/>
    <w:rsid w:val="00F166EF"/>
    <w:rsid w:val="00F16709"/>
    <w:rsid w:val="00F1687B"/>
    <w:rsid w:val="00F168CE"/>
    <w:rsid w:val="00F16D0B"/>
    <w:rsid w:val="00F1710D"/>
    <w:rsid w:val="00F1755E"/>
    <w:rsid w:val="00F175B4"/>
    <w:rsid w:val="00F1767B"/>
    <w:rsid w:val="00F17702"/>
    <w:rsid w:val="00F1770B"/>
    <w:rsid w:val="00F17725"/>
    <w:rsid w:val="00F17D70"/>
    <w:rsid w:val="00F17DFD"/>
    <w:rsid w:val="00F17FAF"/>
    <w:rsid w:val="00F200B5"/>
    <w:rsid w:val="00F20174"/>
    <w:rsid w:val="00F20428"/>
    <w:rsid w:val="00F20CCC"/>
    <w:rsid w:val="00F21076"/>
    <w:rsid w:val="00F217B5"/>
    <w:rsid w:val="00F21DAE"/>
    <w:rsid w:val="00F22238"/>
    <w:rsid w:val="00F22888"/>
    <w:rsid w:val="00F22E50"/>
    <w:rsid w:val="00F230D9"/>
    <w:rsid w:val="00F231F5"/>
    <w:rsid w:val="00F231F9"/>
    <w:rsid w:val="00F2357C"/>
    <w:rsid w:val="00F237FC"/>
    <w:rsid w:val="00F23825"/>
    <w:rsid w:val="00F2398D"/>
    <w:rsid w:val="00F23ADC"/>
    <w:rsid w:val="00F24053"/>
    <w:rsid w:val="00F2419E"/>
    <w:rsid w:val="00F244EE"/>
    <w:rsid w:val="00F24D9C"/>
    <w:rsid w:val="00F255C2"/>
    <w:rsid w:val="00F2570B"/>
    <w:rsid w:val="00F2577D"/>
    <w:rsid w:val="00F25933"/>
    <w:rsid w:val="00F259EA"/>
    <w:rsid w:val="00F25DD5"/>
    <w:rsid w:val="00F25E5D"/>
    <w:rsid w:val="00F25F14"/>
    <w:rsid w:val="00F26132"/>
    <w:rsid w:val="00F26138"/>
    <w:rsid w:val="00F261B1"/>
    <w:rsid w:val="00F262DE"/>
    <w:rsid w:val="00F26BC9"/>
    <w:rsid w:val="00F26CC7"/>
    <w:rsid w:val="00F270DB"/>
    <w:rsid w:val="00F2745F"/>
    <w:rsid w:val="00F27692"/>
    <w:rsid w:val="00F27BA2"/>
    <w:rsid w:val="00F3029C"/>
    <w:rsid w:val="00F303D9"/>
    <w:rsid w:val="00F307A1"/>
    <w:rsid w:val="00F308FC"/>
    <w:rsid w:val="00F30AFE"/>
    <w:rsid w:val="00F30B0A"/>
    <w:rsid w:val="00F3111C"/>
    <w:rsid w:val="00F31B26"/>
    <w:rsid w:val="00F31D8E"/>
    <w:rsid w:val="00F31EA8"/>
    <w:rsid w:val="00F31F58"/>
    <w:rsid w:val="00F32363"/>
    <w:rsid w:val="00F32450"/>
    <w:rsid w:val="00F324FB"/>
    <w:rsid w:val="00F32988"/>
    <w:rsid w:val="00F32F80"/>
    <w:rsid w:val="00F3315A"/>
    <w:rsid w:val="00F33432"/>
    <w:rsid w:val="00F336EB"/>
    <w:rsid w:val="00F33834"/>
    <w:rsid w:val="00F339DE"/>
    <w:rsid w:val="00F33DAE"/>
    <w:rsid w:val="00F33F53"/>
    <w:rsid w:val="00F33F77"/>
    <w:rsid w:val="00F340F0"/>
    <w:rsid w:val="00F34891"/>
    <w:rsid w:val="00F34CF2"/>
    <w:rsid w:val="00F34E65"/>
    <w:rsid w:val="00F350E2"/>
    <w:rsid w:val="00F35445"/>
    <w:rsid w:val="00F357F6"/>
    <w:rsid w:val="00F35E53"/>
    <w:rsid w:val="00F36088"/>
    <w:rsid w:val="00F36789"/>
    <w:rsid w:val="00F36D6F"/>
    <w:rsid w:val="00F36F13"/>
    <w:rsid w:val="00F3719B"/>
    <w:rsid w:val="00F37347"/>
    <w:rsid w:val="00F37449"/>
    <w:rsid w:val="00F37680"/>
    <w:rsid w:val="00F37A57"/>
    <w:rsid w:val="00F37C79"/>
    <w:rsid w:val="00F37D0C"/>
    <w:rsid w:val="00F37F06"/>
    <w:rsid w:val="00F4029B"/>
    <w:rsid w:val="00F4038D"/>
    <w:rsid w:val="00F4065D"/>
    <w:rsid w:val="00F40ACB"/>
    <w:rsid w:val="00F416C7"/>
    <w:rsid w:val="00F4186A"/>
    <w:rsid w:val="00F4198C"/>
    <w:rsid w:val="00F419F5"/>
    <w:rsid w:val="00F41A29"/>
    <w:rsid w:val="00F41B13"/>
    <w:rsid w:val="00F42017"/>
    <w:rsid w:val="00F4207F"/>
    <w:rsid w:val="00F42C63"/>
    <w:rsid w:val="00F430BA"/>
    <w:rsid w:val="00F4377A"/>
    <w:rsid w:val="00F4423C"/>
    <w:rsid w:val="00F44424"/>
    <w:rsid w:val="00F44BC9"/>
    <w:rsid w:val="00F44BF8"/>
    <w:rsid w:val="00F44C09"/>
    <w:rsid w:val="00F44D85"/>
    <w:rsid w:val="00F4511F"/>
    <w:rsid w:val="00F45210"/>
    <w:rsid w:val="00F45FF8"/>
    <w:rsid w:val="00F462FA"/>
    <w:rsid w:val="00F468F4"/>
    <w:rsid w:val="00F46B17"/>
    <w:rsid w:val="00F4737A"/>
    <w:rsid w:val="00F476F8"/>
    <w:rsid w:val="00F47F5D"/>
    <w:rsid w:val="00F47FC3"/>
    <w:rsid w:val="00F504A4"/>
    <w:rsid w:val="00F507B8"/>
    <w:rsid w:val="00F50852"/>
    <w:rsid w:val="00F50B57"/>
    <w:rsid w:val="00F50E61"/>
    <w:rsid w:val="00F5128C"/>
    <w:rsid w:val="00F5136A"/>
    <w:rsid w:val="00F5156F"/>
    <w:rsid w:val="00F51671"/>
    <w:rsid w:val="00F51939"/>
    <w:rsid w:val="00F5219C"/>
    <w:rsid w:val="00F525AF"/>
    <w:rsid w:val="00F52608"/>
    <w:rsid w:val="00F52B1E"/>
    <w:rsid w:val="00F52ECB"/>
    <w:rsid w:val="00F53355"/>
    <w:rsid w:val="00F53B95"/>
    <w:rsid w:val="00F53C0F"/>
    <w:rsid w:val="00F53F23"/>
    <w:rsid w:val="00F54132"/>
    <w:rsid w:val="00F54225"/>
    <w:rsid w:val="00F54306"/>
    <w:rsid w:val="00F5455A"/>
    <w:rsid w:val="00F54DE9"/>
    <w:rsid w:val="00F5578E"/>
    <w:rsid w:val="00F558B5"/>
    <w:rsid w:val="00F560E6"/>
    <w:rsid w:val="00F56511"/>
    <w:rsid w:val="00F566C0"/>
    <w:rsid w:val="00F568C4"/>
    <w:rsid w:val="00F574A9"/>
    <w:rsid w:val="00F578C6"/>
    <w:rsid w:val="00F607CD"/>
    <w:rsid w:val="00F608CB"/>
    <w:rsid w:val="00F60C47"/>
    <w:rsid w:val="00F611F1"/>
    <w:rsid w:val="00F61836"/>
    <w:rsid w:val="00F61A1D"/>
    <w:rsid w:val="00F61ACA"/>
    <w:rsid w:val="00F61C95"/>
    <w:rsid w:val="00F620F4"/>
    <w:rsid w:val="00F6276E"/>
    <w:rsid w:val="00F634DF"/>
    <w:rsid w:val="00F63E6E"/>
    <w:rsid w:val="00F643B0"/>
    <w:rsid w:val="00F64647"/>
    <w:rsid w:val="00F64AB8"/>
    <w:rsid w:val="00F6502A"/>
    <w:rsid w:val="00F656A3"/>
    <w:rsid w:val="00F65758"/>
    <w:rsid w:val="00F659D5"/>
    <w:rsid w:val="00F65A1F"/>
    <w:rsid w:val="00F66224"/>
    <w:rsid w:val="00F664CA"/>
    <w:rsid w:val="00F667D0"/>
    <w:rsid w:val="00F66831"/>
    <w:rsid w:val="00F66D5F"/>
    <w:rsid w:val="00F66E36"/>
    <w:rsid w:val="00F67276"/>
    <w:rsid w:val="00F67AC2"/>
    <w:rsid w:val="00F702E2"/>
    <w:rsid w:val="00F7090C"/>
    <w:rsid w:val="00F7094A"/>
    <w:rsid w:val="00F7121C"/>
    <w:rsid w:val="00F716DE"/>
    <w:rsid w:val="00F71A1B"/>
    <w:rsid w:val="00F71E43"/>
    <w:rsid w:val="00F722E5"/>
    <w:rsid w:val="00F72B09"/>
    <w:rsid w:val="00F72C29"/>
    <w:rsid w:val="00F72C7B"/>
    <w:rsid w:val="00F73621"/>
    <w:rsid w:val="00F7382B"/>
    <w:rsid w:val="00F73893"/>
    <w:rsid w:val="00F73BDE"/>
    <w:rsid w:val="00F73C2D"/>
    <w:rsid w:val="00F73CA6"/>
    <w:rsid w:val="00F73D0E"/>
    <w:rsid w:val="00F73F53"/>
    <w:rsid w:val="00F743E3"/>
    <w:rsid w:val="00F74A0A"/>
    <w:rsid w:val="00F74DB5"/>
    <w:rsid w:val="00F74ED9"/>
    <w:rsid w:val="00F75088"/>
    <w:rsid w:val="00F7522D"/>
    <w:rsid w:val="00F753E5"/>
    <w:rsid w:val="00F7549A"/>
    <w:rsid w:val="00F75822"/>
    <w:rsid w:val="00F75FE2"/>
    <w:rsid w:val="00F760AE"/>
    <w:rsid w:val="00F76208"/>
    <w:rsid w:val="00F766E4"/>
    <w:rsid w:val="00F76883"/>
    <w:rsid w:val="00F76A47"/>
    <w:rsid w:val="00F76D11"/>
    <w:rsid w:val="00F76E3C"/>
    <w:rsid w:val="00F7712E"/>
    <w:rsid w:val="00F77219"/>
    <w:rsid w:val="00F774A1"/>
    <w:rsid w:val="00F80263"/>
    <w:rsid w:val="00F804A5"/>
    <w:rsid w:val="00F807D5"/>
    <w:rsid w:val="00F8122B"/>
    <w:rsid w:val="00F81276"/>
    <w:rsid w:val="00F81375"/>
    <w:rsid w:val="00F81D1B"/>
    <w:rsid w:val="00F820D5"/>
    <w:rsid w:val="00F82AE4"/>
    <w:rsid w:val="00F82C0A"/>
    <w:rsid w:val="00F82C0E"/>
    <w:rsid w:val="00F83001"/>
    <w:rsid w:val="00F83018"/>
    <w:rsid w:val="00F8303E"/>
    <w:rsid w:val="00F830A1"/>
    <w:rsid w:val="00F830B5"/>
    <w:rsid w:val="00F834AF"/>
    <w:rsid w:val="00F837F6"/>
    <w:rsid w:val="00F83822"/>
    <w:rsid w:val="00F8384E"/>
    <w:rsid w:val="00F83BA3"/>
    <w:rsid w:val="00F83C25"/>
    <w:rsid w:val="00F83D15"/>
    <w:rsid w:val="00F84166"/>
    <w:rsid w:val="00F84199"/>
    <w:rsid w:val="00F845F6"/>
    <w:rsid w:val="00F846CE"/>
    <w:rsid w:val="00F84A57"/>
    <w:rsid w:val="00F8534C"/>
    <w:rsid w:val="00F854A1"/>
    <w:rsid w:val="00F8577E"/>
    <w:rsid w:val="00F857B0"/>
    <w:rsid w:val="00F866D1"/>
    <w:rsid w:val="00F86A16"/>
    <w:rsid w:val="00F86FBB"/>
    <w:rsid w:val="00F871ED"/>
    <w:rsid w:val="00F87310"/>
    <w:rsid w:val="00F87555"/>
    <w:rsid w:val="00F87838"/>
    <w:rsid w:val="00F87C41"/>
    <w:rsid w:val="00F87C94"/>
    <w:rsid w:val="00F90DC3"/>
    <w:rsid w:val="00F90DE2"/>
    <w:rsid w:val="00F90ED0"/>
    <w:rsid w:val="00F91085"/>
    <w:rsid w:val="00F913B7"/>
    <w:rsid w:val="00F91656"/>
    <w:rsid w:val="00F917CC"/>
    <w:rsid w:val="00F928C6"/>
    <w:rsid w:val="00F92B2F"/>
    <w:rsid w:val="00F93954"/>
    <w:rsid w:val="00F93C9D"/>
    <w:rsid w:val="00F93EB8"/>
    <w:rsid w:val="00F941E3"/>
    <w:rsid w:val="00F94221"/>
    <w:rsid w:val="00F94D50"/>
    <w:rsid w:val="00F95004"/>
    <w:rsid w:val="00F95B02"/>
    <w:rsid w:val="00F95C1F"/>
    <w:rsid w:val="00F95D9D"/>
    <w:rsid w:val="00F96189"/>
    <w:rsid w:val="00F96CF2"/>
    <w:rsid w:val="00F96E03"/>
    <w:rsid w:val="00F96E51"/>
    <w:rsid w:val="00F96EEB"/>
    <w:rsid w:val="00F971A2"/>
    <w:rsid w:val="00F97252"/>
    <w:rsid w:val="00F97E4C"/>
    <w:rsid w:val="00F97E52"/>
    <w:rsid w:val="00F97E96"/>
    <w:rsid w:val="00F97F02"/>
    <w:rsid w:val="00FA01B6"/>
    <w:rsid w:val="00FA01C6"/>
    <w:rsid w:val="00FA03FF"/>
    <w:rsid w:val="00FA04DA"/>
    <w:rsid w:val="00FA0F31"/>
    <w:rsid w:val="00FA13D9"/>
    <w:rsid w:val="00FA1D52"/>
    <w:rsid w:val="00FA25E5"/>
    <w:rsid w:val="00FA278D"/>
    <w:rsid w:val="00FA2BA1"/>
    <w:rsid w:val="00FA2F2A"/>
    <w:rsid w:val="00FA30AE"/>
    <w:rsid w:val="00FA3143"/>
    <w:rsid w:val="00FA3176"/>
    <w:rsid w:val="00FA33A5"/>
    <w:rsid w:val="00FA36D5"/>
    <w:rsid w:val="00FA3D5B"/>
    <w:rsid w:val="00FA3FF2"/>
    <w:rsid w:val="00FA421C"/>
    <w:rsid w:val="00FA4518"/>
    <w:rsid w:val="00FA4769"/>
    <w:rsid w:val="00FA4CB7"/>
    <w:rsid w:val="00FA4CC2"/>
    <w:rsid w:val="00FA50C1"/>
    <w:rsid w:val="00FA51E3"/>
    <w:rsid w:val="00FA533D"/>
    <w:rsid w:val="00FA542A"/>
    <w:rsid w:val="00FA58A6"/>
    <w:rsid w:val="00FA5A14"/>
    <w:rsid w:val="00FA5C9D"/>
    <w:rsid w:val="00FA5F87"/>
    <w:rsid w:val="00FA6051"/>
    <w:rsid w:val="00FA6533"/>
    <w:rsid w:val="00FA6775"/>
    <w:rsid w:val="00FA69AD"/>
    <w:rsid w:val="00FA6D88"/>
    <w:rsid w:val="00FA6E50"/>
    <w:rsid w:val="00FA7124"/>
    <w:rsid w:val="00FA7186"/>
    <w:rsid w:val="00FA75E5"/>
    <w:rsid w:val="00FA767E"/>
    <w:rsid w:val="00FA7D9D"/>
    <w:rsid w:val="00FB003F"/>
    <w:rsid w:val="00FB0115"/>
    <w:rsid w:val="00FB01C3"/>
    <w:rsid w:val="00FB0860"/>
    <w:rsid w:val="00FB09F1"/>
    <w:rsid w:val="00FB0C24"/>
    <w:rsid w:val="00FB0C2E"/>
    <w:rsid w:val="00FB0C80"/>
    <w:rsid w:val="00FB1326"/>
    <w:rsid w:val="00FB13E8"/>
    <w:rsid w:val="00FB1A41"/>
    <w:rsid w:val="00FB1C08"/>
    <w:rsid w:val="00FB1C33"/>
    <w:rsid w:val="00FB1C56"/>
    <w:rsid w:val="00FB1F01"/>
    <w:rsid w:val="00FB2431"/>
    <w:rsid w:val="00FB2538"/>
    <w:rsid w:val="00FB2ABC"/>
    <w:rsid w:val="00FB2FF2"/>
    <w:rsid w:val="00FB3869"/>
    <w:rsid w:val="00FB399C"/>
    <w:rsid w:val="00FB3A1A"/>
    <w:rsid w:val="00FB3B52"/>
    <w:rsid w:val="00FB3F06"/>
    <w:rsid w:val="00FB45B6"/>
    <w:rsid w:val="00FB466F"/>
    <w:rsid w:val="00FB47DA"/>
    <w:rsid w:val="00FB497D"/>
    <w:rsid w:val="00FB4A0D"/>
    <w:rsid w:val="00FB4CFE"/>
    <w:rsid w:val="00FB4FBD"/>
    <w:rsid w:val="00FB54AD"/>
    <w:rsid w:val="00FB582D"/>
    <w:rsid w:val="00FB5A9D"/>
    <w:rsid w:val="00FB5CCC"/>
    <w:rsid w:val="00FB5F7C"/>
    <w:rsid w:val="00FB60BD"/>
    <w:rsid w:val="00FB7344"/>
    <w:rsid w:val="00FB7549"/>
    <w:rsid w:val="00FB76D3"/>
    <w:rsid w:val="00FB7C2A"/>
    <w:rsid w:val="00FC0440"/>
    <w:rsid w:val="00FC05A3"/>
    <w:rsid w:val="00FC05CB"/>
    <w:rsid w:val="00FC0858"/>
    <w:rsid w:val="00FC0877"/>
    <w:rsid w:val="00FC0B73"/>
    <w:rsid w:val="00FC11F6"/>
    <w:rsid w:val="00FC127D"/>
    <w:rsid w:val="00FC12BB"/>
    <w:rsid w:val="00FC13A7"/>
    <w:rsid w:val="00FC13BC"/>
    <w:rsid w:val="00FC1541"/>
    <w:rsid w:val="00FC1D0B"/>
    <w:rsid w:val="00FC1F03"/>
    <w:rsid w:val="00FC1F51"/>
    <w:rsid w:val="00FC1F87"/>
    <w:rsid w:val="00FC2B2D"/>
    <w:rsid w:val="00FC36A1"/>
    <w:rsid w:val="00FC3CC7"/>
    <w:rsid w:val="00FC416E"/>
    <w:rsid w:val="00FC4636"/>
    <w:rsid w:val="00FC4651"/>
    <w:rsid w:val="00FC4712"/>
    <w:rsid w:val="00FC4720"/>
    <w:rsid w:val="00FC4CAE"/>
    <w:rsid w:val="00FC4DAC"/>
    <w:rsid w:val="00FC4F4C"/>
    <w:rsid w:val="00FC4FE0"/>
    <w:rsid w:val="00FC5A5D"/>
    <w:rsid w:val="00FC5BCF"/>
    <w:rsid w:val="00FC5EA4"/>
    <w:rsid w:val="00FC5F35"/>
    <w:rsid w:val="00FC605B"/>
    <w:rsid w:val="00FC6508"/>
    <w:rsid w:val="00FC6653"/>
    <w:rsid w:val="00FC6A6F"/>
    <w:rsid w:val="00FC6B2D"/>
    <w:rsid w:val="00FC6C37"/>
    <w:rsid w:val="00FC6EDE"/>
    <w:rsid w:val="00FC7815"/>
    <w:rsid w:val="00FC7EB1"/>
    <w:rsid w:val="00FD0165"/>
    <w:rsid w:val="00FD0460"/>
    <w:rsid w:val="00FD04A4"/>
    <w:rsid w:val="00FD0898"/>
    <w:rsid w:val="00FD0AE7"/>
    <w:rsid w:val="00FD10F0"/>
    <w:rsid w:val="00FD1C84"/>
    <w:rsid w:val="00FD1E4E"/>
    <w:rsid w:val="00FD2036"/>
    <w:rsid w:val="00FD22ED"/>
    <w:rsid w:val="00FD25C1"/>
    <w:rsid w:val="00FD2768"/>
    <w:rsid w:val="00FD2A67"/>
    <w:rsid w:val="00FD2CF5"/>
    <w:rsid w:val="00FD3241"/>
    <w:rsid w:val="00FD33A4"/>
    <w:rsid w:val="00FD4809"/>
    <w:rsid w:val="00FD4A08"/>
    <w:rsid w:val="00FD53B8"/>
    <w:rsid w:val="00FD5496"/>
    <w:rsid w:val="00FD573F"/>
    <w:rsid w:val="00FD5904"/>
    <w:rsid w:val="00FD5EA5"/>
    <w:rsid w:val="00FD608F"/>
    <w:rsid w:val="00FD61DC"/>
    <w:rsid w:val="00FD624F"/>
    <w:rsid w:val="00FD629C"/>
    <w:rsid w:val="00FD6325"/>
    <w:rsid w:val="00FD6380"/>
    <w:rsid w:val="00FD6461"/>
    <w:rsid w:val="00FD6DCF"/>
    <w:rsid w:val="00FD6F72"/>
    <w:rsid w:val="00FD6F73"/>
    <w:rsid w:val="00FD72B4"/>
    <w:rsid w:val="00FD7FC5"/>
    <w:rsid w:val="00FE001D"/>
    <w:rsid w:val="00FE051D"/>
    <w:rsid w:val="00FE0E04"/>
    <w:rsid w:val="00FE21EE"/>
    <w:rsid w:val="00FE22DE"/>
    <w:rsid w:val="00FE2A88"/>
    <w:rsid w:val="00FE3329"/>
    <w:rsid w:val="00FE36F6"/>
    <w:rsid w:val="00FE3726"/>
    <w:rsid w:val="00FE3877"/>
    <w:rsid w:val="00FE38F8"/>
    <w:rsid w:val="00FE3F53"/>
    <w:rsid w:val="00FE3F81"/>
    <w:rsid w:val="00FE3FB9"/>
    <w:rsid w:val="00FE4107"/>
    <w:rsid w:val="00FE4E92"/>
    <w:rsid w:val="00FE522D"/>
    <w:rsid w:val="00FE526F"/>
    <w:rsid w:val="00FE53F3"/>
    <w:rsid w:val="00FE5694"/>
    <w:rsid w:val="00FE59B2"/>
    <w:rsid w:val="00FE5DD1"/>
    <w:rsid w:val="00FE70B8"/>
    <w:rsid w:val="00FE7129"/>
    <w:rsid w:val="00FE7960"/>
    <w:rsid w:val="00FE7994"/>
    <w:rsid w:val="00FE7E79"/>
    <w:rsid w:val="00FE7F43"/>
    <w:rsid w:val="00FE7F7D"/>
    <w:rsid w:val="00FE7FCE"/>
    <w:rsid w:val="00FF029A"/>
    <w:rsid w:val="00FF0330"/>
    <w:rsid w:val="00FF03BA"/>
    <w:rsid w:val="00FF0548"/>
    <w:rsid w:val="00FF094D"/>
    <w:rsid w:val="00FF0BDC"/>
    <w:rsid w:val="00FF0E9D"/>
    <w:rsid w:val="00FF13A8"/>
    <w:rsid w:val="00FF16A6"/>
    <w:rsid w:val="00FF1C16"/>
    <w:rsid w:val="00FF1D5D"/>
    <w:rsid w:val="00FF1DB9"/>
    <w:rsid w:val="00FF1FD0"/>
    <w:rsid w:val="00FF200A"/>
    <w:rsid w:val="00FF2312"/>
    <w:rsid w:val="00FF232E"/>
    <w:rsid w:val="00FF264E"/>
    <w:rsid w:val="00FF2D03"/>
    <w:rsid w:val="00FF2E33"/>
    <w:rsid w:val="00FF36A8"/>
    <w:rsid w:val="00FF486A"/>
    <w:rsid w:val="00FF4917"/>
    <w:rsid w:val="00FF495E"/>
    <w:rsid w:val="00FF4E43"/>
    <w:rsid w:val="00FF51E7"/>
    <w:rsid w:val="00FF539D"/>
    <w:rsid w:val="00FF5793"/>
    <w:rsid w:val="00FF5BD6"/>
    <w:rsid w:val="00FF5F21"/>
    <w:rsid w:val="00FF5FD1"/>
    <w:rsid w:val="00FF6B48"/>
    <w:rsid w:val="00FF7109"/>
    <w:rsid w:val="00FF72F7"/>
    <w:rsid w:val="00FF72FB"/>
    <w:rsid w:val="00FF73C6"/>
    <w:rsid w:val="00FF7466"/>
    <w:rsid w:val="00FF772F"/>
    <w:rsid w:val="00FF7931"/>
    <w:rsid w:val="00FF7A35"/>
    <w:rsid w:val="00FF7D35"/>
    <w:rsid w:val="00FF7F25"/>
    <w:rsid w:val="10503EC9"/>
    <w:rsid w:val="1A599AC0"/>
    <w:rsid w:val="1CEB0076"/>
    <w:rsid w:val="23154934"/>
    <w:rsid w:val="245B7A7A"/>
    <w:rsid w:val="252372AD"/>
    <w:rsid w:val="25F0F5B9"/>
    <w:rsid w:val="2C7BF222"/>
    <w:rsid w:val="45D35096"/>
    <w:rsid w:val="5079C6D3"/>
    <w:rsid w:val="50F94F77"/>
    <w:rsid w:val="53CA107C"/>
    <w:rsid w:val="5B5DC2B6"/>
    <w:rsid w:val="5C2C8ADD"/>
    <w:rsid w:val="5CF6DEF5"/>
    <w:rsid w:val="6458E3F5"/>
    <w:rsid w:val="6FA3867F"/>
    <w:rsid w:val="74B6247B"/>
    <w:rsid w:val="76EB9A5A"/>
    <w:rsid w:val="79B43DDA"/>
    <w:rsid w:val="7FD43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26E2C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01D"/>
    <w:rPr>
      <w:rFonts w:ascii="Arial" w:hAnsi="Arial"/>
    </w:rPr>
  </w:style>
  <w:style w:type="paragraph" w:styleId="Heading1">
    <w:name w:val="heading 1"/>
    <w:basedOn w:val="Normal"/>
    <w:next w:val="Normal"/>
    <w:link w:val="Heading1Char"/>
    <w:uiPriority w:val="9"/>
    <w:qFormat/>
    <w:rsid w:val="00811E03"/>
    <w:pPr>
      <w:keepNext/>
      <w:keepLines/>
      <w:spacing w:after="240" w:line="240" w:lineRule="auto"/>
      <w:outlineLvl w:val="0"/>
    </w:pPr>
    <w:rPr>
      <w:rFonts w:ascii="Georgia" w:eastAsiaTheme="majorEastAsia" w:hAnsi="Georgia" w:cstheme="majorBidi"/>
      <w:color w:val="500778"/>
      <w:sz w:val="48"/>
      <w:szCs w:val="48"/>
    </w:rPr>
  </w:style>
  <w:style w:type="paragraph" w:styleId="Heading2">
    <w:name w:val="heading 2"/>
    <w:basedOn w:val="Normal"/>
    <w:next w:val="Normal"/>
    <w:link w:val="Heading2Char"/>
    <w:uiPriority w:val="9"/>
    <w:unhideWhenUsed/>
    <w:qFormat/>
    <w:rsid w:val="00AC74DC"/>
    <w:pPr>
      <w:keepNext/>
      <w:keepLines/>
      <w:spacing w:after="240" w:line="240" w:lineRule="auto"/>
      <w:outlineLvl w:val="1"/>
    </w:pPr>
    <w:rPr>
      <w:rFonts w:ascii="Georgia" w:eastAsiaTheme="majorEastAsia" w:hAnsi="Georgia" w:cstheme="majorBidi"/>
      <w:color w:val="005A70"/>
      <w:sz w:val="36"/>
      <w:szCs w:val="36"/>
    </w:rPr>
  </w:style>
  <w:style w:type="paragraph" w:styleId="Heading3">
    <w:name w:val="heading 3"/>
    <w:basedOn w:val="Normal"/>
    <w:next w:val="Normal"/>
    <w:link w:val="Heading3Char"/>
    <w:uiPriority w:val="9"/>
    <w:unhideWhenUsed/>
    <w:qFormat/>
    <w:rsid w:val="00645B97"/>
    <w:pPr>
      <w:outlineLvl w:val="2"/>
    </w:pPr>
    <w:rPr>
      <w:rFonts w:ascii="Georgia" w:eastAsiaTheme="majorEastAsia" w:hAnsi="Georgia" w:cstheme="majorBidi"/>
      <w:b/>
      <w:bCs/>
      <w:sz w:val="28"/>
      <w:szCs w:val="28"/>
    </w:rPr>
  </w:style>
  <w:style w:type="paragraph" w:styleId="Heading4">
    <w:name w:val="heading 4"/>
    <w:basedOn w:val="Normal"/>
    <w:next w:val="Normal"/>
    <w:link w:val="Heading4Char"/>
    <w:uiPriority w:val="9"/>
    <w:unhideWhenUsed/>
    <w:qFormat/>
    <w:rsid w:val="007056F5"/>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E03"/>
    <w:rPr>
      <w:rFonts w:ascii="Georgia" w:eastAsiaTheme="majorEastAsia" w:hAnsi="Georgia" w:cstheme="majorBidi"/>
      <w:color w:val="500778"/>
      <w:sz w:val="48"/>
      <w:szCs w:val="48"/>
    </w:rPr>
  </w:style>
  <w:style w:type="character" w:customStyle="1" w:styleId="Heading2Char">
    <w:name w:val="Heading 2 Char"/>
    <w:basedOn w:val="DefaultParagraphFont"/>
    <w:link w:val="Heading2"/>
    <w:uiPriority w:val="9"/>
    <w:rsid w:val="00AC74DC"/>
    <w:rPr>
      <w:rFonts w:ascii="Georgia" w:eastAsiaTheme="majorEastAsia" w:hAnsi="Georgia" w:cstheme="majorBidi"/>
      <w:color w:val="005A70"/>
      <w:sz w:val="36"/>
      <w:szCs w:val="3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645B97"/>
    <w:rPr>
      <w:rFonts w:ascii="Georgia" w:eastAsiaTheme="majorEastAsia" w:hAnsi="Georgia" w:cstheme="majorBidi"/>
      <w:b/>
      <w:bCs/>
      <w:sz w:val="28"/>
      <w:szCs w:val="28"/>
    </w:rPr>
  </w:style>
  <w:style w:type="character" w:customStyle="1" w:styleId="Heading4Char">
    <w:name w:val="Heading 4 Char"/>
    <w:basedOn w:val="DefaultParagraphFont"/>
    <w:link w:val="Heading4"/>
    <w:uiPriority w:val="9"/>
    <w:rsid w:val="007056F5"/>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Brief List Paragraph 1,Bullet point,Bullet- First level,CV text,Content descriptions,Dot pt,F5 List Paragraph,Figure_name,FooterText,L,List Paragraph Number,List Paragraph1,List Paragraph11,List Paragraph2,Listenabsatz1,Recommendation,列出"/>
    <w:basedOn w:val="Normal"/>
    <w:link w:val="ListParagraphChar"/>
    <w:uiPriority w:val="34"/>
    <w:qFormat/>
    <w:rsid w:val="00047B39"/>
    <w:pPr>
      <w:ind w:left="714" w:hanging="357"/>
      <w:contextualSpacing/>
    </w:pPr>
    <w:rPr>
      <w:rFonts w:cs="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A36946"/>
    <w:rPr>
      <w:color w:val="0563C1"/>
      <w:u w:val="single"/>
    </w:rPr>
  </w:style>
  <w:style w:type="paragraph" w:styleId="CommentText">
    <w:name w:val="annotation text"/>
    <w:basedOn w:val="Normal"/>
    <w:link w:val="CommentTextChar"/>
    <w:uiPriority w:val="99"/>
    <w:unhideWhenUsed/>
    <w:rsid w:val="00A36946"/>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A36946"/>
    <w:rPr>
      <w:rFonts w:ascii="Calibri" w:hAnsi="Calibri" w:cs="Calibri"/>
      <w:sz w:val="20"/>
      <w:szCs w:val="20"/>
    </w:rPr>
  </w:style>
  <w:style w:type="character" w:styleId="CommentReference">
    <w:name w:val="annotation reference"/>
    <w:basedOn w:val="DefaultParagraphFont"/>
    <w:uiPriority w:val="99"/>
    <w:semiHidden/>
    <w:unhideWhenUsed/>
    <w:rsid w:val="00A36946"/>
    <w:rPr>
      <w:sz w:val="16"/>
      <w:szCs w:val="16"/>
    </w:rPr>
  </w:style>
  <w:style w:type="table" w:styleId="PlainTable4">
    <w:name w:val="Plain Table 4"/>
    <w:basedOn w:val="TableNormal"/>
    <w:uiPriority w:val="44"/>
    <w:rsid w:val="009067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ing">
    <w:name w:val="Table Heading"/>
    <w:basedOn w:val="Caption"/>
    <w:link w:val="TableHeadingChar"/>
    <w:qFormat/>
    <w:rsid w:val="00906731"/>
    <w:pPr>
      <w:keepNext/>
      <w:spacing w:line="240" w:lineRule="auto"/>
    </w:pPr>
    <w:rPr>
      <w:rFonts w:asciiTheme="minorHAnsi" w:eastAsiaTheme="minorEastAsia" w:hAnsiTheme="minorHAnsi"/>
      <w:caps w:val="0"/>
      <w:smallCaps/>
      <w:color w:val="595959" w:themeColor="text1" w:themeTint="A6"/>
      <w:sz w:val="21"/>
      <w:szCs w:val="21"/>
    </w:rPr>
  </w:style>
  <w:style w:type="character" w:customStyle="1" w:styleId="TableHeadingChar">
    <w:name w:val="Table Heading Char"/>
    <w:basedOn w:val="DefaultParagraphFont"/>
    <w:link w:val="TableHeading"/>
    <w:rsid w:val="00906731"/>
    <w:rPr>
      <w:rFonts w:eastAsiaTheme="minorEastAsia"/>
      <w:b/>
      <w:bCs/>
      <w:smallCaps/>
      <w:color w:val="595959" w:themeColor="text1" w:themeTint="A6"/>
      <w:sz w:val="21"/>
      <w:szCs w:val="21"/>
    </w:rPr>
  </w:style>
  <w:style w:type="paragraph" w:styleId="BalloonText">
    <w:name w:val="Balloon Text"/>
    <w:basedOn w:val="Normal"/>
    <w:link w:val="BalloonTextChar"/>
    <w:uiPriority w:val="99"/>
    <w:semiHidden/>
    <w:unhideWhenUsed/>
    <w:rsid w:val="00C03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36A"/>
    <w:rPr>
      <w:rFonts w:ascii="Segoe UI" w:hAnsi="Segoe UI" w:cs="Segoe UI"/>
      <w:sz w:val="18"/>
      <w:szCs w:val="18"/>
    </w:rPr>
  </w:style>
  <w:style w:type="paragraph" w:styleId="Revision">
    <w:name w:val="Revision"/>
    <w:hidden/>
    <w:uiPriority w:val="99"/>
    <w:semiHidden/>
    <w:rsid w:val="003A56F6"/>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8721C5"/>
    <w:pPr>
      <w:spacing w:after="200"/>
    </w:pPr>
    <w:rPr>
      <w:rFonts w:ascii="Arial" w:hAnsi="Arial" w:cstheme="minorBidi"/>
      <w:b/>
      <w:bCs/>
    </w:rPr>
  </w:style>
  <w:style w:type="character" w:customStyle="1" w:styleId="CommentSubjectChar">
    <w:name w:val="Comment Subject Char"/>
    <w:basedOn w:val="CommentTextChar"/>
    <w:link w:val="CommentSubject"/>
    <w:uiPriority w:val="99"/>
    <w:semiHidden/>
    <w:rsid w:val="008721C5"/>
    <w:rPr>
      <w:rFonts w:ascii="Arial" w:hAnsi="Arial" w:cs="Calibri"/>
      <w:b/>
      <w:bCs/>
      <w:sz w:val="20"/>
      <w:szCs w:val="20"/>
    </w:rPr>
  </w:style>
  <w:style w:type="paragraph" w:styleId="NormalWeb">
    <w:name w:val="Normal (Web)"/>
    <w:basedOn w:val="Normal"/>
    <w:uiPriority w:val="99"/>
    <w:unhideWhenUsed/>
    <w:rsid w:val="00702A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qFormat/>
    <w:rsid w:val="00282830"/>
    <w:pPr>
      <w:spacing w:after="120" w:line="264" w:lineRule="auto"/>
    </w:pPr>
    <w:rPr>
      <w:rFonts w:asciiTheme="minorHAnsi" w:hAnsiTheme="minorHAnsi"/>
      <w:color w:val="262626" w:themeColor="text1" w:themeTint="D9"/>
      <w:sz w:val="20"/>
      <w:szCs w:val="20"/>
    </w:rPr>
  </w:style>
  <w:style w:type="character" w:customStyle="1" w:styleId="BodyTextChar">
    <w:name w:val="Body Text Char"/>
    <w:basedOn w:val="DefaultParagraphFont"/>
    <w:link w:val="BodyText"/>
    <w:rsid w:val="00282830"/>
    <w:rPr>
      <w:color w:val="262626" w:themeColor="text1" w:themeTint="D9"/>
      <w:sz w:val="20"/>
      <w:szCs w:val="20"/>
    </w:rPr>
  </w:style>
  <w:style w:type="paragraph" w:styleId="FootnoteText">
    <w:name w:val="footnote text"/>
    <w:basedOn w:val="Normal"/>
    <w:link w:val="FootnoteTextChar"/>
    <w:uiPriority w:val="99"/>
    <w:rsid w:val="00282830"/>
    <w:pPr>
      <w:spacing w:after="0" w:line="240" w:lineRule="auto"/>
    </w:pPr>
    <w:rPr>
      <w:rFonts w:asciiTheme="minorHAnsi" w:hAnsiTheme="minorHAnsi"/>
      <w:color w:val="262626" w:themeColor="text1" w:themeTint="D9"/>
      <w:sz w:val="20"/>
      <w:szCs w:val="20"/>
    </w:rPr>
  </w:style>
  <w:style w:type="character" w:customStyle="1" w:styleId="FootnoteTextChar">
    <w:name w:val="Footnote Text Char"/>
    <w:basedOn w:val="DefaultParagraphFont"/>
    <w:link w:val="FootnoteText"/>
    <w:uiPriority w:val="99"/>
    <w:rsid w:val="00282830"/>
    <w:rPr>
      <w:color w:val="262626" w:themeColor="text1" w:themeTint="D9"/>
      <w:sz w:val="20"/>
      <w:szCs w:val="20"/>
    </w:rPr>
  </w:style>
  <w:style w:type="character" w:customStyle="1" w:styleId="id-label">
    <w:name w:val="id-label"/>
    <w:basedOn w:val="DefaultParagraphFont"/>
    <w:rsid w:val="00282830"/>
  </w:style>
  <w:style w:type="character" w:styleId="FollowedHyperlink">
    <w:name w:val="FollowedHyperlink"/>
    <w:basedOn w:val="DefaultParagraphFont"/>
    <w:uiPriority w:val="99"/>
    <w:semiHidden/>
    <w:unhideWhenUsed/>
    <w:rsid w:val="005B132E"/>
    <w:rPr>
      <w:color w:val="800080" w:themeColor="followedHyperlink"/>
      <w:u w:val="single"/>
    </w:rPr>
  </w:style>
  <w:style w:type="table" w:styleId="TableGrid">
    <w:name w:val="Table Grid"/>
    <w:basedOn w:val="TableNormal"/>
    <w:uiPriority w:val="59"/>
    <w:rsid w:val="005F5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961C3"/>
    <w:pPr>
      <w:tabs>
        <w:tab w:val="right" w:leader="dot" w:pos="9016"/>
      </w:tabs>
      <w:spacing w:after="100"/>
      <w:ind w:left="720"/>
    </w:pPr>
    <w:rPr>
      <w:rFonts w:ascii="Georgia" w:eastAsiaTheme="majorEastAsia" w:hAnsi="Georgia" w:cstheme="majorBidi"/>
      <w:b/>
      <w:noProof/>
    </w:rPr>
  </w:style>
  <w:style w:type="character" w:styleId="FootnoteReference">
    <w:name w:val="footnote reference"/>
    <w:basedOn w:val="DefaultParagraphFont"/>
    <w:uiPriority w:val="99"/>
    <w:unhideWhenUsed/>
    <w:rsid w:val="00EC0342"/>
    <w:rPr>
      <w:vertAlign w:val="superscript"/>
    </w:rPr>
  </w:style>
  <w:style w:type="character" w:customStyle="1" w:styleId="ListParagraphChar">
    <w:name w:val="List Paragraph Char"/>
    <w:aliases w:val="Brief List Paragraph 1 Char,Bullet point Char,Bullet- First level Char,CV text Char,Content descriptions Char,Dot pt Char,F5 List Paragraph Char,Figure_name Char,FooterText Char,L Char,List Paragraph Number Char,List Paragraph1 Char"/>
    <w:link w:val="ListParagraph"/>
    <w:uiPriority w:val="34"/>
    <w:qFormat/>
    <w:locked/>
    <w:rsid w:val="00047B39"/>
    <w:rPr>
      <w:rFonts w:ascii="Arial" w:hAnsi="Arial" w:cs="Arial"/>
    </w:rPr>
  </w:style>
  <w:style w:type="paragraph" w:customStyle="1" w:styleId="Bullet">
    <w:name w:val="Bullet"/>
    <w:aliases w:val="Body,BodyNum,Bullet + line,b,b + line,b1,level 1,Bullet Char1,Bullet Char1 Char Char Char,Bullet Char1 Char Char Char Char,Bullet Char1 Char Char Char Char Char,b1 Char Char Char,bulleted"/>
    <w:basedOn w:val="Normal"/>
    <w:link w:val="BulletChar"/>
    <w:qFormat/>
    <w:rsid w:val="001571BB"/>
    <w:pPr>
      <w:tabs>
        <w:tab w:val="num" w:pos="520"/>
      </w:tabs>
      <w:spacing w:after="0" w:line="259" w:lineRule="auto"/>
      <w:ind w:left="520" w:hanging="520"/>
      <w:textAlignment w:val="baseline"/>
    </w:pPr>
    <w:rPr>
      <w:rFonts w:ascii="Calibri" w:eastAsia="Times New Roman" w:hAnsi="Calibri" w:cs="Calibri"/>
      <w:szCs w:val="24"/>
      <w:lang w:eastAsia="en-AU"/>
    </w:rPr>
  </w:style>
  <w:style w:type="paragraph" w:customStyle="1" w:styleId="Dash">
    <w:name w:val="Dash"/>
    <w:basedOn w:val="Normal"/>
    <w:qFormat/>
    <w:rsid w:val="001571BB"/>
    <w:pPr>
      <w:tabs>
        <w:tab w:val="num" w:pos="1040"/>
      </w:tabs>
      <w:spacing w:after="0" w:line="259" w:lineRule="auto"/>
      <w:ind w:left="1040" w:hanging="520"/>
      <w:textAlignment w:val="baseline"/>
    </w:pPr>
    <w:rPr>
      <w:rFonts w:ascii="Calibri" w:eastAsia="Times New Roman" w:hAnsi="Calibri" w:cs="Calibri"/>
      <w:szCs w:val="24"/>
      <w:lang w:eastAsia="en-AU"/>
    </w:rPr>
  </w:style>
  <w:style w:type="paragraph" w:customStyle="1" w:styleId="DoubleDot">
    <w:name w:val="Double Dot"/>
    <w:basedOn w:val="Normal"/>
    <w:qFormat/>
    <w:rsid w:val="001571BB"/>
    <w:pPr>
      <w:tabs>
        <w:tab w:val="num" w:pos="1607"/>
      </w:tabs>
      <w:spacing w:after="0" w:line="259" w:lineRule="auto"/>
      <w:ind w:left="1607" w:hanging="567"/>
      <w:textAlignment w:val="baseline"/>
    </w:pPr>
    <w:rPr>
      <w:rFonts w:ascii="Calibri" w:eastAsia="Times New Roman" w:hAnsi="Calibri" w:cs="Calibri"/>
      <w:sz w:val="24"/>
      <w:szCs w:val="24"/>
      <w:lang w:eastAsia="en-AU"/>
    </w:rPr>
  </w:style>
  <w:style w:type="character" w:customStyle="1" w:styleId="BulletChar">
    <w:name w:val="Bullet Char"/>
    <w:basedOn w:val="DefaultParagraphFont"/>
    <w:link w:val="Bullet"/>
    <w:rsid w:val="001571BB"/>
    <w:rPr>
      <w:rFonts w:ascii="Calibri" w:eastAsia="Times New Roman" w:hAnsi="Calibri" w:cs="Calibri"/>
      <w:szCs w:val="24"/>
      <w:lang w:eastAsia="en-AU"/>
    </w:rPr>
  </w:style>
  <w:style w:type="character" w:customStyle="1" w:styleId="authors">
    <w:name w:val="authors"/>
    <w:basedOn w:val="DefaultParagraphFont"/>
    <w:rsid w:val="00400321"/>
  </w:style>
  <w:style w:type="character" w:customStyle="1" w:styleId="Date1">
    <w:name w:val="Date1"/>
    <w:basedOn w:val="DefaultParagraphFont"/>
    <w:rsid w:val="00400321"/>
  </w:style>
  <w:style w:type="character" w:customStyle="1" w:styleId="arttitle">
    <w:name w:val="art_title"/>
    <w:basedOn w:val="DefaultParagraphFont"/>
    <w:rsid w:val="00400321"/>
  </w:style>
  <w:style w:type="character" w:customStyle="1" w:styleId="serialtitle">
    <w:name w:val="serial_title"/>
    <w:basedOn w:val="DefaultParagraphFont"/>
    <w:rsid w:val="00400321"/>
  </w:style>
  <w:style w:type="character" w:customStyle="1" w:styleId="volumeissue">
    <w:name w:val="volume_issue"/>
    <w:basedOn w:val="DefaultParagraphFont"/>
    <w:rsid w:val="00400321"/>
  </w:style>
  <w:style w:type="character" w:customStyle="1" w:styleId="pagerange">
    <w:name w:val="page_range"/>
    <w:basedOn w:val="DefaultParagraphFont"/>
    <w:rsid w:val="00400321"/>
  </w:style>
  <w:style w:type="paragraph" w:styleId="EndnoteText">
    <w:name w:val="endnote text"/>
    <w:basedOn w:val="Normal"/>
    <w:link w:val="EndnoteTextChar"/>
    <w:uiPriority w:val="99"/>
    <w:semiHidden/>
    <w:unhideWhenUsed/>
    <w:rsid w:val="00C05B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5B76"/>
    <w:rPr>
      <w:rFonts w:ascii="Arial" w:hAnsi="Arial"/>
      <w:sz w:val="20"/>
      <w:szCs w:val="20"/>
    </w:rPr>
  </w:style>
  <w:style w:type="character" w:styleId="EndnoteReference">
    <w:name w:val="endnote reference"/>
    <w:basedOn w:val="DefaultParagraphFont"/>
    <w:uiPriority w:val="99"/>
    <w:semiHidden/>
    <w:unhideWhenUsed/>
    <w:rsid w:val="00C05B76"/>
    <w:rPr>
      <w:vertAlign w:val="superscript"/>
    </w:rPr>
  </w:style>
  <w:style w:type="paragraph" w:styleId="TOC3">
    <w:name w:val="toc 3"/>
    <w:basedOn w:val="Normal"/>
    <w:next w:val="Normal"/>
    <w:autoRedefine/>
    <w:uiPriority w:val="39"/>
    <w:unhideWhenUsed/>
    <w:rsid w:val="00B655C3"/>
    <w:pPr>
      <w:spacing w:after="100"/>
      <w:ind w:left="440"/>
    </w:pPr>
  </w:style>
  <w:style w:type="character" w:customStyle="1" w:styleId="ui-provider">
    <w:name w:val="ui-provider"/>
    <w:basedOn w:val="DefaultParagraphFont"/>
    <w:rsid w:val="00DE6310"/>
  </w:style>
  <w:style w:type="character" w:customStyle="1" w:styleId="apple-converted-space">
    <w:name w:val="apple-converted-space"/>
    <w:basedOn w:val="DefaultParagraphFont"/>
    <w:rsid w:val="00583522"/>
  </w:style>
  <w:style w:type="character" w:customStyle="1" w:styleId="cf01">
    <w:name w:val="cf01"/>
    <w:basedOn w:val="DefaultParagraphFont"/>
    <w:rsid w:val="00CC5C37"/>
    <w:rPr>
      <w:rFonts w:ascii="Segoe UI" w:hAnsi="Segoe UI" w:cs="Segoe UI" w:hint="default"/>
      <w:sz w:val="18"/>
      <w:szCs w:val="18"/>
    </w:rPr>
  </w:style>
  <w:style w:type="paragraph" w:customStyle="1" w:styleId="Bullets">
    <w:name w:val="Bullets"/>
    <w:basedOn w:val="Normal"/>
    <w:link w:val="BulletsChar"/>
    <w:qFormat/>
    <w:rsid w:val="00D61A08"/>
    <w:pPr>
      <w:ind w:left="720" w:hanging="360"/>
    </w:pPr>
    <w:rPr>
      <w:rFonts w:cs="Arial"/>
    </w:rPr>
  </w:style>
  <w:style w:type="character" w:customStyle="1" w:styleId="UnresolvedMention">
    <w:name w:val="Unresolved Mention"/>
    <w:basedOn w:val="DefaultParagraphFont"/>
    <w:uiPriority w:val="99"/>
    <w:semiHidden/>
    <w:unhideWhenUsed/>
    <w:rsid w:val="00A721D3"/>
    <w:rPr>
      <w:color w:val="605E5C"/>
      <w:shd w:val="clear" w:color="auto" w:fill="E1DFDD"/>
    </w:rPr>
  </w:style>
  <w:style w:type="character" w:customStyle="1" w:styleId="BulletsChar">
    <w:name w:val="Bullets Char"/>
    <w:basedOn w:val="ListParagraphChar"/>
    <w:link w:val="Bullets"/>
    <w:rsid w:val="00D61A08"/>
    <w:rPr>
      <w:rFonts w:ascii="Arial" w:hAnsi="Arial" w:cs="Arial"/>
    </w:rPr>
  </w:style>
  <w:style w:type="paragraph" w:styleId="TOC2">
    <w:name w:val="toc 2"/>
    <w:basedOn w:val="Normal"/>
    <w:next w:val="Normal"/>
    <w:autoRedefine/>
    <w:uiPriority w:val="39"/>
    <w:unhideWhenUsed/>
    <w:rsid w:val="00246016"/>
    <w:pPr>
      <w:tabs>
        <w:tab w:val="right" w:leader="dot" w:pos="9016"/>
      </w:tabs>
      <w:spacing w:after="100"/>
      <w:ind w:left="220"/>
    </w:pPr>
  </w:style>
  <w:style w:type="paragraph" w:customStyle="1" w:styleId="lead">
    <w:name w:val="lead"/>
    <w:basedOn w:val="Normal"/>
    <w:rsid w:val="00815B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
    <w:name w:val="Style1"/>
    <w:basedOn w:val="Bullet"/>
    <w:link w:val="Style1Char"/>
    <w:qFormat/>
    <w:rsid w:val="007D4ADA"/>
    <w:pPr>
      <w:spacing w:after="200"/>
      <w:ind w:left="522" w:hanging="522"/>
    </w:pPr>
    <w:rPr>
      <w:rFonts w:ascii="Georgia" w:hAnsi="Georgia"/>
      <w:b/>
      <w:sz w:val="28"/>
    </w:rPr>
  </w:style>
  <w:style w:type="paragraph" w:customStyle="1" w:styleId="Style2">
    <w:name w:val="Style2"/>
    <w:basedOn w:val="Heading2"/>
    <w:link w:val="Style2Char"/>
    <w:qFormat/>
    <w:rsid w:val="00552806"/>
    <w:pPr>
      <w:ind w:left="142"/>
    </w:pPr>
    <w:rPr>
      <w:rFonts w:cs="Arial"/>
      <w:b/>
      <w:color w:val="000000" w:themeColor="text1"/>
      <w:sz w:val="24"/>
    </w:rPr>
  </w:style>
  <w:style w:type="character" w:customStyle="1" w:styleId="Style1Char">
    <w:name w:val="Style1 Char"/>
    <w:basedOn w:val="BulletChar"/>
    <w:link w:val="Style1"/>
    <w:rsid w:val="007D4ADA"/>
    <w:rPr>
      <w:rFonts w:ascii="Georgia" w:eastAsia="Times New Roman" w:hAnsi="Georgia" w:cs="Calibri"/>
      <w:b/>
      <w:sz w:val="28"/>
      <w:szCs w:val="24"/>
      <w:lang w:eastAsia="en-AU"/>
    </w:rPr>
  </w:style>
  <w:style w:type="character" w:customStyle="1" w:styleId="Style2Char">
    <w:name w:val="Style2 Char"/>
    <w:basedOn w:val="Heading2Char"/>
    <w:link w:val="Style2"/>
    <w:rsid w:val="00552806"/>
    <w:rPr>
      <w:rFonts w:ascii="Georgia" w:eastAsiaTheme="majorEastAsia" w:hAnsi="Georgia" w:cs="Arial"/>
      <w:b/>
      <w:color w:val="000000" w:themeColor="text1"/>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1812">
      <w:bodyDiv w:val="1"/>
      <w:marLeft w:val="0"/>
      <w:marRight w:val="0"/>
      <w:marTop w:val="0"/>
      <w:marBottom w:val="0"/>
      <w:divBdr>
        <w:top w:val="none" w:sz="0" w:space="0" w:color="auto"/>
        <w:left w:val="none" w:sz="0" w:space="0" w:color="auto"/>
        <w:bottom w:val="none" w:sz="0" w:space="0" w:color="auto"/>
        <w:right w:val="none" w:sz="0" w:space="0" w:color="auto"/>
      </w:divBdr>
    </w:div>
    <w:div w:id="31881259">
      <w:bodyDiv w:val="1"/>
      <w:marLeft w:val="0"/>
      <w:marRight w:val="0"/>
      <w:marTop w:val="0"/>
      <w:marBottom w:val="0"/>
      <w:divBdr>
        <w:top w:val="none" w:sz="0" w:space="0" w:color="auto"/>
        <w:left w:val="none" w:sz="0" w:space="0" w:color="auto"/>
        <w:bottom w:val="none" w:sz="0" w:space="0" w:color="auto"/>
        <w:right w:val="none" w:sz="0" w:space="0" w:color="auto"/>
      </w:divBdr>
    </w:div>
    <w:div w:id="48891249">
      <w:bodyDiv w:val="1"/>
      <w:marLeft w:val="0"/>
      <w:marRight w:val="0"/>
      <w:marTop w:val="0"/>
      <w:marBottom w:val="0"/>
      <w:divBdr>
        <w:top w:val="none" w:sz="0" w:space="0" w:color="auto"/>
        <w:left w:val="none" w:sz="0" w:space="0" w:color="auto"/>
        <w:bottom w:val="none" w:sz="0" w:space="0" w:color="auto"/>
        <w:right w:val="none" w:sz="0" w:space="0" w:color="auto"/>
      </w:divBdr>
    </w:div>
    <w:div w:id="63842967">
      <w:bodyDiv w:val="1"/>
      <w:marLeft w:val="0"/>
      <w:marRight w:val="0"/>
      <w:marTop w:val="0"/>
      <w:marBottom w:val="0"/>
      <w:divBdr>
        <w:top w:val="none" w:sz="0" w:space="0" w:color="auto"/>
        <w:left w:val="none" w:sz="0" w:space="0" w:color="auto"/>
        <w:bottom w:val="none" w:sz="0" w:space="0" w:color="auto"/>
        <w:right w:val="none" w:sz="0" w:space="0" w:color="auto"/>
      </w:divBdr>
    </w:div>
    <w:div w:id="81416120">
      <w:bodyDiv w:val="1"/>
      <w:marLeft w:val="0"/>
      <w:marRight w:val="0"/>
      <w:marTop w:val="0"/>
      <w:marBottom w:val="0"/>
      <w:divBdr>
        <w:top w:val="none" w:sz="0" w:space="0" w:color="auto"/>
        <w:left w:val="none" w:sz="0" w:space="0" w:color="auto"/>
        <w:bottom w:val="none" w:sz="0" w:space="0" w:color="auto"/>
        <w:right w:val="none" w:sz="0" w:space="0" w:color="auto"/>
      </w:divBdr>
    </w:div>
    <w:div w:id="86511573">
      <w:bodyDiv w:val="1"/>
      <w:marLeft w:val="0"/>
      <w:marRight w:val="0"/>
      <w:marTop w:val="0"/>
      <w:marBottom w:val="0"/>
      <w:divBdr>
        <w:top w:val="none" w:sz="0" w:space="0" w:color="auto"/>
        <w:left w:val="none" w:sz="0" w:space="0" w:color="auto"/>
        <w:bottom w:val="none" w:sz="0" w:space="0" w:color="auto"/>
        <w:right w:val="none" w:sz="0" w:space="0" w:color="auto"/>
      </w:divBdr>
    </w:div>
    <w:div w:id="103892086">
      <w:bodyDiv w:val="1"/>
      <w:marLeft w:val="0"/>
      <w:marRight w:val="0"/>
      <w:marTop w:val="0"/>
      <w:marBottom w:val="0"/>
      <w:divBdr>
        <w:top w:val="none" w:sz="0" w:space="0" w:color="auto"/>
        <w:left w:val="none" w:sz="0" w:space="0" w:color="auto"/>
        <w:bottom w:val="none" w:sz="0" w:space="0" w:color="auto"/>
        <w:right w:val="none" w:sz="0" w:space="0" w:color="auto"/>
      </w:divBdr>
    </w:div>
    <w:div w:id="106657445">
      <w:bodyDiv w:val="1"/>
      <w:marLeft w:val="0"/>
      <w:marRight w:val="0"/>
      <w:marTop w:val="0"/>
      <w:marBottom w:val="0"/>
      <w:divBdr>
        <w:top w:val="none" w:sz="0" w:space="0" w:color="auto"/>
        <w:left w:val="none" w:sz="0" w:space="0" w:color="auto"/>
        <w:bottom w:val="none" w:sz="0" w:space="0" w:color="auto"/>
        <w:right w:val="none" w:sz="0" w:space="0" w:color="auto"/>
      </w:divBdr>
    </w:div>
    <w:div w:id="136607967">
      <w:bodyDiv w:val="1"/>
      <w:marLeft w:val="0"/>
      <w:marRight w:val="0"/>
      <w:marTop w:val="0"/>
      <w:marBottom w:val="0"/>
      <w:divBdr>
        <w:top w:val="none" w:sz="0" w:space="0" w:color="auto"/>
        <w:left w:val="none" w:sz="0" w:space="0" w:color="auto"/>
        <w:bottom w:val="none" w:sz="0" w:space="0" w:color="auto"/>
        <w:right w:val="none" w:sz="0" w:space="0" w:color="auto"/>
      </w:divBdr>
    </w:div>
    <w:div w:id="227308154">
      <w:bodyDiv w:val="1"/>
      <w:marLeft w:val="0"/>
      <w:marRight w:val="0"/>
      <w:marTop w:val="0"/>
      <w:marBottom w:val="0"/>
      <w:divBdr>
        <w:top w:val="none" w:sz="0" w:space="0" w:color="auto"/>
        <w:left w:val="none" w:sz="0" w:space="0" w:color="auto"/>
        <w:bottom w:val="none" w:sz="0" w:space="0" w:color="auto"/>
        <w:right w:val="none" w:sz="0" w:space="0" w:color="auto"/>
      </w:divBdr>
    </w:div>
    <w:div w:id="262306619">
      <w:bodyDiv w:val="1"/>
      <w:marLeft w:val="0"/>
      <w:marRight w:val="0"/>
      <w:marTop w:val="0"/>
      <w:marBottom w:val="0"/>
      <w:divBdr>
        <w:top w:val="none" w:sz="0" w:space="0" w:color="auto"/>
        <w:left w:val="none" w:sz="0" w:space="0" w:color="auto"/>
        <w:bottom w:val="none" w:sz="0" w:space="0" w:color="auto"/>
        <w:right w:val="none" w:sz="0" w:space="0" w:color="auto"/>
      </w:divBdr>
    </w:div>
    <w:div w:id="264070897">
      <w:bodyDiv w:val="1"/>
      <w:marLeft w:val="0"/>
      <w:marRight w:val="0"/>
      <w:marTop w:val="0"/>
      <w:marBottom w:val="0"/>
      <w:divBdr>
        <w:top w:val="none" w:sz="0" w:space="0" w:color="auto"/>
        <w:left w:val="none" w:sz="0" w:space="0" w:color="auto"/>
        <w:bottom w:val="none" w:sz="0" w:space="0" w:color="auto"/>
        <w:right w:val="none" w:sz="0" w:space="0" w:color="auto"/>
      </w:divBdr>
    </w:div>
    <w:div w:id="268777793">
      <w:bodyDiv w:val="1"/>
      <w:marLeft w:val="0"/>
      <w:marRight w:val="0"/>
      <w:marTop w:val="0"/>
      <w:marBottom w:val="0"/>
      <w:divBdr>
        <w:top w:val="none" w:sz="0" w:space="0" w:color="auto"/>
        <w:left w:val="none" w:sz="0" w:space="0" w:color="auto"/>
        <w:bottom w:val="none" w:sz="0" w:space="0" w:color="auto"/>
        <w:right w:val="none" w:sz="0" w:space="0" w:color="auto"/>
      </w:divBdr>
    </w:div>
    <w:div w:id="332027050">
      <w:bodyDiv w:val="1"/>
      <w:marLeft w:val="0"/>
      <w:marRight w:val="0"/>
      <w:marTop w:val="0"/>
      <w:marBottom w:val="0"/>
      <w:divBdr>
        <w:top w:val="none" w:sz="0" w:space="0" w:color="auto"/>
        <w:left w:val="none" w:sz="0" w:space="0" w:color="auto"/>
        <w:bottom w:val="none" w:sz="0" w:space="0" w:color="auto"/>
        <w:right w:val="none" w:sz="0" w:space="0" w:color="auto"/>
      </w:divBdr>
    </w:div>
    <w:div w:id="386808578">
      <w:bodyDiv w:val="1"/>
      <w:marLeft w:val="0"/>
      <w:marRight w:val="0"/>
      <w:marTop w:val="0"/>
      <w:marBottom w:val="0"/>
      <w:divBdr>
        <w:top w:val="none" w:sz="0" w:space="0" w:color="auto"/>
        <w:left w:val="none" w:sz="0" w:space="0" w:color="auto"/>
        <w:bottom w:val="none" w:sz="0" w:space="0" w:color="auto"/>
        <w:right w:val="none" w:sz="0" w:space="0" w:color="auto"/>
      </w:divBdr>
    </w:div>
    <w:div w:id="390928990">
      <w:bodyDiv w:val="1"/>
      <w:marLeft w:val="0"/>
      <w:marRight w:val="0"/>
      <w:marTop w:val="0"/>
      <w:marBottom w:val="0"/>
      <w:divBdr>
        <w:top w:val="none" w:sz="0" w:space="0" w:color="auto"/>
        <w:left w:val="none" w:sz="0" w:space="0" w:color="auto"/>
        <w:bottom w:val="none" w:sz="0" w:space="0" w:color="auto"/>
        <w:right w:val="none" w:sz="0" w:space="0" w:color="auto"/>
      </w:divBdr>
    </w:div>
    <w:div w:id="452939876">
      <w:bodyDiv w:val="1"/>
      <w:marLeft w:val="0"/>
      <w:marRight w:val="0"/>
      <w:marTop w:val="0"/>
      <w:marBottom w:val="0"/>
      <w:divBdr>
        <w:top w:val="none" w:sz="0" w:space="0" w:color="auto"/>
        <w:left w:val="none" w:sz="0" w:space="0" w:color="auto"/>
        <w:bottom w:val="none" w:sz="0" w:space="0" w:color="auto"/>
        <w:right w:val="none" w:sz="0" w:space="0" w:color="auto"/>
      </w:divBdr>
    </w:div>
    <w:div w:id="456070418">
      <w:bodyDiv w:val="1"/>
      <w:marLeft w:val="0"/>
      <w:marRight w:val="0"/>
      <w:marTop w:val="0"/>
      <w:marBottom w:val="0"/>
      <w:divBdr>
        <w:top w:val="none" w:sz="0" w:space="0" w:color="auto"/>
        <w:left w:val="none" w:sz="0" w:space="0" w:color="auto"/>
        <w:bottom w:val="none" w:sz="0" w:space="0" w:color="auto"/>
        <w:right w:val="none" w:sz="0" w:space="0" w:color="auto"/>
      </w:divBdr>
    </w:div>
    <w:div w:id="459347565">
      <w:bodyDiv w:val="1"/>
      <w:marLeft w:val="0"/>
      <w:marRight w:val="0"/>
      <w:marTop w:val="0"/>
      <w:marBottom w:val="0"/>
      <w:divBdr>
        <w:top w:val="none" w:sz="0" w:space="0" w:color="auto"/>
        <w:left w:val="none" w:sz="0" w:space="0" w:color="auto"/>
        <w:bottom w:val="none" w:sz="0" w:space="0" w:color="auto"/>
        <w:right w:val="none" w:sz="0" w:space="0" w:color="auto"/>
      </w:divBdr>
    </w:div>
    <w:div w:id="466974119">
      <w:bodyDiv w:val="1"/>
      <w:marLeft w:val="0"/>
      <w:marRight w:val="0"/>
      <w:marTop w:val="0"/>
      <w:marBottom w:val="0"/>
      <w:divBdr>
        <w:top w:val="none" w:sz="0" w:space="0" w:color="auto"/>
        <w:left w:val="none" w:sz="0" w:space="0" w:color="auto"/>
        <w:bottom w:val="none" w:sz="0" w:space="0" w:color="auto"/>
        <w:right w:val="none" w:sz="0" w:space="0" w:color="auto"/>
      </w:divBdr>
    </w:div>
    <w:div w:id="480778228">
      <w:bodyDiv w:val="1"/>
      <w:marLeft w:val="0"/>
      <w:marRight w:val="0"/>
      <w:marTop w:val="0"/>
      <w:marBottom w:val="0"/>
      <w:divBdr>
        <w:top w:val="none" w:sz="0" w:space="0" w:color="auto"/>
        <w:left w:val="none" w:sz="0" w:space="0" w:color="auto"/>
        <w:bottom w:val="none" w:sz="0" w:space="0" w:color="auto"/>
        <w:right w:val="none" w:sz="0" w:space="0" w:color="auto"/>
      </w:divBdr>
    </w:div>
    <w:div w:id="559901162">
      <w:bodyDiv w:val="1"/>
      <w:marLeft w:val="0"/>
      <w:marRight w:val="0"/>
      <w:marTop w:val="0"/>
      <w:marBottom w:val="0"/>
      <w:divBdr>
        <w:top w:val="none" w:sz="0" w:space="0" w:color="auto"/>
        <w:left w:val="none" w:sz="0" w:space="0" w:color="auto"/>
        <w:bottom w:val="none" w:sz="0" w:space="0" w:color="auto"/>
        <w:right w:val="none" w:sz="0" w:space="0" w:color="auto"/>
      </w:divBdr>
    </w:div>
    <w:div w:id="578640514">
      <w:bodyDiv w:val="1"/>
      <w:marLeft w:val="0"/>
      <w:marRight w:val="0"/>
      <w:marTop w:val="0"/>
      <w:marBottom w:val="0"/>
      <w:divBdr>
        <w:top w:val="none" w:sz="0" w:space="0" w:color="auto"/>
        <w:left w:val="none" w:sz="0" w:space="0" w:color="auto"/>
        <w:bottom w:val="none" w:sz="0" w:space="0" w:color="auto"/>
        <w:right w:val="none" w:sz="0" w:space="0" w:color="auto"/>
      </w:divBdr>
    </w:div>
    <w:div w:id="597568346">
      <w:bodyDiv w:val="1"/>
      <w:marLeft w:val="0"/>
      <w:marRight w:val="0"/>
      <w:marTop w:val="0"/>
      <w:marBottom w:val="0"/>
      <w:divBdr>
        <w:top w:val="none" w:sz="0" w:space="0" w:color="auto"/>
        <w:left w:val="none" w:sz="0" w:space="0" w:color="auto"/>
        <w:bottom w:val="none" w:sz="0" w:space="0" w:color="auto"/>
        <w:right w:val="none" w:sz="0" w:space="0" w:color="auto"/>
      </w:divBdr>
    </w:div>
    <w:div w:id="609094342">
      <w:bodyDiv w:val="1"/>
      <w:marLeft w:val="0"/>
      <w:marRight w:val="0"/>
      <w:marTop w:val="0"/>
      <w:marBottom w:val="0"/>
      <w:divBdr>
        <w:top w:val="none" w:sz="0" w:space="0" w:color="auto"/>
        <w:left w:val="none" w:sz="0" w:space="0" w:color="auto"/>
        <w:bottom w:val="none" w:sz="0" w:space="0" w:color="auto"/>
        <w:right w:val="none" w:sz="0" w:space="0" w:color="auto"/>
      </w:divBdr>
    </w:div>
    <w:div w:id="626011796">
      <w:bodyDiv w:val="1"/>
      <w:marLeft w:val="0"/>
      <w:marRight w:val="0"/>
      <w:marTop w:val="0"/>
      <w:marBottom w:val="0"/>
      <w:divBdr>
        <w:top w:val="none" w:sz="0" w:space="0" w:color="auto"/>
        <w:left w:val="none" w:sz="0" w:space="0" w:color="auto"/>
        <w:bottom w:val="none" w:sz="0" w:space="0" w:color="auto"/>
        <w:right w:val="none" w:sz="0" w:space="0" w:color="auto"/>
      </w:divBdr>
    </w:div>
    <w:div w:id="642003942">
      <w:bodyDiv w:val="1"/>
      <w:marLeft w:val="0"/>
      <w:marRight w:val="0"/>
      <w:marTop w:val="0"/>
      <w:marBottom w:val="0"/>
      <w:divBdr>
        <w:top w:val="none" w:sz="0" w:space="0" w:color="auto"/>
        <w:left w:val="none" w:sz="0" w:space="0" w:color="auto"/>
        <w:bottom w:val="none" w:sz="0" w:space="0" w:color="auto"/>
        <w:right w:val="none" w:sz="0" w:space="0" w:color="auto"/>
      </w:divBdr>
    </w:div>
    <w:div w:id="648940577">
      <w:bodyDiv w:val="1"/>
      <w:marLeft w:val="0"/>
      <w:marRight w:val="0"/>
      <w:marTop w:val="0"/>
      <w:marBottom w:val="0"/>
      <w:divBdr>
        <w:top w:val="none" w:sz="0" w:space="0" w:color="auto"/>
        <w:left w:val="none" w:sz="0" w:space="0" w:color="auto"/>
        <w:bottom w:val="none" w:sz="0" w:space="0" w:color="auto"/>
        <w:right w:val="none" w:sz="0" w:space="0" w:color="auto"/>
      </w:divBdr>
    </w:div>
    <w:div w:id="673801677">
      <w:bodyDiv w:val="1"/>
      <w:marLeft w:val="0"/>
      <w:marRight w:val="0"/>
      <w:marTop w:val="0"/>
      <w:marBottom w:val="0"/>
      <w:divBdr>
        <w:top w:val="none" w:sz="0" w:space="0" w:color="auto"/>
        <w:left w:val="none" w:sz="0" w:space="0" w:color="auto"/>
        <w:bottom w:val="none" w:sz="0" w:space="0" w:color="auto"/>
        <w:right w:val="none" w:sz="0" w:space="0" w:color="auto"/>
      </w:divBdr>
    </w:div>
    <w:div w:id="705104973">
      <w:bodyDiv w:val="1"/>
      <w:marLeft w:val="0"/>
      <w:marRight w:val="0"/>
      <w:marTop w:val="0"/>
      <w:marBottom w:val="0"/>
      <w:divBdr>
        <w:top w:val="none" w:sz="0" w:space="0" w:color="auto"/>
        <w:left w:val="none" w:sz="0" w:space="0" w:color="auto"/>
        <w:bottom w:val="none" w:sz="0" w:space="0" w:color="auto"/>
        <w:right w:val="none" w:sz="0" w:space="0" w:color="auto"/>
      </w:divBdr>
    </w:div>
    <w:div w:id="718016451">
      <w:bodyDiv w:val="1"/>
      <w:marLeft w:val="0"/>
      <w:marRight w:val="0"/>
      <w:marTop w:val="0"/>
      <w:marBottom w:val="0"/>
      <w:divBdr>
        <w:top w:val="none" w:sz="0" w:space="0" w:color="auto"/>
        <w:left w:val="none" w:sz="0" w:space="0" w:color="auto"/>
        <w:bottom w:val="none" w:sz="0" w:space="0" w:color="auto"/>
        <w:right w:val="none" w:sz="0" w:space="0" w:color="auto"/>
      </w:divBdr>
    </w:div>
    <w:div w:id="726147393">
      <w:bodyDiv w:val="1"/>
      <w:marLeft w:val="0"/>
      <w:marRight w:val="0"/>
      <w:marTop w:val="0"/>
      <w:marBottom w:val="0"/>
      <w:divBdr>
        <w:top w:val="none" w:sz="0" w:space="0" w:color="auto"/>
        <w:left w:val="none" w:sz="0" w:space="0" w:color="auto"/>
        <w:bottom w:val="none" w:sz="0" w:space="0" w:color="auto"/>
        <w:right w:val="none" w:sz="0" w:space="0" w:color="auto"/>
      </w:divBdr>
    </w:div>
    <w:div w:id="768820111">
      <w:bodyDiv w:val="1"/>
      <w:marLeft w:val="0"/>
      <w:marRight w:val="0"/>
      <w:marTop w:val="0"/>
      <w:marBottom w:val="0"/>
      <w:divBdr>
        <w:top w:val="none" w:sz="0" w:space="0" w:color="auto"/>
        <w:left w:val="none" w:sz="0" w:space="0" w:color="auto"/>
        <w:bottom w:val="none" w:sz="0" w:space="0" w:color="auto"/>
        <w:right w:val="none" w:sz="0" w:space="0" w:color="auto"/>
      </w:divBdr>
    </w:div>
    <w:div w:id="787510205">
      <w:bodyDiv w:val="1"/>
      <w:marLeft w:val="0"/>
      <w:marRight w:val="0"/>
      <w:marTop w:val="0"/>
      <w:marBottom w:val="0"/>
      <w:divBdr>
        <w:top w:val="none" w:sz="0" w:space="0" w:color="auto"/>
        <w:left w:val="none" w:sz="0" w:space="0" w:color="auto"/>
        <w:bottom w:val="none" w:sz="0" w:space="0" w:color="auto"/>
        <w:right w:val="none" w:sz="0" w:space="0" w:color="auto"/>
      </w:divBdr>
    </w:div>
    <w:div w:id="812983663">
      <w:bodyDiv w:val="1"/>
      <w:marLeft w:val="0"/>
      <w:marRight w:val="0"/>
      <w:marTop w:val="0"/>
      <w:marBottom w:val="0"/>
      <w:divBdr>
        <w:top w:val="none" w:sz="0" w:space="0" w:color="auto"/>
        <w:left w:val="none" w:sz="0" w:space="0" w:color="auto"/>
        <w:bottom w:val="none" w:sz="0" w:space="0" w:color="auto"/>
        <w:right w:val="none" w:sz="0" w:space="0" w:color="auto"/>
      </w:divBdr>
    </w:div>
    <w:div w:id="832187592">
      <w:bodyDiv w:val="1"/>
      <w:marLeft w:val="0"/>
      <w:marRight w:val="0"/>
      <w:marTop w:val="0"/>
      <w:marBottom w:val="0"/>
      <w:divBdr>
        <w:top w:val="none" w:sz="0" w:space="0" w:color="auto"/>
        <w:left w:val="none" w:sz="0" w:space="0" w:color="auto"/>
        <w:bottom w:val="none" w:sz="0" w:space="0" w:color="auto"/>
        <w:right w:val="none" w:sz="0" w:space="0" w:color="auto"/>
      </w:divBdr>
    </w:div>
    <w:div w:id="844782791">
      <w:bodyDiv w:val="1"/>
      <w:marLeft w:val="0"/>
      <w:marRight w:val="0"/>
      <w:marTop w:val="0"/>
      <w:marBottom w:val="0"/>
      <w:divBdr>
        <w:top w:val="none" w:sz="0" w:space="0" w:color="auto"/>
        <w:left w:val="none" w:sz="0" w:space="0" w:color="auto"/>
        <w:bottom w:val="none" w:sz="0" w:space="0" w:color="auto"/>
        <w:right w:val="none" w:sz="0" w:space="0" w:color="auto"/>
      </w:divBdr>
    </w:div>
    <w:div w:id="884023446">
      <w:bodyDiv w:val="1"/>
      <w:marLeft w:val="0"/>
      <w:marRight w:val="0"/>
      <w:marTop w:val="0"/>
      <w:marBottom w:val="0"/>
      <w:divBdr>
        <w:top w:val="none" w:sz="0" w:space="0" w:color="auto"/>
        <w:left w:val="none" w:sz="0" w:space="0" w:color="auto"/>
        <w:bottom w:val="none" w:sz="0" w:space="0" w:color="auto"/>
        <w:right w:val="none" w:sz="0" w:space="0" w:color="auto"/>
      </w:divBdr>
    </w:div>
    <w:div w:id="901066636">
      <w:bodyDiv w:val="1"/>
      <w:marLeft w:val="0"/>
      <w:marRight w:val="0"/>
      <w:marTop w:val="0"/>
      <w:marBottom w:val="0"/>
      <w:divBdr>
        <w:top w:val="none" w:sz="0" w:space="0" w:color="auto"/>
        <w:left w:val="none" w:sz="0" w:space="0" w:color="auto"/>
        <w:bottom w:val="none" w:sz="0" w:space="0" w:color="auto"/>
        <w:right w:val="none" w:sz="0" w:space="0" w:color="auto"/>
      </w:divBdr>
    </w:div>
    <w:div w:id="954218796">
      <w:bodyDiv w:val="1"/>
      <w:marLeft w:val="0"/>
      <w:marRight w:val="0"/>
      <w:marTop w:val="0"/>
      <w:marBottom w:val="0"/>
      <w:divBdr>
        <w:top w:val="none" w:sz="0" w:space="0" w:color="auto"/>
        <w:left w:val="none" w:sz="0" w:space="0" w:color="auto"/>
        <w:bottom w:val="none" w:sz="0" w:space="0" w:color="auto"/>
        <w:right w:val="none" w:sz="0" w:space="0" w:color="auto"/>
      </w:divBdr>
    </w:div>
    <w:div w:id="1022055113">
      <w:bodyDiv w:val="1"/>
      <w:marLeft w:val="0"/>
      <w:marRight w:val="0"/>
      <w:marTop w:val="0"/>
      <w:marBottom w:val="0"/>
      <w:divBdr>
        <w:top w:val="none" w:sz="0" w:space="0" w:color="auto"/>
        <w:left w:val="none" w:sz="0" w:space="0" w:color="auto"/>
        <w:bottom w:val="none" w:sz="0" w:space="0" w:color="auto"/>
        <w:right w:val="none" w:sz="0" w:space="0" w:color="auto"/>
      </w:divBdr>
    </w:div>
    <w:div w:id="1044600408">
      <w:bodyDiv w:val="1"/>
      <w:marLeft w:val="0"/>
      <w:marRight w:val="0"/>
      <w:marTop w:val="0"/>
      <w:marBottom w:val="0"/>
      <w:divBdr>
        <w:top w:val="none" w:sz="0" w:space="0" w:color="auto"/>
        <w:left w:val="none" w:sz="0" w:space="0" w:color="auto"/>
        <w:bottom w:val="none" w:sz="0" w:space="0" w:color="auto"/>
        <w:right w:val="none" w:sz="0" w:space="0" w:color="auto"/>
      </w:divBdr>
    </w:div>
    <w:div w:id="1060061394">
      <w:bodyDiv w:val="1"/>
      <w:marLeft w:val="0"/>
      <w:marRight w:val="0"/>
      <w:marTop w:val="0"/>
      <w:marBottom w:val="0"/>
      <w:divBdr>
        <w:top w:val="none" w:sz="0" w:space="0" w:color="auto"/>
        <w:left w:val="none" w:sz="0" w:space="0" w:color="auto"/>
        <w:bottom w:val="none" w:sz="0" w:space="0" w:color="auto"/>
        <w:right w:val="none" w:sz="0" w:space="0" w:color="auto"/>
      </w:divBdr>
    </w:div>
    <w:div w:id="1061516816">
      <w:bodyDiv w:val="1"/>
      <w:marLeft w:val="0"/>
      <w:marRight w:val="0"/>
      <w:marTop w:val="0"/>
      <w:marBottom w:val="0"/>
      <w:divBdr>
        <w:top w:val="none" w:sz="0" w:space="0" w:color="auto"/>
        <w:left w:val="none" w:sz="0" w:space="0" w:color="auto"/>
        <w:bottom w:val="none" w:sz="0" w:space="0" w:color="auto"/>
        <w:right w:val="none" w:sz="0" w:space="0" w:color="auto"/>
      </w:divBdr>
    </w:div>
    <w:div w:id="1062095114">
      <w:bodyDiv w:val="1"/>
      <w:marLeft w:val="0"/>
      <w:marRight w:val="0"/>
      <w:marTop w:val="0"/>
      <w:marBottom w:val="0"/>
      <w:divBdr>
        <w:top w:val="none" w:sz="0" w:space="0" w:color="auto"/>
        <w:left w:val="none" w:sz="0" w:space="0" w:color="auto"/>
        <w:bottom w:val="none" w:sz="0" w:space="0" w:color="auto"/>
        <w:right w:val="none" w:sz="0" w:space="0" w:color="auto"/>
      </w:divBdr>
    </w:div>
    <w:div w:id="1072699983">
      <w:bodyDiv w:val="1"/>
      <w:marLeft w:val="0"/>
      <w:marRight w:val="0"/>
      <w:marTop w:val="0"/>
      <w:marBottom w:val="0"/>
      <w:divBdr>
        <w:top w:val="none" w:sz="0" w:space="0" w:color="auto"/>
        <w:left w:val="none" w:sz="0" w:space="0" w:color="auto"/>
        <w:bottom w:val="none" w:sz="0" w:space="0" w:color="auto"/>
        <w:right w:val="none" w:sz="0" w:space="0" w:color="auto"/>
      </w:divBdr>
    </w:div>
    <w:div w:id="1114055463">
      <w:bodyDiv w:val="1"/>
      <w:marLeft w:val="0"/>
      <w:marRight w:val="0"/>
      <w:marTop w:val="0"/>
      <w:marBottom w:val="0"/>
      <w:divBdr>
        <w:top w:val="none" w:sz="0" w:space="0" w:color="auto"/>
        <w:left w:val="none" w:sz="0" w:space="0" w:color="auto"/>
        <w:bottom w:val="none" w:sz="0" w:space="0" w:color="auto"/>
        <w:right w:val="none" w:sz="0" w:space="0" w:color="auto"/>
      </w:divBdr>
    </w:div>
    <w:div w:id="1120608865">
      <w:bodyDiv w:val="1"/>
      <w:marLeft w:val="0"/>
      <w:marRight w:val="0"/>
      <w:marTop w:val="0"/>
      <w:marBottom w:val="0"/>
      <w:divBdr>
        <w:top w:val="none" w:sz="0" w:space="0" w:color="auto"/>
        <w:left w:val="none" w:sz="0" w:space="0" w:color="auto"/>
        <w:bottom w:val="none" w:sz="0" w:space="0" w:color="auto"/>
        <w:right w:val="none" w:sz="0" w:space="0" w:color="auto"/>
      </w:divBdr>
    </w:div>
    <w:div w:id="1121221383">
      <w:bodyDiv w:val="1"/>
      <w:marLeft w:val="0"/>
      <w:marRight w:val="0"/>
      <w:marTop w:val="0"/>
      <w:marBottom w:val="0"/>
      <w:divBdr>
        <w:top w:val="none" w:sz="0" w:space="0" w:color="auto"/>
        <w:left w:val="none" w:sz="0" w:space="0" w:color="auto"/>
        <w:bottom w:val="none" w:sz="0" w:space="0" w:color="auto"/>
        <w:right w:val="none" w:sz="0" w:space="0" w:color="auto"/>
      </w:divBdr>
    </w:div>
    <w:div w:id="1124926389">
      <w:bodyDiv w:val="1"/>
      <w:marLeft w:val="0"/>
      <w:marRight w:val="0"/>
      <w:marTop w:val="0"/>
      <w:marBottom w:val="0"/>
      <w:divBdr>
        <w:top w:val="none" w:sz="0" w:space="0" w:color="auto"/>
        <w:left w:val="none" w:sz="0" w:space="0" w:color="auto"/>
        <w:bottom w:val="none" w:sz="0" w:space="0" w:color="auto"/>
        <w:right w:val="none" w:sz="0" w:space="0" w:color="auto"/>
      </w:divBdr>
    </w:div>
    <w:div w:id="1139230438">
      <w:bodyDiv w:val="1"/>
      <w:marLeft w:val="0"/>
      <w:marRight w:val="0"/>
      <w:marTop w:val="0"/>
      <w:marBottom w:val="0"/>
      <w:divBdr>
        <w:top w:val="none" w:sz="0" w:space="0" w:color="auto"/>
        <w:left w:val="none" w:sz="0" w:space="0" w:color="auto"/>
        <w:bottom w:val="none" w:sz="0" w:space="0" w:color="auto"/>
        <w:right w:val="none" w:sz="0" w:space="0" w:color="auto"/>
      </w:divBdr>
    </w:div>
    <w:div w:id="1154881612">
      <w:bodyDiv w:val="1"/>
      <w:marLeft w:val="0"/>
      <w:marRight w:val="0"/>
      <w:marTop w:val="0"/>
      <w:marBottom w:val="0"/>
      <w:divBdr>
        <w:top w:val="none" w:sz="0" w:space="0" w:color="auto"/>
        <w:left w:val="none" w:sz="0" w:space="0" w:color="auto"/>
        <w:bottom w:val="none" w:sz="0" w:space="0" w:color="auto"/>
        <w:right w:val="none" w:sz="0" w:space="0" w:color="auto"/>
      </w:divBdr>
    </w:div>
    <w:div w:id="1173301878">
      <w:bodyDiv w:val="1"/>
      <w:marLeft w:val="0"/>
      <w:marRight w:val="0"/>
      <w:marTop w:val="0"/>
      <w:marBottom w:val="0"/>
      <w:divBdr>
        <w:top w:val="none" w:sz="0" w:space="0" w:color="auto"/>
        <w:left w:val="none" w:sz="0" w:space="0" w:color="auto"/>
        <w:bottom w:val="none" w:sz="0" w:space="0" w:color="auto"/>
        <w:right w:val="none" w:sz="0" w:space="0" w:color="auto"/>
      </w:divBdr>
    </w:div>
    <w:div w:id="1202475898">
      <w:bodyDiv w:val="1"/>
      <w:marLeft w:val="0"/>
      <w:marRight w:val="0"/>
      <w:marTop w:val="0"/>
      <w:marBottom w:val="0"/>
      <w:divBdr>
        <w:top w:val="none" w:sz="0" w:space="0" w:color="auto"/>
        <w:left w:val="none" w:sz="0" w:space="0" w:color="auto"/>
        <w:bottom w:val="none" w:sz="0" w:space="0" w:color="auto"/>
        <w:right w:val="none" w:sz="0" w:space="0" w:color="auto"/>
      </w:divBdr>
    </w:div>
    <w:div w:id="1206530776">
      <w:bodyDiv w:val="1"/>
      <w:marLeft w:val="0"/>
      <w:marRight w:val="0"/>
      <w:marTop w:val="0"/>
      <w:marBottom w:val="0"/>
      <w:divBdr>
        <w:top w:val="none" w:sz="0" w:space="0" w:color="auto"/>
        <w:left w:val="none" w:sz="0" w:space="0" w:color="auto"/>
        <w:bottom w:val="none" w:sz="0" w:space="0" w:color="auto"/>
        <w:right w:val="none" w:sz="0" w:space="0" w:color="auto"/>
      </w:divBdr>
    </w:div>
    <w:div w:id="1388649686">
      <w:bodyDiv w:val="1"/>
      <w:marLeft w:val="0"/>
      <w:marRight w:val="0"/>
      <w:marTop w:val="0"/>
      <w:marBottom w:val="0"/>
      <w:divBdr>
        <w:top w:val="none" w:sz="0" w:space="0" w:color="auto"/>
        <w:left w:val="none" w:sz="0" w:space="0" w:color="auto"/>
        <w:bottom w:val="none" w:sz="0" w:space="0" w:color="auto"/>
        <w:right w:val="none" w:sz="0" w:space="0" w:color="auto"/>
      </w:divBdr>
    </w:div>
    <w:div w:id="1390690829">
      <w:bodyDiv w:val="1"/>
      <w:marLeft w:val="0"/>
      <w:marRight w:val="0"/>
      <w:marTop w:val="0"/>
      <w:marBottom w:val="0"/>
      <w:divBdr>
        <w:top w:val="none" w:sz="0" w:space="0" w:color="auto"/>
        <w:left w:val="none" w:sz="0" w:space="0" w:color="auto"/>
        <w:bottom w:val="none" w:sz="0" w:space="0" w:color="auto"/>
        <w:right w:val="none" w:sz="0" w:space="0" w:color="auto"/>
      </w:divBdr>
    </w:div>
    <w:div w:id="1394769885">
      <w:bodyDiv w:val="1"/>
      <w:marLeft w:val="0"/>
      <w:marRight w:val="0"/>
      <w:marTop w:val="0"/>
      <w:marBottom w:val="0"/>
      <w:divBdr>
        <w:top w:val="none" w:sz="0" w:space="0" w:color="auto"/>
        <w:left w:val="none" w:sz="0" w:space="0" w:color="auto"/>
        <w:bottom w:val="none" w:sz="0" w:space="0" w:color="auto"/>
        <w:right w:val="none" w:sz="0" w:space="0" w:color="auto"/>
      </w:divBdr>
    </w:div>
    <w:div w:id="1399942706">
      <w:bodyDiv w:val="1"/>
      <w:marLeft w:val="0"/>
      <w:marRight w:val="0"/>
      <w:marTop w:val="0"/>
      <w:marBottom w:val="0"/>
      <w:divBdr>
        <w:top w:val="none" w:sz="0" w:space="0" w:color="auto"/>
        <w:left w:val="none" w:sz="0" w:space="0" w:color="auto"/>
        <w:bottom w:val="none" w:sz="0" w:space="0" w:color="auto"/>
        <w:right w:val="none" w:sz="0" w:space="0" w:color="auto"/>
      </w:divBdr>
    </w:div>
    <w:div w:id="1427966227">
      <w:bodyDiv w:val="1"/>
      <w:marLeft w:val="0"/>
      <w:marRight w:val="0"/>
      <w:marTop w:val="0"/>
      <w:marBottom w:val="0"/>
      <w:divBdr>
        <w:top w:val="none" w:sz="0" w:space="0" w:color="auto"/>
        <w:left w:val="none" w:sz="0" w:space="0" w:color="auto"/>
        <w:bottom w:val="none" w:sz="0" w:space="0" w:color="auto"/>
        <w:right w:val="none" w:sz="0" w:space="0" w:color="auto"/>
      </w:divBdr>
    </w:div>
    <w:div w:id="1457408559">
      <w:bodyDiv w:val="1"/>
      <w:marLeft w:val="0"/>
      <w:marRight w:val="0"/>
      <w:marTop w:val="0"/>
      <w:marBottom w:val="0"/>
      <w:divBdr>
        <w:top w:val="none" w:sz="0" w:space="0" w:color="auto"/>
        <w:left w:val="none" w:sz="0" w:space="0" w:color="auto"/>
        <w:bottom w:val="none" w:sz="0" w:space="0" w:color="auto"/>
        <w:right w:val="none" w:sz="0" w:space="0" w:color="auto"/>
      </w:divBdr>
    </w:div>
    <w:div w:id="1489205380">
      <w:bodyDiv w:val="1"/>
      <w:marLeft w:val="0"/>
      <w:marRight w:val="0"/>
      <w:marTop w:val="0"/>
      <w:marBottom w:val="0"/>
      <w:divBdr>
        <w:top w:val="none" w:sz="0" w:space="0" w:color="auto"/>
        <w:left w:val="none" w:sz="0" w:space="0" w:color="auto"/>
        <w:bottom w:val="none" w:sz="0" w:space="0" w:color="auto"/>
        <w:right w:val="none" w:sz="0" w:space="0" w:color="auto"/>
      </w:divBdr>
    </w:div>
    <w:div w:id="1507086591">
      <w:bodyDiv w:val="1"/>
      <w:marLeft w:val="0"/>
      <w:marRight w:val="0"/>
      <w:marTop w:val="0"/>
      <w:marBottom w:val="0"/>
      <w:divBdr>
        <w:top w:val="none" w:sz="0" w:space="0" w:color="auto"/>
        <w:left w:val="none" w:sz="0" w:space="0" w:color="auto"/>
        <w:bottom w:val="none" w:sz="0" w:space="0" w:color="auto"/>
        <w:right w:val="none" w:sz="0" w:space="0" w:color="auto"/>
      </w:divBdr>
    </w:div>
    <w:div w:id="1536774149">
      <w:bodyDiv w:val="1"/>
      <w:marLeft w:val="0"/>
      <w:marRight w:val="0"/>
      <w:marTop w:val="0"/>
      <w:marBottom w:val="0"/>
      <w:divBdr>
        <w:top w:val="none" w:sz="0" w:space="0" w:color="auto"/>
        <w:left w:val="none" w:sz="0" w:space="0" w:color="auto"/>
        <w:bottom w:val="none" w:sz="0" w:space="0" w:color="auto"/>
        <w:right w:val="none" w:sz="0" w:space="0" w:color="auto"/>
      </w:divBdr>
    </w:div>
    <w:div w:id="1537961557">
      <w:bodyDiv w:val="1"/>
      <w:marLeft w:val="0"/>
      <w:marRight w:val="0"/>
      <w:marTop w:val="0"/>
      <w:marBottom w:val="0"/>
      <w:divBdr>
        <w:top w:val="none" w:sz="0" w:space="0" w:color="auto"/>
        <w:left w:val="none" w:sz="0" w:space="0" w:color="auto"/>
        <w:bottom w:val="none" w:sz="0" w:space="0" w:color="auto"/>
        <w:right w:val="none" w:sz="0" w:space="0" w:color="auto"/>
      </w:divBdr>
    </w:div>
    <w:div w:id="1576239087">
      <w:bodyDiv w:val="1"/>
      <w:marLeft w:val="0"/>
      <w:marRight w:val="0"/>
      <w:marTop w:val="0"/>
      <w:marBottom w:val="0"/>
      <w:divBdr>
        <w:top w:val="none" w:sz="0" w:space="0" w:color="auto"/>
        <w:left w:val="none" w:sz="0" w:space="0" w:color="auto"/>
        <w:bottom w:val="none" w:sz="0" w:space="0" w:color="auto"/>
        <w:right w:val="none" w:sz="0" w:space="0" w:color="auto"/>
      </w:divBdr>
    </w:div>
    <w:div w:id="1592618520">
      <w:bodyDiv w:val="1"/>
      <w:marLeft w:val="0"/>
      <w:marRight w:val="0"/>
      <w:marTop w:val="0"/>
      <w:marBottom w:val="0"/>
      <w:divBdr>
        <w:top w:val="none" w:sz="0" w:space="0" w:color="auto"/>
        <w:left w:val="none" w:sz="0" w:space="0" w:color="auto"/>
        <w:bottom w:val="none" w:sz="0" w:space="0" w:color="auto"/>
        <w:right w:val="none" w:sz="0" w:space="0" w:color="auto"/>
      </w:divBdr>
    </w:div>
    <w:div w:id="1612012678">
      <w:bodyDiv w:val="1"/>
      <w:marLeft w:val="0"/>
      <w:marRight w:val="0"/>
      <w:marTop w:val="0"/>
      <w:marBottom w:val="0"/>
      <w:divBdr>
        <w:top w:val="none" w:sz="0" w:space="0" w:color="auto"/>
        <w:left w:val="none" w:sz="0" w:space="0" w:color="auto"/>
        <w:bottom w:val="none" w:sz="0" w:space="0" w:color="auto"/>
        <w:right w:val="none" w:sz="0" w:space="0" w:color="auto"/>
      </w:divBdr>
    </w:div>
    <w:div w:id="1639144619">
      <w:bodyDiv w:val="1"/>
      <w:marLeft w:val="0"/>
      <w:marRight w:val="0"/>
      <w:marTop w:val="0"/>
      <w:marBottom w:val="0"/>
      <w:divBdr>
        <w:top w:val="none" w:sz="0" w:space="0" w:color="auto"/>
        <w:left w:val="none" w:sz="0" w:space="0" w:color="auto"/>
        <w:bottom w:val="none" w:sz="0" w:space="0" w:color="auto"/>
        <w:right w:val="none" w:sz="0" w:space="0" w:color="auto"/>
      </w:divBdr>
    </w:div>
    <w:div w:id="1672831121">
      <w:bodyDiv w:val="1"/>
      <w:marLeft w:val="0"/>
      <w:marRight w:val="0"/>
      <w:marTop w:val="0"/>
      <w:marBottom w:val="0"/>
      <w:divBdr>
        <w:top w:val="none" w:sz="0" w:space="0" w:color="auto"/>
        <w:left w:val="none" w:sz="0" w:space="0" w:color="auto"/>
        <w:bottom w:val="none" w:sz="0" w:space="0" w:color="auto"/>
        <w:right w:val="none" w:sz="0" w:space="0" w:color="auto"/>
      </w:divBdr>
    </w:div>
    <w:div w:id="1681397099">
      <w:bodyDiv w:val="1"/>
      <w:marLeft w:val="0"/>
      <w:marRight w:val="0"/>
      <w:marTop w:val="0"/>
      <w:marBottom w:val="0"/>
      <w:divBdr>
        <w:top w:val="none" w:sz="0" w:space="0" w:color="auto"/>
        <w:left w:val="none" w:sz="0" w:space="0" w:color="auto"/>
        <w:bottom w:val="none" w:sz="0" w:space="0" w:color="auto"/>
        <w:right w:val="none" w:sz="0" w:space="0" w:color="auto"/>
      </w:divBdr>
    </w:div>
    <w:div w:id="1690987064">
      <w:bodyDiv w:val="1"/>
      <w:marLeft w:val="0"/>
      <w:marRight w:val="0"/>
      <w:marTop w:val="0"/>
      <w:marBottom w:val="0"/>
      <w:divBdr>
        <w:top w:val="none" w:sz="0" w:space="0" w:color="auto"/>
        <w:left w:val="none" w:sz="0" w:space="0" w:color="auto"/>
        <w:bottom w:val="none" w:sz="0" w:space="0" w:color="auto"/>
        <w:right w:val="none" w:sz="0" w:space="0" w:color="auto"/>
      </w:divBdr>
    </w:div>
    <w:div w:id="1696732285">
      <w:bodyDiv w:val="1"/>
      <w:marLeft w:val="0"/>
      <w:marRight w:val="0"/>
      <w:marTop w:val="0"/>
      <w:marBottom w:val="0"/>
      <w:divBdr>
        <w:top w:val="none" w:sz="0" w:space="0" w:color="auto"/>
        <w:left w:val="none" w:sz="0" w:space="0" w:color="auto"/>
        <w:bottom w:val="none" w:sz="0" w:space="0" w:color="auto"/>
        <w:right w:val="none" w:sz="0" w:space="0" w:color="auto"/>
      </w:divBdr>
    </w:div>
    <w:div w:id="1715619714">
      <w:bodyDiv w:val="1"/>
      <w:marLeft w:val="0"/>
      <w:marRight w:val="0"/>
      <w:marTop w:val="0"/>
      <w:marBottom w:val="0"/>
      <w:divBdr>
        <w:top w:val="none" w:sz="0" w:space="0" w:color="auto"/>
        <w:left w:val="none" w:sz="0" w:space="0" w:color="auto"/>
        <w:bottom w:val="none" w:sz="0" w:space="0" w:color="auto"/>
        <w:right w:val="none" w:sz="0" w:space="0" w:color="auto"/>
      </w:divBdr>
    </w:div>
    <w:div w:id="1734965045">
      <w:bodyDiv w:val="1"/>
      <w:marLeft w:val="0"/>
      <w:marRight w:val="0"/>
      <w:marTop w:val="0"/>
      <w:marBottom w:val="0"/>
      <w:divBdr>
        <w:top w:val="none" w:sz="0" w:space="0" w:color="auto"/>
        <w:left w:val="none" w:sz="0" w:space="0" w:color="auto"/>
        <w:bottom w:val="none" w:sz="0" w:space="0" w:color="auto"/>
        <w:right w:val="none" w:sz="0" w:space="0" w:color="auto"/>
      </w:divBdr>
    </w:div>
    <w:div w:id="1736733929">
      <w:bodyDiv w:val="1"/>
      <w:marLeft w:val="0"/>
      <w:marRight w:val="0"/>
      <w:marTop w:val="0"/>
      <w:marBottom w:val="0"/>
      <w:divBdr>
        <w:top w:val="none" w:sz="0" w:space="0" w:color="auto"/>
        <w:left w:val="none" w:sz="0" w:space="0" w:color="auto"/>
        <w:bottom w:val="none" w:sz="0" w:space="0" w:color="auto"/>
        <w:right w:val="none" w:sz="0" w:space="0" w:color="auto"/>
      </w:divBdr>
    </w:div>
    <w:div w:id="1741294697">
      <w:bodyDiv w:val="1"/>
      <w:marLeft w:val="0"/>
      <w:marRight w:val="0"/>
      <w:marTop w:val="0"/>
      <w:marBottom w:val="0"/>
      <w:divBdr>
        <w:top w:val="none" w:sz="0" w:space="0" w:color="auto"/>
        <w:left w:val="none" w:sz="0" w:space="0" w:color="auto"/>
        <w:bottom w:val="none" w:sz="0" w:space="0" w:color="auto"/>
        <w:right w:val="none" w:sz="0" w:space="0" w:color="auto"/>
      </w:divBdr>
    </w:div>
    <w:div w:id="1753163082">
      <w:bodyDiv w:val="1"/>
      <w:marLeft w:val="0"/>
      <w:marRight w:val="0"/>
      <w:marTop w:val="0"/>
      <w:marBottom w:val="0"/>
      <w:divBdr>
        <w:top w:val="none" w:sz="0" w:space="0" w:color="auto"/>
        <w:left w:val="none" w:sz="0" w:space="0" w:color="auto"/>
        <w:bottom w:val="none" w:sz="0" w:space="0" w:color="auto"/>
        <w:right w:val="none" w:sz="0" w:space="0" w:color="auto"/>
      </w:divBdr>
    </w:div>
    <w:div w:id="1754932516">
      <w:bodyDiv w:val="1"/>
      <w:marLeft w:val="0"/>
      <w:marRight w:val="0"/>
      <w:marTop w:val="0"/>
      <w:marBottom w:val="0"/>
      <w:divBdr>
        <w:top w:val="none" w:sz="0" w:space="0" w:color="auto"/>
        <w:left w:val="none" w:sz="0" w:space="0" w:color="auto"/>
        <w:bottom w:val="none" w:sz="0" w:space="0" w:color="auto"/>
        <w:right w:val="none" w:sz="0" w:space="0" w:color="auto"/>
      </w:divBdr>
    </w:div>
    <w:div w:id="1776435099">
      <w:bodyDiv w:val="1"/>
      <w:marLeft w:val="0"/>
      <w:marRight w:val="0"/>
      <w:marTop w:val="0"/>
      <w:marBottom w:val="0"/>
      <w:divBdr>
        <w:top w:val="none" w:sz="0" w:space="0" w:color="auto"/>
        <w:left w:val="none" w:sz="0" w:space="0" w:color="auto"/>
        <w:bottom w:val="none" w:sz="0" w:space="0" w:color="auto"/>
        <w:right w:val="none" w:sz="0" w:space="0" w:color="auto"/>
      </w:divBdr>
    </w:div>
    <w:div w:id="1789733918">
      <w:bodyDiv w:val="1"/>
      <w:marLeft w:val="0"/>
      <w:marRight w:val="0"/>
      <w:marTop w:val="0"/>
      <w:marBottom w:val="0"/>
      <w:divBdr>
        <w:top w:val="none" w:sz="0" w:space="0" w:color="auto"/>
        <w:left w:val="none" w:sz="0" w:space="0" w:color="auto"/>
        <w:bottom w:val="none" w:sz="0" w:space="0" w:color="auto"/>
        <w:right w:val="none" w:sz="0" w:space="0" w:color="auto"/>
      </w:divBdr>
    </w:div>
    <w:div w:id="1845046129">
      <w:bodyDiv w:val="1"/>
      <w:marLeft w:val="0"/>
      <w:marRight w:val="0"/>
      <w:marTop w:val="0"/>
      <w:marBottom w:val="0"/>
      <w:divBdr>
        <w:top w:val="none" w:sz="0" w:space="0" w:color="auto"/>
        <w:left w:val="none" w:sz="0" w:space="0" w:color="auto"/>
        <w:bottom w:val="none" w:sz="0" w:space="0" w:color="auto"/>
        <w:right w:val="none" w:sz="0" w:space="0" w:color="auto"/>
      </w:divBdr>
    </w:div>
    <w:div w:id="1848247466">
      <w:bodyDiv w:val="1"/>
      <w:marLeft w:val="0"/>
      <w:marRight w:val="0"/>
      <w:marTop w:val="0"/>
      <w:marBottom w:val="0"/>
      <w:divBdr>
        <w:top w:val="none" w:sz="0" w:space="0" w:color="auto"/>
        <w:left w:val="none" w:sz="0" w:space="0" w:color="auto"/>
        <w:bottom w:val="none" w:sz="0" w:space="0" w:color="auto"/>
        <w:right w:val="none" w:sz="0" w:space="0" w:color="auto"/>
      </w:divBdr>
    </w:div>
    <w:div w:id="1856768062">
      <w:bodyDiv w:val="1"/>
      <w:marLeft w:val="0"/>
      <w:marRight w:val="0"/>
      <w:marTop w:val="0"/>
      <w:marBottom w:val="0"/>
      <w:divBdr>
        <w:top w:val="none" w:sz="0" w:space="0" w:color="auto"/>
        <w:left w:val="none" w:sz="0" w:space="0" w:color="auto"/>
        <w:bottom w:val="none" w:sz="0" w:space="0" w:color="auto"/>
        <w:right w:val="none" w:sz="0" w:space="0" w:color="auto"/>
      </w:divBdr>
    </w:div>
    <w:div w:id="1906523791">
      <w:bodyDiv w:val="1"/>
      <w:marLeft w:val="0"/>
      <w:marRight w:val="0"/>
      <w:marTop w:val="0"/>
      <w:marBottom w:val="0"/>
      <w:divBdr>
        <w:top w:val="none" w:sz="0" w:space="0" w:color="auto"/>
        <w:left w:val="none" w:sz="0" w:space="0" w:color="auto"/>
        <w:bottom w:val="none" w:sz="0" w:space="0" w:color="auto"/>
        <w:right w:val="none" w:sz="0" w:space="0" w:color="auto"/>
      </w:divBdr>
    </w:div>
    <w:div w:id="1906646958">
      <w:bodyDiv w:val="1"/>
      <w:marLeft w:val="0"/>
      <w:marRight w:val="0"/>
      <w:marTop w:val="0"/>
      <w:marBottom w:val="0"/>
      <w:divBdr>
        <w:top w:val="none" w:sz="0" w:space="0" w:color="auto"/>
        <w:left w:val="none" w:sz="0" w:space="0" w:color="auto"/>
        <w:bottom w:val="none" w:sz="0" w:space="0" w:color="auto"/>
        <w:right w:val="none" w:sz="0" w:space="0" w:color="auto"/>
      </w:divBdr>
    </w:div>
    <w:div w:id="1938756456">
      <w:bodyDiv w:val="1"/>
      <w:marLeft w:val="0"/>
      <w:marRight w:val="0"/>
      <w:marTop w:val="0"/>
      <w:marBottom w:val="0"/>
      <w:divBdr>
        <w:top w:val="none" w:sz="0" w:space="0" w:color="auto"/>
        <w:left w:val="none" w:sz="0" w:space="0" w:color="auto"/>
        <w:bottom w:val="none" w:sz="0" w:space="0" w:color="auto"/>
        <w:right w:val="none" w:sz="0" w:space="0" w:color="auto"/>
      </w:divBdr>
    </w:div>
    <w:div w:id="1943339714">
      <w:bodyDiv w:val="1"/>
      <w:marLeft w:val="0"/>
      <w:marRight w:val="0"/>
      <w:marTop w:val="0"/>
      <w:marBottom w:val="0"/>
      <w:divBdr>
        <w:top w:val="none" w:sz="0" w:space="0" w:color="auto"/>
        <w:left w:val="none" w:sz="0" w:space="0" w:color="auto"/>
        <w:bottom w:val="none" w:sz="0" w:space="0" w:color="auto"/>
        <w:right w:val="none" w:sz="0" w:space="0" w:color="auto"/>
      </w:divBdr>
    </w:div>
    <w:div w:id="1981766856">
      <w:bodyDiv w:val="1"/>
      <w:marLeft w:val="0"/>
      <w:marRight w:val="0"/>
      <w:marTop w:val="0"/>
      <w:marBottom w:val="0"/>
      <w:divBdr>
        <w:top w:val="none" w:sz="0" w:space="0" w:color="auto"/>
        <w:left w:val="none" w:sz="0" w:space="0" w:color="auto"/>
        <w:bottom w:val="none" w:sz="0" w:space="0" w:color="auto"/>
        <w:right w:val="none" w:sz="0" w:space="0" w:color="auto"/>
      </w:divBdr>
    </w:div>
    <w:div w:id="1991669610">
      <w:bodyDiv w:val="1"/>
      <w:marLeft w:val="0"/>
      <w:marRight w:val="0"/>
      <w:marTop w:val="0"/>
      <w:marBottom w:val="0"/>
      <w:divBdr>
        <w:top w:val="none" w:sz="0" w:space="0" w:color="auto"/>
        <w:left w:val="none" w:sz="0" w:space="0" w:color="auto"/>
        <w:bottom w:val="none" w:sz="0" w:space="0" w:color="auto"/>
        <w:right w:val="none" w:sz="0" w:space="0" w:color="auto"/>
      </w:divBdr>
    </w:div>
    <w:div w:id="2029331497">
      <w:bodyDiv w:val="1"/>
      <w:marLeft w:val="0"/>
      <w:marRight w:val="0"/>
      <w:marTop w:val="0"/>
      <w:marBottom w:val="0"/>
      <w:divBdr>
        <w:top w:val="none" w:sz="0" w:space="0" w:color="auto"/>
        <w:left w:val="none" w:sz="0" w:space="0" w:color="auto"/>
        <w:bottom w:val="none" w:sz="0" w:space="0" w:color="auto"/>
        <w:right w:val="none" w:sz="0" w:space="0" w:color="auto"/>
      </w:divBdr>
    </w:div>
    <w:div w:id="2039812552">
      <w:bodyDiv w:val="1"/>
      <w:marLeft w:val="0"/>
      <w:marRight w:val="0"/>
      <w:marTop w:val="0"/>
      <w:marBottom w:val="0"/>
      <w:divBdr>
        <w:top w:val="none" w:sz="0" w:space="0" w:color="auto"/>
        <w:left w:val="none" w:sz="0" w:space="0" w:color="auto"/>
        <w:bottom w:val="none" w:sz="0" w:space="0" w:color="auto"/>
        <w:right w:val="none" w:sz="0" w:space="0" w:color="auto"/>
      </w:divBdr>
    </w:div>
    <w:div w:id="2049796371">
      <w:bodyDiv w:val="1"/>
      <w:marLeft w:val="0"/>
      <w:marRight w:val="0"/>
      <w:marTop w:val="0"/>
      <w:marBottom w:val="0"/>
      <w:divBdr>
        <w:top w:val="none" w:sz="0" w:space="0" w:color="auto"/>
        <w:left w:val="none" w:sz="0" w:space="0" w:color="auto"/>
        <w:bottom w:val="none" w:sz="0" w:space="0" w:color="auto"/>
        <w:right w:val="none" w:sz="0" w:space="0" w:color="auto"/>
      </w:divBdr>
      <w:divsChild>
        <w:div w:id="572550558">
          <w:marLeft w:val="274"/>
          <w:marRight w:val="0"/>
          <w:marTop w:val="0"/>
          <w:marBottom w:val="0"/>
          <w:divBdr>
            <w:top w:val="none" w:sz="0" w:space="0" w:color="auto"/>
            <w:left w:val="none" w:sz="0" w:space="0" w:color="auto"/>
            <w:bottom w:val="none" w:sz="0" w:space="0" w:color="auto"/>
            <w:right w:val="none" w:sz="0" w:space="0" w:color="auto"/>
          </w:divBdr>
        </w:div>
        <w:div w:id="1816793673">
          <w:marLeft w:val="274"/>
          <w:marRight w:val="0"/>
          <w:marTop w:val="0"/>
          <w:marBottom w:val="0"/>
          <w:divBdr>
            <w:top w:val="none" w:sz="0" w:space="0" w:color="auto"/>
            <w:left w:val="none" w:sz="0" w:space="0" w:color="auto"/>
            <w:bottom w:val="none" w:sz="0" w:space="0" w:color="auto"/>
            <w:right w:val="none" w:sz="0" w:space="0" w:color="auto"/>
          </w:divBdr>
        </w:div>
      </w:divsChild>
    </w:div>
    <w:div w:id="2086686891">
      <w:bodyDiv w:val="1"/>
      <w:marLeft w:val="0"/>
      <w:marRight w:val="0"/>
      <w:marTop w:val="0"/>
      <w:marBottom w:val="0"/>
      <w:divBdr>
        <w:top w:val="none" w:sz="0" w:space="0" w:color="auto"/>
        <w:left w:val="none" w:sz="0" w:space="0" w:color="auto"/>
        <w:bottom w:val="none" w:sz="0" w:space="0" w:color="auto"/>
        <w:right w:val="none" w:sz="0" w:space="0" w:color="auto"/>
      </w:divBdr>
    </w:div>
    <w:div w:id="2090494982">
      <w:bodyDiv w:val="1"/>
      <w:marLeft w:val="0"/>
      <w:marRight w:val="0"/>
      <w:marTop w:val="0"/>
      <w:marBottom w:val="0"/>
      <w:divBdr>
        <w:top w:val="none" w:sz="0" w:space="0" w:color="auto"/>
        <w:left w:val="none" w:sz="0" w:space="0" w:color="auto"/>
        <w:bottom w:val="none" w:sz="0" w:space="0" w:color="auto"/>
        <w:right w:val="none" w:sz="0" w:space="0" w:color="auto"/>
      </w:divBdr>
    </w:div>
    <w:div w:id="2111048132">
      <w:bodyDiv w:val="1"/>
      <w:marLeft w:val="0"/>
      <w:marRight w:val="0"/>
      <w:marTop w:val="0"/>
      <w:marBottom w:val="0"/>
      <w:divBdr>
        <w:top w:val="none" w:sz="0" w:space="0" w:color="auto"/>
        <w:left w:val="none" w:sz="0" w:space="0" w:color="auto"/>
        <w:bottom w:val="none" w:sz="0" w:space="0" w:color="auto"/>
        <w:right w:val="none" w:sz="0" w:space="0" w:color="auto"/>
      </w:divBdr>
    </w:div>
    <w:div w:id="214160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dus.servicesaustralia.gov.au/" TargetMode="External"/><Relationship Id="rId117" Type="http://schemas.openxmlformats.org/officeDocument/2006/relationships/hyperlink" Target="https://www.dss.gov.au/privacy-policy" TargetMode="External"/><Relationship Id="rId21" Type="http://schemas.openxmlformats.org/officeDocument/2006/relationships/hyperlink" Target="http://www.13yarn.org.au" TargetMode="External"/><Relationship Id="rId42" Type="http://schemas.openxmlformats.org/officeDocument/2006/relationships/hyperlink" Target="https://www.pc.gov.au/inquiries/completed/housing-homelessness/report" TargetMode="External"/><Relationship Id="rId47" Type="http://schemas.openxmlformats.org/officeDocument/2006/relationships/hyperlink" Target="https://www.planning.nsw.gov.au/Policy-and-Legislation/Housing/A-Housing-Strategy-for-NSW" TargetMode="External"/><Relationship Id="rId63" Type="http://schemas.openxmlformats.org/officeDocument/2006/relationships/hyperlink" Target="https://www.nationalhousingaccord.au/" TargetMode="External"/><Relationship Id="rId68" Type="http://schemas.openxmlformats.org/officeDocument/2006/relationships/hyperlink" Target="https://www.dss.gov.au/women-programs-services-reducing-violence/the-national-plan-to-end-violence-against-women-and-children-2022-2032" TargetMode="External"/><Relationship Id="rId84" Type="http://schemas.openxmlformats.org/officeDocument/2006/relationships/image" Target="media/image9.emf"/><Relationship Id="rId89" Type="http://schemas.openxmlformats.org/officeDocument/2006/relationships/hyperlink" Target="https://www.closingthegap.gov.au/implementation-plans" TargetMode="External"/><Relationship Id="rId112" Type="http://schemas.openxmlformats.org/officeDocument/2006/relationships/image" Target="media/image30.emf"/><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hyperlink" Target="https://www.lifeline.org.au/" TargetMode="External"/><Relationship Id="rId11" Type="http://schemas.openxmlformats.org/officeDocument/2006/relationships/hyperlink" Target="http://www.dss.gov.au/" TargetMode="External"/><Relationship Id="rId32" Type="http://schemas.openxmlformats.org/officeDocument/2006/relationships/hyperlink" Target="http://www.onelink.org.au" TargetMode="External"/><Relationship Id="rId37" Type="http://schemas.openxmlformats.org/officeDocument/2006/relationships/hyperlink" Target="http://www.homestasmania.com.au/housing-and-homelessness/housing-connect" TargetMode="External"/><Relationship Id="rId53" Type="http://schemas.openxmlformats.org/officeDocument/2006/relationships/hyperlink" Target="https://www.chde.qld.gov.au/about/initiatives/aboriginal-torres-strait-islander-housing-action-plan" TargetMode="External"/><Relationship Id="rId58" Type="http://schemas.openxmlformats.org/officeDocument/2006/relationships/hyperlink" Target="https://www.homestasmania.com.au/about-us/Publications" TargetMode="External"/><Relationship Id="rId74" Type="http://schemas.openxmlformats.org/officeDocument/2006/relationships/hyperlink" Target="https://engage.dss.gov.au/developing-the-national-housing-and-homelessness-plan/" TargetMode="External"/><Relationship Id="rId79" Type="http://schemas.openxmlformats.org/officeDocument/2006/relationships/image" Target="media/image5.png"/><Relationship Id="rId102" Type="http://schemas.openxmlformats.org/officeDocument/2006/relationships/image" Target="media/image26.png"/><Relationship Id="rId123" Type="http://schemas.openxmlformats.org/officeDocument/2006/relationships/hyperlink" Target="https://www.abs.gov.au/statistics/people/people-and-communities/snapshot-australia/2021" TargetMode="External"/><Relationship Id="rId128" Type="http://schemas.openxmlformats.org/officeDocument/2006/relationships/hyperlink" Target="https://www.aihw.gov.au/reports/housing-assistance/housing-assistance-in-australia/contents/about"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image" Target="media/image19.png"/><Relationship Id="rId14" Type="http://schemas.openxmlformats.org/officeDocument/2006/relationships/image" Target="media/image2.png"/><Relationship Id="rId22" Type="http://schemas.openxmlformats.org/officeDocument/2006/relationships/hyperlink" Target="http://www.kidshelpline.com.au" TargetMode="External"/><Relationship Id="rId27" Type="http://schemas.openxmlformats.org/officeDocument/2006/relationships/hyperlink" Target="http://www.dva.gov.au" TargetMode="External"/><Relationship Id="rId30" Type="http://schemas.openxmlformats.org/officeDocument/2006/relationships/hyperlink" Target="mailto:enquiries@ndis.gov.au" TargetMode="External"/><Relationship Id="rId35" Type="http://schemas.openxmlformats.org/officeDocument/2006/relationships/hyperlink" Target="http://www.qld.gov.au/housing" TargetMode="External"/><Relationship Id="rId43" Type="http://schemas.openxmlformats.org/officeDocument/2006/relationships/hyperlink" Target="https://www.act.gov.au/homes-housing/act-housing-strategy/about-the-strategy" TargetMode="External"/><Relationship Id="rId48" Type="http://schemas.openxmlformats.org/officeDocument/2006/relationships/hyperlink" Target="https://tfhc.nt.gov.au/housing-and-homelessness/housing-initiatives-and-strategies/nt-homelessness-strategy-2018-23" TargetMode="External"/><Relationship Id="rId56" Type="http://schemas.openxmlformats.org/officeDocument/2006/relationships/hyperlink" Target="https://www.housing.sa.gov.au/our-housing-future/sa_aboriginal-housing-strategy" TargetMode="External"/><Relationship Id="rId64" Type="http://schemas.openxmlformats.org/officeDocument/2006/relationships/hyperlink" Target="https://www.nhfic.gov.au/national-housing-infrastructure-facility-social-and-affordable-housing-nhif-sah" TargetMode="External"/><Relationship Id="rId69" Type="http://schemas.openxmlformats.org/officeDocument/2006/relationships/hyperlink" Target="https://www.dss.gov.au/the-national-framework-for-protecting-australias-children-2021-2031" TargetMode="External"/><Relationship Id="rId77" Type="http://schemas.openxmlformats.org/officeDocument/2006/relationships/hyperlink" Target="mailto:HousingandHomelessnessPlan@dss.gov.au" TargetMode="External"/><Relationship Id="rId100" Type="http://schemas.openxmlformats.org/officeDocument/2006/relationships/image" Target="media/image24.png"/><Relationship Id="rId113" Type="http://schemas.openxmlformats.org/officeDocument/2006/relationships/image" Target="media/image31.png"/><Relationship Id="rId118" Type="http://schemas.openxmlformats.org/officeDocument/2006/relationships/hyperlink" Target="https://engage.dss.gov.au/developing-the-national-housing-and-homelessness-plan/" TargetMode="External"/><Relationship Id="rId126" Type="http://schemas.openxmlformats.org/officeDocument/2006/relationships/hyperlink" Target="https://www.abs.gov.au/statistics/people/housing/estimating-homelessness-census/2021"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hde.qld.gov.au/about/strategy/housing/housing-and-homelessness-action-plan-2021-2025" TargetMode="External"/><Relationship Id="rId72" Type="http://schemas.openxmlformats.org/officeDocument/2006/relationships/hyperlink" Target="https://www.pmc.gov.au/office-women/national-strategy-achieve-gender-equality" TargetMode="External"/><Relationship Id="rId80" Type="http://schemas.openxmlformats.org/officeDocument/2006/relationships/hyperlink" Target="https://www.pc.gov.au/inquiries/completed/housing-homelessness/report" TargetMode="External"/><Relationship Id="rId85" Type="http://schemas.openxmlformats.org/officeDocument/2006/relationships/image" Target="media/image10.png"/><Relationship Id="rId93" Type="http://schemas.openxmlformats.org/officeDocument/2006/relationships/image" Target="media/image17.emf"/><Relationship Id="rId98" Type="http://schemas.openxmlformats.org/officeDocument/2006/relationships/image" Target="media/image22.png"/><Relationship Id="rId121" Type="http://schemas.openxmlformats.org/officeDocument/2006/relationships/hyperlink" Target="https://www.abs.gov.au/statistics/industry/building-and-construction/estimated-dwelling-stock/jun-quarter-2022" TargetMode="External"/><Relationship Id="rId3" Type="http://schemas.openxmlformats.org/officeDocument/2006/relationships/styles" Target="styles.xml"/><Relationship Id="rId12" Type="http://schemas.openxmlformats.org/officeDocument/2006/relationships/hyperlink" Target="mailto:communications@dss.gov.au" TargetMode="External"/><Relationship Id="rId17" Type="http://schemas.openxmlformats.org/officeDocument/2006/relationships/hyperlink" Target="http://www.suicidecallbackservice.org.au" TargetMode="External"/><Relationship Id="rId25" Type="http://schemas.openxmlformats.org/officeDocument/2006/relationships/hyperlink" Target="http://www.ndh.org.au" TargetMode="External"/><Relationship Id="rId33" Type="http://schemas.openxmlformats.org/officeDocument/2006/relationships/hyperlink" Target="https://www.facs.nsw.gov.au/housing/help/ways/are-you-homeless" TargetMode="External"/><Relationship Id="rId38" Type="http://schemas.openxmlformats.org/officeDocument/2006/relationships/hyperlink" Target="http://www.housing.vic.gov.au/crisis-emergency-accommodation" TargetMode="External"/><Relationship Id="rId46" Type="http://schemas.openxmlformats.org/officeDocument/2006/relationships/hyperlink" Target="https://www.aho.nsw.gov.au/strong-family-strong-communities" TargetMode="External"/><Relationship Id="rId59" Type="http://schemas.openxmlformats.org/officeDocument/2006/relationships/hyperlink" Target="https://www.dhhs.vic.gov.au/sites/default/files/documents/201802/Rough%20Sleeping%20Action%20Plan_20180207.pdf" TargetMode="External"/><Relationship Id="rId67" Type="http://schemas.openxmlformats.org/officeDocument/2006/relationships/hyperlink" Target="https://www.disabilitygateway.gov.au/ads" TargetMode="External"/><Relationship Id="rId103" Type="http://schemas.openxmlformats.org/officeDocument/2006/relationships/image" Target="media/image27.png"/><Relationship Id="rId116" Type="http://schemas.openxmlformats.org/officeDocument/2006/relationships/hyperlink" Target="mailto:HousingandHomelessnessPlan@dss.gov.au" TargetMode="External"/><Relationship Id="rId124" Type="http://schemas.openxmlformats.org/officeDocument/2006/relationships/hyperlink" Target="https://www.abs.gov.au/articles/australia-aboriginal-and-torres-strait-islander-population-summary" TargetMode="External"/><Relationship Id="rId129" Type="http://schemas.openxmlformats.org/officeDocument/2006/relationships/hyperlink" Target="https://www.corelogic.com.au/news-research/reports/quarterly-rental-review" TargetMode="External"/><Relationship Id="rId137" Type="http://schemas.openxmlformats.org/officeDocument/2006/relationships/footer" Target="footer3.xml"/><Relationship Id="rId20" Type="http://schemas.openxmlformats.org/officeDocument/2006/relationships/hyperlink" Target="http://www.beyondblue.org.au" TargetMode="External"/><Relationship Id="rId41" Type="http://schemas.openxmlformats.org/officeDocument/2006/relationships/hyperlink" Target="mailto:ais@nt.gov.au" TargetMode="External"/><Relationship Id="rId54" Type="http://schemas.openxmlformats.org/officeDocument/2006/relationships/hyperlink" Target="https://www.housing.sa.gov.au/our-housing-future" TargetMode="External"/><Relationship Id="rId62" Type="http://schemas.openxmlformats.org/officeDocument/2006/relationships/hyperlink" Target="https://www.wa.gov.au/government/document-collections/wa-housing-strategy-2020-2030" TargetMode="External"/><Relationship Id="rId70" Type="http://schemas.openxmlformats.org/officeDocument/2006/relationships/hyperlink" Target="https://www.closingthegap.gov.au/national-agreement" TargetMode="External"/><Relationship Id="rId75" Type="http://schemas.openxmlformats.org/officeDocument/2006/relationships/hyperlink" Target="https://engage.dss.gov.au/developing-the-national-housing-and-homelessness-plan/"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image" Target="media/image29.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openarms.gov.au" TargetMode="External"/><Relationship Id="rId28" Type="http://schemas.openxmlformats.org/officeDocument/2006/relationships/hyperlink" Target="https://www.disabilitygateway.gov.au/" TargetMode="External"/><Relationship Id="rId36" Type="http://schemas.openxmlformats.org/officeDocument/2006/relationships/hyperlink" Target="http://www.homelessconnectsa.org" TargetMode="External"/><Relationship Id="rId49" Type="http://schemas.openxmlformats.org/officeDocument/2006/relationships/hyperlink" Target="https://tfhc.nt.gov.au/housing-and-homelessness/housing-initiatives-and-strategies/northern-territory-housing-strategy-2020-2025" TargetMode="External"/><Relationship Id="rId57" Type="http://schemas.openxmlformats.org/officeDocument/2006/relationships/hyperlink" Target="https://www.homestasmania.com.au/about-us/Publications" TargetMode="External"/><Relationship Id="rId114" Type="http://schemas.openxmlformats.org/officeDocument/2006/relationships/hyperlink" Target="mailto:HousingandHomelessnessPlan@dss.gov.au" TargetMode="External"/><Relationship Id="rId119" Type="http://schemas.openxmlformats.org/officeDocument/2006/relationships/hyperlink" Target="mailto:housingandhomelessnessplan@dss.gov.au" TargetMode="External"/><Relationship Id="rId127" Type="http://schemas.openxmlformats.org/officeDocument/2006/relationships/hyperlink" Target="https://sqmresearch.com.au/graph_vacancy.php?national=1&amp;t=1" TargetMode="External"/><Relationship Id="rId10" Type="http://schemas.openxmlformats.org/officeDocument/2006/relationships/hyperlink" Target="https://creativecommons.org/licenses/by/4.0/legalcode" TargetMode="External"/><Relationship Id="rId31" Type="http://schemas.openxmlformats.org/officeDocument/2006/relationships/hyperlink" Target="https://askizzy.org.au/" TargetMode="External"/><Relationship Id="rId44" Type="http://schemas.openxmlformats.org/officeDocument/2006/relationships/hyperlink" Target="https://www.facs.nsw.gov.au/reforms/homelessness" TargetMode="External"/><Relationship Id="rId52" Type="http://schemas.openxmlformats.org/officeDocument/2006/relationships/hyperlink" Target="https://www.qld.gov.au/about/queensland-housing-summit" TargetMode="External"/><Relationship Id="rId60" Type="http://schemas.openxmlformats.org/officeDocument/2006/relationships/hyperlink" Target="https://www.vic.gov.au/about-homes-victorians-policy" TargetMode="External"/><Relationship Id="rId65" Type="http://schemas.openxmlformats.org/officeDocument/2006/relationships/hyperlink" Target="https://www.dss.gov.au/housing-support/programmes-services/homelessness/domestic-and-family-violence" TargetMode="External"/><Relationship Id="rId73" Type="http://schemas.openxmlformats.org/officeDocument/2006/relationships/hyperlink" Target="https://www.energy.gov.au/government-priorities/australias-energy-strategies-and-frameworks/national-energy-performance-strategy" TargetMode="External"/><Relationship Id="rId78" Type="http://schemas.openxmlformats.org/officeDocument/2006/relationships/image" Target="media/image4.png"/><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hyperlink" Target="https://www.corelogic.com.au/news-research/reports/monthly-housing-chart-pack" TargetMode="External"/><Relationship Id="rId130" Type="http://schemas.openxmlformats.org/officeDocument/2006/relationships/hyperlink" Target="https://treasury.gov.au/publication/p2021-217760"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pmc.gov.au/honours-and-symbols/commonwealth-coat-arms" TargetMode="External"/><Relationship Id="rId18" Type="http://schemas.openxmlformats.org/officeDocument/2006/relationships/hyperlink" Target="https://thirrili.com.au/postvention-support" TargetMode="External"/><Relationship Id="rId39" Type="http://schemas.openxmlformats.org/officeDocument/2006/relationships/hyperlink" Target="http://www.entrypointperth.com.au" TargetMode="External"/><Relationship Id="rId34" Type="http://schemas.openxmlformats.org/officeDocument/2006/relationships/hyperlink" Target="http://www.shelterme.org.au" TargetMode="External"/><Relationship Id="rId50" Type="http://schemas.openxmlformats.org/officeDocument/2006/relationships/hyperlink" Target="https://www.chde.qld.gov.au/about/strategy/housing/about" TargetMode="External"/><Relationship Id="rId55" Type="http://schemas.openxmlformats.org/officeDocument/2006/relationships/hyperlink" Target="https://www.housing.sa.gov.au/our-housing-future/future-directions-for-homelessness" TargetMode="External"/><Relationship Id="rId76" Type="http://schemas.openxmlformats.org/officeDocument/2006/relationships/hyperlink" Target="https://engage.dss.gov.au/developing-the-national-housing-and-homelessness-plan/" TargetMode="External"/><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hyperlink" Target="https://population.gov.au/data-and-forecasts/dashboards/national-projections" TargetMode="External"/><Relationship Id="rId125" Type="http://schemas.openxmlformats.org/officeDocument/2006/relationships/hyperlink" Target="https://news.anz.com/posts/2022/08/anz-news-corelogic-housing-affordability-report-aug-2022" TargetMode="External"/><Relationship Id="rId7" Type="http://schemas.openxmlformats.org/officeDocument/2006/relationships/endnotes" Target="endnotes.xml"/><Relationship Id="rId71" Type="http://schemas.openxmlformats.org/officeDocument/2006/relationships/hyperlink" Target="https://www.closingthegap.gov.au/resources"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www.carergateway.gov.au" TargetMode="External"/><Relationship Id="rId24" Type="http://schemas.openxmlformats.org/officeDocument/2006/relationships/hyperlink" Target="http://www.qlife.org.au" TargetMode="External"/><Relationship Id="rId40" Type="http://schemas.openxmlformats.org/officeDocument/2006/relationships/hyperlink" Target="http://www.tisnational.gov.au" TargetMode="External"/><Relationship Id="rId45" Type="http://schemas.openxmlformats.org/officeDocument/2006/relationships/hyperlink" Target="https://www.facs.nsw.gov.au/download?file=348442" TargetMode="External"/><Relationship Id="rId66" Type="http://schemas.openxmlformats.org/officeDocument/2006/relationships/hyperlink" Target="https://www.dss.gov.au/families-and-children-programs-services/reconnect" TargetMode="External"/><Relationship Id="rId87" Type="http://schemas.openxmlformats.org/officeDocument/2006/relationships/image" Target="media/image12.emf"/><Relationship Id="rId110" Type="http://schemas.openxmlformats.org/officeDocument/2006/relationships/image" Target="media/image30.png"/><Relationship Id="rId115" Type="http://schemas.openxmlformats.org/officeDocument/2006/relationships/hyperlink" Target="mailto:HousingandHomelessnessPlan@dss.gov.au" TargetMode="External"/><Relationship Id="rId131" Type="http://schemas.openxmlformats.org/officeDocument/2006/relationships/image" Target="media/image32.jpeg"/><Relationship Id="rId136" Type="http://schemas.openxmlformats.org/officeDocument/2006/relationships/header" Target="header3.xml"/><Relationship Id="rId61" Type="http://schemas.openxmlformats.org/officeDocument/2006/relationships/hyperlink" Target="https://www.wa.gov.au/government/document-collections/all-paths-lead-home-western-australias-10-year-strategy-homelessness-2020-2030" TargetMode="External"/><Relationship Id="rId82" Type="http://schemas.openxmlformats.org/officeDocument/2006/relationships/image" Target="media/image7.png"/><Relationship Id="rId19" Type="http://schemas.openxmlformats.org/officeDocument/2006/relationships/hyperlink" Target="https://www.1800respect.org.a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bs.gov.au/statistics/people/housing/estimating-homelessness-census/2021" TargetMode="External"/><Relationship Id="rId117" Type="http://schemas.openxmlformats.org/officeDocument/2006/relationships/hyperlink" Target="https://treasury.gov.au/publication/p2020-100554" TargetMode="External"/><Relationship Id="rId21" Type="http://schemas.openxmlformats.org/officeDocument/2006/relationships/hyperlink" Target="https://www.abs.gov.au/statistics/people/housing/estimating-homelessness-census/2021" TargetMode="External"/><Relationship Id="rId42" Type="http://schemas.openxmlformats.org/officeDocument/2006/relationships/hyperlink" Target="https://www.aihw.gov.au/reports/children-youth/australias-children/contents/housing/homelessness" TargetMode="External"/><Relationship Id="rId47" Type="http://schemas.openxmlformats.org/officeDocument/2006/relationships/hyperlink" Target="https://www.aihw.gov.au/reports/homelessness-services/specialist-homelessness-services-annual-report/national-housing-and-homelessness-agreement-indicators" TargetMode="External"/><Relationship Id="rId63" Type="http://schemas.openxmlformats.org/officeDocument/2006/relationships/hyperlink" Target="https://www.ahuri.edu.au/research/research-papers/how-can-aboriginal-housing-in-nsw-and-the-aboriginal-housing-office-provide-the-best-opportunity-for-aboriginal-people" TargetMode="External"/><Relationship Id="rId68" Type="http://schemas.openxmlformats.org/officeDocument/2006/relationships/hyperlink" Target="https://www.aihw.gov.au/reports/housing-assistance/housing-assistance-in-australia-2019/contents/summary" TargetMode="External"/><Relationship Id="rId84" Type="http://schemas.openxmlformats.org/officeDocument/2006/relationships/hyperlink" Target="https://www.aihw.gov.au/reports/housing-assistance/housing-assistance-in-australia/contents/suitability-of-dwelling-size" TargetMode="External"/><Relationship Id="rId89" Type="http://schemas.openxmlformats.org/officeDocument/2006/relationships/hyperlink" Target="https://www.pc.gov.au/inquiries/completed/housing-homelessness/report" TargetMode="External"/><Relationship Id="rId112" Type="http://schemas.openxmlformats.org/officeDocument/2006/relationships/hyperlink" Target="https://treasury.gov.au/publication/p2023-mwm" TargetMode="External"/><Relationship Id="rId133" Type="http://schemas.openxmlformats.org/officeDocument/2006/relationships/hyperlink" Target="https://www.ahuri.edu.au/research/final-reports/353" TargetMode="External"/><Relationship Id="rId138" Type="http://schemas.openxmlformats.org/officeDocument/2006/relationships/hyperlink" Target="https://www.ahuri.edu.au/research/brief/why-does-australia-have-rental-crisis-and-what-can-be-done-about-it" TargetMode="External"/><Relationship Id="rId154" Type="http://schemas.openxmlformats.org/officeDocument/2006/relationships/hyperlink" Target="https://www.energy.gov.au/government-priorities/energy-and-climate-change-ministerial-council/priorities/national-energy-transformation-partnership/first-nations-clean-energy-strategy" TargetMode="External"/><Relationship Id="rId16" Type="http://schemas.openxmlformats.org/officeDocument/2006/relationships/hyperlink" Target="https://www.abs.gov.au/methodologies/estimating-homelessness-census-methodology/2021" TargetMode="External"/><Relationship Id="rId107" Type="http://schemas.openxmlformats.org/officeDocument/2006/relationships/hyperlink" Target="https://www.ahuri.edu.au/sites/default/files/documents/2022-09/AHURI-Final-Report-388-Private-sector-involvement-in-social-and-affordable-housing.pdf" TargetMode="External"/><Relationship Id="rId11" Type="http://schemas.openxmlformats.org/officeDocument/2006/relationships/hyperlink" Target="https://www.abs.gov.au/methodologies/estimating-homelessness-census-methodology/2021" TargetMode="External"/><Relationship Id="rId32" Type="http://schemas.openxmlformats.org/officeDocument/2006/relationships/hyperlink" Target="https://www.aihw.gov.au/reports/homelessness-services/sleeping-rough-profile-shs-clients/summary" TargetMode="External"/><Relationship Id="rId37" Type="http://schemas.openxmlformats.org/officeDocument/2006/relationships/hyperlink" Target="https://www.oecd.org/housing/data/affordable-housing-database/" TargetMode="External"/><Relationship Id="rId53" Type="http://schemas.openxmlformats.org/officeDocument/2006/relationships/hyperlink" Target="https://www.health.gov.au/topics/aboriginal-and-torres-strait-islander-health/how-we-support-health/health-plan" TargetMode="External"/><Relationship Id="rId58" Type="http://schemas.openxmlformats.org/officeDocument/2006/relationships/hyperlink" Target="https://www.pc.gov.au/inquiries/completed/housing-homelessness/submissions" TargetMode="External"/><Relationship Id="rId74" Type="http://schemas.openxmlformats.org/officeDocument/2006/relationships/hyperlink" Target="https://www.pc.gov.au/inquiries/completed/housing-homelessness/report" TargetMode="External"/><Relationship Id="rId79" Type="http://schemas.openxmlformats.org/officeDocument/2006/relationships/hyperlink" Target="https://cityfutures.ada.unsw.edu.au/documents/689/Waithood_final.pdf" TargetMode="External"/><Relationship Id="rId102" Type="http://schemas.openxmlformats.org/officeDocument/2006/relationships/hyperlink" Target="https://www.pc.gov.au/ongoing/report-on-government-services/2023/housing-and-homelessness/housing" TargetMode="External"/><Relationship Id="rId123" Type="http://schemas.openxmlformats.org/officeDocument/2006/relationships/hyperlink" Target="https://www.ahuri.edu.au/analysis/brief/what-are-real-costs-australias-housing-crisis-women" TargetMode="External"/><Relationship Id="rId128" Type="http://schemas.openxmlformats.org/officeDocument/2006/relationships/hyperlink" Target="https://www.abs.gov.au/statistics/people/housing/housing-occupancy-and-costs/latest-release" TargetMode="External"/><Relationship Id="rId144" Type="http://schemas.openxmlformats.org/officeDocument/2006/relationships/hyperlink" Target="https://www.aph.gov.au/Parliamentary_Business/Committees/Senate/Environment_and_Communications/CCInfrastructure/Report" TargetMode="External"/><Relationship Id="rId149" Type="http://schemas.openxmlformats.org/officeDocument/2006/relationships/hyperlink" Target="https://assets.sustainability.vic.gov.au/susvic/Report-Energy-Victorian-Healthy-Homes-program-research.pdf" TargetMode="External"/><Relationship Id="rId5" Type="http://schemas.openxmlformats.org/officeDocument/2006/relationships/hyperlink" Target="https://www.ahuri.edu.au/sites/default/files/documents/2021-09/PES-361-Housing-support-for-ex-prisoners-challenges-and-opportunities.pdf" TargetMode="External"/><Relationship Id="rId90" Type="http://schemas.openxmlformats.org/officeDocument/2006/relationships/hyperlink" Target="https://www.aihw.gov.au/reports/housing-assistance/national-social-housing-survey-2021/contents/about" TargetMode="External"/><Relationship Id="rId95" Type="http://schemas.openxmlformats.org/officeDocument/2006/relationships/hyperlink" Target="https://theconversation.com/why-public-housing-is-stigmatised-and-how-we-can-fix-it-142913" TargetMode="External"/><Relationship Id="rId22" Type="http://schemas.openxmlformats.org/officeDocument/2006/relationships/hyperlink" Target="https://www.pc.gov.au/inquiries/completed/housing-homelessness/report" TargetMode="External"/><Relationship Id="rId27" Type="http://schemas.openxmlformats.org/officeDocument/2006/relationships/hyperlink" Target="https://www.ahuri.edu.au/research/final-reports/361" TargetMode="External"/><Relationship Id="rId43" Type="http://schemas.openxmlformats.org/officeDocument/2006/relationships/hyperlink" Target="https://www.ahuri.edu.au/research/final-reports/200" TargetMode="External"/><Relationship Id="rId48" Type="http://schemas.openxmlformats.org/officeDocument/2006/relationships/hyperlink" Target="https://unison.org.au/cms_uploads/docs/unison-housing-research-report-no-4_service-use-patterns-at-a-high-volume-homelessness-service_screen.pdf" TargetMode="External"/><Relationship Id="rId64" Type="http://schemas.openxmlformats.org/officeDocument/2006/relationships/hyperlink" Target="https://www.ahuri.edu.au/research/research-papers/how-can-aboriginal-housing-in-nsw-and-the-aboriginal-housing-office-provide-the-best-opportunity-for-aboriginal-people" TargetMode="External"/><Relationship Id="rId69" Type="http://schemas.openxmlformats.org/officeDocument/2006/relationships/hyperlink" Target="https://www.ahuri.edu.au/analysis/brief/understanding-residualisation-social-housing?gclid=EAIaIQobChMI-um1xsC_gAMVNwp7Bx2SEgNnEAAYASAAEgKFovD_BwE" TargetMode="External"/><Relationship Id="rId113" Type="http://schemas.openxmlformats.org/officeDocument/2006/relationships/hyperlink" Target="https://www.ahuri.edu.au/analysis/brief/understanding-3040-indicator-housing-affordability-stress" TargetMode="External"/><Relationship Id="rId118" Type="http://schemas.openxmlformats.org/officeDocument/2006/relationships/hyperlink" Target="https://www.pc.gov.au/__data/assets/pdf_file/0005/337559/sub056-housing-homelessness.pdf" TargetMode="External"/><Relationship Id="rId134" Type="http://schemas.openxmlformats.org/officeDocument/2006/relationships/hyperlink" Target="https://www.rba.gov.au/publications/bulletin/2023/jun/new-insights-into-the-rental-market.html" TargetMode="External"/><Relationship Id="rId139" Type="http://schemas.openxmlformats.org/officeDocument/2006/relationships/hyperlink" Target="https://www.ahuri.edu.au/research/final-reports/305" TargetMode="External"/><Relationship Id="rId80" Type="http://schemas.openxmlformats.org/officeDocument/2006/relationships/hyperlink" Target="https://cityfutures.ada.unsw.edu.au/documents/699/CHIA-housing-need-national-snapshot-v1.0.pdf" TargetMode="External"/><Relationship Id="rId85" Type="http://schemas.openxmlformats.org/officeDocument/2006/relationships/hyperlink" Target="https://www.aihw.gov.au/reports/housing-assistance/housing-assistance-in-australia/contents/suitability-of-dwelling-size" TargetMode="External"/><Relationship Id="rId150" Type="http://schemas.openxmlformats.org/officeDocument/2006/relationships/hyperlink" Target="https://www.aph.gov.au/Parliamentary_Business/Committees/Senate/Environment_and_Communications/CCInfrastructure/Report" TargetMode="External"/><Relationship Id="rId155" Type="http://schemas.openxmlformats.org/officeDocument/2006/relationships/hyperlink" Target="https://www.energy.gov.au/households/heating-and-cooling" TargetMode="External"/><Relationship Id="rId12" Type="http://schemas.openxmlformats.org/officeDocument/2006/relationships/hyperlink" Target="https://www.abs.gov.au/statistics/people/housing/estimating-homelessness-census/2021" TargetMode="External"/><Relationship Id="rId17" Type="http://schemas.openxmlformats.org/officeDocument/2006/relationships/hyperlink" Target="https://www.ahuri.edu.au/research/final-reports/248" TargetMode="External"/><Relationship Id="rId33" Type="http://schemas.openxmlformats.org/officeDocument/2006/relationships/hyperlink" Target="https://www.aihw.gov.au/reports/homelessness-services/sleeping-rough-profile-shs-clients/summary" TargetMode="External"/><Relationship Id="rId38" Type="http://schemas.openxmlformats.org/officeDocument/2006/relationships/hyperlink" Target="https://www.abs.gov.au/statistics/people/housing/estimating-homelessness-census/2021" TargetMode="External"/><Relationship Id="rId59" Type="http://schemas.openxmlformats.org/officeDocument/2006/relationships/hyperlink" Target="https://www.ahuri.edu.au/research/final-reports/368" TargetMode="External"/><Relationship Id="rId103" Type="http://schemas.openxmlformats.org/officeDocument/2006/relationships/hyperlink" Target="https://www.pc.gov.au/ongoing/report-on-government-services/2023/housing-and-homelessness/housing" TargetMode="External"/><Relationship Id="rId108" Type="http://schemas.openxmlformats.org/officeDocument/2006/relationships/hyperlink" Target="https://www.nhfic.gov.au/who-we-are/our-contribution" TargetMode="External"/><Relationship Id="rId124" Type="http://schemas.openxmlformats.org/officeDocument/2006/relationships/hyperlink" Target="https://www.ahuri.edu.au/analysis/brief/what-are-real-costs-australias-housing-crisis-women" TargetMode="External"/><Relationship Id="rId129" Type="http://schemas.openxmlformats.org/officeDocument/2006/relationships/hyperlink" Target="https://www.ahuri.edu.au/research/research-papers/rental-insights-a-covid-19-collection" TargetMode="External"/><Relationship Id="rId20" Type="http://schemas.openxmlformats.org/officeDocument/2006/relationships/hyperlink" Target="https://www.dss.gov.au/sites/default/files/documents/11_2022/national_plan_to_end_violence_against_women_and_children_2022-2032.pdf" TargetMode="External"/><Relationship Id="rId41" Type="http://schemas.openxmlformats.org/officeDocument/2006/relationships/hyperlink" Target="https://www.ahuri.edu.au/research/final-reports/200" TargetMode="External"/><Relationship Id="rId54" Type="http://schemas.openxmlformats.org/officeDocument/2006/relationships/hyperlink" Target="https://www.pc.gov.au/closing-the-gap-data/dashboard/socioeconomic/outcome-area9" TargetMode="External"/><Relationship Id="rId62" Type="http://schemas.openxmlformats.org/officeDocument/2006/relationships/hyperlink" Target="https://www.pc.gov.au/inquiries/completed/housing-homelessness/report" TargetMode="External"/><Relationship Id="rId70" Type="http://schemas.openxmlformats.org/officeDocument/2006/relationships/hyperlink" Target="https://www.abs.gov.au/statistics/people/population/national-state-and-territory-population/jun-2021" TargetMode="External"/><Relationship Id="rId75" Type="http://schemas.openxmlformats.org/officeDocument/2006/relationships/hyperlink" Target="https://www.pc.gov.au/inquiries/completed/housing-homelessness/report" TargetMode="External"/><Relationship Id="rId83" Type="http://schemas.openxmlformats.org/officeDocument/2006/relationships/hyperlink" Target="https://www.aihw.gov.au/reports/housing-assistance/housing-assistance-in-australia/contents/suitability-of-dwelling-size" TargetMode="External"/><Relationship Id="rId88" Type="http://schemas.openxmlformats.org/officeDocument/2006/relationships/hyperlink" Target="https://www.indigenoushpf.gov.au/publications/ihpf-national-2014-tier1" TargetMode="External"/><Relationship Id="rId91" Type="http://schemas.openxmlformats.org/officeDocument/2006/relationships/hyperlink" Target="https://www.aihw.gov.au/reports/housing-assistance/national-social-housing-survey-2021/contents/what-were-the-key-factors-in-tenant-satisfaction" TargetMode="External"/><Relationship Id="rId96" Type="http://schemas.openxmlformats.org/officeDocument/2006/relationships/hyperlink" Target="https://www.ahuri.edu.au/analysis/brief/understanding-funding-gap-social-housing-and-different-ways-fund-it" TargetMode="External"/><Relationship Id="rId111" Type="http://schemas.openxmlformats.org/officeDocument/2006/relationships/hyperlink" Target="https://www.ahuri.edu.au/analysis/brief/what-difference-between-social-housing-and-affordable-housing-and-why-do-they-matter" TargetMode="External"/><Relationship Id="rId132" Type="http://schemas.openxmlformats.org/officeDocument/2006/relationships/hyperlink" Target="https://www.abs.gov.au/statistics/people/housing/housing-occupancy-and-costs/latest-release" TargetMode="External"/><Relationship Id="rId140" Type="http://schemas.openxmlformats.org/officeDocument/2006/relationships/hyperlink" Target="https://www.ahuri.edu.au/research/final-reports/368" TargetMode="External"/><Relationship Id="rId145" Type="http://schemas.openxmlformats.org/officeDocument/2006/relationships/hyperlink" Target="https://mckellinstitute.org.au/research/reports/the-cost-of-extreme-weather-1/" TargetMode="External"/><Relationship Id="rId153" Type="http://schemas.openxmlformats.org/officeDocument/2006/relationships/hyperlink" Target="https://www.closingthegap.gov.au/national-agreement" TargetMode="External"/><Relationship Id="rId1" Type="http://schemas.openxmlformats.org/officeDocument/2006/relationships/hyperlink" Target="https://apo.org.au/sites/default/files/resource-files/2008-12/apo-nid2882.pdf" TargetMode="External"/><Relationship Id="rId6" Type="http://schemas.openxmlformats.org/officeDocument/2006/relationships/hyperlink" Target="https://www.ahuri.edu.au/research/brief/staggering-reality-life-young-people-after-leaving-out-home-care" TargetMode="External"/><Relationship Id="rId15" Type="http://schemas.openxmlformats.org/officeDocument/2006/relationships/hyperlink" Target="https://www.pc.gov.au/inquiries/completed/housing-homelessness/report" TargetMode="External"/><Relationship Id="rId23" Type="http://schemas.openxmlformats.org/officeDocument/2006/relationships/hyperlink" Target="https://www.latrobe.edu.au/__data/assets/pdf_file/0010/1198945/Writing-Themselves-In-4-National-report.pdf" TargetMode="External"/><Relationship Id="rId28" Type="http://schemas.openxmlformats.org/officeDocument/2006/relationships/hyperlink" Target="https://www.ahuri.edu.au/research/research-papers/homelessness-amongst-australian-veterans" TargetMode="External"/><Relationship Id="rId36" Type="http://schemas.openxmlformats.org/officeDocument/2006/relationships/hyperlink" Target="https://www.ahuri.edu.au/research/final-reports/382" TargetMode="External"/><Relationship Id="rId49" Type="http://schemas.openxmlformats.org/officeDocument/2006/relationships/hyperlink" Target="https://www.ahuri.edu.au/research/final-reports/218" TargetMode="External"/><Relationship Id="rId57" Type="http://schemas.openxmlformats.org/officeDocument/2006/relationships/hyperlink" Target="https://www.aph.gov.au/Parliamentary_Business/Committees/House/Social_Policy_and_Legal_Affairs/HomelessnessinAustralia/Submissions" TargetMode="External"/><Relationship Id="rId106" Type="http://schemas.openxmlformats.org/officeDocument/2006/relationships/hyperlink" Target="https://nrsch.gov.au/publications-and-resources/national-regulatory-code.html" TargetMode="External"/><Relationship Id="rId114" Type="http://schemas.openxmlformats.org/officeDocument/2006/relationships/hyperlink" Target="https://www.pc.gov.au/research/completed/renters/private-renters.pdf" TargetMode="External"/><Relationship Id="rId119" Type="http://schemas.openxmlformats.org/officeDocument/2006/relationships/hyperlink" Target="https://www.aihw.gov.au/reports/australias-welfare/home-ownership-and-housing-tenure" TargetMode="External"/><Relationship Id="rId127" Type="http://schemas.openxmlformats.org/officeDocument/2006/relationships/hyperlink" Target="https://www.abs.gov.au/statistics/economy/finance/household-income-and-wealth-australia" TargetMode="External"/><Relationship Id="rId10" Type="http://schemas.openxmlformats.org/officeDocument/2006/relationships/hyperlink" Target="https://www.abs.gov.au/statistics/economy/price-indexes-and-inflation/consumer-price-index-australia/jun-quarter-2023" TargetMode="External"/><Relationship Id="rId31" Type="http://schemas.openxmlformats.org/officeDocument/2006/relationships/hyperlink" Target="https://www.aihw.gov.au/reports/homelessness-services/sleeping-rough-profile-shs-clients/summary" TargetMode="External"/><Relationship Id="rId44" Type="http://schemas.openxmlformats.org/officeDocument/2006/relationships/hyperlink" Target="https://www.aihw.gov.au/reports/children-youth/australias-children/contents/housing/homelessness" TargetMode="External"/><Relationship Id="rId52" Type="http://schemas.openxmlformats.org/officeDocument/2006/relationships/hyperlink" Target="https://www.aihw.gov.au/reports/homelessness-services/specialist-homelessness-services-annual-report/contents/unmet-demand-for-specialist-homelessness-services" TargetMode="External"/><Relationship Id="rId60" Type="http://schemas.openxmlformats.org/officeDocument/2006/relationships/hyperlink" Target="https://www.pc.gov.au/inquiries/completed/housing-homelessness/submissions" TargetMode="External"/><Relationship Id="rId65" Type="http://schemas.openxmlformats.org/officeDocument/2006/relationships/hyperlink" Target="https://www.aihw.gov.au/reports-data/health-welfare-services/housing-assistance/glossary" TargetMode="External"/><Relationship Id="rId73" Type="http://schemas.openxmlformats.org/officeDocument/2006/relationships/hyperlink" Target="https://www.pc.gov.au/inquiries/completed/housing-homelessness/report" TargetMode="External"/><Relationship Id="rId78" Type="http://schemas.openxmlformats.org/officeDocument/2006/relationships/hyperlink" Target="https://www.aihw.gov.au/reports/housing-assistance/housing-assistance-in-australia/contents/about" TargetMode="External"/><Relationship Id="rId81" Type="http://schemas.openxmlformats.org/officeDocument/2006/relationships/hyperlink" Target="https://www.ahuri.edu.au/research/final-reports/306" TargetMode="External"/><Relationship Id="rId86" Type="http://schemas.openxmlformats.org/officeDocument/2006/relationships/hyperlink" Target="https://cityfutures.ada.unsw.edu.au/documents/544/poor_quality_housing_report_2019.pdf" TargetMode="External"/><Relationship Id="rId94" Type="http://schemas.openxmlformats.org/officeDocument/2006/relationships/hyperlink" Target="https://www.ahuri.edu.au/research/final-reports/332" TargetMode="External"/><Relationship Id="rId99" Type="http://schemas.openxmlformats.org/officeDocument/2006/relationships/hyperlink" Target="https://www.pc.gov.au/ongoing/report-on-government-services/2023/housing-and-homelessness/housing" TargetMode="External"/><Relationship Id="rId101" Type="http://schemas.openxmlformats.org/officeDocument/2006/relationships/hyperlink" Target="https://www.pc.gov.au/ongoing/report-on-government-services/2023/housing-and-homelessness/housing" TargetMode="External"/><Relationship Id="rId122" Type="http://schemas.openxmlformats.org/officeDocument/2006/relationships/hyperlink" Target="https://www.corelogic.com.au/news-research/reports/women-and-property-22" TargetMode="External"/><Relationship Id="rId130" Type="http://schemas.openxmlformats.org/officeDocument/2006/relationships/hyperlink" Target="https://www.deloitte.com/au/en/services/economics/perspectives/economic-impact-stamp-duty-reform-options.html" TargetMode="External"/><Relationship Id="rId135" Type="http://schemas.openxmlformats.org/officeDocument/2006/relationships/hyperlink" Target="https://www.ahuri.edu.au/sites/default/files/documents/2022-11/AHURI-Final-Report-391-Regulation-of-residential-tenancies-and-impacts-on-investment.pdf" TargetMode="External"/><Relationship Id="rId143" Type="http://schemas.openxmlformats.org/officeDocument/2006/relationships/hyperlink" Target="http://www.bom.gov.au/state-of-the-climate/" TargetMode="External"/><Relationship Id="rId148" Type="http://schemas.openxmlformats.org/officeDocument/2006/relationships/hyperlink" Target="https://www.climatecouncil.org.au/resources/uninsurable-nation-australias-most-climate-vulnerable-places/" TargetMode="External"/><Relationship Id="rId151" Type="http://schemas.openxmlformats.org/officeDocument/2006/relationships/hyperlink" Target="https://www.climatecouncil.org.au/resources/compound-costs-how-climate-change-damages-australias-economy/" TargetMode="External"/><Relationship Id="rId156" Type="http://schemas.openxmlformats.org/officeDocument/2006/relationships/hyperlink" Target="https://www.nsw.gov.au/nsw-government/projects-and-initiatives/floodinquiry" TargetMode="External"/><Relationship Id="rId4" Type="http://schemas.openxmlformats.org/officeDocument/2006/relationships/hyperlink" Target="https://www.aihw.gov.au/reports/australias-health/health-of-people-experiencing-homelessness" TargetMode="External"/><Relationship Id="rId9" Type="http://schemas.openxmlformats.org/officeDocument/2006/relationships/hyperlink" Target="https://www.abs.gov.au/SIH" TargetMode="External"/><Relationship Id="rId13" Type="http://schemas.openxmlformats.org/officeDocument/2006/relationships/hyperlink" Target="https://www.pc.gov.au/inquiries/completed/housing-homelessness/report" TargetMode="External"/><Relationship Id="rId18" Type="http://schemas.openxmlformats.org/officeDocument/2006/relationships/hyperlink" Target="https://www.abs.gov.au/statistics/people/housing/estimating-homelessness-census/2021" TargetMode="External"/><Relationship Id="rId39" Type="http://schemas.openxmlformats.org/officeDocument/2006/relationships/hyperlink" Target="https://www.pc.gov.au/ongoing/report-on-government-services/2021/housing-and-homelessness/homelessness-services" TargetMode="External"/><Relationship Id="rId109" Type="http://schemas.openxmlformats.org/officeDocument/2006/relationships/hyperlink" Target="https://www.ahuri.edu.au/analysis/brief/what-difference-between-social-housing-and-affordable-housing-and-why-do-they-matter" TargetMode="External"/><Relationship Id="rId34" Type="http://schemas.openxmlformats.org/officeDocument/2006/relationships/hyperlink" Target="https://www.ahuri.edu.au/research/research-papers/overcrowding-and-severe-overcrowding-an-analysis-of-literature%2C-data%2C-policies-and-program" TargetMode="External"/><Relationship Id="rId50" Type="http://schemas.openxmlformats.org/officeDocument/2006/relationships/hyperlink" Target="https://www.ahuri.edu.au/research/final-reports/347" TargetMode="External"/><Relationship Id="rId55" Type="http://schemas.openxmlformats.org/officeDocument/2006/relationships/hyperlink" Target="https://www.pc.gov.au/closing-the-gap-data/dashboard/socioeconomic/outcome-area9" TargetMode="External"/><Relationship Id="rId76" Type="http://schemas.openxmlformats.org/officeDocument/2006/relationships/hyperlink" Target="https://www.pc.gov.au/inquiries/completed/housing-homelessness/report" TargetMode="External"/><Relationship Id="rId97" Type="http://schemas.openxmlformats.org/officeDocument/2006/relationships/hyperlink" Target="https://www.aihw.gov.au/reports/housing-assistance/housing-assistance-in-australia/contents/social-housing-dwellings" TargetMode="External"/><Relationship Id="rId104" Type="http://schemas.openxmlformats.org/officeDocument/2006/relationships/hyperlink" Target="https://www.ahuri.edu.au/sites/default/files/migration/documents/AHURI_RAP_Issue_184_Public-stock-transfers-to-community-housing-the-best-option-for-a-sustainable-and-financially-supportable-housing-system.pdf" TargetMode="External"/><Relationship Id="rId120" Type="http://schemas.openxmlformats.org/officeDocument/2006/relationships/hyperlink" Target="https://www.abs.gov.au/ausstats/abs@.nsf/mf/2024.0" TargetMode="External"/><Relationship Id="rId125" Type="http://schemas.openxmlformats.org/officeDocument/2006/relationships/hyperlink" Target="https://news.anz.com/posts/2023/05/anz-news-corelogic-housing-affordability-report-2023" TargetMode="External"/><Relationship Id="rId141" Type="http://schemas.openxmlformats.org/officeDocument/2006/relationships/hyperlink" Target="https://www.infrastructureaustralia.gov.au/listing/speech/challenges-and-opportunities-regional-infrastructure-investment" TargetMode="External"/><Relationship Id="rId146" Type="http://schemas.openxmlformats.org/officeDocument/2006/relationships/hyperlink" Target="https://shelternsw.org.au/wp-content/uploads/2020/09/Poor-quality-Housing-and-Low-Income-Households-Review-of-Evidence-and-Options-for-Reform-2019.pdf" TargetMode="External"/><Relationship Id="rId7" Type="http://schemas.openxmlformats.org/officeDocument/2006/relationships/hyperlink" Target="https://www.dss.gov.au/ending-violence" TargetMode="External"/><Relationship Id="rId71" Type="http://schemas.openxmlformats.org/officeDocument/2006/relationships/hyperlink" Target="https://www.abs.gov.au/census/find-census-data/quickstats/2011/0" TargetMode="External"/><Relationship Id="rId92" Type="http://schemas.openxmlformats.org/officeDocument/2006/relationships/hyperlink" Target="https://www.ahuri.edu.au/research/final-reports/326" TargetMode="External"/><Relationship Id="rId2" Type="http://schemas.openxmlformats.org/officeDocument/2006/relationships/hyperlink" Target="https://archive.org/details/australia-national-housing-strategy-agenda-for-action-1992/mode/2up" TargetMode="External"/><Relationship Id="rId29" Type="http://schemas.openxmlformats.org/officeDocument/2006/relationships/hyperlink" Target="https://www.ahuri.edu.au/research/final-reports/179" TargetMode="External"/><Relationship Id="rId24" Type="http://schemas.openxmlformats.org/officeDocument/2006/relationships/hyperlink" Target="https://www.abs.gov.au/statistics/people/housing/estimating-homelessness-census/2021" TargetMode="External"/><Relationship Id="rId40" Type="http://schemas.openxmlformats.org/officeDocument/2006/relationships/hyperlink" Target="https://www.aihw.gov.au/reports/homelessness-services/specialist-homelessness-services-annual-report/contents/unmet-demand-for-specialist-homelessness-services" TargetMode="External"/><Relationship Id="rId45" Type="http://schemas.openxmlformats.org/officeDocument/2006/relationships/hyperlink" Target="https://www.ahuri.edu.au/research/final-reports/327" TargetMode="External"/><Relationship Id="rId66" Type="http://schemas.openxmlformats.org/officeDocument/2006/relationships/hyperlink" Target="https://www.aihw.gov.au/reports/housing-assistance/housing-assistance-in-australia-2022/contents/about" TargetMode="External"/><Relationship Id="rId87" Type="http://schemas.openxmlformats.org/officeDocument/2006/relationships/hyperlink" Target="https://www.pc.gov.au/ongoing/report-on-government-services/2023/housing-and-homelessness/housing" TargetMode="External"/><Relationship Id="rId110" Type="http://schemas.openxmlformats.org/officeDocument/2006/relationships/hyperlink" Target="https://www.ahuri.edu.au/research/final-reports/388" TargetMode="External"/><Relationship Id="rId115" Type="http://schemas.openxmlformats.org/officeDocument/2006/relationships/hyperlink" Target="https://www.aph.gov.au/Parliamentary_Business/Committees/Senate/Economics/Affordable_housing_2013/Report" TargetMode="External"/><Relationship Id="rId131" Type="http://schemas.openxmlformats.org/officeDocument/2006/relationships/hyperlink" Target="https://www.ahuri.edu.au/research/final-reports/302" TargetMode="External"/><Relationship Id="rId136" Type="http://schemas.openxmlformats.org/officeDocument/2006/relationships/hyperlink" Target="https://www.ahuri.edu.au/research/brief/why-does-australia-have-rental-crisis-and-what-can-be-done-about-it" TargetMode="External"/><Relationship Id="rId157" Type="http://schemas.openxmlformats.org/officeDocument/2006/relationships/hyperlink" Target="https://www.aph.gov.au/Parliamentary_Business/Committees/Senate/Environment_and_Communications/CCInfrastructure/Report" TargetMode="External"/><Relationship Id="rId61" Type="http://schemas.openxmlformats.org/officeDocument/2006/relationships/hyperlink" Target="https://www.pc.gov.au/ongoing/report-on-government-services/2023/housing-and-homelessness" TargetMode="External"/><Relationship Id="rId82" Type="http://schemas.openxmlformats.org/officeDocument/2006/relationships/hyperlink" Target="https://www.ahuri.edu.au/research/final-reports/394" TargetMode="External"/><Relationship Id="rId152" Type="http://schemas.openxmlformats.org/officeDocument/2006/relationships/hyperlink" Target="https://www.ahuri.edu.au/research/final-reports/368" TargetMode="External"/><Relationship Id="rId19" Type="http://schemas.openxmlformats.org/officeDocument/2006/relationships/hyperlink" Target="https://humanrights.gov.au/our-work/age-discrimination/publications/older-womens-risk-homelessness-background-paper-2019" TargetMode="External"/><Relationship Id="rId14" Type="http://schemas.openxmlformats.org/officeDocument/2006/relationships/hyperlink" Target="https://www.pc.gov.au/research/completed/planning-zoning-reforms" TargetMode="External"/><Relationship Id="rId30" Type="http://schemas.openxmlformats.org/officeDocument/2006/relationships/hyperlink" Target="https://www.abs.gov.au/statistics/people/housing/estimating-homelessness-census/2021" TargetMode="External"/><Relationship Id="rId35" Type="http://schemas.openxmlformats.org/officeDocument/2006/relationships/hyperlink" Target="https://www.niaa.gov.au/sites/default/files/publications/research-synthesis-social-economic-outcomes-housing.pdf" TargetMode="External"/><Relationship Id="rId56" Type="http://schemas.openxmlformats.org/officeDocument/2006/relationships/hyperlink" Target="https://www.pc.gov.au/inquiries/completed/housing-homelessness/report" TargetMode="External"/><Relationship Id="rId77" Type="http://schemas.openxmlformats.org/officeDocument/2006/relationships/hyperlink" Target="https://www.pc.gov.au/inquiries/completed/housing-homelessness/report" TargetMode="External"/><Relationship Id="rId100" Type="http://schemas.openxmlformats.org/officeDocument/2006/relationships/hyperlink" Target="https://www.pc.gov.au/ongoing/report-on-government-services/2023/housing-and-homelessness/housing" TargetMode="External"/><Relationship Id="rId105" Type="http://schemas.openxmlformats.org/officeDocument/2006/relationships/hyperlink" Target="https://nrsch.gov.au/providers/categories-of-registration-tiers.html" TargetMode="External"/><Relationship Id="rId126" Type="http://schemas.openxmlformats.org/officeDocument/2006/relationships/hyperlink" Target="https://data.oecd.org/hha/household-debt.htm" TargetMode="External"/><Relationship Id="rId147" Type="http://schemas.openxmlformats.org/officeDocument/2006/relationships/hyperlink" Target="https://actuaries.asn.au/public-policy-and-media/thought-leadership/green-papers/home-insurance-affordability-and-socioeconomic-equity-in-a-changing-climate" TargetMode="External"/><Relationship Id="rId8" Type="http://schemas.openxmlformats.org/officeDocument/2006/relationships/hyperlink" Target="https://cityfutures.ada.unsw.edu.au/documents/647/Delphi_report_v2.pdf" TargetMode="External"/><Relationship Id="rId51" Type="http://schemas.openxmlformats.org/officeDocument/2006/relationships/hyperlink" Target="https://www.ahuri.edu.au/sites/default/files/migration/documents/AHURI_Final_Report_No260_Indigenous-lifeworlds%2C-conditionality-and-housing-outcomes.pdf" TargetMode="External"/><Relationship Id="rId72" Type="http://schemas.openxmlformats.org/officeDocument/2006/relationships/hyperlink" Target="https://www.aihw.gov.au/news-media/media-releases/2021/june/slow-growth-in-social-housing-dwellings-across-aus" TargetMode="External"/><Relationship Id="rId93" Type="http://schemas.openxmlformats.org/officeDocument/2006/relationships/hyperlink" Target="https://www.ahuri.edu.au/research/final-reports/316" TargetMode="External"/><Relationship Id="rId98" Type="http://schemas.openxmlformats.org/officeDocument/2006/relationships/hyperlink" Target="https://www.pc.gov.au/ongoing/report-on-government-services/2023/housing-and-homelessness/housing" TargetMode="External"/><Relationship Id="rId121" Type="http://schemas.openxmlformats.org/officeDocument/2006/relationships/hyperlink" Target="https://www.aihw.gov.au/reports/disability/people-with-disability-in-australia/contents/about" TargetMode="External"/><Relationship Id="rId142" Type="http://schemas.openxmlformats.org/officeDocument/2006/relationships/hyperlink" Target="https://www.pc.gov.au/research/completed/planning-zoning-reforms" TargetMode="External"/><Relationship Id="rId3" Type="http://schemas.openxmlformats.org/officeDocument/2006/relationships/hyperlink" Target="https://www.who.int/publications/i/item/9789241550376" TargetMode="External"/><Relationship Id="rId25" Type="http://schemas.openxmlformats.org/officeDocument/2006/relationships/hyperlink" Target="https://www.abs.gov.au/statistics/people/housing/estimating-homelessness-census/2021" TargetMode="External"/><Relationship Id="rId46" Type="http://schemas.openxmlformats.org/officeDocument/2006/relationships/hyperlink" Target="https://www.abs.gov.au/statistics/people/housing/estimating-homelessness-census/2021" TargetMode="External"/><Relationship Id="rId67" Type="http://schemas.openxmlformats.org/officeDocument/2006/relationships/hyperlink" Target="https://www.ahuri.edu.au/analysis/brief/what-difference-between-social-housing-and-affordable-housing-and-why-do-they-matter" TargetMode="External"/><Relationship Id="rId116" Type="http://schemas.openxmlformats.org/officeDocument/2006/relationships/hyperlink" Target="https://www.abs.gov.au/statistics/people/housing/housing-occupancy-and-costs/latest-release" TargetMode="External"/><Relationship Id="rId137" Type="http://schemas.openxmlformats.org/officeDocument/2006/relationships/hyperlink" Target="https://www.nationalskillscommission.gov.au/reports/2022-skills-priority-list-key-findings-report" TargetMode="External"/><Relationship Id="rId158" Type="http://schemas.openxmlformats.org/officeDocument/2006/relationships/hyperlink" Target="https://www.ahuri.edu.au/research/brief/Climate-change-and-low-income-hous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55C23-B761-46AB-AD81-6219E8A6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22995</Words>
  <Characters>133391</Characters>
  <Application>Microsoft Office Word</Application>
  <DocSecurity>0</DocSecurity>
  <Lines>2570</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2023-08-06T23:29:00Z</dcterms:created>
  <dcterms:modified xsi:type="dcterms:W3CDTF">2023-08-06T23:35:00Z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4C3BFEF966A448C9ADB02B8AE716870D</vt:lpwstr>
  </property>
  <property fmtid="{D5CDD505-2E9C-101B-9397-08002B2CF9AE}" pid="9" name="PM_ProtectiveMarkingValue_Footer">
    <vt:lpwstr>OFFICIAL</vt:lpwstr>
  </property>
  <property fmtid="{D5CDD505-2E9C-101B-9397-08002B2CF9AE}" pid="10" name="PM_OriginationTimeStamp">
    <vt:lpwstr>2023-08-06T23:35:33Z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2018.0</vt:lpwstr>
  </property>
  <property fmtid="{D5CDD505-2E9C-101B-9397-08002B2CF9AE}" pid="19" name="PM_OriginatorDomainName_SHA256">
    <vt:lpwstr>E83A2A66C4061446A7E3732E8D44762184B6B377D962B96C83DC624302585857</vt:lpwstr>
  </property>
  <property fmtid="{D5CDD505-2E9C-101B-9397-08002B2CF9AE}" pid="20" name="PM_MinimumSecurityClassification">
    <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Hash_Salt">
    <vt:lpwstr>0FF5F773ECAC13C7470BF6DA712F81B4</vt:lpwstr>
  </property>
  <property fmtid="{D5CDD505-2E9C-101B-9397-08002B2CF9AE}" pid="24" name="PM_Hash_SHA1">
    <vt:lpwstr>41572C0E58768128E78FAD7180C78D03E152549B</vt:lpwstr>
  </property>
  <property fmtid="{D5CDD505-2E9C-101B-9397-08002B2CF9AE}" pid="25" name="PM_Hash_Salt_Prev">
    <vt:lpwstr>C5D9AD15926D4220BD1ECD609AF9C3CD</vt:lpwstr>
  </property>
  <property fmtid="{D5CDD505-2E9C-101B-9397-08002B2CF9AE}" pid="26" name="PM_Originator_Hash_SHA1">
    <vt:lpwstr>0EC1BBE2960C0349DA2D728529C7C29AC49C914E</vt:lpwstr>
  </property>
  <property fmtid="{D5CDD505-2E9C-101B-9397-08002B2CF9AE}" pid="27" name="PM_OriginatorUserAccountName_SHA256">
    <vt:lpwstr>CDC5ADD5EBC16A46C7BE410B535BC6E1359D4676498EE9C51E809AABD40931CE</vt:lpwstr>
  </property>
</Properties>
</file>