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034BA" w14:textId="3F7B4C26" w:rsidR="00703C38" w:rsidRPr="00703C38" w:rsidRDefault="004D262C" w:rsidP="00703C38">
      <w:r>
        <w:rPr>
          <w:noProof/>
        </w:rPr>
        <w:pict w14:anchorId="22234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itle page with the Department of Social Services crest and title which is 'A stronger, more diverse and independent community sector issues paper'" style="position:absolute;margin-left:0;margin-top:0;width:594.75pt;height:841.05pt;z-index:251661312;mso-position-horizontal:left;mso-position-horizontal-relative:page;mso-position-vertical:top;mso-position-vertical-relative:page">
            <v:imagedata r:id="rId7" o:title="COVER_ASMDaICS - IssuesPaper_d6 _opt1"/>
            <w10:wrap type="square" anchorx="page" anchory="page"/>
          </v:shape>
        </w:pict>
      </w:r>
    </w:p>
    <w:p w14:paraId="140F00F8" w14:textId="6FF13756" w:rsidR="00703C38" w:rsidRDefault="00703C38" w:rsidP="00703C38">
      <w:pPr>
        <w:tabs>
          <w:tab w:val="left" w:pos="1102"/>
        </w:tabs>
      </w:pPr>
      <w:r>
        <w:lastRenderedPageBreak/>
        <w:tab/>
      </w:r>
    </w:p>
    <w:p w14:paraId="302A66E6" w14:textId="18C78817" w:rsidR="00703C38" w:rsidRDefault="00703C38" w:rsidP="00FC29AD"/>
    <w:p w14:paraId="6EBDDD16" w14:textId="09F12748" w:rsidR="00293720" w:rsidRPr="005D13DF" w:rsidRDefault="00293720" w:rsidP="005D13DF">
      <w:pPr>
        <w:spacing w:before="5040"/>
        <w:rPr>
          <w:i/>
          <w:iCs/>
          <w:smallCaps/>
        </w:rPr>
      </w:pPr>
      <w:r w:rsidRPr="00CB65FB">
        <w:rPr>
          <w:rFonts w:cs="Arial"/>
          <w:b/>
        </w:rPr>
        <w:t>Copyright notice</w:t>
      </w:r>
    </w:p>
    <w:p w14:paraId="04D774D4" w14:textId="77777777" w:rsidR="00293720" w:rsidRPr="00CB65FB" w:rsidRDefault="00293720" w:rsidP="00293720">
      <w:pPr>
        <w:pStyle w:val="NormalWeb"/>
        <w:rPr>
          <w:rFonts w:ascii="Arial" w:hAnsi="Arial" w:cs="Arial"/>
        </w:rPr>
      </w:pPr>
      <w:r w:rsidRPr="00CB65FB">
        <w:rPr>
          <w:rFonts w:ascii="Arial" w:hAnsi="Arial" w:cs="Arial"/>
          <w:noProof/>
          <w:lang w:eastAsia="en-AU"/>
        </w:rPr>
        <w:drawing>
          <wp:inline distT="0" distB="0" distL="0" distR="0" wp14:anchorId="1E84D1EA" wp14:editId="6875B59A">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8A9A8C7" w14:textId="442BBA08" w:rsidR="00293720" w:rsidRPr="0050273B" w:rsidRDefault="00293720" w:rsidP="00293720">
      <w:pPr>
        <w:rPr>
          <w:rStyle w:val="Hyperlink"/>
          <w:rFonts w:cs="Arial"/>
        </w:rPr>
      </w:pPr>
      <w:r w:rsidRPr="00717729">
        <w:t>This document</w:t>
      </w:r>
      <w:r>
        <w:t>,</w:t>
      </w:r>
      <w:r w:rsidRPr="00717729">
        <w:t xml:space="preserve"> </w:t>
      </w:r>
      <w:r w:rsidRPr="00293720">
        <w:t>A stronger, more diverse and independent community sector</w:t>
      </w:r>
      <w:r>
        <w:t>,</w:t>
      </w:r>
      <w:r w:rsidRPr="00293720">
        <w:t xml:space="preserve">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cs="Arial"/>
        </w:rPr>
        <w:t>Creative Commons Attribution 4.0 International Licence</w:t>
      </w:r>
    </w:p>
    <w:p w14:paraId="7FBCCA3B" w14:textId="77777777" w:rsidR="00293720" w:rsidRPr="00717729" w:rsidRDefault="00293720" w:rsidP="00293720">
      <w:pPr>
        <w:rPr>
          <w:rStyle w:val="Hyperlink"/>
          <w:rFonts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cs="Arial"/>
        </w:rPr>
        <w:t>https://creativecommons.org/licenses/by/4.0/legalcode</w:t>
      </w:r>
    </w:p>
    <w:p w14:paraId="08A747E0" w14:textId="77777777" w:rsidR="00293720" w:rsidRPr="00717729" w:rsidRDefault="00293720" w:rsidP="00293720">
      <w:r w:rsidRPr="00717729">
        <w:fldChar w:fldCharType="end"/>
      </w:r>
      <w:r w:rsidRPr="00717729">
        <w:t>Please attribut</w:t>
      </w:r>
      <w:r>
        <w:t>e:</w:t>
      </w:r>
      <w:r w:rsidRPr="00717729">
        <w:t xml:space="preserve"> © Commonwealth of Australia (</w:t>
      </w:r>
      <w:hyperlink r:id="rId9" w:history="1">
        <w:r w:rsidRPr="00717729">
          <w:rPr>
            <w:rStyle w:val="Hyperlink"/>
            <w:rFonts w:cs="Arial"/>
          </w:rPr>
          <w:t>Department of Social Services</w:t>
        </w:r>
      </w:hyperlink>
      <w:r>
        <w:t>) 2020</w:t>
      </w:r>
    </w:p>
    <w:p w14:paraId="147D1B65" w14:textId="77777777" w:rsidR="00293720" w:rsidRPr="0050273B" w:rsidRDefault="00293720" w:rsidP="00293720">
      <w:pPr>
        <w:rPr>
          <w:b/>
        </w:rPr>
      </w:pPr>
      <w:r w:rsidRPr="0050273B">
        <w:rPr>
          <w:b/>
        </w:rPr>
        <w:t xml:space="preserve">Notice: </w:t>
      </w:r>
    </w:p>
    <w:p w14:paraId="1E909BF4" w14:textId="77777777" w:rsidR="00293720" w:rsidRPr="00717729" w:rsidRDefault="00293720" w:rsidP="00181F7A">
      <w:pPr>
        <w:pStyle w:val="ListBullet"/>
        <w:numPr>
          <w:ilvl w:val="0"/>
          <w:numId w:val="32"/>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2CBBA434" w14:textId="77777777" w:rsidR="00293720" w:rsidRPr="0050273B" w:rsidRDefault="00293720" w:rsidP="00181F7A">
      <w:pPr>
        <w:pStyle w:val="ListBullet"/>
        <w:numPr>
          <w:ilvl w:val="0"/>
          <w:numId w:val="32"/>
        </w:numPr>
      </w:pPr>
      <w:r w:rsidRPr="00717729">
        <w:t>Inquiries regarding this licence or any other use of this document</w:t>
      </w:r>
      <w:r>
        <w:t xml:space="preserve"> are welcome. Please contact: Branch Manager, </w:t>
      </w:r>
      <w:r w:rsidRPr="007B41E4">
        <w:t>Communication Services Branch</w:t>
      </w:r>
      <w:r>
        <w:t>, Department of Social Services.</w:t>
      </w:r>
      <w:r w:rsidRPr="00717729">
        <w:t xml:space="preserve"> Phone: 1300 653 227</w:t>
      </w:r>
      <w:r>
        <w:t>.</w:t>
      </w:r>
      <w:r w:rsidRPr="00717729">
        <w:t xml:space="preserve"> Email: </w:t>
      </w:r>
      <w:hyperlink r:id="rId10" w:history="1">
        <w:r w:rsidRPr="00717729">
          <w:rPr>
            <w:rStyle w:val="Hyperlink"/>
            <w:rFonts w:eastAsiaTheme="majorEastAsia" w:cs="Arial"/>
          </w:rPr>
          <w:t>communications@dss.gov.au</w:t>
        </w:r>
      </w:hyperlink>
    </w:p>
    <w:p w14:paraId="35971A16" w14:textId="77777777" w:rsidR="00293720" w:rsidRPr="0050273B" w:rsidRDefault="00293720" w:rsidP="00293720">
      <w:pPr>
        <w:rPr>
          <w:b/>
        </w:rPr>
      </w:pPr>
      <w:r w:rsidRPr="0050273B">
        <w:rPr>
          <w:b/>
        </w:rPr>
        <w:t>Notice identifying other material or rights in this publication:</w:t>
      </w:r>
    </w:p>
    <w:p w14:paraId="00D08481" w14:textId="77777777" w:rsidR="00293720" w:rsidRPr="00717729" w:rsidRDefault="00293720" w:rsidP="00181F7A">
      <w:pPr>
        <w:pStyle w:val="ListBullet"/>
        <w:numPr>
          <w:ilvl w:val="0"/>
          <w:numId w:val="33"/>
        </w:numPr>
      </w:pPr>
      <w:r w:rsidRPr="00717729">
        <w:t xml:space="preserve">Australian Commonwealth Coat of Arms </w:t>
      </w:r>
      <w:r>
        <w:t>—</w:t>
      </w:r>
      <w:r w:rsidRPr="00717729">
        <w:t xml:space="preserve"> not Licensed under Creative Commons, see </w:t>
      </w:r>
      <w:hyperlink r:id="rId11" w:history="1">
        <w:r w:rsidRPr="00717729">
          <w:rPr>
            <w:rStyle w:val="Hyperlink"/>
            <w:rFonts w:eastAsiaTheme="majorEastAsia" w:cs="Arial"/>
          </w:rPr>
          <w:t>https://www.itsanhonour.gov.au/coat-arms/index.cfm</w:t>
        </w:r>
      </w:hyperlink>
    </w:p>
    <w:p w14:paraId="5A77F96A" w14:textId="77777777" w:rsidR="00293720" w:rsidRDefault="00293720" w:rsidP="00181F7A">
      <w:pPr>
        <w:pStyle w:val="ListBullet"/>
        <w:numPr>
          <w:ilvl w:val="0"/>
          <w:numId w:val="33"/>
        </w:numPr>
      </w:pPr>
      <w:r w:rsidRPr="00717729">
        <w:t xml:space="preserve">Certain images and photographs (as marked) </w:t>
      </w:r>
      <w:r>
        <w:t xml:space="preserve">— </w:t>
      </w:r>
      <w:r w:rsidRPr="00717729">
        <w:t>not licensed under Creative Commons</w:t>
      </w:r>
    </w:p>
    <w:p w14:paraId="47A84C52" w14:textId="77777777" w:rsidR="00293720" w:rsidRDefault="00293720" w:rsidP="00293720">
      <w:pPr>
        <w:spacing w:after="200" w:line="276" w:lineRule="auto"/>
        <w:rPr>
          <w:rFonts w:ascii="Georgia" w:eastAsiaTheme="majorEastAsia" w:hAnsi="Georgia" w:cstheme="majorBidi"/>
          <w:bCs/>
          <w:i/>
          <w:iCs/>
          <w:smallCaps/>
          <w:color w:val="24596E"/>
          <w:sz w:val="32"/>
          <w:szCs w:val="28"/>
        </w:rPr>
      </w:pPr>
      <w:r>
        <w:br w:type="page"/>
      </w:r>
    </w:p>
    <w:p w14:paraId="39BC9480" w14:textId="6DC7BEC6" w:rsidR="00C62E52" w:rsidRPr="005C3786" w:rsidRDefault="00C62E52" w:rsidP="00FC29AD">
      <w:r w:rsidRPr="005C3786">
        <w:rPr>
          <w:rFonts w:ascii="Georgia" w:hAnsi="Georgia"/>
          <w:color w:val="005A70"/>
          <w:sz w:val="40"/>
          <w:szCs w:val="40"/>
        </w:rPr>
        <w:lastRenderedPageBreak/>
        <w:t>Acknowledgement</w:t>
      </w:r>
    </w:p>
    <w:p w14:paraId="2934B2B4" w14:textId="2482CC4C" w:rsidR="00C62E52" w:rsidRDefault="00921CB8" w:rsidP="000465FC">
      <w:pPr>
        <w:spacing w:line="276" w:lineRule="auto"/>
        <w:rPr>
          <w:rStyle w:val="ui-provider"/>
          <w:rFonts w:ascii="Georgia" w:eastAsiaTheme="majorEastAsia" w:hAnsi="Georgia" w:cstheme="majorBidi"/>
          <w:bCs/>
          <w:color w:val="005A70"/>
          <w:spacing w:val="4"/>
          <w:kern w:val="0"/>
          <w:sz w:val="40"/>
          <w:szCs w:val="40"/>
          <w:lang w:eastAsia="en-AU"/>
          <w14:ligatures w14:val="none"/>
        </w:rPr>
      </w:pPr>
      <w:r>
        <w:rPr>
          <w:rStyle w:val="ui-provider"/>
        </w:rPr>
        <w:t xml:space="preserve">The </w:t>
      </w:r>
      <w:r w:rsidR="0078568F">
        <w:rPr>
          <w:rStyle w:val="ui-provider"/>
        </w:rPr>
        <w:t xml:space="preserve">Australian </w:t>
      </w:r>
      <w:r>
        <w:rPr>
          <w:rStyle w:val="ui-provider"/>
        </w:rPr>
        <w:t>Government acknowledges the traditional owners of Country throughout Australia on which we gather, live, work and stand. We acknowledge all traditional custodians, their Elders past, present and emerging and we pay our respects to their continuing connection to their culture, community, land, sea and water.</w:t>
      </w:r>
    </w:p>
    <w:p w14:paraId="48E442AC" w14:textId="2DC86D58" w:rsidR="00CF1352" w:rsidRPr="005C3786" w:rsidRDefault="00CF1352" w:rsidP="005C3786">
      <w:pPr>
        <w:rPr>
          <w:rFonts w:ascii="Georgia" w:hAnsi="Georgia"/>
          <w:color w:val="005A70"/>
          <w:sz w:val="40"/>
          <w:szCs w:val="40"/>
        </w:rPr>
      </w:pPr>
      <w:r w:rsidRPr="005C3786">
        <w:rPr>
          <w:rFonts w:ascii="Georgia" w:hAnsi="Georgia"/>
          <w:color w:val="005A70"/>
          <w:sz w:val="40"/>
          <w:szCs w:val="40"/>
        </w:rPr>
        <w:t>Disclaimer</w:t>
      </w:r>
    </w:p>
    <w:p w14:paraId="2FD3AAF8" w14:textId="513D4231" w:rsidR="00CF1352" w:rsidRPr="001C48DF" w:rsidRDefault="00CF1352" w:rsidP="000465FC">
      <w:pPr>
        <w:spacing w:line="276" w:lineRule="auto"/>
      </w:pPr>
      <w:r w:rsidRPr="001C48DF">
        <w:t xml:space="preserve">This </w:t>
      </w:r>
      <w:r>
        <w:t>document</w:t>
      </w:r>
      <w:r w:rsidRPr="001C48DF">
        <w:t xml:space="preserve"> is not </w:t>
      </w:r>
      <w:r>
        <w:t>g</w:t>
      </w:r>
      <w:r w:rsidRPr="001C48DF">
        <w:t>overnment policy.</w:t>
      </w:r>
      <w:r>
        <w:t xml:space="preserve"> It is an issues paper </w:t>
      </w:r>
      <w:r w:rsidR="00264E5B">
        <w:t xml:space="preserve">developed by the Department of Social Services (the department) </w:t>
      </w:r>
      <w:r>
        <w:t xml:space="preserve">to </w:t>
      </w:r>
      <w:r w:rsidR="00264E5B">
        <w:t>generate feedback</w:t>
      </w:r>
      <w:r w:rsidRPr="001C48DF">
        <w:t xml:space="preserve"> </w:t>
      </w:r>
      <w:r>
        <w:t>and ideas which</w:t>
      </w:r>
      <w:r w:rsidRPr="001C48DF">
        <w:t xml:space="preserve"> </w:t>
      </w:r>
      <w:r w:rsidR="00264E5B">
        <w:t>may inform</w:t>
      </w:r>
      <w:r w:rsidRPr="001C48DF">
        <w:t xml:space="preserve"> the way the </w:t>
      </w:r>
      <w:r>
        <w:t>g</w:t>
      </w:r>
      <w:r w:rsidRPr="001C48DF">
        <w:t xml:space="preserve">overnment makes </w:t>
      </w:r>
      <w:r>
        <w:t xml:space="preserve">future </w:t>
      </w:r>
      <w:r w:rsidRPr="001C48DF">
        <w:t>decision</w:t>
      </w:r>
      <w:r>
        <w:t>s</w:t>
      </w:r>
      <w:r w:rsidRPr="001C48DF">
        <w:t xml:space="preserve"> about funding </w:t>
      </w:r>
      <w:r>
        <w:t>practices and other government processes to better</w:t>
      </w:r>
      <w:r w:rsidRPr="001C48DF">
        <w:t xml:space="preserve"> support </w:t>
      </w:r>
      <w:r>
        <w:t xml:space="preserve">the </w:t>
      </w:r>
      <w:r w:rsidRPr="001C48DF">
        <w:t>community sector.</w:t>
      </w:r>
    </w:p>
    <w:p w14:paraId="6D026277" w14:textId="48D684DC" w:rsidR="00CF1352" w:rsidRPr="003447F4" w:rsidRDefault="00CF1352" w:rsidP="000465FC">
      <w:pPr>
        <w:spacing w:line="276" w:lineRule="auto"/>
        <w:rPr>
          <w:lang w:eastAsia="en-AU"/>
        </w:rPr>
      </w:pPr>
      <w:r>
        <w:rPr>
          <w:lang w:eastAsia="en-AU"/>
        </w:rPr>
        <w:t>The i</w:t>
      </w:r>
      <w:r w:rsidR="00264E5B">
        <w:rPr>
          <w:lang w:eastAsia="en-AU"/>
        </w:rPr>
        <w:t>ssues paper was</w:t>
      </w:r>
      <w:r>
        <w:rPr>
          <w:lang w:eastAsia="en-AU"/>
        </w:rPr>
        <w:t xml:space="preserve"> developed in consultation with the Community S</w:t>
      </w:r>
      <w:r w:rsidR="00264E5B">
        <w:rPr>
          <w:lang w:eastAsia="en-AU"/>
        </w:rPr>
        <w:t>ervices</w:t>
      </w:r>
      <w:r>
        <w:rPr>
          <w:lang w:eastAsia="en-AU"/>
        </w:rPr>
        <w:t xml:space="preserve"> Advisory Group (</w:t>
      </w:r>
      <w:r>
        <w:rPr>
          <w:rFonts w:cstheme="minorHAnsi"/>
        </w:rPr>
        <w:t xml:space="preserve">CSAG), </w:t>
      </w:r>
      <w:r w:rsidR="00264E5B" w:rsidRPr="00264E5B">
        <w:rPr>
          <w:rFonts w:cstheme="minorHAnsi"/>
        </w:rPr>
        <w:t>the key community sector stakeholder engagement group for the department</w:t>
      </w:r>
      <w:r w:rsidR="00264E5B">
        <w:rPr>
          <w:rFonts w:cstheme="minorHAnsi"/>
        </w:rPr>
        <w:t>. While CSAG was</w:t>
      </w:r>
      <w:r>
        <w:rPr>
          <w:rFonts w:cstheme="minorHAnsi"/>
        </w:rPr>
        <w:t xml:space="preserve"> involved in the development of the </w:t>
      </w:r>
      <w:r w:rsidR="00264E5B">
        <w:rPr>
          <w:rFonts w:cstheme="minorHAnsi"/>
        </w:rPr>
        <w:t>issues p</w:t>
      </w:r>
      <w:r>
        <w:rPr>
          <w:rFonts w:cstheme="minorHAnsi"/>
        </w:rPr>
        <w:t xml:space="preserve">aper, it </w:t>
      </w:r>
      <w:r w:rsidR="000465FC">
        <w:rPr>
          <w:rFonts w:cstheme="minorHAnsi"/>
        </w:rPr>
        <w:t xml:space="preserve">does not necessarily represent </w:t>
      </w:r>
      <w:r w:rsidR="00264E5B">
        <w:rPr>
          <w:rFonts w:cstheme="minorHAnsi"/>
        </w:rPr>
        <w:t>the views of CSAG.</w:t>
      </w:r>
    </w:p>
    <w:p w14:paraId="143A797A" w14:textId="22E73A4E" w:rsidR="003E1635" w:rsidRPr="005C3786" w:rsidRDefault="003E1635" w:rsidP="005C3786">
      <w:pPr>
        <w:rPr>
          <w:rFonts w:ascii="Georgia" w:hAnsi="Georgia"/>
          <w:color w:val="005A70"/>
          <w:sz w:val="40"/>
          <w:szCs w:val="40"/>
        </w:rPr>
      </w:pPr>
      <w:bookmarkStart w:id="0" w:name="_Toc139022115"/>
      <w:r w:rsidRPr="005C3786">
        <w:rPr>
          <w:rFonts w:ascii="Georgia" w:hAnsi="Georgia"/>
          <w:color w:val="005A70"/>
          <w:sz w:val="40"/>
          <w:szCs w:val="40"/>
        </w:rPr>
        <w:t>Have your say</w:t>
      </w:r>
      <w:bookmarkEnd w:id="0"/>
    </w:p>
    <w:p w14:paraId="7AEECAC1" w14:textId="0D2F610F" w:rsidR="00246D38" w:rsidRPr="00AA7A10" w:rsidRDefault="004C235D" w:rsidP="007165D8">
      <w:pPr>
        <w:pStyle w:val="BodyText"/>
        <w:spacing w:before="56" w:after="240"/>
        <w:ind w:right="739"/>
        <w:rPr>
          <w:rFonts w:ascii="Arial" w:hAnsi="Arial" w:cs="Arial"/>
        </w:rPr>
      </w:pPr>
      <w:r w:rsidRPr="00AA7A10">
        <w:rPr>
          <w:rFonts w:ascii="Arial" w:hAnsi="Arial" w:cs="Arial"/>
        </w:rPr>
        <w:t xml:space="preserve">You are invited to have your say on how the </w:t>
      </w:r>
      <w:r w:rsidR="00C8140C" w:rsidRPr="00AA7A10">
        <w:rPr>
          <w:rFonts w:ascii="Arial" w:hAnsi="Arial" w:cs="Arial"/>
        </w:rPr>
        <w:t>g</w:t>
      </w:r>
      <w:r w:rsidRPr="00AA7A10">
        <w:rPr>
          <w:rFonts w:ascii="Arial" w:hAnsi="Arial" w:cs="Arial"/>
        </w:rPr>
        <w:t>overnment can support a stronger, more diverse and independent community sector.</w:t>
      </w:r>
      <w:r w:rsidR="00246D38" w:rsidRPr="00AA7A10">
        <w:rPr>
          <w:rFonts w:ascii="Arial" w:hAnsi="Arial" w:cs="Arial"/>
        </w:rPr>
        <w:t xml:space="preserve"> </w:t>
      </w:r>
    </w:p>
    <w:p w14:paraId="3AF20015" w14:textId="5523AB16" w:rsidR="00246D38" w:rsidRPr="00AA7A10" w:rsidRDefault="00246D38" w:rsidP="007165D8">
      <w:pPr>
        <w:spacing w:after="240"/>
        <w:rPr>
          <w:rFonts w:cs="Arial"/>
          <w:szCs w:val="22"/>
        </w:rPr>
      </w:pPr>
      <w:r w:rsidRPr="00AA7A10">
        <w:rPr>
          <w:rFonts w:cs="Arial"/>
          <w:szCs w:val="22"/>
        </w:rPr>
        <w:t xml:space="preserve">Community </w:t>
      </w:r>
      <w:r w:rsidR="00C77262">
        <w:rPr>
          <w:rFonts w:cs="Arial"/>
          <w:szCs w:val="22"/>
        </w:rPr>
        <w:t>s</w:t>
      </w:r>
      <w:r w:rsidRPr="00AA7A10">
        <w:rPr>
          <w:rFonts w:cs="Arial"/>
          <w:szCs w:val="22"/>
        </w:rPr>
        <w:t>e</w:t>
      </w:r>
      <w:r w:rsidR="00255E5A" w:rsidRPr="00AA7A10">
        <w:rPr>
          <w:rFonts w:cs="Arial"/>
          <w:szCs w:val="22"/>
        </w:rPr>
        <w:t>ctor</w:t>
      </w:r>
      <w:r w:rsidRPr="00AA7A10">
        <w:rPr>
          <w:rFonts w:cs="Arial"/>
          <w:szCs w:val="22"/>
        </w:rPr>
        <w:t xml:space="preserve"> </w:t>
      </w:r>
      <w:r w:rsidR="00C77262">
        <w:rPr>
          <w:rFonts w:cs="Arial"/>
          <w:szCs w:val="22"/>
        </w:rPr>
        <w:t>o</w:t>
      </w:r>
      <w:r w:rsidRPr="00AA7A10">
        <w:rPr>
          <w:rFonts w:cs="Arial"/>
          <w:szCs w:val="22"/>
        </w:rPr>
        <w:t xml:space="preserve">rganisations (CSOs) and other </w:t>
      </w:r>
      <w:r w:rsidR="00264E5B" w:rsidRPr="00AA7A10">
        <w:rPr>
          <w:rFonts w:cs="Arial"/>
          <w:szCs w:val="22"/>
        </w:rPr>
        <w:t>interested</w:t>
      </w:r>
      <w:r w:rsidRPr="00AA7A10">
        <w:rPr>
          <w:rFonts w:cs="Arial"/>
          <w:szCs w:val="22"/>
        </w:rPr>
        <w:t xml:space="preserve"> stakeholders are encouraged to have their say about what </w:t>
      </w:r>
      <w:r w:rsidR="00255E5A" w:rsidRPr="00AA7A10">
        <w:rPr>
          <w:rFonts w:cs="Arial"/>
          <w:szCs w:val="22"/>
        </w:rPr>
        <w:t>they</w:t>
      </w:r>
      <w:r w:rsidRPr="00AA7A10">
        <w:rPr>
          <w:rFonts w:cs="Arial"/>
          <w:szCs w:val="22"/>
        </w:rPr>
        <w:t xml:space="preserve"> need to support them across the areas set out in this paper.</w:t>
      </w:r>
    </w:p>
    <w:p w14:paraId="191DEDEA" w14:textId="39F027E6" w:rsidR="004C235D" w:rsidRPr="00AA7A10" w:rsidRDefault="00246D38" w:rsidP="0040745D">
      <w:pPr>
        <w:keepNext/>
        <w:spacing w:after="240"/>
        <w:rPr>
          <w:rFonts w:cs="Arial"/>
          <w:szCs w:val="22"/>
        </w:rPr>
      </w:pPr>
      <w:r w:rsidRPr="00AA7A10">
        <w:rPr>
          <w:rFonts w:cs="Arial"/>
          <w:szCs w:val="22"/>
        </w:rPr>
        <w:t xml:space="preserve">For more information on the consultation process and to make a submission visit the </w:t>
      </w:r>
      <w:r w:rsidR="000D7979" w:rsidRPr="00AA7A10">
        <w:rPr>
          <w:rFonts w:cs="Arial"/>
          <w:szCs w:val="22"/>
        </w:rPr>
        <w:t>department</w:t>
      </w:r>
      <w:r w:rsidR="00264E5B" w:rsidRPr="00AA7A10">
        <w:rPr>
          <w:rFonts w:cs="Arial"/>
          <w:szCs w:val="22"/>
        </w:rPr>
        <w:t>’s</w:t>
      </w:r>
      <w:r w:rsidRPr="00AA7A10">
        <w:rPr>
          <w:rFonts w:cs="Arial"/>
          <w:szCs w:val="22"/>
        </w:rPr>
        <w:t xml:space="preserve"> Engage website. You can tell us if you want your sub</w:t>
      </w:r>
      <w:r w:rsidR="00A61219" w:rsidRPr="00AA7A10">
        <w:rPr>
          <w:rFonts w:cs="Arial"/>
          <w:szCs w:val="22"/>
        </w:rPr>
        <w:t xml:space="preserve">mission to remain confidential. </w:t>
      </w:r>
    </w:p>
    <w:p w14:paraId="5FDC8FA1" w14:textId="3E84098B" w:rsidR="00DB23C5" w:rsidRPr="00AA7A10" w:rsidRDefault="00DB23C5" w:rsidP="00E03C2E">
      <w:pPr>
        <w:spacing w:before="56"/>
        <w:rPr>
          <w:rFonts w:cs="Arial"/>
          <w:szCs w:val="22"/>
        </w:rPr>
      </w:pPr>
      <w:r w:rsidRPr="00AA7A10">
        <w:rPr>
          <w:rFonts w:cs="Arial"/>
          <w:szCs w:val="22"/>
        </w:rPr>
        <w:t xml:space="preserve">Closing date for submissions: </w:t>
      </w:r>
      <w:r w:rsidR="00CF74CB" w:rsidRPr="00AA7A10">
        <w:rPr>
          <w:rFonts w:cs="Arial"/>
          <w:b/>
          <w:szCs w:val="22"/>
        </w:rPr>
        <w:t xml:space="preserve">5pm </w:t>
      </w:r>
      <w:r w:rsidR="004C235D" w:rsidRPr="00AA7A10">
        <w:rPr>
          <w:rFonts w:cs="Arial"/>
          <w:b/>
          <w:szCs w:val="22"/>
        </w:rPr>
        <w:t xml:space="preserve">Tuesday </w:t>
      </w:r>
      <w:r w:rsidR="00FF5D8F">
        <w:rPr>
          <w:rFonts w:cs="Arial"/>
          <w:b/>
          <w:szCs w:val="22"/>
        </w:rPr>
        <w:t>7 November</w:t>
      </w:r>
      <w:r w:rsidR="00130446" w:rsidRPr="00AA7A10">
        <w:rPr>
          <w:rFonts w:cs="Arial"/>
          <w:b/>
          <w:szCs w:val="22"/>
        </w:rPr>
        <w:t xml:space="preserve"> 2023</w:t>
      </w:r>
      <w:r w:rsidR="003E0654" w:rsidRPr="00AA7A10">
        <w:rPr>
          <w:rFonts w:cs="Arial"/>
          <w:b/>
          <w:szCs w:val="22"/>
        </w:rPr>
        <w:t xml:space="preserve"> (</w:t>
      </w:r>
      <w:r w:rsidR="00C63F8E" w:rsidRPr="00AA7A10">
        <w:rPr>
          <w:rFonts w:cs="Arial"/>
          <w:b/>
          <w:szCs w:val="22"/>
        </w:rPr>
        <w:t>AEDT</w:t>
      </w:r>
      <w:r w:rsidR="003E0654" w:rsidRPr="00AA7A10">
        <w:rPr>
          <w:rFonts w:cs="Arial"/>
          <w:b/>
          <w:szCs w:val="22"/>
        </w:rPr>
        <w:t>)</w:t>
      </w:r>
    </w:p>
    <w:p w14:paraId="2B7F023C" w14:textId="77777777" w:rsidR="00DB23C5" w:rsidRPr="00E03C2E" w:rsidRDefault="00DB23C5" w:rsidP="00DB23C5">
      <w:pPr>
        <w:pStyle w:val="BodyText"/>
        <w:spacing w:before="9"/>
        <w:rPr>
          <w:sz w:val="24"/>
          <w:szCs w:val="24"/>
        </w:rPr>
      </w:pPr>
    </w:p>
    <w:p w14:paraId="70AECC87" w14:textId="34ABDA0E" w:rsidR="00246D38" w:rsidRPr="00AA7A10" w:rsidRDefault="00246D38" w:rsidP="00181F7A">
      <w:pPr>
        <w:pStyle w:val="BodyText"/>
        <w:numPr>
          <w:ilvl w:val="0"/>
          <w:numId w:val="29"/>
        </w:numPr>
        <w:rPr>
          <w:rFonts w:ascii="Arial" w:hAnsi="Arial" w:cs="Arial"/>
          <w:b/>
        </w:rPr>
      </w:pPr>
      <w:r w:rsidRPr="00AA7A10">
        <w:rPr>
          <w:rFonts w:ascii="Arial" w:hAnsi="Arial" w:cs="Arial"/>
          <w:b/>
        </w:rPr>
        <w:t xml:space="preserve">Website: </w:t>
      </w:r>
      <w:r w:rsidRPr="00AA7A10">
        <w:rPr>
          <w:rFonts w:ascii="Arial" w:hAnsi="Arial" w:cs="Arial"/>
          <w:b/>
        </w:rPr>
        <w:tab/>
      </w:r>
      <w:hyperlink r:id="rId12" w:history="1">
        <w:r w:rsidR="004F4A27" w:rsidRPr="00AA7A10">
          <w:rPr>
            <w:rStyle w:val="Hyperlink"/>
            <w:rFonts w:ascii="Arial" w:hAnsi="Arial" w:cs="Arial"/>
          </w:rPr>
          <w:t>www.engage.dss.gov.au</w:t>
        </w:r>
      </w:hyperlink>
      <w:r w:rsidR="004F4A27" w:rsidRPr="00AA7A10">
        <w:rPr>
          <w:rFonts w:ascii="Arial" w:hAnsi="Arial" w:cs="Arial"/>
        </w:rPr>
        <w:t xml:space="preserve"> </w:t>
      </w:r>
    </w:p>
    <w:p w14:paraId="4C71F13C" w14:textId="5B465589" w:rsidR="00921CB8" w:rsidRPr="00AA7A10" w:rsidRDefault="00DB23C5" w:rsidP="00181F7A">
      <w:pPr>
        <w:pStyle w:val="BodyText"/>
        <w:numPr>
          <w:ilvl w:val="0"/>
          <w:numId w:val="29"/>
        </w:numPr>
        <w:rPr>
          <w:rFonts w:ascii="Arial" w:hAnsi="Arial" w:cs="Arial"/>
        </w:rPr>
      </w:pPr>
      <w:r w:rsidRPr="00AA7A10">
        <w:rPr>
          <w:rFonts w:ascii="Arial" w:hAnsi="Arial" w:cs="Arial"/>
          <w:b/>
        </w:rPr>
        <w:t xml:space="preserve">Email: </w:t>
      </w:r>
      <w:r w:rsidR="00921CB8" w:rsidRPr="00AA7A10">
        <w:rPr>
          <w:rFonts w:ascii="Arial" w:hAnsi="Arial" w:cs="Arial"/>
        </w:rPr>
        <w:t xml:space="preserve"> </w:t>
      </w:r>
      <w:r w:rsidR="004C235D" w:rsidRPr="00AA7A10">
        <w:rPr>
          <w:rFonts w:ascii="Arial" w:hAnsi="Arial" w:cs="Arial"/>
        </w:rPr>
        <w:t xml:space="preserve"> </w:t>
      </w:r>
      <w:r w:rsidR="00246D38" w:rsidRPr="00AA7A10">
        <w:rPr>
          <w:rFonts w:ascii="Arial" w:hAnsi="Arial" w:cs="Arial"/>
        </w:rPr>
        <w:tab/>
      </w:r>
      <w:hyperlink r:id="rId13" w:history="1">
        <w:r w:rsidR="004F4A27" w:rsidRPr="00AA7A10">
          <w:rPr>
            <w:rStyle w:val="Hyperlink"/>
            <w:rFonts w:ascii="Arial" w:hAnsi="Arial" w:cs="Arial"/>
          </w:rPr>
          <w:t>CSAGSecretariat@dss.gov.au</w:t>
        </w:r>
      </w:hyperlink>
      <w:r w:rsidR="004F4A27" w:rsidRPr="00AA7A10">
        <w:rPr>
          <w:rFonts w:ascii="Arial" w:hAnsi="Arial" w:cs="Arial"/>
        </w:rPr>
        <w:t xml:space="preserve"> </w:t>
      </w:r>
    </w:p>
    <w:p w14:paraId="161D4F53" w14:textId="476BA64B" w:rsidR="00DB23C5" w:rsidRPr="00AA7A10" w:rsidRDefault="00DB23C5" w:rsidP="00181F7A">
      <w:pPr>
        <w:pStyle w:val="BodyText"/>
        <w:numPr>
          <w:ilvl w:val="0"/>
          <w:numId w:val="29"/>
        </w:numPr>
        <w:tabs>
          <w:tab w:val="left" w:pos="1139"/>
        </w:tabs>
        <w:spacing w:after="0"/>
        <w:ind w:right="5057"/>
        <w:rPr>
          <w:rFonts w:ascii="Arial" w:hAnsi="Arial" w:cs="Arial"/>
        </w:rPr>
      </w:pPr>
      <w:r w:rsidRPr="00AA7A10">
        <w:rPr>
          <w:rFonts w:ascii="Arial" w:hAnsi="Arial" w:cs="Arial"/>
          <w:b/>
        </w:rPr>
        <w:t>Mail:</w:t>
      </w:r>
      <w:r w:rsidRPr="00AA7A10">
        <w:rPr>
          <w:rFonts w:ascii="Arial" w:hAnsi="Arial" w:cs="Arial"/>
          <w:b/>
        </w:rPr>
        <w:tab/>
      </w:r>
      <w:r w:rsidR="00E03C2E" w:rsidRPr="00AA7A10">
        <w:rPr>
          <w:rFonts w:ascii="Arial" w:hAnsi="Arial" w:cs="Arial"/>
          <w:b/>
        </w:rPr>
        <w:tab/>
      </w:r>
      <w:r w:rsidRPr="00AA7A10">
        <w:rPr>
          <w:rFonts w:ascii="Arial" w:hAnsi="Arial" w:cs="Arial"/>
        </w:rPr>
        <w:t>Name GPO Box</w:t>
      </w:r>
      <w:r w:rsidRPr="00AA7A10">
        <w:rPr>
          <w:rFonts w:ascii="Arial" w:hAnsi="Arial" w:cs="Arial"/>
          <w:spacing w:val="-1"/>
        </w:rPr>
        <w:t xml:space="preserve"> </w:t>
      </w:r>
      <w:r w:rsidRPr="00AA7A10">
        <w:rPr>
          <w:rFonts w:ascii="Arial" w:hAnsi="Arial" w:cs="Arial"/>
        </w:rPr>
        <w:t>9820</w:t>
      </w:r>
    </w:p>
    <w:p w14:paraId="7D78E6CF" w14:textId="77777777" w:rsidR="00DB23C5" w:rsidRPr="00AA7A10" w:rsidRDefault="00DB23C5" w:rsidP="0040745D">
      <w:pPr>
        <w:pStyle w:val="BodyText"/>
        <w:ind w:left="2160" w:right="5057"/>
        <w:rPr>
          <w:rFonts w:ascii="Arial" w:hAnsi="Arial" w:cs="Arial"/>
        </w:rPr>
      </w:pPr>
      <w:r w:rsidRPr="00AA7A10">
        <w:rPr>
          <w:rFonts w:ascii="Arial" w:hAnsi="Arial" w:cs="Arial"/>
        </w:rPr>
        <w:t>Department of Social Services Canberra ACT 2601</w:t>
      </w:r>
    </w:p>
    <w:p w14:paraId="62B246D1" w14:textId="28D3F5B0" w:rsidR="00DB23C5" w:rsidRPr="00AA7A10" w:rsidRDefault="00DB23C5" w:rsidP="0078568F">
      <w:pPr>
        <w:pStyle w:val="BodyText"/>
        <w:rPr>
          <w:rFonts w:ascii="Arial" w:hAnsi="Arial" w:cs="Arial"/>
        </w:rPr>
      </w:pPr>
      <w:r w:rsidRPr="00AA7A10">
        <w:rPr>
          <w:rFonts w:ascii="Arial" w:hAnsi="Arial" w:cs="Arial"/>
          <w:b/>
        </w:rPr>
        <w:t xml:space="preserve">Enquiries: </w:t>
      </w:r>
      <w:r w:rsidRPr="00AA7A10">
        <w:rPr>
          <w:rFonts w:ascii="Arial" w:hAnsi="Arial" w:cs="Arial"/>
        </w:rPr>
        <w:t>All enquiries should be sent to</w:t>
      </w:r>
      <w:r w:rsidR="00345681" w:rsidRPr="00AA7A10">
        <w:rPr>
          <w:rFonts w:ascii="Arial" w:hAnsi="Arial" w:cs="Arial"/>
        </w:rPr>
        <w:t xml:space="preserve"> </w:t>
      </w:r>
      <w:hyperlink r:id="rId14" w:history="1">
        <w:r w:rsidR="004F4A27" w:rsidRPr="00AA7A10">
          <w:rPr>
            <w:rStyle w:val="Hyperlink"/>
            <w:rFonts w:ascii="Arial" w:hAnsi="Arial" w:cs="Arial"/>
          </w:rPr>
          <w:t>CSAGSecretariat@dss.gov.au</w:t>
        </w:r>
      </w:hyperlink>
      <w:r w:rsidR="004F4A27" w:rsidRPr="00AA7A10">
        <w:rPr>
          <w:rStyle w:val="ui-provider"/>
          <w:rFonts w:ascii="Arial" w:hAnsi="Arial" w:cs="Arial"/>
        </w:rPr>
        <w:t xml:space="preserve"> </w:t>
      </w:r>
    </w:p>
    <w:p w14:paraId="6C53A048" w14:textId="77777777" w:rsidR="00DB23C5" w:rsidRPr="001C48DF" w:rsidRDefault="00DB23C5" w:rsidP="004C235D">
      <w:pPr>
        <w:pStyle w:val="BodyText"/>
        <w:spacing w:before="5"/>
        <w:rPr>
          <w:sz w:val="24"/>
          <w:szCs w:val="24"/>
        </w:rPr>
      </w:pPr>
    </w:p>
    <w:p w14:paraId="7F79E002" w14:textId="7895383F" w:rsidR="003447F4" w:rsidRDefault="003447F4">
      <w:pPr>
        <w:rPr>
          <w:rFonts w:ascii="Calibri" w:eastAsiaTheme="majorEastAsia" w:hAnsi="Calibri" w:cs="Calibri"/>
          <w:bCs/>
          <w:color w:val="005A70"/>
          <w:spacing w:val="4"/>
          <w:kern w:val="0"/>
          <w:sz w:val="40"/>
          <w:szCs w:val="40"/>
          <w:lang w:eastAsia="en-AU"/>
          <w14:ligatures w14:val="none"/>
        </w:rPr>
      </w:pPr>
      <w:r>
        <w:rPr>
          <w:rFonts w:ascii="Calibri" w:hAnsi="Calibri" w:cs="Calibri"/>
        </w:rPr>
        <w:br w:type="page"/>
      </w:r>
    </w:p>
    <w:p w14:paraId="0F9BD156" w14:textId="77777777" w:rsidR="002C6528" w:rsidRPr="001C48DF" w:rsidRDefault="002C6528" w:rsidP="00F21392"/>
    <w:bookmarkStart w:id="1" w:name="_Toc139022117" w:displacedByCustomXml="next"/>
    <w:sdt>
      <w:sdtPr>
        <w:rPr>
          <w:rFonts w:ascii="Arial" w:eastAsiaTheme="minorHAnsi" w:hAnsi="Arial" w:cstheme="minorBidi"/>
          <w:b w:val="0"/>
          <w:color w:val="auto"/>
          <w:spacing w:val="0"/>
          <w:kern w:val="2"/>
          <w:sz w:val="22"/>
          <w:szCs w:val="24"/>
          <w:lang w:val="en-AU" w:eastAsia="en-US"/>
          <w14:ligatures w14:val="standardContextual"/>
        </w:rPr>
        <w:id w:val="-1010825658"/>
        <w:docPartObj>
          <w:docPartGallery w:val="Table of Contents"/>
          <w:docPartUnique/>
        </w:docPartObj>
      </w:sdtPr>
      <w:sdtEndPr>
        <w:rPr>
          <w:bCs/>
          <w:noProof/>
        </w:rPr>
      </w:sdtEndPr>
      <w:sdtContent>
        <w:p w14:paraId="76105BE1" w14:textId="105D2EFF" w:rsidR="00C000BA" w:rsidRDefault="00C000BA">
          <w:pPr>
            <w:pStyle w:val="TOCHeading"/>
          </w:pPr>
          <w:r>
            <w:t>Contents</w:t>
          </w:r>
        </w:p>
        <w:p w14:paraId="229ABABE" w14:textId="6FA1E07A" w:rsidR="00745161" w:rsidRDefault="00C000BA">
          <w:pPr>
            <w:pStyle w:val="TOC1"/>
            <w:tabs>
              <w:tab w:val="right" w:leader="dot" w:pos="9772"/>
            </w:tabs>
            <w:rPr>
              <w:rFonts w:asciiTheme="minorHAnsi" w:eastAsiaTheme="minorEastAsia" w:hAnsiTheme="minorHAnsi" w:cstheme="minorBidi"/>
              <w:b w:val="0"/>
              <w:bCs w:val="0"/>
              <w:i w:val="0"/>
              <w:iCs w:val="0"/>
              <w:noProof/>
              <w:kern w:val="0"/>
              <w:szCs w:val="22"/>
              <w:lang w:eastAsia="en-AU"/>
              <w14:ligatures w14:val="none"/>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hyperlink w:anchor="_Toc144983229" w:history="1">
            <w:r w:rsidR="00745161" w:rsidRPr="00750692">
              <w:rPr>
                <w:rStyle w:val="Hyperlink"/>
                <w:noProof/>
              </w:rPr>
              <w:t>Introduction</w:t>
            </w:r>
            <w:r w:rsidR="00745161">
              <w:rPr>
                <w:noProof/>
                <w:webHidden/>
              </w:rPr>
              <w:tab/>
            </w:r>
            <w:r w:rsidR="00745161">
              <w:rPr>
                <w:noProof/>
                <w:webHidden/>
              </w:rPr>
              <w:fldChar w:fldCharType="begin"/>
            </w:r>
            <w:r w:rsidR="00745161">
              <w:rPr>
                <w:noProof/>
                <w:webHidden/>
              </w:rPr>
              <w:instrText xml:space="preserve"> PAGEREF _Toc144983229 \h </w:instrText>
            </w:r>
            <w:r w:rsidR="00745161">
              <w:rPr>
                <w:noProof/>
                <w:webHidden/>
              </w:rPr>
            </w:r>
            <w:r w:rsidR="00745161">
              <w:rPr>
                <w:noProof/>
                <w:webHidden/>
              </w:rPr>
              <w:fldChar w:fldCharType="separate"/>
            </w:r>
            <w:r w:rsidR="00745161">
              <w:rPr>
                <w:noProof/>
                <w:webHidden/>
              </w:rPr>
              <w:t>5</w:t>
            </w:r>
            <w:r w:rsidR="00745161">
              <w:rPr>
                <w:noProof/>
                <w:webHidden/>
              </w:rPr>
              <w:fldChar w:fldCharType="end"/>
            </w:r>
          </w:hyperlink>
        </w:p>
        <w:p w14:paraId="24FACC83" w14:textId="73BA4A6C" w:rsidR="00745161" w:rsidRDefault="004D262C">
          <w:pPr>
            <w:pStyle w:val="TOC1"/>
            <w:tabs>
              <w:tab w:val="right" w:leader="dot" w:pos="9772"/>
            </w:tabs>
            <w:rPr>
              <w:rFonts w:asciiTheme="minorHAnsi" w:eastAsiaTheme="minorEastAsia" w:hAnsiTheme="minorHAnsi" w:cstheme="minorBidi"/>
              <w:b w:val="0"/>
              <w:bCs w:val="0"/>
              <w:i w:val="0"/>
              <w:iCs w:val="0"/>
              <w:noProof/>
              <w:kern w:val="0"/>
              <w:szCs w:val="22"/>
              <w:lang w:eastAsia="en-AU"/>
              <w14:ligatures w14:val="none"/>
            </w:rPr>
          </w:pPr>
          <w:hyperlink w:anchor="_Toc144983230" w:history="1">
            <w:r w:rsidR="00745161" w:rsidRPr="00750692">
              <w:rPr>
                <w:rStyle w:val="Hyperlink"/>
                <w:noProof/>
              </w:rPr>
              <w:t>The purpose of this issues paper</w:t>
            </w:r>
            <w:r w:rsidR="00745161">
              <w:rPr>
                <w:noProof/>
                <w:webHidden/>
              </w:rPr>
              <w:tab/>
            </w:r>
            <w:r w:rsidR="00745161">
              <w:rPr>
                <w:noProof/>
                <w:webHidden/>
              </w:rPr>
              <w:fldChar w:fldCharType="begin"/>
            </w:r>
            <w:r w:rsidR="00745161">
              <w:rPr>
                <w:noProof/>
                <w:webHidden/>
              </w:rPr>
              <w:instrText xml:space="preserve"> PAGEREF _Toc144983230 \h </w:instrText>
            </w:r>
            <w:r w:rsidR="00745161">
              <w:rPr>
                <w:noProof/>
                <w:webHidden/>
              </w:rPr>
            </w:r>
            <w:r w:rsidR="00745161">
              <w:rPr>
                <w:noProof/>
                <w:webHidden/>
              </w:rPr>
              <w:fldChar w:fldCharType="separate"/>
            </w:r>
            <w:r w:rsidR="00745161">
              <w:rPr>
                <w:noProof/>
                <w:webHidden/>
              </w:rPr>
              <w:t>6</w:t>
            </w:r>
            <w:r w:rsidR="00745161">
              <w:rPr>
                <w:noProof/>
                <w:webHidden/>
              </w:rPr>
              <w:fldChar w:fldCharType="end"/>
            </w:r>
          </w:hyperlink>
        </w:p>
        <w:p w14:paraId="44848DFD" w14:textId="7109C6B2"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1" w:history="1">
            <w:r w:rsidR="00745161" w:rsidRPr="00750692">
              <w:rPr>
                <w:rStyle w:val="Hyperlink"/>
                <w:noProof/>
              </w:rPr>
              <w:t>How we got here</w:t>
            </w:r>
            <w:r w:rsidR="00745161">
              <w:rPr>
                <w:noProof/>
                <w:webHidden/>
              </w:rPr>
              <w:tab/>
            </w:r>
            <w:r w:rsidR="00745161">
              <w:rPr>
                <w:noProof/>
                <w:webHidden/>
              </w:rPr>
              <w:fldChar w:fldCharType="begin"/>
            </w:r>
            <w:r w:rsidR="00745161">
              <w:rPr>
                <w:noProof/>
                <w:webHidden/>
              </w:rPr>
              <w:instrText xml:space="preserve"> PAGEREF _Toc144983231 \h </w:instrText>
            </w:r>
            <w:r w:rsidR="00745161">
              <w:rPr>
                <w:noProof/>
                <w:webHidden/>
              </w:rPr>
            </w:r>
            <w:r w:rsidR="00745161">
              <w:rPr>
                <w:noProof/>
                <w:webHidden/>
              </w:rPr>
              <w:fldChar w:fldCharType="separate"/>
            </w:r>
            <w:r w:rsidR="00745161">
              <w:rPr>
                <w:noProof/>
                <w:webHidden/>
              </w:rPr>
              <w:t>6</w:t>
            </w:r>
            <w:r w:rsidR="00745161">
              <w:rPr>
                <w:noProof/>
                <w:webHidden/>
              </w:rPr>
              <w:fldChar w:fldCharType="end"/>
            </w:r>
          </w:hyperlink>
        </w:p>
        <w:p w14:paraId="2C47F8EE" w14:textId="1F342DCF"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2" w:history="1">
            <w:r w:rsidR="00745161" w:rsidRPr="00750692">
              <w:rPr>
                <w:rStyle w:val="Hyperlink"/>
                <w:noProof/>
              </w:rPr>
              <w:t>Why change is needed</w:t>
            </w:r>
            <w:r w:rsidR="00745161">
              <w:rPr>
                <w:noProof/>
                <w:webHidden/>
              </w:rPr>
              <w:tab/>
            </w:r>
            <w:r w:rsidR="00745161">
              <w:rPr>
                <w:noProof/>
                <w:webHidden/>
              </w:rPr>
              <w:fldChar w:fldCharType="begin"/>
            </w:r>
            <w:r w:rsidR="00745161">
              <w:rPr>
                <w:noProof/>
                <w:webHidden/>
              </w:rPr>
              <w:instrText xml:space="preserve"> PAGEREF _Toc144983232 \h </w:instrText>
            </w:r>
            <w:r w:rsidR="00745161">
              <w:rPr>
                <w:noProof/>
                <w:webHidden/>
              </w:rPr>
            </w:r>
            <w:r w:rsidR="00745161">
              <w:rPr>
                <w:noProof/>
                <w:webHidden/>
              </w:rPr>
              <w:fldChar w:fldCharType="separate"/>
            </w:r>
            <w:r w:rsidR="00745161">
              <w:rPr>
                <w:noProof/>
                <w:webHidden/>
              </w:rPr>
              <w:t>7</w:t>
            </w:r>
            <w:r w:rsidR="00745161">
              <w:rPr>
                <w:noProof/>
                <w:webHidden/>
              </w:rPr>
              <w:fldChar w:fldCharType="end"/>
            </w:r>
          </w:hyperlink>
        </w:p>
        <w:p w14:paraId="60258A04" w14:textId="0B974080"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3" w:history="1">
            <w:r w:rsidR="00745161" w:rsidRPr="00750692">
              <w:rPr>
                <w:rStyle w:val="Hyperlink"/>
                <w:noProof/>
              </w:rPr>
              <w:t>The evidence base</w:t>
            </w:r>
            <w:r w:rsidR="00745161">
              <w:rPr>
                <w:noProof/>
                <w:webHidden/>
              </w:rPr>
              <w:tab/>
            </w:r>
            <w:r w:rsidR="00745161">
              <w:rPr>
                <w:noProof/>
                <w:webHidden/>
              </w:rPr>
              <w:fldChar w:fldCharType="begin"/>
            </w:r>
            <w:r w:rsidR="00745161">
              <w:rPr>
                <w:noProof/>
                <w:webHidden/>
              </w:rPr>
              <w:instrText xml:space="preserve"> PAGEREF _Toc144983233 \h </w:instrText>
            </w:r>
            <w:r w:rsidR="00745161">
              <w:rPr>
                <w:noProof/>
                <w:webHidden/>
              </w:rPr>
            </w:r>
            <w:r w:rsidR="00745161">
              <w:rPr>
                <w:noProof/>
                <w:webHidden/>
              </w:rPr>
              <w:fldChar w:fldCharType="separate"/>
            </w:r>
            <w:r w:rsidR="00745161">
              <w:rPr>
                <w:noProof/>
                <w:webHidden/>
              </w:rPr>
              <w:t>7</w:t>
            </w:r>
            <w:r w:rsidR="00745161">
              <w:rPr>
                <w:noProof/>
                <w:webHidden/>
              </w:rPr>
              <w:fldChar w:fldCharType="end"/>
            </w:r>
          </w:hyperlink>
        </w:p>
        <w:p w14:paraId="1B2CA734" w14:textId="077A6040"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4" w:history="1">
            <w:r w:rsidR="00745161" w:rsidRPr="00750692">
              <w:rPr>
                <w:rStyle w:val="Hyperlink"/>
                <w:noProof/>
              </w:rPr>
              <w:t>Relationship with related strategies and other initiatives</w:t>
            </w:r>
            <w:r w:rsidR="00745161">
              <w:rPr>
                <w:noProof/>
                <w:webHidden/>
              </w:rPr>
              <w:tab/>
            </w:r>
            <w:r w:rsidR="00745161">
              <w:rPr>
                <w:noProof/>
                <w:webHidden/>
              </w:rPr>
              <w:fldChar w:fldCharType="begin"/>
            </w:r>
            <w:r w:rsidR="00745161">
              <w:rPr>
                <w:noProof/>
                <w:webHidden/>
              </w:rPr>
              <w:instrText xml:space="preserve"> PAGEREF _Toc144983234 \h </w:instrText>
            </w:r>
            <w:r w:rsidR="00745161">
              <w:rPr>
                <w:noProof/>
                <w:webHidden/>
              </w:rPr>
            </w:r>
            <w:r w:rsidR="00745161">
              <w:rPr>
                <w:noProof/>
                <w:webHidden/>
              </w:rPr>
              <w:fldChar w:fldCharType="separate"/>
            </w:r>
            <w:r w:rsidR="00745161">
              <w:rPr>
                <w:noProof/>
                <w:webHidden/>
              </w:rPr>
              <w:t>8</w:t>
            </w:r>
            <w:r w:rsidR="00745161">
              <w:rPr>
                <w:noProof/>
                <w:webHidden/>
              </w:rPr>
              <w:fldChar w:fldCharType="end"/>
            </w:r>
          </w:hyperlink>
        </w:p>
        <w:p w14:paraId="1B173103" w14:textId="5842EEC3" w:rsidR="00745161" w:rsidRDefault="004D262C">
          <w:pPr>
            <w:pStyle w:val="TOC1"/>
            <w:tabs>
              <w:tab w:val="right" w:leader="dot" w:pos="9772"/>
            </w:tabs>
            <w:rPr>
              <w:rFonts w:asciiTheme="minorHAnsi" w:eastAsiaTheme="minorEastAsia" w:hAnsiTheme="minorHAnsi" w:cstheme="minorBidi"/>
              <w:b w:val="0"/>
              <w:bCs w:val="0"/>
              <w:i w:val="0"/>
              <w:iCs w:val="0"/>
              <w:noProof/>
              <w:kern w:val="0"/>
              <w:szCs w:val="22"/>
              <w:lang w:eastAsia="en-AU"/>
              <w14:ligatures w14:val="none"/>
            </w:rPr>
          </w:pPr>
          <w:hyperlink w:anchor="_Toc144983235" w:history="1">
            <w:r w:rsidR="00745161" w:rsidRPr="00750692">
              <w:rPr>
                <w:rStyle w:val="Hyperlink"/>
                <w:noProof/>
              </w:rPr>
              <w:t>Context</w:t>
            </w:r>
            <w:r w:rsidR="00745161">
              <w:rPr>
                <w:noProof/>
                <w:webHidden/>
              </w:rPr>
              <w:tab/>
            </w:r>
            <w:r w:rsidR="00745161">
              <w:rPr>
                <w:noProof/>
                <w:webHidden/>
              </w:rPr>
              <w:fldChar w:fldCharType="begin"/>
            </w:r>
            <w:r w:rsidR="00745161">
              <w:rPr>
                <w:noProof/>
                <w:webHidden/>
              </w:rPr>
              <w:instrText xml:space="preserve"> PAGEREF _Toc144983235 \h </w:instrText>
            </w:r>
            <w:r w:rsidR="00745161">
              <w:rPr>
                <w:noProof/>
                <w:webHidden/>
              </w:rPr>
            </w:r>
            <w:r w:rsidR="00745161">
              <w:rPr>
                <w:noProof/>
                <w:webHidden/>
              </w:rPr>
              <w:fldChar w:fldCharType="separate"/>
            </w:r>
            <w:r w:rsidR="00745161">
              <w:rPr>
                <w:noProof/>
                <w:webHidden/>
              </w:rPr>
              <w:t>9</w:t>
            </w:r>
            <w:r w:rsidR="00745161">
              <w:rPr>
                <w:noProof/>
                <w:webHidden/>
              </w:rPr>
              <w:fldChar w:fldCharType="end"/>
            </w:r>
          </w:hyperlink>
        </w:p>
        <w:p w14:paraId="63BFFFA1" w14:textId="12DC3582"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6" w:history="1">
            <w:r w:rsidR="00745161" w:rsidRPr="00750692">
              <w:rPr>
                <w:rStyle w:val="Hyperlink"/>
                <w:noProof/>
              </w:rPr>
              <w:t>Community services</w:t>
            </w:r>
            <w:r w:rsidR="00745161">
              <w:rPr>
                <w:noProof/>
                <w:webHidden/>
              </w:rPr>
              <w:tab/>
            </w:r>
            <w:r w:rsidR="00745161">
              <w:rPr>
                <w:noProof/>
                <w:webHidden/>
              </w:rPr>
              <w:fldChar w:fldCharType="begin"/>
            </w:r>
            <w:r w:rsidR="00745161">
              <w:rPr>
                <w:noProof/>
                <w:webHidden/>
              </w:rPr>
              <w:instrText xml:space="preserve"> PAGEREF _Toc144983236 \h </w:instrText>
            </w:r>
            <w:r w:rsidR="00745161">
              <w:rPr>
                <w:noProof/>
                <w:webHidden/>
              </w:rPr>
            </w:r>
            <w:r w:rsidR="00745161">
              <w:rPr>
                <w:noProof/>
                <w:webHidden/>
              </w:rPr>
              <w:fldChar w:fldCharType="separate"/>
            </w:r>
            <w:r w:rsidR="00745161">
              <w:rPr>
                <w:noProof/>
                <w:webHidden/>
              </w:rPr>
              <w:t>9</w:t>
            </w:r>
            <w:r w:rsidR="00745161">
              <w:rPr>
                <w:noProof/>
                <w:webHidden/>
              </w:rPr>
              <w:fldChar w:fldCharType="end"/>
            </w:r>
          </w:hyperlink>
        </w:p>
        <w:p w14:paraId="57BE9E86" w14:textId="5A3CE16C"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7" w:history="1">
            <w:r w:rsidR="00745161" w:rsidRPr="00750692">
              <w:rPr>
                <w:rStyle w:val="Hyperlink"/>
                <w:noProof/>
              </w:rPr>
              <w:t>Definition of Community sector organisations</w:t>
            </w:r>
            <w:r w:rsidR="00745161">
              <w:rPr>
                <w:noProof/>
                <w:webHidden/>
              </w:rPr>
              <w:tab/>
            </w:r>
            <w:r w:rsidR="00745161">
              <w:rPr>
                <w:noProof/>
                <w:webHidden/>
              </w:rPr>
              <w:fldChar w:fldCharType="begin"/>
            </w:r>
            <w:r w:rsidR="00745161">
              <w:rPr>
                <w:noProof/>
                <w:webHidden/>
              </w:rPr>
              <w:instrText xml:space="preserve"> PAGEREF _Toc144983237 \h </w:instrText>
            </w:r>
            <w:r w:rsidR="00745161">
              <w:rPr>
                <w:noProof/>
                <w:webHidden/>
              </w:rPr>
            </w:r>
            <w:r w:rsidR="00745161">
              <w:rPr>
                <w:noProof/>
                <w:webHidden/>
              </w:rPr>
              <w:fldChar w:fldCharType="separate"/>
            </w:r>
            <w:r w:rsidR="00745161">
              <w:rPr>
                <w:noProof/>
                <w:webHidden/>
              </w:rPr>
              <w:t>9</w:t>
            </w:r>
            <w:r w:rsidR="00745161">
              <w:rPr>
                <w:noProof/>
                <w:webHidden/>
              </w:rPr>
              <w:fldChar w:fldCharType="end"/>
            </w:r>
          </w:hyperlink>
        </w:p>
        <w:p w14:paraId="46D46F1E" w14:textId="436C8647"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8" w:history="1">
            <w:r w:rsidR="00745161" w:rsidRPr="00750692">
              <w:rPr>
                <w:rStyle w:val="Hyperlink"/>
                <w:noProof/>
              </w:rPr>
              <w:t>Data source and methodology</w:t>
            </w:r>
            <w:r w:rsidR="00745161">
              <w:rPr>
                <w:noProof/>
                <w:webHidden/>
              </w:rPr>
              <w:tab/>
            </w:r>
            <w:r w:rsidR="00745161">
              <w:rPr>
                <w:noProof/>
                <w:webHidden/>
              </w:rPr>
              <w:fldChar w:fldCharType="begin"/>
            </w:r>
            <w:r w:rsidR="00745161">
              <w:rPr>
                <w:noProof/>
                <w:webHidden/>
              </w:rPr>
              <w:instrText xml:space="preserve"> PAGEREF _Toc144983238 \h </w:instrText>
            </w:r>
            <w:r w:rsidR="00745161">
              <w:rPr>
                <w:noProof/>
                <w:webHidden/>
              </w:rPr>
            </w:r>
            <w:r w:rsidR="00745161">
              <w:rPr>
                <w:noProof/>
                <w:webHidden/>
              </w:rPr>
              <w:fldChar w:fldCharType="separate"/>
            </w:r>
            <w:r w:rsidR="00745161">
              <w:rPr>
                <w:noProof/>
                <w:webHidden/>
              </w:rPr>
              <w:t>9</w:t>
            </w:r>
            <w:r w:rsidR="00745161">
              <w:rPr>
                <w:noProof/>
                <w:webHidden/>
              </w:rPr>
              <w:fldChar w:fldCharType="end"/>
            </w:r>
          </w:hyperlink>
        </w:p>
        <w:p w14:paraId="5EB7B613" w14:textId="4F8A18FC"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39" w:history="1">
            <w:r w:rsidR="00745161" w:rsidRPr="00750692">
              <w:rPr>
                <w:rStyle w:val="Hyperlink"/>
                <w:noProof/>
              </w:rPr>
              <w:t>Commonwealth grant funding to the community sector</w:t>
            </w:r>
            <w:r w:rsidR="00745161">
              <w:rPr>
                <w:noProof/>
                <w:webHidden/>
              </w:rPr>
              <w:tab/>
            </w:r>
            <w:r w:rsidR="00745161">
              <w:rPr>
                <w:noProof/>
                <w:webHidden/>
              </w:rPr>
              <w:fldChar w:fldCharType="begin"/>
            </w:r>
            <w:r w:rsidR="00745161">
              <w:rPr>
                <w:noProof/>
                <w:webHidden/>
              </w:rPr>
              <w:instrText xml:space="preserve"> PAGEREF _Toc144983239 \h </w:instrText>
            </w:r>
            <w:r w:rsidR="00745161">
              <w:rPr>
                <w:noProof/>
                <w:webHidden/>
              </w:rPr>
            </w:r>
            <w:r w:rsidR="00745161">
              <w:rPr>
                <w:noProof/>
                <w:webHidden/>
              </w:rPr>
              <w:fldChar w:fldCharType="separate"/>
            </w:r>
            <w:r w:rsidR="00745161">
              <w:rPr>
                <w:noProof/>
                <w:webHidden/>
              </w:rPr>
              <w:t>9</w:t>
            </w:r>
            <w:r w:rsidR="00745161">
              <w:rPr>
                <w:noProof/>
                <w:webHidden/>
              </w:rPr>
              <w:fldChar w:fldCharType="end"/>
            </w:r>
          </w:hyperlink>
        </w:p>
        <w:p w14:paraId="48D0F17C" w14:textId="40B1F175" w:rsidR="00745161" w:rsidRDefault="004D262C">
          <w:pPr>
            <w:pStyle w:val="TOC1"/>
            <w:tabs>
              <w:tab w:val="right" w:leader="dot" w:pos="9772"/>
            </w:tabs>
            <w:rPr>
              <w:rFonts w:asciiTheme="minorHAnsi" w:eastAsiaTheme="minorEastAsia" w:hAnsiTheme="minorHAnsi" w:cstheme="minorBidi"/>
              <w:b w:val="0"/>
              <w:bCs w:val="0"/>
              <w:i w:val="0"/>
              <w:iCs w:val="0"/>
              <w:noProof/>
              <w:kern w:val="0"/>
              <w:szCs w:val="22"/>
              <w:lang w:eastAsia="en-AU"/>
              <w14:ligatures w14:val="none"/>
            </w:rPr>
          </w:pPr>
          <w:hyperlink w:anchor="_Toc144983240" w:history="1">
            <w:r w:rsidR="00745161" w:rsidRPr="00750692">
              <w:rPr>
                <w:rStyle w:val="Hyperlink"/>
                <w:noProof/>
              </w:rPr>
              <w:t>Focus areas for consideration</w:t>
            </w:r>
            <w:r w:rsidR="00745161">
              <w:rPr>
                <w:noProof/>
                <w:webHidden/>
              </w:rPr>
              <w:tab/>
            </w:r>
            <w:r w:rsidR="00745161">
              <w:rPr>
                <w:noProof/>
                <w:webHidden/>
              </w:rPr>
              <w:fldChar w:fldCharType="begin"/>
            </w:r>
            <w:r w:rsidR="00745161">
              <w:rPr>
                <w:noProof/>
                <w:webHidden/>
              </w:rPr>
              <w:instrText xml:space="preserve"> PAGEREF _Toc144983240 \h </w:instrText>
            </w:r>
            <w:r w:rsidR="00745161">
              <w:rPr>
                <w:noProof/>
                <w:webHidden/>
              </w:rPr>
            </w:r>
            <w:r w:rsidR="00745161">
              <w:rPr>
                <w:noProof/>
                <w:webHidden/>
              </w:rPr>
              <w:fldChar w:fldCharType="separate"/>
            </w:r>
            <w:r w:rsidR="00745161">
              <w:rPr>
                <w:noProof/>
                <w:webHidden/>
              </w:rPr>
              <w:t>13</w:t>
            </w:r>
            <w:r w:rsidR="00745161">
              <w:rPr>
                <w:noProof/>
                <w:webHidden/>
              </w:rPr>
              <w:fldChar w:fldCharType="end"/>
            </w:r>
          </w:hyperlink>
        </w:p>
        <w:p w14:paraId="12CD022F" w14:textId="58597F8F"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1" w:history="1">
            <w:r w:rsidR="00745161" w:rsidRPr="00750692">
              <w:rPr>
                <w:rStyle w:val="Hyperlink"/>
                <w:noProof/>
              </w:rPr>
              <w:t>Feedback on this paper</w:t>
            </w:r>
            <w:r w:rsidR="00745161">
              <w:rPr>
                <w:noProof/>
                <w:webHidden/>
              </w:rPr>
              <w:tab/>
            </w:r>
            <w:r w:rsidR="00745161">
              <w:rPr>
                <w:noProof/>
                <w:webHidden/>
              </w:rPr>
              <w:fldChar w:fldCharType="begin"/>
            </w:r>
            <w:r w:rsidR="00745161">
              <w:rPr>
                <w:noProof/>
                <w:webHidden/>
              </w:rPr>
              <w:instrText xml:space="preserve"> PAGEREF _Toc144983241 \h </w:instrText>
            </w:r>
            <w:r w:rsidR="00745161">
              <w:rPr>
                <w:noProof/>
                <w:webHidden/>
              </w:rPr>
            </w:r>
            <w:r w:rsidR="00745161">
              <w:rPr>
                <w:noProof/>
                <w:webHidden/>
              </w:rPr>
              <w:fldChar w:fldCharType="separate"/>
            </w:r>
            <w:r w:rsidR="00745161">
              <w:rPr>
                <w:noProof/>
                <w:webHidden/>
              </w:rPr>
              <w:t>13</w:t>
            </w:r>
            <w:r w:rsidR="00745161">
              <w:rPr>
                <w:noProof/>
                <w:webHidden/>
              </w:rPr>
              <w:fldChar w:fldCharType="end"/>
            </w:r>
          </w:hyperlink>
        </w:p>
        <w:p w14:paraId="5DD97A46" w14:textId="1050F1A0"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2" w:history="1">
            <w:r w:rsidR="00745161" w:rsidRPr="00750692">
              <w:rPr>
                <w:rStyle w:val="Hyperlink"/>
                <w:noProof/>
              </w:rPr>
              <w:t>Area of focus 1: Giving the sector the voice and respect it deserves through a meaningful working partnership</w:t>
            </w:r>
            <w:r w:rsidR="00745161">
              <w:rPr>
                <w:noProof/>
                <w:webHidden/>
              </w:rPr>
              <w:tab/>
            </w:r>
            <w:r w:rsidR="00745161">
              <w:rPr>
                <w:noProof/>
                <w:webHidden/>
              </w:rPr>
              <w:fldChar w:fldCharType="begin"/>
            </w:r>
            <w:r w:rsidR="00745161">
              <w:rPr>
                <w:noProof/>
                <w:webHidden/>
              </w:rPr>
              <w:instrText xml:space="preserve"> PAGEREF _Toc144983242 \h </w:instrText>
            </w:r>
            <w:r w:rsidR="00745161">
              <w:rPr>
                <w:noProof/>
                <w:webHidden/>
              </w:rPr>
            </w:r>
            <w:r w:rsidR="00745161">
              <w:rPr>
                <w:noProof/>
                <w:webHidden/>
              </w:rPr>
              <w:fldChar w:fldCharType="separate"/>
            </w:r>
            <w:r w:rsidR="00745161">
              <w:rPr>
                <w:noProof/>
                <w:webHidden/>
              </w:rPr>
              <w:t>15</w:t>
            </w:r>
            <w:r w:rsidR="00745161">
              <w:rPr>
                <w:noProof/>
                <w:webHidden/>
              </w:rPr>
              <w:fldChar w:fldCharType="end"/>
            </w:r>
          </w:hyperlink>
        </w:p>
        <w:p w14:paraId="7B34A7EB" w14:textId="101017F2"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3" w:history="1">
            <w:r w:rsidR="00745161" w:rsidRPr="00750692">
              <w:rPr>
                <w:rStyle w:val="Hyperlink"/>
                <w:noProof/>
              </w:rPr>
              <w:t>Area of focus 2: Providing grants that reflect the real cost of delivering quality services</w:t>
            </w:r>
            <w:r w:rsidR="00745161">
              <w:rPr>
                <w:noProof/>
                <w:webHidden/>
              </w:rPr>
              <w:tab/>
            </w:r>
            <w:r w:rsidR="00745161">
              <w:rPr>
                <w:noProof/>
                <w:webHidden/>
              </w:rPr>
              <w:fldChar w:fldCharType="begin"/>
            </w:r>
            <w:r w:rsidR="00745161">
              <w:rPr>
                <w:noProof/>
                <w:webHidden/>
              </w:rPr>
              <w:instrText xml:space="preserve"> PAGEREF _Toc144983243 \h </w:instrText>
            </w:r>
            <w:r w:rsidR="00745161">
              <w:rPr>
                <w:noProof/>
                <w:webHidden/>
              </w:rPr>
            </w:r>
            <w:r w:rsidR="00745161">
              <w:rPr>
                <w:noProof/>
                <w:webHidden/>
              </w:rPr>
              <w:fldChar w:fldCharType="separate"/>
            </w:r>
            <w:r w:rsidR="00745161">
              <w:rPr>
                <w:noProof/>
                <w:webHidden/>
              </w:rPr>
              <w:t>18</w:t>
            </w:r>
            <w:r w:rsidR="00745161">
              <w:rPr>
                <w:noProof/>
                <w:webHidden/>
              </w:rPr>
              <w:fldChar w:fldCharType="end"/>
            </w:r>
          </w:hyperlink>
        </w:p>
        <w:p w14:paraId="2E1AD011" w14:textId="4A4FEB00"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4" w:history="1">
            <w:r w:rsidR="00745161" w:rsidRPr="00750692">
              <w:rPr>
                <w:rStyle w:val="Hyperlink"/>
                <w:noProof/>
              </w:rPr>
              <w:t>Area of focus 3: Providing longer grant agreement terms</w:t>
            </w:r>
            <w:r w:rsidR="00745161">
              <w:rPr>
                <w:noProof/>
                <w:webHidden/>
              </w:rPr>
              <w:tab/>
            </w:r>
            <w:r w:rsidR="00745161">
              <w:rPr>
                <w:noProof/>
                <w:webHidden/>
              </w:rPr>
              <w:fldChar w:fldCharType="begin"/>
            </w:r>
            <w:r w:rsidR="00745161">
              <w:rPr>
                <w:noProof/>
                <w:webHidden/>
              </w:rPr>
              <w:instrText xml:space="preserve"> PAGEREF _Toc144983244 \h </w:instrText>
            </w:r>
            <w:r w:rsidR="00745161">
              <w:rPr>
                <w:noProof/>
                <w:webHidden/>
              </w:rPr>
            </w:r>
            <w:r w:rsidR="00745161">
              <w:rPr>
                <w:noProof/>
                <w:webHidden/>
              </w:rPr>
              <w:fldChar w:fldCharType="separate"/>
            </w:r>
            <w:r w:rsidR="00745161">
              <w:rPr>
                <w:noProof/>
                <w:webHidden/>
              </w:rPr>
              <w:t>22</w:t>
            </w:r>
            <w:r w:rsidR="00745161">
              <w:rPr>
                <w:noProof/>
                <w:webHidden/>
              </w:rPr>
              <w:fldChar w:fldCharType="end"/>
            </w:r>
          </w:hyperlink>
        </w:p>
        <w:p w14:paraId="55ACF304" w14:textId="43001405"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5" w:history="1">
            <w:r w:rsidR="00745161" w:rsidRPr="00750692">
              <w:rPr>
                <w:rStyle w:val="Hyperlink"/>
                <w:noProof/>
              </w:rPr>
              <w:t>Area of focus 4: Ensuring grant funding flows to a greater diversity of CSOs</w:t>
            </w:r>
            <w:r w:rsidR="00745161">
              <w:rPr>
                <w:noProof/>
                <w:webHidden/>
              </w:rPr>
              <w:tab/>
            </w:r>
            <w:r w:rsidR="00745161">
              <w:rPr>
                <w:noProof/>
                <w:webHidden/>
              </w:rPr>
              <w:fldChar w:fldCharType="begin"/>
            </w:r>
            <w:r w:rsidR="00745161">
              <w:rPr>
                <w:noProof/>
                <w:webHidden/>
              </w:rPr>
              <w:instrText xml:space="preserve"> PAGEREF _Toc144983245 \h </w:instrText>
            </w:r>
            <w:r w:rsidR="00745161">
              <w:rPr>
                <w:noProof/>
                <w:webHidden/>
              </w:rPr>
            </w:r>
            <w:r w:rsidR="00745161">
              <w:rPr>
                <w:noProof/>
                <w:webHidden/>
              </w:rPr>
              <w:fldChar w:fldCharType="separate"/>
            </w:r>
            <w:r w:rsidR="00745161">
              <w:rPr>
                <w:noProof/>
                <w:webHidden/>
              </w:rPr>
              <w:t>25</w:t>
            </w:r>
            <w:r w:rsidR="00745161">
              <w:rPr>
                <w:noProof/>
                <w:webHidden/>
              </w:rPr>
              <w:fldChar w:fldCharType="end"/>
            </w:r>
          </w:hyperlink>
        </w:p>
        <w:p w14:paraId="66F3CE4C" w14:textId="61B9522C"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6" w:history="1">
            <w:r w:rsidR="00745161" w:rsidRPr="00750692">
              <w:rPr>
                <w:rStyle w:val="Hyperlink"/>
                <w:noProof/>
              </w:rPr>
              <w:t>Area of focus 5: Partnering with trusted community organisations with strong local links</w:t>
            </w:r>
            <w:r w:rsidR="00745161">
              <w:rPr>
                <w:noProof/>
                <w:webHidden/>
              </w:rPr>
              <w:tab/>
            </w:r>
            <w:r w:rsidR="00745161">
              <w:rPr>
                <w:noProof/>
                <w:webHidden/>
              </w:rPr>
              <w:fldChar w:fldCharType="begin"/>
            </w:r>
            <w:r w:rsidR="00745161">
              <w:rPr>
                <w:noProof/>
                <w:webHidden/>
              </w:rPr>
              <w:instrText xml:space="preserve"> PAGEREF _Toc144983246 \h </w:instrText>
            </w:r>
            <w:r w:rsidR="00745161">
              <w:rPr>
                <w:noProof/>
                <w:webHidden/>
              </w:rPr>
            </w:r>
            <w:r w:rsidR="00745161">
              <w:rPr>
                <w:noProof/>
                <w:webHidden/>
              </w:rPr>
              <w:fldChar w:fldCharType="separate"/>
            </w:r>
            <w:r w:rsidR="00745161">
              <w:rPr>
                <w:noProof/>
                <w:webHidden/>
              </w:rPr>
              <w:t>28</w:t>
            </w:r>
            <w:r w:rsidR="00745161">
              <w:rPr>
                <w:noProof/>
                <w:webHidden/>
              </w:rPr>
              <w:fldChar w:fldCharType="end"/>
            </w:r>
          </w:hyperlink>
        </w:p>
        <w:p w14:paraId="323E1E64" w14:textId="662E0737" w:rsidR="00745161" w:rsidRDefault="004D262C">
          <w:pPr>
            <w:pStyle w:val="TOC1"/>
            <w:tabs>
              <w:tab w:val="right" w:leader="dot" w:pos="9772"/>
            </w:tabs>
            <w:rPr>
              <w:rFonts w:asciiTheme="minorHAnsi" w:eastAsiaTheme="minorEastAsia" w:hAnsiTheme="minorHAnsi" w:cstheme="minorBidi"/>
              <w:b w:val="0"/>
              <w:bCs w:val="0"/>
              <w:i w:val="0"/>
              <w:iCs w:val="0"/>
              <w:noProof/>
              <w:kern w:val="0"/>
              <w:szCs w:val="22"/>
              <w:lang w:eastAsia="en-AU"/>
              <w14:ligatures w14:val="none"/>
            </w:rPr>
          </w:pPr>
          <w:hyperlink w:anchor="_Toc144983247" w:history="1">
            <w:r w:rsidR="00745161" w:rsidRPr="00750692">
              <w:rPr>
                <w:rStyle w:val="Hyperlink"/>
                <w:noProof/>
              </w:rPr>
              <w:t>Conclusion</w:t>
            </w:r>
            <w:r w:rsidR="00745161">
              <w:rPr>
                <w:noProof/>
                <w:webHidden/>
              </w:rPr>
              <w:tab/>
            </w:r>
            <w:r w:rsidR="00745161">
              <w:rPr>
                <w:noProof/>
                <w:webHidden/>
              </w:rPr>
              <w:fldChar w:fldCharType="begin"/>
            </w:r>
            <w:r w:rsidR="00745161">
              <w:rPr>
                <w:noProof/>
                <w:webHidden/>
              </w:rPr>
              <w:instrText xml:space="preserve"> PAGEREF _Toc144983247 \h </w:instrText>
            </w:r>
            <w:r w:rsidR="00745161">
              <w:rPr>
                <w:noProof/>
                <w:webHidden/>
              </w:rPr>
            </w:r>
            <w:r w:rsidR="00745161">
              <w:rPr>
                <w:noProof/>
                <w:webHidden/>
              </w:rPr>
              <w:fldChar w:fldCharType="separate"/>
            </w:r>
            <w:r w:rsidR="00745161">
              <w:rPr>
                <w:noProof/>
                <w:webHidden/>
              </w:rPr>
              <w:t>31</w:t>
            </w:r>
            <w:r w:rsidR="00745161">
              <w:rPr>
                <w:noProof/>
                <w:webHidden/>
              </w:rPr>
              <w:fldChar w:fldCharType="end"/>
            </w:r>
          </w:hyperlink>
        </w:p>
        <w:p w14:paraId="1420A192" w14:textId="59C351B0"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8" w:history="1">
            <w:r w:rsidR="00745161" w:rsidRPr="00750692">
              <w:rPr>
                <w:rStyle w:val="Hyperlink"/>
                <w:noProof/>
              </w:rPr>
              <w:t>Appendix A: Relevant strategies and resources</w:t>
            </w:r>
            <w:r w:rsidR="00745161">
              <w:rPr>
                <w:noProof/>
                <w:webHidden/>
              </w:rPr>
              <w:tab/>
            </w:r>
            <w:r w:rsidR="00745161">
              <w:rPr>
                <w:noProof/>
                <w:webHidden/>
              </w:rPr>
              <w:fldChar w:fldCharType="begin"/>
            </w:r>
            <w:r w:rsidR="00745161">
              <w:rPr>
                <w:noProof/>
                <w:webHidden/>
              </w:rPr>
              <w:instrText xml:space="preserve"> PAGEREF _Toc144983248 \h </w:instrText>
            </w:r>
            <w:r w:rsidR="00745161">
              <w:rPr>
                <w:noProof/>
                <w:webHidden/>
              </w:rPr>
            </w:r>
            <w:r w:rsidR="00745161">
              <w:rPr>
                <w:noProof/>
                <w:webHidden/>
              </w:rPr>
              <w:fldChar w:fldCharType="separate"/>
            </w:r>
            <w:r w:rsidR="00745161">
              <w:rPr>
                <w:noProof/>
                <w:webHidden/>
              </w:rPr>
              <w:t>32</w:t>
            </w:r>
            <w:r w:rsidR="00745161">
              <w:rPr>
                <w:noProof/>
                <w:webHidden/>
              </w:rPr>
              <w:fldChar w:fldCharType="end"/>
            </w:r>
          </w:hyperlink>
        </w:p>
        <w:p w14:paraId="42E31D34" w14:textId="0D7A2238" w:rsidR="00745161" w:rsidRDefault="004D262C">
          <w:pPr>
            <w:pStyle w:val="TOC2"/>
            <w:rPr>
              <w:rFonts w:asciiTheme="minorHAnsi" w:eastAsiaTheme="minorEastAsia" w:hAnsiTheme="minorHAnsi" w:cstheme="minorBidi"/>
              <w:b w:val="0"/>
              <w:bCs w:val="0"/>
              <w:noProof/>
              <w:kern w:val="0"/>
              <w:lang w:eastAsia="en-AU"/>
              <w14:ligatures w14:val="none"/>
            </w:rPr>
          </w:pPr>
          <w:hyperlink w:anchor="_Toc144983249" w:history="1">
            <w:r w:rsidR="00745161" w:rsidRPr="00750692">
              <w:rPr>
                <w:rStyle w:val="Hyperlink"/>
                <w:noProof/>
              </w:rPr>
              <w:t>Appendix B: Glossary</w:t>
            </w:r>
            <w:r w:rsidR="00745161">
              <w:rPr>
                <w:noProof/>
                <w:webHidden/>
              </w:rPr>
              <w:tab/>
            </w:r>
            <w:r w:rsidR="00745161">
              <w:rPr>
                <w:noProof/>
                <w:webHidden/>
              </w:rPr>
              <w:fldChar w:fldCharType="begin"/>
            </w:r>
            <w:r w:rsidR="00745161">
              <w:rPr>
                <w:noProof/>
                <w:webHidden/>
              </w:rPr>
              <w:instrText xml:space="preserve"> PAGEREF _Toc144983249 \h </w:instrText>
            </w:r>
            <w:r w:rsidR="00745161">
              <w:rPr>
                <w:noProof/>
                <w:webHidden/>
              </w:rPr>
            </w:r>
            <w:r w:rsidR="00745161">
              <w:rPr>
                <w:noProof/>
                <w:webHidden/>
              </w:rPr>
              <w:fldChar w:fldCharType="separate"/>
            </w:r>
            <w:r w:rsidR="00745161">
              <w:rPr>
                <w:noProof/>
                <w:webHidden/>
              </w:rPr>
              <w:t>36</w:t>
            </w:r>
            <w:r w:rsidR="00745161">
              <w:rPr>
                <w:noProof/>
                <w:webHidden/>
              </w:rPr>
              <w:fldChar w:fldCharType="end"/>
            </w:r>
          </w:hyperlink>
        </w:p>
        <w:p w14:paraId="4740C1E3" w14:textId="1A935E70" w:rsidR="004D356C" w:rsidRDefault="00C000BA" w:rsidP="00F21392">
          <w:r>
            <w:rPr>
              <w:rFonts w:cstheme="minorHAnsi"/>
              <w:b/>
              <w:bCs/>
              <w:i/>
              <w:iCs/>
            </w:rPr>
            <w:fldChar w:fldCharType="end"/>
          </w:r>
        </w:p>
      </w:sdtContent>
    </w:sdt>
    <w:p w14:paraId="3ED320E6" w14:textId="77777777" w:rsidR="002D1544" w:rsidRDefault="002D1544" w:rsidP="00F53E2F">
      <w:pPr>
        <w:pStyle w:val="Heading1"/>
        <w:rPr>
          <w:rFonts w:ascii="Calibri" w:hAnsi="Calibri" w:cs="Calibri"/>
        </w:rPr>
      </w:pPr>
      <w:r>
        <w:rPr>
          <w:rFonts w:ascii="Calibri" w:hAnsi="Calibri" w:cs="Calibri"/>
        </w:rPr>
        <w:br w:type="page"/>
      </w:r>
    </w:p>
    <w:p w14:paraId="2BD0154B" w14:textId="77777777" w:rsidR="006117AD" w:rsidRPr="001C48DF" w:rsidRDefault="006117AD" w:rsidP="00C000BA">
      <w:pPr>
        <w:pStyle w:val="Heading1"/>
      </w:pPr>
      <w:bookmarkStart w:id="2" w:name="_Toc144983229"/>
      <w:bookmarkStart w:id="3" w:name="_Toc141437652"/>
      <w:r w:rsidRPr="001C48DF">
        <w:lastRenderedPageBreak/>
        <w:t>Introduction</w:t>
      </w:r>
      <w:bookmarkEnd w:id="2"/>
    </w:p>
    <w:p w14:paraId="68CD97DD" w14:textId="34E4E0E0" w:rsidR="006117AD" w:rsidRPr="00AA7A10" w:rsidRDefault="006117AD" w:rsidP="006117AD">
      <w:pPr>
        <w:spacing w:line="276" w:lineRule="auto"/>
        <w:rPr>
          <w:rFonts w:cs="Arial"/>
          <w:szCs w:val="22"/>
        </w:rPr>
      </w:pPr>
      <w:r w:rsidRPr="00AA7A10">
        <w:rPr>
          <w:rFonts w:cs="Arial"/>
          <w:szCs w:val="22"/>
        </w:rPr>
        <w:t xml:space="preserve">The Australian Government is committed to supporting and strengthening the sustainability of the community sector so together we can continue to deliver services that improve the wellbeing of individuals and families in Australian communities. </w:t>
      </w:r>
      <w:r w:rsidRPr="00AA7A10">
        <w:rPr>
          <w:rFonts w:cs="Arial"/>
          <w:spacing w:val="4"/>
          <w:szCs w:val="22"/>
          <w:lang w:eastAsia="en-AU"/>
        </w:rPr>
        <w:t xml:space="preserve">COVID-19, natural disasters, </w:t>
      </w:r>
      <w:r w:rsidR="000D7979" w:rsidRPr="00AA7A10">
        <w:rPr>
          <w:rFonts w:cs="Arial"/>
          <w:spacing w:val="4"/>
          <w:szCs w:val="22"/>
          <w:lang w:eastAsia="en-AU"/>
        </w:rPr>
        <w:t xml:space="preserve">and </w:t>
      </w:r>
      <w:r w:rsidRPr="00AA7A10">
        <w:rPr>
          <w:rFonts w:cs="Arial"/>
          <w:spacing w:val="4"/>
          <w:szCs w:val="22"/>
          <w:lang w:eastAsia="en-AU"/>
        </w:rPr>
        <w:t xml:space="preserve">the </w:t>
      </w:r>
      <w:r w:rsidR="000D7979" w:rsidRPr="00AA7A10">
        <w:rPr>
          <w:rFonts w:cs="Arial"/>
          <w:spacing w:val="4"/>
          <w:szCs w:val="22"/>
          <w:lang w:eastAsia="en-AU"/>
        </w:rPr>
        <w:t xml:space="preserve">rising </w:t>
      </w:r>
      <w:r w:rsidRPr="00AA7A10">
        <w:rPr>
          <w:rFonts w:cs="Arial"/>
          <w:spacing w:val="4"/>
          <w:szCs w:val="22"/>
          <w:lang w:eastAsia="en-AU"/>
        </w:rPr>
        <w:t xml:space="preserve">cost of living have all had a significant impact on the sector’s ability to support Australians in need and </w:t>
      </w:r>
      <w:r w:rsidR="008B37B6" w:rsidRPr="00AA7A10">
        <w:rPr>
          <w:rFonts w:cs="Arial"/>
          <w:spacing w:val="4"/>
          <w:szCs w:val="22"/>
          <w:lang w:eastAsia="en-AU"/>
        </w:rPr>
        <w:t xml:space="preserve">positively </w:t>
      </w:r>
      <w:r w:rsidRPr="00AA7A10">
        <w:rPr>
          <w:rFonts w:cs="Arial"/>
          <w:spacing w:val="4"/>
          <w:szCs w:val="22"/>
          <w:lang w:eastAsia="en-AU"/>
        </w:rPr>
        <w:t>contribute to the wellbeing of the broader Australian community.</w:t>
      </w:r>
      <w:r w:rsidR="00C342F1" w:rsidRPr="00AA7A10">
        <w:rPr>
          <w:rFonts w:cs="Arial"/>
          <w:spacing w:val="4"/>
          <w:szCs w:val="22"/>
          <w:lang w:eastAsia="en-AU"/>
        </w:rPr>
        <w:t xml:space="preserve"> </w:t>
      </w:r>
    </w:p>
    <w:p w14:paraId="3247ED46" w14:textId="7ABE1A77" w:rsidR="006117AD" w:rsidRPr="00AA7A10" w:rsidRDefault="006117AD" w:rsidP="006117AD">
      <w:pPr>
        <w:spacing w:line="276" w:lineRule="auto"/>
        <w:rPr>
          <w:rFonts w:cs="Arial"/>
          <w:szCs w:val="22"/>
        </w:rPr>
      </w:pPr>
      <w:r w:rsidRPr="00AA7A10">
        <w:rPr>
          <w:rFonts w:cs="Arial"/>
          <w:szCs w:val="22"/>
        </w:rPr>
        <w:t>As announced in the October 202</w:t>
      </w:r>
      <w:r w:rsidR="00255E5A" w:rsidRPr="00AA7A10">
        <w:rPr>
          <w:rFonts w:cs="Arial"/>
          <w:szCs w:val="22"/>
        </w:rPr>
        <w:t>2</w:t>
      </w:r>
      <w:r w:rsidR="00C8140C" w:rsidRPr="00AA7A10">
        <w:rPr>
          <w:rFonts w:cs="Arial"/>
          <w:szCs w:val="22"/>
        </w:rPr>
        <w:t>-23 Budget, the g</w:t>
      </w:r>
      <w:r w:rsidRPr="00AA7A10">
        <w:rPr>
          <w:rFonts w:cs="Arial"/>
          <w:szCs w:val="22"/>
        </w:rPr>
        <w:t xml:space="preserve">overnment will provide an additional $560 million over 4 years from 2022-23 to support Community </w:t>
      </w:r>
      <w:r w:rsidR="00C77262">
        <w:rPr>
          <w:rFonts w:cs="Arial"/>
          <w:szCs w:val="22"/>
        </w:rPr>
        <w:t>s</w:t>
      </w:r>
      <w:r w:rsidRPr="00AA7A10">
        <w:rPr>
          <w:rFonts w:cs="Arial"/>
          <w:szCs w:val="22"/>
        </w:rPr>
        <w:t xml:space="preserve">ector </w:t>
      </w:r>
      <w:r w:rsidR="00C77262">
        <w:rPr>
          <w:rFonts w:cs="Arial"/>
          <w:szCs w:val="22"/>
        </w:rPr>
        <w:t>o</w:t>
      </w:r>
      <w:r w:rsidRPr="00AA7A10">
        <w:rPr>
          <w:rFonts w:cs="Arial"/>
          <w:szCs w:val="22"/>
        </w:rPr>
        <w:t>rganisations (CSOs)</w:t>
      </w:r>
      <w:r w:rsidR="00255E5A" w:rsidRPr="00AA7A10">
        <w:rPr>
          <w:rFonts w:cs="Arial"/>
          <w:szCs w:val="22"/>
        </w:rPr>
        <w:t>. This is</w:t>
      </w:r>
      <w:r w:rsidRPr="00AA7A10">
        <w:rPr>
          <w:rFonts w:cs="Arial"/>
          <w:szCs w:val="22"/>
        </w:rPr>
        <w:t xml:space="preserve"> in recognition of additional cost pressures from the Fair Work Commission’s minimum wage decision, superannuation</w:t>
      </w:r>
      <w:r w:rsidR="00F54AD9">
        <w:rPr>
          <w:rFonts w:cs="Arial"/>
          <w:szCs w:val="22"/>
        </w:rPr>
        <w:t xml:space="preserve"> guarantee</w:t>
      </w:r>
      <w:r w:rsidRPr="00AA7A10">
        <w:rPr>
          <w:rFonts w:cs="Arial"/>
          <w:szCs w:val="22"/>
        </w:rPr>
        <w:t xml:space="preserve"> and higher inflation affecting CSOs, and the services </w:t>
      </w:r>
      <w:r w:rsidR="00255E5A" w:rsidRPr="00AA7A10">
        <w:rPr>
          <w:rFonts w:cs="Arial"/>
          <w:szCs w:val="22"/>
        </w:rPr>
        <w:t>they deliver.</w:t>
      </w:r>
      <w:r w:rsidRPr="00AA7A10">
        <w:rPr>
          <w:rFonts w:cs="Arial"/>
          <w:szCs w:val="22"/>
        </w:rPr>
        <w:t xml:space="preserve"> </w:t>
      </w:r>
    </w:p>
    <w:p w14:paraId="0C66772A" w14:textId="12C38E45" w:rsidR="006117AD" w:rsidRPr="00AA7A10" w:rsidRDefault="00C8140C" w:rsidP="006117AD">
      <w:pPr>
        <w:spacing w:line="276" w:lineRule="auto"/>
        <w:rPr>
          <w:rFonts w:cs="Arial"/>
          <w:szCs w:val="22"/>
        </w:rPr>
      </w:pPr>
      <w:r w:rsidRPr="00AA7A10">
        <w:rPr>
          <w:rFonts w:cs="Arial"/>
          <w:szCs w:val="22"/>
        </w:rPr>
        <w:t>In the 2023-24 Budget, the g</w:t>
      </w:r>
      <w:r w:rsidR="006117AD" w:rsidRPr="00AA7A10">
        <w:rPr>
          <w:rFonts w:cs="Arial"/>
          <w:szCs w:val="22"/>
        </w:rPr>
        <w:t xml:space="preserve">overnment </w:t>
      </w:r>
      <w:r w:rsidR="00FB1B75" w:rsidRPr="00AA7A10">
        <w:rPr>
          <w:rFonts w:cs="Arial"/>
          <w:szCs w:val="22"/>
        </w:rPr>
        <w:t xml:space="preserve">provided </w:t>
      </w:r>
      <w:r w:rsidR="006117AD" w:rsidRPr="00AA7A10">
        <w:rPr>
          <w:rFonts w:cs="Arial"/>
          <w:szCs w:val="22"/>
        </w:rPr>
        <w:t xml:space="preserve">ongoing adjustments to its indexation framework </w:t>
      </w:r>
      <w:r w:rsidR="00627A71" w:rsidRPr="00AA7A10">
        <w:rPr>
          <w:rFonts w:cs="Arial"/>
          <w:szCs w:val="22"/>
        </w:rPr>
        <w:t xml:space="preserve">which </w:t>
      </w:r>
      <w:r w:rsidR="006117AD" w:rsidRPr="00AA7A10">
        <w:rPr>
          <w:rFonts w:cs="Arial"/>
          <w:szCs w:val="22"/>
        </w:rPr>
        <w:t>applie</w:t>
      </w:r>
      <w:r w:rsidR="00627A71" w:rsidRPr="00AA7A10">
        <w:rPr>
          <w:rFonts w:cs="Arial"/>
          <w:szCs w:val="22"/>
        </w:rPr>
        <w:t>s</w:t>
      </w:r>
      <w:r w:rsidR="006117AD" w:rsidRPr="00AA7A10">
        <w:rPr>
          <w:rFonts w:cs="Arial"/>
          <w:szCs w:val="22"/>
        </w:rPr>
        <w:t xml:space="preserve"> to a range of programs funded by the government. The update</w:t>
      </w:r>
      <w:r w:rsidR="00FB1B75" w:rsidRPr="00AA7A10">
        <w:rPr>
          <w:rFonts w:cs="Arial"/>
          <w:szCs w:val="22"/>
        </w:rPr>
        <w:t>d</w:t>
      </w:r>
      <w:r w:rsidR="006117AD" w:rsidRPr="00AA7A10">
        <w:rPr>
          <w:rFonts w:cs="Arial"/>
          <w:szCs w:val="22"/>
        </w:rPr>
        <w:t xml:space="preserve"> </w:t>
      </w:r>
      <w:r w:rsidR="008B37B6" w:rsidRPr="00AA7A10">
        <w:rPr>
          <w:rFonts w:cs="Arial"/>
          <w:szCs w:val="22"/>
        </w:rPr>
        <w:t xml:space="preserve">adjustments </w:t>
      </w:r>
      <w:r w:rsidR="006117AD" w:rsidRPr="00AA7A10">
        <w:rPr>
          <w:rFonts w:cs="Arial"/>
          <w:szCs w:val="22"/>
        </w:rPr>
        <w:t xml:space="preserve">will allow the indexation framework to better align with changes in economic circumstances. </w:t>
      </w:r>
    </w:p>
    <w:p w14:paraId="70EEB1FD" w14:textId="7F80DD86" w:rsidR="006117AD" w:rsidRPr="00AA7A10" w:rsidRDefault="009040DF" w:rsidP="006117AD">
      <w:pPr>
        <w:spacing w:line="276" w:lineRule="auto"/>
        <w:rPr>
          <w:rFonts w:cs="Arial"/>
          <w:iCs/>
          <w:szCs w:val="22"/>
        </w:rPr>
      </w:pPr>
      <w:r w:rsidRPr="00AA7A10">
        <w:rPr>
          <w:rFonts w:cs="Arial"/>
          <w:szCs w:val="22"/>
        </w:rPr>
        <w:t>The government</w:t>
      </w:r>
      <w:r>
        <w:rPr>
          <w:rFonts w:cs="Arial"/>
          <w:szCs w:val="22"/>
        </w:rPr>
        <w:t xml:space="preserve"> also announced a </w:t>
      </w:r>
      <w:r w:rsidRPr="00AA7A10">
        <w:rPr>
          <w:rFonts w:cs="Arial"/>
          <w:szCs w:val="22"/>
        </w:rPr>
        <w:t>$14.6 billion cost-of-living package in the 2023-24 Budget</w:t>
      </w:r>
      <w:r>
        <w:rPr>
          <w:rFonts w:cs="Arial"/>
          <w:szCs w:val="22"/>
        </w:rPr>
        <w:t>,</w:t>
      </w:r>
      <w:r w:rsidRPr="00AA7A10">
        <w:rPr>
          <w:rFonts w:cs="Arial"/>
          <w:szCs w:val="22"/>
        </w:rPr>
        <w:t xml:space="preserve"> which </w:t>
      </w:r>
      <w:r>
        <w:rPr>
          <w:rFonts w:cs="Arial"/>
          <w:szCs w:val="22"/>
        </w:rPr>
        <w:t>includes</w:t>
      </w:r>
      <w:r w:rsidRPr="00AA7A10">
        <w:rPr>
          <w:rFonts w:cs="Arial"/>
          <w:szCs w:val="22"/>
        </w:rPr>
        <w:t xml:space="preserve"> increasing the rate of </w:t>
      </w:r>
      <w:r>
        <w:rPr>
          <w:rFonts w:cs="Arial"/>
          <w:szCs w:val="22"/>
        </w:rPr>
        <w:t>working age and student</w:t>
      </w:r>
      <w:r w:rsidRPr="00AA7A10">
        <w:rPr>
          <w:rFonts w:cs="Arial"/>
          <w:szCs w:val="22"/>
        </w:rPr>
        <w:t xml:space="preserve"> payments</w:t>
      </w:r>
      <w:r>
        <w:rPr>
          <w:rFonts w:cs="Arial"/>
          <w:szCs w:val="22"/>
        </w:rPr>
        <w:t xml:space="preserve"> and Commonwealth Rent Assistance</w:t>
      </w:r>
      <w:r w:rsidRPr="00AA7A10">
        <w:rPr>
          <w:rFonts w:cs="Arial"/>
          <w:szCs w:val="22"/>
        </w:rPr>
        <w:t>. The</w:t>
      </w:r>
      <w:r>
        <w:rPr>
          <w:rFonts w:cs="Arial"/>
          <w:szCs w:val="22"/>
        </w:rPr>
        <w:t xml:space="preserve"> income support</w:t>
      </w:r>
      <w:r w:rsidRPr="00AA7A10">
        <w:rPr>
          <w:rFonts w:cs="Arial"/>
          <w:szCs w:val="22"/>
        </w:rPr>
        <w:t xml:space="preserve"> measures in this package will commence from 20 September 2023. These measures provide targeted cost-of-living relief that will benefit around 2 million</w:t>
      </w:r>
      <w:r>
        <w:rPr>
          <w:rFonts w:cs="Arial"/>
          <w:szCs w:val="22"/>
        </w:rPr>
        <w:t xml:space="preserve"> income support</w:t>
      </w:r>
      <w:r w:rsidRPr="00AA7A10">
        <w:rPr>
          <w:rFonts w:cs="Arial"/>
          <w:szCs w:val="22"/>
        </w:rPr>
        <w:t xml:space="preserve"> recipients and in addition to community sector funding, </w:t>
      </w:r>
      <w:r>
        <w:rPr>
          <w:rFonts w:cs="Arial"/>
          <w:szCs w:val="22"/>
        </w:rPr>
        <w:t>contribute to</w:t>
      </w:r>
      <w:r w:rsidRPr="00AA7A10">
        <w:rPr>
          <w:rFonts w:cs="Arial"/>
          <w:szCs w:val="22"/>
        </w:rPr>
        <w:t xml:space="preserve"> the government’s </w:t>
      </w:r>
      <w:r>
        <w:rPr>
          <w:rFonts w:cs="Arial"/>
          <w:szCs w:val="22"/>
        </w:rPr>
        <w:t xml:space="preserve">social </w:t>
      </w:r>
      <w:r w:rsidRPr="00AA7A10">
        <w:rPr>
          <w:rFonts w:cs="Arial"/>
          <w:szCs w:val="22"/>
        </w:rPr>
        <w:t xml:space="preserve">safety </w:t>
      </w:r>
      <w:r>
        <w:rPr>
          <w:rFonts w:cs="Arial"/>
          <w:szCs w:val="22"/>
        </w:rPr>
        <w:t>net</w:t>
      </w:r>
      <w:r w:rsidRPr="00AA7A10">
        <w:rPr>
          <w:rFonts w:cs="Arial"/>
          <w:szCs w:val="22"/>
        </w:rPr>
        <w:t>.</w:t>
      </w:r>
      <w:r w:rsidR="00085BB2">
        <w:rPr>
          <w:rFonts w:cs="Arial"/>
          <w:szCs w:val="22"/>
        </w:rPr>
        <w:t xml:space="preserve"> </w:t>
      </w:r>
      <w:r w:rsidR="00C8140C" w:rsidRPr="00AA7A10">
        <w:rPr>
          <w:rFonts w:cs="Arial"/>
          <w:szCs w:val="22"/>
        </w:rPr>
        <w:t>During 2023, the g</w:t>
      </w:r>
      <w:r w:rsidR="006117AD" w:rsidRPr="00AA7A10">
        <w:rPr>
          <w:rFonts w:cs="Arial"/>
          <w:szCs w:val="22"/>
        </w:rPr>
        <w:t xml:space="preserve">overnment is working closely with the sector to consult on </w:t>
      </w:r>
      <w:r w:rsidR="000206A7" w:rsidRPr="00AA7A10">
        <w:rPr>
          <w:rFonts w:cs="Arial"/>
          <w:szCs w:val="22"/>
        </w:rPr>
        <w:t xml:space="preserve">options </w:t>
      </w:r>
      <w:r w:rsidR="006117AD" w:rsidRPr="00AA7A10">
        <w:rPr>
          <w:rFonts w:cs="Arial"/>
          <w:szCs w:val="22"/>
        </w:rPr>
        <w:t xml:space="preserve">to fulfil its election commitment for a </w:t>
      </w:r>
      <w:r w:rsidR="006117AD" w:rsidRPr="00AA7A10">
        <w:rPr>
          <w:rFonts w:cs="Arial"/>
          <w:i/>
          <w:szCs w:val="22"/>
        </w:rPr>
        <w:t>S</w:t>
      </w:r>
      <w:r w:rsidR="006117AD" w:rsidRPr="00AA7A10">
        <w:rPr>
          <w:rFonts w:eastAsia="Times New Roman" w:cs="Arial"/>
          <w:i/>
          <w:iCs/>
          <w:spacing w:val="4"/>
          <w:szCs w:val="22"/>
          <w:lang w:eastAsia="en-AU"/>
        </w:rPr>
        <w:t xml:space="preserve">tronger, more diverse and independent community sector. </w:t>
      </w:r>
      <w:r w:rsidR="006117AD" w:rsidRPr="00AA7A10">
        <w:rPr>
          <w:rFonts w:cs="Arial"/>
          <w:iCs/>
          <w:szCs w:val="22"/>
        </w:rPr>
        <w:t>The commitment will help ensure:</w:t>
      </w:r>
    </w:p>
    <w:p w14:paraId="102F279B" w14:textId="7862BA3D" w:rsidR="006117AD" w:rsidRPr="00AA7A10" w:rsidRDefault="006117AD"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grants reflect the real cost of delivering quality services, with options for longer</w:t>
      </w:r>
      <w:r w:rsidR="004B0946" w:rsidRPr="00AA7A10">
        <w:rPr>
          <w:rFonts w:eastAsia="Times New Roman"/>
          <w:iCs/>
          <w:color w:val="000000" w:themeColor="text1"/>
          <w:spacing w:val="2"/>
          <w:sz w:val="22"/>
          <w:szCs w:val="22"/>
        </w:rPr>
        <w:t>-</w:t>
      </w:r>
      <w:r w:rsidRPr="00AA7A10">
        <w:rPr>
          <w:rFonts w:eastAsia="Times New Roman"/>
          <w:iCs/>
          <w:color w:val="000000" w:themeColor="text1"/>
          <w:spacing w:val="2"/>
          <w:sz w:val="22"/>
          <w:szCs w:val="22"/>
        </w:rPr>
        <w:t>term contracts so CSOs can plan for the future, workers have certainty, and services can become part of the communit</w:t>
      </w:r>
      <w:r w:rsidR="00776540" w:rsidRPr="00AA7A10">
        <w:rPr>
          <w:rFonts w:eastAsia="Times New Roman"/>
          <w:iCs/>
          <w:color w:val="000000" w:themeColor="text1"/>
          <w:spacing w:val="2"/>
          <w:sz w:val="22"/>
          <w:szCs w:val="22"/>
        </w:rPr>
        <w:t>ies</w:t>
      </w:r>
      <w:r w:rsidRPr="00AA7A10">
        <w:rPr>
          <w:rFonts w:eastAsia="Times New Roman"/>
          <w:iCs/>
          <w:color w:val="000000" w:themeColor="text1"/>
          <w:spacing w:val="2"/>
          <w:sz w:val="22"/>
          <w:szCs w:val="22"/>
        </w:rPr>
        <w:t xml:space="preserve"> </w:t>
      </w:r>
      <w:r w:rsidR="000756CE">
        <w:rPr>
          <w:rFonts w:eastAsia="Times New Roman"/>
          <w:iCs/>
          <w:color w:val="000000" w:themeColor="text1"/>
          <w:spacing w:val="2"/>
          <w:sz w:val="22"/>
          <w:szCs w:val="22"/>
        </w:rPr>
        <w:t>CSOs</w:t>
      </w:r>
      <w:r w:rsidRPr="00AA7A10">
        <w:rPr>
          <w:rFonts w:eastAsia="Times New Roman"/>
          <w:iCs/>
          <w:color w:val="000000" w:themeColor="text1"/>
          <w:spacing w:val="2"/>
          <w:sz w:val="22"/>
          <w:szCs w:val="22"/>
        </w:rPr>
        <w:t xml:space="preserve"> serve</w:t>
      </w:r>
    </w:p>
    <w:p w14:paraId="7C0F1FF9" w14:textId="584E5D81" w:rsidR="006117AD" w:rsidRPr="00AA7A10" w:rsidRDefault="006117AD"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grant funding flows to a </w:t>
      </w:r>
      <w:r w:rsidR="008B37B6" w:rsidRPr="00AA7A10">
        <w:rPr>
          <w:rFonts w:eastAsia="Times New Roman"/>
          <w:iCs/>
          <w:color w:val="000000" w:themeColor="text1"/>
          <w:spacing w:val="2"/>
          <w:sz w:val="22"/>
          <w:szCs w:val="22"/>
        </w:rPr>
        <w:t>more diverse group</w:t>
      </w:r>
      <w:r w:rsidR="00F54AD9">
        <w:rPr>
          <w:rFonts w:eastAsia="Times New Roman"/>
          <w:iCs/>
          <w:color w:val="000000" w:themeColor="text1"/>
          <w:spacing w:val="2"/>
          <w:sz w:val="22"/>
          <w:szCs w:val="22"/>
        </w:rPr>
        <w:t>s</w:t>
      </w:r>
      <w:r w:rsidRPr="00AA7A10">
        <w:rPr>
          <w:rFonts w:eastAsia="Times New Roman"/>
          <w:iCs/>
          <w:color w:val="000000" w:themeColor="text1"/>
          <w:spacing w:val="2"/>
          <w:sz w:val="22"/>
          <w:szCs w:val="22"/>
        </w:rPr>
        <w:t xml:space="preserve"> of CSOs, with a renewed priority of partnering with trusted community organisations with strong local links</w:t>
      </w:r>
    </w:p>
    <w:p w14:paraId="6B4A9C46" w14:textId="77777777" w:rsidR="006117AD" w:rsidRPr="00AA7A10" w:rsidRDefault="006117AD" w:rsidP="00745161">
      <w:pPr>
        <w:pStyle w:val="Default"/>
        <w:numPr>
          <w:ilvl w:val="0"/>
          <w:numId w:val="2"/>
        </w:numPr>
        <w:spacing w:after="120" w:line="276" w:lineRule="auto"/>
        <w:ind w:left="714" w:hanging="357"/>
        <w:rPr>
          <w:rFonts w:eastAsia="Times New Roman"/>
          <w:iCs/>
          <w:color w:val="000000" w:themeColor="text1"/>
          <w:spacing w:val="2"/>
          <w:sz w:val="22"/>
          <w:szCs w:val="22"/>
        </w:rPr>
      </w:pPr>
      <w:r w:rsidRPr="00AA7A10">
        <w:rPr>
          <w:rFonts w:eastAsia="Times New Roman"/>
          <w:iCs/>
          <w:color w:val="000000" w:themeColor="text1"/>
          <w:spacing w:val="2"/>
          <w:sz w:val="22"/>
          <w:szCs w:val="22"/>
        </w:rPr>
        <w:t>CSOs that support our communities are treated as respected partners of government, with meaningful consultation processes in place to ensure the sector has the voice and respect it deserves.</w:t>
      </w:r>
    </w:p>
    <w:p w14:paraId="242492CF" w14:textId="6791B867" w:rsidR="006117AD" w:rsidRPr="00AA7A10" w:rsidRDefault="006117AD" w:rsidP="003447F4">
      <w:pPr>
        <w:spacing w:line="276" w:lineRule="auto"/>
        <w:rPr>
          <w:rFonts w:cs="Arial"/>
          <w:spacing w:val="4"/>
          <w:szCs w:val="22"/>
          <w:lang w:eastAsia="en-AU"/>
        </w:rPr>
        <w:sectPr w:rsidR="006117AD" w:rsidRPr="00AA7A10" w:rsidSect="00E020E0">
          <w:headerReference w:type="even" r:id="rId15"/>
          <w:headerReference w:type="default" r:id="rId16"/>
          <w:footerReference w:type="even" r:id="rId17"/>
          <w:footerReference w:type="default" r:id="rId18"/>
          <w:headerReference w:type="first" r:id="rId19"/>
          <w:footerReference w:type="first" r:id="rId20"/>
          <w:pgSz w:w="11906" w:h="16838"/>
          <w:pgMar w:top="782" w:right="968" w:bottom="807" w:left="1156" w:header="708" w:footer="708" w:gutter="0"/>
          <w:cols w:space="708"/>
          <w:docGrid w:linePitch="360"/>
        </w:sectPr>
      </w:pPr>
      <w:r w:rsidRPr="00AA7A10">
        <w:rPr>
          <w:rFonts w:cs="Arial"/>
          <w:iCs/>
          <w:szCs w:val="22"/>
        </w:rPr>
        <w:t xml:space="preserve">This work is being undertaken in </w:t>
      </w:r>
      <w:r w:rsidR="00E83608" w:rsidRPr="00AA7A10">
        <w:rPr>
          <w:rFonts w:cs="Arial"/>
          <w:iCs/>
          <w:szCs w:val="22"/>
        </w:rPr>
        <w:t xml:space="preserve">consultation </w:t>
      </w:r>
      <w:r w:rsidRPr="00AA7A10">
        <w:rPr>
          <w:rFonts w:cs="Arial"/>
          <w:iCs/>
          <w:szCs w:val="22"/>
        </w:rPr>
        <w:t xml:space="preserve">with the </w:t>
      </w:r>
      <w:hyperlink r:id="rId21" w:history="1">
        <w:r w:rsidRPr="00AA7A10">
          <w:rPr>
            <w:rStyle w:val="Hyperlink"/>
            <w:rFonts w:cs="Arial"/>
            <w:iCs/>
            <w:szCs w:val="22"/>
          </w:rPr>
          <w:t>Community Services Advisory Group</w:t>
        </w:r>
      </w:hyperlink>
      <w:r w:rsidRPr="00AA7A10">
        <w:rPr>
          <w:rFonts w:cs="Arial"/>
          <w:iCs/>
          <w:szCs w:val="22"/>
        </w:rPr>
        <w:t xml:space="preserve"> (CSAG). CSAG is the key community sector stakeholder engagement group for the Department of Social Services (the department) and is made up of 27 member organisations that are funded across </w:t>
      </w:r>
      <w:r w:rsidR="004B0946" w:rsidRPr="00AA7A10">
        <w:rPr>
          <w:rFonts w:cs="Arial"/>
          <w:iCs/>
          <w:szCs w:val="22"/>
        </w:rPr>
        <w:t xml:space="preserve">a </w:t>
      </w:r>
      <w:r w:rsidRPr="00AA7A10">
        <w:rPr>
          <w:rFonts w:cs="Arial"/>
          <w:iCs/>
          <w:szCs w:val="22"/>
        </w:rPr>
        <w:t>range of department programs.</w:t>
      </w:r>
      <w:r w:rsidR="00232016" w:rsidRPr="00AA7A10">
        <w:rPr>
          <w:rFonts w:cs="Arial"/>
          <w:iCs/>
          <w:szCs w:val="22"/>
        </w:rPr>
        <w:t xml:space="preserve"> </w:t>
      </w:r>
      <w:r w:rsidR="00264E5B" w:rsidRPr="00AA7A10">
        <w:rPr>
          <w:rFonts w:cs="Arial"/>
          <w:szCs w:val="22"/>
        </w:rPr>
        <w:t>While CSAG w</w:t>
      </w:r>
      <w:r w:rsidR="00462C28" w:rsidRPr="00AA7A10">
        <w:rPr>
          <w:rFonts w:cs="Arial"/>
          <w:szCs w:val="22"/>
        </w:rPr>
        <w:t>as</w:t>
      </w:r>
      <w:r w:rsidR="00264E5B" w:rsidRPr="00AA7A10">
        <w:rPr>
          <w:rFonts w:cs="Arial"/>
          <w:szCs w:val="22"/>
        </w:rPr>
        <w:t xml:space="preserve"> involved in the development of the issues paper, it remains a departmental paper and does not necessarily represent the views of CSAG members. </w:t>
      </w:r>
      <w:r w:rsidR="00232016" w:rsidRPr="00AA7A10">
        <w:rPr>
          <w:rFonts w:cs="Arial"/>
          <w:iCs/>
          <w:szCs w:val="22"/>
        </w:rPr>
        <w:t xml:space="preserve">The </w:t>
      </w:r>
      <w:r w:rsidR="00264E5B" w:rsidRPr="00AA7A10">
        <w:rPr>
          <w:rFonts w:cs="Arial"/>
          <w:iCs/>
          <w:szCs w:val="22"/>
        </w:rPr>
        <w:t>d</w:t>
      </w:r>
      <w:r w:rsidR="00232016" w:rsidRPr="00AA7A10">
        <w:rPr>
          <w:rFonts w:cs="Arial"/>
          <w:iCs/>
          <w:szCs w:val="22"/>
        </w:rPr>
        <w:t>epartment is leading this work on behalf of the government due to its significant investment in community services.</w:t>
      </w:r>
      <w:r w:rsidR="00264E5B" w:rsidRPr="00AA7A10">
        <w:rPr>
          <w:rFonts w:cs="Arial"/>
          <w:iCs/>
          <w:szCs w:val="22"/>
        </w:rPr>
        <w:t xml:space="preserve"> </w:t>
      </w:r>
    </w:p>
    <w:p w14:paraId="2A20E0DF" w14:textId="7685B63E" w:rsidR="006117AD" w:rsidRPr="001C48DF" w:rsidRDefault="006117AD" w:rsidP="00090271">
      <w:pPr>
        <w:pStyle w:val="Heading1"/>
      </w:pPr>
      <w:bookmarkStart w:id="4" w:name="_Toc144983230"/>
      <w:r w:rsidRPr="001C48DF">
        <w:lastRenderedPageBreak/>
        <w:t xml:space="preserve">The purpose of this </w:t>
      </w:r>
      <w:r w:rsidR="00690EF0">
        <w:t>issues paper</w:t>
      </w:r>
      <w:bookmarkEnd w:id="4"/>
    </w:p>
    <w:p w14:paraId="4A5FA467" w14:textId="70FE1097" w:rsidR="006117AD" w:rsidRPr="00AA7A10" w:rsidRDefault="006117AD" w:rsidP="006117AD">
      <w:pPr>
        <w:spacing w:line="276" w:lineRule="auto"/>
        <w:rPr>
          <w:rFonts w:cs="Arial"/>
          <w:iCs/>
          <w:szCs w:val="22"/>
        </w:rPr>
      </w:pPr>
      <w:r w:rsidRPr="00AA7A10">
        <w:rPr>
          <w:rFonts w:cs="Arial"/>
          <w:iCs/>
          <w:szCs w:val="22"/>
        </w:rPr>
        <w:t xml:space="preserve">The </w:t>
      </w:r>
      <w:r w:rsidR="006B536A" w:rsidRPr="00AA7A10">
        <w:rPr>
          <w:rFonts w:cs="Arial"/>
          <w:iCs/>
          <w:szCs w:val="22"/>
        </w:rPr>
        <w:t xml:space="preserve">issues </w:t>
      </w:r>
      <w:r w:rsidR="001A6E6C" w:rsidRPr="00AA7A10">
        <w:rPr>
          <w:rFonts w:cs="Arial"/>
          <w:iCs/>
          <w:szCs w:val="22"/>
        </w:rPr>
        <w:t>p</w:t>
      </w:r>
      <w:r w:rsidRPr="00AA7A10">
        <w:rPr>
          <w:rFonts w:cs="Arial"/>
          <w:iCs/>
          <w:szCs w:val="22"/>
        </w:rPr>
        <w:t>aper provides</w:t>
      </w:r>
      <w:r w:rsidR="00F54AD9">
        <w:rPr>
          <w:rFonts w:cs="Arial"/>
          <w:iCs/>
          <w:szCs w:val="22"/>
        </w:rPr>
        <w:t xml:space="preserve"> </w:t>
      </w:r>
      <w:r w:rsidR="00C768DE">
        <w:rPr>
          <w:rFonts w:cs="Arial"/>
          <w:iCs/>
          <w:szCs w:val="22"/>
        </w:rPr>
        <w:t xml:space="preserve">guidance for </w:t>
      </w:r>
      <w:r w:rsidR="00F54AD9">
        <w:rPr>
          <w:rFonts w:cs="Arial"/>
          <w:iCs/>
          <w:szCs w:val="22"/>
        </w:rPr>
        <w:t xml:space="preserve">the community sector and the wider Australian community to provide feedback on the </w:t>
      </w:r>
      <w:r w:rsidR="00C8140C" w:rsidRPr="00AA7A10">
        <w:rPr>
          <w:rFonts w:cs="Arial"/>
          <w:iCs/>
          <w:szCs w:val="22"/>
        </w:rPr>
        <w:t>g</w:t>
      </w:r>
      <w:r w:rsidRPr="00AA7A10">
        <w:rPr>
          <w:rFonts w:cs="Arial"/>
          <w:iCs/>
          <w:szCs w:val="22"/>
        </w:rPr>
        <w:t xml:space="preserve">overnment’s election commitment </w:t>
      </w:r>
      <w:r w:rsidRPr="00F54AD9">
        <w:rPr>
          <w:rFonts w:cs="Arial"/>
          <w:iCs/>
          <w:szCs w:val="22"/>
        </w:rPr>
        <w:t>for</w:t>
      </w:r>
      <w:r w:rsidRPr="00AA7A10">
        <w:rPr>
          <w:rFonts w:cs="Arial"/>
          <w:i/>
          <w:iCs/>
          <w:szCs w:val="22"/>
        </w:rPr>
        <w:t xml:space="preserve"> a </w:t>
      </w:r>
      <w:r w:rsidRPr="00AA7A10">
        <w:rPr>
          <w:rFonts w:eastAsia="Times New Roman" w:cs="Arial"/>
          <w:i/>
          <w:iCs/>
          <w:spacing w:val="4"/>
          <w:szCs w:val="22"/>
          <w:lang w:eastAsia="en-AU"/>
        </w:rPr>
        <w:t>Stronger, more diverse and independent community sector.</w:t>
      </w:r>
    </w:p>
    <w:p w14:paraId="0E110A70" w14:textId="54997A2E" w:rsidR="00E30780" w:rsidRPr="00AA7A10" w:rsidRDefault="006117AD" w:rsidP="006117AD">
      <w:pPr>
        <w:spacing w:line="276" w:lineRule="auto"/>
        <w:rPr>
          <w:rFonts w:cs="Arial"/>
          <w:iCs/>
          <w:szCs w:val="22"/>
        </w:rPr>
      </w:pPr>
      <w:r w:rsidRPr="00AA7A10">
        <w:rPr>
          <w:rFonts w:cs="Arial"/>
          <w:iCs/>
          <w:szCs w:val="22"/>
        </w:rPr>
        <w:t xml:space="preserve">While everyone has a role to play in strengthening the </w:t>
      </w:r>
      <w:r w:rsidR="001820EE" w:rsidRPr="00AA7A10">
        <w:rPr>
          <w:rFonts w:cs="Arial"/>
          <w:iCs/>
          <w:szCs w:val="22"/>
        </w:rPr>
        <w:t>c</w:t>
      </w:r>
      <w:r w:rsidRPr="00AA7A10">
        <w:rPr>
          <w:rFonts w:cs="Arial"/>
          <w:iCs/>
          <w:szCs w:val="22"/>
        </w:rPr>
        <w:t xml:space="preserve">ommunity </w:t>
      </w:r>
      <w:r w:rsidR="001820EE" w:rsidRPr="00AA7A10">
        <w:rPr>
          <w:rFonts w:cs="Arial"/>
          <w:iCs/>
          <w:szCs w:val="22"/>
        </w:rPr>
        <w:t>s</w:t>
      </w:r>
      <w:r w:rsidRPr="00AA7A10">
        <w:rPr>
          <w:rFonts w:cs="Arial"/>
          <w:iCs/>
          <w:szCs w:val="22"/>
        </w:rPr>
        <w:t xml:space="preserve">ector, the focus of this paper is on the role of the </w:t>
      </w:r>
      <w:r w:rsidR="00E30780" w:rsidRPr="00AA7A10">
        <w:rPr>
          <w:rFonts w:cs="Arial"/>
          <w:iCs/>
          <w:szCs w:val="22"/>
        </w:rPr>
        <w:t xml:space="preserve">Australian </w:t>
      </w:r>
      <w:r w:rsidRPr="00AA7A10">
        <w:rPr>
          <w:rFonts w:cs="Arial"/>
          <w:iCs/>
          <w:szCs w:val="22"/>
        </w:rPr>
        <w:t>Government in supporting the community sector. We want to hear from</w:t>
      </w:r>
      <w:r w:rsidR="00E30780" w:rsidRPr="00AA7A10">
        <w:rPr>
          <w:rFonts w:cs="Arial"/>
          <w:iCs/>
          <w:szCs w:val="22"/>
        </w:rPr>
        <w:t>:</w:t>
      </w:r>
    </w:p>
    <w:p w14:paraId="44F4199B" w14:textId="5F47D461" w:rsidR="00E30780" w:rsidRPr="00AA7A10" w:rsidRDefault="00C768DE" w:rsidP="00181F7A">
      <w:pPr>
        <w:pStyle w:val="ListParagraph"/>
        <w:numPr>
          <w:ilvl w:val="0"/>
          <w:numId w:val="17"/>
        </w:numPr>
        <w:spacing w:line="276" w:lineRule="auto"/>
        <w:rPr>
          <w:rFonts w:cs="Arial"/>
          <w:iCs/>
          <w:szCs w:val="22"/>
        </w:rPr>
      </w:pPr>
      <w:r>
        <w:rPr>
          <w:rFonts w:cs="Arial"/>
          <w:iCs/>
          <w:szCs w:val="22"/>
        </w:rPr>
        <w:t>CSOs</w:t>
      </w:r>
    </w:p>
    <w:p w14:paraId="77D02601" w14:textId="0765831E" w:rsidR="00E30780" w:rsidRPr="00AA7A10" w:rsidRDefault="00E30780" w:rsidP="00181F7A">
      <w:pPr>
        <w:pStyle w:val="ListParagraph"/>
        <w:numPr>
          <w:ilvl w:val="0"/>
          <w:numId w:val="17"/>
        </w:numPr>
        <w:spacing w:line="276" w:lineRule="auto"/>
        <w:rPr>
          <w:rFonts w:cs="Arial"/>
          <w:iCs/>
          <w:szCs w:val="22"/>
        </w:rPr>
      </w:pPr>
      <w:r w:rsidRPr="00AA7A10">
        <w:rPr>
          <w:rFonts w:cs="Arial"/>
          <w:iCs/>
          <w:szCs w:val="22"/>
        </w:rPr>
        <w:t>a</w:t>
      </w:r>
      <w:r w:rsidR="006117AD" w:rsidRPr="00F21392">
        <w:rPr>
          <w:rFonts w:cs="Arial"/>
          <w:iCs/>
          <w:szCs w:val="22"/>
        </w:rPr>
        <w:t>dvocacy organisations</w:t>
      </w:r>
    </w:p>
    <w:p w14:paraId="63B7D552" w14:textId="52184815" w:rsidR="00E30780" w:rsidRPr="00AA7A10" w:rsidRDefault="006117AD" w:rsidP="00181F7A">
      <w:pPr>
        <w:pStyle w:val="ListParagraph"/>
        <w:numPr>
          <w:ilvl w:val="0"/>
          <w:numId w:val="17"/>
        </w:numPr>
        <w:spacing w:line="276" w:lineRule="auto"/>
        <w:rPr>
          <w:rFonts w:cs="Arial"/>
          <w:iCs/>
          <w:szCs w:val="22"/>
        </w:rPr>
      </w:pPr>
      <w:r w:rsidRPr="00F21392">
        <w:rPr>
          <w:rFonts w:cs="Arial"/>
          <w:iCs/>
          <w:szCs w:val="22"/>
        </w:rPr>
        <w:t>experts (including academia)</w:t>
      </w:r>
    </w:p>
    <w:p w14:paraId="42D1C112" w14:textId="4667F103" w:rsidR="00E30780" w:rsidRPr="00AA7A10" w:rsidRDefault="006117AD" w:rsidP="00181F7A">
      <w:pPr>
        <w:pStyle w:val="ListParagraph"/>
        <w:numPr>
          <w:ilvl w:val="0"/>
          <w:numId w:val="17"/>
        </w:numPr>
        <w:spacing w:line="276" w:lineRule="auto"/>
        <w:rPr>
          <w:rFonts w:cs="Arial"/>
          <w:iCs/>
          <w:szCs w:val="22"/>
        </w:rPr>
      </w:pPr>
      <w:r w:rsidRPr="00F21392">
        <w:rPr>
          <w:rFonts w:cs="Arial"/>
          <w:iCs/>
          <w:szCs w:val="22"/>
        </w:rPr>
        <w:t>providers</w:t>
      </w:r>
    </w:p>
    <w:p w14:paraId="2338313B" w14:textId="77777777" w:rsidR="00264EBB" w:rsidRDefault="00B86F08" w:rsidP="00264EBB">
      <w:pPr>
        <w:pStyle w:val="ListParagraph"/>
        <w:numPr>
          <w:ilvl w:val="0"/>
          <w:numId w:val="17"/>
        </w:numPr>
        <w:spacing w:line="276" w:lineRule="auto"/>
        <w:rPr>
          <w:rFonts w:cs="Arial"/>
          <w:iCs/>
          <w:szCs w:val="22"/>
        </w:rPr>
      </w:pPr>
      <w:r w:rsidRPr="00F21392">
        <w:rPr>
          <w:rFonts w:cs="Arial"/>
          <w:iCs/>
          <w:szCs w:val="22"/>
        </w:rPr>
        <w:t>people accessing and using community services</w:t>
      </w:r>
      <w:r w:rsidR="00264EBB" w:rsidRPr="00264EBB">
        <w:rPr>
          <w:rFonts w:cs="Arial"/>
          <w:iCs/>
        </w:rPr>
        <w:t xml:space="preserve"> </w:t>
      </w:r>
    </w:p>
    <w:p w14:paraId="0DAA3607" w14:textId="4A363E17" w:rsidR="00264EBB" w:rsidRDefault="00264EBB" w:rsidP="00264EBB">
      <w:pPr>
        <w:pStyle w:val="ListParagraph"/>
        <w:numPr>
          <w:ilvl w:val="0"/>
          <w:numId w:val="17"/>
        </w:numPr>
        <w:spacing w:line="276" w:lineRule="auto"/>
        <w:rPr>
          <w:rFonts w:cs="Arial"/>
          <w:iCs/>
          <w:szCs w:val="22"/>
        </w:rPr>
      </w:pPr>
      <w:r>
        <w:rPr>
          <w:rFonts w:cs="Arial"/>
          <w:iCs/>
          <w:szCs w:val="22"/>
        </w:rPr>
        <w:t>people unable to access and use community services</w:t>
      </w:r>
    </w:p>
    <w:p w14:paraId="5232D1A4" w14:textId="0149D474" w:rsidR="006117AD" w:rsidRPr="00264EBB" w:rsidRDefault="00264EBB" w:rsidP="00264EBB">
      <w:pPr>
        <w:pStyle w:val="ListParagraph"/>
        <w:numPr>
          <w:ilvl w:val="0"/>
          <w:numId w:val="17"/>
        </w:numPr>
        <w:spacing w:line="276" w:lineRule="auto"/>
        <w:rPr>
          <w:rFonts w:cs="Arial"/>
          <w:iCs/>
          <w:szCs w:val="22"/>
        </w:rPr>
      </w:pPr>
      <w:r>
        <w:rPr>
          <w:rFonts w:cs="Arial"/>
          <w:iCs/>
          <w:szCs w:val="22"/>
        </w:rPr>
        <w:t>employee representative bodies</w:t>
      </w:r>
      <w:r w:rsidR="006117AD" w:rsidRPr="00264EBB">
        <w:rPr>
          <w:rFonts w:cs="Arial"/>
          <w:iCs/>
          <w:szCs w:val="22"/>
        </w:rPr>
        <w:t>.</w:t>
      </w:r>
    </w:p>
    <w:p w14:paraId="02A172B3" w14:textId="3745CBC9" w:rsidR="006117AD" w:rsidRPr="00AA7A10" w:rsidRDefault="006117AD" w:rsidP="006117AD">
      <w:pPr>
        <w:spacing w:line="276" w:lineRule="auto"/>
        <w:rPr>
          <w:rFonts w:cs="Arial"/>
          <w:iCs/>
          <w:szCs w:val="22"/>
        </w:rPr>
      </w:pPr>
      <w:r w:rsidRPr="00AA7A10">
        <w:rPr>
          <w:rFonts w:cs="Arial"/>
          <w:iCs/>
          <w:szCs w:val="22"/>
        </w:rPr>
        <w:t>This feedback will inform the development of a</w:t>
      </w:r>
      <w:r w:rsidR="00C8140C" w:rsidRPr="00AA7A10">
        <w:rPr>
          <w:rFonts w:cs="Arial"/>
          <w:iCs/>
          <w:szCs w:val="22"/>
        </w:rPr>
        <w:t xml:space="preserve"> package of recommendations to g</w:t>
      </w:r>
      <w:r w:rsidRPr="00AA7A10">
        <w:rPr>
          <w:rFonts w:cs="Arial"/>
          <w:iCs/>
          <w:szCs w:val="22"/>
        </w:rPr>
        <w:t>overnment, for consideration, on innovative approaches to grant funding that will support both short and longer</w:t>
      </w:r>
      <w:r w:rsidR="00C63F8E" w:rsidRPr="00AA7A10">
        <w:rPr>
          <w:rFonts w:cs="Arial"/>
          <w:iCs/>
          <w:szCs w:val="22"/>
        </w:rPr>
        <w:noBreakHyphen/>
      </w:r>
      <w:r w:rsidRPr="00AA7A10">
        <w:rPr>
          <w:rFonts w:cs="Arial"/>
          <w:iCs/>
          <w:szCs w:val="22"/>
        </w:rPr>
        <w:t xml:space="preserve">term reform to the operation of </w:t>
      </w:r>
      <w:r w:rsidR="00E30780" w:rsidRPr="00AA7A10">
        <w:rPr>
          <w:rFonts w:cs="Arial"/>
          <w:iCs/>
          <w:szCs w:val="22"/>
        </w:rPr>
        <w:t xml:space="preserve">community sector </w:t>
      </w:r>
      <w:r w:rsidRPr="00AA7A10">
        <w:rPr>
          <w:rFonts w:cs="Arial"/>
          <w:iCs/>
          <w:szCs w:val="22"/>
        </w:rPr>
        <w:t xml:space="preserve">grants. </w:t>
      </w:r>
      <w:r w:rsidRPr="00AA7A10" w:rsidDel="00551BCA">
        <w:rPr>
          <w:rFonts w:cs="Arial"/>
          <w:iCs/>
          <w:szCs w:val="22"/>
        </w:rPr>
        <w:t xml:space="preserve"> </w:t>
      </w:r>
    </w:p>
    <w:p w14:paraId="06B9E2A5" w14:textId="470E9FBD" w:rsidR="006117AD" w:rsidRPr="00AA7A10" w:rsidRDefault="006117AD" w:rsidP="006117AD">
      <w:pPr>
        <w:pStyle w:val="BodyText"/>
        <w:spacing w:line="276" w:lineRule="auto"/>
        <w:rPr>
          <w:rFonts w:ascii="Arial" w:eastAsia="Times New Roman" w:hAnsi="Arial" w:cs="Arial"/>
          <w:spacing w:val="4"/>
          <w:lang w:eastAsia="en-AU"/>
        </w:rPr>
      </w:pPr>
      <w:r w:rsidRPr="00AA7A10">
        <w:rPr>
          <w:rFonts w:ascii="Arial" w:hAnsi="Arial" w:cs="Arial"/>
        </w:rPr>
        <w:t xml:space="preserve">This </w:t>
      </w:r>
      <w:r w:rsidR="00AD2140" w:rsidRPr="00AA7A10">
        <w:rPr>
          <w:rFonts w:ascii="Arial" w:hAnsi="Arial" w:cs="Arial"/>
        </w:rPr>
        <w:t xml:space="preserve">issues </w:t>
      </w:r>
      <w:r w:rsidR="001A6E6C" w:rsidRPr="00AA7A10">
        <w:rPr>
          <w:rFonts w:ascii="Arial" w:hAnsi="Arial" w:cs="Arial"/>
        </w:rPr>
        <w:t>p</w:t>
      </w:r>
      <w:r w:rsidRPr="00AA7A10">
        <w:rPr>
          <w:rFonts w:ascii="Arial" w:hAnsi="Arial" w:cs="Arial"/>
        </w:rPr>
        <w:t>aper is organised around 5 focus areas drawn fr</w:t>
      </w:r>
      <w:r w:rsidR="00C8140C" w:rsidRPr="00AA7A10">
        <w:rPr>
          <w:rFonts w:ascii="Arial" w:hAnsi="Arial" w:cs="Arial"/>
        </w:rPr>
        <w:t>om the g</w:t>
      </w:r>
      <w:r w:rsidR="004E2818" w:rsidRPr="00AA7A10">
        <w:rPr>
          <w:rFonts w:ascii="Arial" w:hAnsi="Arial" w:cs="Arial"/>
        </w:rPr>
        <w:t>overnment’s commitment</w:t>
      </w:r>
      <w:r w:rsidR="00E30780" w:rsidRPr="00AA7A10">
        <w:rPr>
          <w:rFonts w:ascii="Arial" w:hAnsi="Arial" w:cs="Arial"/>
        </w:rPr>
        <w:t>.</w:t>
      </w:r>
    </w:p>
    <w:p w14:paraId="5223A548" w14:textId="57FCF5F9" w:rsidR="00264E5B" w:rsidRPr="00AA7A10" w:rsidRDefault="00264E5B" w:rsidP="00264E5B">
      <w:pPr>
        <w:pStyle w:val="ListParagraph"/>
        <w:numPr>
          <w:ilvl w:val="0"/>
          <w:numId w:val="1"/>
        </w:numPr>
        <w:spacing w:line="276" w:lineRule="auto"/>
        <w:rPr>
          <w:rFonts w:cs="Arial"/>
          <w:szCs w:val="22"/>
        </w:rPr>
      </w:pPr>
      <w:r w:rsidRPr="00AA7A10">
        <w:rPr>
          <w:rFonts w:cs="Arial"/>
          <w:szCs w:val="22"/>
        </w:rPr>
        <w:t>Giving the sector the voice and respect it deserves through a meaningful working partnership</w:t>
      </w:r>
      <w:r w:rsidR="00E30780" w:rsidRPr="00AA7A10">
        <w:rPr>
          <w:rFonts w:cs="Arial"/>
          <w:szCs w:val="22"/>
        </w:rPr>
        <w:t>.</w:t>
      </w:r>
    </w:p>
    <w:p w14:paraId="24388E77" w14:textId="63CBCAA5" w:rsidR="006117AD" w:rsidRPr="00AA7A10" w:rsidRDefault="006117AD" w:rsidP="006117AD">
      <w:pPr>
        <w:pStyle w:val="ListParagraph"/>
        <w:numPr>
          <w:ilvl w:val="0"/>
          <w:numId w:val="1"/>
        </w:numPr>
        <w:spacing w:line="276" w:lineRule="auto"/>
        <w:rPr>
          <w:rFonts w:cs="Arial"/>
          <w:szCs w:val="22"/>
        </w:rPr>
      </w:pPr>
      <w:r w:rsidRPr="00AA7A10">
        <w:rPr>
          <w:rFonts w:cs="Arial"/>
          <w:szCs w:val="22"/>
        </w:rPr>
        <w:t>Providing grants that reflect the real cost of delivering quality services</w:t>
      </w:r>
      <w:r w:rsidR="00E30780" w:rsidRPr="00AA7A10">
        <w:rPr>
          <w:rFonts w:cs="Arial"/>
          <w:szCs w:val="22"/>
        </w:rPr>
        <w:t>.</w:t>
      </w:r>
    </w:p>
    <w:p w14:paraId="28BE3062" w14:textId="6997F201" w:rsidR="006117AD" w:rsidRPr="00AA7A10" w:rsidRDefault="006117AD" w:rsidP="006117AD">
      <w:pPr>
        <w:pStyle w:val="ListParagraph"/>
        <w:numPr>
          <w:ilvl w:val="0"/>
          <w:numId w:val="1"/>
        </w:numPr>
        <w:spacing w:line="276" w:lineRule="auto"/>
        <w:rPr>
          <w:rFonts w:cs="Arial"/>
          <w:szCs w:val="22"/>
        </w:rPr>
      </w:pPr>
      <w:r w:rsidRPr="00AA7A10">
        <w:rPr>
          <w:rFonts w:cs="Arial"/>
          <w:szCs w:val="22"/>
        </w:rPr>
        <w:t>Providing longer grant agreement terms</w:t>
      </w:r>
      <w:r w:rsidR="00E30780" w:rsidRPr="00AA7A10">
        <w:rPr>
          <w:rFonts w:cs="Arial"/>
          <w:szCs w:val="22"/>
        </w:rPr>
        <w:t>.</w:t>
      </w:r>
    </w:p>
    <w:p w14:paraId="3CF276EE" w14:textId="4A3F9A71" w:rsidR="006117AD" w:rsidRPr="00AA7A10" w:rsidRDefault="006117AD" w:rsidP="006117AD">
      <w:pPr>
        <w:pStyle w:val="ListParagraph"/>
        <w:numPr>
          <w:ilvl w:val="0"/>
          <w:numId w:val="1"/>
        </w:numPr>
        <w:spacing w:line="276" w:lineRule="auto"/>
        <w:rPr>
          <w:rFonts w:cs="Arial"/>
          <w:szCs w:val="22"/>
        </w:rPr>
      </w:pPr>
      <w:r w:rsidRPr="00AA7A10">
        <w:rPr>
          <w:rFonts w:cs="Arial"/>
          <w:szCs w:val="22"/>
        </w:rPr>
        <w:t>Ensuring grant funding flows to a greater diversity of CSOs</w:t>
      </w:r>
      <w:r w:rsidR="00E30780" w:rsidRPr="00AA7A10">
        <w:rPr>
          <w:rFonts w:cs="Arial"/>
          <w:szCs w:val="22"/>
        </w:rPr>
        <w:t>.</w:t>
      </w:r>
    </w:p>
    <w:p w14:paraId="3CC97033" w14:textId="77777777" w:rsidR="006117AD" w:rsidRPr="00AA7A10" w:rsidRDefault="006117AD" w:rsidP="00745161">
      <w:pPr>
        <w:pStyle w:val="ListParagraph"/>
        <w:numPr>
          <w:ilvl w:val="0"/>
          <w:numId w:val="1"/>
        </w:numPr>
        <w:spacing w:line="276" w:lineRule="auto"/>
        <w:ind w:left="714" w:hanging="357"/>
        <w:rPr>
          <w:rFonts w:cs="Arial"/>
          <w:szCs w:val="22"/>
        </w:rPr>
      </w:pPr>
      <w:r w:rsidRPr="00AA7A10">
        <w:rPr>
          <w:rFonts w:cs="Arial"/>
          <w:szCs w:val="22"/>
        </w:rPr>
        <w:t>Partnering with trusted community organisations with strong local links.</w:t>
      </w:r>
    </w:p>
    <w:p w14:paraId="16E22DB2" w14:textId="45A7F19E" w:rsidR="006117AD" w:rsidRPr="00AA7A10" w:rsidRDefault="006117AD" w:rsidP="006117AD">
      <w:pPr>
        <w:spacing w:line="276" w:lineRule="auto"/>
        <w:rPr>
          <w:rFonts w:cs="Arial"/>
          <w:szCs w:val="22"/>
        </w:rPr>
      </w:pPr>
      <w:r w:rsidRPr="00AA7A10">
        <w:rPr>
          <w:rFonts w:cs="Arial"/>
          <w:szCs w:val="22"/>
        </w:rPr>
        <w:t xml:space="preserve">It includes questions for consideration by the community sector and other stakeholders. Responses to the </w:t>
      </w:r>
      <w:r w:rsidR="00AD2140" w:rsidRPr="00AA7A10">
        <w:rPr>
          <w:rFonts w:cs="Arial"/>
          <w:szCs w:val="22"/>
        </w:rPr>
        <w:t xml:space="preserve">issues </w:t>
      </w:r>
      <w:r w:rsidRPr="00AA7A10">
        <w:rPr>
          <w:rFonts w:cs="Arial"/>
          <w:szCs w:val="22"/>
        </w:rPr>
        <w:t xml:space="preserve">paper will </w:t>
      </w:r>
      <w:r w:rsidR="00C8140C" w:rsidRPr="00AA7A10">
        <w:rPr>
          <w:rFonts w:cs="Arial"/>
          <w:szCs w:val="22"/>
        </w:rPr>
        <w:t>help the department inform the g</w:t>
      </w:r>
      <w:r w:rsidRPr="00AA7A10">
        <w:rPr>
          <w:rFonts w:cs="Arial"/>
          <w:szCs w:val="22"/>
        </w:rPr>
        <w:t>overnment of what changes could be made, particularly to grant</w:t>
      </w:r>
      <w:r w:rsidR="00C768DE">
        <w:rPr>
          <w:rFonts w:cs="Arial"/>
          <w:szCs w:val="22"/>
        </w:rPr>
        <w:t>s</w:t>
      </w:r>
      <w:r w:rsidRPr="00AA7A10">
        <w:rPr>
          <w:rFonts w:cs="Arial"/>
          <w:szCs w:val="22"/>
        </w:rPr>
        <w:t xml:space="preserve"> </w:t>
      </w:r>
      <w:r w:rsidR="000206A7" w:rsidRPr="00AA7A10">
        <w:rPr>
          <w:rFonts w:cs="Arial"/>
          <w:szCs w:val="22"/>
        </w:rPr>
        <w:t xml:space="preserve">policy, </w:t>
      </w:r>
      <w:r w:rsidRPr="00AA7A10">
        <w:rPr>
          <w:rFonts w:cs="Arial"/>
          <w:szCs w:val="22"/>
        </w:rPr>
        <w:t xml:space="preserve">practices and processes and how they might be implemented. </w:t>
      </w:r>
      <w:r w:rsidR="000206A7" w:rsidRPr="00AA7A10">
        <w:rPr>
          <w:rFonts w:cs="Arial"/>
          <w:szCs w:val="22"/>
        </w:rPr>
        <w:t xml:space="preserve">The contents of this </w:t>
      </w:r>
      <w:r w:rsidR="00AD2140" w:rsidRPr="00AA7A10">
        <w:rPr>
          <w:rFonts w:cs="Arial"/>
          <w:szCs w:val="22"/>
        </w:rPr>
        <w:t xml:space="preserve">issues </w:t>
      </w:r>
      <w:r w:rsidR="000206A7" w:rsidRPr="00AA7A10">
        <w:rPr>
          <w:rFonts w:cs="Arial"/>
          <w:szCs w:val="22"/>
        </w:rPr>
        <w:t xml:space="preserve">paper has been developed by the department to </w:t>
      </w:r>
      <w:r w:rsidR="00F40E11" w:rsidRPr="00AA7A10">
        <w:rPr>
          <w:rFonts w:cs="Arial"/>
          <w:szCs w:val="22"/>
        </w:rPr>
        <w:t>generate</w:t>
      </w:r>
      <w:r w:rsidR="000206A7" w:rsidRPr="00AA7A10">
        <w:rPr>
          <w:rFonts w:cs="Arial"/>
          <w:szCs w:val="22"/>
        </w:rPr>
        <w:t xml:space="preserve"> engagement</w:t>
      </w:r>
      <w:r w:rsidR="00FD07C0" w:rsidRPr="00AA7A10">
        <w:rPr>
          <w:rFonts w:cs="Arial"/>
          <w:szCs w:val="22"/>
        </w:rPr>
        <w:t xml:space="preserve"> and will inform government considerations</w:t>
      </w:r>
      <w:r w:rsidR="00E30780" w:rsidRPr="00AA7A10">
        <w:rPr>
          <w:rFonts w:cs="Arial"/>
          <w:szCs w:val="22"/>
        </w:rPr>
        <w:t>. It</w:t>
      </w:r>
      <w:r w:rsidR="00FD07C0" w:rsidRPr="00AA7A10">
        <w:rPr>
          <w:rFonts w:cs="Arial"/>
          <w:szCs w:val="22"/>
        </w:rPr>
        <w:t xml:space="preserve"> </w:t>
      </w:r>
      <w:r w:rsidR="000206A7" w:rsidRPr="00AA7A10">
        <w:rPr>
          <w:rFonts w:cs="Arial"/>
          <w:szCs w:val="22"/>
        </w:rPr>
        <w:t xml:space="preserve">will not necessarily be agreed </w:t>
      </w:r>
      <w:r w:rsidR="00E30780" w:rsidRPr="00AA7A10">
        <w:rPr>
          <w:rFonts w:cs="Arial"/>
          <w:szCs w:val="22"/>
        </w:rPr>
        <w:t xml:space="preserve">to </w:t>
      </w:r>
      <w:r w:rsidR="000206A7" w:rsidRPr="00AA7A10">
        <w:rPr>
          <w:rFonts w:cs="Arial"/>
          <w:szCs w:val="22"/>
        </w:rPr>
        <w:t xml:space="preserve">or implemented by government. </w:t>
      </w:r>
    </w:p>
    <w:p w14:paraId="7DFFBEFB" w14:textId="2B7FD816" w:rsidR="006117AD" w:rsidRPr="00AA7A10" w:rsidRDefault="006117AD" w:rsidP="006117AD">
      <w:pPr>
        <w:spacing w:line="276" w:lineRule="auto"/>
        <w:rPr>
          <w:rFonts w:cs="Arial"/>
          <w:szCs w:val="22"/>
        </w:rPr>
      </w:pPr>
      <w:r w:rsidRPr="00AA7A10">
        <w:rPr>
          <w:rFonts w:cs="Arial"/>
          <w:szCs w:val="22"/>
        </w:rPr>
        <w:t>Where consent has been provided, public submissions will be made available at engage.dss.gov.au. The department will provide a report on the findings of the submissio</w:t>
      </w:r>
      <w:r w:rsidR="00C8140C" w:rsidRPr="00AA7A10">
        <w:rPr>
          <w:rFonts w:cs="Arial"/>
          <w:szCs w:val="22"/>
        </w:rPr>
        <w:t>n process for consideration by g</w:t>
      </w:r>
      <w:r w:rsidRPr="00AA7A10">
        <w:rPr>
          <w:rFonts w:cs="Arial"/>
          <w:szCs w:val="22"/>
        </w:rPr>
        <w:t xml:space="preserve">overnment. A summary of </w:t>
      </w:r>
      <w:r w:rsidR="00232016" w:rsidRPr="00AA7A10">
        <w:rPr>
          <w:rFonts w:cs="Arial"/>
          <w:szCs w:val="22"/>
        </w:rPr>
        <w:t>submissions</w:t>
      </w:r>
      <w:r w:rsidRPr="00AA7A10">
        <w:rPr>
          <w:rFonts w:cs="Arial"/>
          <w:szCs w:val="22"/>
        </w:rPr>
        <w:t xml:space="preserve"> will be made available at engage.dss.gov.au.</w:t>
      </w:r>
    </w:p>
    <w:p w14:paraId="574EA1A9" w14:textId="77777777" w:rsidR="006117AD" w:rsidRPr="003F4571" w:rsidRDefault="006117AD" w:rsidP="00F21392">
      <w:pPr>
        <w:pStyle w:val="Heading2"/>
      </w:pPr>
      <w:bookmarkStart w:id="5" w:name="_Toc144983231"/>
      <w:r w:rsidRPr="003F4571">
        <w:t>How we got here</w:t>
      </w:r>
      <w:bookmarkEnd w:id="5"/>
    </w:p>
    <w:p w14:paraId="7E9CC19C" w14:textId="0BFA7A77" w:rsidR="006117AD" w:rsidRPr="00AA7A10" w:rsidRDefault="006117AD" w:rsidP="006117AD">
      <w:pPr>
        <w:spacing w:line="276" w:lineRule="auto"/>
        <w:rPr>
          <w:rFonts w:cs="Arial"/>
          <w:szCs w:val="22"/>
        </w:rPr>
      </w:pPr>
      <w:r w:rsidRPr="00AA7A10">
        <w:rPr>
          <w:rFonts w:cs="Arial"/>
          <w:szCs w:val="22"/>
        </w:rPr>
        <w:t>Since July 2015, CSAG has been the department’s key community sector stakeholder engagement group</w:t>
      </w:r>
      <w:r w:rsidR="00E30780" w:rsidRPr="00AA7A10">
        <w:rPr>
          <w:rFonts w:cs="Arial"/>
          <w:szCs w:val="22"/>
        </w:rPr>
        <w:t xml:space="preserve">. CSAG </w:t>
      </w:r>
      <w:r w:rsidRPr="00AA7A10">
        <w:rPr>
          <w:rFonts w:cs="Arial"/>
          <w:szCs w:val="22"/>
        </w:rPr>
        <w:t>discuss</w:t>
      </w:r>
      <w:r w:rsidR="00E30780" w:rsidRPr="00AA7A10">
        <w:rPr>
          <w:rFonts w:cs="Arial"/>
          <w:szCs w:val="22"/>
        </w:rPr>
        <w:t>es</w:t>
      </w:r>
      <w:r w:rsidRPr="00AA7A10">
        <w:rPr>
          <w:rFonts w:cs="Arial"/>
          <w:szCs w:val="22"/>
        </w:rPr>
        <w:t xml:space="preserve"> broad issues and opportunities relating to grant policies and programs, including funding arrangements.</w:t>
      </w:r>
    </w:p>
    <w:p w14:paraId="5EBC691E" w14:textId="77777777" w:rsidR="006117AD" w:rsidRPr="00AA7A10" w:rsidRDefault="006117AD" w:rsidP="006117AD">
      <w:pPr>
        <w:spacing w:line="276" w:lineRule="auto"/>
        <w:rPr>
          <w:rFonts w:cs="Arial"/>
          <w:szCs w:val="22"/>
        </w:rPr>
      </w:pPr>
      <w:r w:rsidRPr="00AA7A10">
        <w:rPr>
          <w:rFonts w:cs="Arial"/>
          <w:szCs w:val="22"/>
        </w:rPr>
        <w:t>CSAG has been instrumental in identifying best practice opportunities, and informing the department of critical systemic issues in the sector. CSAG plays a key role in helping to ensure the department understands the impact (immediate and over time) of grant decisions and changes to processes on service providers and users.</w:t>
      </w:r>
    </w:p>
    <w:p w14:paraId="7D199004" w14:textId="22805B04" w:rsidR="006117AD" w:rsidRPr="00AA7A10" w:rsidRDefault="00C63F8E" w:rsidP="006117AD">
      <w:pPr>
        <w:spacing w:line="276" w:lineRule="auto"/>
        <w:rPr>
          <w:rFonts w:cs="Arial"/>
          <w:szCs w:val="22"/>
        </w:rPr>
      </w:pPr>
      <w:r w:rsidRPr="00AA7A10">
        <w:rPr>
          <w:rFonts w:cs="Arial"/>
          <w:szCs w:val="22"/>
        </w:rPr>
        <w:t xml:space="preserve">This </w:t>
      </w:r>
      <w:r w:rsidR="00AD2140" w:rsidRPr="00AA7A10">
        <w:rPr>
          <w:rFonts w:cs="Arial"/>
          <w:szCs w:val="22"/>
        </w:rPr>
        <w:t xml:space="preserve">issues </w:t>
      </w:r>
      <w:r w:rsidRPr="00AA7A10">
        <w:rPr>
          <w:rFonts w:cs="Arial"/>
          <w:szCs w:val="22"/>
        </w:rPr>
        <w:t>p</w:t>
      </w:r>
      <w:r w:rsidR="006117AD" w:rsidRPr="00AA7A10">
        <w:rPr>
          <w:rFonts w:cs="Arial"/>
          <w:szCs w:val="22"/>
        </w:rPr>
        <w:t>aper aims to reflect what the department has already heard from community organisations, through CSAG and broader community sector reports, about current ch</w:t>
      </w:r>
      <w:r w:rsidR="00C8140C" w:rsidRPr="00AA7A10">
        <w:rPr>
          <w:rFonts w:cs="Arial"/>
          <w:szCs w:val="22"/>
        </w:rPr>
        <w:t>allenges and ideas for how the g</w:t>
      </w:r>
      <w:r w:rsidR="006117AD" w:rsidRPr="00AA7A10">
        <w:rPr>
          <w:rFonts w:cs="Arial"/>
          <w:szCs w:val="22"/>
        </w:rPr>
        <w:t>overnment could support a stronger, more diverse and independent community sector.</w:t>
      </w:r>
    </w:p>
    <w:p w14:paraId="58B6EDC6" w14:textId="61AB6F65" w:rsidR="006117AD" w:rsidRPr="00AA7A10" w:rsidRDefault="00C8140C" w:rsidP="006117AD">
      <w:pPr>
        <w:spacing w:line="276" w:lineRule="auto"/>
        <w:rPr>
          <w:rFonts w:cs="Arial"/>
          <w:szCs w:val="22"/>
        </w:rPr>
      </w:pPr>
      <w:r w:rsidRPr="00AA7A10">
        <w:rPr>
          <w:rFonts w:cs="Arial"/>
          <w:szCs w:val="22"/>
        </w:rPr>
        <w:lastRenderedPageBreak/>
        <w:t xml:space="preserve">The </w:t>
      </w:r>
      <w:r w:rsidR="00E30780" w:rsidRPr="00AA7A10">
        <w:rPr>
          <w:rFonts w:cs="Arial"/>
          <w:szCs w:val="22"/>
        </w:rPr>
        <w:t xml:space="preserve">department </w:t>
      </w:r>
      <w:r w:rsidR="006117AD" w:rsidRPr="00AA7A10">
        <w:rPr>
          <w:rFonts w:cs="Arial"/>
          <w:szCs w:val="22"/>
        </w:rPr>
        <w:t>is now seeking your feedback on how to improve funding practices and processes and opportunities to strengthen collaboration with CSOs</w:t>
      </w:r>
      <w:r w:rsidR="00E30780" w:rsidRPr="00AA7A10">
        <w:rPr>
          <w:rFonts w:cs="Arial"/>
          <w:szCs w:val="22"/>
        </w:rPr>
        <w:t>,</w:t>
      </w:r>
      <w:r w:rsidR="006117AD" w:rsidRPr="00AA7A10">
        <w:rPr>
          <w:rFonts w:cs="Arial"/>
          <w:szCs w:val="22"/>
        </w:rPr>
        <w:t xml:space="preserve"> to deliver improved program outcomes. </w:t>
      </w:r>
    </w:p>
    <w:p w14:paraId="7CCCBCBD" w14:textId="77777777" w:rsidR="006117AD" w:rsidRPr="00BA4FA1" w:rsidRDefault="006117AD" w:rsidP="00F21392">
      <w:pPr>
        <w:pStyle w:val="Heading2"/>
      </w:pPr>
      <w:bookmarkStart w:id="6" w:name="_Toc144983232"/>
      <w:r w:rsidRPr="00BA4FA1">
        <w:t>Why change is needed</w:t>
      </w:r>
      <w:bookmarkEnd w:id="6"/>
    </w:p>
    <w:p w14:paraId="7E57054D" w14:textId="77777777" w:rsidR="00E30780" w:rsidRPr="00AA7A10" w:rsidRDefault="006117AD" w:rsidP="006117AD">
      <w:pPr>
        <w:spacing w:before="240" w:line="276" w:lineRule="auto"/>
        <w:rPr>
          <w:rFonts w:cs="Arial"/>
          <w:szCs w:val="22"/>
        </w:rPr>
      </w:pPr>
      <w:r w:rsidRPr="00AA7A10">
        <w:rPr>
          <w:rFonts w:cs="Arial"/>
          <w:szCs w:val="22"/>
        </w:rPr>
        <w:t xml:space="preserve">The community sector has, and is, continuing to experience significant challenges. </w:t>
      </w:r>
      <w:r w:rsidR="00B86F08" w:rsidRPr="00AA7A10">
        <w:rPr>
          <w:rFonts w:cs="Arial"/>
          <w:szCs w:val="22"/>
        </w:rPr>
        <w:t xml:space="preserve">Changes </w:t>
      </w:r>
      <w:r w:rsidRPr="00AA7A10">
        <w:rPr>
          <w:rFonts w:cs="Arial"/>
          <w:szCs w:val="22"/>
        </w:rPr>
        <w:t>experienced by the community</w:t>
      </w:r>
      <w:r w:rsidR="00E30780" w:rsidRPr="00AA7A10">
        <w:rPr>
          <w:rFonts w:cs="Arial"/>
          <w:szCs w:val="22"/>
        </w:rPr>
        <w:t xml:space="preserve"> have had an impact on the ability of CSOs to adequately and effectively support those in need. These changes include:</w:t>
      </w:r>
    </w:p>
    <w:p w14:paraId="489DBD1E" w14:textId="02F82911" w:rsidR="00E30780" w:rsidRPr="00AA7A10" w:rsidRDefault="006117AD" w:rsidP="00181F7A">
      <w:pPr>
        <w:pStyle w:val="ListParagraph"/>
        <w:numPr>
          <w:ilvl w:val="0"/>
          <w:numId w:val="18"/>
        </w:numPr>
        <w:spacing w:before="240" w:line="276" w:lineRule="auto"/>
        <w:rPr>
          <w:rFonts w:cs="Arial"/>
          <w:szCs w:val="22"/>
        </w:rPr>
      </w:pPr>
      <w:r w:rsidRPr="00F21392">
        <w:rPr>
          <w:rFonts w:cs="Arial"/>
          <w:szCs w:val="22"/>
        </w:rPr>
        <w:t>rising cost-of-living</w:t>
      </w:r>
    </w:p>
    <w:p w14:paraId="633228F1" w14:textId="42119C05" w:rsidR="00E30780" w:rsidRPr="00AA7A10" w:rsidRDefault="006117AD" w:rsidP="00181F7A">
      <w:pPr>
        <w:pStyle w:val="ListParagraph"/>
        <w:numPr>
          <w:ilvl w:val="0"/>
          <w:numId w:val="18"/>
        </w:numPr>
        <w:spacing w:before="240" w:line="276" w:lineRule="auto"/>
        <w:rPr>
          <w:rFonts w:cs="Arial"/>
          <w:szCs w:val="22"/>
        </w:rPr>
      </w:pPr>
      <w:r w:rsidRPr="00F21392">
        <w:rPr>
          <w:rFonts w:cs="Arial"/>
          <w:szCs w:val="22"/>
        </w:rPr>
        <w:t>the impacts of COVID-19</w:t>
      </w:r>
      <w:r w:rsidR="00B86F08" w:rsidRPr="00F21392">
        <w:rPr>
          <w:rFonts w:cs="Arial"/>
          <w:szCs w:val="22"/>
        </w:rPr>
        <w:t xml:space="preserve"> and</w:t>
      </w:r>
      <w:r w:rsidRPr="00F21392">
        <w:rPr>
          <w:rFonts w:cs="Arial"/>
          <w:szCs w:val="22"/>
        </w:rPr>
        <w:t xml:space="preserve"> natural disaster</w:t>
      </w:r>
      <w:r w:rsidR="00C768DE">
        <w:rPr>
          <w:rFonts w:cs="Arial"/>
          <w:szCs w:val="22"/>
        </w:rPr>
        <w:t>s</w:t>
      </w:r>
    </w:p>
    <w:p w14:paraId="45B8F6BB" w14:textId="0549AAE7" w:rsidR="00E30780" w:rsidRPr="00AA7A10" w:rsidRDefault="006117AD" w:rsidP="00181F7A">
      <w:pPr>
        <w:pStyle w:val="ListParagraph"/>
        <w:numPr>
          <w:ilvl w:val="0"/>
          <w:numId w:val="18"/>
        </w:numPr>
        <w:spacing w:before="240" w:line="276" w:lineRule="auto"/>
        <w:rPr>
          <w:rFonts w:cs="Arial"/>
          <w:szCs w:val="22"/>
        </w:rPr>
      </w:pPr>
      <w:r w:rsidRPr="00F21392">
        <w:rPr>
          <w:rFonts w:cs="Arial"/>
          <w:szCs w:val="22"/>
        </w:rPr>
        <w:t xml:space="preserve">a decline in volunteer numbers. </w:t>
      </w:r>
    </w:p>
    <w:p w14:paraId="55718982" w14:textId="2D63BA53" w:rsidR="006117AD" w:rsidRPr="00F21392" w:rsidRDefault="00E30780" w:rsidP="003B571A">
      <w:pPr>
        <w:spacing w:before="240" w:line="276" w:lineRule="auto"/>
        <w:rPr>
          <w:rFonts w:cs="Arial"/>
          <w:szCs w:val="22"/>
        </w:rPr>
      </w:pPr>
      <w:r w:rsidRPr="00AA7A10">
        <w:rPr>
          <w:rFonts w:cs="Arial"/>
          <w:szCs w:val="22"/>
        </w:rPr>
        <w:t xml:space="preserve">The department </w:t>
      </w:r>
      <w:r w:rsidR="006117AD" w:rsidRPr="00F21392">
        <w:rPr>
          <w:rFonts w:cs="Arial"/>
          <w:szCs w:val="22"/>
        </w:rPr>
        <w:t>also recognise</w:t>
      </w:r>
      <w:r w:rsidRPr="00AA7A10">
        <w:rPr>
          <w:rFonts w:cs="Arial"/>
          <w:szCs w:val="22"/>
        </w:rPr>
        <w:t>s</w:t>
      </w:r>
      <w:r w:rsidR="006117AD" w:rsidRPr="00F21392">
        <w:rPr>
          <w:rFonts w:cs="Arial"/>
          <w:szCs w:val="22"/>
        </w:rPr>
        <w:t xml:space="preserve"> that the current difficulties in delivering services in the community </w:t>
      </w:r>
      <w:r w:rsidR="004B0946" w:rsidRPr="00F21392">
        <w:rPr>
          <w:rFonts w:cs="Arial"/>
          <w:szCs w:val="22"/>
        </w:rPr>
        <w:t>are</w:t>
      </w:r>
      <w:r w:rsidR="006117AD" w:rsidRPr="00F21392">
        <w:rPr>
          <w:rFonts w:cs="Arial"/>
          <w:szCs w:val="22"/>
        </w:rPr>
        <w:t xml:space="preserve"> also an accumulation of challenges experienced by the sector over a number of years.</w:t>
      </w:r>
    </w:p>
    <w:p w14:paraId="7FB51AF6" w14:textId="5CCF10D8" w:rsidR="006117AD" w:rsidRPr="00AA7A10" w:rsidRDefault="006117AD" w:rsidP="002A537F">
      <w:pPr>
        <w:spacing w:before="120" w:line="276" w:lineRule="auto"/>
        <w:rPr>
          <w:rFonts w:cs="Arial"/>
          <w:szCs w:val="22"/>
        </w:rPr>
      </w:pPr>
      <w:r w:rsidRPr="00AA7A10">
        <w:rPr>
          <w:rFonts w:cs="Arial"/>
          <w:szCs w:val="22"/>
        </w:rPr>
        <w:t xml:space="preserve">There are record levels of demand for support, particularly in relation to crisis and food relief, housing, homelessness, and domestic and family violence. In the face of this increased demand, the community sector has reported that many organisations do not have adequate funding and resources to provide </w:t>
      </w:r>
      <w:r w:rsidR="00E30780" w:rsidRPr="00AA7A10">
        <w:rPr>
          <w:rFonts w:cs="Arial"/>
          <w:szCs w:val="22"/>
        </w:rPr>
        <w:t>enough</w:t>
      </w:r>
      <w:r w:rsidRPr="00AA7A10">
        <w:rPr>
          <w:rFonts w:cs="Arial"/>
          <w:szCs w:val="22"/>
        </w:rPr>
        <w:t xml:space="preserve"> support required to meet community needs. </w:t>
      </w:r>
    </w:p>
    <w:p w14:paraId="61D84E4B" w14:textId="092CA7DD" w:rsidR="006117AD" w:rsidRPr="00AA7A10" w:rsidRDefault="006117AD" w:rsidP="006117AD">
      <w:pPr>
        <w:spacing w:line="276" w:lineRule="auto"/>
        <w:rPr>
          <w:rFonts w:cs="Arial"/>
          <w:szCs w:val="22"/>
        </w:rPr>
      </w:pPr>
      <w:r w:rsidRPr="00AA7A10">
        <w:rPr>
          <w:rFonts w:cs="Arial"/>
          <w:szCs w:val="22"/>
        </w:rPr>
        <w:t>CSOs are experiencing:</w:t>
      </w:r>
    </w:p>
    <w:p w14:paraId="4240880F" w14:textId="54675218" w:rsidR="006117AD" w:rsidRPr="002A537F" w:rsidRDefault="006117AD" w:rsidP="002A537F">
      <w:pPr>
        <w:pStyle w:val="ListParagraph"/>
        <w:numPr>
          <w:ilvl w:val="0"/>
          <w:numId w:val="18"/>
        </w:numPr>
        <w:spacing w:before="240" w:line="276" w:lineRule="auto"/>
        <w:rPr>
          <w:szCs w:val="22"/>
        </w:rPr>
      </w:pPr>
      <w:r w:rsidRPr="002A537F">
        <w:rPr>
          <w:rFonts w:cs="Arial"/>
          <w:szCs w:val="22"/>
        </w:rPr>
        <w:t>greater costs for delivering services</w:t>
      </w:r>
      <w:r w:rsidR="00885B0F" w:rsidRPr="002A537F">
        <w:rPr>
          <w:rFonts w:cs="Arial"/>
          <w:szCs w:val="22"/>
        </w:rPr>
        <w:t>, including rising operational costs</w:t>
      </w:r>
    </w:p>
    <w:p w14:paraId="40B0881B" w14:textId="1AC53A2A" w:rsidR="006117AD" w:rsidRPr="002A537F" w:rsidRDefault="006117AD" w:rsidP="002A537F">
      <w:pPr>
        <w:pStyle w:val="ListParagraph"/>
        <w:numPr>
          <w:ilvl w:val="0"/>
          <w:numId w:val="18"/>
        </w:numPr>
        <w:spacing w:before="240" w:line="276" w:lineRule="auto"/>
        <w:rPr>
          <w:szCs w:val="22"/>
        </w:rPr>
      </w:pPr>
      <w:r w:rsidRPr="002A537F">
        <w:rPr>
          <w:rFonts w:cs="Arial"/>
          <w:szCs w:val="22"/>
        </w:rPr>
        <w:t xml:space="preserve">greater demand on services, with increasing numbers of clients often requiring multiple, </w:t>
      </w:r>
      <w:r w:rsidR="00E30780" w:rsidRPr="002A537F">
        <w:rPr>
          <w:rFonts w:cs="Arial"/>
          <w:szCs w:val="22"/>
        </w:rPr>
        <w:t xml:space="preserve">or </w:t>
      </w:r>
      <w:r w:rsidRPr="002A537F">
        <w:rPr>
          <w:rFonts w:cs="Arial"/>
          <w:szCs w:val="22"/>
        </w:rPr>
        <w:t>complex support</w:t>
      </w:r>
      <w:r w:rsidR="00E30780" w:rsidRPr="002A537F">
        <w:rPr>
          <w:rFonts w:cs="Arial"/>
          <w:szCs w:val="22"/>
        </w:rPr>
        <w:t>s</w:t>
      </w:r>
      <w:r w:rsidRPr="002A537F">
        <w:rPr>
          <w:rFonts w:cs="Arial"/>
          <w:szCs w:val="22"/>
        </w:rPr>
        <w:t xml:space="preserve"> and services</w:t>
      </w:r>
    </w:p>
    <w:p w14:paraId="776E95CA" w14:textId="51DB1208" w:rsidR="00776540" w:rsidRPr="002A537F" w:rsidRDefault="00776540" w:rsidP="002A537F">
      <w:pPr>
        <w:pStyle w:val="ListParagraph"/>
        <w:numPr>
          <w:ilvl w:val="0"/>
          <w:numId w:val="18"/>
        </w:numPr>
        <w:spacing w:before="240" w:line="276" w:lineRule="auto"/>
        <w:rPr>
          <w:szCs w:val="22"/>
        </w:rPr>
      </w:pPr>
      <w:r w:rsidRPr="002A537F">
        <w:rPr>
          <w:rFonts w:cs="Arial"/>
          <w:szCs w:val="22"/>
        </w:rPr>
        <w:t>changes to the sector, including workforce shortages and reductions in volunteerism</w:t>
      </w:r>
      <w:r w:rsidR="001F1C13" w:rsidRPr="002A537F">
        <w:rPr>
          <w:rFonts w:cs="Arial"/>
          <w:szCs w:val="22"/>
        </w:rPr>
        <w:t>.</w:t>
      </w:r>
      <w:r w:rsidRPr="002A537F">
        <w:rPr>
          <w:rFonts w:cs="Arial"/>
          <w:szCs w:val="22"/>
        </w:rPr>
        <w:t xml:space="preserve"> </w:t>
      </w:r>
    </w:p>
    <w:p w14:paraId="4F6259C9" w14:textId="77777777" w:rsidR="006117AD" w:rsidRPr="00AA7A10" w:rsidRDefault="006117AD" w:rsidP="006117AD">
      <w:pPr>
        <w:autoSpaceDE w:val="0"/>
        <w:autoSpaceDN w:val="0"/>
        <w:adjustRightInd w:val="0"/>
        <w:spacing w:after="240"/>
        <w:rPr>
          <w:rFonts w:cs="Arial"/>
          <w:szCs w:val="22"/>
        </w:rPr>
      </w:pPr>
      <w:r w:rsidRPr="002A537F">
        <w:rPr>
          <w:rFonts w:cs="Arial"/>
          <w:szCs w:val="22"/>
        </w:rPr>
        <w:t xml:space="preserve">The community sector has also expressed frustration at the limitations of current grants funding and processes to allow them to meet growing and changing community needs. </w:t>
      </w:r>
    </w:p>
    <w:p w14:paraId="0B1B5607" w14:textId="1B550FC3" w:rsidR="006117AD" w:rsidRPr="00AA7A10" w:rsidRDefault="006117AD" w:rsidP="006117AD">
      <w:pPr>
        <w:rPr>
          <w:rFonts w:cs="Arial"/>
          <w:szCs w:val="22"/>
        </w:rPr>
      </w:pPr>
      <w:r w:rsidRPr="00AA7A10">
        <w:rPr>
          <w:rFonts w:cs="Arial"/>
          <w:szCs w:val="22"/>
        </w:rPr>
        <w:t xml:space="preserve">Findings from </w:t>
      </w:r>
      <w:r w:rsidR="00601DE5">
        <w:rPr>
          <w:rFonts w:cs="Arial"/>
          <w:szCs w:val="22"/>
        </w:rPr>
        <w:t>Australian Council of Social Service’s (</w:t>
      </w:r>
      <w:r w:rsidRPr="00AA7A10">
        <w:rPr>
          <w:rFonts w:cs="Arial"/>
          <w:szCs w:val="22"/>
        </w:rPr>
        <w:t>ACOSS</w:t>
      </w:r>
      <w:r w:rsidR="00601DE5">
        <w:rPr>
          <w:rFonts w:cs="Arial"/>
          <w:szCs w:val="22"/>
        </w:rPr>
        <w:t>)</w:t>
      </w:r>
      <w:r w:rsidRPr="00AA7A10">
        <w:rPr>
          <w:rFonts w:cs="Arial"/>
          <w:szCs w:val="22"/>
        </w:rPr>
        <w:t xml:space="preserve"> 2022 Australian Community Sector Survey</w:t>
      </w:r>
      <w:r w:rsidRPr="00AA7A10">
        <w:rPr>
          <w:rStyle w:val="FootnoteReference"/>
          <w:rFonts w:cs="Arial"/>
          <w:szCs w:val="22"/>
        </w:rPr>
        <w:footnoteReference w:id="2"/>
      </w:r>
      <w:r w:rsidRPr="00AA7A10">
        <w:rPr>
          <w:rFonts w:cs="Arial"/>
          <w:szCs w:val="22"/>
        </w:rPr>
        <w:t xml:space="preserve"> found that</w:t>
      </w:r>
      <w:r w:rsidR="00601DE5">
        <w:rPr>
          <w:rFonts w:cs="Arial"/>
          <w:szCs w:val="22"/>
        </w:rPr>
        <w:t xml:space="preserve"> only</w:t>
      </w:r>
      <w:r w:rsidRPr="00AA7A10">
        <w:rPr>
          <w:rFonts w:cs="Arial"/>
          <w:szCs w:val="22"/>
        </w:rPr>
        <w:t xml:space="preserve">: </w:t>
      </w:r>
    </w:p>
    <w:p w14:paraId="32C01480" w14:textId="27B5F353" w:rsidR="006117AD" w:rsidRPr="00AA7A10" w:rsidRDefault="006117AD"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11</w:t>
      </w:r>
      <w:r w:rsidR="00E30780" w:rsidRPr="00AA7A10">
        <w:rPr>
          <w:rFonts w:eastAsia="Times New Roman"/>
          <w:iCs/>
          <w:color w:val="000000" w:themeColor="text1"/>
          <w:spacing w:val="2"/>
          <w:sz w:val="22"/>
          <w:szCs w:val="22"/>
        </w:rPr>
        <w:t xml:space="preserve">% </w:t>
      </w:r>
      <w:r w:rsidRPr="00AA7A10">
        <w:rPr>
          <w:rFonts w:eastAsia="Times New Roman"/>
          <w:iCs/>
          <w:color w:val="000000" w:themeColor="text1"/>
          <w:spacing w:val="2"/>
          <w:sz w:val="22"/>
          <w:szCs w:val="22"/>
        </w:rPr>
        <w:t>of community sector leaders agreed that their organisation’s main stream of government funding adequately covers increases in wage costs</w:t>
      </w:r>
    </w:p>
    <w:p w14:paraId="0DDF30B2" w14:textId="6EEED359" w:rsidR="006117AD" w:rsidRPr="002A537F" w:rsidRDefault="006117AD" w:rsidP="002A537F">
      <w:pPr>
        <w:pStyle w:val="Default"/>
        <w:numPr>
          <w:ilvl w:val="0"/>
          <w:numId w:val="2"/>
        </w:numPr>
        <w:spacing w:after="120" w:line="276" w:lineRule="auto"/>
        <w:ind w:left="714" w:hanging="357"/>
        <w:rPr>
          <w:color w:val="auto"/>
          <w:kern w:val="2"/>
          <w:sz w:val="22"/>
          <w:szCs w:val="22"/>
          <w14:ligatures w14:val="standardContextual"/>
        </w:rPr>
      </w:pPr>
      <w:r w:rsidRPr="00AA7A10">
        <w:rPr>
          <w:rFonts w:eastAsia="Times New Roman"/>
          <w:iCs/>
          <w:color w:val="000000" w:themeColor="text1"/>
          <w:spacing w:val="2"/>
          <w:sz w:val="22"/>
          <w:szCs w:val="22"/>
        </w:rPr>
        <w:t>9</w:t>
      </w:r>
      <w:r w:rsidR="00E30780" w:rsidRPr="00AA7A10">
        <w:rPr>
          <w:rFonts w:eastAsia="Times New Roman"/>
          <w:iCs/>
          <w:color w:val="000000" w:themeColor="text1"/>
          <w:spacing w:val="2"/>
          <w:sz w:val="22"/>
          <w:szCs w:val="22"/>
        </w:rPr>
        <w:t xml:space="preserve">% </w:t>
      </w:r>
      <w:r w:rsidRPr="00AA7A10">
        <w:rPr>
          <w:rFonts w:eastAsia="Times New Roman"/>
          <w:iCs/>
          <w:color w:val="000000" w:themeColor="text1"/>
          <w:spacing w:val="2"/>
          <w:sz w:val="22"/>
          <w:szCs w:val="22"/>
        </w:rPr>
        <w:t xml:space="preserve">of community sector leaders agreed that funding covers the full cost of service delivery. </w:t>
      </w:r>
      <w:r w:rsidRPr="002A537F">
        <w:rPr>
          <w:color w:val="auto"/>
          <w:kern w:val="2"/>
          <w:sz w:val="22"/>
          <w:szCs w:val="22"/>
          <w14:ligatures w14:val="standardContextual"/>
        </w:rPr>
        <w:t>This was a significant reduction from the 2021 results (20</w:t>
      </w:r>
      <w:r w:rsidR="00E30780" w:rsidRPr="002A537F">
        <w:rPr>
          <w:color w:val="auto"/>
          <w:kern w:val="2"/>
          <w:sz w:val="22"/>
          <w:szCs w:val="22"/>
          <w14:ligatures w14:val="standardContextual"/>
        </w:rPr>
        <w:t>%</w:t>
      </w:r>
      <w:r w:rsidRPr="002A537F">
        <w:rPr>
          <w:color w:val="auto"/>
          <w:kern w:val="2"/>
          <w:sz w:val="22"/>
          <w:szCs w:val="22"/>
          <w14:ligatures w14:val="standardContextual"/>
        </w:rPr>
        <w:t>).</w:t>
      </w:r>
    </w:p>
    <w:p w14:paraId="5B2EE628" w14:textId="78201EB5" w:rsidR="008942C5" w:rsidRPr="00AA7A10" w:rsidRDefault="008942C5" w:rsidP="008942C5">
      <w:pPr>
        <w:pStyle w:val="Default"/>
        <w:spacing w:line="276" w:lineRule="auto"/>
        <w:rPr>
          <w:rFonts w:eastAsia="Times New Roman"/>
          <w:iCs/>
          <w:color w:val="000000" w:themeColor="text1"/>
          <w:spacing w:val="2"/>
          <w:sz w:val="22"/>
          <w:szCs w:val="22"/>
        </w:rPr>
      </w:pPr>
      <w:r>
        <w:rPr>
          <w:rFonts w:eastAsia="Times New Roman"/>
          <w:iCs/>
          <w:color w:val="000000" w:themeColor="text1"/>
          <w:spacing w:val="2"/>
          <w:sz w:val="22"/>
          <w:szCs w:val="22"/>
        </w:rPr>
        <w:t xml:space="preserve">Finally, there </w:t>
      </w:r>
      <w:r w:rsidR="00C768DE">
        <w:rPr>
          <w:rFonts w:eastAsia="Times New Roman"/>
          <w:iCs/>
          <w:color w:val="000000" w:themeColor="text1"/>
          <w:spacing w:val="2"/>
          <w:sz w:val="22"/>
          <w:szCs w:val="22"/>
        </w:rPr>
        <w:t>are</w:t>
      </w:r>
      <w:r>
        <w:rPr>
          <w:rFonts w:eastAsia="Times New Roman"/>
          <w:iCs/>
          <w:color w:val="000000" w:themeColor="text1"/>
          <w:spacing w:val="2"/>
          <w:sz w:val="22"/>
          <w:szCs w:val="22"/>
        </w:rPr>
        <w:t xml:space="preserve"> pockets of entrenched disadvantage across Australia, </w:t>
      </w:r>
      <w:r w:rsidR="00C768DE">
        <w:rPr>
          <w:rFonts w:eastAsia="Times New Roman"/>
          <w:iCs/>
          <w:color w:val="000000" w:themeColor="text1"/>
          <w:spacing w:val="2"/>
          <w:sz w:val="22"/>
          <w:szCs w:val="22"/>
        </w:rPr>
        <w:t>and</w:t>
      </w:r>
      <w:r>
        <w:rPr>
          <w:rFonts w:eastAsia="Times New Roman"/>
          <w:iCs/>
          <w:color w:val="000000" w:themeColor="text1"/>
          <w:spacing w:val="2"/>
          <w:sz w:val="22"/>
          <w:szCs w:val="22"/>
        </w:rPr>
        <w:t xml:space="preserve"> solutions</w:t>
      </w:r>
      <w:r w:rsidRPr="008942C5">
        <w:rPr>
          <w:rFonts w:eastAsia="Times New Roman"/>
          <w:iCs/>
          <w:color w:val="000000" w:themeColor="text1"/>
          <w:spacing w:val="2"/>
          <w:sz w:val="22"/>
          <w:szCs w:val="22"/>
        </w:rPr>
        <w:t xml:space="preserve"> </w:t>
      </w:r>
      <w:r w:rsidR="00C768DE">
        <w:rPr>
          <w:rFonts w:eastAsia="Times New Roman"/>
          <w:iCs/>
          <w:color w:val="000000" w:themeColor="text1"/>
          <w:spacing w:val="2"/>
          <w:sz w:val="22"/>
          <w:szCs w:val="22"/>
        </w:rPr>
        <w:t xml:space="preserve">need to be found </w:t>
      </w:r>
      <w:r w:rsidRPr="00090271">
        <w:rPr>
          <w:rFonts w:eastAsia="Times New Roman"/>
          <w:iCs/>
          <w:color w:val="000000" w:themeColor="text1"/>
          <w:spacing w:val="2"/>
          <w:sz w:val="22"/>
          <w:szCs w:val="22"/>
        </w:rPr>
        <w:t xml:space="preserve">to </w:t>
      </w:r>
      <w:r>
        <w:rPr>
          <w:rFonts w:eastAsia="Times New Roman"/>
          <w:iCs/>
          <w:color w:val="000000" w:themeColor="text1"/>
          <w:spacing w:val="2"/>
          <w:sz w:val="22"/>
          <w:szCs w:val="22"/>
        </w:rPr>
        <w:t xml:space="preserve">enable the community sector to </w:t>
      </w:r>
      <w:r w:rsidRPr="00090271">
        <w:rPr>
          <w:rFonts w:eastAsia="Times New Roman"/>
          <w:iCs/>
          <w:color w:val="000000" w:themeColor="text1"/>
          <w:spacing w:val="2"/>
          <w:sz w:val="22"/>
          <w:szCs w:val="22"/>
        </w:rPr>
        <w:t xml:space="preserve">better target disadvantage and </w:t>
      </w:r>
      <w:r w:rsidR="00264EBB" w:rsidRPr="00264EBB">
        <w:rPr>
          <w:rFonts w:eastAsia="Times New Roman"/>
          <w:iCs/>
          <w:color w:val="000000" w:themeColor="text1"/>
          <w:spacing w:val="2"/>
          <w:sz w:val="22"/>
          <w:szCs w:val="22"/>
        </w:rPr>
        <w:t xml:space="preserve">improve the sector’s capacity to </w:t>
      </w:r>
      <w:r w:rsidR="009724C7">
        <w:rPr>
          <w:rFonts w:eastAsia="Times New Roman"/>
          <w:iCs/>
          <w:color w:val="000000" w:themeColor="text1"/>
          <w:spacing w:val="2"/>
          <w:sz w:val="22"/>
          <w:szCs w:val="22"/>
        </w:rPr>
        <w:t>adapt and respond to</w:t>
      </w:r>
      <w:r w:rsidR="00264EBB" w:rsidRPr="00264EBB">
        <w:rPr>
          <w:rFonts w:eastAsia="Times New Roman"/>
          <w:iCs/>
          <w:color w:val="000000" w:themeColor="text1"/>
          <w:spacing w:val="2"/>
          <w:sz w:val="22"/>
          <w:szCs w:val="22"/>
        </w:rPr>
        <w:t xml:space="preserve"> community needs</w:t>
      </w:r>
      <w:r w:rsidRPr="00090271">
        <w:rPr>
          <w:rFonts w:eastAsia="Times New Roman"/>
          <w:iCs/>
          <w:color w:val="000000" w:themeColor="text1"/>
          <w:spacing w:val="2"/>
          <w:sz w:val="22"/>
          <w:szCs w:val="22"/>
        </w:rPr>
        <w:t>.</w:t>
      </w:r>
    </w:p>
    <w:p w14:paraId="08F233C0" w14:textId="77777777" w:rsidR="006117AD" w:rsidRPr="00E6758B" w:rsidRDefault="006117AD" w:rsidP="00F21392">
      <w:pPr>
        <w:pStyle w:val="Heading2"/>
      </w:pPr>
      <w:bookmarkStart w:id="7" w:name="_Toc144983233"/>
      <w:r w:rsidRPr="00E6758B">
        <w:t>The evidence base</w:t>
      </w:r>
      <w:bookmarkEnd w:id="7"/>
    </w:p>
    <w:p w14:paraId="4EB808EB" w14:textId="08DD4D96" w:rsidR="006117AD" w:rsidRPr="00AA7A10" w:rsidRDefault="006117AD" w:rsidP="006117AD">
      <w:pPr>
        <w:spacing w:line="276" w:lineRule="auto"/>
        <w:rPr>
          <w:rFonts w:cs="Arial"/>
          <w:szCs w:val="22"/>
        </w:rPr>
      </w:pPr>
      <w:r w:rsidRPr="00AA7A10">
        <w:rPr>
          <w:rFonts w:cs="Arial"/>
          <w:szCs w:val="22"/>
        </w:rPr>
        <w:t>There are numerous reviews and research reports produced that identify the main challenges and improvements required to ensure a stronger, more diverse and independent community sector</w:t>
      </w:r>
      <w:r w:rsidR="00C768DE">
        <w:rPr>
          <w:rFonts w:cs="Arial"/>
          <w:szCs w:val="22"/>
        </w:rPr>
        <w:t>:</w:t>
      </w:r>
      <w:r w:rsidRPr="00AA7A10">
        <w:rPr>
          <w:rFonts w:cs="Arial"/>
          <w:szCs w:val="22"/>
        </w:rPr>
        <w:t xml:space="preserve"> </w:t>
      </w:r>
    </w:p>
    <w:p w14:paraId="053AF3BF" w14:textId="2CF62971" w:rsidR="006117AD" w:rsidRPr="00AA7A10" w:rsidRDefault="004D262C" w:rsidP="00181F7A">
      <w:pPr>
        <w:pStyle w:val="ListParagraph"/>
        <w:numPr>
          <w:ilvl w:val="0"/>
          <w:numId w:val="3"/>
        </w:numPr>
        <w:rPr>
          <w:rFonts w:eastAsia="Times New Roman" w:cs="Arial"/>
          <w:color w:val="000000"/>
          <w:szCs w:val="22"/>
          <w:lang w:eastAsia="en-AU"/>
        </w:rPr>
      </w:pPr>
      <w:hyperlink r:id="rId22" w:history="1">
        <w:r w:rsidR="006117AD" w:rsidRPr="00AA7A10">
          <w:rPr>
            <w:rStyle w:val="Hyperlink"/>
            <w:rFonts w:eastAsia="Times New Roman" w:cs="Arial"/>
            <w:szCs w:val="22"/>
            <w:lang w:eastAsia="en-AU"/>
          </w:rPr>
          <w:t>2023 ACOSS Community Sector Survey</w:t>
        </w:r>
      </w:hyperlink>
    </w:p>
    <w:p w14:paraId="41A587BB" w14:textId="7AA0A57F" w:rsidR="006117AD" w:rsidRPr="00AA7A10" w:rsidRDefault="004D262C" w:rsidP="00181F7A">
      <w:pPr>
        <w:pStyle w:val="ListParagraph"/>
        <w:numPr>
          <w:ilvl w:val="0"/>
          <w:numId w:val="3"/>
        </w:numPr>
        <w:rPr>
          <w:rStyle w:val="Hyperlink"/>
          <w:rFonts w:eastAsia="Times New Roman" w:cs="Arial"/>
          <w:szCs w:val="22"/>
          <w:lang w:eastAsia="en-AU"/>
        </w:rPr>
      </w:pPr>
      <w:hyperlink r:id="rId23" w:history="1">
        <w:r w:rsidR="006117AD" w:rsidRPr="00AA7A10">
          <w:rPr>
            <w:rStyle w:val="Hyperlink"/>
            <w:rFonts w:eastAsia="Times New Roman" w:cs="Arial"/>
            <w:szCs w:val="22"/>
            <w:lang w:eastAsia="en-AU"/>
          </w:rPr>
          <w:t>The ACOSS 2021 Better Contracting Report</w:t>
        </w:r>
      </w:hyperlink>
    </w:p>
    <w:p w14:paraId="0654E442" w14:textId="7FF9E3FB" w:rsidR="006117AD" w:rsidRPr="00AA7A10" w:rsidRDefault="004D262C" w:rsidP="00181F7A">
      <w:pPr>
        <w:pStyle w:val="ListParagraph"/>
        <w:numPr>
          <w:ilvl w:val="0"/>
          <w:numId w:val="3"/>
        </w:numPr>
        <w:rPr>
          <w:rFonts w:eastAsia="Times New Roman" w:cs="Arial"/>
          <w:color w:val="000000"/>
          <w:szCs w:val="22"/>
          <w:lang w:eastAsia="en-AU"/>
        </w:rPr>
      </w:pPr>
      <w:hyperlink r:id="rId24" w:history="1">
        <w:r w:rsidR="006117AD" w:rsidRPr="00AA7A10">
          <w:rPr>
            <w:rStyle w:val="Hyperlink"/>
            <w:rFonts w:eastAsia="Times New Roman" w:cs="Arial"/>
            <w:szCs w:val="22"/>
            <w:lang w:eastAsia="en-AU"/>
          </w:rPr>
          <w:t>Participatory Grant-making: Building the evidence</w:t>
        </w:r>
      </w:hyperlink>
    </w:p>
    <w:p w14:paraId="01C56ADB" w14:textId="30AC1549" w:rsidR="006117AD" w:rsidRPr="00AA7A10" w:rsidRDefault="004D262C" w:rsidP="00181F7A">
      <w:pPr>
        <w:pStyle w:val="ListParagraph"/>
        <w:numPr>
          <w:ilvl w:val="0"/>
          <w:numId w:val="3"/>
        </w:numPr>
        <w:rPr>
          <w:rFonts w:eastAsia="Times New Roman" w:cs="Arial"/>
          <w:color w:val="000000"/>
          <w:szCs w:val="22"/>
          <w:lang w:eastAsia="en-AU"/>
        </w:rPr>
      </w:pPr>
      <w:hyperlink r:id="rId25" w:history="1">
        <w:r w:rsidR="006117AD" w:rsidRPr="00AA7A10">
          <w:rPr>
            <w:rStyle w:val="Hyperlink"/>
            <w:rFonts w:eastAsia="Times New Roman" w:cs="Arial"/>
            <w:szCs w:val="22"/>
            <w:lang w:eastAsia="en-AU"/>
          </w:rPr>
          <w:t>Early Evidence Of The Impact Of Community-Led Change</w:t>
        </w:r>
      </w:hyperlink>
    </w:p>
    <w:p w14:paraId="0DA113DA" w14:textId="54B96A29" w:rsidR="006117AD" w:rsidRPr="00AA7A10" w:rsidRDefault="004D262C" w:rsidP="00181F7A">
      <w:pPr>
        <w:pStyle w:val="ListParagraph"/>
        <w:numPr>
          <w:ilvl w:val="0"/>
          <w:numId w:val="3"/>
        </w:numPr>
        <w:rPr>
          <w:rFonts w:eastAsia="Times New Roman" w:cs="Arial"/>
          <w:color w:val="000000"/>
          <w:szCs w:val="22"/>
          <w:lang w:eastAsia="en-AU"/>
        </w:rPr>
      </w:pPr>
      <w:hyperlink r:id="rId26" w:history="1">
        <w:r w:rsidR="006117AD" w:rsidRPr="00AA7A10">
          <w:rPr>
            <w:rStyle w:val="Hyperlink"/>
            <w:rFonts w:eastAsia="Times New Roman" w:cs="Arial"/>
            <w:szCs w:val="22"/>
            <w:lang w:eastAsia="en-AU"/>
          </w:rPr>
          <w:t>Strengthening Communities Position Paper</w:t>
        </w:r>
      </w:hyperlink>
    </w:p>
    <w:p w14:paraId="77833FD3" w14:textId="682A7C29" w:rsidR="006117AD" w:rsidRPr="00AA7A10" w:rsidRDefault="004D262C" w:rsidP="00181F7A">
      <w:pPr>
        <w:pStyle w:val="ListParagraph"/>
        <w:numPr>
          <w:ilvl w:val="0"/>
          <w:numId w:val="3"/>
        </w:numPr>
        <w:rPr>
          <w:rFonts w:eastAsia="Times New Roman" w:cs="Arial"/>
          <w:color w:val="000000"/>
          <w:szCs w:val="22"/>
          <w:lang w:eastAsia="en-AU"/>
        </w:rPr>
      </w:pPr>
      <w:hyperlink r:id="rId27" w:history="1">
        <w:r w:rsidR="006117AD" w:rsidRPr="00AA7A10">
          <w:rPr>
            <w:rStyle w:val="Hyperlink"/>
            <w:rFonts w:eastAsia="Times New Roman" w:cs="Arial"/>
            <w:szCs w:val="22"/>
            <w:lang w:eastAsia="en-AU"/>
          </w:rPr>
          <w:t>Operation of Grants H</w:t>
        </w:r>
        <w:r w:rsidR="00232016" w:rsidRPr="00AA7A10">
          <w:rPr>
            <w:rStyle w:val="Hyperlink"/>
            <w:rFonts w:eastAsia="Times New Roman" w:cs="Arial"/>
            <w:szCs w:val="22"/>
            <w:lang w:eastAsia="en-AU"/>
          </w:rPr>
          <w:t>ubs</w:t>
        </w:r>
        <w:r w:rsidR="006117AD" w:rsidRPr="00AA7A10">
          <w:rPr>
            <w:rStyle w:val="Hyperlink"/>
            <w:rFonts w:eastAsia="Times New Roman" w:cs="Arial"/>
            <w:szCs w:val="22"/>
            <w:lang w:eastAsia="en-AU"/>
          </w:rPr>
          <w:t xml:space="preserve"> ANAO</w:t>
        </w:r>
      </w:hyperlink>
    </w:p>
    <w:p w14:paraId="01348A40" w14:textId="40EA25DC" w:rsidR="006117AD" w:rsidRPr="00AA7A10" w:rsidRDefault="004D262C" w:rsidP="00181F7A">
      <w:pPr>
        <w:pStyle w:val="ListParagraph"/>
        <w:numPr>
          <w:ilvl w:val="0"/>
          <w:numId w:val="3"/>
        </w:numPr>
        <w:rPr>
          <w:rFonts w:eastAsia="Times New Roman" w:cs="Arial"/>
          <w:color w:val="000000"/>
          <w:szCs w:val="22"/>
          <w:lang w:eastAsia="en-AU"/>
        </w:rPr>
      </w:pPr>
      <w:hyperlink r:id="rId28" w:history="1">
        <w:r w:rsidR="006117AD" w:rsidRPr="00AA7A10">
          <w:rPr>
            <w:rStyle w:val="Hyperlink"/>
            <w:rFonts w:eastAsia="Times New Roman" w:cs="Arial"/>
            <w:szCs w:val="22"/>
            <w:lang w:eastAsia="en-AU"/>
          </w:rPr>
          <w:t>Paying what it takes - Funding indirect costs to create long-term impact</w:t>
        </w:r>
      </w:hyperlink>
    </w:p>
    <w:p w14:paraId="57A871D2" w14:textId="71BB3126" w:rsidR="006117AD" w:rsidRPr="00AA7A10" w:rsidRDefault="004D262C" w:rsidP="00181F7A">
      <w:pPr>
        <w:pStyle w:val="ListParagraph"/>
        <w:numPr>
          <w:ilvl w:val="0"/>
          <w:numId w:val="3"/>
        </w:numPr>
        <w:rPr>
          <w:rFonts w:eastAsia="Times New Roman" w:cs="Arial"/>
          <w:color w:val="000000"/>
          <w:szCs w:val="22"/>
          <w:lang w:eastAsia="en-AU"/>
        </w:rPr>
      </w:pPr>
      <w:hyperlink r:id="rId29" w:history="1">
        <w:r w:rsidR="006117AD" w:rsidRPr="00AA7A10">
          <w:rPr>
            <w:rStyle w:val="Hyperlink"/>
            <w:rFonts w:eastAsia="Times New Roman" w:cs="Arial"/>
            <w:szCs w:val="22"/>
            <w:lang w:eastAsia="en-AU"/>
          </w:rPr>
          <w:t>Seal the barrel: a new robust system for the administration of government grants</w:t>
        </w:r>
      </w:hyperlink>
    </w:p>
    <w:p w14:paraId="74236472" w14:textId="355982E7" w:rsidR="006117AD" w:rsidRPr="00AA7A10" w:rsidRDefault="006117AD" w:rsidP="00181F7A">
      <w:pPr>
        <w:pStyle w:val="ListParagraph"/>
        <w:numPr>
          <w:ilvl w:val="0"/>
          <w:numId w:val="3"/>
        </w:numPr>
        <w:rPr>
          <w:rStyle w:val="Hyperlink"/>
          <w:rFonts w:cs="Arial"/>
          <w:szCs w:val="22"/>
          <w:lang w:eastAsia="en-AU"/>
        </w:rPr>
      </w:pPr>
      <w:r w:rsidRPr="00AA7A10">
        <w:rPr>
          <w:rStyle w:val="Hyperlink"/>
          <w:rFonts w:cs="Arial"/>
          <w:szCs w:val="22"/>
        </w:rPr>
        <w:t xml:space="preserve">2023 </w:t>
      </w:r>
      <w:hyperlink r:id="rId30" w:history="1">
        <w:r w:rsidRPr="00AA7A10">
          <w:rPr>
            <w:rStyle w:val="Hyperlink"/>
            <w:rFonts w:eastAsia="Times New Roman" w:cs="Arial"/>
            <w:szCs w:val="22"/>
            <w:lang w:eastAsia="en-AU"/>
          </w:rPr>
          <w:t>ACTCOSS Cost of Living Report</w:t>
        </w:r>
      </w:hyperlink>
    </w:p>
    <w:p w14:paraId="0CD168F2" w14:textId="45FFBAC0" w:rsidR="006117AD" w:rsidRPr="00AA7A10" w:rsidRDefault="004D262C" w:rsidP="00181F7A">
      <w:pPr>
        <w:pStyle w:val="ListParagraph"/>
        <w:numPr>
          <w:ilvl w:val="0"/>
          <w:numId w:val="3"/>
        </w:numPr>
        <w:rPr>
          <w:rFonts w:eastAsia="Times New Roman" w:cs="Arial"/>
          <w:color w:val="000000"/>
          <w:szCs w:val="22"/>
          <w:lang w:eastAsia="en-AU"/>
        </w:rPr>
      </w:pPr>
      <w:hyperlink r:id="rId31" w:history="1">
        <w:r w:rsidR="006117AD" w:rsidRPr="00AA7A10">
          <w:rPr>
            <w:rStyle w:val="Hyperlink"/>
            <w:rFonts w:eastAsia="Times New Roman" w:cs="Arial"/>
            <w:szCs w:val="22"/>
            <w:lang w:eastAsia="en-AU"/>
          </w:rPr>
          <w:t xml:space="preserve">2015 impact on Service quality, efficiency and sustainability of recent Commonwealth community service tendering process by the </w:t>
        </w:r>
        <w:r w:rsidR="00027A8B" w:rsidRPr="00AA7A10">
          <w:rPr>
            <w:rStyle w:val="Hyperlink"/>
            <w:rFonts w:eastAsia="Times New Roman" w:cs="Arial"/>
            <w:szCs w:val="22"/>
            <w:lang w:eastAsia="en-AU"/>
          </w:rPr>
          <w:t>department</w:t>
        </w:r>
      </w:hyperlink>
    </w:p>
    <w:p w14:paraId="58B3C562" w14:textId="77777777" w:rsidR="006117AD" w:rsidRPr="00AA7A10" w:rsidRDefault="004D262C" w:rsidP="00181F7A">
      <w:pPr>
        <w:pStyle w:val="ListParagraph"/>
        <w:numPr>
          <w:ilvl w:val="0"/>
          <w:numId w:val="3"/>
        </w:numPr>
        <w:rPr>
          <w:rFonts w:eastAsia="Times New Roman" w:cs="Arial"/>
          <w:color w:val="000000"/>
          <w:szCs w:val="22"/>
          <w:lang w:eastAsia="en-AU"/>
        </w:rPr>
      </w:pPr>
      <w:hyperlink r:id="rId32" w:history="1">
        <w:r w:rsidR="006117AD" w:rsidRPr="00AA7A10">
          <w:rPr>
            <w:rStyle w:val="Hyperlink"/>
            <w:rFonts w:eastAsia="Times New Roman" w:cs="Arial"/>
            <w:szCs w:val="22"/>
            <w:lang w:eastAsia="en-AU"/>
          </w:rPr>
          <w:t>Stronger ACCOs, Stronger Families Final Report</w:t>
        </w:r>
      </w:hyperlink>
    </w:p>
    <w:p w14:paraId="03A826A8" w14:textId="68D52C57" w:rsidR="006117AD" w:rsidRPr="00AA7A10" w:rsidRDefault="006117AD" w:rsidP="00181F7A">
      <w:pPr>
        <w:pStyle w:val="ListParagraph"/>
        <w:numPr>
          <w:ilvl w:val="0"/>
          <w:numId w:val="3"/>
        </w:numPr>
        <w:rPr>
          <w:rFonts w:eastAsia="Times New Roman" w:cs="Arial"/>
          <w:color w:val="000000"/>
          <w:szCs w:val="22"/>
          <w:lang w:eastAsia="en-AU"/>
        </w:rPr>
      </w:pPr>
      <w:r w:rsidRPr="00AA7A10">
        <w:rPr>
          <w:rFonts w:eastAsia="Times New Roman" w:cs="Arial"/>
          <w:color w:val="000000"/>
          <w:szCs w:val="22"/>
          <w:lang w:eastAsia="en-AU"/>
        </w:rPr>
        <w:t>OECD’s work on the social and solidarity economy</w:t>
      </w:r>
      <w:r w:rsidR="00CC3285" w:rsidRPr="00AA7A10">
        <w:rPr>
          <w:rFonts w:eastAsia="Times New Roman" w:cs="Arial"/>
          <w:color w:val="000000"/>
          <w:szCs w:val="22"/>
          <w:lang w:eastAsia="en-AU"/>
        </w:rPr>
        <w:t>:</w:t>
      </w:r>
    </w:p>
    <w:p w14:paraId="64DFBDA4" w14:textId="7EAC21A0" w:rsidR="006117AD" w:rsidRPr="00AA7A10" w:rsidRDefault="004D262C" w:rsidP="00181F7A">
      <w:pPr>
        <w:pStyle w:val="ListParagraph"/>
        <w:numPr>
          <w:ilvl w:val="0"/>
          <w:numId w:val="10"/>
        </w:numPr>
        <w:ind w:left="1134"/>
        <w:rPr>
          <w:rFonts w:eastAsia="Times New Roman" w:cs="Arial"/>
          <w:color w:val="000000"/>
          <w:szCs w:val="22"/>
          <w:lang w:eastAsia="en-AU"/>
        </w:rPr>
      </w:pPr>
      <w:hyperlink r:id="rId33" w:history="1">
        <w:r w:rsidR="006117AD" w:rsidRPr="00AA7A10">
          <w:rPr>
            <w:rStyle w:val="Hyperlink"/>
            <w:rFonts w:eastAsia="Times New Roman" w:cs="Arial"/>
            <w:szCs w:val="22"/>
            <w:lang w:eastAsia="en-AU"/>
          </w:rPr>
          <w:t>Social Economy and Innovation</w:t>
        </w:r>
      </w:hyperlink>
    </w:p>
    <w:p w14:paraId="767B28C6" w14:textId="2C92FB13" w:rsidR="006117AD" w:rsidRPr="00AA7A10" w:rsidRDefault="004D262C" w:rsidP="00181F7A">
      <w:pPr>
        <w:pStyle w:val="ListParagraph"/>
        <w:numPr>
          <w:ilvl w:val="0"/>
          <w:numId w:val="10"/>
        </w:numPr>
        <w:ind w:left="1134"/>
        <w:rPr>
          <w:rFonts w:eastAsia="Times New Roman" w:cs="Arial"/>
          <w:color w:val="000000"/>
          <w:szCs w:val="22"/>
          <w:lang w:eastAsia="en-AU"/>
        </w:rPr>
      </w:pPr>
      <w:hyperlink r:id="rId34" w:history="1">
        <w:r w:rsidR="006117AD" w:rsidRPr="00AA7A10">
          <w:rPr>
            <w:rStyle w:val="Hyperlink"/>
            <w:rFonts w:eastAsia="Times New Roman" w:cs="Arial"/>
            <w:szCs w:val="22"/>
            <w:lang w:eastAsia="en-AU"/>
          </w:rPr>
          <w:t>Global Action: Promoting Social and Solidarity Economy Ecosystems</w:t>
        </w:r>
      </w:hyperlink>
    </w:p>
    <w:p w14:paraId="6DD818DB" w14:textId="5D4BB1FC" w:rsidR="006117AD" w:rsidRPr="00AA7A10" w:rsidRDefault="004D262C" w:rsidP="00181F7A">
      <w:pPr>
        <w:pStyle w:val="ListParagraph"/>
        <w:numPr>
          <w:ilvl w:val="0"/>
          <w:numId w:val="10"/>
        </w:numPr>
        <w:ind w:left="1134"/>
        <w:rPr>
          <w:rFonts w:eastAsia="Times New Roman" w:cs="Arial"/>
          <w:color w:val="000000"/>
          <w:szCs w:val="22"/>
          <w:lang w:eastAsia="en-AU"/>
        </w:rPr>
      </w:pPr>
      <w:hyperlink r:id="rId35" w:history="1">
        <w:r w:rsidR="006117AD" w:rsidRPr="00AA7A10">
          <w:rPr>
            <w:rStyle w:val="Hyperlink"/>
            <w:rFonts w:eastAsia="Times New Roman" w:cs="Arial"/>
            <w:szCs w:val="22"/>
            <w:lang w:eastAsia="en-AU"/>
          </w:rPr>
          <w:t>OECD Recommendation on the Social and Solidarity Economy and Social Innovation</w:t>
        </w:r>
      </w:hyperlink>
      <w:r w:rsidR="00E30780" w:rsidRPr="00AA7A10">
        <w:rPr>
          <w:rStyle w:val="Hyperlink"/>
          <w:rFonts w:eastAsia="Times New Roman" w:cs="Arial"/>
          <w:szCs w:val="22"/>
          <w:lang w:eastAsia="en-AU"/>
        </w:rPr>
        <w:t>.</w:t>
      </w:r>
    </w:p>
    <w:p w14:paraId="163E7D2D" w14:textId="77777777" w:rsidR="006117AD" w:rsidRPr="00E6758B" w:rsidRDefault="006117AD" w:rsidP="00F21392">
      <w:pPr>
        <w:pStyle w:val="Heading2"/>
        <w:rPr>
          <w:rStyle w:val="Strong"/>
          <w:rFonts w:asciiTheme="minorHAnsi" w:eastAsiaTheme="minorHAnsi" w:hAnsiTheme="minorHAnsi" w:cstheme="minorBidi"/>
          <w:bCs/>
          <w:color w:val="auto"/>
          <w:sz w:val="24"/>
          <w:szCs w:val="24"/>
          <w:lang w:eastAsia="en-US"/>
        </w:rPr>
      </w:pPr>
      <w:bookmarkStart w:id="8" w:name="_Toc144983234"/>
      <w:r>
        <w:rPr>
          <w:rStyle w:val="Strong"/>
          <w:b w:val="0"/>
        </w:rPr>
        <w:t>Relationship with r</w:t>
      </w:r>
      <w:r w:rsidRPr="00E6758B">
        <w:rPr>
          <w:rStyle w:val="Strong"/>
          <w:b w:val="0"/>
        </w:rPr>
        <w:t>elated strategies</w:t>
      </w:r>
      <w:r>
        <w:rPr>
          <w:rStyle w:val="Strong"/>
          <w:b w:val="0"/>
        </w:rPr>
        <w:t xml:space="preserve"> and other initiatives</w:t>
      </w:r>
      <w:bookmarkEnd w:id="8"/>
    </w:p>
    <w:p w14:paraId="3E1AC66A" w14:textId="77777777" w:rsidR="00A05AA6" w:rsidRPr="00AA7A10" w:rsidRDefault="00C8140C" w:rsidP="00776540">
      <w:pPr>
        <w:spacing w:line="276" w:lineRule="auto"/>
        <w:rPr>
          <w:rFonts w:cs="Arial"/>
        </w:rPr>
      </w:pPr>
      <w:r w:rsidRPr="00AA7A10">
        <w:rPr>
          <w:rFonts w:cs="Arial"/>
        </w:rPr>
        <w:t>A number of g</w:t>
      </w:r>
      <w:r w:rsidR="006117AD" w:rsidRPr="00AA7A10">
        <w:rPr>
          <w:rFonts w:cs="Arial"/>
        </w:rPr>
        <w:t xml:space="preserve">overnment strategies and initiatives </w:t>
      </w:r>
      <w:r w:rsidR="006117AD" w:rsidRPr="00AA7A10">
        <w:rPr>
          <w:rFonts w:cs="Arial"/>
          <w:iCs/>
        </w:rPr>
        <w:t xml:space="preserve">contribute to overall community sector development, including </w:t>
      </w:r>
      <w:r w:rsidR="006117AD" w:rsidRPr="00AA7A10">
        <w:rPr>
          <w:rFonts w:cs="Arial"/>
        </w:rPr>
        <w:t>the commitments under</w:t>
      </w:r>
      <w:r w:rsidR="00A05AA6" w:rsidRPr="00AA7A10">
        <w:rPr>
          <w:rFonts w:cs="Arial"/>
        </w:rPr>
        <w:t xml:space="preserve">: </w:t>
      </w:r>
    </w:p>
    <w:p w14:paraId="76F0BE7D" w14:textId="6A64E4A5" w:rsidR="00A05AA6" w:rsidRPr="00F21392" w:rsidRDefault="004D262C" w:rsidP="00181F7A">
      <w:pPr>
        <w:pStyle w:val="ListParagraph"/>
        <w:numPr>
          <w:ilvl w:val="0"/>
          <w:numId w:val="19"/>
        </w:numPr>
        <w:spacing w:line="276" w:lineRule="auto"/>
        <w:rPr>
          <w:rStyle w:val="Hyperlink"/>
          <w:rFonts w:eastAsiaTheme="minorEastAsia" w:cs="Arial"/>
          <w:color w:val="auto"/>
          <w:u w:val="none"/>
        </w:rPr>
      </w:pPr>
      <w:hyperlink r:id="rId36" w:history="1">
        <w:r w:rsidR="006117AD" w:rsidRPr="00EC4759">
          <w:rPr>
            <w:rStyle w:val="Hyperlink"/>
            <w:rFonts w:cs="Arial"/>
          </w:rPr>
          <w:t>Australia’s Disability Strategy</w:t>
        </w:r>
        <w:r w:rsidR="00DD4814" w:rsidRPr="00DD4814">
          <w:rPr>
            <w:rStyle w:val="Hyperlink"/>
            <w:rFonts w:cs="Arial"/>
          </w:rPr>
          <w:t xml:space="preserve"> </w:t>
        </w:r>
        <w:r w:rsidR="00DD4814" w:rsidRPr="002A537F">
          <w:rPr>
            <w:rStyle w:val="Hyperlink"/>
            <w:rFonts w:cs="Arial"/>
          </w:rPr>
          <w:t>2021-2031</w:t>
        </w:r>
      </w:hyperlink>
      <w:r w:rsidR="006117AD" w:rsidRPr="00AA7A10">
        <w:rPr>
          <w:rStyle w:val="Hyperlink"/>
          <w:rFonts w:cs="Arial"/>
        </w:rPr>
        <w:t xml:space="preserve"> </w:t>
      </w:r>
    </w:p>
    <w:p w14:paraId="00FE5758" w14:textId="52ACA3DE" w:rsidR="00A05AA6" w:rsidRPr="00F21392" w:rsidRDefault="004D262C" w:rsidP="00181F7A">
      <w:pPr>
        <w:pStyle w:val="ListParagraph"/>
        <w:numPr>
          <w:ilvl w:val="0"/>
          <w:numId w:val="19"/>
        </w:numPr>
        <w:spacing w:line="276" w:lineRule="auto"/>
        <w:rPr>
          <w:rFonts w:eastAsiaTheme="minorEastAsia" w:cs="Arial"/>
        </w:rPr>
      </w:pPr>
      <w:hyperlink r:id="rId37" w:history="1">
        <w:r w:rsidR="00324A84">
          <w:rPr>
            <w:rStyle w:val="Hyperlink"/>
            <w:rFonts w:cs="Arial"/>
          </w:rPr>
          <w:t>National Strategy for Volunteering</w:t>
        </w:r>
      </w:hyperlink>
      <w:r w:rsidR="00966CC6" w:rsidRPr="00AA7A10">
        <w:rPr>
          <w:rFonts w:cs="Arial"/>
          <w:iCs/>
        </w:rPr>
        <w:t xml:space="preserve"> </w:t>
      </w:r>
    </w:p>
    <w:p w14:paraId="5AF6DD3F" w14:textId="642FA183" w:rsidR="00A05AA6" w:rsidRPr="00F21392" w:rsidRDefault="004D262C" w:rsidP="00181F7A">
      <w:pPr>
        <w:pStyle w:val="ListParagraph"/>
        <w:numPr>
          <w:ilvl w:val="0"/>
          <w:numId w:val="19"/>
        </w:numPr>
        <w:spacing w:line="276" w:lineRule="auto"/>
        <w:rPr>
          <w:rFonts w:eastAsiaTheme="minorEastAsia" w:cs="Arial"/>
        </w:rPr>
      </w:pPr>
      <w:hyperlink r:id="rId38" w:history="1">
        <w:r w:rsidR="00966CC6" w:rsidRPr="00AA7A10">
          <w:rPr>
            <w:rStyle w:val="Hyperlink"/>
            <w:rFonts w:cs="Arial"/>
          </w:rPr>
          <w:t>Safe and Supported: National Framework for Protecting Australia’s Children 2021-</w:t>
        </w:r>
        <w:r w:rsidR="00DD4814">
          <w:rPr>
            <w:rStyle w:val="Hyperlink"/>
            <w:rFonts w:cs="Arial"/>
          </w:rPr>
          <w:t>20</w:t>
        </w:r>
        <w:r w:rsidR="00966CC6" w:rsidRPr="00AA7A10">
          <w:rPr>
            <w:rStyle w:val="Hyperlink"/>
            <w:rFonts w:cs="Arial"/>
          </w:rPr>
          <w:t>31</w:t>
        </w:r>
      </w:hyperlink>
      <w:r w:rsidR="00966CC6" w:rsidRPr="00AA7A10">
        <w:rPr>
          <w:rFonts w:cs="Arial"/>
        </w:rPr>
        <w:t xml:space="preserve">. </w:t>
      </w:r>
    </w:p>
    <w:p w14:paraId="4E391D69" w14:textId="2AD2258A" w:rsidR="00966CC6" w:rsidRPr="00AA7A10" w:rsidRDefault="00966CC6" w:rsidP="003B571A">
      <w:pPr>
        <w:spacing w:line="276" w:lineRule="auto"/>
        <w:rPr>
          <w:rFonts w:eastAsiaTheme="minorEastAsia" w:cs="Arial"/>
        </w:rPr>
      </w:pPr>
      <w:r w:rsidRPr="00AA7A10">
        <w:rPr>
          <w:rFonts w:cs="Arial"/>
        </w:rPr>
        <w:t xml:space="preserve">The department is also committed to implementing the reforms outlined in the </w:t>
      </w:r>
      <w:hyperlink r:id="rId39" w:history="1">
        <w:r w:rsidRPr="00AA7A10">
          <w:rPr>
            <w:rStyle w:val="Hyperlink"/>
            <w:rFonts w:eastAsiaTheme="minorEastAsia" w:cs="Arial"/>
          </w:rPr>
          <w:t>National Agreement on Closing the Gap</w:t>
        </w:r>
      </w:hyperlink>
      <w:r w:rsidRPr="00AA7A10">
        <w:rPr>
          <w:rFonts w:eastAsiaTheme="minorEastAsia" w:cs="Arial"/>
        </w:rPr>
        <w:t xml:space="preserve">. Priority Reform 2 (building the community controlled sector) and Priority Reform 3 (transforming government organisations) are particularly relevant for this work. Additionally, Pillar 2 of the </w:t>
      </w:r>
      <w:hyperlink r:id="rId40" w:history="1">
        <w:r w:rsidRPr="00AA7A10">
          <w:rPr>
            <w:rStyle w:val="Hyperlink"/>
            <w:rFonts w:cs="Arial"/>
          </w:rPr>
          <w:t>Australian Public Service Reforms</w:t>
        </w:r>
      </w:hyperlink>
      <w:r w:rsidRPr="00AA7A10">
        <w:rPr>
          <w:rFonts w:eastAsiaTheme="minorEastAsia" w:cs="Arial"/>
        </w:rPr>
        <w:t xml:space="preserve">, strives for an APS that puts people and business at the centre of policy and services. </w:t>
      </w:r>
    </w:p>
    <w:p w14:paraId="60103EB8" w14:textId="464F3F69" w:rsidR="00776540" w:rsidRPr="00AA7A10" w:rsidRDefault="00776540" w:rsidP="00776540">
      <w:pPr>
        <w:spacing w:line="276" w:lineRule="auto"/>
        <w:rPr>
          <w:rFonts w:eastAsiaTheme="minorEastAsia" w:cs="Arial"/>
        </w:rPr>
      </w:pPr>
      <w:r w:rsidRPr="00AA7A10">
        <w:rPr>
          <w:rFonts w:cs="Arial"/>
          <w:iCs/>
        </w:rPr>
        <w:t xml:space="preserve">There are significant commitments made in these initiatives to appropriately consider, support and work with </w:t>
      </w:r>
      <w:r w:rsidR="00BF4EDF" w:rsidRPr="00AA7A10">
        <w:rPr>
          <w:rFonts w:cs="Arial"/>
          <w:iCs/>
        </w:rPr>
        <w:t>specific cohorts within our</w:t>
      </w:r>
      <w:r w:rsidRPr="00AA7A10">
        <w:rPr>
          <w:rFonts w:cs="Arial"/>
          <w:iCs/>
        </w:rPr>
        <w:t xml:space="preserve"> community. These commitments form the foundation on which </w:t>
      </w:r>
      <w:r w:rsidR="00FD07C0" w:rsidRPr="00AA7A10">
        <w:rPr>
          <w:rFonts w:cs="Arial"/>
          <w:iCs/>
        </w:rPr>
        <w:t>g</w:t>
      </w:r>
      <w:r w:rsidRPr="00AA7A10">
        <w:rPr>
          <w:rFonts w:cs="Arial"/>
          <w:iCs/>
        </w:rPr>
        <w:t>overnment is strengthening the sustainability of the community sector</w:t>
      </w:r>
      <w:r w:rsidR="0048269B" w:rsidRPr="00AA7A10">
        <w:rPr>
          <w:rFonts w:cs="Arial"/>
          <w:iCs/>
        </w:rPr>
        <w:t>.</w:t>
      </w:r>
    </w:p>
    <w:p w14:paraId="31EE1038" w14:textId="4AEFB2F4" w:rsidR="006117AD" w:rsidRPr="00AA7A10" w:rsidRDefault="00776540" w:rsidP="00776540">
      <w:pPr>
        <w:spacing w:line="276" w:lineRule="auto"/>
        <w:rPr>
          <w:rFonts w:cs="Arial"/>
          <w:iCs/>
        </w:rPr>
      </w:pPr>
      <w:r w:rsidRPr="00AA7A10">
        <w:rPr>
          <w:rFonts w:cs="Arial"/>
          <w:iCs/>
        </w:rPr>
        <w:t xml:space="preserve">In this context, the </w:t>
      </w:r>
      <w:r w:rsidR="006117AD" w:rsidRPr="00AA7A10">
        <w:rPr>
          <w:rFonts w:cs="Arial"/>
          <w:iCs/>
        </w:rPr>
        <w:t xml:space="preserve">2023-24 Budget provided a $199.8 million package to target entrenched disadvantage, which included measures to extend place-based partnerships in </w:t>
      </w:r>
      <w:r w:rsidR="005E2B88" w:rsidRPr="00AA7A10">
        <w:rPr>
          <w:rFonts w:cs="Arial"/>
          <w:iCs/>
        </w:rPr>
        <w:t xml:space="preserve">targeted </w:t>
      </w:r>
      <w:r w:rsidR="006117AD" w:rsidRPr="00AA7A10">
        <w:rPr>
          <w:rFonts w:cs="Arial"/>
          <w:iCs/>
        </w:rPr>
        <w:t>communities and enhance shared decision-making and local solutions.</w:t>
      </w:r>
    </w:p>
    <w:p w14:paraId="14F10C63" w14:textId="42EE6AE7" w:rsidR="006117AD" w:rsidRPr="00AA7A10" w:rsidRDefault="006117AD" w:rsidP="006117AD">
      <w:pPr>
        <w:spacing w:line="276" w:lineRule="auto"/>
        <w:rPr>
          <w:rFonts w:cs="Arial"/>
          <w:iCs/>
        </w:rPr>
      </w:pPr>
      <w:r w:rsidRPr="00AA7A10">
        <w:rPr>
          <w:rFonts w:cs="Arial"/>
          <w:iCs/>
        </w:rPr>
        <w:t xml:space="preserve">Any reforms or changes in approaches as part of this process will need to </w:t>
      </w:r>
      <w:r w:rsidRPr="00AA7A10">
        <w:rPr>
          <w:rFonts w:cs="Arial"/>
        </w:rPr>
        <w:t>build on existing efforts, a</w:t>
      </w:r>
      <w:r w:rsidR="00C8140C" w:rsidRPr="00AA7A10">
        <w:rPr>
          <w:rFonts w:cs="Arial"/>
        </w:rPr>
        <w:t>cross multiple portfolios. The g</w:t>
      </w:r>
      <w:r w:rsidRPr="00AA7A10">
        <w:rPr>
          <w:rFonts w:cs="Arial"/>
        </w:rPr>
        <w:t xml:space="preserve">overnment will also take </w:t>
      </w:r>
      <w:r w:rsidR="00A05AA6" w:rsidRPr="00AA7A10">
        <w:rPr>
          <w:rFonts w:cs="Arial"/>
        </w:rPr>
        <w:t xml:space="preserve">into </w:t>
      </w:r>
      <w:r w:rsidRPr="00AA7A10">
        <w:rPr>
          <w:rFonts w:cs="Arial"/>
        </w:rPr>
        <w:t xml:space="preserve">account other reviews, such as the </w:t>
      </w:r>
      <w:hyperlink r:id="rId41" w:history="1">
        <w:r w:rsidR="00F655A7" w:rsidRPr="000756CE">
          <w:rPr>
            <w:rStyle w:val="Hyperlink"/>
            <w:rFonts w:cs="Arial"/>
          </w:rPr>
          <w:t>Philanthropy Review</w:t>
        </w:r>
      </w:hyperlink>
      <w:r w:rsidRPr="00AA7A10">
        <w:rPr>
          <w:rFonts w:cs="Arial"/>
        </w:rPr>
        <w:t xml:space="preserve"> and </w:t>
      </w:r>
      <w:r w:rsidRPr="00AA7A10">
        <w:rPr>
          <w:rFonts w:cs="Arial"/>
          <w:iCs/>
        </w:rPr>
        <w:t xml:space="preserve">the </w:t>
      </w:r>
      <w:hyperlink r:id="rId42" w:history="1">
        <w:r w:rsidR="00F655A7" w:rsidRPr="000756CE">
          <w:rPr>
            <w:rStyle w:val="Hyperlink"/>
          </w:rPr>
          <w:t>Not-For-Profit (NFP) Sector Blueprint</w:t>
        </w:r>
      </w:hyperlink>
      <w:r w:rsidR="00F655A7" w:rsidRPr="00F655A7">
        <w:rPr>
          <w:rStyle w:val="Hyperlink"/>
        </w:rPr>
        <w:t>.</w:t>
      </w:r>
    </w:p>
    <w:p w14:paraId="68087566" w14:textId="43FD5CA3" w:rsidR="006117AD" w:rsidRPr="00AA7A10" w:rsidRDefault="006117AD" w:rsidP="00F21392">
      <w:pPr>
        <w:spacing w:line="276" w:lineRule="auto"/>
        <w:rPr>
          <w:rFonts w:cs="Arial"/>
          <w:szCs w:val="22"/>
        </w:rPr>
      </w:pPr>
      <w:r w:rsidRPr="00AA7A10">
        <w:rPr>
          <w:rFonts w:cs="Arial"/>
        </w:rPr>
        <w:t xml:space="preserve">A list of related strategies is outlined in the appendices. </w:t>
      </w:r>
    </w:p>
    <w:p w14:paraId="278CB5BA" w14:textId="77777777" w:rsidR="006117AD" w:rsidRDefault="006117AD" w:rsidP="006117AD">
      <w:pPr>
        <w:rPr>
          <w:rFonts w:ascii="Calibri" w:eastAsia="Times New Roman" w:hAnsi="Calibri" w:cstheme="majorBidi"/>
          <w:b/>
          <w:bCs/>
          <w:color w:val="1F3763" w:themeColor="accent1" w:themeShade="7F"/>
          <w:sz w:val="28"/>
          <w:szCs w:val="28"/>
          <w:lang w:eastAsia="en-AU"/>
        </w:rPr>
      </w:pPr>
      <w:r w:rsidRPr="00CD7EE8">
        <w:rPr>
          <w:rFonts w:ascii="Calibri" w:hAnsi="Calibri" w:cs="Calibri"/>
        </w:rPr>
        <w:br w:type="page"/>
      </w:r>
    </w:p>
    <w:p w14:paraId="5C247B15" w14:textId="77777777" w:rsidR="006117AD" w:rsidRPr="00C000BA" w:rsidRDefault="006117AD" w:rsidP="00C000BA">
      <w:pPr>
        <w:pStyle w:val="Heading1"/>
      </w:pPr>
      <w:bookmarkStart w:id="9" w:name="_Toc144983235"/>
      <w:r w:rsidRPr="00C000BA">
        <w:lastRenderedPageBreak/>
        <w:t>Context</w:t>
      </w:r>
      <w:bookmarkEnd w:id="9"/>
    </w:p>
    <w:p w14:paraId="61BAF88E" w14:textId="31ED43B1" w:rsidR="00C0722B" w:rsidRDefault="00C0722B" w:rsidP="00437102">
      <w:pPr>
        <w:pStyle w:val="Heading2"/>
      </w:pPr>
      <w:bookmarkStart w:id="10" w:name="_Toc144983236"/>
      <w:r>
        <w:t xml:space="preserve">Community </w:t>
      </w:r>
      <w:r w:rsidR="00324A84">
        <w:t>s</w:t>
      </w:r>
      <w:r>
        <w:t>e</w:t>
      </w:r>
      <w:r w:rsidR="00BF4EDF">
        <w:t>rvices</w:t>
      </w:r>
      <w:bookmarkEnd w:id="10"/>
    </w:p>
    <w:p w14:paraId="271FC7F9" w14:textId="23EF083F" w:rsidR="00A05AA6" w:rsidRPr="00AA7A10" w:rsidRDefault="00C0722B" w:rsidP="00E83608">
      <w:pPr>
        <w:spacing w:line="276" w:lineRule="auto"/>
        <w:rPr>
          <w:rFonts w:cs="Arial"/>
        </w:rPr>
      </w:pPr>
      <w:r w:rsidRPr="00AA7A10">
        <w:rPr>
          <w:rFonts w:cs="Arial"/>
        </w:rPr>
        <w:t>The</w:t>
      </w:r>
      <w:r w:rsidR="00D26C7B" w:rsidRPr="00AA7A10">
        <w:rPr>
          <w:rFonts w:cs="Arial"/>
        </w:rPr>
        <w:t xml:space="preserve">re are </w:t>
      </w:r>
      <w:r w:rsidR="006F410C" w:rsidRPr="00AA7A10">
        <w:rPr>
          <w:rFonts w:cs="Arial"/>
        </w:rPr>
        <w:t>differing</w:t>
      </w:r>
      <w:r w:rsidR="00D26C7B" w:rsidRPr="00AA7A10">
        <w:rPr>
          <w:rFonts w:cs="Arial"/>
        </w:rPr>
        <w:t xml:space="preserve"> views regarding how </w:t>
      </w:r>
      <w:r w:rsidRPr="00AA7A10">
        <w:rPr>
          <w:rFonts w:cs="Arial"/>
        </w:rPr>
        <w:t>community s</w:t>
      </w:r>
      <w:r w:rsidR="00BF4EDF" w:rsidRPr="00AA7A10">
        <w:rPr>
          <w:rFonts w:cs="Arial"/>
        </w:rPr>
        <w:t>e</w:t>
      </w:r>
      <w:r w:rsidR="00A05AA6" w:rsidRPr="00AA7A10">
        <w:rPr>
          <w:rFonts w:cs="Arial"/>
        </w:rPr>
        <w:t xml:space="preserve">rvices </w:t>
      </w:r>
      <w:r w:rsidR="006F410C" w:rsidRPr="00AA7A10">
        <w:rPr>
          <w:rFonts w:cs="Arial"/>
        </w:rPr>
        <w:t>should</w:t>
      </w:r>
      <w:r w:rsidR="00D26C7B" w:rsidRPr="00AA7A10">
        <w:rPr>
          <w:rFonts w:cs="Arial"/>
        </w:rPr>
        <w:t xml:space="preserve"> be defined. In </w:t>
      </w:r>
      <w:r w:rsidR="006F410C" w:rsidRPr="00AA7A10">
        <w:rPr>
          <w:rFonts w:cs="Arial"/>
        </w:rPr>
        <w:t xml:space="preserve">this </w:t>
      </w:r>
      <w:r w:rsidR="00324A84">
        <w:rPr>
          <w:rFonts w:cs="Arial"/>
        </w:rPr>
        <w:t>issues</w:t>
      </w:r>
      <w:r w:rsidR="00324A84" w:rsidRPr="00AA7A10">
        <w:rPr>
          <w:rFonts w:cs="Arial"/>
        </w:rPr>
        <w:t xml:space="preserve"> </w:t>
      </w:r>
      <w:r w:rsidR="00D6250B" w:rsidRPr="00AA7A10">
        <w:rPr>
          <w:rFonts w:cs="Arial"/>
        </w:rPr>
        <w:t>paper</w:t>
      </w:r>
      <w:r w:rsidR="006F410C" w:rsidRPr="00AA7A10">
        <w:rPr>
          <w:rFonts w:cs="Arial"/>
        </w:rPr>
        <w:t xml:space="preserve">, we </w:t>
      </w:r>
      <w:r w:rsidR="00C815C1" w:rsidRPr="00AA7A10">
        <w:rPr>
          <w:rFonts w:cs="Arial"/>
        </w:rPr>
        <w:t>define</w:t>
      </w:r>
      <w:r w:rsidR="006F410C" w:rsidRPr="00AA7A10">
        <w:rPr>
          <w:rFonts w:cs="Arial"/>
        </w:rPr>
        <w:t xml:space="preserve"> them by </w:t>
      </w:r>
      <w:r w:rsidR="00D6250B" w:rsidRPr="00AA7A10">
        <w:rPr>
          <w:rFonts w:cs="Arial"/>
        </w:rPr>
        <w:t xml:space="preserve">the function they provide in </w:t>
      </w:r>
      <w:r w:rsidR="00BF4EDF" w:rsidRPr="00AA7A10">
        <w:rPr>
          <w:rFonts w:cs="Arial"/>
        </w:rPr>
        <w:t>their</w:t>
      </w:r>
      <w:r w:rsidR="00D6250B" w:rsidRPr="00AA7A10">
        <w:rPr>
          <w:rFonts w:cs="Arial"/>
        </w:rPr>
        <w:t xml:space="preserve"> local community</w:t>
      </w:r>
      <w:r w:rsidR="00F40E11" w:rsidRPr="00AA7A10">
        <w:rPr>
          <w:rFonts w:cs="Arial"/>
        </w:rPr>
        <w:t xml:space="preserve"> by delivering community services</w:t>
      </w:r>
      <w:r w:rsidR="00D6250B" w:rsidRPr="00AA7A10">
        <w:rPr>
          <w:rFonts w:cs="Arial"/>
        </w:rPr>
        <w:t>. In line</w:t>
      </w:r>
      <w:r w:rsidR="006F410C" w:rsidRPr="00AA7A10">
        <w:rPr>
          <w:rFonts w:cs="Arial"/>
        </w:rPr>
        <w:t xml:space="preserve"> with the</w:t>
      </w:r>
      <w:r w:rsidR="00D26C7B" w:rsidRPr="00AA7A10">
        <w:rPr>
          <w:rFonts w:cs="Arial"/>
        </w:rPr>
        <w:t xml:space="preserve"> recent Report on Government Services 2023 by the </w:t>
      </w:r>
      <w:r w:rsidR="006F410C" w:rsidRPr="00AA7A10">
        <w:rPr>
          <w:rFonts w:cs="Arial"/>
        </w:rPr>
        <w:t>P</w:t>
      </w:r>
      <w:r w:rsidR="00D26C7B" w:rsidRPr="00AA7A10">
        <w:rPr>
          <w:rFonts w:cs="Arial"/>
        </w:rPr>
        <w:t xml:space="preserve">roductivity </w:t>
      </w:r>
      <w:r w:rsidR="006F410C" w:rsidRPr="00AA7A10">
        <w:rPr>
          <w:rFonts w:cs="Arial"/>
        </w:rPr>
        <w:t>C</w:t>
      </w:r>
      <w:r w:rsidR="00D26C7B" w:rsidRPr="00AA7A10">
        <w:rPr>
          <w:rFonts w:cs="Arial"/>
        </w:rPr>
        <w:t>ommission,</w:t>
      </w:r>
      <w:r w:rsidR="006F410C" w:rsidRPr="00AA7A10">
        <w:rPr>
          <w:rStyle w:val="FootnoteReference"/>
          <w:rFonts w:cs="Arial"/>
        </w:rPr>
        <w:footnoteReference w:id="3"/>
      </w:r>
      <w:r w:rsidR="00D26C7B" w:rsidRPr="00AA7A10">
        <w:rPr>
          <w:rFonts w:cs="Arial"/>
        </w:rPr>
        <w:t xml:space="preserve"> thi</w:t>
      </w:r>
      <w:r w:rsidRPr="00AA7A10">
        <w:rPr>
          <w:rFonts w:cs="Arial"/>
        </w:rPr>
        <w:t xml:space="preserve">s </w:t>
      </w:r>
      <w:r w:rsidR="00324A84">
        <w:rPr>
          <w:rFonts w:cs="Arial"/>
        </w:rPr>
        <w:t>issues</w:t>
      </w:r>
      <w:r w:rsidR="00324A84" w:rsidRPr="00AA7A10">
        <w:rPr>
          <w:rFonts w:cs="Arial"/>
        </w:rPr>
        <w:t xml:space="preserve"> </w:t>
      </w:r>
      <w:r w:rsidR="00D26C7B" w:rsidRPr="00AA7A10">
        <w:rPr>
          <w:rFonts w:cs="Arial"/>
        </w:rPr>
        <w:t xml:space="preserve">paper </w:t>
      </w:r>
      <w:r w:rsidR="00D6250B" w:rsidRPr="00AA7A10">
        <w:rPr>
          <w:rFonts w:cs="Arial"/>
        </w:rPr>
        <w:t>defines c</w:t>
      </w:r>
      <w:r w:rsidR="00D26C7B" w:rsidRPr="00AA7A10">
        <w:rPr>
          <w:rFonts w:cs="Arial"/>
        </w:rPr>
        <w:t xml:space="preserve">ommunity services </w:t>
      </w:r>
      <w:r w:rsidR="00D6250B" w:rsidRPr="00AA7A10">
        <w:rPr>
          <w:rFonts w:cs="Arial"/>
        </w:rPr>
        <w:t>as those that</w:t>
      </w:r>
      <w:r w:rsidR="00085BB2">
        <w:rPr>
          <w:rFonts w:cs="Arial"/>
        </w:rPr>
        <w:t>:</w:t>
      </w:r>
    </w:p>
    <w:p w14:paraId="7EA99919" w14:textId="69D7AC62" w:rsidR="00C0722B" w:rsidRPr="00F21392" w:rsidRDefault="00A05AA6" w:rsidP="002A537F">
      <w:pPr>
        <w:pStyle w:val="Quote"/>
      </w:pPr>
      <w:r w:rsidRPr="00AA7A10">
        <w:t>…</w:t>
      </w:r>
      <w:r w:rsidR="00D26C7B" w:rsidRPr="00437102">
        <w:t>provide support and assistance to individuals, families and groups to maximise their potential a</w:t>
      </w:r>
      <w:r w:rsidR="006F410C" w:rsidRPr="00437102">
        <w:t xml:space="preserve">nd enhance community wellbeing… </w:t>
      </w:r>
      <w:r w:rsidR="00D26C7B" w:rsidRPr="00437102">
        <w:t>In the context of government service delivery, 'community services' include services providing assistance to specific groups with an identified need for additional support. This may include children and young people, families, older people and people with disability. Community services can overlap with other sectors, including health and early childhood services</w:t>
      </w:r>
      <w:r w:rsidR="006F410C" w:rsidRPr="00437102">
        <w:t>.</w:t>
      </w:r>
    </w:p>
    <w:p w14:paraId="10BF79A1" w14:textId="3658A899" w:rsidR="006117AD" w:rsidRPr="00057E03" w:rsidRDefault="006117AD" w:rsidP="00437102">
      <w:pPr>
        <w:pStyle w:val="Heading2"/>
      </w:pPr>
      <w:bookmarkStart w:id="11" w:name="_Toc144983237"/>
      <w:r w:rsidRPr="00057E03">
        <w:t xml:space="preserve">Definition of Community </w:t>
      </w:r>
      <w:r w:rsidR="00C77262">
        <w:t>s</w:t>
      </w:r>
      <w:r w:rsidRPr="00057E03">
        <w:t xml:space="preserve">ector </w:t>
      </w:r>
      <w:r w:rsidR="00C77262">
        <w:t>o</w:t>
      </w:r>
      <w:r w:rsidRPr="00057E03">
        <w:t>rganisations</w:t>
      </w:r>
      <w:bookmarkEnd w:id="11"/>
    </w:p>
    <w:p w14:paraId="6D59FFBD" w14:textId="44EA8AE2" w:rsidR="00F40E11" w:rsidRPr="00AA7A10" w:rsidRDefault="006117AD" w:rsidP="00F40E11">
      <w:pPr>
        <w:spacing w:line="276" w:lineRule="auto"/>
        <w:rPr>
          <w:rFonts w:cs="Arial"/>
          <w:spacing w:val="4"/>
          <w:lang w:eastAsia="en-AU"/>
        </w:rPr>
      </w:pPr>
      <w:r w:rsidRPr="00AA7A10" w:rsidDel="00BF4EDF">
        <w:rPr>
          <w:rFonts w:cs="Arial"/>
          <w:spacing w:val="4"/>
          <w:lang w:eastAsia="en-AU"/>
        </w:rPr>
        <w:t xml:space="preserve">CSOs deliver essential community services, advocacy, social justice and social wellbeing supports to people experiencing poverty, disadvantage and hardship every day. </w:t>
      </w:r>
      <w:r w:rsidR="00A05AA6" w:rsidRPr="00AA7A10">
        <w:rPr>
          <w:rFonts w:cs="Arial"/>
          <w:spacing w:val="4"/>
          <w:lang w:eastAsia="en-AU"/>
        </w:rPr>
        <w:t>CSOs</w:t>
      </w:r>
      <w:r w:rsidRPr="00AA7A10" w:rsidDel="00BF4EDF">
        <w:rPr>
          <w:rFonts w:cs="Arial"/>
          <w:spacing w:val="4"/>
          <w:lang w:eastAsia="en-AU"/>
        </w:rPr>
        <w:t xml:space="preserve"> play a front</w:t>
      </w:r>
      <w:r w:rsidR="004B0946" w:rsidRPr="00AA7A10" w:rsidDel="00BF4EDF">
        <w:rPr>
          <w:rFonts w:cs="Arial"/>
          <w:spacing w:val="4"/>
          <w:lang w:eastAsia="en-AU"/>
        </w:rPr>
        <w:t>-</w:t>
      </w:r>
      <w:r w:rsidRPr="00AA7A10" w:rsidDel="00BF4EDF">
        <w:rPr>
          <w:rFonts w:cs="Arial"/>
          <w:spacing w:val="4"/>
          <w:lang w:eastAsia="en-AU"/>
        </w:rPr>
        <w:t xml:space="preserve">line role in supporting communities to respond to and recover from disasters and local emergencies. </w:t>
      </w:r>
      <w:r w:rsidR="00A05AA6" w:rsidRPr="00AA7A10">
        <w:rPr>
          <w:rFonts w:cs="Arial"/>
          <w:spacing w:val="4"/>
          <w:lang w:eastAsia="en-AU"/>
        </w:rPr>
        <w:t>CSOs</w:t>
      </w:r>
      <w:r w:rsidR="00F40E11" w:rsidRPr="00AA7A10">
        <w:rPr>
          <w:rFonts w:cs="Arial"/>
          <w:spacing w:val="4"/>
          <w:lang w:eastAsia="en-AU"/>
        </w:rPr>
        <w:t xml:space="preserve"> also play a critical role in creating hubs where individuals, families and children can make connection with community and participate in activities which help foster wellbeing, enable children to thrive and reduce the impacts of loneliness and social isolation. </w:t>
      </w:r>
    </w:p>
    <w:p w14:paraId="58D18696" w14:textId="2326CF3B" w:rsidR="00A05AA6" w:rsidRPr="00AA7A10" w:rsidRDefault="006117AD" w:rsidP="006117AD">
      <w:pPr>
        <w:spacing w:line="276" w:lineRule="auto"/>
        <w:rPr>
          <w:rFonts w:eastAsia="Times New Roman" w:cs="Arial"/>
          <w:color w:val="000000" w:themeColor="text1"/>
          <w:spacing w:val="4"/>
          <w:lang w:eastAsia="en-AU"/>
        </w:rPr>
      </w:pPr>
      <w:r w:rsidRPr="00AA7A10">
        <w:rPr>
          <w:rFonts w:eastAsia="Times New Roman" w:cs="Arial"/>
          <w:color w:val="000000" w:themeColor="text1"/>
          <w:spacing w:val="4"/>
          <w:lang w:eastAsia="en-AU"/>
        </w:rPr>
        <w:t xml:space="preserve">For the purpose of this document, CSOs </w:t>
      </w:r>
      <w:r w:rsidR="00A05AA6" w:rsidRPr="00AA7A10">
        <w:rPr>
          <w:rFonts w:eastAsia="Times New Roman" w:cs="Arial"/>
          <w:color w:val="000000" w:themeColor="text1"/>
          <w:spacing w:val="4"/>
          <w:lang w:eastAsia="en-AU"/>
        </w:rPr>
        <w:t>are</w:t>
      </w:r>
      <w:r w:rsidRPr="00AA7A10">
        <w:rPr>
          <w:rFonts w:eastAsia="Times New Roman" w:cs="Arial"/>
          <w:color w:val="000000" w:themeColor="text1"/>
          <w:spacing w:val="4"/>
          <w:lang w:eastAsia="en-AU"/>
        </w:rPr>
        <w:t xml:space="preserve"> defined by the</w:t>
      </w:r>
      <w:r w:rsidR="00C63F8E" w:rsidRPr="00AA7A10">
        <w:rPr>
          <w:rFonts w:eastAsia="Times New Roman" w:cs="Arial"/>
          <w:color w:val="000000" w:themeColor="text1"/>
          <w:spacing w:val="4"/>
          <w:lang w:eastAsia="en-AU"/>
        </w:rPr>
        <w:t xml:space="preserve"> </w:t>
      </w:r>
      <w:hyperlink r:id="rId43" w:history="1">
        <w:r w:rsidR="00C63F8E" w:rsidRPr="00C77262">
          <w:rPr>
            <w:rStyle w:val="Hyperlink"/>
            <w:rFonts w:eastAsia="Times New Roman" w:cs="Arial"/>
            <w:spacing w:val="4"/>
            <w:lang w:eastAsia="en-AU"/>
          </w:rPr>
          <w:t>Australian Taxation Office</w:t>
        </w:r>
      </w:hyperlink>
      <w:r w:rsidR="00C63F8E" w:rsidRPr="00AA7A10">
        <w:rPr>
          <w:rFonts w:eastAsia="Times New Roman" w:cs="Arial"/>
          <w:color w:val="000000" w:themeColor="text1"/>
          <w:spacing w:val="4"/>
          <w:lang w:eastAsia="en-AU"/>
        </w:rPr>
        <w:t xml:space="preserve"> (</w:t>
      </w:r>
      <w:r w:rsidR="00A05AA6" w:rsidRPr="00437102">
        <w:rPr>
          <w:rFonts w:cs="Arial"/>
        </w:rPr>
        <w:t>ATO</w:t>
      </w:r>
      <w:r w:rsidR="00A05AA6" w:rsidRPr="00AA7A10">
        <w:rPr>
          <w:rFonts w:eastAsia="Times New Roman" w:cs="Arial"/>
          <w:spacing w:val="4"/>
          <w:lang w:eastAsia="en-AU"/>
        </w:rPr>
        <w:t>)</w:t>
      </w:r>
      <w:r w:rsidRPr="00AA7A10">
        <w:rPr>
          <w:rFonts w:eastAsia="Times New Roman" w:cs="Arial"/>
          <w:color w:val="000000" w:themeColor="text1"/>
          <w:spacing w:val="4"/>
          <w:lang w:eastAsia="en-AU"/>
        </w:rPr>
        <w:t xml:space="preserve"> as: </w:t>
      </w:r>
    </w:p>
    <w:p w14:paraId="39899227" w14:textId="74D306BA" w:rsidR="006117AD" w:rsidRPr="00437102" w:rsidRDefault="00A05AA6" w:rsidP="002A537F">
      <w:pPr>
        <w:pStyle w:val="Quote"/>
      </w:pPr>
      <w:r w:rsidRPr="00437102">
        <w:t>…</w:t>
      </w:r>
      <w:r w:rsidR="006117AD" w:rsidRPr="00437102">
        <w:t xml:space="preserve">organisations that are not-for-profit and established for community service purposes, which provide for the wellbeing and benefit of others. CSOs promote, provide or carry out activities, facilities or projects for the benefit or welfare of the community or any members who have a particular need by reason of youth, age, infirmity or disablement, poverty or social or economic circumstances. </w:t>
      </w:r>
    </w:p>
    <w:p w14:paraId="221CD650" w14:textId="77777777" w:rsidR="006117AD" w:rsidRPr="00CC3285" w:rsidRDefault="006117AD" w:rsidP="00437102">
      <w:pPr>
        <w:pStyle w:val="Heading2"/>
      </w:pPr>
      <w:bookmarkStart w:id="12" w:name="_Toc144983238"/>
      <w:r w:rsidRPr="00CC3285">
        <w:t>Data source and methodology</w:t>
      </w:r>
      <w:bookmarkEnd w:id="12"/>
    </w:p>
    <w:p w14:paraId="47569114" w14:textId="081E1DDF" w:rsidR="006117AD" w:rsidRPr="00AA7A10" w:rsidRDefault="006117AD" w:rsidP="006117AD">
      <w:pPr>
        <w:spacing w:line="276" w:lineRule="auto"/>
        <w:rPr>
          <w:rFonts w:cs="Arial"/>
          <w:b/>
          <w:bCs/>
        </w:rPr>
      </w:pPr>
      <w:r w:rsidRPr="00AA7A10">
        <w:rPr>
          <w:rFonts w:cs="Arial"/>
        </w:rPr>
        <w:t xml:space="preserve">There are challenges associated with identifying which CSOs receive what grants from the Australian Government. There are CSOs that receive grants from the </w:t>
      </w:r>
      <w:r w:rsidR="00A05AA6" w:rsidRPr="00AA7A10">
        <w:rPr>
          <w:rFonts w:cs="Arial"/>
        </w:rPr>
        <w:t xml:space="preserve">government </w:t>
      </w:r>
      <w:r w:rsidRPr="00AA7A10">
        <w:rPr>
          <w:rFonts w:cs="Arial"/>
        </w:rPr>
        <w:t>outside of the Community Grants Hub</w:t>
      </w:r>
      <w:r w:rsidR="00CC3285" w:rsidRPr="00AA7A10">
        <w:rPr>
          <w:rFonts w:cs="Arial"/>
        </w:rPr>
        <w:t xml:space="preserve">, for example through the Business Grants </w:t>
      </w:r>
      <w:r w:rsidR="00B80E96" w:rsidRPr="00AA7A10">
        <w:rPr>
          <w:rFonts w:cs="Arial"/>
        </w:rPr>
        <w:t>H</w:t>
      </w:r>
      <w:r w:rsidR="00CC3285" w:rsidRPr="00AA7A10">
        <w:rPr>
          <w:rFonts w:cs="Arial"/>
        </w:rPr>
        <w:t>ub</w:t>
      </w:r>
      <w:r w:rsidRPr="00AA7A10">
        <w:rPr>
          <w:rFonts w:cs="Arial"/>
        </w:rPr>
        <w:t>. Further, the department does not collect data from funded organisations that identifies if an organisation belongs to the community sector. For the purpose of this paper, data is extracted based on organisations who are registered with the Australian Charities and Not-For-Profit Commission (ACNC)</w:t>
      </w:r>
      <w:r w:rsidR="00A05AA6" w:rsidRPr="00AA7A10">
        <w:rPr>
          <w:rFonts w:cs="Arial"/>
        </w:rPr>
        <w:t>. It</w:t>
      </w:r>
      <w:r w:rsidR="00BC3324" w:rsidRPr="00AA7A10">
        <w:rPr>
          <w:rFonts w:cs="Arial"/>
        </w:rPr>
        <w:t xml:space="preserve"> is likely to be a much larger pool of organisations than if it was possible to limit the data to CSOs only</w:t>
      </w:r>
      <w:r w:rsidRPr="00AA7A10">
        <w:rPr>
          <w:rFonts w:cs="Arial"/>
        </w:rPr>
        <w:t xml:space="preserve">. </w:t>
      </w:r>
    </w:p>
    <w:p w14:paraId="5F089A2F" w14:textId="77777777" w:rsidR="006117AD" w:rsidRPr="00E6758B" w:rsidRDefault="006117AD" w:rsidP="00437102">
      <w:pPr>
        <w:pStyle w:val="Heading2"/>
      </w:pPr>
      <w:bookmarkStart w:id="13" w:name="_Toc144983239"/>
      <w:r w:rsidRPr="00E6758B">
        <w:t>Commonwealth grant funding to the community sector</w:t>
      </w:r>
      <w:bookmarkEnd w:id="13"/>
    </w:p>
    <w:p w14:paraId="4563A1C5" w14:textId="08BFAB47" w:rsidR="006117AD" w:rsidRPr="00AA7A10" w:rsidRDefault="006117AD" w:rsidP="006117AD">
      <w:pPr>
        <w:spacing w:line="276" w:lineRule="auto"/>
        <w:rPr>
          <w:rFonts w:cs="Arial"/>
          <w:szCs w:val="22"/>
        </w:rPr>
      </w:pPr>
      <w:r w:rsidRPr="00AA7A10">
        <w:rPr>
          <w:rFonts w:cs="Arial"/>
          <w:szCs w:val="22"/>
        </w:rPr>
        <w:t>Thousands of organisations across Australi</w:t>
      </w:r>
      <w:r w:rsidR="00C8140C" w:rsidRPr="00AA7A10">
        <w:rPr>
          <w:rFonts w:cs="Arial"/>
          <w:szCs w:val="22"/>
        </w:rPr>
        <w:t>a are funded each year through g</w:t>
      </w:r>
      <w:r w:rsidRPr="00AA7A10">
        <w:rPr>
          <w:rFonts w:cs="Arial"/>
          <w:szCs w:val="22"/>
        </w:rPr>
        <w:t>overnment community services grants. Funded organisations provide support to millions of</w:t>
      </w:r>
      <w:r w:rsidR="00614768" w:rsidRPr="00AA7A10">
        <w:rPr>
          <w:rFonts w:cs="Arial"/>
          <w:szCs w:val="22"/>
        </w:rPr>
        <w:t xml:space="preserve"> people in Australia</w:t>
      </w:r>
      <w:r w:rsidR="00C815C1" w:rsidRPr="00AA7A10">
        <w:rPr>
          <w:rFonts w:cs="Arial"/>
          <w:szCs w:val="22"/>
        </w:rPr>
        <w:t xml:space="preserve"> </w:t>
      </w:r>
      <w:r w:rsidR="006F410C" w:rsidRPr="00AA7A10">
        <w:rPr>
          <w:rFonts w:cs="Arial"/>
          <w:szCs w:val="22"/>
        </w:rPr>
        <w:t xml:space="preserve">and </w:t>
      </w:r>
      <w:r w:rsidR="00C815C1" w:rsidRPr="00AA7A10">
        <w:rPr>
          <w:rFonts w:cs="Arial"/>
          <w:szCs w:val="22"/>
        </w:rPr>
        <w:t>are</w:t>
      </w:r>
      <w:r w:rsidR="006F410C" w:rsidRPr="00AA7A10">
        <w:rPr>
          <w:rFonts w:cs="Arial"/>
          <w:szCs w:val="22"/>
        </w:rPr>
        <w:t xml:space="preserve"> particularly important in</w:t>
      </w:r>
      <w:r w:rsidR="00232016" w:rsidRPr="00AA7A10">
        <w:rPr>
          <w:rFonts w:cs="Arial"/>
          <w:szCs w:val="22"/>
        </w:rPr>
        <w:t xml:space="preserve"> the lives of people experiencing poverty, disadvantage and hardship</w:t>
      </w:r>
      <w:r w:rsidR="006F410C" w:rsidRPr="00AA7A10">
        <w:rPr>
          <w:rFonts w:cs="Arial"/>
          <w:szCs w:val="22"/>
        </w:rPr>
        <w:t>. T</w:t>
      </w:r>
      <w:r w:rsidR="00232016" w:rsidRPr="00AA7A10">
        <w:rPr>
          <w:rFonts w:cs="Arial"/>
          <w:szCs w:val="22"/>
        </w:rPr>
        <w:t>here are opportunities to improve the efficiency and efficacy of grant programs by working in partnership with the community sector.</w:t>
      </w:r>
    </w:p>
    <w:p w14:paraId="7A073701" w14:textId="29DF2F58" w:rsidR="00340F95" w:rsidRPr="00F21392" w:rsidRDefault="00340F95" w:rsidP="003B571A">
      <w:pPr>
        <w:spacing w:line="276" w:lineRule="auto"/>
        <w:rPr>
          <w:rFonts w:cs="Arial"/>
          <w:szCs w:val="22"/>
        </w:rPr>
      </w:pPr>
      <w:r w:rsidRPr="00AA7A10">
        <w:rPr>
          <w:rFonts w:cs="Arial"/>
          <w:szCs w:val="22"/>
        </w:rPr>
        <w:lastRenderedPageBreak/>
        <w:t xml:space="preserve">In 2022-23, the total value of Australian Government grants was $26.1 billion with 60,000+ grants awarded (including new grants and variations). ACNC registered organisations received </w:t>
      </w:r>
      <w:r w:rsidRPr="00F21392">
        <w:rPr>
          <w:rFonts w:cs="Arial"/>
          <w:szCs w:val="22"/>
        </w:rPr>
        <w:t>$9.8 billion funding through the Community Grants Hub in 2022-23.</w:t>
      </w:r>
      <w:r w:rsidRPr="00AA7A10">
        <w:rPr>
          <w:rFonts w:cs="Arial"/>
          <w:szCs w:val="22"/>
        </w:rPr>
        <w:t xml:space="preserve"> This was 15,820 grants (including new grants and variations). Of those, 3,574 grants were funded through the department in 2022-23.</w:t>
      </w:r>
    </w:p>
    <w:p w14:paraId="1A41E879" w14:textId="1B8AC7F6" w:rsidR="006117AD" w:rsidRPr="00AA7A10" w:rsidRDefault="00B74CAF" w:rsidP="003B571A">
      <w:pPr>
        <w:spacing w:line="276" w:lineRule="auto"/>
        <w:jc w:val="center"/>
        <w:rPr>
          <w:rFonts w:cs="Arial"/>
          <w:szCs w:val="22"/>
        </w:rPr>
      </w:pPr>
      <w:r>
        <w:rPr>
          <w:noProof/>
          <w:lang w:eastAsia="en-AU"/>
        </w:rPr>
        <w:drawing>
          <wp:inline distT="0" distB="0" distL="0" distR="0" wp14:anchorId="2DFDDF0A" wp14:editId="3EB64590">
            <wp:extent cx="6146358" cy="2783205"/>
            <wp:effectExtent l="0" t="0" r="6985" b="0"/>
            <wp:docPr id="1" name="Picture 1" descr="In 2022-23, the total value of Australian Government grants was &#10;$26.1 billion with over 60,000 grants awarded. This includes $9.8 billion in funding provided for ACNC registered organisations through the Community Grants Hub in 2022-23, and 15,820 grants funded with ACNC registered organisations through the Community Grants Hub in 2022-23. Of those, 3,574 grants were funded with ACNC registered organisations through the department in 2022-23.&#10;&#10;&#10;" title="Visual showing the total value of government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46771" cy="2783392"/>
                    </a:xfrm>
                    <a:prstGeom prst="rect">
                      <a:avLst/>
                    </a:prstGeom>
                  </pic:spPr>
                </pic:pic>
              </a:graphicData>
            </a:graphic>
          </wp:inline>
        </w:drawing>
      </w:r>
    </w:p>
    <w:p w14:paraId="6D801EA1" w14:textId="0F6544D4" w:rsidR="006117AD" w:rsidRPr="00AA7A10" w:rsidRDefault="006117AD" w:rsidP="00F655A7">
      <w:pPr>
        <w:spacing w:line="276" w:lineRule="auto"/>
        <w:rPr>
          <w:rFonts w:cs="Arial"/>
          <w:szCs w:val="22"/>
        </w:rPr>
      </w:pPr>
      <w:r w:rsidRPr="00AA7A10">
        <w:rPr>
          <w:rFonts w:cs="Arial"/>
          <w:szCs w:val="22"/>
        </w:rPr>
        <w:t>* Includes new grants and variations.</w:t>
      </w:r>
    </w:p>
    <w:p w14:paraId="6723FAED" w14:textId="7BC39C16" w:rsidR="006117AD" w:rsidRPr="00AA7A10" w:rsidRDefault="006117AD" w:rsidP="006117AD">
      <w:pPr>
        <w:spacing w:line="276" w:lineRule="auto"/>
        <w:rPr>
          <w:rFonts w:cs="Arial"/>
          <w:szCs w:val="22"/>
        </w:rPr>
      </w:pPr>
      <w:r w:rsidRPr="00AA7A10">
        <w:rPr>
          <w:rFonts w:cs="Arial"/>
          <w:szCs w:val="22"/>
        </w:rPr>
        <w:t>Annual grant funding to the community sector can fluctuate year</w:t>
      </w:r>
      <w:r w:rsidR="00EE4FE1" w:rsidRPr="00AA7A10">
        <w:rPr>
          <w:rFonts w:cs="Arial"/>
          <w:szCs w:val="22"/>
        </w:rPr>
        <w:t>-</w:t>
      </w:r>
      <w:r w:rsidRPr="00AA7A10">
        <w:rPr>
          <w:rFonts w:cs="Arial"/>
          <w:szCs w:val="22"/>
        </w:rPr>
        <w:t>on</w:t>
      </w:r>
      <w:r w:rsidR="00EE4FE1" w:rsidRPr="00AA7A10">
        <w:rPr>
          <w:rFonts w:cs="Arial"/>
          <w:szCs w:val="22"/>
        </w:rPr>
        <w:t>-</w:t>
      </w:r>
      <w:r w:rsidRPr="00AA7A10">
        <w:rPr>
          <w:rFonts w:cs="Arial"/>
          <w:szCs w:val="22"/>
        </w:rPr>
        <w:t xml:space="preserve">year. The total value of grants awarded in </w:t>
      </w:r>
      <w:r w:rsidR="004B0946" w:rsidRPr="00AA7A10">
        <w:rPr>
          <w:rFonts w:cs="Arial"/>
          <w:szCs w:val="22"/>
        </w:rPr>
        <w:t xml:space="preserve">the </w:t>
      </w:r>
      <w:r w:rsidRPr="00AA7A10">
        <w:rPr>
          <w:rFonts w:cs="Arial"/>
          <w:szCs w:val="22"/>
        </w:rPr>
        <w:t xml:space="preserve">2021-22 and 2022-23 </w:t>
      </w:r>
      <w:r w:rsidR="000F2098" w:rsidRPr="00AA7A10">
        <w:rPr>
          <w:rFonts w:cs="Arial"/>
          <w:szCs w:val="22"/>
        </w:rPr>
        <w:t xml:space="preserve">financial years </w:t>
      </w:r>
      <w:r w:rsidRPr="00AA7A10">
        <w:rPr>
          <w:rFonts w:cs="Arial"/>
          <w:szCs w:val="22"/>
        </w:rPr>
        <w:t>w</w:t>
      </w:r>
      <w:r w:rsidR="000F2098" w:rsidRPr="00AA7A10">
        <w:rPr>
          <w:rFonts w:cs="Arial"/>
          <w:szCs w:val="22"/>
        </w:rPr>
        <w:t xml:space="preserve">as much higher </w:t>
      </w:r>
      <w:r w:rsidR="00C63F8E" w:rsidRPr="00AA7A10">
        <w:rPr>
          <w:rFonts w:cs="Arial"/>
          <w:szCs w:val="22"/>
        </w:rPr>
        <w:t xml:space="preserve">than in the </w:t>
      </w:r>
      <w:r w:rsidRPr="00AA7A10">
        <w:rPr>
          <w:rFonts w:cs="Arial"/>
          <w:szCs w:val="22"/>
        </w:rPr>
        <w:t xml:space="preserve">previous financial year (2020-21). This was mostly a result of reinvestment in programs </w:t>
      </w:r>
      <w:r w:rsidR="00622F38">
        <w:rPr>
          <w:rFonts w:cs="Arial"/>
          <w:szCs w:val="22"/>
        </w:rPr>
        <w:t>that</w:t>
      </w:r>
      <w:r w:rsidRPr="00AA7A10">
        <w:rPr>
          <w:rFonts w:cs="Arial"/>
          <w:szCs w:val="22"/>
        </w:rPr>
        <w:t xml:space="preserve"> were operationally </w:t>
      </w:r>
      <w:r w:rsidR="00C8140C" w:rsidRPr="00AA7A10">
        <w:rPr>
          <w:rFonts w:cs="Arial"/>
          <w:szCs w:val="22"/>
        </w:rPr>
        <w:t>impacted during COVID-19</w:t>
      </w:r>
      <w:r w:rsidR="00EE4FE1" w:rsidRPr="00AA7A10">
        <w:rPr>
          <w:rFonts w:cs="Arial"/>
          <w:szCs w:val="22"/>
        </w:rPr>
        <w:t xml:space="preserve"> and</w:t>
      </w:r>
      <w:r w:rsidR="00C8140C" w:rsidRPr="00AA7A10">
        <w:rPr>
          <w:rFonts w:cs="Arial"/>
          <w:szCs w:val="22"/>
        </w:rPr>
        <w:t xml:space="preserve"> </w:t>
      </w:r>
      <w:r w:rsidR="00EE4FE1" w:rsidRPr="00AA7A10">
        <w:rPr>
          <w:rFonts w:cs="Arial"/>
          <w:szCs w:val="22"/>
        </w:rPr>
        <w:t xml:space="preserve">the introduction of </w:t>
      </w:r>
      <w:r w:rsidR="00C8140C" w:rsidRPr="00AA7A10">
        <w:rPr>
          <w:rFonts w:cs="Arial"/>
          <w:szCs w:val="22"/>
        </w:rPr>
        <w:t>g</w:t>
      </w:r>
      <w:r w:rsidRPr="00AA7A10">
        <w:rPr>
          <w:rFonts w:cs="Arial"/>
          <w:szCs w:val="22"/>
        </w:rPr>
        <w:t xml:space="preserve">overnment measures to provide additional crisis and other support to Australian communities. </w:t>
      </w:r>
    </w:p>
    <w:p w14:paraId="6A5E3A6D" w14:textId="77777777" w:rsidR="006117AD" w:rsidRPr="00AA7A10" w:rsidRDefault="006117AD" w:rsidP="006117AD">
      <w:pPr>
        <w:keepNext/>
        <w:keepLines/>
        <w:spacing w:line="276" w:lineRule="auto"/>
        <w:rPr>
          <w:rFonts w:cs="Arial"/>
          <w:szCs w:val="22"/>
        </w:rPr>
      </w:pPr>
      <w:r w:rsidRPr="00AA7A10">
        <w:rPr>
          <w:rFonts w:cs="Arial"/>
          <w:szCs w:val="22"/>
        </w:rPr>
        <w:t>Additional funding in response to COVID-19 and other events has included:</w:t>
      </w:r>
    </w:p>
    <w:p w14:paraId="3BF449C1" w14:textId="11C772E8" w:rsidR="006117AD" w:rsidRPr="00AA7A10" w:rsidRDefault="006117AD" w:rsidP="006117AD">
      <w:pPr>
        <w:pStyle w:val="Default"/>
        <w:keepNext/>
        <w:keepLines/>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$200 million under the former Community Support Package between 2019-20 and 2021-22 to boost Financial Counselling, Emergency Relief and Food Relief services in response to COVID-19</w:t>
      </w:r>
    </w:p>
    <w:p w14:paraId="25BE4902" w14:textId="171F0B39" w:rsidR="006117AD" w:rsidRPr="00AA7A10" w:rsidRDefault="006117AD" w:rsidP="006117AD">
      <w:pPr>
        <w:pStyle w:val="Default"/>
        <w:keepNext/>
        <w:keepLines/>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an additional $25 million Flood Package provided in 2021-22 to boost community services in communities affected by the February-March 2022 floods in New South Wales and Queensland.  </w:t>
      </w:r>
    </w:p>
    <w:p w14:paraId="3E51F0EF" w14:textId="0B41503C" w:rsidR="00491B4B" w:rsidRPr="00AA7A10" w:rsidRDefault="00BF7A1C" w:rsidP="00E83608">
      <w:pPr>
        <w:spacing w:line="276" w:lineRule="auto"/>
        <w:rPr>
          <w:rFonts w:cs="Arial"/>
          <w:szCs w:val="22"/>
        </w:rPr>
      </w:pPr>
      <w:r w:rsidRPr="00AA7A10">
        <w:rPr>
          <w:rFonts w:cs="Arial"/>
          <w:szCs w:val="22"/>
        </w:rPr>
        <w:t xml:space="preserve">This was complemented by </w:t>
      </w:r>
      <w:r w:rsidR="00491B4B" w:rsidRPr="00AA7A10">
        <w:rPr>
          <w:rFonts w:cs="Arial"/>
          <w:szCs w:val="22"/>
        </w:rPr>
        <w:t>other policy interventions</w:t>
      </w:r>
      <w:r w:rsidR="005E2B88" w:rsidRPr="00AA7A10">
        <w:rPr>
          <w:rFonts w:cs="Arial"/>
          <w:szCs w:val="22"/>
        </w:rPr>
        <w:t xml:space="preserve"> that impacted the community sector</w:t>
      </w:r>
      <w:r w:rsidR="008942C5">
        <w:rPr>
          <w:rFonts w:cs="Arial"/>
          <w:szCs w:val="22"/>
        </w:rPr>
        <w:t>, including both government and non-government-led initiatives</w:t>
      </w:r>
      <w:r w:rsidR="00232C22" w:rsidRPr="00AA7A10">
        <w:rPr>
          <w:rFonts w:cs="Arial"/>
          <w:szCs w:val="22"/>
        </w:rPr>
        <w:t xml:space="preserve">, </w:t>
      </w:r>
      <w:r w:rsidR="008942C5">
        <w:rPr>
          <w:rFonts w:cs="Arial"/>
          <w:szCs w:val="22"/>
        </w:rPr>
        <w:t>such as</w:t>
      </w:r>
      <w:r w:rsidR="008942C5" w:rsidRPr="00AA7A10">
        <w:rPr>
          <w:rFonts w:cs="Arial"/>
          <w:szCs w:val="22"/>
        </w:rPr>
        <w:t xml:space="preserve"> </w:t>
      </w:r>
      <w:r w:rsidR="00491B4B" w:rsidRPr="00AA7A10">
        <w:rPr>
          <w:rFonts w:cs="Arial"/>
          <w:szCs w:val="22"/>
        </w:rPr>
        <w:t xml:space="preserve">rental moratoriums, and other fee waivers and concessions. </w:t>
      </w:r>
    </w:p>
    <w:p w14:paraId="2C3AE83D" w14:textId="06B97B1D" w:rsidR="00EE4FE1" w:rsidRPr="00AA7A10" w:rsidRDefault="00A06E48" w:rsidP="00F13DD1">
      <w:pPr>
        <w:spacing w:line="276" w:lineRule="auto"/>
        <w:rPr>
          <w:rFonts w:cs="Arial"/>
          <w:szCs w:val="22"/>
        </w:rPr>
      </w:pPr>
      <w:r w:rsidRPr="00AA7A10">
        <w:rPr>
          <w:rFonts w:cs="Arial"/>
          <w:szCs w:val="22"/>
        </w:rPr>
        <w:t>A significant proportion of g</w:t>
      </w:r>
      <w:r w:rsidR="006117AD" w:rsidRPr="00AA7A10">
        <w:rPr>
          <w:rFonts w:cs="Arial"/>
          <w:szCs w:val="22"/>
        </w:rPr>
        <w:t>rant funding for the community sector is delivered through the department, however funding for</w:t>
      </w:r>
      <w:r w:rsidR="00EE4FE1" w:rsidRPr="00AA7A10">
        <w:rPr>
          <w:rFonts w:cs="Arial"/>
          <w:szCs w:val="22"/>
        </w:rPr>
        <w:t xml:space="preserve"> some</w:t>
      </w:r>
      <w:r w:rsidR="006117AD" w:rsidRPr="00AA7A10">
        <w:rPr>
          <w:rFonts w:cs="Arial"/>
          <w:szCs w:val="22"/>
        </w:rPr>
        <w:t xml:space="preserve"> areas </w:t>
      </w:r>
      <w:r w:rsidR="00EE4FE1" w:rsidRPr="00AA7A10">
        <w:rPr>
          <w:rFonts w:cs="Arial"/>
          <w:szCs w:val="22"/>
        </w:rPr>
        <w:t xml:space="preserve">also comes from various other departments and agencies. This includes funding for: </w:t>
      </w:r>
    </w:p>
    <w:p w14:paraId="4537A3FB" w14:textId="7891F7FB" w:rsidR="00EE4FE1" w:rsidRPr="00AA7A10" w:rsidRDefault="00491B4B" w:rsidP="00181F7A">
      <w:pPr>
        <w:pStyle w:val="ListParagraph"/>
        <w:numPr>
          <w:ilvl w:val="0"/>
          <w:numId w:val="20"/>
        </w:numPr>
        <w:spacing w:line="276" w:lineRule="auto"/>
        <w:rPr>
          <w:rFonts w:cs="Arial"/>
          <w:szCs w:val="22"/>
        </w:rPr>
      </w:pPr>
      <w:r w:rsidRPr="00F21392">
        <w:rPr>
          <w:rFonts w:cs="Arial"/>
          <w:szCs w:val="22"/>
        </w:rPr>
        <w:t>preventative health</w:t>
      </w:r>
    </w:p>
    <w:p w14:paraId="0531509E" w14:textId="7DF2F141" w:rsidR="00EE4FE1" w:rsidRPr="00AA7A10" w:rsidRDefault="006117AD" w:rsidP="00181F7A">
      <w:pPr>
        <w:pStyle w:val="ListParagraph"/>
        <w:numPr>
          <w:ilvl w:val="0"/>
          <w:numId w:val="20"/>
        </w:numPr>
        <w:spacing w:line="276" w:lineRule="auto"/>
        <w:rPr>
          <w:rFonts w:cs="Arial"/>
          <w:szCs w:val="22"/>
        </w:rPr>
      </w:pPr>
      <w:r w:rsidRPr="00F21392">
        <w:rPr>
          <w:rFonts w:cs="Arial"/>
          <w:szCs w:val="22"/>
        </w:rPr>
        <w:t>mental health</w:t>
      </w:r>
    </w:p>
    <w:p w14:paraId="48005CFA" w14:textId="64CB1875" w:rsidR="00EE4FE1" w:rsidRPr="00AA7A10" w:rsidRDefault="006117AD" w:rsidP="00181F7A">
      <w:pPr>
        <w:pStyle w:val="ListParagraph"/>
        <w:numPr>
          <w:ilvl w:val="0"/>
          <w:numId w:val="20"/>
        </w:numPr>
        <w:spacing w:line="276" w:lineRule="auto"/>
        <w:rPr>
          <w:rFonts w:cs="Arial"/>
          <w:szCs w:val="22"/>
        </w:rPr>
      </w:pPr>
      <w:r w:rsidRPr="00F21392">
        <w:rPr>
          <w:rFonts w:cs="Arial"/>
          <w:szCs w:val="22"/>
        </w:rPr>
        <w:t>employmen</w:t>
      </w:r>
      <w:r w:rsidR="00EE4FE1" w:rsidRPr="00AA7A10">
        <w:rPr>
          <w:rFonts w:cs="Arial"/>
          <w:szCs w:val="22"/>
        </w:rPr>
        <w:t>t</w:t>
      </w:r>
    </w:p>
    <w:p w14:paraId="58B73B70" w14:textId="6DB07485" w:rsidR="00EE4FE1" w:rsidRPr="00AA7A10" w:rsidRDefault="006117AD" w:rsidP="00181F7A">
      <w:pPr>
        <w:pStyle w:val="ListParagraph"/>
        <w:numPr>
          <w:ilvl w:val="0"/>
          <w:numId w:val="20"/>
        </w:numPr>
        <w:spacing w:line="276" w:lineRule="auto"/>
        <w:rPr>
          <w:rFonts w:cs="Arial"/>
          <w:szCs w:val="22"/>
        </w:rPr>
      </w:pPr>
      <w:r w:rsidRPr="00F21392">
        <w:rPr>
          <w:rFonts w:cs="Arial"/>
          <w:szCs w:val="22"/>
        </w:rPr>
        <w:t>multicultural and settlement programs</w:t>
      </w:r>
    </w:p>
    <w:p w14:paraId="2F2D74A4" w14:textId="22F229F5" w:rsidR="00EE4FE1" w:rsidRPr="00AA7A10" w:rsidRDefault="006117AD" w:rsidP="00181F7A">
      <w:pPr>
        <w:pStyle w:val="ListParagraph"/>
        <w:numPr>
          <w:ilvl w:val="0"/>
          <w:numId w:val="20"/>
        </w:numPr>
        <w:spacing w:line="276" w:lineRule="auto"/>
        <w:rPr>
          <w:rFonts w:cs="Arial"/>
          <w:szCs w:val="22"/>
        </w:rPr>
      </w:pPr>
      <w:r w:rsidRPr="00F21392">
        <w:rPr>
          <w:rFonts w:cs="Arial"/>
          <w:szCs w:val="22"/>
        </w:rPr>
        <w:t>social cohesion</w:t>
      </w:r>
    </w:p>
    <w:p w14:paraId="100387AE" w14:textId="4328C79E" w:rsidR="006117AD" w:rsidRPr="00F21392" w:rsidRDefault="006117AD" w:rsidP="00181F7A">
      <w:pPr>
        <w:pStyle w:val="ListParagraph"/>
        <w:numPr>
          <w:ilvl w:val="0"/>
          <w:numId w:val="20"/>
        </w:numPr>
        <w:spacing w:line="276" w:lineRule="auto"/>
        <w:rPr>
          <w:rFonts w:cs="Arial"/>
          <w:szCs w:val="22"/>
        </w:rPr>
      </w:pPr>
      <w:r w:rsidRPr="00F21392">
        <w:rPr>
          <w:rFonts w:cs="Arial"/>
          <w:szCs w:val="22"/>
        </w:rPr>
        <w:t>disaster relief</w:t>
      </w:r>
      <w:r w:rsidR="00EE4FE1" w:rsidRPr="00AA7A10">
        <w:rPr>
          <w:rFonts w:cs="Arial"/>
          <w:szCs w:val="22"/>
        </w:rPr>
        <w:t>.</w:t>
      </w:r>
    </w:p>
    <w:p w14:paraId="22C5B233" w14:textId="690966ED" w:rsidR="00C8563E" w:rsidRPr="00AA7A10" w:rsidRDefault="006117AD" w:rsidP="00C8563E">
      <w:pPr>
        <w:spacing w:line="276" w:lineRule="auto"/>
        <w:rPr>
          <w:rFonts w:cs="Arial"/>
          <w:szCs w:val="22"/>
        </w:rPr>
      </w:pPr>
      <w:r w:rsidRPr="00AA7A10">
        <w:rPr>
          <w:rFonts w:cs="Arial"/>
          <w:szCs w:val="22"/>
        </w:rPr>
        <w:t>Over the past 5 years, the department has made efforts to streamline and improve community sector grant funding, including moving some programs to longer</w:t>
      </w:r>
      <w:r w:rsidR="004B0946" w:rsidRPr="00AA7A10">
        <w:rPr>
          <w:rFonts w:cs="Arial"/>
          <w:szCs w:val="22"/>
        </w:rPr>
        <w:t>-</w:t>
      </w:r>
      <w:r w:rsidRPr="00AA7A10">
        <w:rPr>
          <w:rFonts w:cs="Arial"/>
          <w:szCs w:val="22"/>
        </w:rPr>
        <w:t xml:space="preserve">term (5-year) funding agreements. </w:t>
      </w:r>
      <w:r w:rsidRPr="00AA7A10">
        <w:rPr>
          <w:rFonts w:cs="Arial"/>
          <w:szCs w:val="22"/>
        </w:rPr>
        <w:lastRenderedPageBreak/>
        <w:t>Longer-term funding aims to provide greater certainty for service providers to better plan and improve delivery.</w:t>
      </w:r>
      <w:r w:rsidR="00C8563E" w:rsidRPr="00AA7A10">
        <w:rPr>
          <w:rFonts w:cs="Arial"/>
          <w:szCs w:val="22"/>
        </w:rPr>
        <w:t xml:space="preserve"> The </w:t>
      </w:r>
      <w:r w:rsidR="00A045AD" w:rsidRPr="00AA7A10">
        <w:rPr>
          <w:rFonts w:cs="Arial"/>
          <w:szCs w:val="22"/>
        </w:rPr>
        <w:t>d</w:t>
      </w:r>
      <w:r w:rsidR="00C8563E" w:rsidRPr="00AA7A10">
        <w:rPr>
          <w:rFonts w:cs="Arial"/>
          <w:szCs w:val="22"/>
        </w:rPr>
        <w:t>epartment has streamline</w:t>
      </w:r>
      <w:r w:rsidR="00264E5B" w:rsidRPr="00AA7A10">
        <w:rPr>
          <w:rFonts w:cs="Arial"/>
          <w:szCs w:val="22"/>
        </w:rPr>
        <w:t>d</w:t>
      </w:r>
      <w:r w:rsidR="00C8563E" w:rsidRPr="00AA7A10">
        <w:rPr>
          <w:rFonts w:cs="Arial"/>
          <w:szCs w:val="22"/>
        </w:rPr>
        <w:t xml:space="preserve"> reporting requirements through online services such as the Grant Recipient Portal </w:t>
      </w:r>
      <w:r w:rsidR="00264E5B" w:rsidRPr="00AA7A10">
        <w:rPr>
          <w:rFonts w:cs="Arial"/>
          <w:szCs w:val="22"/>
        </w:rPr>
        <w:t>and</w:t>
      </w:r>
      <w:r w:rsidR="00C8563E" w:rsidRPr="00AA7A10">
        <w:rPr>
          <w:rFonts w:cs="Arial"/>
          <w:szCs w:val="22"/>
        </w:rPr>
        <w:t xml:space="preserve"> the automation of annual acquittal requirements.</w:t>
      </w:r>
      <w:r w:rsidR="00F567DF" w:rsidRPr="00AA7A10">
        <w:rPr>
          <w:rFonts w:cs="Arial"/>
          <w:szCs w:val="22"/>
        </w:rPr>
        <w:t xml:space="preserve"> In parallel to these reforms the department has also worked with providers to build a greater understanding of outcomes reporting.</w:t>
      </w:r>
    </w:p>
    <w:p w14:paraId="0D01CC76" w14:textId="7DB09BF1" w:rsidR="006117AD" w:rsidRPr="00E6758B" w:rsidRDefault="00093CFA" w:rsidP="00437102">
      <w:pPr>
        <w:pStyle w:val="Heading3"/>
        <w:rPr>
          <w:sz w:val="24"/>
        </w:rPr>
      </w:pPr>
      <w:r>
        <w:t xml:space="preserve">Definition of a </w:t>
      </w:r>
      <w:r w:rsidRPr="00090271">
        <w:t>grant</w:t>
      </w:r>
    </w:p>
    <w:p w14:paraId="190D7D12" w14:textId="28BE8677" w:rsidR="006117AD" w:rsidRPr="00AA7A10" w:rsidRDefault="006117AD" w:rsidP="006117AD">
      <w:pPr>
        <w:spacing w:line="276" w:lineRule="auto"/>
        <w:rPr>
          <w:rFonts w:cs="Arial"/>
        </w:rPr>
      </w:pPr>
      <w:r w:rsidRPr="00AA7A10">
        <w:rPr>
          <w:rFonts w:cs="Arial"/>
        </w:rPr>
        <w:t>A grant is an agreement that provides financial assis</w:t>
      </w:r>
      <w:r w:rsidR="00C8140C" w:rsidRPr="00AA7A10">
        <w:rPr>
          <w:rFonts w:cs="Arial"/>
        </w:rPr>
        <w:t>tance by, or on behalf of, the g</w:t>
      </w:r>
      <w:r w:rsidRPr="00AA7A10">
        <w:rPr>
          <w:rFonts w:cs="Arial"/>
        </w:rPr>
        <w:t xml:space="preserve">overnment. Grants are intended to contribute to policy and program outcomes and support the person or organisation receiving the grant to achieve </w:t>
      </w:r>
      <w:r w:rsidR="004C77AF">
        <w:rPr>
          <w:rFonts w:cs="Arial"/>
        </w:rPr>
        <w:t>its goals</w:t>
      </w:r>
      <w:r w:rsidRPr="00AA7A10">
        <w:rPr>
          <w:rFonts w:cs="Arial"/>
        </w:rPr>
        <w:t>.</w:t>
      </w:r>
    </w:p>
    <w:p w14:paraId="3583E9D7" w14:textId="79325F07" w:rsidR="006117AD" w:rsidRPr="00AA7A10" w:rsidRDefault="006117AD" w:rsidP="006117AD">
      <w:pPr>
        <w:spacing w:line="276" w:lineRule="auto"/>
        <w:rPr>
          <w:rFonts w:cs="Arial"/>
        </w:rPr>
      </w:pPr>
      <w:r w:rsidRPr="00AA7A10">
        <w:rPr>
          <w:rFonts w:cs="Arial"/>
        </w:rPr>
        <w:t>Grants are generally the most appropriate financial arrangement for government to use when supporting the delivery of community services. Grants can provide CSOs with flexibility, within the parameters outlined in grant agreements, to deliver</w:t>
      </w:r>
      <w:r w:rsidR="00093CFA" w:rsidRPr="00AA7A10">
        <w:rPr>
          <w:rFonts w:cs="Arial"/>
        </w:rPr>
        <w:t xml:space="preserve"> services</w:t>
      </w:r>
      <w:r w:rsidRPr="00AA7A10">
        <w:rPr>
          <w:rFonts w:cs="Arial"/>
        </w:rPr>
        <w:t xml:space="preserve"> in response to changing community needs. Grants also provide the necessary structure for delivery and reporting through </w:t>
      </w:r>
      <w:r w:rsidR="00093CFA" w:rsidRPr="00AA7A10">
        <w:rPr>
          <w:rFonts w:cs="Arial"/>
        </w:rPr>
        <w:t>a signed</w:t>
      </w:r>
      <w:r w:rsidRPr="00AA7A10">
        <w:rPr>
          <w:rFonts w:cs="Arial"/>
        </w:rPr>
        <w:t xml:space="preserve"> grant agreement. It is important that grants are focussed on maximising funding </w:t>
      </w:r>
      <w:r w:rsidR="00093CFA" w:rsidRPr="00AA7A10">
        <w:rPr>
          <w:rFonts w:cs="Arial"/>
        </w:rPr>
        <w:t>to</w:t>
      </w:r>
      <w:r w:rsidRPr="00AA7A10">
        <w:rPr>
          <w:rFonts w:cs="Arial"/>
        </w:rPr>
        <w:t xml:space="preserve"> achiev</w:t>
      </w:r>
      <w:r w:rsidR="00093CFA" w:rsidRPr="00AA7A10">
        <w:rPr>
          <w:rFonts w:cs="Arial"/>
        </w:rPr>
        <w:t>e</w:t>
      </w:r>
      <w:r w:rsidRPr="00AA7A10">
        <w:rPr>
          <w:rFonts w:cs="Arial"/>
        </w:rPr>
        <w:t xml:space="preserve"> policy outcomes, with an appropriate portion agreed for administrative overheads. </w:t>
      </w:r>
    </w:p>
    <w:p w14:paraId="20AEAFD4" w14:textId="30393A14" w:rsidR="006117AD" w:rsidRPr="00AA7A10" w:rsidRDefault="006117AD" w:rsidP="006117AD">
      <w:pPr>
        <w:spacing w:line="276" w:lineRule="auto"/>
        <w:rPr>
          <w:rFonts w:cs="Arial"/>
        </w:rPr>
      </w:pPr>
      <w:r w:rsidRPr="00AA7A10">
        <w:rPr>
          <w:rFonts w:cs="Arial"/>
        </w:rPr>
        <w:t>Grants are different to procurements, the other standard financial arrangement often used by government</w:t>
      </w:r>
      <w:r w:rsidR="006B7877" w:rsidRPr="00AA7A10">
        <w:rPr>
          <w:rFonts w:cs="Arial"/>
        </w:rPr>
        <w:t>.</w:t>
      </w:r>
      <w:r w:rsidRPr="00AA7A10">
        <w:rPr>
          <w:rFonts w:cs="Arial"/>
        </w:rPr>
        <w:t xml:space="preserve"> </w:t>
      </w:r>
      <w:r w:rsidR="006B7877" w:rsidRPr="00AA7A10">
        <w:rPr>
          <w:rFonts w:cs="Arial"/>
        </w:rPr>
        <w:t>A</w:t>
      </w:r>
      <w:r w:rsidRPr="00AA7A10">
        <w:rPr>
          <w:rFonts w:cs="Arial"/>
        </w:rPr>
        <w:t xml:space="preserve"> procurement is the process of acquiring goods and services</w:t>
      </w:r>
      <w:r w:rsidR="00232C22" w:rsidRPr="00AA7A10">
        <w:rPr>
          <w:rFonts w:cs="Arial"/>
        </w:rPr>
        <w:t xml:space="preserve"> to be delivered on behalf of government</w:t>
      </w:r>
      <w:r w:rsidR="006B7877" w:rsidRPr="00AA7A10">
        <w:rPr>
          <w:rFonts w:cs="Arial"/>
        </w:rPr>
        <w:t xml:space="preserve"> while g</w:t>
      </w:r>
      <w:r w:rsidR="00C63F8E" w:rsidRPr="00AA7A10">
        <w:rPr>
          <w:rFonts w:cs="Arial"/>
        </w:rPr>
        <w:t>rants are</w:t>
      </w:r>
      <w:r w:rsidRPr="00AA7A10">
        <w:rPr>
          <w:rFonts w:cs="Arial"/>
        </w:rPr>
        <w:t xml:space="preserve"> used to support the administration of government entities and deliver outcomes and services to the Australian public. Procurement begins when a need has been identified</w:t>
      </w:r>
      <w:r w:rsidR="007E2371">
        <w:rPr>
          <w:rFonts w:cs="Arial"/>
        </w:rPr>
        <w:t xml:space="preserve"> and</w:t>
      </w:r>
      <w:r w:rsidR="007E2371" w:rsidRPr="007E2371">
        <w:t xml:space="preserve"> </w:t>
      </w:r>
      <w:r w:rsidR="007E2371" w:rsidRPr="007E2371">
        <w:rPr>
          <w:rFonts w:cs="Arial"/>
        </w:rPr>
        <w:t>a decision has been made on the procurement requirement.</w:t>
      </w:r>
      <w:r w:rsidRPr="00AA7A10">
        <w:rPr>
          <w:rFonts w:cs="Arial"/>
        </w:rPr>
        <w:t xml:space="preserve"> </w:t>
      </w:r>
      <w:r w:rsidR="007E2371">
        <w:rPr>
          <w:rFonts w:cs="Arial"/>
        </w:rPr>
        <w:t>It</w:t>
      </w:r>
      <w:r w:rsidR="007E2371" w:rsidRPr="00AA7A10">
        <w:rPr>
          <w:rFonts w:cs="Arial"/>
        </w:rPr>
        <w:t xml:space="preserve"> </w:t>
      </w:r>
      <w:r w:rsidRPr="00AA7A10">
        <w:rPr>
          <w:rFonts w:cs="Arial"/>
        </w:rPr>
        <w:t>continues through the process of risk assessment, seeking and evaluating alternative solutions, and determining whether value for money has been achieved before awarding a legally binding contract. Goods and services are then delivered and paid for in accordance with the contract.</w:t>
      </w:r>
    </w:p>
    <w:p w14:paraId="689C1FDF" w14:textId="77777777" w:rsidR="006117AD" w:rsidRDefault="006117AD" w:rsidP="00437102">
      <w:pPr>
        <w:pStyle w:val="Heading3"/>
      </w:pPr>
      <w:r>
        <w:t>Typical grant process and requirements</w:t>
      </w:r>
    </w:p>
    <w:p w14:paraId="14E38D2E" w14:textId="43CE35E0" w:rsidR="0096351F" w:rsidRDefault="00C8563E" w:rsidP="00057E03">
      <w:pPr>
        <w:spacing w:line="276" w:lineRule="auto"/>
        <w:rPr>
          <w:rFonts w:cs="Arial"/>
          <w:szCs w:val="22"/>
        </w:rPr>
      </w:pPr>
      <w:r w:rsidRPr="00AA7A10">
        <w:rPr>
          <w:rFonts w:cs="Arial"/>
          <w:szCs w:val="22"/>
        </w:rPr>
        <w:t>Once the government determines that the type of financial arrangement will be a grant, a grant opportunity is developed</w:t>
      </w:r>
      <w:r w:rsidR="0096351F">
        <w:rPr>
          <w:rFonts w:cs="Arial"/>
          <w:szCs w:val="22"/>
        </w:rPr>
        <w:t>. Developing the grant opportunity will</w:t>
      </w:r>
      <w:r w:rsidRPr="00AA7A10">
        <w:rPr>
          <w:rFonts w:cs="Arial"/>
          <w:szCs w:val="22"/>
        </w:rPr>
        <w:t xml:space="preserve"> </w:t>
      </w:r>
      <w:r w:rsidR="00485F62">
        <w:rPr>
          <w:rFonts w:cs="Arial"/>
          <w:szCs w:val="22"/>
        </w:rPr>
        <w:t>consider</w:t>
      </w:r>
      <w:r w:rsidR="00485F62" w:rsidRPr="00AA7A10">
        <w:rPr>
          <w:rFonts w:cs="Arial"/>
          <w:szCs w:val="22"/>
        </w:rPr>
        <w:t xml:space="preserve"> outcomes</w:t>
      </w:r>
      <w:r w:rsidRPr="00AA7A10">
        <w:rPr>
          <w:rFonts w:cs="Arial"/>
          <w:szCs w:val="22"/>
        </w:rPr>
        <w:t xml:space="preserve"> desired of</w:t>
      </w:r>
      <w:r w:rsidR="0096351F">
        <w:rPr>
          <w:rFonts w:cs="Arial"/>
          <w:szCs w:val="22"/>
        </w:rPr>
        <w:t>:</w:t>
      </w:r>
    </w:p>
    <w:p w14:paraId="0A99A608" w14:textId="3D4D3F4A" w:rsidR="0096351F" w:rsidRDefault="00C8563E" w:rsidP="00181F7A">
      <w:pPr>
        <w:pStyle w:val="ListParagraph"/>
        <w:numPr>
          <w:ilvl w:val="0"/>
          <w:numId w:val="30"/>
        </w:numPr>
        <w:spacing w:line="276" w:lineRule="auto"/>
        <w:rPr>
          <w:rFonts w:cs="Arial"/>
          <w:szCs w:val="22"/>
        </w:rPr>
      </w:pPr>
      <w:r w:rsidRPr="0096351F">
        <w:rPr>
          <w:rFonts w:cs="Arial"/>
          <w:szCs w:val="22"/>
        </w:rPr>
        <w:t>the program</w:t>
      </w:r>
    </w:p>
    <w:p w14:paraId="5A75B53B" w14:textId="5781BE4B" w:rsidR="0096351F" w:rsidRDefault="00C8563E" w:rsidP="00181F7A">
      <w:pPr>
        <w:pStyle w:val="ListParagraph"/>
        <w:numPr>
          <w:ilvl w:val="0"/>
          <w:numId w:val="30"/>
        </w:numPr>
        <w:spacing w:line="276" w:lineRule="auto"/>
        <w:rPr>
          <w:rFonts w:cs="Arial"/>
          <w:szCs w:val="22"/>
        </w:rPr>
      </w:pPr>
      <w:r w:rsidRPr="0096351F">
        <w:rPr>
          <w:rFonts w:cs="Arial"/>
          <w:szCs w:val="22"/>
        </w:rPr>
        <w:t>potential grant applicants</w:t>
      </w:r>
    </w:p>
    <w:p w14:paraId="632EC143" w14:textId="3DF0D059" w:rsidR="0096351F" w:rsidRPr="0096351F" w:rsidRDefault="00C8563E" w:rsidP="00181F7A">
      <w:pPr>
        <w:pStyle w:val="ListParagraph"/>
        <w:numPr>
          <w:ilvl w:val="0"/>
          <w:numId w:val="30"/>
        </w:numPr>
        <w:spacing w:line="276" w:lineRule="auto"/>
        <w:rPr>
          <w:rFonts w:cs="Arial"/>
          <w:szCs w:val="22"/>
        </w:rPr>
      </w:pPr>
      <w:r w:rsidRPr="0096351F">
        <w:rPr>
          <w:rFonts w:cs="Arial"/>
          <w:szCs w:val="22"/>
        </w:rPr>
        <w:t xml:space="preserve">what is </w:t>
      </w:r>
      <w:r w:rsidR="006B7877" w:rsidRPr="0096351F">
        <w:rPr>
          <w:rFonts w:cs="Arial"/>
          <w:szCs w:val="22"/>
        </w:rPr>
        <w:t xml:space="preserve">appropriate </w:t>
      </w:r>
      <w:r w:rsidRPr="0096351F">
        <w:rPr>
          <w:rFonts w:cs="Arial"/>
          <w:szCs w:val="22"/>
        </w:rPr>
        <w:t xml:space="preserve">for the grant opportunity, </w:t>
      </w:r>
      <w:r w:rsidR="006B7877" w:rsidRPr="0096351F">
        <w:rPr>
          <w:rFonts w:cs="Arial"/>
          <w:szCs w:val="22"/>
        </w:rPr>
        <w:t>including</w:t>
      </w:r>
      <w:r w:rsidRPr="0096351F">
        <w:rPr>
          <w:rFonts w:cs="Arial"/>
          <w:szCs w:val="22"/>
        </w:rPr>
        <w:t xml:space="preserve"> the value of the proposed grants. </w:t>
      </w:r>
    </w:p>
    <w:p w14:paraId="52F986AE" w14:textId="17F66934" w:rsidR="00C8563E" w:rsidRPr="00AA7A10" w:rsidRDefault="00C8563E" w:rsidP="00057E03">
      <w:pPr>
        <w:spacing w:line="276" w:lineRule="auto"/>
        <w:rPr>
          <w:rFonts w:cs="Arial"/>
          <w:szCs w:val="22"/>
        </w:rPr>
      </w:pPr>
      <w:r w:rsidRPr="00AA7A10">
        <w:rPr>
          <w:rFonts w:cs="Arial"/>
          <w:szCs w:val="22"/>
        </w:rPr>
        <w:t>Matters considered during design include, but are not limited to:</w:t>
      </w:r>
    </w:p>
    <w:p w14:paraId="49B0ADA2" w14:textId="77777777" w:rsidR="00C8563E" w:rsidRPr="00AA7A10" w:rsidRDefault="00C8563E" w:rsidP="00057E03">
      <w:pPr>
        <w:pStyle w:val="Default"/>
        <w:keepNext/>
        <w:keepLines/>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establishing the rationale for the grant opportunity, in particular what outcomes are required and how these will be measured</w:t>
      </w:r>
    </w:p>
    <w:p w14:paraId="1A01F353" w14:textId="77777777" w:rsidR="00C8563E" w:rsidRPr="00AA7A10" w:rsidRDefault="00C8563E" w:rsidP="00057E03">
      <w:pPr>
        <w:pStyle w:val="Default"/>
        <w:keepNext/>
        <w:keepLines/>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defining the operational objectives</w:t>
      </w:r>
    </w:p>
    <w:p w14:paraId="57E077F7" w14:textId="4C0F7050" w:rsidR="00C8563E" w:rsidRPr="00AA7A10" w:rsidRDefault="006B7877" w:rsidP="00057E03">
      <w:pPr>
        <w:pStyle w:val="Default"/>
        <w:keepNext/>
        <w:keepLines/>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feedback from</w:t>
      </w:r>
      <w:r w:rsidR="00C8563E" w:rsidRPr="00AA7A10">
        <w:rPr>
          <w:rFonts w:eastAsia="Times New Roman"/>
          <w:iCs/>
          <w:color w:val="000000" w:themeColor="text1"/>
          <w:spacing w:val="2"/>
          <w:sz w:val="22"/>
          <w:szCs w:val="22"/>
        </w:rPr>
        <w:t xml:space="preserve"> key stakeholders</w:t>
      </w:r>
    </w:p>
    <w:p w14:paraId="59671D24" w14:textId="77777777" w:rsidR="00C8563E" w:rsidRPr="00AA7A10" w:rsidRDefault="00C8563E" w:rsidP="00085BB2">
      <w:pPr>
        <w:pStyle w:val="Default"/>
        <w:keepNext/>
        <w:keepLines/>
        <w:numPr>
          <w:ilvl w:val="0"/>
          <w:numId w:val="2"/>
        </w:numPr>
        <w:spacing w:after="120" w:line="276" w:lineRule="auto"/>
        <w:ind w:left="714" w:hanging="357"/>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identifying the capabilities required for those who will assess applications. </w:t>
      </w:r>
    </w:p>
    <w:p w14:paraId="1A9FDCD7" w14:textId="5F4AF3E9" w:rsidR="00C8563E" w:rsidRPr="00AA7A10" w:rsidRDefault="00C8563E" w:rsidP="00EC4292">
      <w:pPr>
        <w:spacing w:line="276" w:lineRule="auto"/>
        <w:rPr>
          <w:rFonts w:cs="Arial"/>
          <w:szCs w:val="22"/>
        </w:rPr>
      </w:pPr>
      <w:r w:rsidRPr="00AA7A10">
        <w:rPr>
          <w:rFonts w:cs="Arial"/>
          <w:szCs w:val="22"/>
        </w:rPr>
        <w:t xml:space="preserve">Applicants are asked to submit an application, generally addressing a number of assessment criteria. A merit list is then developed and a recommendation made to the appropriate delegate (often the </w:t>
      </w:r>
      <w:r w:rsidR="005551B4" w:rsidRPr="00AA7A10">
        <w:rPr>
          <w:rFonts w:cs="Arial"/>
          <w:szCs w:val="22"/>
        </w:rPr>
        <w:t>m</w:t>
      </w:r>
      <w:r w:rsidRPr="00AA7A10">
        <w:rPr>
          <w:rFonts w:cs="Arial"/>
          <w:szCs w:val="22"/>
        </w:rPr>
        <w:t>inister</w:t>
      </w:r>
      <w:r w:rsidR="00485F62">
        <w:rPr>
          <w:rFonts w:cs="Arial"/>
          <w:szCs w:val="22"/>
        </w:rPr>
        <w:t xml:space="preserve"> for the relevant portfolio</w:t>
      </w:r>
      <w:r w:rsidRPr="00AA7A10">
        <w:rPr>
          <w:rFonts w:cs="Arial"/>
          <w:szCs w:val="22"/>
        </w:rPr>
        <w:t>) for consideration.</w:t>
      </w:r>
    </w:p>
    <w:p w14:paraId="37F56D67" w14:textId="3A5B3D1D" w:rsidR="00C8563E" w:rsidRPr="00AA7A10" w:rsidRDefault="00C8563E" w:rsidP="00057E03">
      <w:pPr>
        <w:spacing w:line="276" w:lineRule="auto"/>
        <w:rPr>
          <w:rFonts w:cs="Arial"/>
          <w:szCs w:val="22"/>
        </w:rPr>
      </w:pPr>
      <w:r w:rsidRPr="00AA7A10">
        <w:rPr>
          <w:rFonts w:cs="Arial"/>
          <w:szCs w:val="22"/>
        </w:rPr>
        <w:t xml:space="preserve">A grant agreement is offered to successful applicants which </w:t>
      </w:r>
      <w:r w:rsidR="005E2B88" w:rsidRPr="00AA7A10">
        <w:rPr>
          <w:rFonts w:cs="Arial"/>
          <w:szCs w:val="22"/>
        </w:rPr>
        <w:t>describes the key deliverables,</w:t>
      </w:r>
      <w:r w:rsidRPr="00AA7A10">
        <w:rPr>
          <w:rFonts w:cs="Arial"/>
          <w:szCs w:val="22"/>
        </w:rPr>
        <w:t xml:space="preserve"> the performance management framework, reporting milestones, acquittal requirements and other</w:t>
      </w:r>
      <w:r w:rsidR="00382C7D" w:rsidRPr="00AA7A10">
        <w:rPr>
          <w:rFonts w:cs="Arial"/>
          <w:szCs w:val="22"/>
        </w:rPr>
        <w:t xml:space="preserve"> terms and conditions, such as </w:t>
      </w:r>
      <w:r w:rsidRPr="00AA7A10">
        <w:rPr>
          <w:rFonts w:cs="Arial"/>
          <w:szCs w:val="22"/>
        </w:rPr>
        <w:t xml:space="preserve">Child </w:t>
      </w:r>
      <w:r w:rsidR="00A045AD" w:rsidRPr="00AA7A10">
        <w:rPr>
          <w:rFonts w:cs="Arial"/>
          <w:szCs w:val="22"/>
        </w:rPr>
        <w:t>S</w:t>
      </w:r>
      <w:r w:rsidRPr="00AA7A10">
        <w:rPr>
          <w:rFonts w:cs="Arial"/>
          <w:szCs w:val="22"/>
        </w:rPr>
        <w:t>afety and Insurance requirements etc.</w:t>
      </w:r>
    </w:p>
    <w:p w14:paraId="60A81B10" w14:textId="77777777" w:rsidR="006117AD" w:rsidRPr="001C48DF" w:rsidRDefault="006117AD" w:rsidP="005C3786">
      <w:pPr>
        <w:pStyle w:val="Heading3"/>
      </w:pPr>
      <w:r w:rsidRPr="001C48DF">
        <w:t xml:space="preserve">Legislation and </w:t>
      </w:r>
      <w:r w:rsidRPr="005C3786">
        <w:t>guidelines</w:t>
      </w:r>
    </w:p>
    <w:p w14:paraId="2C231C37" w14:textId="1562854C" w:rsidR="006117AD" w:rsidRPr="00AA7A10" w:rsidRDefault="00C8140C" w:rsidP="006117AD">
      <w:pPr>
        <w:spacing w:line="276" w:lineRule="auto"/>
        <w:rPr>
          <w:rFonts w:cs="Arial"/>
          <w:szCs w:val="22"/>
        </w:rPr>
      </w:pPr>
      <w:r w:rsidRPr="00AA7A10">
        <w:rPr>
          <w:rFonts w:cs="Arial"/>
          <w:szCs w:val="22"/>
        </w:rPr>
        <w:t>The g</w:t>
      </w:r>
      <w:r w:rsidR="006117AD" w:rsidRPr="00AA7A10">
        <w:rPr>
          <w:rFonts w:cs="Arial"/>
          <w:szCs w:val="22"/>
        </w:rPr>
        <w:t xml:space="preserve">overnment administers grant funding to CSOs through a range of initiatives, with grant funding administered under the </w:t>
      </w:r>
      <w:hyperlink r:id="rId45" w:history="1">
        <w:r w:rsidR="006117AD" w:rsidRPr="004C77AF">
          <w:rPr>
            <w:rStyle w:val="Hyperlink"/>
            <w:rFonts w:cs="Arial"/>
            <w:szCs w:val="22"/>
          </w:rPr>
          <w:t>Commonwealth Grants Rules and Guidelines</w:t>
        </w:r>
      </w:hyperlink>
      <w:r w:rsidR="006117AD" w:rsidRPr="00AA7A10">
        <w:rPr>
          <w:rFonts w:cs="Arial"/>
          <w:szCs w:val="22"/>
        </w:rPr>
        <w:t xml:space="preserve"> (CGRGs). </w:t>
      </w:r>
    </w:p>
    <w:p w14:paraId="59FE36EE" w14:textId="280E0F3C" w:rsidR="006117AD" w:rsidRPr="00AA7A10" w:rsidRDefault="006117AD" w:rsidP="006117AD">
      <w:pPr>
        <w:spacing w:line="276" w:lineRule="auto"/>
        <w:rPr>
          <w:rFonts w:cs="Arial"/>
          <w:szCs w:val="22"/>
        </w:rPr>
      </w:pPr>
      <w:r w:rsidRPr="00AA7A10">
        <w:rPr>
          <w:rFonts w:cs="Arial"/>
          <w:szCs w:val="22"/>
        </w:rPr>
        <w:lastRenderedPageBreak/>
        <w:t xml:space="preserve">The </w:t>
      </w:r>
      <w:hyperlink r:id="rId46" w:history="1">
        <w:r w:rsidRPr="00AA7A10">
          <w:rPr>
            <w:rFonts w:cs="Arial"/>
            <w:szCs w:val="22"/>
          </w:rPr>
          <w:t>Public Governance Performance and Accountability Act 2013</w:t>
        </w:r>
      </w:hyperlink>
      <w:r w:rsidRPr="00AA7A10">
        <w:rPr>
          <w:rFonts w:cs="Arial"/>
          <w:szCs w:val="22"/>
        </w:rPr>
        <w:t xml:space="preserve"> (PGPA Act) </w:t>
      </w:r>
      <w:r w:rsidR="00C8140C" w:rsidRPr="00AA7A10">
        <w:rPr>
          <w:rFonts w:cs="Arial"/>
          <w:szCs w:val="22"/>
        </w:rPr>
        <w:t>and the CGRGs guide how the g</w:t>
      </w:r>
      <w:r w:rsidRPr="00AA7A10">
        <w:rPr>
          <w:rFonts w:cs="Arial"/>
          <w:szCs w:val="22"/>
        </w:rPr>
        <w:t xml:space="preserve">overnment delivers funding to the community services sector. </w:t>
      </w:r>
    </w:p>
    <w:p w14:paraId="088E3735" w14:textId="4EC2F8F2" w:rsidR="006117AD" w:rsidRPr="00AA7A10" w:rsidRDefault="006117AD" w:rsidP="006117AD">
      <w:pPr>
        <w:spacing w:line="276" w:lineRule="auto"/>
        <w:rPr>
          <w:rFonts w:cs="Arial"/>
          <w:szCs w:val="22"/>
        </w:rPr>
      </w:pPr>
      <w:r w:rsidRPr="00AA7A10">
        <w:rPr>
          <w:rFonts w:cs="Arial"/>
          <w:szCs w:val="22"/>
        </w:rPr>
        <w:t>There are different types of grants, with the nature and length of grant funding depending on the policy and program objectives they are being awarded to achieve. Typically, grants for service delivery are over a longer period of time, while grants to achieve specific and time-limited objectives are over a shorter time period. Depending on the nature of the grant, there are different selection processes</w:t>
      </w:r>
      <w:r w:rsidR="00EC4759">
        <w:rPr>
          <w:rFonts w:cs="Arial"/>
          <w:szCs w:val="22"/>
        </w:rPr>
        <w:t xml:space="preserve"> (see Appendix B for more information)</w:t>
      </w:r>
      <w:r w:rsidR="0096351F">
        <w:rPr>
          <w:rFonts w:cs="Arial"/>
          <w:szCs w:val="22"/>
        </w:rPr>
        <w:t>, including</w:t>
      </w:r>
      <w:r w:rsidRPr="00AA7A10">
        <w:rPr>
          <w:rFonts w:cs="Arial"/>
          <w:szCs w:val="22"/>
        </w:rPr>
        <w:t>:</w:t>
      </w:r>
    </w:p>
    <w:p w14:paraId="52E8B190" w14:textId="0EF49BB1" w:rsidR="006117AD" w:rsidRPr="00AA7A10"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o</w:t>
      </w:r>
      <w:r w:rsidR="006117AD" w:rsidRPr="00AA7A10">
        <w:rPr>
          <w:rFonts w:eastAsia="Times New Roman"/>
          <w:iCs/>
          <w:color w:val="000000" w:themeColor="text1"/>
          <w:spacing w:val="2"/>
          <w:sz w:val="22"/>
          <w:szCs w:val="22"/>
        </w:rPr>
        <w:t>pen competitive</w:t>
      </w:r>
      <w:r w:rsidR="001746DC">
        <w:rPr>
          <w:rFonts w:eastAsia="Times New Roman"/>
          <w:iCs/>
          <w:color w:val="000000" w:themeColor="text1"/>
          <w:spacing w:val="2"/>
          <w:sz w:val="22"/>
          <w:szCs w:val="22"/>
        </w:rPr>
        <w:t xml:space="preserve"> </w:t>
      </w:r>
    </w:p>
    <w:p w14:paraId="43F0BBD3" w14:textId="48B41FF7" w:rsidR="006117AD" w:rsidRPr="00AA7A10"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t</w:t>
      </w:r>
      <w:r w:rsidR="006117AD" w:rsidRPr="00AA7A10">
        <w:rPr>
          <w:rFonts w:eastAsia="Times New Roman"/>
          <w:iCs/>
          <w:color w:val="000000" w:themeColor="text1"/>
          <w:spacing w:val="2"/>
          <w:sz w:val="22"/>
          <w:szCs w:val="22"/>
        </w:rPr>
        <w:t xml:space="preserve">argeted/restricted competitive </w:t>
      </w:r>
    </w:p>
    <w:p w14:paraId="056277AE" w14:textId="791802B9" w:rsidR="006117AD" w:rsidRPr="00AA7A10"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o</w:t>
      </w:r>
      <w:r w:rsidR="006117AD" w:rsidRPr="00AA7A10">
        <w:rPr>
          <w:rFonts w:eastAsia="Times New Roman"/>
          <w:iCs/>
          <w:color w:val="000000" w:themeColor="text1"/>
          <w:spacing w:val="2"/>
          <w:sz w:val="22"/>
          <w:szCs w:val="22"/>
        </w:rPr>
        <w:t xml:space="preserve">pen non-competitive </w:t>
      </w:r>
    </w:p>
    <w:p w14:paraId="2D960283" w14:textId="65C7E9DC" w:rsidR="006117AD" w:rsidRPr="00AA7A10"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c</w:t>
      </w:r>
      <w:r w:rsidR="006117AD" w:rsidRPr="00AA7A10">
        <w:rPr>
          <w:rFonts w:eastAsia="Times New Roman"/>
          <w:iCs/>
          <w:color w:val="000000" w:themeColor="text1"/>
          <w:spacing w:val="2"/>
          <w:sz w:val="22"/>
          <w:szCs w:val="22"/>
        </w:rPr>
        <w:t xml:space="preserve">losed non-competitive </w:t>
      </w:r>
    </w:p>
    <w:p w14:paraId="6EEB2D2F" w14:textId="20C10411" w:rsidR="006117AD" w:rsidRPr="00AA7A10"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d</w:t>
      </w:r>
      <w:r w:rsidR="006117AD" w:rsidRPr="00AA7A10">
        <w:rPr>
          <w:rFonts w:eastAsia="Times New Roman"/>
          <w:iCs/>
          <w:color w:val="000000" w:themeColor="text1"/>
          <w:spacing w:val="2"/>
          <w:sz w:val="22"/>
          <w:szCs w:val="22"/>
        </w:rPr>
        <w:t xml:space="preserve">emand driven </w:t>
      </w:r>
    </w:p>
    <w:p w14:paraId="4F315CDC" w14:textId="0DAAA2AC" w:rsidR="006117AD" w:rsidRDefault="000F2098" w:rsidP="006117A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a</w:t>
      </w:r>
      <w:r w:rsidR="006117AD" w:rsidRPr="00AA7A10">
        <w:rPr>
          <w:rFonts w:eastAsia="Times New Roman"/>
          <w:iCs/>
          <w:color w:val="000000" w:themeColor="text1"/>
          <w:spacing w:val="2"/>
          <w:sz w:val="22"/>
          <w:szCs w:val="22"/>
        </w:rPr>
        <w:t>d hoc</w:t>
      </w:r>
      <w:r w:rsidR="005551B4" w:rsidRPr="00AA7A10">
        <w:rPr>
          <w:rFonts w:eastAsia="Times New Roman"/>
          <w:iCs/>
          <w:color w:val="000000" w:themeColor="text1"/>
          <w:spacing w:val="2"/>
          <w:sz w:val="22"/>
          <w:szCs w:val="22"/>
        </w:rPr>
        <w:t>.</w:t>
      </w:r>
    </w:p>
    <w:p w14:paraId="662F57EE" w14:textId="78EE9FC0" w:rsidR="00DA36D1" w:rsidRPr="00AA7A10" w:rsidRDefault="00DA36D1" w:rsidP="00DA36D1">
      <w:pPr>
        <w:pStyle w:val="Default"/>
        <w:spacing w:line="276" w:lineRule="auto"/>
        <w:ind w:left="720"/>
        <w:rPr>
          <w:rFonts w:eastAsia="Times New Roman"/>
          <w:iCs/>
          <w:color w:val="000000" w:themeColor="text1"/>
          <w:spacing w:val="2"/>
          <w:sz w:val="22"/>
          <w:szCs w:val="22"/>
        </w:rPr>
      </w:pPr>
    </w:p>
    <w:p w14:paraId="33C43645" w14:textId="5511040C" w:rsidR="006117AD" w:rsidRPr="0096351F" w:rsidRDefault="006117AD" w:rsidP="006117AD">
      <w:pPr>
        <w:spacing w:line="276" w:lineRule="auto"/>
        <w:rPr>
          <w:rFonts w:cs="Arial"/>
          <w:szCs w:val="22"/>
        </w:rPr>
      </w:pPr>
      <w:r w:rsidRPr="00AA7A10">
        <w:rPr>
          <w:rFonts w:cs="Arial"/>
          <w:szCs w:val="22"/>
        </w:rPr>
        <w:t xml:space="preserve">The </w:t>
      </w:r>
      <w:r w:rsidRPr="0096351F">
        <w:rPr>
          <w:rFonts w:cs="Arial"/>
          <w:szCs w:val="22"/>
        </w:rPr>
        <w:t xml:space="preserve">Department of Finance is responsible for the grants policy framework, including the </w:t>
      </w:r>
      <w:r w:rsidR="000F2098" w:rsidRPr="0096351F">
        <w:rPr>
          <w:rFonts w:cs="Arial"/>
          <w:szCs w:val="22"/>
        </w:rPr>
        <w:t>CGRGs</w:t>
      </w:r>
      <w:r w:rsidRPr="0096351F">
        <w:rPr>
          <w:rFonts w:cs="Arial"/>
          <w:szCs w:val="22"/>
        </w:rPr>
        <w:t xml:space="preserve"> and </w:t>
      </w:r>
      <w:r w:rsidR="005551B4" w:rsidRPr="009568BF">
        <w:rPr>
          <w:rFonts w:cs="Arial"/>
          <w:szCs w:val="22"/>
        </w:rPr>
        <w:t xml:space="preserve">the </w:t>
      </w:r>
      <w:r w:rsidRPr="009568BF">
        <w:rPr>
          <w:rFonts w:cs="Arial"/>
          <w:szCs w:val="22"/>
        </w:rPr>
        <w:t>grant agreement templates used across ag</w:t>
      </w:r>
      <w:r w:rsidRPr="000617A1">
        <w:rPr>
          <w:rFonts w:cs="Arial"/>
          <w:szCs w:val="22"/>
        </w:rPr>
        <w:t xml:space="preserve">encies. </w:t>
      </w:r>
      <w:r w:rsidR="000F2098" w:rsidRPr="000617A1">
        <w:rPr>
          <w:rFonts w:cs="Arial"/>
          <w:szCs w:val="22"/>
        </w:rPr>
        <w:t>The department</w:t>
      </w:r>
      <w:r w:rsidRPr="000617A1">
        <w:rPr>
          <w:rFonts w:cs="Arial"/>
          <w:szCs w:val="22"/>
        </w:rPr>
        <w:t xml:space="preserve"> work</w:t>
      </w:r>
      <w:r w:rsidR="001820EE" w:rsidRPr="000617A1">
        <w:rPr>
          <w:rFonts w:cs="Arial"/>
          <w:szCs w:val="22"/>
        </w:rPr>
        <w:t>s</w:t>
      </w:r>
      <w:r w:rsidRPr="000617A1">
        <w:rPr>
          <w:rFonts w:cs="Arial"/>
          <w:szCs w:val="22"/>
        </w:rPr>
        <w:t xml:space="preserve"> closely with the Department of Finance to ensure that implications for the CGRGs are appropriate</w:t>
      </w:r>
      <w:r w:rsidR="0096351F">
        <w:rPr>
          <w:rFonts w:cs="Arial"/>
          <w:szCs w:val="22"/>
        </w:rPr>
        <w:t>ly</w:t>
      </w:r>
      <w:r w:rsidRPr="0096351F">
        <w:rPr>
          <w:rFonts w:cs="Arial"/>
          <w:szCs w:val="22"/>
        </w:rPr>
        <w:t xml:space="preserve"> consider</w:t>
      </w:r>
      <w:r w:rsidR="0096351F">
        <w:rPr>
          <w:rFonts w:cs="Arial"/>
          <w:szCs w:val="22"/>
        </w:rPr>
        <w:t>ed</w:t>
      </w:r>
      <w:r w:rsidRPr="0096351F">
        <w:rPr>
          <w:rFonts w:cs="Arial"/>
          <w:szCs w:val="22"/>
        </w:rPr>
        <w:t>. Any changes proposed through this process will need to consider the alignment with the CGRGs and the PGPA Act, and retain integrity standards to ensure they are not vulnerable to corruption.</w:t>
      </w:r>
    </w:p>
    <w:p w14:paraId="0962C073" w14:textId="77777777" w:rsidR="006117AD" w:rsidRPr="00E6758B" w:rsidRDefault="006117AD" w:rsidP="00437102">
      <w:pPr>
        <w:pStyle w:val="Heading3"/>
      </w:pPr>
      <w:r>
        <w:t>Accessing information about</w:t>
      </w:r>
      <w:r w:rsidRPr="00E6758B">
        <w:t xml:space="preserve"> grants</w:t>
      </w:r>
    </w:p>
    <w:p w14:paraId="2C7DA4EA" w14:textId="77777777" w:rsidR="006117AD" w:rsidRPr="00F3235B" w:rsidRDefault="004D262C" w:rsidP="00485F62">
      <w:pPr>
        <w:spacing w:after="0" w:line="276" w:lineRule="auto"/>
        <w:rPr>
          <w:szCs w:val="22"/>
        </w:rPr>
      </w:pPr>
      <w:hyperlink r:id="rId47" w:history="1">
        <w:r w:rsidR="006117AD" w:rsidRPr="00CD7EE8">
          <w:rPr>
            <w:rStyle w:val="Hyperlink"/>
            <w:rFonts w:cs="Calibri"/>
          </w:rPr>
          <w:t>GrantConnect</w:t>
        </w:r>
      </w:hyperlink>
      <w:r w:rsidR="006117AD" w:rsidRPr="00CD7EE8">
        <w:t xml:space="preserve"> </w:t>
      </w:r>
      <w:r w:rsidR="006117AD" w:rsidRPr="00057E03">
        <w:t>is the central platform where all potential grant applicants can find information about current and upcoming Commonwealth Grant Opportunities, and all relevant grant documentation. This includes community sector grants. GrantConnect also publishes the outcomes of grant application processes.</w:t>
      </w:r>
      <w:r w:rsidR="006117AD" w:rsidRPr="00CD7EE8">
        <w:t xml:space="preserve"> </w:t>
      </w:r>
    </w:p>
    <w:p w14:paraId="75651026" w14:textId="01D6A089" w:rsidR="005C6EB8" w:rsidRPr="001C48DF" w:rsidRDefault="00F97374" w:rsidP="00090271">
      <w:pPr>
        <w:pStyle w:val="Heading1"/>
      </w:pPr>
      <w:bookmarkStart w:id="14" w:name="_Toc139022130"/>
      <w:bookmarkEnd w:id="1"/>
      <w:bookmarkEnd w:id="3"/>
      <w:r w:rsidRPr="00CD7EE8">
        <w:rPr>
          <w:sz w:val="24"/>
          <w:szCs w:val="24"/>
        </w:rPr>
        <w:br w:type="page"/>
      </w:r>
      <w:bookmarkStart w:id="15" w:name="_Toc141437655"/>
      <w:bookmarkStart w:id="16" w:name="_Toc144983240"/>
      <w:r w:rsidR="005C6EB8" w:rsidRPr="001C48DF">
        <w:lastRenderedPageBreak/>
        <w:t>Focus areas</w:t>
      </w:r>
      <w:bookmarkEnd w:id="14"/>
      <w:r w:rsidR="001E30AA">
        <w:t xml:space="preserve"> for</w:t>
      </w:r>
      <w:r w:rsidR="00485F62">
        <w:t xml:space="preserve"> consideration</w:t>
      </w:r>
      <w:bookmarkEnd w:id="15"/>
      <w:bookmarkEnd w:id="16"/>
    </w:p>
    <w:p w14:paraId="37795583" w14:textId="0D363843" w:rsidR="00B950B0" w:rsidRPr="00AA7A10" w:rsidRDefault="001E30AA" w:rsidP="00A25FE8">
      <w:pPr>
        <w:pStyle w:val="BodyText"/>
        <w:spacing w:line="276" w:lineRule="auto"/>
        <w:rPr>
          <w:rFonts w:ascii="Arial" w:eastAsia="Times New Roman" w:hAnsi="Arial" w:cs="Arial"/>
          <w:spacing w:val="4"/>
          <w:lang w:eastAsia="en-AU"/>
        </w:rPr>
      </w:pPr>
      <w:r w:rsidRPr="00AA7A10">
        <w:rPr>
          <w:rFonts w:ascii="Arial" w:eastAsia="Times New Roman" w:hAnsi="Arial" w:cs="Arial"/>
          <w:spacing w:val="4"/>
          <w:lang w:eastAsia="en-AU"/>
        </w:rPr>
        <w:t xml:space="preserve">This section </w:t>
      </w:r>
      <w:r w:rsidR="00F97374" w:rsidRPr="00AA7A10">
        <w:rPr>
          <w:rFonts w:ascii="Arial" w:hAnsi="Arial" w:cs="Arial"/>
        </w:rPr>
        <w:t xml:space="preserve">is organised around the 5 focus </w:t>
      </w:r>
      <w:r w:rsidR="00FD6FB5" w:rsidRPr="00AA7A10">
        <w:rPr>
          <w:rFonts w:ascii="Arial" w:hAnsi="Arial" w:cs="Arial"/>
        </w:rPr>
        <w:t xml:space="preserve">areas </w:t>
      </w:r>
      <w:r w:rsidR="00F97374" w:rsidRPr="00AA7A10">
        <w:rPr>
          <w:rFonts w:ascii="Arial" w:hAnsi="Arial" w:cs="Arial"/>
        </w:rPr>
        <w:t xml:space="preserve">drawn from the </w:t>
      </w:r>
      <w:r w:rsidR="00C8140C" w:rsidRPr="00AA7A10">
        <w:rPr>
          <w:rFonts w:ascii="Arial" w:hAnsi="Arial" w:cs="Arial"/>
        </w:rPr>
        <w:t>g</w:t>
      </w:r>
      <w:r w:rsidR="00F97374" w:rsidRPr="00AA7A10">
        <w:rPr>
          <w:rFonts w:ascii="Arial" w:hAnsi="Arial" w:cs="Arial"/>
        </w:rPr>
        <w:t>overnment’s commitment</w:t>
      </w:r>
      <w:r w:rsidR="005551B4" w:rsidRPr="00AA7A10">
        <w:rPr>
          <w:rFonts w:ascii="Arial" w:eastAsia="Times New Roman" w:hAnsi="Arial" w:cs="Arial"/>
          <w:spacing w:val="4"/>
          <w:lang w:eastAsia="en-AU"/>
        </w:rPr>
        <w:t>.</w:t>
      </w:r>
    </w:p>
    <w:p w14:paraId="2439BA82" w14:textId="77777777" w:rsidR="00C50A29" w:rsidRPr="00AA7A10" w:rsidRDefault="00C50A29" w:rsidP="00181F7A">
      <w:pPr>
        <w:pStyle w:val="ListParagraph"/>
        <w:numPr>
          <w:ilvl w:val="0"/>
          <w:numId w:val="4"/>
        </w:numPr>
        <w:spacing w:after="240" w:line="276" w:lineRule="auto"/>
        <w:ind w:left="714" w:hanging="357"/>
        <w:rPr>
          <w:rFonts w:cs="Arial"/>
          <w:szCs w:val="22"/>
        </w:rPr>
      </w:pPr>
      <w:r w:rsidRPr="00AA7A10">
        <w:rPr>
          <w:rFonts w:cs="Arial"/>
          <w:szCs w:val="22"/>
        </w:rPr>
        <w:t>Giving the sector the voice and respect it deserves through a meaningful working partnership.</w:t>
      </w:r>
    </w:p>
    <w:p w14:paraId="2F370F2B" w14:textId="251A26B6" w:rsidR="00B950B0" w:rsidRPr="00AA7A10" w:rsidRDefault="00B950B0" w:rsidP="00181F7A">
      <w:pPr>
        <w:pStyle w:val="ListParagraph"/>
        <w:numPr>
          <w:ilvl w:val="0"/>
          <w:numId w:val="4"/>
        </w:numPr>
        <w:spacing w:after="240" w:line="276" w:lineRule="auto"/>
        <w:ind w:left="714" w:hanging="357"/>
        <w:rPr>
          <w:rFonts w:cs="Arial"/>
          <w:szCs w:val="22"/>
        </w:rPr>
      </w:pPr>
      <w:r w:rsidRPr="00AA7A10">
        <w:rPr>
          <w:rFonts w:cs="Arial"/>
          <w:szCs w:val="22"/>
        </w:rPr>
        <w:t>Providing grants that reflect the real cost of delivering quality services</w:t>
      </w:r>
      <w:r w:rsidR="000F2098" w:rsidRPr="00AA7A10">
        <w:rPr>
          <w:rFonts w:cs="Arial"/>
          <w:szCs w:val="22"/>
        </w:rPr>
        <w:t>.</w:t>
      </w:r>
    </w:p>
    <w:p w14:paraId="6E4DC19B" w14:textId="17836497" w:rsidR="00B950B0" w:rsidRPr="00AA7A10" w:rsidRDefault="00B950B0" w:rsidP="00181F7A">
      <w:pPr>
        <w:pStyle w:val="ListParagraph"/>
        <w:numPr>
          <w:ilvl w:val="0"/>
          <w:numId w:val="4"/>
        </w:numPr>
        <w:spacing w:after="240" w:line="276" w:lineRule="auto"/>
        <w:ind w:left="714" w:hanging="357"/>
        <w:rPr>
          <w:rFonts w:cs="Arial"/>
          <w:szCs w:val="22"/>
        </w:rPr>
      </w:pPr>
      <w:r w:rsidRPr="00AA7A10">
        <w:rPr>
          <w:rFonts w:cs="Arial"/>
          <w:szCs w:val="22"/>
        </w:rPr>
        <w:t>Providing longer grant agreement terms</w:t>
      </w:r>
      <w:r w:rsidR="000F2098" w:rsidRPr="00AA7A10">
        <w:rPr>
          <w:rFonts w:cs="Arial"/>
          <w:szCs w:val="22"/>
        </w:rPr>
        <w:t>.</w:t>
      </w:r>
    </w:p>
    <w:p w14:paraId="561394EE" w14:textId="0CBF5801" w:rsidR="00B950B0" w:rsidRPr="00AA7A10" w:rsidRDefault="00B950B0" w:rsidP="00181F7A">
      <w:pPr>
        <w:pStyle w:val="ListParagraph"/>
        <w:numPr>
          <w:ilvl w:val="0"/>
          <w:numId w:val="4"/>
        </w:numPr>
        <w:spacing w:after="240" w:line="276" w:lineRule="auto"/>
        <w:ind w:left="714" w:hanging="357"/>
        <w:rPr>
          <w:rFonts w:cs="Arial"/>
          <w:szCs w:val="22"/>
        </w:rPr>
      </w:pPr>
      <w:r w:rsidRPr="00AA7A10">
        <w:rPr>
          <w:rFonts w:cs="Arial"/>
          <w:szCs w:val="22"/>
        </w:rPr>
        <w:t>Ensuring grant funding flows to a greater diversity of CSOs</w:t>
      </w:r>
      <w:r w:rsidR="000F2098" w:rsidRPr="00AA7A10">
        <w:rPr>
          <w:rFonts w:cs="Arial"/>
          <w:szCs w:val="22"/>
        </w:rPr>
        <w:t>.</w:t>
      </w:r>
    </w:p>
    <w:p w14:paraId="75A04512" w14:textId="3C60CAB9" w:rsidR="0065761F" w:rsidRPr="00AA7A10" w:rsidRDefault="00B950B0" w:rsidP="00181F7A">
      <w:pPr>
        <w:pStyle w:val="ListParagraph"/>
        <w:numPr>
          <w:ilvl w:val="0"/>
          <w:numId w:val="4"/>
        </w:numPr>
        <w:spacing w:after="240" w:line="276" w:lineRule="auto"/>
        <w:ind w:left="714" w:hanging="357"/>
        <w:rPr>
          <w:rFonts w:eastAsia="Times New Roman" w:cs="Arial"/>
          <w:spacing w:val="4"/>
          <w:szCs w:val="22"/>
          <w:lang w:eastAsia="en-AU"/>
        </w:rPr>
      </w:pPr>
      <w:r w:rsidRPr="00AA7A10">
        <w:rPr>
          <w:rFonts w:cs="Arial"/>
          <w:szCs w:val="22"/>
        </w:rPr>
        <w:t xml:space="preserve">Partnering with trusted community organisations with strong local links. </w:t>
      </w:r>
    </w:p>
    <w:p w14:paraId="6BC5F430" w14:textId="6E43B69F" w:rsidR="00193563" w:rsidRPr="00AA7A10" w:rsidRDefault="00D564F7" w:rsidP="00A25FE8">
      <w:pPr>
        <w:pStyle w:val="BodyText"/>
        <w:spacing w:line="276" w:lineRule="auto"/>
        <w:rPr>
          <w:rFonts w:ascii="Arial" w:eastAsia="Times New Roman" w:hAnsi="Arial" w:cs="Arial"/>
          <w:spacing w:val="4"/>
          <w:lang w:eastAsia="en-AU"/>
        </w:rPr>
      </w:pPr>
      <w:r w:rsidRPr="00AA7A10">
        <w:rPr>
          <w:rFonts w:ascii="Arial" w:eastAsia="Times New Roman" w:hAnsi="Arial" w:cs="Arial"/>
          <w:spacing w:val="4"/>
          <w:lang w:eastAsia="en-AU"/>
        </w:rPr>
        <w:t>For each of these focus areas, this</w:t>
      </w:r>
      <w:r w:rsidR="00CE1E53" w:rsidRPr="00AA7A10">
        <w:rPr>
          <w:rFonts w:ascii="Arial" w:eastAsia="Times New Roman" w:hAnsi="Arial" w:cs="Arial"/>
          <w:spacing w:val="4"/>
          <w:lang w:eastAsia="en-AU"/>
        </w:rPr>
        <w:t xml:space="preserve"> section outlines</w:t>
      </w:r>
      <w:r w:rsidR="00193563" w:rsidRPr="00AA7A10">
        <w:rPr>
          <w:rFonts w:ascii="Arial" w:eastAsia="Times New Roman" w:hAnsi="Arial" w:cs="Arial"/>
          <w:spacing w:val="4"/>
          <w:lang w:eastAsia="en-AU"/>
        </w:rPr>
        <w:t>:</w:t>
      </w:r>
    </w:p>
    <w:p w14:paraId="70458A90" w14:textId="1C9416AD" w:rsidR="00193563" w:rsidRPr="00AA7A10" w:rsidRDefault="000F209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w</w:t>
      </w:r>
      <w:r w:rsidR="005C6EB8" w:rsidRPr="00AA7A10">
        <w:rPr>
          <w:rFonts w:eastAsia="Times New Roman"/>
          <w:iCs/>
          <w:color w:val="000000" w:themeColor="text1"/>
          <w:spacing w:val="2"/>
          <w:sz w:val="22"/>
          <w:szCs w:val="22"/>
        </w:rPr>
        <w:t xml:space="preserve">hat </w:t>
      </w:r>
      <w:r w:rsidR="00CE1E53" w:rsidRPr="00AA7A10">
        <w:rPr>
          <w:rFonts w:eastAsia="Times New Roman"/>
          <w:iCs/>
          <w:color w:val="000000" w:themeColor="text1"/>
          <w:spacing w:val="2"/>
          <w:sz w:val="22"/>
          <w:szCs w:val="22"/>
        </w:rPr>
        <w:t>the department has</w:t>
      </w:r>
      <w:r w:rsidR="005C6EB8" w:rsidRPr="00AA7A10">
        <w:rPr>
          <w:rFonts w:eastAsia="Times New Roman"/>
          <w:iCs/>
          <w:color w:val="000000" w:themeColor="text1"/>
          <w:spacing w:val="2"/>
          <w:sz w:val="22"/>
          <w:szCs w:val="22"/>
        </w:rPr>
        <w:t xml:space="preserve"> heard</w:t>
      </w:r>
    </w:p>
    <w:p w14:paraId="42D252D5" w14:textId="093D80E7" w:rsidR="00193563" w:rsidRPr="00AA7A10" w:rsidRDefault="000F209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w</w:t>
      </w:r>
      <w:r w:rsidR="005C6EB8" w:rsidRPr="00AA7A10">
        <w:rPr>
          <w:rFonts w:eastAsia="Times New Roman"/>
          <w:iCs/>
          <w:color w:val="000000" w:themeColor="text1"/>
          <w:spacing w:val="2"/>
          <w:sz w:val="22"/>
          <w:szCs w:val="22"/>
        </w:rPr>
        <w:t xml:space="preserve">hat </w:t>
      </w:r>
      <w:r w:rsidR="00193563" w:rsidRPr="00AA7A10">
        <w:rPr>
          <w:rFonts w:eastAsia="Times New Roman"/>
          <w:iCs/>
          <w:color w:val="000000" w:themeColor="text1"/>
          <w:spacing w:val="2"/>
          <w:sz w:val="22"/>
          <w:szCs w:val="22"/>
        </w:rPr>
        <w:t>could be</w:t>
      </w:r>
      <w:r w:rsidR="005C6EB8" w:rsidRPr="00AA7A10">
        <w:rPr>
          <w:rFonts w:eastAsia="Times New Roman"/>
          <w:iCs/>
          <w:color w:val="000000" w:themeColor="text1"/>
          <w:spacing w:val="2"/>
          <w:sz w:val="22"/>
          <w:szCs w:val="22"/>
        </w:rPr>
        <w:t xml:space="preserve"> consider</w:t>
      </w:r>
      <w:r w:rsidR="009661B7" w:rsidRPr="00AA7A10">
        <w:rPr>
          <w:rFonts w:eastAsia="Times New Roman"/>
          <w:iCs/>
          <w:color w:val="000000" w:themeColor="text1"/>
          <w:spacing w:val="2"/>
          <w:sz w:val="22"/>
          <w:szCs w:val="22"/>
        </w:rPr>
        <w:t>ed</w:t>
      </w:r>
      <w:r w:rsidR="005C6EB8" w:rsidRPr="00AA7A10">
        <w:rPr>
          <w:rFonts w:eastAsia="Times New Roman"/>
          <w:iCs/>
          <w:color w:val="000000" w:themeColor="text1"/>
          <w:spacing w:val="2"/>
          <w:sz w:val="22"/>
          <w:szCs w:val="22"/>
        </w:rPr>
        <w:t xml:space="preserve"> for each of the focus areas</w:t>
      </w:r>
    </w:p>
    <w:p w14:paraId="2A497C1C" w14:textId="77777777" w:rsidR="001746DC" w:rsidRPr="001746DC" w:rsidRDefault="000F2098" w:rsidP="008942C5">
      <w:pPr>
        <w:pStyle w:val="Default"/>
        <w:numPr>
          <w:ilvl w:val="0"/>
          <w:numId w:val="2"/>
        </w:numPr>
        <w:spacing w:line="276" w:lineRule="auto"/>
        <w:rPr>
          <w:bCs/>
        </w:rPr>
      </w:pPr>
      <w:r w:rsidRPr="001746DC">
        <w:rPr>
          <w:rFonts w:eastAsia="Times New Roman"/>
          <w:iCs/>
          <w:color w:val="000000" w:themeColor="text1"/>
          <w:spacing w:val="2"/>
          <w:sz w:val="22"/>
          <w:szCs w:val="22"/>
        </w:rPr>
        <w:t>q</w:t>
      </w:r>
      <w:r w:rsidR="00193563" w:rsidRPr="001746DC">
        <w:rPr>
          <w:rFonts w:eastAsia="Times New Roman"/>
          <w:iCs/>
          <w:color w:val="000000" w:themeColor="text1"/>
          <w:spacing w:val="2"/>
          <w:sz w:val="22"/>
          <w:szCs w:val="22"/>
        </w:rPr>
        <w:t>uestions for stakeholders to consider and provide feedback against</w:t>
      </w:r>
      <w:r w:rsidR="00CF74CB" w:rsidRPr="001746DC">
        <w:rPr>
          <w:rFonts w:eastAsia="Times New Roman"/>
          <w:iCs/>
          <w:color w:val="000000" w:themeColor="text1"/>
          <w:spacing w:val="2"/>
          <w:sz w:val="22"/>
          <w:szCs w:val="22"/>
        </w:rPr>
        <w:t>.</w:t>
      </w:r>
    </w:p>
    <w:p w14:paraId="2B0CCA76" w14:textId="140EF069" w:rsidR="00B950B0" w:rsidRPr="001746DC" w:rsidRDefault="00B950B0" w:rsidP="001746DC">
      <w:pPr>
        <w:pStyle w:val="Heading2"/>
        <w:rPr>
          <w:rStyle w:val="Strong"/>
          <w:b w:val="0"/>
          <w:bCs/>
        </w:rPr>
      </w:pPr>
      <w:bookmarkStart w:id="17" w:name="_Toc144983241"/>
      <w:r w:rsidRPr="001746DC">
        <w:rPr>
          <w:rStyle w:val="Strong"/>
          <w:b w:val="0"/>
          <w:bCs/>
        </w:rPr>
        <w:t>Feedback on this paper</w:t>
      </w:r>
      <w:bookmarkEnd w:id="17"/>
    </w:p>
    <w:p w14:paraId="7B6D0AF2" w14:textId="2C533F30" w:rsidR="00F8584C" w:rsidRDefault="00956E00" w:rsidP="0065761F">
      <w:pPr>
        <w:pStyle w:val="BodyText"/>
        <w:spacing w:after="60" w:line="276" w:lineRule="auto"/>
        <w:rPr>
          <w:rFonts w:ascii="Arial" w:eastAsia="Times New Roman" w:hAnsi="Arial" w:cs="Arial"/>
          <w:spacing w:val="4"/>
          <w:lang w:eastAsia="en-AU"/>
        </w:rPr>
      </w:pPr>
      <w:r w:rsidRPr="00AA7A10">
        <w:rPr>
          <w:rFonts w:ascii="Arial" w:eastAsia="Times New Roman" w:hAnsi="Arial" w:cs="Arial"/>
          <w:spacing w:val="4"/>
          <w:lang w:eastAsia="en-AU"/>
        </w:rPr>
        <w:t xml:space="preserve">The </w:t>
      </w:r>
      <w:r w:rsidR="00A045AD" w:rsidRPr="00AA7A10">
        <w:rPr>
          <w:rFonts w:ascii="Arial" w:eastAsia="Times New Roman" w:hAnsi="Arial" w:cs="Arial"/>
          <w:spacing w:val="4"/>
          <w:lang w:eastAsia="en-AU"/>
        </w:rPr>
        <w:t>d</w:t>
      </w:r>
      <w:r w:rsidRPr="00AA7A10">
        <w:rPr>
          <w:rFonts w:ascii="Arial" w:eastAsia="Times New Roman" w:hAnsi="Arial" w:cs="Arial"/>
          <w:spacing w:val="4"/>
          <w:lang w:eastAsia="en-AU"/>
        </w:rPr>
        <w:t xml:space="preserve">epartment </w:t>
      </w:r>
      <w:r w:rsidR="00B950B0" w:rsidRPr="00AA7A10">
        <w:rPr>
          <w:rFonts w:ascii="Arial" w:eastAsia="Times New Roman" w:hAnsi="Arial" w:cs="Arial"/>
          <w:spacing w:val="4"/>
          <w:lang w:eastAsia="en-AU"/>
        </w:rPr>
        <w:t xml:space="preserve">welcomes your feedback on </w:t>
      </w:r>
      <w:r w:rsidR="00CD6BDD" w:rsidRPr="00AA7A10">
        <w:rPr>
          <w:rFonts w:ascii="Arial" w:eastAsia="Times New Roman" w:hAnsi="Arial" w:cs="Arial"/>
          <w:spacing w:val="4"/>
          <w:lang w:eastAsia="en-AU"/>
        </w:rPr>
        <w:t xml:space="preserve">the issues raised in </w:t>
      </w:r>
      <w:r w:rsidR="00B950B0" w:rsidRPr="00AA7A10">
        <w:rPr>
          <w:rFonts w:ascii="Arial" w:eastAsia="Times New Roman" w:hAnsi="Arial" w:cs="Arial"/>
          <w:spacing w:val="4"/>
          <w:lang w:eastAsia="en-AU"/>
        </w:rPr>
        <w:t xml:space="preserve">this </w:t>
      </w:r>
      <w:r w:rsidR="00EB0211" w:rsidRPr="00AA7A10">
        <w:rPr>
          <w:rFonts w:ascii="Arial" w:eastAsia="Times New Roman" w:hAnsi="Arial" w:cs="Arial"/>
          <w:spacing w:val="4"/>
          <w:lang w:eastAsia="en-AU"/>
        </w:rPr>
        <w:t xml:space="preserve">issues </w:t>
      </w:r>
      <w:r w:rsidR="00B950B0" w:rsidRPr="00AA7A10">
        <w:rPr>
          <w:rFonts w:ascii="Arial" w:eastAsia="Times New Roman" w:hAnsi="Arial" w:cs="Arial"/>
          <w:spacing w:val="4"/>
          <w:lang w:eastAsia="en-AU"/>
        </w:rPr>
        <w:t>paper</w:t>
      </w:r>
      <w:r w:rsidRPr="00AA7A10">
        <w:rPr>
          <w:rFonts w:ascii="Arial" w:eastAsia="Times New Roman" w:hAnsi="Arial" w:cs="Arial"/>
          <w:spacing w:val="4"/>
          <w:lang w:eastAsia="en-AU"/>
        </w:rPr>
        <w:t>.</w:t>
      </w:r>
      <w:r w:rsidR="00B950B0" w:rsidRPr="00AA7A10">
        <w:rPr>
          <w:rFonts w:ascii="Arial" w:eastAsia="Times New Roman" w:hAnsi="Arial" w:cs="Arial"/>
          <w:spacing w:val="4"/>
          <w:lang w:eastAsia="en-AU"/>
        </w:rPr>
        <w:t xml:space="preserve"> </w:t>
      </w:r>
      <w:r w:rsidR="001E30AA" w:rsidRPr="00AA7A10">
        <w:rPr>
          <w:rFonts w:ascii="Arial" w:eastAsia="Times New Roman" w:hAnsi="Arial" w:cs="Arial"/>
          <w:spacing w:val="4"/>
          <w:lang w:eastAsia="en-AU"/>
        </w:rPr>
        <w:t xml:space="preserve">We </w:t>
      </w:r>
      <w:r w:rsidR="00CD6BDD" w:rsidRPr="00AA7A10">
        <w:rPr>
          <w:rFonts w:ascii="Arial" w:eastAsia="Times New Roman" w:hAnsi="Arial" w:cs="Arial"/>
          <w:spacing w:val="4"/>
          <w:lang w:eastAsia="en-AU"/>
        </w:rPr>
        <w:t xml:space="preserve">have developed </w:t>
      </w:r>
      <w:r w:rsidR="00B950B0" w:rsidRPr="00AA7A10">
        <w:rPr>
          <w:rFonts w:ascii="Arial" w:eastAsia="Times New Roman" w:hAnsi="Arial" w:cs="Arial"/>
          <w:spacing w:val="4"/>
          <w:lang w:eastAsia="en-AU"/>
        </w:rPr>
        <w:t xml:space="preserve">questions </w:t>
      </w:r>
      <w:r w:rsidR="00F8584C" w:rsidRPr="00AA7A10">
        <w:rPr>
          <w:rFonts w:ascii="Arial" w:eastAsia="Times New Roman" w:hAnsi="Arial" w:cs="Arial"/>
          <w:spacing w:val="4"/>
          <w:lang w:eastAsia="en-AU"/>
        </w:rPr>
        <w:t>for each of the 5 areas</w:t>
      </w:r>
      <w:r w:rsidR="00CD6BDD" w:rsidRPr="00AA7A10">
        <w:rPr>
          <w:rFonts w:ascii="Arial" w:eastAsia="Times New Roman" w:hAnsi="Arial" w:cs="Arial"/>
          <w:spacing w:val="4"/>
          <w:lang w:eastAsia="en-AU"/>
        </w:rPr>
        <w:t xml:space="preserve"> of focus and 2 general questions</w:t>
      </w:r>
      <w:r w:rsidR="00C763EE" w:rsidRPr="00AA7A10">
        <w:rPr>
          <w:rFonts w:ascii="Arial" w:eastAsia="Times New Roman" w:hAnsi="Arial" w:cs="Arial"/>
          <w:spacing w:val="4"/>
          <w:lang w:eastAsia="en-AU"/>
        </w:rPr>
        <w:t>, which are listed</w:t>
      </w:r>
      <w:r w:rsidR="00CD6BDD" w:rsidRPr="00AA7A10">
        <w:rPr>
          <w:rFonts w:ascii="Arial" w:eastAsia="Times New Roman" w:hAnsi="Arial" w:cs="Arial"/>
          <w:spacing w:val="4"/>
          <w:lang w:eastAsia="en-AU"/>
        </w:rPr>
        <w:t xml:space="preserve"> below. Respondents are welcome to respond to some, any or all of the</w:t>
      </w:r>
      <w:r w:rsidR="00F24A87" w:rsidRPr="00AA7A10">
        <w:rPr>
          <w:rFonts w:ascii="Arial" w:eastAsia="Times New Roman" w:hAnsi="Arial" w:cs="Arial"/>
          <w:spacing w:val="4"/>
          <w:lang w:eastAsia="en-AU"/>
        </w:rPr>
        <w:t>se</w:t>
      </w:r>
      <w:r w:rsidR="00085BB2">
        <w:rPr>
          <w:rFonts w:ascii="Arial" w:eastAsia="Times New Roman" w:hAnsi="Arial" w:cs="Arial"/>
          <w:spacing w:val="4"/>
          <w:lang w:eastAsia="en-AU"/>
        </w:rPr>
        <w:t xml:space="preserve"> questions. </w:t>
      </w:r>
      <w:r w:rsidR="00CD6BDD" w:rsidRPr="00AA7A10">
        <w:rPr>
          <w:rFonts w:ascii="Arial" w:eastAsia="Times New Roman" w:hAnsi="Arial" w:cs="Arial"/>
          <w:spacing w:val="4"/>
          <w:lang w:eastAsia="en-AU"/>
        </w:rPr>
        <w:t xml:space="preserve">Respondents are </w:t>
      </w:r>
      <w:r w:rsidR="009661B7" w:rsidRPr="00AA7A10">
        <w:rPr>
          <w:rFonts w:ascii="Arial" w:eastAsia="Times New Roman" w:hAnsi="Arial" w:cs="Arial"/>
          <w:spacing w:val="4"/>
          <w:lang w:eastAsia="en-AU"/>
        </w:rPr>
        <w:t xml:space="preserve">strongly </w:t>
      </w:r>
      <w:r w:rsidR="00CD6BDD" w:rsidRPr="00AA7A10">
        <w:rPr>
          <w:rFonts w:ascii="Arial" w:eastAsia="Times New Roman" w:hAnsi="Arial" w:cs="Arial"/>
          <w:spacing w:val="4"/>
          <w:lang w:eastAsia="en-AU"/>
        </w:rPr>
        <w:t xml:space="preserve">encouraged to provide relevant case studies and examples to support their </w:t>
      </w:r>
      <w:r w:rsidR="00E35F46" w:rsidRPr="00AA7A10">
        <w:rPr>
          <w:rFonts w:ascii="Arial" w:eastAsia="Times New Roman" w:hAnsi="Arial" w:cs="Arial"/>
          <w:spacing w:val="4"/>
          <w:lang w:eastAsia="en-AU"/>
        </w:rPr>
        <w:t>responses.</w:t>
      </w:r>
      <w:r w:rsidR="00CD6BDD" w:rsidRPr="00AA7A10">
        <w:rPr>
          <w:rFonts w:ascii="Arial" w:eastAsia="Times New Roman" w:hAnsi="Arial" w:cs="Arial"/>
          <w:spacing w:val="4"/>
          <w:lang w:eastAsia="en-AU"/>
        </w:rPr>
        <w:t xml:space="preserve"> </w:t>
      </w:r>
    </w:p>
    <w:p w14:paraId="33126FE0" w14:textId="77777777" w:rsidR="00A92AEE" w:rsidRPr="007E4B38" w:rsidRDefault="00A92AEE" w:rsidP="003E1DBA">
      <w:pPr>
        <w:pBdr>
          <w:top w:val="single" w:sz="4" w:space="1" w:color="auto"/>
          <w:left w:val="single" w:sz="4" w:space="4" w:color="auto"/>
          <w:bottom w:val="single" w:sz="4" w:space="1" w:color="auto"/>
          <w:right w:val="single" w:sz="4" w:space="4" w:color="auto"/>
        </w:pBdr>
        <w:shd w:val="clear" w:color="auto" w:fill="DDF9FF"/>
        <w:spacing w:before="120"/>
        <w:rPr>
          <w:rFonts w:asciiTheme="minorHAnsi" w:hAnsiTheme="minorHAnsi" w:cstheme="minorHAnsi"/>
          <w:b/>
          <w:kern w:val="0"/>
          <w:sz w:val="24"/>
          <w:szCs w:val="22"/>
          <w:u w:val="single"/>
          <w14:ligatures w14:val="none"/>
        </w:rPr>
      </w:pPr>
      <w:r w:rsidRPr="007E4B38">
        <w:rPr>
          <w:rFonts w:asciiTheme="minorHAnsi" w:hAnsiTheme="minorHAnsi" w:cstheme="minorHAnsi"/>
          <w:b/>
          <w:kern w:val="0"/>
          <w:sz w:val="24"/>
          <w:szCs w:val="22"/>
          <w:u w:val="single"/>
          <w14:ligatures w14:val="none"/>
        </w:rPr>
        <w:t>Questions</w:t>
      </w:r>
    </w:p>
    <w:p w14:paraId="655AB1ED" w14:textId="473D92E0" w:rsidR="00A92AEE" w:rsidRPr="00511478" w:rsidRDefault="00511478" w:rsidP="003E1DB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357" w:hanging="357"/>
        <w:rPr>
          <w:rFonts w:ascii="Arial" w:eastAsia="Times New Roman" w:hAnsi="Arial" w:cs="Arial"/>
          <w:spacing w:val="4"/>
          <w:lang w:eastAsia="en-AU"/>
        </w:rPr>
      </w:pPr>
      <w:r>
        <w:rPr>
          <w:rFonts w:ascii="Arial" w:hAnsi="Arial" w:cs="Arial"/>
          <w:b/>
        </w:rPr>
        <w:t>1.</w:t>
      </w:r>
      <w:r>
        <w:rPr>
          <w:rFonts w:ascii="Arial" w:hAnsi="Arial" w:cs="Arial"/>
          <w:b/>
        </w:rPr>
        <w:tab/>
      </w:r>
      <w:r w:rsidR="00A92AEE" w:rsidRPr="007E4B38">
        <w:rPr>
          <w:rFonts w:ascii="Arial" w:hAnsi="Arial" w:cs="Arial"/>
          <w:b/>
        </w:rPr>
        <w:t>Giving</w:t>
      </w:r>
      <w:r w:rsidR="00A92AEE" w:rsidRPr="00AA7A10">
        <w:rPr>
          <w:rFonts w:ascii="Arial" w:hAnsi="Arial" w:cs="Arial"/>
          <w:b/>
        </w:rPr>
        <w:t xml:space="preserve"> the sector the voice and respect it deserves through a meaningful working partnership</w:t>
      </w:r>
    </w:p>
    <w:p w14:paraId="188961BF" w14:textId="17996B46" w:rsidR="00A92AEE" w:rsidRPr="00511478" w:rsidRDefault="00A92AEE"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1.1</w:t>
      </w:r>
      <w:r w:rsidRPr="00A92AEE">
        <w:rPr>
          <w:rFonts w:ascii="Arial" w:hAnsi="Arial" w:cs="Arial"/>
          <w:b/>
        </w:rPr>
        <w:tab/>
      </w:r>
      <w:r w:rsidRPr="00511478">
        <w:rPr>
          <w:rFonts w:ascii="Arial" w:hAnsi="Arial" w:cs="Arial"/>
        </w:rPr>
        <w:t>What would a partnership between CSOs and the government that achieves outcomes for Australians being supported by the community sector look like?</w:t>
      </w:r>
    </w:p>
    <w:p w14:paraId="69779568" w14:textId="4D43B568" w:rsidR="00A92AEE" w:rsidRPr="00511478" w:rsidRDefault="00A92AEE"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1.2</w:t>
      </w:r>
      <w:r w:rsidRPr="00511478">
        <w:rPr>
          <w:rFonts w:ascii="Arial" w:hAnsi="Arial" w:cs="Arial"/>
        </w:rPr>
        <w:tab/>
        <w:t>How can CSOs and government streamline the sharing of information, particularly through utilising technology to effectively engage, distribute, share, influence and inform in a timely and efficient manner?</w:t>
      </w:r>
    </w:p>
    <w:p w14:paraId="1E7350D1" w14:textId="36DC9DEA" w:rsidR="00A92AEE" w:rsidRDefault="00A92AEE"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b/>
        </w:rPr>
      </w:pPr>
      <w:r w:rsidRPr="00511478">
        <w:rPr>
          <w:rFonts w:ascii="Arial" w:hAnsi="Arial" w:cs="Arial"/>
        </w:rPr>
        <w:t>1.3</w:t>
      </w:r>
      <w:r w:rsidRPr="00511478">
        <w:rPr>
          <w:rFonts w:ascii="Arial" w:hAnsi="Arial" w:cs="Arial"/>
        </w:rPr>
        <w:tab/>
        <w:t>How can government ensure the community sector, including service users</w:t>
      </w:r>
      <w:r w:rsidR="00264EBB" w:rsidRPr="00264EBB">
        <w:t xml:space="preserve"> </w:t>
      </w:r>
      <w:r w:rsidR="00264EBB" w:rsidRPr="00264EBB">
        <w:rPr>
          <w:rFonts w:ascii="Arial" w:hAnsi="Arial" w:cs="Arial"/>
        </w:rPr>
        <w:t>and those not able to access services</w:t>
      </w:r>
      <w:r w:rsidRPr="00511478">
        <w:rPr>
          <w:rFonts w:ascii="Arial" w:hAnsi="Arial" w:cs="Arial"/>
        </w:rPr>
        <w:t>, have an opportunity to contribute to program design without imposing significant burdens?</w:t>
      </w:r>
    </w:p>
    <w:p w14:paraId="0B355FAD" w14:textId="47B0BB72" w:rsidR="00A92AEE" w:rsidRDefault="00A92AEE" w:rsidP="003E1DB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hAnsi="Arial" w:cs="Arial"/>
          <w:b/>
        </w:rPr>
      </w:pPr>
    </w:p>
    <w:p w14:paraId="6213CDFE" w14:textId="1FEACEDB" w:rsidR="00A92AEE" w:rsidRDefault="00511478" w:rsidP="003E1DB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hAnsi="Arial" w:cs="Arial"/>
          <w:b/>
        </w:rPr>
      </w:pPr>
      <w:r>
        <w:rPr>
          <w:rFonts w:ascii="Arial" w:hAnsi="Arial" w:cs="Arial"/>
          <w:b/>
        </w:rPr>
        <w:t>2.</w:t>
      </w:r>
      <w:r>
        <w:rPr>
          <w:rFonts w:ascii="Arial" w:hAnsi="Arial" w:cs="Arial"/>
          <w:b/>
        </w:rPr>
        <w:tab/>
      </w:r>
      <w:r w:rsidR="00A92AEE">
        <w:rPr>
          <w:rFonts w:ascii="Arial" w:hAnsi="Arial" w:cs="Arial"/>
          <w:b/>
        </w:rPr>
        <w:t>Providing grants that reflect the real cost of delivering quality services</w:t>
      </w:r>
    </w:p>
    <w:p w14:paraId="19984D8C" w14:textId="18E9A2C6" w:rsidR="00A92AEE" w:rsidRPr="00511478" w:rsidRDefault="00A92AEE"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2.1</w:t>
      </w:r>
      <w:r w:rsidRPr="00A92AEE">
        <w:rPr>
          <w:rFonts w:ascii="Arial" w:hAnsi="Arial" w:cs="Arial"/>
          <w:b/>
        </w:rPr>
        <w:tab/>
      </w:r>
      <w:r w:rsidRPr="00511478">
        <w:rPr>
          <w:rFonts w:ascii="Arial" w:hAnsi="Arial" w:cs="Arial"/>
        </w:rPr>
        <w:t>What would adequate and flexible funding look like?</w:t>
      </w:r>
    </w:p>
    <w:p w14:paraId="02E3BA39" w14:textId="03106956" w:rsidR="00A92AEE" w:rsidRPr="00511478" w:rsidRDefault="00511478"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2.2</w:t>
      </w:r>
      <w:r w:rsidR="00A92AEE" w:rsidRPr="00511478">
        <w:rPr>
          <w:rFonts w:ascii="Arial" w:hAnsi="Arial" w:cs="Arial"/>
        </w:rPr>
        <w:tab/>
        <w:t>What administrative and overhead costs are not being considered in current grant funding?</w:t>
      </w:r>
    </w:p>
    <w:p w14:paraId="756BBF52" w14:textId="573A0053" w:rsidR="00A92AEE" w:rsidRPr="00511478" w:rsidRDefault="00511478"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2.3</w:t>
      </w:r>
      <w:r w:rsidR="00A92AEE" w:rsidRPr="00511478">
        <w:rPr>
          <w:rFonts w:ascii="Arial" w:hAnsi="Arial" w:cs="Arial"/>
        </w:rPr>
        <w:tab/>
        <w:t>How are rising operational costs impacting the delivery of community services?</w:t>
      </w:r>
    </w:p>
    <w:p w14:paraId="4197A9D9" w14:textId="5B4D9257" w:rsidR="00A92AEE" w:rsidRPr="00511478" w:rsidRDefault="00511478"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2.4</w:t>
      </w:r>
      <w:r w:rsidR="00763E5A">
        <w:rPr>
          <w:rFonts w:ascii="Arial" w:hAnsi="Arial" w:cs="Arial"/>
        </w:rPr>
        <w:tab/>
      </w:r>
      <w:r w:rsidR="00A92AEE" w:rsidRPr="00511478">
        <w:rPr>
          <w:rFonts w:ascii="Arial" w:hAnsi="Arial" w:cs="Arial"/>
        </w:rPr>
        <w:t>What have been your experiences with, and reflections on, the supplementation and change to indexation?</w:t>
      </w:r>
    </w:p>
    <w:p w14:paraId="725BBA61" w14:textId="5494F5DD" w:rsidR="00A92AEE" w:rsidRPr="00511478" w:rsidRDefault="00511478"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2.5</w:t>
      </w:r>
      <w:r w:rsidR="00763E5A">
        <w:rPr>
          <w:rFonts w:ascii="Arial" w:hAnsi="Arial" w:cs="Arial"/>
        </w:rPr>
        <w:tab/>
      </w:r>
      <w:r w:rsidR="00A92AEE" w:rsidRPr="00511478">
        <w:rPr>
          <w:rFonts w:ascii="Arial" w:hAnsi="Arial" w:cs="Arial"/>
        </w:rPr>
        <w:t>How can CSOs and the department work together to determine where funds are needed most to ensure equitable and responsive distribution of funds?</w:t>
      </w:r>
    </w:p>
    <w:p w14:paraId="7C3EE544" w14:textId="03FF30E2" w:rsidR="00A92AEE" w:rsidRPr="00511478" w:rsidRDefault="00511478" w:rsidP="00763E5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2.6</w:t>
      </w:r>
      <w:r w:rsidR="00763E5A">
        <w:rPr>
          <w:rFonts w:ascii="Arial" w:hAnsi="Arial" w:cs="Arial"/>
        </w:rPr>
        <w:tab/>
      </w:r>
      <w:r w:rsidR="00A92AEE" w:rsidRPr="00511478">
        <w:rPr>
          <w:rFonts w:ascii="Arial" w:hAnsi="Arial" w:cs="Arial"/>
        </w:rPr>
        <w:t>How can government streamline reporting requirements, including across multiple grants, to reduce administrative burden on CSOs?</w:t>
      </w:r>
    </w:p>
    <w:p w14:paraId="080F180D" w14:textId="22F43FDB" w:rsidR="00A92AEE" w:rsidRDefault="00A92AEE" w:rsidP="003E1DBA">
      <w:pPr>
        <w:pStyle w:val="BodyText"/>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hAnsi="Arial" w:cs="Arial"/>
          <w:b/>
        </w:rPr>
      </w:pPr>
    </w:p>
    <w:p w14:paraId="6DA733B9" w14:textId="67448A81" w:rsidR="00A92AEE" w:rsidRPr="00437102"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eastAsia="Times New Roman" w:hAnsi="Arial" w:cs="Arial"/>
          <w:spacing w:val="4"/>
          <w:lang w:eastAsia="en-AU"/>
        </w:rPr>
      </w:pPr>
      <w:r>
        <w:rPr>
          <w:rFonts w:ascii="Arial" w:hAnsi="Arial" w:cs="Arial"/>
          <w:b/>
        </w:rPr>
        <w:lastRenderedPageBreak/>
        <w:t>3.</w:t>
      </w:r>
      <w:r>
        <w:rPr>
          <w:rFonts w:ascii="Arial" w:hAnsi="Arial" w:cs="Arial"/>
          <w:b/>
        </w:rPr>
        <w:tab/>
      </w:r>
      <w:r w:rsidR="00A92AEE" w:rsidRPr="00AA7A10">
        <w:rPr>
          <w:rFonts w:ascii="Arial" w:hAnsi="Arial" w:cs="Arial"/>
          <w:b/>
        </w:rPr>
        <w:t>Providing longer grant agreement terms</w:t>
      </w:r>
    </w:p>
    <w:p w14:paraId="4209B7B0" w14:textId="4AC7BEAB" w:rsidR="00A92AEE"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3</w:t>
      </w:r>
      <w:r w:rsidR="00A92AEE" w:rsidRPr="00511478">
        <w:rPr>
          <w:rFonts w:ascii="Arial" w:hAnsi="Arial" w:cs="Arial"/>
        </w:rPr>
        <w:t>.</w:t>
      </w:r>
      <w:r w:rsidRPr="00511478">
        <w:rPr>
          <w:rFonts w:ascii="Arial" w:hAnsi="Arial" w:cs="Arial"/>
        </w:rPr>
        <w:t>1</w:t>
      </w:r>
      <w:r w:rsidR="00A92AEE" w:rsidRPr="00A92AEE">
        <w:rPr>
          <w:rFonts w:ascii="Arial" w:hAnsi="Arial" w:cs="Arial"/>
          <w:b/>
        </w:rPr>
        <w:tab/>
      </w:r>
      <w:r w:rsidR="00A92AEE" w:rsidRPr="00511478">
        <w:rPr>
          <w:rFonts w:ascii="Arial" w:hAnsi="Arial" w:cs="Arial"/>
        </w:rPr>
        <w:t>What length grant agreements are CSOs seeking to provide certainty and stability for ongoing service delivery?</w:t>
      </w:r>
    </w:p>
    <w:p w14:paraId="0F42675D" w14:textId="6A06082F" w:rsidR="00A92AEE"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3.2</w:t>
      </w:r>
      <w:r w:rsidR="00763E5A">
        <w:rPr>
          <w:rFonts w:ascii="Arial" w:hAnsi="Arial" w:cs="Arial"/>
        </w:rPr>
        <w:tab/>
      </w:r>
      <w:r w:rsidR="00A92AEE" w:rsidRPr="00511478">
        <w:rPr>
          <w:rFonts w:ascii="Arial" w:hAnsi="Arial" w:cs="Arial"/>
        </w:rPr>
        <w:t>What timeframes should the government aim for, at a minimum, to provide final outcomes on grant variations/extensions before the current grant ceases?</w:t>
      </w:r>
    </w:p>
    <w:p w14:paraId="407BFCEB" w14:textId="743987E3"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3.3</w:t>
      </w:r>
      <w:r w:rsidRPr="00511478">
        <w:rPr>
          <w:rFonts w:ascii="Arial" w:hAnsi="Arial" w:cs="Arial"/>
          <w:b/>
        </w:rPr>
        <w:tab/>
      </w:r>
      <w:r w:rsidRPr="00511478">
        <w:rPr>
          <w:rFonts w:ascii="Arial" w:hAnsi="Arial" w:cs="Arial"/>
        </w:rPr>
        <w:t>What funding flexibility do CSOs require to enable service delivery and innovation?</w:t>
      </w:r>
    </w:p>
    <w:p w14:paraId="6FA2A53A" w14:textId="44355F26"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3.4</w:t>
      </w:r>
      <w:r w:rsidR="00763E5A">
        <w:rPr>
          <w:rFonts w:ascii="Arial" w:hAnsi="Arial" w:cs="Arial"/>
        </w:rPr>
        <w:tab/>
      </w:r>
      <w:r w:rsidRPr="00511478">
        <w:rPr>
          <w:rFonts w:ascii="Arial" w:hAnsi="Arial" w:cs="Arial"/>
        </w:rPr>
        <w:t>What flexibility is required by CSOs in acquittal processes to support and encourage sector innovation?</w:t>
      </w:r>
    </w:p>
    <w:p w14:paraId="28595F0E" w14:textId="5C9DACFF" w:rsidR="00A92AEE"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3.5</w:t>
      </w:r>
      <w:r w:rsidRPr="00511478">
        <w:rPr>
          <w:rFonts w:ascii="Arial" w:hAnsi="Arial" w:cs="Arial"/>
        </w:rPr>
        <w:tab/>
        <w:t>How can government improve the variation process, with consideration that CSOs must demonstrate alignment with the grant agreement and provide evidence of value-for-money outcomes?</w:t>
      </w:r>
    </w:p>
    <w:p w14:paraId="25A98AB3" w14:textId="049B7F5C" w:rsidR="00A92AEE" w:rsidRDefault="00A92AEE"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hAnsi="Arial" w:cs="Arial"/>
          <w:b/>
        </w:rPr>
      </w:pPr>
    </w:p>
    <w:p w14:paraId="1CA19500" w14:textId="2C67509A"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20" w:hanging="720"/>
        <w:rPr>
          <w:rFonts w:ascii="Arial" w:eastAsia="Times New Roman" w:hAnsi="Arial" w:cs="Arial"/>
          <w:spacing w:val="4"/>
          <w:lang w:eastAsia="en-AU"/>
        </w:rPr>
      </w:pPr>
      <w:r>
        <w:rPr>
          <w:rFonts w:ascii="Arial" w:hAnsi="Arial" w:cs="Arial"/>
          <w:b/>
        </w:rPr>
        <w:t>4</w:t>
      </w:r>
      <w:r>
        <w:rPr>
          <w:rFonts w:ascii="Arial" w:hAnsi="Arial" w:cs="Arial"/>
          <w:b/>
        </w:rPr>
        <w:tab/>
      </w:r>
      <w:r w:rsidRPr="00AA7A10">
        <w:rPr>
          <w:rFonts w:ascii="Arial" w:hAnsi="Arial" w:cs="Arial"/>
          <w:b/>
        </w:rPr>
        <w:t xml:space="preserve">Ensuring grant funding flows to a greater diversity of Community Service </w:t>
      </w:r>
      <w:r w:rsidRPr="00511478">
        <w:rPr>
          <w:rFonts w:ascii="Arial" w:hAnsi="Arial" w:cs="Arial"/>
          <w:b/>
        </w:rPr>
        <w:t>Organisations</w:t>
      </w:r>
    </w:p>
    <w:p w14:paraId="5A571BD5" w14:textId="4D92CEC0"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4.1</w:t>
      </w:r>
      <w:r w:rsidRPr="00511478">
        <w:rPr>
          <w:rFonts w:ascii="Arial" w:hAnsi="Arial" w:cs="Arial"/>
          <w:b/>
        </w:rPr>
        <w:tab/>
      </w:r>
      <w:r w:rsidRPr="00511478">
        <w:rPr>
          <w:rFonts w:ascii="Arial" w:hAnsi="Arial" w:cs="Arial"/>
        </w:rPr>
        <w:t>How can the government ensure opportunities are available for new and emerging organisations to access funding?</w:t>
      </w:r>
    </w:p>
    <w:p w14:paraId="5AD39EA2" w14:textId="109D4933"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4.2</w:t>
      </w:r>
      <w:r w:rsidR="00763E5A">
        <w:rPr>
          <w:rFonts w:ascii="Arial" w:hAnsi="Arial" w:cs="Arial"/>
        </w:rPr>
        <w:tab/>
      </w:r>
      <w:r w:rsidRPr="00511478">
        <w:rPr>
          <w:rFonts w:ascii="Arial" w:hAnsi="Arial" w:cs="Arial"/>
        </w:rPr>
        <w:t>What programs, supports and information are already available for smaller CSOs to help build capacity of the organisation? Are these working?</w:t>
      </w:r>
    </w:p>
    <w:p w14:paraId="5C71A178" w14:textId="45B168D3" w:rsidR="00A92AEE"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hAnsi="Arial" w:cs="Arial"/>
        </w:rPr>
      </w:pPr>
      <w:r w:rsidRPr="00511478">
        <w:rPr>
          <w:rFonts w:ascii="Arial" w:hAnsi="Arial" w:cs="Arial"/>
        </w:rPr>
        <w:t>4.3</w:t>
      </w:r>
      <w:r w:rsidR="00763E5A">
        <w:rPr>
          <w:rFonts w:ascii="Arial" w:hAnsi="Arial" w:cs="Arial"/>
        </w:rPr>
        <w:tab/>
      </w:r>
      <w:r w:rsidRPr="00511478">
        <w:rPr>
          <w:rFonts w:ascii="Arial" w:hAnsi="Arial" w:cs="Arial"/>
        </w:rPr>
        <w:t>How could larger CSOs support smaller CSOs? What are the barriers to providing this support?</w:t>
      </w:r>
    </w:p>
    <w:p w14:paraId="1A73903F" w14:textId="29509648" w:rsidR="00A92AEE" w:rsidRDefault="00A92AEE"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hAnsi="Arial" w:cs="Arial"/>
          <w:b/>
        </w:rPr>
      </w:pPr>
    </w:p>
    <w:p w14:paraId="6011FC4B" w14:textId="741027A1" w:rsidR="00511478" w:rsidRPr="00437102"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eastAsia="Times New Roman" w:hAnsi="Arial" w:cs="Arial"/>
          <w:spacing w:val="4"/>
          <w:lang w:eastAsia="en-AU"/>
        </w:rPr>
      </w:pPr>
      <w:r>
        <w:rPr>
          <w:rFonts w:ascii="Arial" w:hAnsi="Arial" w:cs="Arial"/>
          <w:b/>
        </w:rPr>
        <w:t>5.</w:t>
      </w:r>
      <w:r>
        <w:rPr>
          <w:rFonts w:ascii="Arial" w:hAnsi="Arial" w:cs="Arial"/>
          <w:b/>
        </w:rPr>
        <w:tab/>
      </w:r>
      <w:r w:rsidRPr="00AA7A10">
        <w:rPr>
          <w:rFonts w:ascii="Arial" w:hAnsi="Arial" w:cs="Arial"/>
          <w:b/>
        </w:rPr>
        <w:t>Partnering with trusted community organisations with strong local links</w:t>
      </w:r>
    </w:p>
    <w:p w14:paraId="726B1B11" w14:textId="46024E65"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5.1</w:t>
      </w:r>
      <w:r w:rsidRPr="00511478">
        <w:rPr>
          <w:rFonts w:ascii="Arial" w:eastAsia="Times New Roman" w:hAnsi="Arial" w:cs="Arial"/>
          <w:spacing w:val="4"/>
          <w:lang w:eastAsia="en-AU"/>
        </w:rPr>
        <w:tab/>
        <w:t>What is your experience with and reflections on place-based funding approaches?</w:t>
      </w:r>
    </w:p>
    <w:p w14:paraId="11FA5653" w14:textId="5661C30A"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5.2</w:t>
      </w:r>
      <w:r w:rsidR="00763E5A">
        <w:rPr>
          <w:rFonts w:ascii="Arial" w:eastAsia="Times New Roman" w:hAnsi="Arial" w:cs="Arial"/>
          <w:spacing w:val="4"/>
          <w:lang w:eastAsia="en-AU"/>
        </w:rPr>
        <w:tab/>
      </w:r>
      <w:r w:rsidRPr="00511478">
        <w:rPr>
          <w:rFonts w:ascii="Arial" w:eastAsia="Times New Roman" w:hAnsi="Arial" w:cs="Arial"/>
          <w:spacing w:val="4"/>
          <w:lang w:eastAsia="en-AU"/>
        </w:rPr>
        <w:t>What innovative approaches could be implemented to ensure grant funding reaches trusted community organisations with strong local links?</w:t>
      </w:r>
    </w:p>
    <w:p w14:paraId="4BCE62AD" w14:textId="18B0E067"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5.3</w:t>
      </w:r>
      <w:r w:rsidR="00763E5A">
        <w:rPr>
          <w:rFonts w:ascii="Arial" w:eastAsia="Times New Roman" w:hAnsi="Arial" w:cs="Arial"/>
          <w:spacing w:val="4"/>
          <w:lang w:eastAsia="en-AU"/>
        </w:rPr>
        <w:tab/>
      </w:r>
      <w:r w:rsidRPr="00511478">
        <w:rPr>
          <w:rFonts w:ascii="Arial" w:eastAsia="Times New Roman" w:hAnsi="Arial" w:cs="Arial"/>
          <w:spacing w:val="4"/>
          <w:lang w:eastAsia="en-AU"/>
        </w:rPr>
        <w:t>Which areas do you consider have duplicative funding or gaps you think need to be addressed, and what is the evidence?</w:t>
      </w:r>
    </w:p>
    <w:p w14:paraId="13A20B38" w14:textId="71DEBD22" w:rsidR="00A92AEE"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sidRPr="00511478">
        <w:rPr>
          <w:rFonts w:ascii="Arial" w:eastAsia="Times New Roman" w:hAnsi="Arial" w:cs="Arial"/>
          <w:spacing w:val="4"/>
          <w:lang w:eastAsia="en-AU"/>
        </w:rPr>
        <w:t>5</w:t>
      </w:r>
      <w:r>
        <w:rPr>
          <w:rFonts w:ascii="Arial" w:eastAsia="Times New Roman" w:hAnsi="Arial" w:cs="Arial"/>
          <w:spacing w:val="4"/>
          <w:lang w:eastAsia="en-AU"/>
        </w:rPr>
        <w:t>.4</w:t>
      </w:r>
      <w:r w:rsidR="00763E5A">
        <w:rPr>
          <w:rFonts w:ascii="Arial" w:eastAsia="Times New Roman" w:hAnsi="Arial" w:cs="Arial"/>
          <w:spacing w:val="4"/>
          <w:lang w:eastAsia="en-AU"/>
        </w:rPr>
        <w:tab/>
      </w:r>
      <w:r w:rsidRPr="00511478">
        <w:rPr>
          <w:rFonts w:ascii="Arial" w:eastAsia="Times New Roman" w:hAnsi="Arial" w:cs="Arial"/>
          <w:spacing w:val="4"/>
          <w:lang w:eastAsia="en-AU"/>
        </w:rPr>
        <w:t>Where there is a community-led change initiative, could shared accountability to community and funders (government) strengthen service delivery?</w:t>
      </w:r>
    </w:p>
    <w:p w14:paraId="537A1622" w14:textId="5401BA3C" w:rsid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eastAsia="Times New Roman" w:hAnsi="Arial" w:cs="Arial"/>
          <w:spacing w:val="4"/>
          <w:lang w:eastAsia="en-AU"/>
        </w:rPr>
      </w:pPr>
    </w:p>
    <w:p w14:paraId="5831BB4A" w14:textId="0F18BE19" w:rsidR="00511478" w:rsidRPr="00437102"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rPr>
          <w:rFonts w:ascii="Arial" w:eastAsia="Times New Roman" w:hAnsi="Arial" w:cs="Arial"/>
          <w:spacing w:val="4"/>
          <w:lang w:eastAsia="en-AU"/>
        </w:rPr>
      </w:pPr>
      <w:r>
        <w:rPr>
          <w:rFonts w:ascii="Arial" w:hAnsi="Arial" w:cs="Arial"/>
          <w:b/>
        </w:rPr>
        <w:t>6.</w:t>
      </w:r>
      <w:r>
        <w:rPr>
          <w:rFonts w:ascii="Arial" w:hAnsi="Arial" w:cs="Arial"/>
          <w:b/>
        </w:rPr>
        <w:tab/>
      </w:r>
      <w:r w:rsidRPr="00AA7A10">
        <w:rPr>
          <w:rFonts w:ascii="Arial" w:hAnsi="Arial" w:cs="Arial"/>
          <w:b/>
        </w:rPr>
        <w:t>General questions for each focus area</w:t>
      </w:r>
    </w:p>
    <w:p w14:paraId="26DD4846" w14:textId="30D7A46F" w:rsidR="00511478" w:rsidRP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6.1</w:t>
      </w:r>
      <w:r w:rsidRPr="00511478">
        <w:rPr>
          <w:rFonts w:ascii="Arial" w:eastAsia="Times New Roman" w:hAnsi="Arial" w:cs="Arial"/>
          <w:spacing w:val="4"/>
          <w:lang w:eastAsia="en-AU"/>
        </w:rPr>
        <w:tab/>
        <w:t>If any, what are the problems or challenges you think have been overlooked?</w:t>
      </w:r>
    </w:p>
    <w:p w14:paraId="615282F6" w14:textId="7D3B799D" w:rsidR="00511478"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6.2</w:t>
      </w:r>
      <w:r w:rsidR="00763E5A">
        <w:rPr>
          <w:rFonts w:ascii="Arial" w:eastAsia="Times New Roman" w:hAnsi="Arial" w:cs="Arial"/>
          <w:spacing w:val="4"/>
          <w:lang w:eastAsia="en-AU"/>
        </w:rPr>
        <w:tab/>
      </w:r>
      <w:r w:rsidRPr="00511478">
        <w:rPr>
          <w:rFonts w:ascii="Arial" w:eastAsia="Times New Roman" w:hAnsi="Arial" w:cs="Arial"/>
          <w:spacing w:val="4"/>
          <w:lang w:eastAsia="en-AU"/>
        </w:rPr>
        <w:t>What other solutions or changes could also be considered?</w:t>
      </w:r>
    </w:p>
    <w:p w14:paraId="153147E8" w14:textId="1107D43F" w:rsidR="00B2558C" w:rsidRPr="003E1DBA" w:rsidRDefault="00511478" w:rsidP="001746DC">
      <w:pPr>
        <w:pStyle w:val="BodyText"/>
        <w:keepNext/>
        <w:keepLines/>
        <w:pBdr>
          <w:top w:val="single" w:sz="4" w:space="1" w:color="auto"/>
          <w:left w:val="single" w:sz="4" w:space="4" w:color="auto"/>
          <w:bottom w:val="single" w:sz="4" w:space="1" w:color="auto"/>
          <w:right w:val="single" w:sz="4" w:space="4" w:color="auto"/>
        </w:pBdr>
        <w:shd w:val="clear" w:color="auto" w:fill="DDF9FF"/>
        <w:spacing w:after="60" w:line="276" w:lineRule="auto"/>
        <w:ind w:left="709" w:hanging="709"/>
        <w:rPr>
          <w:rFonts w:ascii="Arial" w:eastAsia="Times New Roman" w:hAnsi="Arial" w:cs="Arial"/>
          <w:spacing w:val="4"/>
          <w:lang w:eastAsia="en-AU"/>
        </w:rPr>
      </w:pPr>
      <w:r>
        <w:rPr>
          <w:rFonts w:ascii="Arial" w:eastAsia="Times New Roman" w:hAnsi="Arial" w:cs="Arial"/>
          <w:spacing w:val="4"/>
          <w:lang w:eastAsia="en-AU"/>
        </w:rPr>
        <w:t>6.3</w:t>
      </w:r>
      <w:r>
        <w:rPr>
          <w:rFonts w:ascii="Arial" w:eastAsia="Times New Roman" w:hAnsi="Arial" w:cs="Arial"/>
          <w:spacing w:val="4"/>
          <w:lang w:eastAsia="en-AU"/>
        </w:rPr>
        <w:tab/>
        <w:t>What does success look like?</w:t>
      </w:r>
    </w:p>
    <w:p w14:paraId="03842A22" w14:textId="376F0D88" w:rsidR="00A92AEE" w:rsidRDefault="00A92AEE" w:rsidP="00B2558C">
      <w:pPr>
        <w:pStyle w:val="CABNETParagraph"/>
        <w:rPr>
          <w:rFonts w:asciiTheme="minorHAnsi" w:hAnsiTheme="minorHAnsi"/>
          <w:sz w:val="24"/>
          <w:szCs w:val="24"/>
        </w:rPr>
      </w:pPr>
    </w:p>
    <w:p w14:paraId="40C5C18D" w14:textId="77544552" w:rsidR="005C6EB8" w:rsidRPr="001C48DF" w:rsidRDefault="005C6EB8" w:rsidP="00A25FE8">
      <w:pPr>
        <w:spacing w:line="276" w:lineRule="auto"/>
        <w:rPr>
          <w:rFonts w:ascii="Calibri" w:hAnsi="Calibri" w:cs="Calibri"/>
          <w:szCs w:val="22"/>
        </w:rPr>
      </w:pPr>
      <w:r w:rsidRPr="001C48DF">
        <w:rPr>
          <w:rFonts w:ascii="Calibri" w:hAnsi="Calibri" w:cs="Calibri"/>
          <w:szCs w:val="22"/>
        </w:rPr>
        <w:br w:type="page"/>
      </w:r>
    </w:p>
    <w:p w14:paraId="1C2B8FEC" w14:textId="2C3CBA00" w:rsidR="00C50A29" w:rsidRPr="00E6758B" w:rsidRDefault="00C50A29" w:rsidP="00437102">
      <w:pPr>
        <w:pStyle w:val="Heading2"/>
      </w:pPr>
      <w:bookmarkStart w:id="18" w:name="_Toc144983242"/>
      <w:bookmarkStart w:id="19" w:name="_Toc141437658"/>
      <w:bookmarkStart w:id="20" w:name="_Toc141437656"/>
      <w:r>
        <w:lastRenderedPageBreak/>
        <w:t>Area of focus</w:t>
      </w:r>
      <w:r w:rsidR="003B571A">
        <w:t xml:space="preserve"> </w:t>
      </w:r>
      <w:r w:rsidR="00B74CAF">
        <w:t>1</w:t>
      </w:r>
      <w:r>
        <w:t xml:space="preserve">: </w:t>
      </w:r>
      <w:r w:rsidRPr="00E6758B">
        <w:t xml:space="preserve">Giving the sector the voice and respect it deserves through </w:t>
      </w:r>
      <w:r>
        <w:t xml:space="preserve">a </w:t>
      </w:r>
      <w:r w:rsidRPr="00E6758B">
        <w:t xml:space="preserve">meaningful </w:t>
      </w:r>
      <w:r>
        <w:t>working partnership</w:t>
      </w:r>
      <w:bookmarkEnd w:id="18"/>
      <w:r w:rsidRPr="00E6758B">
        <w:t xml:space="preserve"> </w:t>
      </w:r>
      <w:bookmarkEnd w:id="19"/>
    </w:p>
    <w:p w14:paraId="4E3D16DE" w14:textId="5AA69627" w:rsidR="00C50A29" w:rsidRPr="00AA7A10" w:rsidRDefault="00C50A29" w:rsidP="00C50A29">
      <w:pPr>
        <w:spacing w:line="276" w:lineRule="auto"/>
        <w:rPr>
          <w:rFonts w:cs="Arial"/>
        </w:rPr>
      </w:pPr>
      <w:r w:rsidRPr="00AA7A10">
        <w:rPr>
          <w:rFonts w:cs="Arial"/>
        </w:rPr>
        <w:t xml:space="preserve">The government needs to create more meaningful processes to design funding, programs and services in partnership with the community sector. Collaboration and partnership is a key principle of the </w:t>
      </w:r>
      <w:hyperlink r:id="rId48" w:history="1">
        <w:r w:rsidR="00236636" w:rsidRPr="00236636">
          <w:rPr>
            <w:rStyle w:val="Hyperlink"/>
            <w:rFonts w:cs="Arial"/>
          </w:rPr>
          <w:t>C</w:t>
        </w:r>
        <w:bookmarkStart w:id="21" w:name="_GoBack"/>
        <w:bookmarkEnd w:id="21"/>
        <w:r w:rsidR="00236636" w:rsidRPr="00236636">
          <w:rPr>
            <w:rStyle w:val="Hyperlink"/>
            <w:rFonts w:cs="Arial"/>
          </w:rPr>
          <w:t>G</w:t>
        </w:r>
        <w:r w:rsidR="00236636" w:rsidRPr="00236636">
          <w:rPr>
            <w:rStyle w:val="Hyperlink"/>
            <w:rFonts w:cs="Arial"/>
          </w:rPr>
          <w:t>R</w:t>
        </w:r>
        <w:r w:rsidR="00236636" w:rsidRPr="00236636">
          <w:rPr>
            <w:rStyle w:val="Hyperlink"/>
            <w:rFonts w:cs="Arial"/>
          </w:rPr>
          <w:t>G</w:t>
        </w:r>
        <w:r w:rsidR="00236636" w:rsidRPr="00236636">
          <w:rPr>
            <w:rStyle w:val="Hyperlink"/>
            <w:rFonts w:cs="Arial"/>
          </w:rPr>
          <w:t>s</w:t>
        </w:r>
      </w:hyperlink>
      <w:r w:rsidRPr="00AA7A10">
        <w:rPr>
          <w:rFonts w:cs="Arial"/>
        </w:rPr>
        <w:t>, which recognises that improved outcomes can be achieved through effective collaboration, shared understanding of expectations and positive working relationships.</w:t>
      </w:r>
    </w:p>
    <w:p w14:paraId="18A31D17" w14:textId="77777777" w:rsidR="00C50A29" w:rsidRPr="00AA7A10" w:rsidRDefault="00C50A29" w:rsidP="00C50A29">
      <w:pPr>
        <w:spacing w:line="276" w:lineRule="auto"/>
        <w:rPr>
          <w:rFonts w:cs="Arial"/>
        </w:rPr>
      </w:pPr>
      <w:r w:rsidRPr="00AA7A10">
        <w:rPr>
          <w:rFonts w:cs="Arial"/>
        </w:rPr>
        <w:t xml:space="preserve">The government engages regularly with CSOs at different stages of funding and program delivery and different programs may have different engagement requirements. However, there are currently limited formal mechanisms that give the sector a stronger voice to co-design models to get the best outcomes. </w:t>
      </w:r>
    </w:p>
    <w:p w14:paraId="449FB80C" w14:textId="60337036" w:rsidR="00C50A29" w:rsidRPr="00AA7A10" w:rsidRDefault="00C50A29" w:rsidP="00C50A29">
      <w:pPr>
        <w:spacing w:line="276" w:lineRule="auto"/>
        <w:rPr>
          <w:rFonts w:cs="Arial"/>
        </w:rPr>
      </w:pPr>
      <w:r w:rsidRPr="00AA7A10">
        <w:rPr>
          <w:rFonts w:cs="Arial"/>
        </w:rPr>
        <w:t>Examples of improved engagement include the establishment of CSAG</w:t>
      </w:r>
      <w:r w:rsidR="007E2371">
        <w:rPr>
          <w:rFonts w:cs="Arial"/>
        </w:rPr>
        <w:t>, the</w:t>
      </w:r>
      <w:r w:rsidRPr="00AA7A10">
        <w:rPr>
          <w:rFonts w:cs="Arial"/>
        </w:rPr>
        <w:t xml:space="preserve"> Emergency Relief National</w:t>
      </w:r>
      <w:r w:rsidRPr="00AA7A10">
        <w:rPr>
          <w:rFonts w:cs="Arial"/>
          <w:iCs/>
        </w:rPr>
        <w:t xml:space="preserve"> Coordination Group (NCG</w:t>
      </w:r>
      <w:r w:rsidR="00C22DA5" w:rsidRPr="00C22DA5">
        <w:rPr>
          <w:rFonts w:cs="Arial"/>
          <w:iCs/>
        </w:rPr>
        <w:t>) and the Charitable, Not-for-profit and Philanthropic Roundtable</w:t>
      </w:r>
      <w:r w:rsidRPr="00AA7A10">
        <w:rPr>
          <w:rFonts w:cs="Arial"/>
          <w:iCs/>
        </w:rPr>
        <w:t>, which serve as vital mechanism</w:t>
      </w:r>
      <w:r w:rsidR="007E2371">
        <w:rPr>
          <w:rFonts w:cs="Arial"/>
          <w:iCs/>
        </w:rPr>
        <w:t>s</w:t>
      </w:r>
      <w:r w:rsidRPr="00AA7A10">
        <w:rPr>
          <w:rFonts w:cs="Arial"/>
          <w:iCs/>
        </w:rPr>
        <w:t xml:space="preserve"> for </w:t>
      </w:r>
      <w:r w:rsidRPr="00AA7A10">
        <w:rPr>
          <w:rFonts w:cs="Arial"/>
        </w:rPr>
        <w:t>effective, strategic sector advice and engagement</w:t>
      </w:r>
      <w:r w:rsidRPr="00AA7A10">
        <w:rPr>
          <w:rFonts w:cs="Arial"/>
          <w:iCs/>
        </w:rPr>
        <w:t xml:space="preserve"> on issues such as emerging service trends, client needs and demand for services.</w:t>
      </w:r>
    </w:p>
    <w:p w14:paraId="3E648325" w14:textId="77777777" w:rsidR="00C50A29" w:rsidRPr="00E6758B" w:rsidRDefault="00C50A29" w:rsidP="00437102">
      <w:pPr>
        <w:pStyle w:val="Heading3"/>
      </w:pPr>
      <w:r w:rsidRPr="00E6758B">
        <w:t>Co-design</w:t>
      </w:r>
    </w:p>
    <w:p w14:paraId="3107F3AA" w14:textId="77777777" w:rsidR="00C50A29" w:rsidRPr="00AA7A10" w:rsidRDefault="00C50A29" w:rsidP="00C50A29">
      <w:pPr>
        <w:spacing w:after="240" w:line="276" w:lineRule="auto"/>
        <w:rPr>
          <w:rFonts w:cs="Arial"/>
          <w:szCs w:val="22"/>
        </w:rPr>
      </w:pPr>
      <w:r w:rsidRPr="00AA7A10">
        <w:rPr>
          <w:rFonts w:cs="Arial"/>
          <w:szCs w:val="22"/>
        </w:rPr>
        <w:t>Co-design is a process that focuses on working collaboratively to design a solution together. It requires sufficient time and resources to be effective. It should also include users of the program or services.</w:t>
      </w:r>
    </w:p>
    <w:p w14:paraId="191B96B4" w14:textId="0271DD3A" w:rsidR="00C50A29" w:rsidRDefault="00C50A29" w:rsidP="00C50A29">
      <w:pPr>
        <w:spacing w:after="240" w:line="276" w:lineRule="auto"/>
        <w:rPr>
          <w:rFonts w:cs="Arial"/>
          <w:szCs w:val="22"/>
        </w:rPr>
      </w:pPr>
      <w:r w:rsidRPr="00AA7A10">
        <w:rPr>
          <w:rFonts w:cs="Arial"/>
        </w:rPr>
        <w:t>Co-design is not suitable in all circumstances, particularly where a rapid response is required. However, o</w:t>
      </w:r>
      <w:r w:rsidRPr="00AA7A10">
        <w:rPr>
          <w:rFonts w:cs="Arial"/>
          <w:szCs w:val="22"/>
        </w:rPr>
        <w:t>pportunities for engagement and co-design with the community services sector may exist within the policy design and grant lifecycle</w:t>
      </w:r>
      <w:r w:rsidR="0025531A" w:rsidRPr="00AA7A10">
        <w:rPr>
          <w:rFonts w:cs="Arial"/>
          <w:szCs w:val="22"/>
        </w:rPr>
        <w:t xml:space="preserve"> (outlined below). </w:t>
      </w:r>
    </w:p>
    <w:p w14:paraId="55F8E427" w14:textId="3ECBC54E" w:rsidR="008C2D6D" w:rsidRPr="00AA7A10" w:rsidRDefault="00A252C3" w:rsidP="00E973E1">
      <w:pPr>
        <w:spacing w:after="160" w:line="276" w:lineRule="auto"/>
        <w:rPr>
          <w:rFonts w:cs="Arial"/>
          <w:szCs w:val="22"/>
        </w:rPr>
      </w:pPr>
      <w:r>
        <w:rPr>
          <w:rFonts w:cs="Arial"/>
          <w:noProof/>
          <w:szCs w:val="22"/>
          <w:lang w:eastAsia="en-AU"/>
        </w:rPr>
        <w:drawing>
          <wp:inline distT="0" distB="0" distL="0" distR="0" wp14:anchorId="2E20301D" wp14:editId="2C9232A1">
            <wp:extent cx="6084570" cy="1268095"/>
            <wp:effectExtent l="0" t="0" r="0" b="8255"/>
            <wp:docPr id="2" name="Picture 2" descr="Image explaining the 5 steps in the co-design process:&#10;&#10;Design: direct involvement of beneficiaries and grant recipients in program design.&#10;&#10;Select: draw from consultation to factor in gaps in current grant recipients during the selection process.&#10;&#10;Establish: establish a best practice collaborative model of grants administration to enable co-governance.&#10;&#10;Manage: gain user insights into delivery problems, and the monitoring of program delivery.&#10;&#10;Evaluate: post-engagement surveys to assess user experience, and agreement on the recommended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84570" cy="1268095"/>
                    </a:xfrm>
                    <a:prstGeom prst="rect">
                      <a:avLst/>
                    </a:prstGeom>
                    <a:noFill/>
                  </pic:spPr>
                </pic:pic>
              </a:graphicData>
            </a:graphic>
          </wp:inline>
        </w:drawing>
      </w:r>
    </w:p>
    <w:p w14:paraId="14426638" w14:textId="0E7B14C2" w:rsidR="0025531A" w:rsidRPr="00AA7A10" w:rsidRDefault="0025531A" w:rsidP="00181F7A">
      <w:pPr>
        <w:pStyle w:val="ListParagraph"/>
        <w:numPr>
          <w:ilvl w:val="0"/>
          <w:numId w:val="21"/>
        </w:numPr>
        <w:spacing w:after="240" w:line="276" w:lineRule="auto"/>
        <w:rPr>
          <w:rFonts w:cs="Arial"/>
          <w:szCs w:val="22"/>
        </w:rPr>
      </w:pPr>
      <w:r w:rsidRPr="00AA7A10">
        <w:rPr>
          <w:rFonts w:cs="Arial"/>
          <w:szCs w:val="22"/>
        </w:rPr>
        <w:t>Design: direct involvement of beneficiaries and grant recipients in program design.</w:t>
      </w:r>
    </w:p>
    <w:p w14:paraId="7D64D78C" w14:textId="263D2B14" w:rsidR="0025531A" w:rsidRPr="00AA7A10" w:rsidRDefault="0025531A" w:rsidP="00181F7A">
      <w:pPr>
        <w:pStyle w:val="ListParagraph"/>
        <w:numPr>
          <w:ilvl w:val="0"/>
          <w:numId w:val="21"/>
        </w:numPr>
        <w:spacing w:after="240" w:line="276" w:lineRule="auto"/>
        <w:rPr>
          <w:rFonts w:cs="Arial"/>
          <w:szCs w:val="22"/>
        </w:rPr>
      </w:pPr>
      <w:r w:rsidRPr="00AA7A10">
        <w:rPr>
          <w:rFonts w:cs="Arial"/>
          <w:szCs w:val="22"/>
        </w:rPr>
        <w:t>Select: draw from consultation to factor in gaps in current grant recipients during the selection process.</w:t>
      </w:r>
    </w:p>
    <w:p w14:paraId="13AA5CAF" w14:textId="3064B0AB" w:rsidR="0025531A" w:rsidRPr="00AA7A10" w:rsidRDefault="0025531A" w:rsidP="00181F7A">
      <w:pPr>
        <w:pStyle w:val="ListParagraph"/>
        <w:numPr>
          <w:ilvl w:val="0"/>
          <w:numId w:val="21"/>
        </w:numPr>
        <w:spacing w:after="240" w:line="276" w:lineRule="auto"/>
        <w:rPr>
          <w:rFonts w:cs="Arial"/>
          <w:szCs w:val="22"/>
        </w:rPr>
      </w:pPr>
      <w:r w:rsidRPr="00AA7A10">
        <w:rPr>
          <w:rFonts w:cs="Arial"/>
          <w:szCs w:val="22"/>
        </w:rPr>
        <w:t>Establish: establish a best practice collaborative model of grants administration to enable co</w:t>
      </w:r>
      <w:r w:rsidR="007E2371">
        <w:rPr>
          <w:rFonts w:cs="Arial"/>
          <w:szCs w:val="22"/>
        </w:rPr>
        <w:noBreakHyphen/>
      </w:r>
      <w:r w:rsidRPr="00AA7A10">
        <w:rPr>
          <w:rFonts w:cs="Arial"/>
          <w:szCs w:val="22"/>
        </w:rPr>
        <w:t>governance.</w:t>
      </w:r>
    </w:p>
    <w:p w14:paraId="5FF4C9E3" w14:textId="314C1C09" w:rsidR="0025531A" w:rsidRPr="00AA7A10" w:rsidRDefault="0025531A" w:rsidP="00181F7A">
      <w:pPr>
        <w:pStyle w:val="ListParagraph"/>
        <w:numPr>
          <w:ilvl w:val="0"/>
          <w:numId w:val="21"/>
        </w:numPr>
        <w:spacing w:after="240" w:line="276" w:lineRule="auto"/>
        <w:rPr>
          <w:rFonts w:cs="Arial"/>
          <w:szCs w:val="22"/>
        </w:rPr>
      </w:pPr>
      <w:r w:rsidRPr="00AA7A10">
        <w:rPr>
          <w:rFonts w:cs="Arial"/>
          <w:szCs w:val="22"/>
        </w:rPr>
        <w:t>Manage: gain user insights into delivery problems, and the monitoring of program delivery.</w:t>
      </w:r>
    </w:p>
    <w:p w14:paraId="4FDC596A" w14:textId="72354E06" w:rsidR="0025531A" w:rsidRPr="00F21392" w:rsidRDefault="0025531A" w:rsidP="00181F7A">
      <w:pPr>
        <w:pStyle w:val="ListParagraph"/>
        <w:numPr>
          <w:ilvl w:val="0"/>
          <w:numId w:val="21"/>
        </w:numPr>
        <w:spacing w:after="240" w:line="276" w:lineRule="auto"/>
        <w:rPr>
          <w:rFonts w:cs="Arial"/>
          <w:szCs w:val="22"/>
        </w:rPr>
      </w:pPr>
      <w:r w:rsidRPr="00AA7A10">
        <w:rPr>
          <w:rFonts w:cs="Arial"/>
          <w:szCs w:val="22"/>
        </w:rPr>
        <w:t>Evaluate: post-engagement surveys to assess user experience, and agreement on the recommended solutions.</w:t>
      </w:r>
    </w:p>
    <w:p w14:paraId="527137FA" w14:textId="72CED2F7" w:rsidR="00C50A29" w:rsidRPr="00AA7A10" w:rsidRDefault="00C50A29" w:rsidP="00C50A29">
      <w:pPr>
        <w:spacing w:line="276" w:lineRule="auto"/>
        <w:rPr>
          <w:rFonts w:cs="Arial"/>
        </w:rPr>
      </w:pPr>
      <w:r w:rsidRPr="00AA7A10">
        <w:rPr>
          <w:rFonts w:cs="Arial"/>
        </w:rPr>
        <w:t>While co-design would be typically done in the early stages of the policy</w:t>
      </w:r>
      <w:r w:rsidR="00EC4292">
        <w:rPr>
          <w:rFonts w:cs="Arial"/>
        </w:rPr>
        <w:t xml:space="preserve"> or </w:t>
      </w:r>
      <w:r w:rsidRPr="00AA7A10">
        <w:rPr>
          <w:rFonts w:cs="Arial"/>
        </w:rPr>
        <w:t xml:space="preserve">program development cycle, there are multiple </w:t>
      </w:r>
      <w:r w:rsidR="00EC4292">
        <w:rPr>
          <w:rFonts w:cs="Arial"/>
        </w:rPr>
        <w:t>stages</w:t>
      </w:r>
      <w:r w:rsidR="0025531A" w:rsidRPr="00AA7A10">
        <w:rPr>
          <w:rFonts w:cs="Arial"/>
        </w:rPr>
        <w:t xml:space="preserve"> that </w:t>
      </w:r>
      <w:r w:rsidRPr="00AA7A10">
        <w:rPr>
          <w:rFonts w:cs="Arial"/>
        </w:rPr>
        <w:t>government could engage or re-engage both CSOs and the users of services</w:t>
      </w:r>
      <w:r w:rsidR="00937AB5">
        <w:rPr>
          <w:rFonts w:cs="Arial"/>
        </w:rPr>
        <w:t>. This would</w:t>
      </w:r>
      <w:r w:rsidRPr="00AA7A10">
        <w:rPr>
          <w:rFonts w:cs="Arial"/>
        </w:rPr>
        <w:t xml:space="preserve"> provide</w:t>
      </w:r>
      <w:r w:rsidR="00937AB5">
        <w:rPr>
          <w:rFonts w:cs="Arial"/>
        </w:rPr>
        <w:t xml:space="preserve"> more opportunities to utilise </w:t>
      </w:r>
      <w:r w:rsidRPr="00AA7A10">
        <w:rPr>
          <w:rFonts w:cs="Arial"/>
        </w:rPr>
        <w:t xml:space="preserve">their expertise in making sure programs are effective and meeting the needs of the community they are designed for. </w:t>
      </w:r>
    </w:p>
    <w:p w14:paraId="5C7D61B0" w14:textId="0B8542A4" w:rsidR="00C50A29" w:rsidRPr="00AA7A10" w:rsidRDefault="00C50A29" w:rsidP="00C50A29">
      <w:pPr>
        <w:spacing w:line="276" w:lineRule="auto"/>
        <w:rPr>
          <w:rFonts w:cs="Arial"/>
        </w:rPr>
      </w:pPr>
      <w:r w:rsidRPr="00AA7A10">
        <w:rPr>
          <w:rFonts w:cs="Arial"/>
        </w:rPr>
        <w:t>As government and society moves towards the inclusion of greater public participation in problem</w:t>
      </w:r>
      <w:r w:rsidRPr="00AA7A10">
        <w:rPr>
          <w:rFonts w:cs="Arial"/>
        </w:rPr>
        <w:noBreakHyphen/>
        <w:t>solving and solutions generation, communit</w:t>
      </w:r>
      <w:r w:rsidR="0025531A" w:rsidRPr="00AA7A10">
        <w:rPr>
          <w:rFonts w:cs="Arial"/>
        </w:rPr>
        <w:t>ies will expect co</w:t>
      </w:r>
      <w:r w:rsidRPr="00AA7A10">
        <w:rPr>
          <w:rFonts w:cs="Arial"/>
        </w:rPr>
        <w:t xml:space="preserve">-design </w:t>
      </w:r>
      <w:r w:rsidR="0025531A" w:rsidRPr="00AA7A10">
        <w:rPr>
          <w:rFonts w:cs="Arial"/>
        </w:rPr>
        <w:t xml:space="preserve">to </w:t>
      </w:r>
      <w:r w:rsidRPr="00AA7A10">
        <w:rPr>
          <w:rFonts w:cs="Arial"/>
        </w:rPr>
        <w:t>become the standard for policy and service design rather than the exception.</w:t>
      </w:r>
    </w:p>
    <w:p w14:paraId="51197E0B" w14:textId="6CB46853" w:rsidR="00C50A29" w:rsidRPr="003E5AC1" w:rsidRDefault="00C50A29" w:rsidP="00C50A29">
      <w:pPr>
        <w:spacing w:after="240" w:line="276" w:lineRule="auto"/>
      </w:pPr>
      <w:r w:rsidRPr="00AA7A10">
        <w:rPr>
          <w:rFonts w:cs="Arial"/>
        </w:rPr>
        <w:lastRenderedPageBreak/>
        <w:t xml:space="preserve">There is an opportunity to establish </w:t>
      </w:r>
      <w:r w:rsidR="00A06E48" w:rsidRPr="00AA7A10">
        <w:rPr>
          <w:rFonts w:cs="Arial"/>
        </w:rPr>
        <w:t xml:space="preserve">clearer principles </w:t>
      </w:r>
      <w:r w:rsidRPr="00AA7A10">
        <w:rPr>
          <w:rFonts w:cs="Arial"/>
        </w:rPr>
        <w:t xml:space="preserve">of co-design </w:t>
      </w:r>
      <w:r w:rsidR="00A06E48" w:rsidRPr="00AA7A10">
        <w:rPr>
          <w:rFonts w:cs="Arial"/>
        </w:rPr>
        <w:t xml:space="preserve">that can be adapted to unique community settings and experiences to generate an understanding of challenges and opportunities, with a focus on working towards community-led </w:t>
      </w:r>
      <w:r w:rsidRPr="00AA7A10">
        <w:rPr>
          <w:rFonts w:cs="Arial"/>
        </w:rPr>
        <w:t xml:space="preserve">solutions. The department has undertaken a number of public participation processes guided by the principles of co-design which are focused on the idea that people are experts in their own lives and policies should be designed by people with relevant lived experiences.  </w:t>
      </w:r>
    </w:p>
    <w:p w14:paraId="5A05556B" w14:textId="77777777" w:rsidR="00C50A29" w:rsidRPr="00057E03" w:rsidRDefault="00C50A29" w:rsidP="00437102">
      <w:pPr>
        <w:pStyle w:val="Heading3"/>
      </w:pPr>
      <w:r w:rsidRPr="00057E03">
        <w:t>What the department has heard</w:t>
      </w:r>
    </w:p>
    <w:p w14:paraId="19AAD984" w14:textId="77777777" w:rsidR="00C50A29" w:rsidRPr="005A799B" w:rsidRDefault="00C50A29" w:rsidP="00C50A29">
      <w:pPr>
        <w:spacing w:before="120" w:line="276" w:lineRule="auto"/>
        <w:rPr>
          <w:rFonts w:cs="Arial"/>
          <w:color w:val="000000" w:themeColor="text1"/>
          <w:szCs w:val="22"/>
        </w:rPr>
      </w:pPr>
      <w:r w:rsidRPr="005A799B">
        <w:rPr>
          <w:rFonts w:cs="Arial"/>
          <w:szCs w:val="22"/>
        </w:rPr>
        <w:t>The community sector reports it does not have enough genuine opportunities to have a role as experts and to co-design with government to achieve improved outcomes for people who receive their services. The sector proposes that more engagement with them in the design of new policies and programs would help to</w:t>
      </w:r>
      <w:r w:rsidRPr="005A799B">
        <w:rPr>
          <w:rFonts w:cs="Arial"/>
          <w:color w:val="000000" w:themeColor="text1"/>
          <w:szCs w:val="22"/>
        </w:rPr>
        <w:t xml:space="preserve"> ensure funding and delivery models achieve improved and more sustained</w:t>
      </w:r>
      <w:r w:rsidRPr="005A799B">
        <w:rPr>
          <w:rFonts w:cs="Arial"/>
          <w:szCs w:val="22"/>
        </w:rPr>
        <w:t xml:space="preserve"> </w:t>
      </w:r>
      <w:r w:rsidRPr="005A799B">
        <w:rPr>
          <w:rFonts w:cs="Arial"/>
          <w:color w:val="000000" w:themeColor="text1"/>
          <w:szCs w:val="22"/>
        </w:rPr>
        <w:t xml:space="preserve">outcomes. </w:t>
      </w:r>
    </w:p>
    <w:p w14:paraId="4A676928" w14:textId="60133C06" w:rsidR="00C50A29" w:rsidRPr="005A799B" w:rsidRDefault="00C50A29" w:rsidP="00C50A29">
      <w:pPr>
        <w:spacing w:before="120" w:line="276" w:lineRule="auto"/>
        <w:rPr>
          <w:rFonts w:cs="Arial"/>
          <w:color w:val="000000" w:themeColor="text1"/>
          <w:szCs w:val="22"/>
        </w:rPr>
      </w:pPr>
      <w:r w:rsidRPr="005A799B">
        <w:rPr>
          <w:rFonts w:cs="Arial"/>
          <w:color w:val="000000" w:themeColor="text1"/>
          <w:szCs w:val="22"/>
        </w:rPr>
        <w:t>More engagement of community members</w:t>
      </w:r>
      <w:r w:rsidR="00937AB5">
        <w:rPr>
          <w:rFonts w:cs="Arial"/>
          <w:color w:val="000000" w:themeColor="text1"/>
          <w:szCs w:val="22"/>
        </w:rPr>
        <w:t>,</w:t>
      </w:r>
      <w:r w:rsidRPr="005A799B">
        <w:rPr>
          <w:rFonts w:cs="Arial"/>
          <w:color w:val="000000" w:themeColor="text1"/>
          <w:szCs w:val="22"/>
        </w:rPr>
        <w:t xml:space="preserve"> </w:t>
      </w:r>
      <w:r w:rsidR="0035722C">
        <w:rPr>
          <w:rFonts w:cs="Arial"/>
          <w:color w:val="000000" w:themeColor="text1"/>
          <w:szCs w:val="22"/>
        </w:rPr>
        <w:t xml:space="preserve">including </w:t>
      </w:r>
      <w:r w:rsidR="00C90E2C" w:rsidRPr="005A799B">
        <w:rPr>
          <w:rFonts w:cs="Arial"/>
          <w:color w:val="000000" w:themeColor="text1"/>
          <w:szCs w:val="22"/>
        </w:rPr>
        <w:t>people accessing and using community services</w:t>
      </w:r>
      <w:r w:rsidR="0035722C">
        <w:rPr>
          <w:rFonts w:cs="Arial"/>
          <w:color w:val="000000" w:themeColor="text1"/>
          <w:szCs w:val="22"/>
        </w:rPr>
        <w:t xml:space="preserve"> and those that are not</w:t>
      </w:r>
      <w:r w:rsidRPr="005A799B">
        <w:rPr>
          <w:rFonts w:cs="Arial"/>
          <w:color w:val="000000" w:themeColor="text1"/>
          <w:szCs w:val="22"/>
        </w:rPr>
        <w:t>, during the grant process</w:t>
      </w:r>
      <w:r w:rsidRPr="005A799B">
        <w:rPr>
          <w:rFonts w:cs="Arial"/>
          <w:szCs w:val="22"/>
        </w:rPr>
        <w:t xml:space="preserve"> design would also help people who use the services to be at the centre of program design and </w:t>
      </w:r>
      <w:r w:rsidRPr="005A799B">
        <w:rPr>
          <w:rFonts w:cs="Arial"/>
          <w:color w:val="000000" w:themeColor="text1"/>
          <w:szCs w:val="22"/>
        </w:rPr>
        <w:t>delivery.</w:t>
      </w:r>
    </w:p>
    <w:p w14:paraId="7C39F2F4" w14:textId="3F476FD0" w:rsidR="00C50A29" w:rsidRPr="005A799B" w:rsidRDefault="00C50A29" w:rsidP="00C50A29">
      <w:pPr>
        <w:spacing w:before="120" w:line="276" w:lineRule="auto"/>
        <w:rPr>
          <w:rFonts w:cs="Arial"/>
          <w:color w:val="000000" w:themeColor="text1"/>
          <w:szCs w:val="22"/>
        </w:rPr>
      </w:pPr>
      <w:r w:rsidRPr="005A799B">
        <w:rPr>
          <w:rFonts w:cs="Arial"/>
          <w:color w:val="000000" w:themeColor="text1"/>
          <w:szCs w:val="22"/>
        </w:rPr>
        <w:t>The sector has indicated that the gover</w:t>
      </w:r>
      <w:r w:rsidRPr="005A799B">
        <w:rPr>
          <w:rFonts w:cs="Arial"/>
          <w:szCs w:val="22"/>
        </w:rPr>
        <w:t>nment needs to consider the most effective and efficient way to engage CSOs. There are often multiple consultations underway across government with the same stakeholders and tight time constraints</w:t>
      </w:r>
      <w:r w:rsidR="00B17E10">
        <w:rPr>
          <w:rFonts w:cs="Arial"/>
          <w:szCs w:val="22"/>
        </w:rPr>
        <w:t>,</w:t>
      </w:r>
      <w:r w:rsidRPr="005A799B">
        <w:rPr>
          <w:rFonts w:cs="Arial"/>
          <w:szCs w:val="22"/>
        </w:rPr>
        <w:t xml:space="preserve"> which can cause consultation fatigue for the sector and divert valuable resources. </w:t>
      </w:r>
      <w:r w:rsidR="000756CE">
        <w:rPr>
          <w:rFonts w:cs="Arial"/>
          <w:szCs w:val="22"/>
        </w:rPr>
        <w:t>A lot of c</w:t>
      </w:r>
      <w:r w:rsidRPr="005A799B">
        <w:rPr>
          <w:rFonts w:cs="Arial"/>
          <w:szCs w:val="22"/>
        </w:rPr>
        <w:t>onsultation and engagement activities are not funded by government and are expected to be part of CSOs core service offering to support and inform government policy. Government has an opportunity to better synthesise information and demonstrate the research, evidence and advice</w:t>
      </w:r>
      <w:r w:rsidR="00B17E10">
        <w:rPr>
          <w:rFonts w:cs="Arial"/>
          <w:szCs w:val="22"/>
        </w:rPr>
        <w:t>,</w:t>
      </w:r>
      <w:r w:rsidRPr="005A799B">
        <w:rPr>
          <w:rFonts w:cs="Arial"/>
          <w:szCs w:val="22"/>
        </w:rPr>
        <w:t xml:space="preserve"> which has informed policy or program reform prior to consultation</w:t>
      </w:r>
      <w:r w:rsidR="00B17E10">
        <w:rPr>
          <w:rFonts w:cs="Arial"/>
          <w:szCs w:val="22"/>
        </w:rPr>
        <w:t>.</w:t>
      </w:r>
      <w:r w:rsidRPr="005A799B">
        <w:rPr>
          <w:rFonts w:cs="Arial"/>
          <w:szCs w:val="22"/>
        </w:rPr>
        <w:t xml:space="preserve"> </w:t>
      </w:r>
      <w:r w:rsidR="00B17E10">
        <w:rPr>
          <w:rFonts w:cs="Arial"/>
          <w:szCs w:val="22"/>
        </w:rPr>
        <w:t>This is due to</w:t>
      </w:r>
      <w:r w:rsidRPr="005A799B">
        <w:rPr>
          <w:rFonts w:cs="Arial"/>
          <w:szCs w:val="22"/>
        </w:rPr>
        <w:t xml:space="preserve"> the amount of </w:t>
      </w:r>
      <w:r w:rsidRPr="005A799B">
        <w:rPr>
          <w:rFonts w:cs="Arial"/>
          <w:color w:val="000000" w:themeColor="text1"/>
          <w:szCs w:val="22"/>
        </w:rPr>
        <w:t>information consultation collectively provides on a regular basis or which is generated through program reporting such as Ask Izzy.</w:t>
      </w:r>
      <w:r w:rsidR="00C90E2C" w:rsidRPr="005A799B">
        <w:rPr>
          <w:rStyle w:val="FootnoteReference"/>
          <w:rFonts w:cs="Arial"/>
          <w:color w:val="000000" w:themeColor="text1"/>
          <w:szCs w:val="22"/>
        </w:rPr>
        <w:footnoteReference w:id="4"/>
      </w:r>
    </w:p>
    <w:p w14:paraId="562A6929" w14:textId="1BF46C35" w:rsidR="00C50A29" w:rsidRPr="005A799B" w:rsidRDefault="00C50A29" w:rsidP="00C50A29">
      <w:pPr>
        <w:spacing w:before="120" w:line="276" w:lineRule="auto"/>
        <w:rPr>
          <w:rFonts w:cs="Arial"/>
          <w:szCs w:val="22"/>
        </w:rPr>
      </w:pPr>
      <w:r w:rsidRPr="005A799B">
        <w:rPr>
          <w:rFonts w:cs="Arial"/>
          <w:color w:val="000000" w:themeColor="text1"/>
          <w:szCs w:val="22"/>
        </w:rPr>
        <w:t xml:space="preserve">The CSOs are often funded from multiple sources, such as </w:t>
      </w:r>
      <w:r w:rsidR="00B17E10">
        <w:rPr>
          <w:rFonts w:cs="Arial"/>
          <w:color w:val="000000" w:themeColor="text1"/>
          <w:szCs w:val="22"/>
        </w:rPr>
        <w:t>Federal</w:t>
      </w:r>
      <w:r w:rsidR="0025531A" w:rsidRPr="005A799B">
        <w:rPr>
          <w:rFonts w:cs="Arial"/>
          <w:color w:val="000000" w:themeColor="text1"/>
          <w:szCs w:val="22"/>
        </w:rPr>
        <w:t xml:space="preserve"> </w:t>
      </w:r>
      <w:r w:rsidRPr="005A799B">
        <w:rPr>
          <w:rFonts w:cs="Arial"/>
          <w:color w:val="000000" w:themeColor="text1"/>
          <w:szCs w:val="22"/>
        </w:rPr>
        <w:t>and state or territory governments in addition</w:t>
      </w:r>
      <w:r w:rsidRPr="005A799B">
        <w:rPr>
          <w:rFonts w:cs="Arial"/>
          <w:szCs w:val="22"/>
        </w:rPr>
        <w:t xml:space="preserve"> to philanthropic contributions. These multiple funding sources do not often collaborate to share program or policy-specific insights and generate duplicate administration, reporting or evaluation insights on the sector or organisations. </w:t>
      </w:r>
    </w:p>
    <w:p w14:paraId="341120BD" w14:textId="514252D3" w:rsidR="00C50A29" w:rsidRPr="00057E03" w:rsidRDefault="0025531A" w:rsidP="00437102">
      <w:pPr>
        <w:pStyle w:val="Heading3"/>
      </w:pPr>
      <w:r>
        <w:t>How to achieve this</w:t>
      </w:r>
    </w:p>
    <w:p w14:paraId="0D700375" w14:textId="5FF334FB" w:rsidR="003B571A" w:rsidRPr="00AA7A10" w:rsidRDefault="00277332" w:rsidP="00C50A29">
      <w:pPr>
        <w:spacing w:after="240" w:line="276" w:lineRule="auto"/>
        <w:rPr>
          <w:rFonts w:cs="Arial"/>
          <w:color w:val="000000" w:themeColor="text1"/>
          <w:szCs w:val="22"/>
        </w:rPr>
      </w:pPr>
      <w:r w:rsidRPr="00AA7A10">
        <w:rPr>
          <w:rFonts w:cs="Arial"/>
          <w:color w:val="000000" w:themeColor="text1"/>
          <w:szCs w:val="22"/>
        </w:rPr>
        <w:t>Options to achieve this could include the below.</w:t>
      </w:r>
      <w:r w:rsidR="003B571A" w:rsidRPr="00AA7A10">
        <w:rPr>
          <w:rFonts w:cs="Arial"/>
          <w:color w:val="000000" w:themeColor="text1"/>
          <w:szCs w:val="22"/>
        </w:rPr>
        <w:t xml:space="preserve"> </w:t>
      </w:r>
    </w:p>
    <w:p w14:paraId="78EEDBDB" w14:textId="0F317502" w:rsidR="00C50A29" w:rsidRPr="00F21392" w:rsidRDefault="00C50A29" w:rsidP="00181F7A">
      <w:pPr>
        <w:pStyle w:val="ListParagraph"/>
        <w:numPr>
          <w:ilvl w:val="0"/>
          <w:numId w:val="22"/>
        </w:numPr>
        <w:spacing w:after="240" w:line="276" w:lineRule="auto"/>
        <w:rPr>
          <w:rFonts w:cs="Arial"/>
          <w:bCs/>
          <w:szCs w:val="22"/>
        </w:rPr>
      </w:pPr>
      <w:r w:rsidRPr="00437102">
        <w:rPr>
          <w:rFonts w:cs="Arial"/>
          <w:color w:val="000000" w:themeColor="text1"/>
          <w:szCs w:val="22"/>
        </w:rPr>
        <w:t>Testing collaborative methods and co-design in the grant life cycle</w:t>
      </w:r>
      <w:r w:rsidR="003B571A" w:rsidRPr="00AA7A10">
        <w:rPr>
          <w:rFonts w:cs="Arial"/>
          <w:color w:val="000000" w:themeColor="text1"/>
          <w:szCs w:val="22"/>
        </w:rPr>
        <w:t>. This inc</w:t>
      </w:r>
      <w:r w:rsidRPr="00F21392">
        <w:rPr>
          <w:rFonts w:cs="Arial"/>
          <w:bCs/>
          <w:szCs w:val="22"/>
        </w:rPr>
        <w:t>lud</w:t>
      </w:r>
      <w:r w:rsidR="003B571A" w:rsidRPr="00AA7A10">
        <w:rPr>
          <w:rFonts w:cs="Arial"/>
          <w:bCs/>
          <w:szCs w:val="22"/>
        </w:rPr>
        <w:t>es</w:t>
      </w:r>
      <w:r w:rsidRPr="00F21392">
        <w:rPr>
          <w:rFonts w:cs="Arial"/>
          <w:bCs/>
          <w:szCs w:val="22"/>
        </w:rPr>
        <w:t xml:space="preserve"> grants being delivered in </w:t>
      </w:r>
      <w:hyperlink r:id="rId50" w:history="1">
        <w:r w:rsidRPr="00F139E1">
          <w:rPr>
            <w:rStyle w:val="Hyperlink"/>
            <w:rFonts w:cs="Arial"/>
            <w:bCs/>
            <w:szCs w:val="22"/>
          </w:rPr>
          <w:t>Stronger Places, Stronger People</w:t>
        </w:r>
      </w:hyperlink>
      <w:r w:rsidRPr="00F21392">
        <w:rPr>
          <w:rFonts w:cs="Arial"/>
          <w:bCs/>
          <w:szCs w:val="22"/>
        </w:rPr>
        <w:t xml:space="preserve"> partner communities</w:t>
      </w:r>
      <w:r w:rsidR="00EC4759">
        <w:rPr>
          <w:rFonts w:cs="Arial"/>
          <w:bCs/>
          <w:szCs w:val="22"/>
        </w:rPr>
        <w:t xml:space="preserve"> (see Appendix B for more information)</w:t>
      </w:r>
      <w:r w:rsidRPr="00F21392">
        <w:rPr>
          <w:rFonts w:cs="Arial"/>
          <w:bCs/>
          <w:szCs w:val="22"/>
        </w:rPr>
        <w:t>, tailored to the needs of those communities</w:t>
      </w:r>
      <w:r w:rsidR="0035722C">
        <w:rPr>
          <w:rFonts w:cs="Arial"/>
          <w:bCs/>
          <w:szCs w:val="22"/>
        </w:rPr>
        <w:t xml:space="preserve">, </w:t>
      </w:r>
      <w:r w:rsidR="0035722C">
        <w:rPr>
          <w:rFonts w:cs="Arial"/>
          <w:color w:val="000000" w:themeColor="text1"/>
          <w:szCs w:val="22"/>
        </w:rPr>
        <w:t>including those who experience barriers to accessing services</w:t>
      </w:r>
      <w:r w:rsidRPr="00F21392">
        <w:rPr>
          <w:rFonts w:cs="Arial"/>
          <w:bCs/>
          <w:szCs w:val="22"/>
        </w:rPr>
        <w:t>.</w:t>
      </w:r>
    </w:p>
    <w:p w14:paraId="7E754628" w14:textId="69EC492B" w:rsidR="00C50A29" w:rsidRPr="00C22DA5" w:rsidRDefault="00C50A29" w:rsidP="00C22DA5">
      <w:pPr>
        <w:pStyle w:val="ListParagraph"/>
        <w:numPr>
          <w:ilvl w:val="0"/>
          <w:numId w:val="22"/>
        </w:numPr>
        <w:spacing w:after="240" w:line="276" w:lineRule="auto"/>
        <w:rPr>
          <w:rFonts w:cs="Arial"/>
          <w:bCs/>
          <w:szCs w:val="22"/>
        </w:rPr>
      </w:pPr>
      <w:r w:rsidRPr="00437102">
        <w:rPr>
          <w:rFonts w:cs="Arial"/>
          <w:color w:val="000000" w:themeColor="text1"/>
          <w:szCs w:val="22"/>
        </w:rPr>
        <w:t>Embedding collaborative methods and co-design in the grant lifecycle</w:t>
      </w:r>
      <w:r w:rsidR="003B571A" w:rsidRPr="00AA7A10">
        <w:rPr>
          <w:rFonts w:cs="Arial"/>
          <w:color w:val="000000" w:themeColor="text1"/>
          <w:szCs w:val="22"/>
        </w:rPr>
        <w:t xml:space="preserve">. </w:t>
      </w:r>
      <w:r w:rsidR="003B571A" w:rsidRPr="00AA7A10">
        <w:rPr>
          <w:rFonts w:cs="Arial"/>
          <w:bCs/>
          <w:szCs w:val="22"/>
        </w:rPr>
        <w:t>T</w:t>
      </w:r>
      <w:r w:rsidRPr="00F21392">
        <w:rPr>
          <w:rFonts w:cs="Arial"/>
          <w:bCs/>
          <w:szCs w:val="22"/>
        </w:rPr>
        <w:t xml:space="preserve">his may include during the grant discovery phase through to incorporating user insights into monitoring of the programs. </w:t>
      </w:r>
      <w:r w:rsidR="00C22DA5" w:rsidRPr="008C7D21">
        <w:rPr>
          <w:rFonts w:cs="Arial"/>
          <w:bCs/>
          <w:szCs w:val="22"/>
        </w:rPr>
        <w:t xml:space="preserve">Reviewing and improving monitoring and evaluation processes within the grant lifecycle can streamline output and outcomes based reporting from CSOs to government, resulting in a robust evidence base </w:t>
      </w:r>
      <w:r w:rsidR="00F139E1">
        <w:rPr>
          <w:rFonts w:cs="Arial"/>
          <w:bCs/>
          <w:szCs w:val="22"/>
        </w:rPr>
        <w:t>that</w:t>
      </w:r>
      <w:r w:rsidR="00C22DA5" w:rsidRPr="008C7D21">
        <w:rPr>
          <w:rFonts w:cs="Arial"/>
          <w:bCs/>
          <w:szCs w:val="22"/>
        </w:rPr>
        <w:t xml:space="preserve"> can inform program design and development, and minimise consultation fatigue for CSOs.</w:t>
      </w:r>
      <w:r w:rsidR="00C22DA5" w:rsidRPr="00F21392">
        <w:rPr>
          <w:rFonts w:cs="Arial"/>
          <w:bCs/>
          <w:szCs w:val="22"/>
        </w:rPr>
        <w:t xml:space="preserve"> </w:t>
      </w:r>
    </w:p>
    <w:p w14:paraId="7411786B" w14:textId="364D717F" w:rsidR="00C50A29" w:rsidRPr="00F21392" w:rsidRDefault="00C50A29" w:rsidP="00181F7A">
      <w:pPr>
        <w:pStyle w:val="ListParagraph"/>
        <w:numPr>
          <w:ilvl w:val="0"/>
          <w:numId w:val="22"/>
        </w:numPr>
        <w:spacing w:after="240" w:line="276" w:lineRule="auto"/>
        <w:rPr>
          <w:rFonts w:cs="Arial"/>
          <w:bCs/>
          <w:szCs w:val="22"/>
        </w:rPr>
      </w:pPr>
      <w:r w:rsidRPr="00437102">
        <w:rPr>
          <w:rFonts w:cs="Arial"/>
          <w:color w:val="000000" w:themeColor="text1"/>
          <w:szCs w:val="22"/>
        </w:rPr>
        <w:t>Co-creating a Stronger, more diverse and independent community sector</w:t>
      </w:r>
      <w:r w:rsidR="003B571A" w:rsidRPr="00AA7A10">
        <w:rPr>
          <w:rFonts w:cs="Arial"/>
          <w:color w:val="000000" w:themeColor="text1"/>
          <w:szCs w:val="22"/>
        </w:rPr>
        <w:t xml:space="preserve">. </w:t>
      </w:r>
      <w:r w:rsidR="003B571A" w:rsidRPr="00AA7A10">
        <w:rPr>
          <w:rFonts w:cs="Arial"/>
          <w:bCs/>
          <w:szCs w:val="22"/>
        </w:rPr>
        <w:t>U</w:t>
      </w:r>
      <w:r w:rsidRPr="00F21392">
        <w:rPr>
          <w:rFonts w:cs="Arial"/>
          <w:bCs/>
          <w:szCs w:val="22"/>
        </w:rPr>
        <w:t xml:space="preserve">sing this consultation process, the advice of CSAG and future consultation to understand what CSOs’ </w:t>
      </w:r>
      <w:r w:rsidRPr="00F21392">
        <w:rPr>
          <w:rFonts w:cs="Arial"/>
          <w:bCs/>
          <w:szCs w:val="22"/>
        </w:rPr>
        <w:lastRenderedPageBreak/>
        <w:t>vision for a stronger, more diverse and independent community sector is, and how this can be achieved.</w:t>
      </w:r>
    </w:p>
    <w:p w14:paraId="5D45A5DE" w14:textId="4E5F4A64" w:rsidR="00C50A29" w:rsidRPr="00F21392" w:rsidRDefault="00C50A29" w:rsidP="00181F7A">
      <w:pPr>
        <w:pStyle w:val="ListParagraph"/>
        <w:numPr>
          <w:ilvl w:val="0"/>
          <w:numId w:val="22"/>
        </w:numPr>
        <w:spacing w:after="240" w:line="276" w:lineRule="auto"/>
        <w:rPr>
          <w:rFonts w:cs="Arial"/>
          <w:bCs/>
          <w:szCs w:val="22"/>
        </w:rPr>
      </w:pPr>
      <w:r w:rsidRPr="00437102">
        <w:rPr>
          <w:rFonts w:cs="Arial"/>
          <w:color w:val="000000" w:themeColor="text1"/>
          <w:szCs w:val="22"/>
        </w:rPr>
        <w:t>Co-designing with the sector (and others) as part of standard practice</w:t>
      </w:r>
      <w:r w:rsidR="003B571A" w:rsidRPr="00AA7A10">
        <w:rPr>
          <w:rFonts w:cs="Arial"/>
          <w:color w:val="000000" w:themeColor="text1"/>
          <w:szCs w:val="22"/>
        </w:rPr>
        <w:t xml:space="preserve"> t</w:t>
      </w:r>
      <w:r w:rsidRPr="00F21392">
        <w:rPr>
          <w:rFonts w:cs="Arial"/>
          <w:bCs/>
          <w:szCs w:val="22"/>
        </w:rPr>
        <w:t xml:space="preserve">hrough development of appropriate tools and mechanisms, including to </w:t>
      </w:r>
      <w:r w:rsidRPr="00AA7A10">
        <w:rPr>
          <w:rFonts w:cs="Arial"/>
          <w:szCs w:val="22"/>
        </w:rPr>
        <w:t>share available data and analysis,</w:t>
      </w:r>
      <w:r w:rsidRPr="00F21392">
        <w:rPr>
          <w:rFonts w:cs="Arial"/>
          <w:bCs/>
          <w:szCs w:val="22"/>
        </w:rPr>
        <w:t xml:space="preserve"> to embed collaborative practices.</w:t>
      </w:r>
    </w:p>
    <w:p w14:paraId="53F91F5F" w14:textId="77777777" w:rsidR="00C50A29" w:rsidRPr="00F21392" w:rsidRDefault="00C50A29" w:rsidP="00181F7A">
      <w:pPr>
        <w:pStyle w:val="ListParagraph"/>
        <w:numPr>
          <w:ilvl w:val="0"/>
          <w:numId w:val="22"/>
        </w:numPr>
        <w:spacing w:after="240" w:line="276" w:lineRule="auto"/>
        <w:rPr>
          <w:rFonts w:cs="Arial"/>
          <w:bCs/>
          <w:szCs w:val="22"/>
        </w:rPr>
      </w:pPr>
      <w:r w:rsidRPr="00437102">
        <w:rPr>
          <w:rFonts w:cs="Arial"/>
          <w:color w:val="000000" w:themeColor="text1"/>
          <w:szCs w:val="22"/>
        </w:rPr>
        <w:t>Improve linkages across government and funding partners</w:t>
      </w:r>
      <w:r w:rsidRPr="00F21392">
        <w:rPr>
          <w:rFonts w:cs="Arial"/>
          <w:bCs/>
          <w:szCs w:val="22"/>
        </w:rPr>
        <w:t xml:space="preserve"> to streamline and minimise reporting imposts on organisations and the sector and improve the strategic insights from provider operations.</w:t>
      </w:r>
    </w:p>
    <w:p w14:paraId="173564AB" w14:textId="38B5B339" w:rsidR="00C50A29" w:rsidRPr="00437102" w:rsidRDefault="00C50A29" w:rsidP="00181F7A">
      <w:pPr>
        <w:pStyle w:val="ListParagraph"/>
        <w:numPr>
          <w:ilvl w:val="0"/>
          <w:numId w:val="22"/>
        </w:numPr>
        <w:spacing w:after="240" w:line="276" w:lineRule="auto"/>
        <w:rPr>
          <w:rFonts w:cs="Arial"/>
          <w:bCs/>
          <w:color w:val="000000" w:themeColor="text1"/>
          <w:szCs w:val="22"/>
        </w:rPr>
      </w:pPr>
      <w:r w:rsidRPr="00437102">
        <w:rPr>
          <w:rFonts w:cs="Arial"/>
          <w:color w:val="000000" w:themeColor="text1"/>
          <w:szCs w:val="22"/>
        </w:rPr>
        <w:t>Bolstering the roles and responsibilities of advisory groups like CSAG</w:t>
      </w:r>
      <w:r w:rsidRPr="00F21392">
        <w:rPr>
          <w:rFonts w:cs="Arial"/>
          <w:bCs/>
          <w:szCs w:val="22"/>
        </w:rPr>
        <w:t xml:space="preserve"> in recognition of the expertise and knowledge in the community sector</w:t>
      </w:r>
      <w:r w:rsidRPr="00437102">
        <w:rPr>
          <w:rFonts w:cs="Arial"/>
          <w:bCs/>
          <w:color w:val="000000" w:themeColor="text1"/>
          <w:szCs w:val="22"/>
        </w:rPr>
        <w:t xml:space="preserve"> to increase opportunities for co-design, consultation and collaboration.</w:t>
      </w:r>
    </w:p>
    <w:p w14:paraId="7663AFD6" w14:textId="2DA963D4" w:rsidR="00C50A29" w:rsidRPr="00F21392" w:rsidRDefault="00C50A29" w:rsidP="00181F7A">
      <w:pPr>
        <w:pStyle w:val="ListParagraph"/>
        <w:numPr>
          <w:ilvl w:val="0"/>
          <w:numId w:val="22"/>
        </w:numPr>
        <w:spacing w:after="240" w:line="276" w:lineRule="auto"/>
        <w:rPr>
          <w:rFonts w:cs="Arial"/>
          <w:bCs/>
          <w:szCs w:val="22"/>
        </w:rPr>
      </w:pPr>
      <w:r w:rsidRPr="00437102">
        <w:rPr>
          <w:rFonts w:cs="Arial"/>
          <w:bCs/>
          <w:color w:val="000000" w:themeColor="text1"/>
          <w:szCs w:val="22"/>
        </w:rPr>
        <w:t>Undertake a CSAG membership review</w:t>
      </w:r>
      <w:r w:rsidR="003B571A" w:rsidRPr="00AA7A10">
        <w:rPr>
          <w:rFonts w:cs="Arial"/>
          <w:bCs/>
          <w:color w:val="000000" w:themeColor="text1"/>
          <w:szCs w:val="22"/>
        </w:rPr>
        <w:t xml:space="preserve">. </w:t>
      </w:r>
      <w:r w:rsidRPr="00437102">
        <w:rPr>
          <w:rFonts w:cs="Arial"/>
          <w:bCs/>
          <w:color w:val="000000" w:themeColor="text1"/>
          <w:szCs w:val="22"/>
        </w:rPr>
        <w:t xml:space="preserve">CSAG has already agreed to a membership review to ensure </w:t>
      </w:r>
      <w:r w:rsidRPr="00F21392">
        <w:rPr>
          <w:rFonts w:cs="Arial"/>
          <w:bCs/>
          <w:szCs w:val="22"/>
        </w:rPr>
        <w:t>appropriate representation and engagement to strengthen the voice of the sector.</w:t>
      </w:r>
    </w:p>
    <w:p w14:paraId="695D9C07" w14:textId="5F5FBF0E" w:rsidR="00C50A29" w:rsidRPr="00437102" w:rsidRDefault="00C50A29" w:rsidP="00181F7A">
      <w:pPr>
        <w:pStyle w:val="ListParagraph"/>
        <w:numPr>
          <w:ilvl w:val="0"/>
          <w:numId w:val="22"/>
        </w:numPr>
        <w:spacing w:line="276" w:lineRule="auto"/>
        <w:rPr>
          <w:rFonts w:cs="Arial"/>
          <w:color w:val="000000" w:themeColor="text1"/>
          <w:szCs w:val="22"/>
        </w:rPr>
      </w:pPr>
      <w:r w:rsidRPr="00437102">
        <w:rPr>
          <w:rFonts w:cs="Arial"/>
          <w:bCs/>
          <w:szCs w:val="22"/>
        </w:rPr>
        <w:t>A forward work program and platform for inclusive, effective and strategic sector engagement</w:t>
      </w:r>
      <w:r w:rsidR="003B571A" w:rsidRPr="00AA7A10">
        <w:rPr>
          <w:rFonts w:cs="Arial"/>
          <w:bCs/>
          <w:szCs w:val="22"/>
        </w:rPr>
        <w:t>. T</w:t>
      </w:r>
      <w:r w:rsidRPr="00F21392">
        <w:rPr>
          <w:rFonts w:cs="Arial"/>
          <w:bCs/>
          <w:szCs w:val="22"/>
        </w:rPr>
        <w:t>he community</w:t>
      </w:r>
      <w:r w:rsidRPr="00437102">
        <w:rPr>
          <w:rFonts w:cs="Arial"/>
          <w:color w:val="000000" w:themeColor="text1"/>
          <w:szCs w:val="22"/>
        </w:rPr>
        <w:t xml:space="preserve"> sector has suggested this is needed to ensure services supporting diverse individuals and communities are: </w:t>
      </w:r>
    </w:p>
    <w:p w14:paraId="473798FA" w14:textId="77777777" w:rsidR="00C50A29" w:rsidRPr="00AA7A10" w:rsidRDefault="00C50A29" w:rsidP="00181F7A">
      <w:pPr>
        <w:pStyle w:val="Default"/>
        <w:numPr>
          <w:ilvl w:val="1"/>
          <w:numId w:val="2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appropriately represented</w:t>
      </w:r>
    </w:p>
    <w:p w14:paraId="3AF47FE5" w14:textId="10DDE588" w:rsidR="00C50A29" w:rsidRPr="00AA7A10" w:rsidRDefault="00B17E10" w:rsidP="00181F7A">
      <w:pPr>
        <w:pStyle w:val="Default"/>
        <w:numPr>
          <w:ilvl w:val="1"/>
          <w:numId w:val="22"/>
        </w:numPr>
        <w:spacing w:line="276" w:lineRule="auto"/>
        <w:rPr>
          <w:rFonts w:eastAsia="Times New Roman"/>
          <w:iCs/>
          <w:color w:val="000000" w:themeColor="text1"/>
          <w:spacing w:val="2"/>
          <w:sz w:val="22"/>
          <w:szCs w:val="22"/>
        </w:rPr>
      </w:pPr>
      <w:r>
        <w:rPr>
          <w:rFonts w:eastAsia="Times New Roman"/>
          <w:iCs/>
          <w:color w:val="000000" w:themeColor="text1"/>
          <w:spacing w:val="2"/>
          <w:sz w:val="22"/>
          <w:szCs w:val="22"/>
        </w:rPr>
        <w:t xml:space="preserve">considered through </w:t>
      </w:r>
      <w:r w:rsidR="00C50A29" w:rsidRPr="00AA7A10">
        <w:rPr>
          <w:rFonts w:eastAsia="Times New Roman"/>
          <w:iCs/>
          <w:color w:val="000000" w:themeColor="text1"/>
          <w:spacing w:val="2"/>
          <w:sz w:val="22"/>
          <w:szCs w:val="22"/>
        </w:rPr>
        <w:t>streamlined consultation efforts across government</w:t>
      </w:r>
    </w:p>
    <w:p w14:paraId="50DB3C32" w14:textId="19CF1E79" w:rsidR="00C50A29" w:rsidRPr="008C7D21" w:rsidRDefault="00C50A29" w:rsidP="00181F7A">
      <w:pPr>
        <w:pStyle w:val="Default"/>
        <w:numPr>
          <w:ilvl w:val="1"/>
          <w:numId w:val="2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forward </w:t>
      </w:r>
      <w:r w:rsidR="00B17E10" w:rsidRPr="00AA7A10">
        <w:rPr>
          <w:rFonts w:eastAsia="Times New Roman"/>
          <w:iCs/>
          <w:color w:val="000000" w:themeColor="text1"/>
          <w:spacing w:val="2"/>
          <w:sz w:val="22"/>
          <w:szCs w:val="22"/>
        </w:rPr>
        <w:t>plann</w:t>
      </w:r>
      <w:r w:rsidR="00B17E10">
        <w:rPr>
          <w:rFonts w:eastAsia="Times New Roman"/>
          <w:iCs/>
          <w:color w:val="000000" w:themeColor="text1"/>
          <w:spacing w:val="2"/>
          <w:sz w:val="22"/>
          <w:szCs w:val="22"/>
        </w:rPr>
        <w:t>ed</w:t>
      </w:r>
      <w:r w:rsidR="00B17E10" w:rsidRPr="00AA7A10">
        <w:rPr>
          <w:rFonts w:eastAsia="Times New Roman"/>
          <w:iCs/>
          <w:color w:val="000000" w:themeColor="text1"/>
          <w:spacing w:val="2"/>
          <w:sz w:val="22"/>
          <w:szCs w:val="22"/>
        </w:rPr>
        <w:t xml:space="preserve"> </w:t>
      </w:r>
      <w:r w:rsidRPr="00AA7A10">
        <w:rPr>
          <w:rFonts w:eastAsia="Times New Roman"/>
          <w:iCs/>
          <w:color w:val="000000" w:themeColor="text1"/>
          <w:spacing w:val="2"/>
          <w:sz w:val="22"/>
          <w:szCs w:val="22"/>
        </w:rPr>
        <w:t>to enable resources to be apportioned and strategic advice provided</w:t>
      </w:r>
      <w:r w:rsidR="00C22DA5">
        <w:rPr>
          <w:rFonts w:eastAsia="Times New Roman"/>
          <w:iCs/>
          <w:color w:val="000000" w:themeColor="text1"/>
          <w:spacing w:val="2"/>
          <w:sz w:val="22"/>
          <w:szCs w:val="22"/>
        </w:rPr>
        <w:t xml:space="preserve">, particularly </w:t>
      </w:r>
      <w:r w:rsidR="00C22DA5" w:rsidRPr="008C7D21">
        <w:rPr>
          <w:rFonts w:eastAsia="Times New Roman"/>
          <w:iCs/>
          <w:color w:val="000000" w:themeColor="text1"/>
          <w:spacing w:val="2"/>
          <w:sz w:val="22"/>
          <w:szCs w:val="22"/>
        </w:rPr>
        <w:t>in the event of rapid response scenarios where co-design may not be feasible</w:t>
      </w:r>
    </w:p>
    <w:p w14:paraId="05A1395D" w14:textId="77777777" w:rsidR="00C50A29" w:rsidRPr="00AA7A10" w:rsidRDefault="00C50A29" w:rsidP="00181F7A">
      <w:pPr>
        <w:pStyle w:val="Default"/>
        <w:numPr>
          <w:ilvl w:val="1"/>
          <w:numId w:val="2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understood in the complex intersectional context they are in </w:t>
      </w:r>
    </w:p>
    <w:p w14:paraId="1522472E" w14:textId="1B7B29D1" w:rsidR="00C50A29" w:rsidRDefault="00C50A29" w:rsidP="00181F7A">
      <w:pPr>
        <w:pStyle w:val="Default"/>
        <w:numPr>
          <w:ilvl w:val="1"/>
          <w:numId w:val="2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respected and responded to in an appropriate and timely manner.</w:t>
      </w:r>
    </w:p>
    <w:p w14:paraId="5EFFEE26" w14:textId="77777777" w:rsidR="00E973E1" w:rsidRPr="00AA7A10" w:rsidRDefault="00E973E1" w:rsidP="00E973E1">
      <w:pPr>
        <w:pStyle w:val="Default"/>
        <w:spacing w:line="276" w:lineRule="auto"/>
        <w:ind w:left="1440"/>
        <w:rPr>
          <w:rFonts w:eastAsia="Times New Roman"/>
          <w:iCs/>
          <w:color w:val="000000" w:themeColor="text1"/>
          <w:spacing w:val="2"/>
          <w:sz w:val="22"/>
          <w:szCs w:val="22"/>
        </w:rPr>
      </w:pPr>
    </w:p>
    <w:p w14:paraId="49DBE43E" w14:textId="33E4187F" w:rsidR="003B571A" w:rsidRDefault="003B571A" w:rsidP="00437102">
      <w:pPr>
        <w:pStyle w:val="Heading3"/>
      </w:pPr>
      <w:r>
        <w:t>Key questions</w:t>
      </w:r>
    </w:p>
    <w:p w14:paraId="1D617D2F" w14:textId="77777777"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1.1</w:t>
      </w:r>
      <w:r w:rsidRPr="00B90D88">
        <w:rPr>
          <w:rFonts w:cs="Arial"/>
          <w:kern w:val="0"/>
          <w:sz w:val="24"/>
          <w:szCs w:val="22"/>
          <w14:ligatures w14:val="none"/>
        </w:rPr>
        <w:tab/>
        <w:t xml:space="preserve">What would a partnership between CSOs and the government that achieves outcomes for Australians being supported by the community sector look like? </w:t>
      </w:r>
    </w:p>
    <w:p w14:paraId="400C4107" w14:textId="77777777"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1.2</w:t>
      </w:r>
      <w:r w:rsidRPr="00B90D88">
        <w:rPr>
          <w:rFonts w:cs="Arial"/>
          <w:kern w:val="0"/>
          <w:sz w:val="24"/>
          <w:szCs w:val="22"/>
          <w14:ligatures w14:val="none"/>
        </w:rPr>
        <w:tab/>
        <w:t xml:space="preserve">How can CSOs and government streamline the sharing of information, particularly through utilising technology to effectively engage, distribute, share, influence and inform in a timely and efficient manner? </w:t>
      </w:r>
    </w:p>
    <w:p w14:paraId="3A0B2267" w14:textId="110AD39D"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1.3</w:t>
      </w:r>
      <w:r w:rsidRPr="00B90D88">
        <w:rPr>
          <w:rFonts w:cs="Arial"/>
          <w:kern w:val="0"/>
          <w:sz w:val="24"/>
          <w:szCs w:val="22"/>
          <w14:ligatures w14:val="none"/>
        </w:rPr>
        <w:tab/>
        <w:t>How can government ensure the community sector, including service users</w:t>
      </w:r>
      <w:r w:rsidR="00264EBB" w:rsidRPr="00B90D88">
        <w:rPr>
          <w:rFonts w:cs="Arial"/>
          <w:kern w:val="0"/>
          <w:sz w:val="24"/>
          <w:szCs w:val="22"/>
          <w14:ligatures w14:val="none"/>
        </w:rPr>
        <w:t xml:space="preserve"> and those not able to access services</w:t>
      </w:r>
      <w:r w:rsidRPr="00B90D88">
        <w:rPr>
          <w:rFonts w:cs="Arial"/>
          <w:kern w:val="0"/>
          <w:sz w:val="24"/>
          <w:szCs w:val="22"/>
          <w14:ligatures w14:val="none"/>
        </w:rPr>
        <w:t>, have an opportunity to contribute to program design without imposing significant burdens?</w:t>
      </w:r>
    </w:p>
    <w:p w14:paraId="4437F393" w14:textId="69F3BCCA" w:rsidR="00C50A29" w:rsidRDefault="00C50A29" w:rsidP="00114226">
      <w:pPr>
        <w:pStyle w:val="BodyText"/>
        <w:pBdr>
          <w:top w:val="single" w:sz="4" w:space="1" w:color="auto"/>
          <w:left w:val="single" w:sz="4" w:space="4" w:color="auto"/>
          <w:bottom w:val="single" w:sz="4" w:space="1" w:color="auto"/>
          <w:right w:val="single" w:sz="4" w:space="4" w:color="auto"/>
        </w:pBdr>
        <w:shd w:val="clear" w:color="auto" w:fill="FFFFFF" w:themeFill="background1"/>
        <w:spacing w:after="60" w:line="276" w:lineRule="auto"/>
        <w:ind w:left="357" w:hanging="357"/>
        <w:rPr>
          <w:rFonts w:cstheme="majorBidi"/>
          <w:color w:val="1F3763" w:themeColor="accent1" w:themeShade="7F"/>
          <w:sz w:val="36"/>
          <w:lang w:eastAsia="en-AU"/>
        </w:rPr>
      </w:pPr>
      <w:r>
        <w:br w:type="page"/>
      </w:r>
    </w:p>
    <w:p w14:paraId="5A8AB992" w14:textId="7F04FC68" w:rsidR="005C6EB8" w:rsidRPr="00E6758B" w:rsidRDefault="00193563" w:rsidP="00437102">
      <w:pPr>
        <w:pStyle w:val="Heading2"/>
      </w:pPr>
      <w:bookmarkStart w:id="22" w:name="_Toc144983243"/>
      <w:r>
        <w:lastRenderedPageBreak/>
        <w:t xml:space="preserve">Area of </w:t>
      </w:r>
      <w:r w:rsidR="003B571A">
        <w:t>f</w:t>
      </w:r>
      <w:r>
        <w:t>ocus</w:t>
      </w:r>
      <w:r w:rsidR="003B571A">
        <w:t xml:space="preserve"> 2</w:t>
      </w:r>
      <w:r>
        <w:t xml:space="preserve">: </w:t>
      </w:r>
      <w:r w:rsidR="005C6EB8" w:rsidRPr="00E6758B">
        <w:t>Providing grants that reflect the real cost of delivering quality services</w:t>
      </w:r>
      <w:bookmarkEnd w:id="20"/>
      <w:bookmarkEnd w:id="22"/>
    </w:p>
    <w:p w14:paraId="2FC9F056" w14:textId="096717DF" w:rsidR="005C6EB8" w:rsidRPr="00AA7A10" w:rsidRDefault="005C6EB8" w:rsidP="009E7C17">
      <w:pPr>
        <w:spacing w:before="120" w:line="276" w:lineRule="auto"/>
        <w:rPr>
          <w:rFonts w:cs="Arial"/>
          <w:color w:val="000000" w:themeColor="text1"/>
          <w:szCs w:val="22"/>
        </w:rPr>
      </w:pPr>
      <w:r w:rsidRPr="00AA7A10">
        <w:rPr>
          <w:rFonts w:cs="Arial"/>
          <w:color w:val="000000" w:themeColor="text1"/>
          <w:szCs w:val="22"/>
        </w:rPr>
        <w:t xml:space="preserve">Although there has been an increase in investment </w:t>
      </w:r>
      <w:r w:rsidR="00551840" w:rsidRPr="00AA7A10">
        <w:rPr>
          <w:rFonts w:cs="Arial"/>
          <w:color w:val="000000" w:themeColor="text1"/>
          <w:szCs w:val="22"/>
        </w:rPr>
        <w:t xml:space="preserve">in </w:t>
      </w:r>
      <w:r w:rsidRPr="00AA7A10">
        <w:rPr>
          <w:rFonts w:cs="Arial"/>
          <w:color w:val="000000" w:themeColor="text1"/>
          <w:szCs w:val="22"/>
        </w:rPr>
        <w:t xml:space="preserve">community sector grants during the past </w:t>
      </w:r>
      <w:r w:rsidR="00A045AD" w:rsidRPr="00AA7A10">
        <w:rPr>
          <w:rFonts w:cs="Arial"/>
          <w:color w:val="000000" w:themeColor="text1"/>
          <w:szCs w:val="22"/>
        </w:rPr>
        <w:t>2</w:t>
      </w:r>
      <w:r w:rsidR="00C63F8E" w:rsidRPr="00AA7A10">
        <w:rPr>
          <w:rFonts w:cs="Arial"/>
          <w:color w:val="000000" w:themeColor="text1"/>
          <w:szCs w:val="22"/>
        </w:rPr>
        <w:t> </w:t>
      </w:r>
      <w:r w:rsidRPr="00AA7A10">
        <w:rPr>
          <w:rFonts w:cs="Arial"/>
          <w:color w:val="000000" w:themeColor="text1"/>
          <w:szCs w:val="22"/>
        </w:rPr>
        <w:t xml:space="preserve">financial years, CSOs report that </w:t>
      </w:r>
      <w:r w:rsidR="00A07A54" w:rsidRPr="00AA7A10">
        <w:rPr>
          <w:rFonts w:cs="Arial"/>
          <w:color w:val="000000" w:themeColor="text1"/>
          <w:szCs w:val="22"/>
        </w:rPr>
        <w:t>this investment</w:t>
      </w:r>
      <w:r w:rsidRPr="00AA7A10">
        <w:rPr>
          <w:rFonts w:cs="Arial"/>
          <w:color w:val="000000" w:themeColor="text1"/>
          <w:szCs w:val="22"/>
        </w:rPr>
        <w:t xml:space="preserve"> has not kept up with increased demand for support and services from the community or with the rising costs to deliver quality services.</w:t>
      </w:r>
    </w:p>
    <w:p w14:paraId="556BDCB9" w14:textId="7BC2BC24" w:rsidR="00E758B5" w:rsidRPr="00AA7A10" w:rsidRDefault="005C6EB8" w:rsidP="009E7C17">
      <w:pPr>
        <w:spacing w:line="276" w:lineRule="auto"/>
        <w:rPr>
          <w:rFonts w:cs="Arial"/>
          <w:color w:val="000000" w:themeColor="text1"/>
          <w:szCs w:val="22"/>
        </w:rPr>
      </w:pPr>
      <w:r w:rsidRPr="00AA7A10">
        <w:rPr>
          <w:rFonts w:cs="Arial"/>
          <w:color w:val="000000" w:themeColor="text1"/>
          <w:szCs w:val="22"/>
        </w:rPr>
        <w:t>The community sector has been impacted by unprecedented hardship due to C</w:t>
      </w:r>
      <w:r w:rsidR="00E6758B" w:rsidRPr="00AA7A10">
        <w:rPr>
          <w:rFonts w:cs="Arial"/>
          <w:color w:val="000000" w:themeColor="text1"/>
          <w:szCs w:val="22"/>
        </w:rPr>
        <w:t>OVID-19</w:t>
      </w:r>
      <w:r w:rsidR="00781D37" w:rsidRPr="00AA7A10">
        <w:rPr>
          <w:rFonts w:cs="Arial"/>
          <w:color w:val="000000" w:themeColor="text1"/>
          <w:szCs w:val="22"/>
        </w:rPr>
        <w:t>,</w:t>
      </w:r>
      <w:r w:rsidRPr="00AA7A10">
        <w:rPr>
          <w:rFonts w:cs="Arial"/>
          <w:color w:val="000000" w:themeColor="text1"/>
          <w:szCs w:val="22"/>
        </w:rPr>
        <w:t xml:space="preserve"> catastrophic natural disasters and local emergencies.</w:t>
      </w:r>
      <w:r w:rsidR="00B27042" w:rsidRPr="00AA7A10">
        <w:rPr>
          <w:rFonts w:cs="Arial"/>
          <w:color w:val="000000" w:themeColor="text1"/>
          <w:szCs w:val="22"/>
        </w:rPr>
        <w:t xml:space="preserve"> </w:t>
      </w:r>
      <w:r w:rsidR="001E30AA" w:rsidRPr="00AA7A10">
        <w:rPr>
          <w:rFonts w:cs="Arial"/>
          <w:color w:val="000000" w:themeColor="text1"/>
          <w:szCs w:val="22"/>
        </w:rPr>
        <w:t>Additionally</w:t>
      </w:r>
      <w:r w:rsidR="00B27042" w:rsidRPr="00AA7A10">
        <w:rPr>
          <w:rFonts w:cs="Arial"/>
          <w:color w:val="000000" w:themeColor="text1"/>
          <w:szCs w:val="22"/>
        </w:rPr>
        <w:t xml:space="preserve">, </w:t>
      </w:r>
      <w:r w:rsidR="001E30AA" w:rsidRPr="00AA7A10">
        <w:rPr>
          <w:rFonts w:cs="Arial"/>
          <w:color w:val="000000" w:themeColor="text1"/>
          <w:szCs w:val="22"/>
        </w:rPr>
        <w:t xml:space="preserve">CSOs </w:t>
      </w:r>
      <w:r w:rsidR="00E758B5" w:rsidRPr="00AA7A10">
        <w:rPr>
          <w:rFonts w:cs="Arial"/>
          <w:color w:val="000000" w:themeColor="text1"/>
          <w:szCs w:val="22"/>
        </w:rPr>
        <w:t xml:space="preserve">are facing </w:t>
      </w:r>
      <w:r w:rsidR="001E30AA" w:rsidRPr="00AA7A10">
        <w:rPr>
          <w:rFonts w:cs="Arial"/>
          <w:color w:val="000000" w:themeColor="text1"/>
          <w:szCs w:val="22"/>
        </w:rPr>
        <w:t>increased financial</w:t>
      </w:r>
      <w:r w:rsidR="00E758B5" w:rsidRPr="00AA7A10">
        <w:rPr>
          <w:rFonts w:cs="Arial"/>
          <w:color w:val="000000" w:themeColor="text1"/>
          <w:szCs w:val="22"/>
        </w:rPr>
        <w:t xml:space="preserve"> pressures due to the Fair Work Commission’s minimum wage decision and higher inflation pressures.</w:t>
      </w:r>
      <w:r w:rsidRPr="00AA7A10">
        <w:rPr>
          <w:rFonts w:cs="Arial"/>
          <w:color w:val="000000" w:themeColor="text1"/>
          <w:szCs w:val="22"/>
        </w:rPr>
        <w:t xml:space="preserve"> </w:t>
      </w:r>
    </w:p>
    <w:p w14:paraId="363392B6" w14:textId="137906E9" w:rsidR="008D49EE" w:rsidRPr="00AA7A10" w:rsidRDefault="002231B8" w:rsidP="009E7C17">
      <w:pPr>
        <w:spacing w:line="276" w:lineRule="auto"/>
        <w:rPr>
          <w:rFonts w:cs="Arial"/>
          <w:color w:val="000000" w:themeColor="text1"/>
          <w:szCs w:val="22"/>
        </w:rPr>
      </w:pPr>
      <w:r w:rsidRPr="00AA7A10">
        <w:rPr>
          <w:rFonts w:cs="Arial"/>
          <w:color w:val="000000" w:themeColor="text1"/>
          <w:szCs w:val="22"/>
        </w:rPr>
        <w:t xml:space="preserve">The </w:t>
      </w:r>
      <w:r w:rsidR="00C8140C" w:rsidRPr="00AA7A10">
        <w:rPr>
          <w:rFonts w:cs="Arial"/>
          <w:color w:val="000000" w:themeColor="text1"/>
          <w:szCs w:val="22"/>
        </w:rPr>
        <w:t>g</w:t>
      </w:r>
      <w:r w:rsidRPr="00AA7A10">
        <w:rPr>
          <w:rFonts w:cs="Arial"/>
          <w:color w:val="000000" w:themeColor="text1"/>
          <w:szCs w:val="22"/>
        </w:rPr>
        <w:t xml:space="preserve">overnment has put measures </w:t>
      </w:r>
      <w:r w:rsidR="00551840" w:rsidRPr="00AA7A10">
        <w:rPr>
          <w:rFonts w:cs="Arial"/>
          <w:color w:val="000000" w:themeColor="text1"/>
          <w:szCs w:val="22"/>
        </w:rPr>
        <w:t xml:space="preserve">in place </w:t>
      </w:r>
      <w:r w:rsidRPr="00AA7A10">
        <w:rPr>
          <w:rFonts w:cs="Arial"/>
          <w:color w:val="000000" w:themeColor="text1"/>
          <w:szCs w:val="22"/>
        </w:rPr>
        <w:t>to support CSOs in responding to these pr</w:t>
      </w:r>
      <w:r w:rsidR="002E6935" w:rsidRPr="00AA7A10">
        <w:rPr>
          <w:rFonts w:cs="Arial"/>
          <w:color w:val="000000" w:themeColor="text1"/>
          <w:szCs w:val="22"/>
        </w:rPr>
        <w:t>e</w:t>
      </w:r>
      <w:r w:rsidRPr="00AA7A10">
        <w:rPr>
          <w:rFonts w:cs="Arial"/>
          <w:color w:val="000000" w:themeColor="text1"/>
          <w:szCs w:val="22"/>
        </w:rPr>
        <w:t xml:space="preserve">ssures, with </w:t>
      </w:r>
      <w:r w:rsidR="002125E5" w:rsidRPr="00AA7A10">
        <w:rPr>
          <w:rFonts w:cs="Arial"/>
          <w:color w:val="000000" w:themeColor="text1"/>
          <w:szCs w:val="22"/>
        </w:rPr>
        <w:t xml:space="preserve">additional investments </w:t>
      </w:r>
      <w:r w:rsidRPr="00AA7A10">
        <w:rPr>
          <w:rFonts w:cs="Arial"/>
          <w:color w:val="000000" w:themeColor="text1"/>
          <w:szCs w:val="22"/>
        </w:rPr>
        <w:t>in its 2022-23 October Budget and 2023-24 Budget</w:t>
      </w:r>
      <w:r w:rsidR="002E6935" w:rsidRPr="00AA7A10">
        <w:rPr>
          <w:rFonts w:cs="Arial"/>
          <w:color w:val="000000" w:themeColor="text1"/>
          <w:szCs w:val="22"/>
        </w:rPr>
        <w:t xml:space="preserve"> to:</w:t>
      </w:r>
    </w:p>
    <w:p w14:paraId="3DE93BA5" w14:textId="07D84C83" w:rsidR="002E6935" w:rsidRPr="00AA7A10" w:rsidRDefault="0062674D"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p</w:t>
      </w:r>
      <w:r w:rsidR="007C6341" w:rsidRPr="00AA7A10">
        <w:rPr>
          <w:rFonts w:eastAsia="Times New Roman"/>
          <w:iCs/>
          <w:color w:val="000000" w:themeColor="text1"/>
          <w:spacing w:val="2"/>
          <w:sz w:val="22"/>
          <w:szCs w:val="22"/>
        </w:rPr>
        <w:t>rovide additional funding as</w:t>
      </w:r>
      <w:r w:rsidRPr="00AA7A10">
        <w:rPr>
          <w:rFonts w:eastAsia="Times New Roman"/>
          <w:iCs/>
          <w:color w:val="000000" w:themeColor="text1"/>
          <w:spacing w:val="2"/>
          <w:sz w:val="22"/>
          <w:szCs w:val="22"/>
        </w:rPr>
        <w:t>sis</w:t>
      </w:r>
      <w:r w:rsidR="007C6341" w:rsidRPr="00AA7A10">
        <w:rPr>
          <w:rFonts w:eastAsia="Times New Roman"/>
          <w:iCs/>
          <w:color w:val="000000" w:themeColor="text1"/>
          <w:spacing w:val="2"/>
          <w:sz w:val="22"/>
          <w:szCs w:val="22"/>
        </w:rPr>
        <w:t>t</w:t>
      </w:r>
      <w:r w:rsidRPr="00AA7A10">
        <w:rPr>
          <w:rFonts w:eastAsia="Times New Roman"/>
          <w:iCs/>
          <w:color w:val="000000" w:themeColor="text1"/>
          <w:spacing w:val="2"/>
          <w:sz w:val="22"/>
          <w:szCs w:val="22"/>
        </w:rPr>
        <w:t>a</w:t>
      </w:r>
      <w:r w:rsidR="007C6341" w:rsidRPr="00AA7A10">
        <w:rPr>
          <w:rFonts w:eastAsia="Times New Roman"/>
          <w:iCs/>
          <w:color w:val="000000" w:themeColor="text1"/>
          <w:spacing w:val="2"/>
          <w:sz w:val="22"/>
          <w:szCs w:val="22"/>
        </w:rPr>
        <w:t xml:space="preserve">nce to CSOs, </w:t>
      </w:r>
      <w:r w:rsidRPr="00AA7A10">
        <w:rPr>
          <w:rFonts w:eastAsia="Times New Roman"/>
          <w:iCs/>
          <w:color w:val="000000" w:themeColor="text1"/>
          <w:spacing w:val="2"/>
          <w:sz w:val="22"/>
          <w:szCs w:val="22"/>
        </w:rPr>
        <w:t>on top of the regular indexation payments made to grant recipients</w:t>
      </w:r>
    </w:p>
    <w:p w14:paraId="66A1FE7D" w14:textId="752D0931" w:rsidR="0062674D" w:rsidRDefault="00E82B37"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make an ongoing adjustment to </w:t>
      </w:r>
      <w:r w:rsidR="00C121D6" w:rsidRPr="00AA7A10">
        <w:rPr>
          <w:rFonts w:eastAsia="Times New Roman"/>
          <w:iCs/>
          <w:color w:val="000000" w:themeColor="text1"/>
          <w:spacing w:val="2"/>
          <w:sz w:val="22"/>
          <w:szCs w:val="22"/>
        </w:rPr>
        <w:t>funding indexation</w:t>
      </w:r>
      <w:r w:rsidR="00044168" w:rsidRPr="00AA7A10">
        <w:rPr>
          <w:rFonts w:eastAsia="Times New Roman"/>
          <w:iCs/>
          <w:color w:val="000000" w:themeColor="text1"/>
          <w:spacing w:val="2"/>
          <w:sz w:val="22"/>
          <w:szCs w:val="22"/>
        </w:rPr>
        <w:t>, which increases funding to CSOs and service providers to address inflationary impacts.</w:t>
      </w:r>
    </w:p>
    <w:p w14:paraId="5BC6839A" w14:textId="77777777" w:rsidR="004B5894" w:rsidRPr="00AA7A10" w:rsidRDefault="004B5894" w:rsidP="004B5894">
      <w:pPr>
        <w:pStyle w:val="Default"/>
        <w:spacing w:line="276" w:lineRule="auto"/>
        <w:ind w:left="720"/>
        <w:rPr>
          <w:rFonts w:eastAsia="Times New Roman"/>
          <w:iCs/>
          <w:color w:val="000000" w:themeColor="text1"/>
          <w:spacing w:val="2"/>
          <w:sz w:val="22"/>
          <w:szCs w:val="22"/>
        </w:rPr>
      </w:pPr>
    </w:p>
    <w:p w14:paraId="1A1AB5BB" w14:textId="347A2B12" w:rsidR="00C121D6" w:rsidRPr="00CD7EE8" w:rsidRDefault="00C121D6" w:rsidP="00437102">
      <w:pPr>
        <w:pStyle w:val="Heading3"/>
      </w:pPr>
      <w:r w:rsidRPr="00CD7EE8">
        <w:t>Additional funding assistance to CSOs</w:t>
      </w:r>
    </w:p>
    <w:p w14:paraId="0DBA880D" w14:textId="133B587D" w:rsidR="00C121D6" w:rsidRPr="00AA7A10" w:rsidRDefault="00C121D6" w:rsidP="00C121D6">
      <w:pPr>
        <w:spacing w:before="120" w:line="276" w:lineRule="auto"/>
        <w:rPr>
          <w:rFonts w:cs="Arial"/>
          <w:color w:val="000000" w:themeColor="text1"/>
          <w:szCs w:val="22"/>
        </w:rPr>
      </w:pPr>
      <w:r w:rsidRPr="00AA7A10">
        <w:rPr>
          <w:rFonts w:cs="Arial"/>
          <w:color w:val="000000" w:themeColor="text1"/>
          <w:szCs w:val="22"/>
        </w:rPr>
        <w:t xml:space="preserve">In the 2022-23 October Budget, it was announced $560 million over </w:t>
      </w:r>
      <w:r w:rsidR="00A045AD" w:rsidRPr="00AA7A10">
        <w:rPr>
          <w:rFonts w:cs="Arial"/>
          <w:color w:val="000000" w:themeColor="text1"/>
          <w:szCs w:val="22"/>
        </w:rPr>
        <w:t xml:space="preserve">4 </w:t>
      </w:r>
      <w:r w:rsidRPr="00AA7A10">
        <w:rPr>
          <w:rFonts w:cs="Arial"/>
          <w:color w:val="000000" w:themeColor="text1"/>
          <w:szCs w:val="22"/>
        </w:rPr>
        <w:t>years from 2022-23 would be provided to support CSOs at need of funding supplementation due to additional staff wage pressures and higher inflation outcomes.</w:t>
      </w:r>
    </w:p>
    <w:p w14:paraId="70F566EB" w14:textId="31588F4F" w:rsidR="00C8563E" w:rsidRPr="00AA7A10" w:rsidRDefault="00C8563E" w:rsidP="00C8563E">
      <w:pPr>
        <w:spacing w:before="120" w:line="276" w:lineRule="auto"/>
        <w:rPr>
          <w:rFonts w:cs="Arial"/>
          <w:color w:val="000000" w:themeColor="text1"/>
          <w:szCs w:val="22"/>
        </w:rPr>
      </w:pPr>
      <w:r w:rsidRPr="00AA7A10">
        <w:rPr>
          <w:rFonts w:cs="Arial"/>
          <w:color w:val="000000" w:themeColor="text1"/>
          <w:szCs w:val="22"/>
        </w:rPr>
        <w:t>For the 2022-23</w:t>
      </w:r>
      <w:r w:rsidR="00167E0B" w:rsidRPr="00AA7A10">
        <w:rPr>
          <w:rFonts w:cs="Arial"/>
          <w:color w:val="000000" w:themeColor="text1"/>
          <w:szCs w:val="22"/>
        </w:rPr>
        <w:t xml:space="preserve"> financial year</w:t>
      </w:r>
      <w:r w:rsidRPr="00AA7A10">
        <w:rPr>
          <w:rFonts w:cs="Arial"/>
          <w:color w:val="000000" w:themeColor="text1"/>
          <w:szCs w:val="22"/>
        </w:rPr>
        <w:t xml:space="preserve">, </w:t>
      </w:r>
      <w:r w:rsidR="00A045AD" w:rsidRPr="00AA7A10">
        <w:rPr>
          <w:rFonts w:cs="Arial"/>
          <w:color w:val="000000" w:themeColor="text1"/>
          <w:szCs w:val="22"/>
        </w:rPr>
        <w:t>s</w:t>
      </w:r>
      <w:r w:rsidRPr="00AA7A10">
        <w:rPr>
          <w:rFonts w:cs="Arial"/>
          <w:color w:val="000000" w:themeColor="text1"/>
          <w:szCs w:val="22"/>
        </w:rPr>
        <w:t xml:space="preserve">upplementation payments were made to eligible CSOs from February 2023. The </w:t>
      </w:r>
      <w:r w:rsidR="00A045AD" w:rsidRPr="00AA7A10">
        <w:rPr>
          <w:rFonts w:cs="Arial"/>
          <w:color w:val="000000" w:themeColor="text1"/>
          <w:szCs w:val="22"/>
        </w:rPr>
        <w:t>d</w:t>
      </w:r>
      <w:r w:rsidRPr="00AA7A10">
        <w:rPr>
          <w:rFonts w:cs="Arial"/>
          <w:color w:val="000000" w:themeColor="text1"/>
          <w:szCs w:val="22"/>
        </w:rPr>
        <w:t xml:space="preserve">epartment is planning to commence the </w:t>
      </w:r>
      <w:r w:rsidR="00A045AD" w:rsidRPr="00AA7A10">
        <w:rPr>
          <w:rFonts w:cs="Arial"/>
          <w:color w:val="000000" w:themeColor="text1"/>
          <w:szCs w:val="22"/>
        </w:rPr>
        <w:t>s</w:t>
      </w:r>
      <w:r w:rsidRPr="00AA7A10">
        <w:rPr>
          <w:rFonts w:cs="Arial"/>
          <w:color w:val="000000" w:themeColor="text1"/>
          <w:szCs w:val="22"/>
        </w:rPr>
        <w:t>upplementation process for 2023-24 during the first quarter of the financial year (timing is subject to Ministerial consideration and approval)</w:t>
      </w:r>
      <w:r w:rsidR="000F4B53" w:rsidRPr="00AA7A10">
        <w:rPr>
          <w:rFonts w:cs="Arial"/>
          <w:color w:val="000000" w:themeColor="text1"/>
          <w:szCs w:val="22"/>
        </w:rPr>
        <w:t>.</w:t>
      </w:r>
    </w:p>
    <w:p w14:paraId="1104766B" w14:textId="1C2B3061" w:rsidR="00C121D6" w:rsidRPr="00CD7EE8" w:rsidRDefault="00C121D6" w:rsidP="00437102">
      <w:pPr>
        <w:pStyle w:val="Heading3"/>
      </w:pPr>
      <w:r w:rsidRPr="00CD7EE8">
        <w:t xml:space="preserve">Changes to </w:t>
      </w:r>
      <w:r w:rsidR="00C8140C">
        <w:t>g</w:t>
      </w:r>
      <w:r w:rsidRPr="00CD7EE8">
        <w:t>overnment indexation</w:t>
      </w:r>
    </w:p>
    <w:p w14:paraId="733FAC8D" w14:textId="6094D200" w:rsidR="00C121D6" w:rsidRDefault="00C121D6" w:rsidP="00C121D6">
      <w:pPr>
        <w:spacing w:before="120" w:line="276" w:lineRule="auto"/>
        <w:rPr>
          <w:rFonts w:cs="Arial"/>
          <w:color w:val="000000" w:themeColor="text1"/>
        </w:rPr>
      </w:pPr>
      <w:r w:rsidRPr="00AA7A10">
        <w:rPr>
          <w:rFonts w:cs="Arial"/>
          <w:color w:val="000000" w:themeColor="text1"/>
        </w:rPr>
        <w:t xml:space="preserve">In the 2023-24 Budget, the </w:t>
      </w:r>
      <w:r w:rsidR="00C8140C" w:rsidRPr="00AA7A10">
        <w:rPr>
          <w:rFonts w:cs="Arial"/>
          <w:color w:val="000000" w:themeColor="text1"/>
        </w:rPr>
        <w:t>g</w:t>
      </w:r>
      <w:r w:rsidRPr="00AA7A10">
        <w:rPr>
          <w:rFonts w:cs="Arial"/>
          <w:color w:val="000000" w:themeColor="text1"/>
        </w:rPr>
        <w:t>overnment updated the methodology for determining indexation, aiming to align funding more effectively with the evolving economic environment. This updated framework aims to provide greater financial support to organisations, enabling them to manage rising costs and uphold the delivery of high-quality services.</w:t>
      </w:r>
    </w:p>
    <w:p w14:paraId="05F71B81" w14:textId="1D20A584" w:rsidR="00E861AF" w:rsidRPr="00057E03" w:rsidRDefault="00E861AF" w:rsidP="00E861AF">
      <w:pPr>
        <w:pStyle w:val="Heading3"/>
      </w:pPr>
      <w:r w:rsidRPr="00057E03">
        <w:t>Philanthropy P</w:t>
      </w:r>
      <w:r w:rsidR="00BF00B3">
        <w:t xml:space="preserve">roductivity </w:t>
      </w:r>
      <w:r w:rsidRPr="00057E03">
        <w:t>C</w:t>
      </w:r>
      <w:r w:rsidR="00BF00B3">
        <w:t>ommission</w:t>
      </w:r>
      <w:r w:rsidRPr="00057E03">
        <w:t xml:space="preserve"> review</w:t>
      </w:r>
    </w:p>
    <w:p w14:paraId="73E6C9C6" w14:textId="77777777" w:rsidR="00E861AF" w:rsidRDefault="00E861AF" w:rsidP="00E861AF">
      <w:pPr>
        <w:spacing w:line="276" w:lineRule="auto"/>
      </w:pPr>
      <w:r>
        <w:rPr>
          <w:color w:val="000000"/>
        </w:rPr>
        <w:t xml:space="preserve">The government has committed to working with the philanthropic, NFP and business sectors to double philanthropic giving by 2030. It has asked the Productivity Commission to undertake an inquiry to analyse motivations for philanthropic giving in Australia and identify opportunities to grow it further. </w:t>
      </w:r>
      <w:r>
        <w:t>The Commission invited public submissions earlier this year and will release a draft report in late November 2023 setting out its interim analysis and findings for public comment and feedback. The Commission will provide a final report to government by 11 May 2024.</w:t>
      </w:r>
    </w:p>
    <w:p w14:paraId="48494661" w14:textId="7514CE8C" w:rsidR="004B5894" w:rsidRDefault="004B5894" w:rsidP="00C121D6">
      <w:pPr>
        <w:spacing w:before="120" w:line="276" w:lineRule="auto"/>
        <w:rPr>
          <w:rFonts w:cs="Arial"/>
          <w:color w:val="000000" w:themeColor="text1"/>
        </w:rPr>
      </w:pPr>
    </w:p>
    <w:p w14:paraId="3FD6FAC0" w14:textId="01D12C96"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b/>
          <w:kern w:val="0"/>
          <w:sz w:val="24"/>
          <w:szCs w:val="22"/>
          <w:u w:val="single"/>
          <w14:ligatures w14:val="none"/>
        </w:rPr>
      </w:pPr>
      <w:r w:rsidRPr="00B90D88">
        <w:rPr>
          <w:rFonts w:cs="Arial"/>
          <w:b/>
          <w:kern w:val="0"/>
          <w:sz w:val="24"/>
          <w:szCs w:val="22"/>
          <w:u w:val="single"/>
          <w14:ligatures w14:val="none"/>
        </w:rPr>
        <w:lastRenderedPageBreak/>
        <w:t>Indexation</w:t>
      </w:r>
    </w:p>
    <w:p w14:paraId="4143ECCE" w14:textId="6D19D2F8"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kern w:val="0"/>
          <w:sz w:val="24"/>
          <w:szCs w:val="22"/>
          <w14:ligatures w14:val="none"/>
        </w:rPr>
      </w:pPr>
      <w:r w:rsidRPr="00B90D88">
        <w:rPr>
          <w:rFonts w:cs="Arial"/>
          <w:kern w:val="0"/>
          <w:sz w:val="24"/>
          <w:szCs w:val="22"/>
          <w14:ligatures w14:val="none"/>
        </w:rPr>
        <w:t>Indexation is the process by which the forward cost estimates are updated to reflect the forecast economic conditions of the year in wh</w:t>
      </w:r>
      <w:r w:rsidR="00E973E1" w:rsidRPr="00B90D88">
        <w:rPr>
          <w:rFonts w:cs="Arial"/>
          <w:kern w:val="0"/>
          <w:sz w:val="24"/>
          <w:szCs w:val="22"/>
          <w14:ligatures w14:val="none"/>
        </w:rPr>
        <w:t>ich costs are expected to occur</w:t>
      </w:r>
      <w:r w:rsidRPr="00B90D88">
        <w:rPr>
          <w:rFonts w:cs="Arial"/>
          <w:kern w:val="0"/>
          <w:sz w:val="24"/>
          <w:szCs w:val="22"/>
          <w14:ligatures w14:val="none"/>
        </w:rPr>
        <w:t xml:space="preserve">. </w:t>
      </w:r>
      <w:r w:rsidR="00E973E1" w:rsidRPr="00B90D88">
        <w:rPr>
          <w:rStyle w:val="FootnoteReference"/>
          <w:rFonts w:cs="Arial"/>
        </w:rPr>
        <w:footnoteReference w:id="5"/>
      </w:r>
    </w:p>
    <w:p w14:paraId="65E07712" w14:textId="77777777"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kern w:val="0"/>
          <w:sz w:val="24"/>
          <w:szCs w:val="22"/>
          <w14:ligatures w14:val="none"/>
        </w:rPr>
      </w:pPr>
      <w:r w:rsidRPr="00B90D88">
        <w:rPr>
          <w:rFonts w:cs="Arial"/>
          <w:kern w:val="0"/>
          <w:sz w:val="24"/>
          <w:szCs w:val="22"/>
          <w14:ligatures w14:val="none"/>
        </w:rPr>
        <w:t xml:space="preserve">The application of indexation to a grant program, and the chosen indexation parameter, is a decision of the government. Indexation parameter updates may vary between grant programs and are not disclosed publicly. These updates may increase or decrease each year based on movements in Wage Cost Indices (WCIs) and Consumer Price Index (CPI). Using parameters like the CPI and the WCI ensure that funding keeps pace with changes in economic conditions. </w:t>
      </w:r>
    </w:p>
    <w:p w14:paraId="6F44DE61" w14:textId="77777777"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kern w:val="0"/>
          <w:sz w:val="24"/>
          <w:szCs w:val="22"/>
          <w14:ligatures w14:val="none"/>
        </w:rPr>
      </w:pPr>
      <w:r w:rsidRPr="00B90D88">
        <w:rPr>
          <w:rFonts w:cs="Arial"/>
          <w:kern w:val="0"/>
          <w:sz w:val="24"/>
          <w:szCs w:val="22"/>
          <w14:ligatures w14:val="none"/>
        </w:rPr>
        <w:t xml:space="preserve">Indexation funding increases help organisations address cost and wage pressures. Funding for a range of government programs, including major programs such as the Medicare Benefits Schedule, aged care home support programs, and programs that fund CSOs is indexed for wage and price growth. This long-standing framework, implemented in 1996, uses indices that are a weighted average of movements in prices and wages, and include an incentive for programs to improve their efficiency over time. </w:t>
      </w:r>
    </w:p>
    <w:p w14:paraId="40141E35" w14:textId="77777777"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kern w:val="0"/>
          <w:sz w:val="24"/>
          <w:szCs w:val="22"/>
          <w14:ligatures w14:val="none"/>
        </w:rPr>
      </w:pPr>
      <w:r w:rsidRPr="00B90D88">
        <w:rPr>
          <w:rFonts w:cs="Arial"/>
          <w:kern w:val="0"/>
          <w:sz w:val="24"/>
          <w:szCs w:val="22"/>
          <w14:ligatures w14:val="none"/>
        </w:rPr>
        <w:t xml:space="preserve">The wages growth component of the index has been updated to growth in the Wage Price Index (a measure not available in 1996) and the previous arrangement to average the wage component over a 5-year period has been removed. A productivity offset remains in place, based on the long run rate of productivity growth that underlies the Budget medium term forecasts. This revised framework will provide additional indexation funding for organisations, including CSOs, above the indexation increase which would otherwise have been delivered in the 2023–24 Budget. Over the period ahead, it will provide indexation to these programs that is more closely aligned with current economic conditions.   </w:t>
      </w:r>
    </w:p>
    <w:p w14:paraId="3567043F" w14:textId="5ED7B18A" w:rsidR="004B5894" w:rsidRPr="00B90D88" w:rsidRDefault="004B5894" w:rsidP="00E861AF">
      <w:pPr>
        <w:keepNext/>
        <w:keepLines/>
        <w:pBdr>
          <w:top w:val="single" w:sz="4" w:space="1" w:color="auto"/>
          <w:left w:val="single" w:sz="4" w:space="4" w:color="auto"/>
          <w:bottom w:val="single" w:sz="4" w:space="1" w:color="auto"/>
          <w:right w:val="single" w:sz="4" w:space="4" w:color="auto"/>
        </w:pBdr>
        <w:shd w:val="clear" w:color="auto" w:fill="DDF9FF"/>
        <w:spacing w:before="120"/>
        <w:rPr>
          <w:rFonts w:cs="Arial"/>
          <w:kern w:val="0"/>
          <w:sz w:val="24"/>
          <w:szCs w:val="22"/>
          <w14:ligatures w14:val="none"/>
        </w:rPr>
      </w:pPr>
      <w:r w:rsidRPr="00B90D88">
        <w:rPr>
          <w:rFonts w:cs="Arial"/>
          <w:kern w:val="0"/>
          <w:sz w:val="24"/>
          <w:szCs w:val="22"/>
          <w14:ligatures w14:val="none"/>
        </w:rPr>
        <w:t>As a result of this update, payments are expected to increase by $242 million in 2023–24 and around $4 billion over the 4 years from 2023–24 to 2026–27, reflecting a revision to the indexation methodology to ensure it better aligns with economic conditions. The movements in individual payments are reflected in the estimates for these programs.</w:t>
      </w:r>
    </w:p>
    <w:p w14:paraId="2091F7E4" w14:textId="36944CE3" w:rsidR="005C6EB8" w:rsidRPr="00E5620F" w:rsidRDefault="005C6EB8" w:rsidP="00437102">
      <w:pPr>
        <w:pStyle w:val="Heading3"/>
      </w:pPr>
      <w:r w:rsidRPr="00E5620F">
        <w:t xml:space="preserve">What </w:t>
      </w:r>
      <w:r w:rsidR="00193563" w:rsidRPr="00E5620F">
        <w:t xml:space="preserve">the department </w:t>
      </w:r>
      <w:r w:rsidRPr="00E5620F">
        <w:t>ha</w:t>
      </w:r>
      <w:r w:rsidR="00193563" w:rsidRPr="00E5620F">
        <w:t>s</w:t>
      </w:r>
      <w:r w:rsidRPr="00E5620F">
        <w:t xml:space="preserve"> heard</w:t>
      </w:r>
    </w:p>
    <w:p w14:paraId="19387453" w14:textId="1008B352" w:rsidR="005C6EB8" w:rsidRPr="00AA7A10" w:rsidRDefault="005C6EB8" w:rsidP="00740432">
      <w:pPr>
        <w:spacing w:line="276" w:lineRule="auto"/>
        <w:rPr>
          <w:rFonts w:cs="Arial"/>
          <w:color w:val="000000" w:themeColor="text1"/>
          <w:szCs w:val="22"/>
        </w:rPr>
      </w:pPr>
      <w:r w:rsidRPr="00AA7A10">
        <w:rPr>
          <w:rFonts w:cs="Arial"/>
          <w:color w:val="000000" w:themeColor="text1"/>
          <w:szCs w:val="22"/>
        </w:rPr>
        <w:t xml:space="preserve">The community sector has </w:t>
      </w:r>
      <w:r w:rsidR="00CE1E53" w:rsidRPr="00AA7A10">
        <w:rPr>
          <w:rFonts w:cs="Arial"/>
          <w:color w:val="000000" w:themeColor="text1"/>
          <w:szCs w:val="22"/>
        </w:rPr>
        <w:t>specifically</w:t>
      </w:r>
      <w:r w:rsidRPr="00AA7A10">
        <w:rPr>
          <w:rFonts w:cs="Arial"/>
          <w:color w:val="000000" w:themeColor="text1"/>
          <w:szCs w:val="22"/>
        </w:rPr>
        <w:t xml:space="preserve"> expressed concern about the efficacy of existing grant programs and their ability to:</w:t>
      </w:r>
    </w:p>
    <w:p w14:paraId="181BDD34" w14:textId="60D2A8E4" w:rsidR="005C6EB8"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adequately cover the</w:t>
      </w:r>
      <w:r w:rsidR="00CB46A6" w:rsidRPr="00AA7A10">
        <w:rPr>
          <w:rFonts w:eastAsia="Times New Roman"/>
          <w:iCs/>
          <w:color w:val="000000" w:themeColor="text1"/>
          <w:spacing w:val="2"/>
          <w:sz w:val="22"/>
          <w:szCs w:val="22"/>
        </w:rPr>
        <w:t xml:space="preserve"> full and</w:t>
      </w:r>
      <w:r w:rsidRPr="00AA7A10">
        <w:rPr>
          <w:rFonts w:eastAsia="Times New Roman"/>
          <w:iCs/>
          <w:color w:val="000000" w:themeColor="text1"/>
          <w:spacing w:val="2"/>
          <w:sz w:val="22"/>
          <w:szCs w:val="22"/>
        </w:rPr>
        <w:t xml:space="preserve"> rising costs and administrative and resourcing burden on CSOs</w:t>
      </w:r>
      <w:r w:rsidR="00E20168">
        <w:rPr>
          <w:rFonts w:eastAsia="Times New Roman"/>
          <w:iCs/>
          <w:color w:val="000000" w:themeColor="text1"/>
          <w:spacing w:val="2"/>
          <w:sz w:val="22"/>
          <w:szCs w:val="22"/>
        </w:rPr>
        <w:t>,</w:t>
      </w:r>
      <w:r w:rsidR="005315EF" w:rsidRPr="00AA7A10">
        <w:rPr>
          <w:rFonts w:eastAsia="Times New Roman"/>
          <w:iCs/>
          <w:color w:val="000000" w:themeColor="text1"/>
          <w:spacing w:val="2"/>
          <w:sz w:val="22"/>
          <w:szCs w:val="22"/>
        </w:rPr>
        <w:t xml:space="preserve"> such as compliance and training requirements</w:t>
      </w:r>
      <w:r w:rsidRPr="00AA7A10">
        <w:rPr>
          <w:rFonts w:eastAsia="Times New Roman"/>
          <w:iCs/>
          <w:color w:val="000000" w:themeColor="text1"/>
          <w:spacing w:val="2"/>
          <w:sz w:val="22"/>
          <w:szCs w:val="22"/>
        </w:rPr>
        <w:t xml:space="preserve">, which impacts their ability to provide quality service delivery and deliver on </w:t>
      </w:r>
      <w:r w:rsidR="00C8140C" w:rsidRPr="00AA7A10">
        <w:rPr>
          <w:rFonts w:eastAsia="Times New Roman"/>
          <w:iCs/>
          <w:color w:val="000000" w:themeColor="text1"/>
          <w:spacing w:val="2"/>
          <w:sz w:val="22"/>
          <w:szCs w:val="22"/>
        </w:rPr>
        <w:t>g</w:t>
      </w:r>
      <w:r w:rsidRPr="00AA7A10">
        <w:rPr>
          <w:rFonts w:eastAsia="Times New Roman"/>
          <w:iCs/>
          <w:color w:val="000000" w:themeColor="text1"/>
          <w:spacing w:val="2"/>
          <w:sz w:val="22"/>
          <w:szCs w:val="22"/>
        </w:rPr>
        <w:t>overnment outcomes</w:t>
      </w:r>
    </w:p>
    <w:p w14:paraId="02A29A47" w14:textId="379AB628" w:rsidR="005C6EB8"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respond </w:t>
      </w:r>
      <w:r w:rsidR="00CB46A6" w:rsidRPr="00AA7A10">
        <w:rPr>
          <w:rFonts w:eastAsia="Times New Roman"/>
          <w:iCs/>
          <w:color w:val="000000" w:themeColor="text1"/>
          <w:spacing w:val="2"/>
          <w:sz w:val="22"/>
          <w:szCs w:val="22"/>
        </w:rPr>
        <w:t xml:space="preserve">to increasing </w:t>
      </w:r>
      <w:r w:rsidRPr="00AA7A10">
        <w:rPr>
          <w:rFonts w:eastAsia="Times New Roman"/>
          <w:iCs/>
          <w:color w:val="000000" w:themeColor="text1"/>
          <w:spacing w:val="2"/>
          <w:sz w:val="22"/>
          <w:szCs w:val="22"/>
        </w:rPr>
        <w:t xml:space="preserve">demand for support and services from the community </w:t>
      </w:r>
    </w:p>
    <w:p w14:paraId="258DD794" w14:textId="48FA5C3D" w:rsidR="005C6EB8"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support long-term planning to achieve longer-term, sustained solutions for </w:t>
      </w:r>
      <w:r w:rsidR="00202590" w:rsidRPr="00AA7A10">
        <w:rPr>
          <w:rFonts w:eastAsia="Times New Roman"/>
          <w:iCs/>
          <w:color w:val="000000" w:themeColor="text1"/>
          <w:spacing w:val="2"/>
          <w:sz w:val="22"/>
          <w:szCs w:val="22"/>
        </w:rPr>
        <w:t xml:space="preserve">people </w:t>
      </w:r>
      <w:r w:rsidR="00C815C1" w:rsidRPr="00AA7A10">
        <w:rPr>
          <w:rFonts w:eastAsia="Times New Roman"/>
          <w:iCs/>
          <w:color w:val="000000" w:themeColor="text1"/>
          <w:spacing w:val="2"/>
          <w:sz w:val="22"/>
          <w:szCs w:val="22"/>
        </w:rPr>
        <w:t xml:space="preserve">receiving services, particularly for those </w:t>
      </w:r>
      <w:r w:rsidR="00202590" w:rsidRPr="00AA7A10">
        <w:rPr>
          <w:rFonts w:eastAsia="Times New Roman"/>
          <w:iCs/>
          <w:color w:val="000000" w:themeColor="text1"/>
          <w:spacing w:val="2"/>
          <w:sz w:val="22"/>
          <w:szCs w:val="22"/>
        </w:rPr>
        <w:t>experiencing poverty, disadvantage and hardship</w:t>
      </w:r>
      <w:r w:rsidRPr="00AA7A10">
        <w:rPr>
          <w:rFonts w:eastAsia="Times New Roman"/>
          <w:iCs/>
          <w:color w:val="000000" w:themeColor="text1"/>
          <w:spacing w:val="2"/>
          <w:sz w:val="22"/>
          <w:szCs w:val="22"/>
        </w:rPr>
        <w:t>.</w:t>
      </w:r>
    </w:p>
    <w:p w14:paraId="47B1784F" w14:textId="77777777" w:rsidR="00E973E1" w:rsidRPr="00AA7A10" w:rsidRDefault="00E973E1" w:rsidP="00E973E1">
      <w:pPr>
        <w:pStyle w:val="Default"/>
        <w:spacing w:line="276" w:lineRule="auto"/>
        <w:ind w:left="720"/>
        <w:rPr>
          <w:rFonts w:eastAsia="Times New Roman"/>
          <w:iCs/>
          <w:color w:val="000000" w:themeColor="text1"/>
          <w:spacing w:val="2"/>
          <w:sz w:val="22"/>
          <w:szCs w:val="22"/>
        </w:rPr>
      </w:pPr>
    </w:p>
    <w:p w14:paraId="29C5CB79" w14:textId="5C6ECB57" w:rsidR="005C6EB8" w:rsidRPr="00AA7A10" w:rsidRDefault="005C6EB8" w:rsidP="000915F8">
      <w:pPr>
        <w:spacing w:line="276" w:lineRule="auto"/>
        <w:rPr>
          <w:rFonts w:cs="Arial"/>
          <w:color w:val="000000" w:themeColor="text1"/>
          <w:szCs w:val="22"/>
        </w:rPr>
      </w:pPr>
      <w:r w:rsidRPr="00AA7A10">
        <w:rPr>
          <w:rFonts w:cs="Arial"/>
          <w:color w:val="000000" w:themeColor="text1"/>
          <w:szCs w:val="22"/>
        </w:rPr>
        <w:t xml:space="preserve">In particular, the community sector has raised concerns that grant funding </w:t>
      </w:r>
      <w:r w:rsidR="00A32E70" w:rsidRPr="00AA7A10">
        <w:rPr>
          <w:rFonts w:cs="Arial"/>
          <w:color w:val="000000" w:themeColor="text1"/>
          <w:szCs w:val="22"/>
        </w:rPr>
        <w:t>can be</w:t>
      </w:r>
      <w:r w:rsidRPr="00AA7A10">
        <w:rPr>
          <w:rFonts w:cs="Arial"/>
          <w:color w:val="000000" w:themeColor="text1"/>
          <w:szCs w:val="22"/>
        </w:rPr>
        <w:t xml:space="preserve"> restrictive</w:t>
      </w:r>
      <w:r w:rsidR="00D35F22" w:rsidRPr="00AA7A10">
        <w:rPr>
          <w:rFonts w:cs="Arial"/>
          <w:color w:val="000000" w:themeColor="text1"/>
          <w:szCs w:val="22"/>
        </w:rPr>
        <w:t>,</w:t>
      </w:r>
      <w:r w:rsidRPr="00AA7A10">
        <w:rPr>
          <w:rFonts w:cs="Arial"/>
          <w:color w:val="000000" w:themeColor="text1"/>
          <w:szCs w:val="22"/>
        </w:rPr>
        <w:t xml:space="preserve"> limit</w:t>
      </w:r>
      <w:r w:rsidR="00A32E70" w:rsidRPr="00AA7A10">
        <w:rPr>
          <w:rFonts w:cs="Arial"/>
          <w:color w:val="000000" w:themeColor="text1"/>
          <w:szCs w:val="22"/>
        </w:rPr>
        <w:t>ing</w:t>
      </w:r>
      <w:r w:rsidRPr="00AA7A10">
        <w:rPr>
          <w:rFonts w:cs="Arial"/>
          <w:color w:val="000000" w:themeColor="text1"/>
          <w:szCs w:val="22"/>
        </w:rPr>
        <w:t xml:space="preserve"> their ability to distribute funding within their organisations to areas </w:t>
      </w:r>
      <w:r w:rsidR="00A32E70" w:rsidRPr="00AA7A10">
        <w:rPr>
          <w:rFonts w:cs="Arial"/>
          <w:color w:val="000000" w:themeColor="text1"/>
          <w:szCs w:val="22"/>
        </w:rPr>
        <w:t xml:space="preserve">or services </w:t>
      </w:r>
      <w:r w:rsidRPr="00AA7A10">
        <w:rPr>
          <w:rFonts w:cs="Arial"/>
          <w:color w:val="000000" w:themeColor="text1"/>
          <w:szCs w:val="22"/>
        </w:rPr>
        <w:t>where it is needed</w:t>
      </w:r>
      <w:r w:rsidR="000617A1">
        <w:rPr>
          <w:rFonts w:cs="Arial"/>
          <w:color w:val="000000" w:themeColor="text1"/>
          <w:szCs w:val="22"/>
        </w:rPr>
        <w:t>.</w:t>
      </w:r>
      <w:r w:rsidRPr="00AA7A10">
        <w:rPr>
          <w:rFonts w:cs="Arial"/>
          <w:color w:val="000000" w:themeColor="text1"/>
          <w:szCs w:val="22"/>
        </w:rPr>
        <w:t xml:space="preserve"> </w:t>
      </w:r>
      <w:r w:rsidR="000617A1">
        <w:rPr>
          <w:rFonts w:cs="Arial"/>
          <w:color w:val="000000" w:themeColor="text1"/>
          <w:szCs w:val="22"/>
        </w:rPr>
        <w:t>This includes</w:t>
      </w:r>
      <w:r w:rsidRPr="00AA7A10">
        <w:rPr>
          <w:rFonts w:cs="Arial"/>
          <w:color w:val="000000" w:themeColor="text1"/>
          <w:szCs w:val="22"/>
        </w:rPr>
        <w:t xml:space="preserve"> cover</w:t>
      </w:r>
      <w:r w:rsidR="000617A1">
        <w:rPr>
          <w:rFonts w:cs="Arial"/>
          <w:color w:val="000000" w:themeColor="text1"/>
          <w:szCs w:val="22"/>
        </w:rPr>
        <w:t>ing</w:t>
      </w:r>
      <w:r w:rsidRPr="00AA7A10">
        <w:rPr>
          <w:rFonts w:cs="Arial"/>
          <w:color w:val="000000" w:themeColor="text1"/>
          <w:szCs w:val="22"/>
        </w:rPr>
        <w:t xml:space="preserve"> higher administrative, wage and operational costs</w:t>
      </w:r>
      <w:r w:rsidR="00A32E70" w:rsidRPr="00AA7A10">
        <w:rPr>
          <w:rFonts w:cs="Arial"/>
          <w:color w:val="000000" w:themeColor="text1"/>
          <w:szCs w:val="22"/>
        </w:rPr>
        <w:t xml:space="preserve"> and between services where higher demand exists</w:t>
      </w:r>
      <w:r w:rsidRPr="00AA7A10">
        <w:rPr>
          <w:rFonts w:cs="Arial"/>
          <w:color w:val="000000" w:themeColor="text1"/>
          <w:szCs w:val="22"/>
        </w:rPr>
        <w:t>.</w:t>
      </w:r>
    </w:p>
    <w:p w14:paraId="748F7FF9" w14:textId="1EAF259D" w:rsidR="00E03386" w:rsidRPr="00BF00B3" w:rsidRDefault="005C6EB8" w:rsidP="00E20168">
      <w:pPr>
        <w:pStyle w:val="Quote"/>
      </w:pPr>
      <w:r w:rsidRPr="002A537F">
        <w:t xml:space="preserve">Cost-of-living increases over the last few years and a spiralling housing affordability crisis have meant more and more people are turning to the community </w:t>
      </w:r>
      <w:r w:rsidRPr="002A537F">
        <w:lastRenderedPageBreak/>
        <w:t>sector for support. Without adequate funding to sustainably staff our organisations, vulnerable community members are being turned away.</w:t>
      </w:r>
    </w:p>
    <w:p w14:paraId="7CB53513" w14:textId="7B302889" w:rsidR="00E10CAA" w:rsidRPr="00437102" w:rsidRDefault="004D262C">
      <w:pPr>
        <w:pStyle w:val="Quote"/>
        <w:rPr>
          <w:szCs w:val="22"/>
        </w:rPr>
      </w:pPr>
      <w:hyperlink r:id="rId51" w:history="1">
        <w:r w:rsidR="005C6EB8" w:rsidRPr="0050765C">
          <w:rPr>
            <w:rStyle w:val="Hyperlink"/>
            <w:i w:val="0"/>
            <w:szCs w:val="22"/>
          </w:rPr>
          <w:t>Chief Executive Officer, ACT Council of Social Services</w:t>
        </w:r>
      </w:hyperlink>
    </w:p>
    <w:p w14:paraId="1158578A" w14:textId="1D9DEAD2" w:rsidR="00D35F22" w:rsidRPr="00437102" w:rsidRDefault="005C6EB8" w:rsidP="00437102">
      <w:pPr>
        <w:spacing w:line="276" w:lineRule="auto"/>
        <w:rPr>
          <w:rFonts w:cs="Arial"/>
          <w:szCs w:val="22"/>
        </w:rPr>
      </w:pPr>
      <w:r w:rsidRPr="00AA7A10">
        <w:rPr>
          <w:rFonts w:cs="Arial"/>
          <w:szCs w:val="22"/>
        </w:rPr>
        <w:t>Some community sector stakeholders are also concerned about</w:t>
      </w:r>
      <w:r w:rsidR="00464F1A" w:rsidRPr="00AA7A10">
        <w:rPr>
          <w:rFonts w:cs="Arial"/>
          <w:szCs w:val="22"/>
        </w:rPr>
        <w:t xml:space="preserve"> the application of</w:t>
      </w:r>
      <w:r w:rsidRPr="00AA7A10">
        <w:rPr>
          <w:rFonts w:cs="Arial"/>
          <w:szCs w:val="22"/>
        </w:rPr>
        <w:t xml:space="preserve"> indexation. Indexation arrangements within longer</w:t>
      </w:r>
      <w:r w:rsidR="004B0946" w:rsidRPr="00AA7A10">
        <w:rPr>
          <w:rFonts w:cs="Arial"/>
          <w:szCs w:val="22"/>
        </w:rPr>
        <w:t>-</w:t>
      </w:r>
      <w:r w:rsidRPr="00AA7A10">
        <w:rPr>
          <w:rFonts w:cs="Arial"/>
          <w:szCs w:val="22"/>
        </w:rPr>
        <w:t xml:space="preserve">term </w:t>
      </w:r>
      <w:r w:rsidR="00580E9D" w:rsidRPr="00AA7A10">
        <w:rPr>
          <w:rFonts w:cs="Arial"/>
          <w:szCs w:val="22"/>
        </w:rPr>
        <w:t>grant</w:t>
      </w:r>
      <w:r w:rsidRPr="00AA7A10">
        <w:rPr>
          <w:rFonts w:cs="Arial"/>
          <w:szCs w:val="22"/>
        </w:rPr>
        <w:t xml:space="preserve"> funding agreements is important for CSOs</w:t>
      </w:r>
      <w:r w:rsidR="006B48E4" w:rsidRPr="00AA7A10">
        <w:rPr>
          <w:rFonts w:cs="Arial"/>
          <w:szCs w:val="22"/>
        </w:rPr>
        <w:t xml:space="preserve"> as it </w:t>
      </w:r>
      <w:r w:rsidR="00D35F22" w:rsidRPr="00AA7A10">
        <w:rPr>
          <w:rFonts w:cs="Arial"/>
          <w:szCs w:val="22"/>
        </w:rPr>
        <w:t>helps</w:t>
      </w:r>
      <w:r w:rsidR="006B48E4" w:rsidRPr="00AA7A10">
        <w:rPr>
          <w:rFonts w:cs="Arial"/>
          <w:szCs w:val="22"/>
        </w:rPr>
        <w:t xml:space="preserve"> them to meet the increased costs of delivering services</w:t>
      </w:r>
      <w:r w:rsidRPr="00AA7A10">
        <w:rPr>
          <w:rFonts w:cs="Arial"/>
          <w:szCs w:val="22"/>
        </w:rPr>
        <w:t xml:space="preserve">. </w:t>
      </w:r>
      <w:r w:rsidR="00D35F22" w:rsidRPr="00437102">
        <w:rPr>
          <w:rFonts w:cs="Arial"/>
          <w:szCs w:val="22"/>
        </w:rPr>
        <w:t>The ACOSS 2022 Community Sector Survey found that only 6</w:t>
      </w:r>
      <w:r w:rsidR="00E03386" w:rsidRPr="00AA7A10">
        <w:rPr>
          <w:rFonts w:cs="Arial"/>
          <w:szCs w:val="22"/>
        </w:rPr>
        <w:t xml:space="preserve">% </w:t>
      </w:r>
      <w:r w:rsidR="00D35F22" w:rsidRPr="00437102">
        <w:rPr>
          <w:rFonts w:cs="Arial"/>
          <w:szCs w:val="22"/>
        </w:rPr>
        <w:t>of community sector leaders perceived indexation arrangements to be adequate</w:t>
      </w:r>
      <w:r w:rsidR="000617A1">
        <w:rPr>
          <w:rStyle w:val="FootnoteReference"/>
          <w:rFonts w:cs="Arial"/>
          <w:szCs w:val="22"/>
        </w:rPr>
        <w:footnoteReference w:id="6"/>
      </w:r>
      <w:r w:rsidR="00D35F22" w:rsidRPr="00437102">
        <w:rPr>
          <w:rFonts w:cs="Arial"/>
          <w:szCs w:val="22"/>
        </w:rPr>
        <w:t>.</w:t>
      </w:r>
    </w:p>
    <w:p w14:paraId="4F78172B" w14:textId="3E6EC6AE" w:rsidR="00170B25" w:rsidRPr="00E861AF" w:rsidRDefault="00F82C11" w:rsidP="00D72498">
      <w:pPr>
        <w:spacing w:line="276" w:lineRule="auto"/>
        <w:rPr>
          <w:rFonts w:cs="Arial"/>
          <w:szCs w:val="22"/>
        </w:rPr>
      </w:pPr>
      <w:r w:rsidRPr="00AA7A10">
        <w:rPr>
          <w:rFonts w:cs="Arial"/>
          <w:szCs w:val="22"/>
        </w:rPr>
        <w:t>Even though</w:t>
      </w:r>
      <w:r w:rsidR="005C6EB8" w:rsidRPr="00AA7A10">
        <w:rPr>
          <w:rFonts w:cs="Arial"/>
          <w:szCs w:val="22"/>
        </w:rPr>
        <w:t xml:space="preserve"> the community sector </w:t>
      </w:r>
      <w:r w:rsidRPr="00AA7A10">
        <w:rPr>
          <w:rFonts w:cs="Arial"/>
          <w:szCs w:val="22"/>
        </w:rPr>
        <w:t xml:space="preserve">has welcomed </w:t>
      </w:r>
      <w:r w:rsidR="0084649B" w:rsidRPr="00AA7A10">
        <w:rPr>
          <w:rFonts w:cs="Arial"/>
          <w:szCs w:val="22"/>
        </w:rPr>
        <w:t>the</w:t>
      </w:r>
      <w:r w:rsidR="00833F56" w:rsidRPr="00AA7A10">
        <w:rPr>
          <w:rFonts w:cs="Arial"/>
          <w:szCs w:val="22"/>
        </w:rPr>
        <w:t xml:space="preserve"> recent</w:t>
      </w:r>
      <w:r w:rsidR="0084649B" w:rsidRPr="00AA7A10">
        <w:rPr>
          <w:rFonts w:cs="Arial"/>
          <w:szCs w:val="22"/>
        </w:rPr>
        <w:t xml:space="preserve"> changes</w:t>
      </w:r>
      <w:r w:rsidR="00560607" w:rsidRPr="00AA7A10">
        <w:rPr>
          <w:rFonts w:cs="Arial"/>
          <w:szCs w:val="22"/>
        </w:rPr>
        <w:t xml:space="preserve"> to the indexation parameter</w:t>
      </w:r>
      <w:r w:rsidR="000F2098" w:rsidRPr="00AA7A10">
        <w:rPr>
          <w:rFonts w:cs="Arial"/>
          <w:szCs w:val="22"/>
        </w:rPr>
        <w:t>,</w:t>
      </w:r>
      <w:r w:rsidR="00833F56" w:rsidRPr="00AA7A10">
        <w:rPr>
          <w:rFonts w:cs="Arial"/>
          <w:szCs w:val="22"/>
        </w:rPr>
        <w:t xml:space="preserve"> </w:t>
      </w:r>
      <w:r w:rsidRPr="00AA7A10">
        <w:rPr>
          <w:rFonts w:cs="Arial"/>
          <w:szCs w:val="22"/>
        </w:rPr>
        <w:t>it</w:t>
      </w:r>
      <w:r w:rsidR="005C6EB8" w:rsidRPr="00AA7A10">
        <w:rPr>
          <w:rFonts w:cs="Arial"/>
          <w:szCs w:val="22"/>
        </w:rPr>
        <w:t xml:space="preserve"> wants more transparency about </w:t>
      </w:r>
      <w:r w:rsidR="00285718" w:rsidRPr="00AA7A10">
        <w:rPr>
          <w:rFonts w:cs="Arial"/>
          <w:szCs w:val="22"/>
        </w:rPr>
        <w:t xml:space="preserve">the application and calculation of </w:t>
      </w:r>
      <w:r w:rsidR="005C6EB8" w:rsidRPr="00AA7A10">
        <w:rPr>
          <w:rFonts w:cs="Arial"/>
          <w:szCs w:val="22"/>
        </w:rPr>
        <w:t xml:space="preserve">indexation </w:t>
      </w:r>
      <w:r w:rsidR="00285718" w:rsidRPr="00AA7A10">
        <w:rPr>
          <w:rFonts w:cs="Arial"/>
          <w:szCs w:val="22"/>
        </w:rPr>
        <w:t xml:space="preserve">on grants </w:t>
      </w:r>
      <w:r w:rsidR="005C6EB8" w:rsidRPr="00AA7A10">
        <w:rPr>
          <w:rFonts w:cs="Arial"/>
          <w:szCs w:val="22"/>
        </w:rPr>
        <w:t xml:space="preserve">so they can better plan for </w:t>
      </w:r>
      <w:r w:rsidR="009A6354" w:rsidRPr="00AA7A10">
        <w:rPr>
          <w:rFonts w:cs="Arial"/>
          <w:szCs w:val="22"/>
        </w:rPr>
        <w:t xml:space="preserve">using </w:t>
      </w:r>
      <w:r w:rsidR="005C6EB8" w:rsidRPr="00AA7A10">
        <w:rPr>
          <w:rFonts w:cs="Arial"/>
          <w:szCs w:val="22"/>
        </w:rPr>
        <w:t>these funds.</w:t>
      </w:r>
      <w:r w:rsidR="00D35F22" w:rsidRPr="00AA7A10">
        <w:rPr>
          <w:rFonts w:cs="Arial"/>
          <w:szCs w:val="22"/>
        </w:rPr>
        <w:t xml:space="preserve"> Specifically, the</w:t>
      </w:r>
      <w:r w:rsidR="0083425A" w:rsidRPr="00AA7A10">
        <w:rPr>
          <w:rFonts w:cs="Arial"/>
          <w:szCs w:val="22"/>
        </w:rPr>
        <w:t xml:space="preserve"> </w:t>
      </w:r>
      <w:r w:rsidR="00D35F22" w:rsidRPr="00AA7A10">
        <w:rPr>
          <w:rFonts w:cs="Arial"/>
          <w:szCs w:val="22"/>
        </w:rPr>
        <w:t xml:space="preserve">indexation rate and amount are not visible to </w:t>
      </w:r>
      <w:r w:rsidR="000F4B53" w:rsidRPr="00AA7A10">
        <w:rPr>
          <w:rFonts w:cs="Arial"/>
          <w:szCs w:val="22"/>
        </w:rPr>
        <w:t>CSOs</w:t>
      </w:r>
      <w:r w:rsidR="00D35F22" w:rsidRPr="00AA7A10">
        <w:rPr>
          <w:rFonts w:cs="Arial"/>
          <w:szCs w:val="22"/>
        </w:rPr>
        <w:t xml:space="preserve">, as these figures are not publicly available data. </w:t>
      </w:r>
      <w:r w:rsidR="00170B25" w:rsidRPr="00AA7A10">
        <w:rPr>
          <w:rFonts w:cs="Arial"/>
          <w:szCs w:val="22"/>
        </w:rPr>
        <w:t xml:space="preserve">To further complicate </w:t>
      </w:r>
      <w:r w:rsidR="00C141E8" w:rsidRPr="00AA7A10">
        <w:rPr>
          <w:rFonts w:cs="Arial"/>
          <w:szCs w:val="22"/>
        </w:rPr>
        <w:t>planning around</w:t>
      </w:r>
      <w:r w:rsidR="00170B25" w:rsidRPr="00AA7A10">
        <w:rPr>
          <w:rFonts w:cs="Arial"/>
          <w:szCs w:val="22"/>
        </w:rPr>
        <w:t xml:space="preserve"> indexation, states and territories use </w:t>
      </w:r>
      <w:r w:rsidR="00170B25" w:rsidRPr="00E861AF">
        <w:rPr>
          <w:rFonts w:cs="Arial"/>
          <w:szCs w:val="22"/>
        </w:rPr>
        <w:t xml:space="preserve">different methodologies to calculate indexation rates. </w:t>
      </w:r>
    </w:p>
    <w:p w14:paraId="61F38569" w14:textId="19A93AA3" w:rsidR="00D35F22" w:rsidRPr="00E861AF" w:rsidRDefault="000061A3" w:rsidP="000061A3">
      <w:pPr>
        <w:spacing w:line="276" w:lineRule="auto"/>
        <w:rPr>
          <w:rFonts w:cs="Arial"/>
          <w:szCs w:val="22"/>
        </w:rPr>
      </w:pPr>
      <w:r w:rsidRPr="000061A3">
        <w:rPr>
          <w:rFonts w:cs="Arial"/>
          <w:szCs w:val="22"/>
        </w:rPr>
        <w:t>Some CSOs have expressed concerns regarding the programs that are ineligible for supplementation</w:t>
      </w:r>
      <w:r w:rsidR="00D65EEF">
        <w:rPr>
          <w:rFonts w:cs="Arial"/>
          <w:szCs w:val="22"/>
        </w:rPr>
        <w:t>,</w:t>
      </w:r>
      <w:r w:rsidRPr="000061A3">
        <w:rPr>
          <w:rFonts w:cs="Arial"/>
          <w:szCs w:val="22"/>
        </w:rPr>
        <w:t xml:space="preserve"> </w:t>
      </w:r>
      <w:r w:rsidR="000421DB">
        <w:rPr>
          <w:rFonts w:cs="Arial"/>
          <w:szCs w:val="22"/>
        </w:rPr>
        <w:t>including</w:t>
      </w:r>
      <w:r w:rsidRPr="000061A3">
        <w:rPr>
          <w:rFonts w:cs="Arial"/>
          <w:szCs w:val="22"/>
        </w:rPr>
        <w:t xml:space="preserve"> programs that are jointly funded with a state or territory government. </w:t>
      </w:r>
      <w:r w:rsidR="009A6354" w:rsidRPr="00E861AF">
        <w:rPr>
          <w:rFonts w:cs="Arial"/>
          <w:szCs w:val="22"/>
        </w:rPr>
        <w:t>CSOs have also said that t</w:t>
      </w:r>
      <w:r w:rsidR="004B0946" w:rsidRPr="00E861AF">
        <w:rPr>
          <w:rFonts w:cs="Arial"/>
          <w:szCs w:val="22"/>
        </w:rPr>
        <w:t>he t</w:t>
      </w:r>
      <w:r w:rsidR="00D35F22" w:rsidRPr="00E861AF">
        <w:rPr>
          <w:rFonts w:cs="Arial"/>
          <w:szCs w:val="22"/>
        </w:rPr>
        <w:t xml:space="preserve">iming of </w:t>
      </w:r>
      <w:r w:rsidR="00170B25" w:rsidRPr="00E861AF">
        <w:rPr>
          <w:rFonts w:cs="Arial"/>
          <w:szCs w:val="22"/>
        </w:rPr>
        <w:t xml:space="preserve">the payment for </w:t>
      </w:r>
      <w:r w:rsidR="00D35F22" w:rsidRPr="00E861AF">
        <w:rPr>
          <w:rFonts w:cs="Arial"/>
          <w:szCs w:val="22"/>
        </w:rPr>
        <w:t xml:space="preserve">supplementation is too late. Payments are generally provided by </w:t>
      </w:r>
      <w:r w:rsidR="00624338" w:rsidRPr="00E861AF">
        <w:rPr>
          <w:rFonts w:cs="Arial"/>
          <w:szCs w:val="22"/>
        </w:rPr>
        <w:t>the department</w:t>
      </w:r>
      <w:r w:rsidR="00D35F22" w:rsidRPr="00E861AF">
        <w:rPr>
          <w:rFonts w:cs="Arial"/>
          <w:szCs w:val="22"/>
        </w:rPr>
        <w:t xml:space="preserve"> around December each year. </w:t>
      </w:r>
      <w:r w:rsidR="00624338" w:rsidRPr="00E861AF">
        <w:rPr>
          <w:rFonts w:cs="Arial"/>
          <w:szCs w:val="22"/>
        </w:rPr>
        <w:t xml:space="preserve">The department </w:t>
      </w:r>
      <w:r w:rsidR="00D35F22" w:rsidRPr="00E861AF">
        <w:rPr>
          <w:rFonts w:cs="Arial"/>
          <w:szCs w:val="22"/>
        </w:rPr>
        <w:t xml:space="preserve">is updating procedures for passing on increases to allow additional funds to be disbursed within the first quarter of each financial year. </w:t>
      </w:r>
    </w:p>
    <w:p w14:paraId="0644ABA3" w14:textId="5D7B691D" w:rsidR="00BD54CD" w:rsidRPr="00057E03" w:rsidRDefault="00BD54CD" w:rsidP="00437102">
      <w:pPr>
        <w:pStyle w:val="Heading4"/>
      </w:pPr>
      <w:r w:rsidRPr="00057E03">
        <w:t>Philanthropy as a funding source</w:t>
      </w:r>
    </w:p>
    <w:p w14:paraId="214D6CF0" w14:textId="40BDD23B" w:rsidR="005C6EB8" w:rsidRPr="00AA7A10" w:rsidRDefault="005C6EB8" w:rsidP="003B042A">
      <w:pPr>
        <w:spacing w:after="240" w:line="276" w:lineRule="auto"/>
        <w:rPr>
          <w:rFonts w:cs="Arial"/>
        </w:rPr>
      </w:pPr>
      <w:r w:rsidRPr="00AA7A10">
        <w:rPr>
          <w:rFonts w:cs="Arial"/>
        </w:rPr>
        <w:t xml:space="preserve">The community sector has expressed support for philanthropy as an important source of additional funding for community service organisations. They have generally supported the </w:t>
      </w:r>
      <w:r w:rsidR="00C8140C" w:rsidRPr="00AA7A10">
        <w:rPr>
          <w:rFonts w:cs="Arial"/>
        </w:rPr>
        <w:t>g</w:t>
      </w:r>
      <w:r w:rsidRPr="00AA7A10">
        <w:rPr>
          <w:rFonts w:cs="Arial"/>
        </w:rPr>
        <w:t xml:space="preserve">overnment’s efforts to collaborate with and help steward philanthropy in the community services sector. However, some have cautioned risks relating </w:t>
      </w:r>
      <w:r w:rsidR="00E002D0" w:rsidRPr="00AA7A10">
        <w:rPr>
          <w:rFonts w:cs="Arial"/>
        </w:rPr>
        <w:t xml:space="preserve">to </w:t>
      </w:r>
      <w:r w:rsidRPr="00AA7A10">
        <w:rPr>
          <w:rFonts w:cs="Arial"/>
        </w:rPr>
        <w:t xml:space="preserve">any reliance on philanthropic funds </w:t>
      </w:r>
      <w:r w:rsidR="00D00790" w:rsidRPr="00AA7A10">
        <w:rPr>
          <w:rFonts w:cs="Arial"/>
        </w:rPr>
        <w:t>du</w:t>
      </w:r>
      <w:r w:rsidR="00C276F0" w:rsidRPr="00AA7A10">
        <w:rPr>
          <w:rFonts w:cs="Arial"/>
        </w:rPr>
        <w:t>e to its insecurity</w:t>
      </w:r>
      <w:r w:rsidRPr="00AA7A10">
        <w:rPr>
          <w:rFonts w:cs="Arial"/>
        </w:rPr>
        <w:t xml:space="preserve">. </w:t>
      </w:r>
    </w:p>
    <w:p w14:paraId="7EE6AF96" w14:textId="78110A72" w:rsidR="009A6354" w:rsidRPr="00E20168" w:rsidRDefault="005C6EB8" w:rsidP="00E20168">
      <w:pPr>
        <w:pStyle w:val="Quote"/>
      </w:pPr>
      <w:r w:rsidRPr="002A537F">
        <w:t>However, philanthropic funding should never replace adequate, long-term and secure government funding. Often philanthropic funding is short-term or for specific programs that align with the interests of the donor or organisation.</w:t>
      </w:r>
    </w:p>
    <w:p w14:paraId="67C39121" w14:textId="166DA1D6" w:rsidR="005C6EB8" w:rsidRPr="00437102" w:rsidRDefault="004D262C">
      <w:pPr>
        <w:pStyle w:val="Quote"/>
      </w:pPr>
      <w:hyperlink r:id="rId52" w:history="1">
        <w:r w:rsidR="005C6EB8" w:rsidRPr="0050765C">
          <w:rPr>
            <w:rStyle w:val="Hyperlink"/>
            <w:i w:val="0"/>
          </w:rPr>
          <w:t>Anglicare Australia, Public Submission to Productivity Commission Review of Philanthropy.</w:t>
        </w:r>
      </w:hyperlink>
    </w:p>
    <w:p w14:paraId="72E2DFA2" w14:textId="1FD6B225" w:rsidR="005C6EB8" w:rsidRDefault="009A6354" w:rsidP="00437102">
      <w:pPr>
        <w:pStyle w:val="Heading3"/>
      </w:pPr>
      <w:r>
        <w:t>How to achieve this</w:t>
      </w:r>
    </w:p>
    <w:p w14:paraId="3B030743" w14:textId="3B4961B3" w:rsidR="009A6354" w:rsidRPr="00437102" w:rsidRDefault="00277332" w:rsidP="00437102">
      <w:pPr>
        <w:spacing w:after="240" w:line="276" w:lineRule="auto"/>
        <w:rPr>
          <w:rFonts w:cs="Arial"/>
          <w:color w:val="000000" w:themeColor="text1"/>
        </w:rPr>
      </w:pPr>
      <w:r w:rsidRPr="00AA7A10">
        <w:rPr>
          <w:rFonts w:cs="Arial"/>
          <w:color w:val="000000" w:themeColor="text1"/>
        </w:rPr>
        <w:t xml:space="preserve">Options to achieve this could include the below. </w:t>
      </w:r>
    </w:p>
    <w:p w14:paraId="25C9D8E9" w14:textId="216325EC" w:rsidR="000F4B53" w:rsidRPr="00E861AF" w:rsidRDefault="005C6EB8" w:rsidP="00181F7A">
      <w:pPr>
        <w:pStyle w:val="ListParagraph"/>
        <w:numPr>
          <w:ilvl w:val="0"/>
          <w:numId w:val="23"/>
        </w:numPr>
        <w:spacing w:before="120" w:line="276" w:lineRule="auto"/>
        <w:rPr>
          <w:rFonts w:cs="Arial"/>
          <w:color w:val="000000" w:themeColor="text1"/>
          <w:spacing w:val="2"/>
        </w:rPr>
      </w:pPr>
      <w:r w:rsidRPr="00E861AF">
        <w:rPr>
          <w:rFonts w:cs="Arial"/>
          <w:color w:val="000000" w:themeColor="text1"/>
          <w:spacing w:val="2"/>
        </w:rPr>
        <w:t>Establish the evidence base</w:t>
      </w:r>
      <w:r w:rsidR="009A6354" w:rsidRPr="00E861AF">
        <w:rPr>
          <w:rFonts w:cs="Arial"/>
          <w:color w:val="000000" w:themeColor="text1"/>
          <w:spacing w:val="2"/>
        </w:rPr>
        <w:t>.</w:t>
      </w:r>
      <w:r w:rsidRPr="00E861AF">
        <w:rPr>
          <w:rFonts w:cs="Arial"/>
          <w:color w:val="000000" w:themeColor="text1"/>
          <w:spacing w:val="2"/>
        </w:rPr>
        <w:t xml:space="preserve"> </w:t>
      </w:r>
      <w:r w:rsidR="00BD54CD" w:rsidRPr="00E861AF">
        <w:rPr>
          <w:rFonts w:cs="Arial"/>
          <w:color w:val="000000" w:themeColor="text1"/>
          <w:spacing w:val="2"/>
        </w:rPr>
        <w:t>The department notes that it may be useful to undertake a</w:t>
      </w:r>
      <w:r w:rsidR="00F458AF" w:rsidRPr="00E861AF">
        <w:rPr>
          <w:rFonts w:cs="Arial"/>
          <w:color w:val="000000" w:themeColor="text1"/>
          <w:spacing w:val="2"/>
        </w:rPr>
        <w:t>nalysis of the sector to understand its composition, scope and funding flows</w:t>
      </w:r>
      <w:r w:rsidR="009A6354" w:rsidRPr="00E861AF">
        <w:rPr>
          <w:rFonts w:cs="Arial"/>
          <w:color w:val="000000" w:themeColor="text1"/>
          <w:spacing w:val="2"/>
        </w:rPr>
        <w:t>. This will</w:t>
      </w:r>
      <w:r w:rsidR="00BD54CD" w:rsidRPr="00E861AF">
        <w:rPr>
          <w:rFonts w:cs="Arial"/>
          <w:color w:val="000000" w:themeColor="text1"/>
          <w:spacing w:val="2"/>
        </w:rPr>
        <w:t xml:space="preserve"> </w:t>
      </w:r>
      <w:r w:rsidR="00F458AF" w:rsidRPr="00E861AF">
        <w:rPr>
          <w:rFonts w:cs="Arial"/>
          <w:color w:val="000000" w:themeColor="text1"/>
          <w:spacing w:val="2"/>
        </w:rPr>
        <w:t xml:space="preserve">inform </w:t>
      </w:r>
      <w:r w:rsidR="00CC0703" w:rsidRPr="00E861AF">
        <w:rPr>
          <w:rFonts w:cs="Arial"/>
          <w:color w:val="000000" w:themeColor="text1"/>
          <w:spacing w:val="2"/>
        </w:rPr>
        <w:t xml:space="preserve">further work and </w:t>
      </w:r>
      <w:r w:rsidR="00BD54CD" w:rsidRPr="00E861AF">
        <w:rPr>
          <w:rFonts w:cs="Arial"/>
          <w:color w:val="000000" w:themeColor="text1"/>
          <w:spacing w:val="2"/>
        </w:rPr>
        <w:t xml:space="preserve">determine the impact and adequacy of the additional funding committed by </w:t>
      </w:r>
      <w:r w:rsidR="00C8140C" w:rsidRPr="00E861AF">
        <w:rPr>
          <w:rFonts w:cs="Arial"/>
          <w:color w:val="000000" w:themeColor="text1"/>
          <w:spacing w:val="2"/>
        </w:rPr>
        <w:t>g</w:t>
      </w:r>
      <w:r w:rsidR="00BD54CD" w:rsidRPr="00E861AF">
        <w:rPr>
          <w:rFonts w:cs="Arial"/>
          <w:color w:val="000000" w:themeColor="text1"/>
          <w:spacing w:val="2"/>
        </w:rPr>
        <w:t xml:space="preserve">overnment </w:t>
      </w:r>
      <w:r w:rsidR="009A6354" w:rsidRPr="00E861AF">
        <w:rPr>
          <w:rFonts w:cs="Arial"/>
          <w:color w:val="000000" w:themeColor="text1"/>
          <w:spacing w:val="2"/>
        </w:rPr>
        <w:t>(</w:t>
      </w:r>
      <w:r w:rsidR="00BD54CD" w:rsidRPr="00E861AF">
        <w:rPr>
          <w:rFonts w:cs="Arial"/>
          <w:color w:val="000000" w:themeColor="text1"/>
          <w:spacing w:val="2"/>
        </w:rPr>
        <w:t xml:space="preserve">over the last </w:t>
      </w:r>
      <w:r w:rsidR="005F34EA" w:rsidRPr="00E861AF">
        <w:rPr>
          <w:rFonts w:cs="Arial"/>
          <w:color w:val="000000" w:themeColor="text1"/>
          <w:spacing w:val="2"/>
        </w:rPr>
        <w:t xml:space="preserve">2 </w:t>
      </w:r>
      <w:r w:rsidR="00C164B7" w:rsidRPr="00E861AF">
        <w:rPr>
          <w:rFonts w:cs="Arial"/>
          <w:color w:val="000000" w:themeColor="text1"/>
          <w:spacing w:val="2"/>
        </w:rPr>
        <w:t>B</w:t>
      </w:r>
      <w:r w:rsidR="00BD54CD" w:rsidRPr="00E861AF">
        <w:rPr>
          <w:rFonts w:cs="Arial"/>
          <w:color w:val="000000" w:themeColor="text1"/>
          <w:spacing w:val="2"/>
        </w:rPr>
        <w:t>udgets</w:t>
      </w:r>
      <w:r w:rsidR="009A6354" w:rsidRPr="00E861AF">
        <w:rPr>
          <w:rFonts w:cs="Arial"/>
          <w:color w:val="000000" w:themeColor="text1"/>
          <w:spacing w:val="2"/>
        </w:rPr>
        <w:t>)</w:t>
      </w:r>
      <w:r w:rsidR="00BD54CD" w:rsidRPr="00E861AF">
        <w:rPr>
          <w:rFonts w:cs="Arial"/>
          <w:color w:val="000000" w:themeColor="text1"/>
          <w:spacing w:val="2"/>
        </w:rPr>
        <w:t xml:space="preserve"> that has already </w:t>
      </w:r>
      <w:r w:rsidR="009A6354" w:rsidRPr="00E861AF">
        <w:rPr>
          <w:rFonts w:cs="Arial"/>
          <w:color w:val="000000" w:themeColor="text1"/>
          <w:spacing w:val="2"/>
        </w:rPr>
        <w:t xml:space="preserve">started to </w:t>
      </w:r>
      <w:r w:rsidR="00BD54CD" w:rsidRPr="00E861AF">
        <w:rPr>
          <w:rFonts w:cs="Arial"/>
          <w:color w:val="000000" w:themeColor="text1"/>
          <w:spacing w:val="2"/>
        </w:rPr>
        <w:t xml:space="preserve">flow through to the sector. </w:t>
      </w:r>
    </w:p>
    <w:p w14:paraId="58FBE5B0" w14:textId="3140CC14" w:rsidR="005C6EB8" w:rsidRPr="00AA7A10" w:rsidRDefault="005C6EB8" w:rsidP="00181F7A">
      <w:pPr>
        <w:pStyle w:val="ListParagraph"/>
        <w:numPr>
          <w:ilvl w:val="0"/>
          <w:numId w:val="23"/>
        </w:numPr>
        <w:spacing w:before="120" w:line="276" w:lineRule="auto"/>
        <w:rPr>
          <w:rFonts w:cs="Arial"/>
          <w:color w:val="000000" w:themeColor="text1"/>
          <w:spacing w:val="2"/>
        </w:rPr>
      </w:pPr>
      <w:r w:rsidRPr="00E861AF">
        <w:rPr>
          <w:rFonts w:cs="Arial"/>
          <w:color w:val="000000" w:themeColor="text1"/>
          <w:spacing w:val="2"/>
        </w:rPr>
        <w:t>Improve coordination</w:t>
      </w:r>
      <w:r w:rsidR="009A6354" w:rsidRPr="00E861AF">
        <w:rPr>
          <w:rFonts w:cs="Arial"/>
          <w:color w:val="000000" w:themeColor="text1"/>
          <w:spacing w:val="2"/>
        </w:rPr>
        <w:t xml:space="preserve">. </w:t>
      </w:r>
      <w:r w:rsidR="009A6354" w:rsidRPr="00AA7A10">
        <w:rPr>
          <w:rFonts w:cs="Arial"/>
          <w:color w:val="000000" w:themeColor="text1"/>
          <w:spacing w:val="2"/>
        </w:rPr>
        <w:t>T</w:t>
      </w:r>
      <w:r w:rsidRPr="00AA7A10">
        <w:rPr>
          <w:rFonts w:cs="Arial"/>
          <w:color w:val="000000" w:themeColor="text1"/>
          <w:spacing w:val="2"/>
        </w:rPr>
        <w:t xml:space="preserve">he </w:t>
      </w:r>
      <w:r w:rsidR="00C8140C" w:rsidRPr="00AA7A10">
        <w:rPr>
          <w:rFonts w:cs="Arial"/>
          <w:color w:val="000000" w:themeColor="text1"/>
          <w:spacing w:val="2"/>
        </w:rPr>
        <w:t>g</w:t>
      </w:r>
      <w:r w:rsidR="00C83A57" w:rsidRPr="00AA7A10">
        <w:rPr>
          <w:rFonts w:cs="Arial"/>
          <w:color w:val="000000" w:themeColor="text1"/>
          <w:spacing w:val="2"/>
        </w:rPr>
        <w:t>overnment could work with</w:t>
      </w:r>
      <w:r w:rsidRPr="00AA7A10">
        <w:rPr>
          <w:rFonts w:cs="Arial"/>
          <w:color w:val="000000" w:themeColor="text1"/>
          <w:spacing w:val="2"/>
        </w:rPr>
        <w:t xml:space="preserve"> state and territory governments to </w:t>
      </w:r>
      <w:r w:rsidR="00A10ADA" w:rsidRPr="00AA7A10">
        <w:rPr>
          <w:rFonts w:cs="Arial"/>
          <w:color w:val="000000" w:themeColor="text1"/>
          <w:spacing w:val="2"/>
        </w:rPr>
        <w:t>further enhance</w:t>
      </w:r>
      <w:r w:rsidRPr="00AA7A10">
        <w:rPr>
          <w:rFonts w:cs="Arial"/>
          <w:color w:val="000000" w:themeColor="text1"/>
          <w:spacing w:val="2"/>
        </w:rPr>
        <w:t xml:space="preserve"> coordination to</w:t>
      </w:r>
      <w:r w:rsidR="00E861AF">
        <w:rPr>
          <w:rFonts w:cs="Arial"/>
          <w:color w:val="000000" w:themeColor="text1"/>
          <w:spacing w:val="2"/>
        </w:rPr>
        <w:t xml:space="preserve"> </w:t>
      </w:r>
      <w:r w:rsidR="00C22DA5">
        <w:rPr>
          <w:rFonts w:cs="Arial"/>
          <w:color w:val="000000" w:themeColor="text1"/>
          <w:spacing w:val="2"/>
        </w:rPr>
        <w:t>ensure the most efficient use of resources and</w:t>
      </w:r>
      <w:r w:rsidR="00C22DA5" w:rsidRPr="00AA7A10">
        <w:rPr>
          <w:rFonts w:cs="Arial"/>
          <w:color w:val="000000" w:themeColor="text1"/>
          <w:spacing w:val="2"/>
        </w:rPr>
        <w:t xml:space="preserve"> </w:t>
      </w:r>
      <w:r w:rsidRPr="00AA7A10">
        <w:rPr>
          <w:rFonts w:cs="Arial"/>
          <w:color w:val="000000" w:themeColor="text1"/>
          <w:spacing w:val="2"/>
        </w:rPr>
        <w:t>reduce duplication of funding efforts. This may include mapping the allocation of funds between the levels of governments</w:t>
      </w:r>
      <w:r w:rsidR="00BD54CD" w:rsidRPr="00AA7A10">
        <w:rPr>
          <w:rFonts w:cs="Arial"/>
          <w:color w:val="000000" w:themeColor="text1"/>
          <w:spacing w:val="2"/>
        </w:rPr>
        <w:t xml:space="preserve"> to CSOs</w:t>
      </w:r>
      <w:r w:rsidRPr="00AA7A10">
        <w:rPr>
          <w:rFonts w:cs="Arial"/>
          <w:color w:val="000000" w:themeColor="text1"/>
          <w:spacing w:val="2"/>
        </w:rPr>
        <w:t>, identifying overlaps that lead to inefficient or ineffective resource use, and streamlining funding mechanisms</w:t>
      </w:r>
      <w:r w:rsidR="00745FC5" w:rsidRPr="00AA7A10">
        <w:rPr>
          <w:rFonts w:cs="Arial"/>
          <w:color w:val="000000" w:themeColor="text1"/>
          <w:spacing w:val="2"/>
        </w:rPr>
        <w:t>, including indexation processes,</w:t>
      </w:r>
      <w:r w:rsidRPr="00AA7A10">
        <w:rPr>
          <w:rFonts w:cs="Arial"/>
          <w:color w:val="000000" w:themeColor="text1"/>
          <w:spacing w:val="2"/>
        </w:rPr>
        <w:t xml:space="preserve"> to foster better coordination.</w:t>
      </w:r>
    </w:p>
    <w:p w14:paraId="228CC394" w14:textId="51A6B1AF" w:rsidR="005C6EB8" w:rsidRPr="00AA7A10" w:rsidRDefault="005C6EB8" w:rsidP="00181F7A">
      <w:pPr>
        <w:pStyle w:val="ListParagraph"/>
        <w:numPr>
          <w:ilvl w:val="0"/>
          <w:numId w:val="23"/>
        </w:numPr>
        <w:spacing w:before="120" w:line="276" w:lineRule="auto"/>
        <w:rPr>
          <w:rFonts w:cs="Arial"/>
          <w:color w:val="000000" w:themeColor="text1"/>
          <w:spacing w:val="2"/>
        </w:rPr>
      </w:pPr>
      <w:r w:rsidRPr="00E861AF">
        <w:rPr>
          <w:rFonts w:cs="Arial"/>
          <w:color w:val="000000" w:themeColor="text1"/>
          <w:spacing w:val="2"/>
        </w:rPr>
        <w:lastRenderedPageBreak/>
        <w:t xml:space="preserve">Work with </w:t>
      </w:r>
      <w:r w:rsidR="006331BF" w:rsidRPr="00E861AF">
        <w:rPr>
          <w:rFonts w:cs="Arial"/>
          <w:color w:val="000000" w:themeColor="text1"/>
          <w:spacing w:val="2"/>
        </w:rPr>
        <w:t xml:space="preserve">the </w:t>
      </w:r>
      <w:r w:rsidRPr="00E861AF">
        <w:rPr>
          <w:rFonts w:cs="Arial"/>
          <w:color w:val="000000" w:themeColor="text1"/>
          <w:spacing w:val="2"/>
        </w:rPr>
        <w:t>philanthropic sector</w:t>
      </w:r>
      <w:r w:rsidR="009A6354" w:rsidRPr="00E861AF">
        <w:rPr>
          <w:rFonts w:cs="Arial"/>
          <w:color w:val="000000" w:themeColor="text1"/>
          <w:spacing w:val="2"/>
        </w:rPr>
        <w:t xml:space="preserve">. </w:t>
      </w:r>
      <w:r w:rsidR="009A6354" w:rsidRPr="00AA7A10">
        <w:rPr>
          <w:rFonts w:cs="Arial"/>
          <w:color w:val="000000" w:themeColor="text1"/>
          <w:spacing w:val="2"/>
        </w:rPr>
        <w:t>T</w:t>
      </w:r>
      <w:r w:rsidRPr="00AA7A10">
        <w:rPr>
          <w:rFonts w:cs="Arial"/>
          <w:color w:val="000000" w:themeColor="text1"/>
          <w:spacing w:val="2"/>
        </w:rPr>
        <w:t>he Productivity Commission</w:t>
      </w:r>
      <w:r w:rsidR="00C276F0" w:rsidRPr="00AA7A10">
        <w:rPr>
          <w:rFonts w:cs="Arial"/>
          <w:color w:val="000000" w:themeColor="text1"/>
          <w:spacing w:val="2"/>
        </w:rPr>
        <w:t xml:space="preserve"> is currently undertaking a</w:t>
      </w:r>
      <w:r w:rsidRPr="00AA7A10">
        <w:rPr>
          <w:rFonts w:cs="Arial"/>
          <w:color w:val="000000" w:themeColor="text1"/>
          <w:spacing w:val="2"/>
        </w:rPr>
        <w:t xml:space="preserve"> </w:t>
      </w:r>
      <w:r w:rsidR="009A6354" w:rsidRPr="00AA7A10">
        <w:rPr>
          <w:rFonts w:cs="Arial"/>
          <w:color w:val="000000" w:themeColor="text1"/>
          <w:spacing w:val="2"/>
        </w:rPr>
        <w:t>r</w:t>
      </w:r>
      <w:r w:rsidRPr="00AA7A10">
        <w:rPr>
          <w:rFonts w:cs="Arial"/>
          <w:color w:val="000000" w:themeColor="text1"/>
          <w:spacing w:val="2"/>
        </w:rPr>
        <w:t xml:space="preserve">eview of </w:t>
      </w:r>
      <w:r w:rsidR="009A6354" w:rsidRPr="00AA7A10">
        <w:rPr>
          <w:rFonts w:cs="Arial"/>
          <w:color w:val="000000" w:themeColor="text1"/>
          <w:spacing w:val="2"/>
        </w:rPr>
        <w:t>p</w:t>
      </w:r>
      <w:r w:rsidRPr="00AA7A10">
        <w:rPr>
          <w:rFonts w:cs="Arial"/>
          <w:color w:val="000000" w:themeColor="text1"/>
          <w:spacing w:val="2"/>
        </w:rPr>
        <w:t>hilanthropy</w:t>
      </w:r>
      <w:r w:rsidR="00C276F0" w:rsidRPr="00AA7A10">
        <w:rPr>
          <w:rFonts w:cs="Arial"/>
          <w:color w:val="000000" w:themeColor="text1"/>
          <w:spacing w:val="2"/>
        </w:rPr>
        <w:t xml:space="preserve"> to analyse motivations for philanthropic giving in Australia and identify opportunities to grow it further</w:t>
      </w:r>
      <w:r w:rsidR="00D12502" w:rsidRPr="00AA7A10">
        <w:rPr>
          <w:rFonts w:cs="Arial"/>
          <w:color w:val="000000" w:themeColor="text1"/>
          <w:spacing w:val="2"/>
        </w:rPr>
        <w:t>.</w:t>
      </w:r>
      <w:r w:rsidR="00C276F0" w:rsidRPr="00AA7A10">
        <w:rPr>
          <w:rFonts w:cs="Arial"/>
          <w:color w:val="000000" w:themeColor="text1"/>
          <w:spacing w:val="2"/>
        </w:rPr>
        <w:t xml:space="preserve"> Insights from</w:t>
      </w:r>
      <w:r w:rsidR="00C60B9A" w:rsidRPr="00AA7A10">
        <w:rPr>
          <w:rFonts w:cs="Arial"/>
          <w:color w:val="000000" w:themeColor="text1"/>
          <w:spacing w:val="2"/>
        </w:rPr>
        <w:t xml:space="preserve"> t</w:t>
      </w:r>
      <w:r w:rsidR="00C276F0" w:rsidRPr="00AA7A10">
        <w:rPr>
          <w:rFonts w:cs="Arial"/>
          <w:color w:val="000000" w:themeColor="text1"/>
          <w:spacing w:val="2"/>
        </w:rPr>
        <w:t xml:space="preserve">his review will be considered by </w:t>
      </w:r>
      <w:r w:rsidR="00C8140C" w:rsidRPr="00AA7A10">
        <w:rPr>
          <w:rFonts w:cs="Arial"/>
          <w:color w:val="000000" w:themeColor="text1"/>
          <w:spacing w:val="2"/>
        </w:rPr>
        <w:t>g</w:t>
      </w:r>
      <w:r w:rsidR="00C276F0" w:rsidRPr="00AA7A10">
        <w:rPr>
          <w:rFonts w:cs="Arial"/>
          <w:color w:val="000000" w:themeColor="text1"/>
          <w:spacing w:val="2"/>
        </w:rPr>
        <w:t>overnment</w:t>
      </w:r>
      <w:r w:rsidR="00BD54CD" w:rsidRPr="00AA7A10">
        <w:rPr>
          <w:rFonts w:cs="Arial"/>
          <w:color w:val="000000" w:themeColor="text1"/>
          <w:spacing w:val="2"/>
        </w:rPr>
        <w:t xml:space="preserve"> and could inform this area of focus</w:t>
      </w:r>
      <w:r w:rsidR="00C276F0" w:rsidRPr="00AA7A10">
        <w:rPr>
          <w:rFonts w:cs="Arial"/>
          <w:color w:val="000000" w:themeColor="text1"/>
          <w:spacing w:val="2"/>
        </w:rPr>
        <w:t>.</w:t>
      </w:r>
    </w:p>
    <w:p w14:paraId="0696EACF" w14:textId="111286BC" w:rsidR="005C6EB8" w:rsidRPr="00AA7A10" w:rsidRDefault="005C6EB8" w:rsidP="00181F7A">
      <w:pPr>
        <w:pStyle w:val="ListParagraph"/>
        <w:numPr>
          <w:ilvl w:val="0"/>
          <w:numId w:val="23"/>
        </w:numPr>
        <w:spacing w:before="120" w:line="276" w:lineRule="auto"/>
        <w:rPr>
          <w:rFonts w:cs="Arial"/>
          <w:color w:val="000000" w:themeColor="text1"/>
          <w:spacing w:val="2"/>
        </w:rPr>
      </w:pPr>
      <w:r w:rsidRPr="00437102">
        <w:rPr>
          <w:rFonts w:cs="Arial"/>
          <w:bCs/>
          <w:color w:val="000000" w:themeColor="text1"/>
          <w:spacing w:val="2"/>
        </w:rPr>
        <w:t>Timely and transparent indexation</w:t>
      </w:r>
      <w:r w:rsidR="009A6354" w:rsidRPr="00AA7A10">
        <w:rPr>
          <w:rFonts w:cs="Arial"/>
          <w:bCs/>
          <w:color w:val="000000" w:themeColor="text1"/>
          <w:spacing w:val="2"/>
        </w:rPr>
        <w:t xml:space="preserve">. </w:t>
      </w:r>
      <w:r w:rsidR="009A6354" w:rsidRPr="00AA7A10">
        <w:rPr>
          <w:rFonts w:cs="Arial"/>
          <w:color w:val="000000" w:themeColor="text1"/>
          <w:spacing w:val="2"/>
        </w:rPr>
        <w:t>T</w:t>
      </w:r>
      <w:r w:rsidR="0084649B" w:rsidRPr="00AA7A10">
        <w:rPr>
          <w:rFonts w:cs="Arial"/>
          <w:color w:val="000000" w:themeColor="text1"/>
          <w:spacing w:val="2"/>
        </w:rPr>
        <w:t xml:space="preserve">imeliness in passing of indexation and </w:t>
      </w:r>
      <w:r w:rsidRPr="00AA7A10">
        <w:rPr>
          <w:rFonts w:cs="Arial"/>
          <w:color w:val="000000" w:themeColor="text1"/>
          <w:spacing w:val="2"/>
        </w:rPr>
        <w:t>improve</w:t>
      </w:r>
      <w:r w:rsidR="0084649B" w:rsidRPr="00AA7A10">
        <w:rPr>
          <w:rFonts w:cs="Arial"/>
          <w:color w:val="000000" w:themeColor="text1"/>
          <w:spacing w:val="2"/>
        </w:rPr>
        <w:t>d</w:t>
      </w:r>
      <w:r w:rsidRPr="00AA7A10">
        <w:rPr>
          <w:rFonts w:cs="Arial"/>
          <w:color w:val="000000" w:themeColor="text1"/>
          <w:spacing w:val="2"/>
        </w:rPr>
        <w:t xml:space="preserve"> transparency of </w:t>
      </w:r>
      <w:r w:rsidR="00C276F0" w:rsidRPr="00AA7A10">
        <w:rPr>
          <w:rFonts w:cs="Arial"/>
          <w:color w:val="000000" w:themeColor="text1"/>
          <w:spacing w:val="2"/>
        </w:rPr>
        <w:t xml:space="preserve">how </w:t>
      </w:r>
      <w:r w:rsidRPr="00AA7A10">
        <w:rPr>
          <w:rFonts w:cs="Arial"/>
          <w:color w:val="000000" w:themeColor="text1"/>
          <w:spacing w:val="2"/>
        </w:rPr>
        <w:t>indexation</w:t>
      </w:r>
      <w:r w:rsidR="00C276F0" w:rsidRPr="00AA7A10">
        <w:rPr>
          <w:rFonts w:cs="Arial"/>
          <w:color w:val="000000" w:themeColor="text1"/>
          <w:spacing w:val="2"/>
        </w:rPr>
        <w:t xml:space="preserve"> is applied</w:t>
      </w:r>
      <w:r w:rsidRPr="00AA7A10">
        <w:rPr>
          <w:rFonts w:cs="Arial"/>
          <w:color w:val="000000" w:themeColor="text1"/>
          <w:spacing w:val="2"/>
        </w:rPr>
        <w:t xml:space="preserve"> </w:t>
      </w:r>
      <w:r w:rsidR="00BD54CD" w:rsidRPr="00AA7A10">
        <w:rPr>
          <w:rFonts w:cs="Arial"/>
          <w:color w:val="000000" w:themeColor="text1"/>
          <w:spacing w:val="2"/>
        </w:rPr>
        <w:t xml:space="preserve">is likely to </w:t>
      </w:r>
      <w:r w:rsidR="0084649B" w:rsidRPr="00AA7A10">
        <w:rPr>
          <w:rFonts w:cs="Arial"/>
          <w:color w:val="000000" w:themeColor="text1"/>
          <w:spacing w:val="2"/>
        </w:rPr>
        <w:t>assist</w:t>
      </w:r>
      <w:r w:rsidRPr="00AA7A10">
        <w:rPr>
          <w:rFonts w:cs="Arial"/>
          <w:color w:val="000000" w:themeColor="text1"/>
          <w:spacing w:val="2"/>
        </w:rPr>
        <w:t xml:space="preserve"> CSOs to plan and budget more effectively.</w:t>
      </w:r>
    </w:p>
    <w:p w14:paraId="718F2F07" w14:textId="0EC799C3" w:rsidR="006331BF" w:rsidRPr="00AA7A10" w:rsidRDefault="006331BF" w:rsidP="00181F7A">
      <w:pPr>
        <w:pStyle w:val="ListParagraph"/>
        <w:numPr>
          <w:ilvl w:val="0"/>
          <w:numId w:val="23"/>
        </w:numPr>
        <w:spacing w:before="120" w:line="276" w:lineRule="auto"/>
        <w:rPr>
          <w:rFonts w:cs="Arial"/>
          <w:color w:val="000000" w:themeColor="text1"/>
          <w:spacing w:val="2"/>
        </w:rPr>
      </w:pPr>
      <w:r w:rsidRPr="00437102">
        <w:rPr>
          <w:rFonts w:cs="Arial"/>
          <w:color w:val="000000" w:themeColor="text1"/>
          <w:spacing w:val="2"/>
        </w:rPr>
        <w:t>Greater clarity or flexibility in administration costs and level of grant funding</w:t>
      </w:r>
      <w:r w:rsidR="009A6354" w:rsidRPr="00AA7A10">
        <w:rPr>
          <w:rFonts w:cs="Arial"/>
          <w:color w:val="000000" w:themeColor="text1"/>
          <w:spacing w:val="2"/>
        </w:rPr>
        <w:t xml:space="preserve">. </w:t>
      </w:r>
      <w:r w:rsidR="00D12502" w:rsidRPr="00AA7A10">
        <w:rPr>
          <w:rFonts w:cs="Arial"/>
          <w:color w:val="000000" w:themeColor="text1"/>
          <w:spacing w:val="2"/>
        </w:rPr>
        <w:t xml:space="preserve">CSOs </w:t>
      </w:r>
      <w:r w:rsidR="0050108E" w:rsidRPr="00AA7A10">
        <w:rPr>
          <w:rFonts w:cs="Arial"/>
          <w:color w:val="000000" w:themeColor="text1"/>
          <w:spacing w:val="2"/>
        </w:rPr>
        <w:t xml:space="preserve">would be </w:t>
      </w:r>
      <w:r w:rsidR="00D12502" w:rsidRPr="00AA7A10">
        <w:rPr>
          <w:rFonts w:cs="Arial"/>
          <w:color w:val="000000" w:themeColor="text1"/>
          <w:spacing w:val="2"/>
        </w:rPr>
        <w:t xml:space="preserve">able to </w:t>
      </w:r>
      <w:r w:rsidR="00E83608" w:rsidRPr="00AA7A10">
        <w:rPr>
          <w:rFonts w:cs="Arial"/>
          <w:color w:val="000000" w:themeColor="text1"/>
          <w:spacing w:val="2"/>
        </w:rPr>
        <w:t xml:space="preserve">better plan and </w:t>
      </w:r>
      <w:r w:rsidR="00D12502" w:rsidRPr="00AA7A10">
        <w:rPr>
          <w:rFonts w:cs="Arial"/>
          <w:color w:val="000000" w:themeColor="text1"/>
          <w:spacing w:val="2"/>
        </w:rPr>
        <w:t xml:space="preserve">manage </w:t>
      </w:r>
      <w:r w:rsidR="000A68BC" w:rsidRPr="00AA7A10">
        <w:rPr>
          <w:rFonts w:cs="Arial"/>
          <w:color w:val="000000" w:themeColor="text1"/>
          <w:spacing w:val="2"/>
        </w:rPr>
        <w:t xml:space="preserve">their </w:t>
      </w:r>
      <w:r w:rsidR="00D12502" w:rsidRPr="00AA7A10">
        <w:rPr>
          <w:rFonts w:cs="Arial"/>
          <w:color w:val="000000" w:themeColor="text1"/>
          <w:spacing w:val="2"/>
        </w:rPr>
        <w:t>service delivery budgets and resourcing appropriately.</w:t>
      </w:r>
    </w:p>
    <w:p w14:paraId="3F92C1DF" w14:textId="4E060137" w:rsidR="006331BF" w:rsidRPr="00AA7A10" w:rsidRDefault="006331BF" w:rsidP="00181F7A">
      <w:pPr>
        <w:pStyle w:val="ListParagraph"/>
        <w:numPr>
          <w:ilvl w:val="0"/>
          <w:numId w:val="23"/>
        </w:numPr>
        <w:spacing w:before="120" w:line="276" w:lineRule="auto"/>
        <w:rPr>
          <w:rFonts w:cs="Arial"/>
          <w:color w:val="000000" w:themeColor="text1"/>
          <w:spacing w:val="2"/>
        </w:rPr>
      </w:pPr>
      <w:r w:rsidRPr="00437102">
        <w:rPr>
          <w:rFonts w:cs="Arial"/>
          <w:color w:val="000000" w:themeColor="text1"/>
          <w:spacing w:val="2"/>
        </w:rPr>
        <w:t>Great</w:t>
      </w:r>
      <w:r w:rsidR="00D12502" w:rsidRPr="00437102">
        <w:rPr>
          <w:rFonts w:cs="Arial"/>
          <w:color w:val="000000" w:themeColor="text1"/>
          <w:spacing w:val="2"/>
        </w:rPr>
        <w:t>er</w:t>
      </w:r>
      <w:r w:rsidRPr="00437102">
        <w:rPr>
          <w:rFonts w:cs="Arial"/>
          <w:color w:val="000000" w:themeColor="text1"/>
          <w:spacing w:val="2"/>
        </w:rPr>
        <w:t xml:space="preserve"> transparency on where funding flows</w:t>
      </w:r>
      <w:r w:rsidR="009A6354" w:rsidRPr="00AA7A10">
        <w:rPr>
          <w:rFonts w:cs="Arial"/>
          <w:color w:val="000000" w:themeColor="text1"/>
          <w:spacing w:val="2"/>
        </w:rPr>
        <w:t xml:space="preserve">. </w:t>
      </w:r>
      <w:r w:rsidR="00D12502" w:rsidRPr="00AA7A10">
        <w:rPr>
          <w:rFonts w:cs="Arial"/>
          <w:color w:val="000000" w:themeColor="text1"/>
          <w:spacing w:val="2"/>
        </w:rPr>
        <w:t xml:space="preserve">CSOs </w:t>
      </w:r>
      <w:r w:rsidR="0050108E" w:rsidRPr="00AA7A10">
        <w:rPr>
          <w:rFonts w:cs="Arial"/>
          <w:color w:val="000000" w:themeColor="text1"/>
          <w:spacing w:val="2"/>
        </w:rPr>
        <w:t xml:space="preserve">would </w:t>
      </w:r>
      <w:r w:rsidR="00D12502" w:rsidRPr="00AA7A10">
        <w:rPr>
          <w:rFonts w:cs="Arial"/>
          <w:color w:val="000000" w:themeColor="text1"/>
          <w:spacing w:val="2"/>
        </w:rPr>
        <w:t>have opportunities to identify partnerships or consort</w:t>
      </w:r>
      <w:r w:rsidR="00C276F0" w:rsidRPr="00AA7A10">
        <w:rPr>
          <w:rFonts w:cs="Arial"/>
          <w:color w:val="000000" w:themeColor="text1"/>
          <w:spacing w:val="2"/>
        </w:rPr>
        <w:t>i</w:t>
      </w:r>
      <w:r w:rsidR="00C63F8E" w:rsidRPr="00AA7A10">
        <w:rPr>
          <w:rFonts w:cs="Arial"/>
          <w:color w:val="000000" w:themeColor="text1"/>
          <w:spacing w:val="2"/>
        </w:rPr>
        <w:t>a</w:t>
      </w:r>
      <w:r w:rsidR="00D12502" w:rsidRPr="00AA7A10">
        <w:rPr>
          <w:rFonts w:cs="Arial"/>
          <w:color w:val="000000" w:themeColor="text1"/>
          <w:spacing w:val="2"/>
        </w:rPr>
        <w:t xml:space="preserve"> at a program or place-based level</w:t>
      </w:r>
      <w:r w:rsidR="000A68BC" w:rsidRPr="00AA7A10">
        <w:rPr>
          <w:rFonts w:cs="Arial"/>
          <w:color w:val="000000" w:themeColor="text1"/>
          <w:spacing w:val="2"/>
        </w:rPr>
        <w:t xml:space="preserve"> t</w:t>
      </w:r>
      <w:r w:rsidR="0050108E" w:rsidRPr="00AA7A10">
        <w:rPr>
          <w:rFonts w:cs="Arial"/>
          <w:color w:val="000000" w:themeColor="text1"/>
          <w:spacing w:val="2"/>
        </w:rPr>
        <w:t>hat</w:t>
      </w:r>
      <w:r w:rsidR="000A68BC" w:rsidRPr="00AA7A10">
        <w:rPr>
          <w:rFonts w:cs="Arial"/>
          <w:color w:val="000000" w:themeColor="text1"/>
          <w:spacing w:val="2"/>
        </w:rPr>
        <w:t xml:space="preserve"> result in greater efficiencies</w:t>
      </w:r>
      <w:r w:rsidR="00D12502" w:rsidRPr="00AA7A10">
        <w:rPr>
          <w:rFonts w:cs="Arial"/>
          <w:color w:val="000000" w:themeColor="text1"/>
          <w:spacing w:val="2"/>
        </w:rPr>
        <w:t>.</w:t>
      </w:r>
    </w:p>
    <w:p w14:paraId="766A0F72" w14:textId="57697284" w:rsidR="005A6C8A" w:rsidRPr="00437102" w:rsidRDefault="005A6C8A" w:rsidP="00181F7A">
      <w:pPr>
        <w:pStyle w:val="ListParagraph"/>
        <w:numPr>
          <w:ilvl w:val="0"/>
          <w:numId w:val="23"/>
        </w:numPr>
        <w:spacing w:before="120" w:line="276" w:lineRule="auto"/>
        <w:rPr>
          <w:rFonts w:cs="Arial"/>
          <w:color w:val="000000" w:themeColor="text1"/>
          <w:spacing w:val="2"/>
        </w:rPr>
      </w:pPr>
      <w:r w:rsidRPr="00437102">
        <w:rPr>
          <w:rFonts w:cs="Arial"/>
        </w:rPr>
        <w:t>Reducing administrative burden on CSOs</w:t>
      </w:r>
      <w:r w:rsidR="00277332" w:rsidRPr="00AA7A10">
        <w:rPr>
          <w:rFonts w:cs="Arial"/>
        </w:rPr>
        <w:t xml:space="preserve">. </w:t>
      </w:r>
      <w:r w:rsidRPr="00AA7A10">
        <w:rPr>
          <w:rFonts w:cs="Arial"/>
        </w:rPr>
        <w:t xml:space="preserve">CSOs </w:t>
      </w:r>
      <w:r w:rsidR="0050108E" w:rsidRPr="00AA7A10">
        <w:rPr>
          <w:rFonts w:cs="Arial"/>
        </w:rPr>
        <w:t>would</w:t>
      </w:r>
      <w:r w:rsidRPr="00AA7A10">
        <w:rPr>
          <w:rFonts w:cs="Arial"/>
        </w:rPr>
        <w:t xml:space="preserve"> focus their funding on the delivery of grant outcomes by reducing administrative costs through creating efficiencies.</w:t>
      </w:r>
    </w:p>
    <w:p w14:paraId="110D2569" w14:textId="3DA0B548" w:rsidR="00277332" w:rsidRDefault="00277332" w:rsidP="00437102">
      <w:pPr>
        <w:pStyle w:val="Heading3"/>
      </w:pPr>
      <w:r>
        <w:t>Key questions</w:t>
      </w:r>
    </w:p>
    <w:p w14:paraId="649697FD" w14:textId="7278A5E6" w:rsidR="00114226" w:rsidRPr="00B90D88" w:rsidRDefault="00114226" w:rsidP="00F907F3">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2.1</w:t>
      </w:r>
      <w:r w:rsidRPr="00B90D88">
        <w:rPr>
          <w:rFonts w:cs="Arial"/>
          <w:kern w:val="0"/>
          <w:sz w:val="24"/>
          <w:szCs w:val="22"/>
          <w14:ligatures w14:val="none"/>
        </w:rPr>
        <w:tab/>
        <w:t xml:space="preserve">What would adequate </w:t>
      </w:r>
      <w:r w:rsidR="007E5EEB" w:rsidRPr="00B90D88">
        <w:rPr>
          <w:rFonts w:cs="Arial"/>
          <w:kern w:val="0"/>
          <w:sz w:val="24"/>
          <w:szCs w:val="22"/>
          <w14:ligatures w14:val="none"/>
        </w:rPr>
        <w:t>and flexible funding look like?</w:t>
      </w:r>
    </w:p>
    <w:p w14:paraId="0051A473" w14:textId="0BC34DDE"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2.2</w:t>
      </w:r>
      <w:r w:rsidRPr="00B90D88">
        <w:rPr>
          <w:rFonts w:cs="Arial"/>
          <w:kern w:val="0"/>
          <w:sz w:val="24"/>
          <w:szCs w:val="22"/>
          <w14:ligatures w14:val="none"/>
        </w:rPr>
        <w:tab/>
        <w:t>What administrative and overhead costs are not being considered in current grant funding?</w:t>
      </w:r>
    </w:p>
    <w:p w14:paraId="571E7398" w14:textId="422A8C0E"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2.3</w:t>
      </w:r>
      <w:r w:rsidRPr="00B90D88">
        <w:rPr>
          <w:rFonts w:cs="Arial"/>
          <w:kern w:val="0"/>
          <w:sz w:val="24"/>
          <w:szCs w:val="22"/>
          <w14:ligatures w14:val="none"/>
        </w:rPr>
        <w:tab/>
        <w:t>How are rising operational costs impacting the delivery of community services?</w:t>
      </w:r>
    </w:p>
    <w:p w14:paraId="46456151" w14:textId="2524F9D9"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2.4</w:t>
      </w:r>
      <w:r w:rsidRPr="00B90D88">
        <w:rPr>
          <w:rFonts w:cs="Arial"/>
          <w:kern w:val="0"/>
          <w:sz w:val="24"/>
          <w:szCs w:val="22"/>
          <w14:ligatures w14:val="none"/>
        </w:rPr>
        <w:tab/>
        <w:t xml:space="preserve">What have been your experiences with and reflections on the supplementation and change to indexation? </w:t>
      </w:r>
    </w:p>
    <w:p w14:paraId="6EB33325" w14:textId="101DB5BB"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2.5</w:t>
      </w:r>
      <w:r w:rsidRPr="00B90D88">
        <w:rPr>
          <w:rFonts w:cs="Arial"/>
          <w:kern w:val="0"/>
          <w:sz w:val="24"/>
          <w:szCs w:val="22"/>
          <w14:ligatures w14:val="none"/>
        </w:rPr>
        <w:tab/>
        <w:t>How can CSOs and the department work together to determine where funds are needed most to ensure equitable and responsive distribution of funds?</w:t>
      </w:r>
    </w:p>
    <w:p w14:paraId="74ED7AEC" w14:textId="17AA49D4"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kern w:val="0"/>
          <w:sz w:val="24"/>
          <w:szCs w:val="22"/>
          <w14:ligatures w14:val="none"/>
        </w:rPr>
      </w:pPr>
      <w:r w:rsidRPr="00B90D88">
        <w:rPr>
          <w:rFonts w:cs="Arial"/>
          <w:kern w:val="0"/>
          <w:sz w:val="24"/>
          <w:szCs w:val="22"/>
          <w14:ligatures w14:val="none"/>
        </w:rPr>
        <w:t>2.6</w:t>
      </w:r>
      <w:r w:rsidRPr="00B90D88">
        <w:rPr>
          <w:rFonts w:cs="Arial"/>
          <w:kern w:val="0"/>
          <w:sz w:val="24"/>
          <w:szCs w:val="22"/>
          <w14:ligatures w14:val="none"/>
        </w:rPr>
        <w:tab/>
        <w:t>How can government streamline reporting requirements, including across multiple grants, to reduce administrative burden on CSOs?</w:t>
      </w:r>
    </w:p>
    <w:p w14:paraId="001867C5" w14:textId="77777777" w:rsidR="005C6EB8" w:rsidRPr="001C48DF" w:rsidRDefault="005C6EB8">
      <w:pPr>
        <w:rPr>
          <w:rFonts w:ascii="Calibri" w:hAnsi="Calibri" w:cs="Calibri"/>
          <w:szCs w:val="22"/>
        </w:rPr>
      </w:pPr>
    </w:p>
    <w:p w14:paraId="05F3FAEE" w14:textId="77777777" w:rsidR="000D68D8" w:rsidRDefault="000D68D8" w:rsidP="003B042A">
      <w:pPr>
        <w:pStyle w:val="Heading3"/>
        <w:spacing w:after="240"/>
        <w:sectPr w:rsidR="000D68D8" w:rsidSect="00E020E0">
          <w:headerReference w:type="default" r:id="rId53"/>
          <w:footerReference w:type="even" r:id="rId54"/>
          <w:footerReference w:type="default" r:id="rId55"/>
          <w:pgSz w:w="11906" w:h="16838"/>
          <w:pgMar w:top="782" w:right="968" w:bottom="807" w:left="1156" w:header="708" w:footer="708" w:gutter="0"/>
          <w:cols w:space="708"/>
          <w:docGrid w:linePitch="360"/>
        </w:sectPr>
      </w:pPr>
    </w:p>
    <w:p w14:paraId="3BADAD85" w14:textId="68C9BFE3" w:rsidR="00B2350B" w:rsidRPr="00A722AE" w:rsidRDefault="00CD326A" w:rsidP="00437102">
      <w:pPr>
        <w:pStyle w:val="Heading2"/>
      </w:pPr>
      <w:bookmarkStart w:id="23" w:name="_Toc141437657"/>
      <w:bookmarkStart w:id="24" w:name="_Toc144983244"/>
      <w:r>
        <w:lastRenderedPageBreak/>
        <w:t>Area of focus</w:t>
      </w:r>
      <w:r w:rsidR="0008327A">
        <w:t xml:space="preserve"> 3</w:t>
      </w:r>
      <w:r>
        <w:t xml:space="preserve">: </w:t>
      </w:r>
      <w:r w:rsidR="005C6EB8" w:rsidRPr="00E6758B">
        <w:t>Providing longer grant agreement terms</w:t>
      </w:r>
      <w:bookmarkEnd w:id="23"/>
      <w:bookmarkEnd w:id="24"/>
    </w:p>
    <w:p w14:paraId="64AA9C01" w14:textId="7C92AB39" w:rsidR="00351107" w:rsidRPr="00AA7A10" w:rsidRDefault="00106861" w:rsidP="003718FE">
      <w:pPr>
        <w:spacing w:line="276" w:lineRule="auto"/>
        <w:rPr>
          <w:rFonts w:cs="Arial"/>
          <w:szCs w:val="22"/>
        </w:rPr>
      </w:pPr>
      <w:r w:rsidRPr="00AA7A10">
        <w:rPr>
          <w:rFonts w:cs="Arial"/>
          <w:szCs w:val="22"/>
        </w:rPr>
        <w:t xml:space="preserve">The </w:t>
      </w:r>
      <w:r w:rsidR="00C8140C" w:rsidRPr="00AA7A10">
        <w:rPr>
          <w:rFonts w:cs="Arial"/>
          <w:szCs w:val="22"/>
        </w:rPr>
        <w:t>g</w:t>
      </w:r>
      <w:r w:rsidRPr="00AA7A10">
        <w:rPr>
          <w:rFonts w:cs="Arial"/>
          <w:szCs w:val="22"/>
        </w:rPr>
        <w:t>overnment acknowledges that s</w:t>
      </w:r>
      <w:r w:rsidR="005C6EB8" w:rsidRPr="00AA7A10">
        <w:rPr>
          <w:rFonts w:cs="Arial"/>
          <w:szCs w:val="22"/>
        </w:rPr>
        <w:t>horter-term funding arrangements</w:t>
      </w:r>
      <w:r w:rsidR="00093F9F" w:rsidRPr="00AA7A10">
        <w:rPr>
          <w:rFonts w:cs="Arial"/>
          <w:szCs w:val="22"/>
        </w:rPr>
        <w:t xml:space="preserve"> (up to 2 years)</w:t>
      </w:r>
      <w:r w:rsidR="005C6EB8" w:rsidRPr="00AA7A10">
        <w:rPr>
          <w:rFonts w:cs="Arial"/>
          <w:szCs w:val="22"/>
        </w:rPr>
        <w:t xml:space="preserve"> can </w:t>
      </w:r>
      <w:r w:rsidRPr="00AA7A10">
        <w:rPr>
          <w:rFonts w:cs="Arial"/>
          <w:szCs w:val="22"/>
        </w:rPr>
        <w:t xml:space="preserve">often </w:t>
      </w:r>
      <w:r w:rsidR="005C6EB8" w:rsidRPr="00AA7A10">
        <w:rPr>
          <w:rFonts w:cs="Arial"/>
          <w:szCs w:val="22"/>
        </w:rPr>
        <w:t>provide less certainty in the community sector</w:t>
      </w:r>
      <w:r w:rsidR="00CE5D7C" w:rsidRPr="00AA7A10">
        <w:rPr>
          <w:rFonts w:cs="Arial"/>
          <w:szCs w:val="22"/>
        </w:rPr>
        <w:t xml:space="preserve">. Organisations </w:t>
      </w:r>
      <w:r w:rsidR="00816769" w:rsidRPr="00AA7A10">
        <w:rPr>
          <w:rFonts w:cs="Arial"/>
          <w:szCs w:val="22"/>
        </w:rPr>
        <w:t xml:space="preserve">usually </w:t>
      </w:r>
      <w:r w:rsidR="00CE5D7C" w:rsidRPr="00AA7A10">
        <w:rPr>
          <w:rFonts w:cs="Arial"/>
          <w:szCs w:val="22"/>
        </w:rPr>
        <w:t>require advance notice in order to ensure service continuity, retain staff or transition clients onto alternative programs.</w:t>
      </w:r>
      <w:r w:rsidR="00B8148B" w:rsidRPr="00AA7A10">
        <w:rPr>
          <w:rFonts w:cs="Arial"/>
          <w:szCs w:val="22"/>
        </w:rPr>
        <w:t xml:space="preserve"> </w:t>
      </w:r>
    </w:p>
    <w:p w14:paraId="715E7BF6" w14:textId="035B09EC" w:rsidR="00B8148B" w:rsidRPr="00AA7A10" w:rsidRDefault="00B8148B" w:rsidP="003718FE">
      <w:pPr>
        <w:spacing w:line="276" w:lineRule="auto"/>
        <w:rPr>
          <w:rFonts w:cs="Arial"/>
          <w:szCs w:val="22"/>
        </w:rPr>
      </w:pPr>
      <w:r w:rsidRPr="00AA7A10">
        <w:rPr>
          <w:rFonts w:cs="Arial"/>
          <w:szCs w:val="22"/>
        </w:rPr>
        <w:t xml:space="preserve">Of the ACNC registered organisations funded through the Community Grants Hub in the 2022-23 financial year (including variations and new agreements): </w:t>
      </w:r>
    </w:p>
    <w:p w14:paraId="4EE04034" w14:textId="07398B62" w:rsidR="00B8148B" w:rsidRPr="00AA7A10" w:rsidRDefault="00B8148B" w:rsidP="00181F7A">
      <w:pPr>
        <w:pStyle w:val="ListParagraph"/>
        <w:numPr>
          <w:ilvl w:val="0"/>
          <w:numId w:val="24"/>
        </w:numPr>
        <w:spacing w:line="276" w:lineRule="auto"/>
        <w:rPr>
          <w:rFonts w:cs="Arial"/>
          <w:szCs w:val="22"/>
        </w:rPr>
      </w:pPr>
      <w:r w:rsidRPr="00AA7A10">
        <w:rPr>
          <w:rFonts w:cs="Arial"/>
          <w:szCs w:val="22"/>
        </w:rPr>
        <w:t>forty-seven per cent of grant agreements are 12 months or less</w:t>
      </w:r>
    </w:p>
    <w:p w14:paraId="38C42891" w14:textId="258895F5" w:rsidR="00B8148B" w:rsidRPr="00AA7A10" w:rsidRDefault="00B8148B" w:rsidP="00181F7A">
      <w:pPr>
        <w:pStyle w:val="ListParagraph"/>
        <w:numPr>
          <w:ilvl w:val="0"/>
          <w:numId w:val="24"/>
        </w:numPr>
        <w:spacing w:line="276" w:lineRule="auto"/>
        <w:rPr>
          <w:rFonts w:cs="Arial"/>
          <w:szCs w:val="22"/>
        </w:rPr>
      </w:pPr>
      <w:r w:rsidRPr="00AA7A10">
        <w:rPr>
          <w:rFonts w:cs="Arial"/>
          <w:szCs w:val="22"/>
        </w:rPr>
        <w:t>twenty-two per cent of grant agreements are between 2 and 4 years</w:t>
      </w:r>
    </w:p>
    <w:p w14:paraId="61EE5DAE" w14:textId="7EC59178" w:rsidR="00B2350B" w:rsidRPr="00437102" w:rsidRDefault="00B8148B" w:rsidP="00181F7A">
      <w:pPr>
        <w:pStyle w:val="ListParagraph"/>
        <w:numPr>
          <w:ilvl w:val="0"/>
          <w:numId w:val="24"/>
        </w:numPr>
        <w:spacing w:line="276" w:lineRule="auto"/>
        <w:rPr>
          <w:rFonts w:cs="Arial"/>
          <w:szCs w:val="22"/>
        </w:rPr>
      </w:pPr>
      <w:r w:rsidRPr="00AA7A10">
        <w:rPr>
          <w:rFonts w:cs="Arial"/>
          <w:szCs w:val="22"/>
        </w:rPr>
        <w:t xml:space="preserve">thirty-one per cent of grant agreements are 5 years or longer. </w:t>
      </w:r>
    </w:p>
    <w:p w14:paraId="1E69CC5D" w14:textId="29EE41F8" w:rsidR="00B2350B" w:rsidRPr="00AA7A10" w:rsidRDefault="00B2350B" w:rsidP="00B2350B">
      <w:pPr>
        <w:spacing w:line="276" w:lineRule="auto"/>
        <w:rPr>
          <w:rFonts w:cs="Arial"/>
          <w:szCs w:val="22"/>
        </w:rPr>
      </w:pPr>
      <w:r w:rsidRPr="00AA7A10">
        <w:rPr>
          <w:rFonts w:cs="Arial"/>
          <w:szCs w:val="22"/>
        </w:rPr>
        <w:t xml:space="preserve">In </w:t>
      </w:r>
      <w:r w:rsidR="004B0946" w:rsidRPr="00AA7A10">
        <w:rPr>
          <w:rFonts w:cs="Arial"/>
          <w:szCs w:val="22"/>
        </w:rPr>
        <w:t xml:space="preserve">the </w:t>
      </w:r>
      <w:r w:rsidRPr="00AA7A10">
        <w:rPr>
          <w:rFonts w:cs="Arial"/>
          <w:szCs w:val="22"/>
        </w:rPr>
        <w:t>2022-23</w:t>
      </w:r>
      <w:r w:rsidR="00533399" w:rsidRPr="00AA7A10">
        <w:rPr>
          <w:rFonts w:cs="Arial"/>
          <w:szCs w:val="22"/>
        </w:rPr>
        <w:t xml:space="preserve"> financial year</w:t>
      </w:r>
      <w:r w:rsidRPr="00AA7A10">
        <w:rPr>
          <w:rFonts w:cs="Arial"/>
          <w:szCs w:val="22"/>
        </w:rPr>
        <w:t xml:space="preserve">, </w:t>
      </w:r>
      <w:r w:rsidR="00C60B9A" w:rsidRPr="00AA7A10">
        <w:rPr>
          <w:rFonts w:cs="Arial"/>
          <w:szCs w:val="22"/>
        </w:rPr>
        <w:t xml:space="preserve">$9.8 </w:t>
      </w:r>
      <w:r w:rsidR="00816769" w:rsidRPr="00AA7A10">
        <w:rPr>
          <w:rFonts w:cs="Arial"/>
          <w:szCs w:val="22"/>
        </w:rPr>
        <w:t>b</w:t>
      </w:r>
      <w:r w:rsidR="004B5373" w:rsidRPr="00AA7A10">
        <w:rPr>
          <w:rFonts w:cs="Arial"/>
          <w:szCs w:val="22"/>
        </w:rPr>
        <w:t xml:space="preserve">illion was provided through new grants and grant variations to ACNC </w:t>
      </w:r>
      <w:r w:rsidR="00C60B9A" w:rsidRPr="00AA7A10">
        <w:rPr>
          <w:rFonts w:cs="Arial"/>
          <w:szCs w:val="22"/>
        </w:rPr>
        <w:t xml:space="preserve">registered </w:t>
      </w:r>
      <w:r w:rsidR="004B5373" w:rsidRPr="00AA7A10">
        <w:rPr>
          <w:rFonts w:cs="Arial"/>
          <w:szCs w:val="22"/>
        </w:rPr>
        <w:t>organisations through the Community Grants Hub</w:t>
      </w:r>
      <w:r w:rsidR="00C60B9A" w:rsidRPr="00AA7A10">
        <w:rPr>
          <w:rFonts w:cs="Arial"/>
          <w:szCs w:val="22"/>
        </w:rPr>
        <w:t>.</w:t>
      </w:r>
      <w:r w:rsidR="004B5373" w:rsidRPr="00AA7A10">
        <w:rPr>
          <w:rFonts w:cs="Arial"/>
          <w:szCs w:val="22"/>
        </w:rPr>
        <w:t xml:space="preserve"> This included </w:t>
      </w:r>
      <w:r w:rsidRPr="00AA7A10">
        <w:rPr>
          <w:rFonts w:cs="Arial"/>
          <w:szCs w:val="22"/>
        </w:rPr>
        <w:t xml:space="preserve">a significant </w:t>
      </w:r>
      <w:r w:rsidR="004B5373" w:rsidRPr="00AA7A10">
        <w:rPr>
          <w:rFonts w:cs="Arial"/>
          <w:szCs w:val="22"/>
        </w:rPr>
        <w:t xml:space="preserve">number </w:t>
      </w:r>
      <w:r w:rsidRPr="00AA7A10">
        <w:rPr>
          <w:rFonts w:cs="Arial"/>
          <w:szCs w:val="22"/>
        </w:rPr>
        <w:t>of grant variations</w:t>
      </w:r>
      <w:r w:rsidR="00C651C1" w:rsidRPr="00AA7A10">
        <w:rPr>
          <w:rFonts w:cs="Arial"/>
          <w:szCs w:val="22"/>
        </w:rPr>
        <w:t xml:space="preserve"> typically to extend the timeframe in which to expend grant funds</w:t>
      </w:r>
      <w:r w:rsidRPr="00AA7A10">
        <w:rPr>
          <w:rFonts w:cs="Arial"/>
          <w:szCs w:val="22"/>
        </w:rPr>
        <w:t>, compared to previous years. Almost $635 million was provided as part of grant variations by the department</w:t>
      </w:r>
      <w:r w:rsidRPr="00AA7A10">
        <w:rPr>
          <w:rStyle w:val="FootnoteReference"/>
          <w:rFonts w:cs="Arial"/>
          <w:szCs w:val="22"/>
        </w:rPr>
        <w:footnoteReference w:id="7"/>
      </w:r>
      <w:r w:rsidRPr="00AA7A10">
        <w:rPr>
          <w:rFonts w:cs="Arial"/>
          <w:szCs w:val="22"/>
        </w:rPr>
        <w:t xml:space="preserve">. In many of these cases, sufficient notice was given for variations. </w:t>
      </w:r>
      <w:r w:rsidR="00E35326" w:rsidRPr="00AA7A10">
        <w:rPr>
          <w:rFonts w:cs="Arial"/>
          <w:szCs w:val="22"/>
        </w:rPr>
        <w:t xml:space="preserve"> Arguably, it may be preferable to reach a situation where grant variations are minimised.</w:t>
      </w:r>
    </w:p>
    <w:p w14:paraId="0505377C" w14:textId="3674961D" w:rsidR="005C6EB8" w:rsidRPr="00AA7A10" w:rsidRDefault="004318BF" w:rsidP="003718FE">
      <w:pPr>
        <w:spacing w:line="276" w:lineRule="auto"/>
        <w:rPr>
          <w:rFonts w:cs="Arial"/>
          <w:szCs w:val="22"/>
        </w:rPr>
      </w:pPr>
      <w:r w:rsidRPr="00AA7A10">
        <w:rPr>
          <w:rFonts w:cs="Arial"/>
          <w:szCs w:val="22"/>
        </w:rPr>
        <w:t xml:space="preserve">However, some programs </w:t>
      </w:r>
      <w:r w:rsidR="004C7584" w:rsidRPr="00AA7A10">
        <w:rPr>
          <w:rFonts w:cs="Arial"/>
          <w:szCs w:val="22"/>
        </w:rPr>
        <w:t>are</w:t>
      </w:r>
      <w:r w:rsidR="00CD4EFD" w:rsidRPr="00AA7A10">
        <w:rPr>
          <w:rFonts w:cs="Arial"/>
          <w:szCs w:val="22"/>
        </w:rPr>
        <w:t xml:space="preserve"> </w:t>
      </w:r>
      <w:r w:rsidR="00B7111B" w:rsidRPr="00AA7A10">
        <w:rPr>
          <w:rFonts w:cs="Arial"/>
          <w:szCs w:val="22"/>
        </w:rPr>
        <w:t xml:space="preserve">specifically </w:t>
      </w:r>
      <w:r w:rsidR="004C7584" w:rsidRPr="00AA7A10">
        <w:rPr>
          <w:rFonts w:cs="Arial"/>
          <w:szCs w:val="22"/>
        </w:rPr>
        <w:t xml:space="preserve">designed </w:t>
      </w:r>
      <w:r w:rsidR="00CD4EFD" w:rsidRPr="00AA7A10">
        <w:rPr>
          <w:rFonts w:cs="Arial"/>
          <w:szCs w:val="22"/>
        </w:rPr>
        <w:t>for shorter</w:t>
      </w:r>
      <w:r w:rsidR="00533399" w:rsidRPr="00AA7A10">
        <w:rPr>
          <w:rFonts w:cs="Arial"/>
          <w:szCs w:val="22"/>
        </w:rPr>
        <w:t>-</w:t>
      </w:r>
      <w:r w:rsidR="00CD4EFD" w:rsidRPr="00AA7A10">
        <w:rPr>
          <w:rFonts w:cs="Arial"/>
          <w:szCs w:val="22"/>
        </w:rPr>
        <w:t xml:space="preserve">term (e.g. </w:t>
      </w:r>
      <w:r w:rsidR="00B8148B" w:rsidRPr="00AA7A10">
        <w:rPr>
          <w:rFonts w:cs="Arial"/>
          <w:szCs w:val="22"/>
        </w:rPr>
        <w:t>2</w:t>
      </w:r>
      <w:r w:rsidR="00533399" w:rsidRPr="00AA7A10">
        <w:rPr>
          <w:rFonts w:cs="Arial"/>
          <w:szCs w:val="22"/>
        </w:rPr>
        <w:t>-</w:t>
      </w:r>
      <w:r w:rsidR="00CD4EFD" w:rsidRPr="00AA7A10">
        <w:rPr>
          <w:rFonts w:cs="Arial"/>
          <w:szCs w:val="22"/>
        </w:rPr>
        <w:t>year)</w:t>
      </w:r>
      <w:r w:rsidR="004C7584" w:rsidRPr="00AA7A10">
        <w:rPr>
          <w:rFonts w:cs="Arial"/>
          <w:szCs w:val="22"/>
        </w:rPr>
        <w:t xml:space="preserve"> grant funding</w:t>
      </w:r>
      <w:r w:rsidR="00CD4EFD" w:rsidRPr="00AA7A10">
        <w:rPr>
          <w:rFonts w:cs="Arial"/>
          <w:szCs w:val="22"/>
        </w:rPr>
        <w:t xml:space="preserve"> as the</w:t>
      </w:r>
      <w:r w:rsidR="004B5373" w:rsidRPr="00AA7A10">
        <w:rPr>
          <w:rFonts w:cs="Arial"/>
          <w:szCs w:val="22"/>
        </w:rPr>
        <w:t>se</w:t>
      </w:r>
      <w:r w:rsidR="00CD4EFD" w:rsidRPr="00AA7A10">
        <w:rPr>
          <w:rFonts w:cs="Arial"/>
          <w:szCs w:val="22"/>
        </w:rPr>
        <w:t xml:space="preserve"> grants support</w:t>
      </w:r>
      <w:r w:rsidR="004C7584" w:rsidRPr="00AA7A10">
        <w:rPr>
          <w:rFonts w:cs="Arial"/>
          <w:szCs w:val="22"/>
        </w:rPr>
        <w:t xml:space="preserve"> organisations </w:t>
      </w:r>
      <w:r w:rsidR="00CD4EFD" w:rsidRPr="00AA7A10">
        <w:rPr>
          <w:rFonts w:cs="Arial"/>
          <w:szCs w:val="22"/>
        </w:rPr>
        <w:t>with</w:t>
      </w:r>
      <w:r w:rsidR="004C7584" w:rsidRPr="00AA7A10">
        <w:rPr>
          <w:rFonts w:cs="Arial"/>
          <w:szCs w:val="22"/>
        </w:rPr>
        <w:t xml:space="preserve"> one-off, time</w:t>
      </w:r>
      <w:r w:rsidR="004B0946" w:rsidRPr="00AA7A10">
        <w:rPr>
          <w:rFonts w:cs="Arial"/>
          <w:szCs w:val="22"/>
        </w:rPr>
        <w:t>-</w:t>
      </w:r>
      <w:r w:rsidR="004C7584" w:rsidRPr="00AA7A10">
        <w:rPr>
          <w:rFonts w:cs="Arial"/>
          <w:szCs w:val="22"/>
        </w:rPr>
        <w:t>limited projects</w:t>
      </w:r>
      <w:r w:rsidR="008D2FAD" w:rsidRPr="00AA7A10">
        <w:rPr>
          <w:rFonts w:cs="Arial"/>
          <w:szCs w:val="22"/>
        </w:rPr>
        <w:t xml:space="preserve">. For example, </w:t>
      </w:r>
      <w:r w:rsidR="004C7584" w:rsidRPr="00AA7A10">
        <w:rPr>
          <w:rFonts w:cs="Arial"/>
          <w:szCs w:val="22"/>
        </w:rPr>
        <w:t xml:space="preserve">the </w:t>
      </w:r>
      <w:hyperlink r:id="rId56" w:anchor=":~:text=The%20%2463%20million%20SARC%20%E2%80%93%20IC,being%20disengaged%2C%20marginalised" w:history="1">
        <w:r w:rsidR="004C7584" w:rsidRPr="00AA7A10">
          <w:rPr>
            <w:rStyle w:val="Hyperlink"/>
            <w:rFonts w:cs="Arial"/>
            <w:i/>
            <w:szCs w:val="22"/>
          </w:rPr>
          <w:t>Strong and Resilient Communities</w:t>
        </w:r>
      </w:hyperlink>
      <w:r w:rsidR="008D2FAD" w:rsidRPr="00AA7A10">
        <w:rPr>
          <w:rFonts w:cs="Arial"/>
          <w:szCs w:val="22"/>
        </w:rPr>
        <w:t xml:space="preserve"> </w:t>
      </w:r>
      <w:r w:rsidR="005F34EA" w:rsidRPr="00AA7A10">
        <w:rPr>
          <w:rFonts w:cs="Arial"/>
          <w:szCs w:val="22"/>
        </w:rPr>
        <w:t>A</w:t>
      </w:r>
      <w:r w:rsidR="008D2FAD" w:rsidRPr="00AA7A10">
        <w:rPr>
          <w:rFonts w:cs="Arial"/>
          <w:szCs w:val="22"/>
        </w:rPr>
        <w:t>ctivity</w:t>
      </w:r>
      <w:r w:rsidR="0009456F">
        <w:rPr>
          <w:rFonts w:cs="Arial"/>
          <w:szCs w:val="22"/>
        </w:rPr>
        <w:t>,</w:t>
      </w:r>
      <w:r w:rsidR="00020EDD" w:rsidRPr="00AA7A10">
        <w:rPr>
          <w:rFonts w:cs="Arial"/>
          <w:szCs w:val="22"/>
        </w:rPr>
        <w:t xml:space="preserve"> which provides grant funding to support vulnerable and disadvantaged people participate socially and economically through local community-driven solutions</w:t>
      </w:r>
      <w:r w:rsidR="005F34EA" w:rsidRPr="00AA7A10">
        <w:rPr>
          <w:rFonts w:cs="Arial"/>
          <w:szCs w:val="22"/>
        </w:rPr>
        <w:t>.</w:t>
      </w:r>
    </w:p>
    <w:p w14:paraId="0E76B3C2" w14:textId="48D6A47E" w:rsidR="00F64E70" w:rsidRPr="00AA7A10" w:rsidRDefault="00E35326" w:rsidP="000F790C">
      <w:pPr>
        <w:spacing w:line="276" w:lineRule="auto"/>
        <w:rPr>
          <w:rFonts w:cs="Arial"/>
          <w:szCs w:val="22"/>
        </w:rPr>
      </w:pPr>
      <w:r w:rsidRPr="00AA7A10">
        <w:rPr>
          <w:rFonts w:cs="Arial"/>
          <w:szCs w:val="22"/>
        </w:rPr>
        <w:t>Longer</w:t>
      </w:r>
      <w:r w:rsidR="004B0946" w:rsidRPr="00AA7A10">
        <w:rPr>
          <w:rFonts w:cs="Arial"/>
          <w:szCs w:val="22"/>
        </w:rPr>
        <w:t>-</w:t>
      </w:r>
      <w:r w:rsidRPr="00AA7A10">
        <w:rPr>
          <w:rFonts w:cs="Arial"/>
          <w:szCs w:val="22"/>
        </w:rPr>
        <w:t xml:space="preserve">term funding agreements are typically used to </w:t>
      </w:r>
      <w:r w:rsidR="00232C22" w:rsidRPr="00AA7A10">
        <w:rPr>
          <w:rFonts w:cs="Arial"/>
          <w:szCs w:val="22"/>
        </w:rPr>
        <w:t xml:space="preserve">provide stability to the sector and allow business planning for CSOs where overheads primarily comprise of staffing, IT and </w:t>
      </w:r>
      <w:r w:rsidR="00D72498" w:rsidRPr="00AA7A10">
        <w:rPr>
          <w:rFonts w:cs="Arial"/>
          <w:szCs w:val="22"/>
        </w:rPr>
        <w:t>property</w:t>
      </w:r>
      <w:r w:rsidR="00232C22" w:rsidRPr="00AA7A10">
        <w:rPr>
          <w:rFonts w:cs="Arial"/>
          <w:szCs w:val="22"/>
        </w:rPr>
        <w:t xml:space="preserve"> costs.</w:t>
      </w:r>
      <w:r w:rsidRPr="00AA7A10">
        <w:rPr>
          <w:rFonts w:cs="Arial"/>
          <w:szCs w:val="22"/>
        </w:rPr>
        <w:t xml:space="preserve"> </w:t>
      </w:r>
      <w:r w:rsidR="000F790C" w:rsidRPr="00AA7A10">
        <w:rPr>
          <w:rFonts w:cs="Arial"/>
          <w:szCs w:val="22"/>
        </w:rPr>
        <w:t xml:space="preserve">Longer-term funding agreements need to </w:t>
      </w:r>
      <w:r w:rsidR="00F24DFC" w:rsidRPr="00AA7A10">
        <w:rPr>
          <w:rFonts w:cs="Arial"/>
          <w:szCs w:val="22"/>
        </w:rPr>
        <w:t xml:space="preserve">be able to </w:t>
      </w:r>
      <w:r w:rsidR="00B6086B" w:rsidRPr="00AA7A10">
        <w:rPr>
          <w:rFonts w:cs="Arial"/>
          <w:szCs w:val="22"/>
        </w:rPr>
        <w:t xml:space="preserve">be responsive to </w:t>
      </w:r>
      <w:r w:rsidR="000F790C" w:rsidRPr="00AA7A10">
        <w:rPr>
          <w:rFonts w:cs="Arial"/>
          <w:szCs w:val="22"/>
        </w:rPr>
        <w:t xml:space="preserve">changes </w:t>
      </w:r>
      <w:r w:rsidR="00F24DFC" w:rsidRPr="00AA7A10">
        <w:rPr>
          <w:rFonts w:cs="Arial"/>
          <w:szCs w:val="22"/>
        </w:rPr>
        <w:t xml:space="preserve">in the economy and other </w:t>
      </w:r>
      <w:r w:rsidR="000F790C" w:rsidRPr="00AA7A10">
        <w:rPr>
          <w:rFonts w:cs="Arial"/>
          <w:szCs w:val="22"/>
        </w:rPr>
        <w:t xml:space="preserve">external factors that occur within the </w:t>
      </w:r>
      <w:r w:rsidR="00B6086B" w:rsidRPr="00AA7A10">
        <w:rPr>
          <w:rFonts w:cs="Arial"/>
          <w:szCs w:val="22"/>
        </w:rPr>
        <w:t>lifecycle of the grant</w:t>
      </w:r>
      <w:r w:rsidR="000F790C" w:rsidRPr="00AA7A10">
        <w:rPr>
          <w:rFonts w:cs="Arial"/>
          <w:szCs w:val="22"/>
        </w:rPr>
        <w:t>. This is currently supported by indexation arrangements within longer</w:t>
      </w:r>
      <w:r w:rsidRPr="00AA7A10">
        <w:rPr>
          <w:rFonts w:cs="Arial"/>
          <w:szCs w:val="22"/>
        </w:rPr>
        <w:noBreakHyphen/>
      </w:r>
      <w:r w:rsidR="000F790C" w:rsidRPr="00AA7A10">
        <w:rPr>
          <w:rFonts w:cs="Arial"/>
          <w:szCs w:val="22"/>
        </w:rPr>
        <w:t xml:space="preserve">term grant funding agreements where </w:t>
      </w:r>
      <w:r w:rsidR="00C8140C" w:rsidRPr="00AA7A10">
        <w:rPr>
          <w:rFonts w:cs="Arial"/>
          <w:szCs w:val="22"/>
        </w:rPr>
        <w:t>g</w:t>
      </w:r>
      <w:r w:rsidR="000F790C" w:rsidRPr="00AA7A10">
        <w:rPr>
          <w:rFonts w:cs="Arial"/>
          <w:szCs w:val="22"/>
        </w:rPr>
        <w:t xml:space="preserve">overnment has made a decision to apply indexation to the grant program. </w:t>
      </w:r>
    </w:p>
    <w:p w14:paraId="1B0DE49E" w14:textId="3CA15748" w:rsidR="000F790C" w:rsidRPr="00AA7A10" w:rsidRDefault="000F790C" w:rsidP="00E303BE">
      <w:pPr>
        <w:spacing w:line="276" w:lineRule="auto"/>
        <w:rPr>
          <w:rFonts w:cs="Arial"/>
          <w:szCs w:val="22"/>
        </w:rPr>
      </w:pPr>
      <w:r w:rsidRPr="00AA7A10">
        <w:rPr>
          <w:rFonts w:cs="Arial"/>
          <w:szCs w:val="22"/>
        </w:rPr>
        <w:t xml:space="preserve">A </w:t>
      </w:r>
      <w:r w:rsidR="004B6060" w:rsidRPr="00AA7A10">
        <w:rPr>
          <w:rFonts w:cs="Arial"/>
          <w:szCs w:val="22"/>
        </w:rPr>
        <w:t>recognised</w:t>
      </w:r>
      <w:r w:rsidRPr="00AA7A10">
        <w:rPr>
          <w:rFonts w:cs="Arial"/>
          <w:szCs w:val="22"/>
        </w:rPr>
        <w:t xml:space="preserve"> challenge of longer-term grant agreements is that they may lock potential new providers out of the market</w:t>
      </w:r>
      <w:r w:rsidR="00CE5D7C" w:rsidRPr="00AA7A10">
        <w:rPr>
          <w:rFonts w:cs="Arial"/>
          <w:szCs w:val="22"/>
        </w:rPr>
        <w:t xml:space="preserve"> or inhibit the sector’s ability to respond to emerging opportunities or </w:t>
      </w:r>
      <w:r w:rsidR="005903C8" w:rsidRPr="00AA7A10">
        <w:rPr>
          <w:rFonts w:cs="Arial"/>
          <w:szCs w:val="22"/>
        </w:rPr>
        <w:t>new developments within the community. They also may limit CSOs</w:t>
      </w:r>
      <w:r w:rsidR="0009456F">
        <w:rPr>
          <w:rFonts w:cs="Arial"/>
          <w:szCs w:val="22"/>
        </w:rPr>
        <w:t>’</w:t>
      </w:r>
      <w:r w:rsidR="005903C8" w:rsidRPr="00AA7A10">
        <w:rPr>
          <w:rFonts w:cs="Arial"/>
          <w:szCs w:val="22"/>
        </w:rPr>
        <w:t xml:space="preserve"> </w:t>
      </w:r>
      <w:r w:rsidR="00B8148B" w:rsidRPr="00AA7A10">
        <w:rPr>
          <w:rFonts w:cs="Arial"/>
          <w:szCs w:val="22"/>
        </w:rPr>
        <w:t xml:space="preserve">ability </w:t>
      </w:r>
      <w:r w:rsidR="005903C8" w:rsidRPr="00AA7A10">
        <w:rPr>
          <w:rFonts w:cs="Arial"/>
          <w:szCs w:val="22"/>
        </w:rPr>
        <w:t xml:space="preserve">to </w:t>
      </w:r>
      <w:r w:rsidR="00CE5D7C" w:rsidRPr="00AA7A10">
        <w:rPr>
          <w:rFonts w:cs="Arial"/>
          <w:szCs w:val="22"/>
        </w:rPr>
        <w:t xml:space="preserve">innovate </w:t>
      </w:r>
      <w:r w:rsidR="005903C8" w:rsidRPr="00AA7A10">
        <w:rPr>
          <w:rFonts w:cs="Arial"/>
          <w:szCs w:val="22"/>
        </w:rPr>
        <w:t xml:space="preserve">within the lifecycle of a </w:t>
      </w:r>
      <w:r w:rsidR="00CE5D7C" w:rsidRPr="00AA7A10">
        <w:rPr>
          <w:rFonts w:cs="Arial"/>
          <w:szCs w:val="22"/>
        </w:rPr>
        <w:t>grant agreement</w:t>
      </w:r>
      <w:r w:rsidR="005903C8" w:rsidRPr="00AA7A10">
        <w:rPr>
          <w:rFonts w:cs="Arial"/>
          <w:szCs w:val="22"/>
        </w:rPr>
        <w:t xml:space="preserve"> or restrict the ability to evaluate or review programs</w:t>
      </w:r>
      <w:r w:rsidRPr="00AA7A10">
        <w:rPr>
          <w:rFonts w:cs="Arial"/>
          <w:szCs w:val="22"/>
        </w:rPr>
        <w:t>.</w:t>
      </w:r>
      <w:r w:rsidR="00F64E70" w:rsidRPr="00AA7A10">
        <w:rPr>
          <w:rFonts w:cs="Arial"/>
          <w:szCs w:val="22"/>
        </w:rPr>
        <w:t xml:space="preserve"> In order to </w:t>
      </w:r>
      <w:r w:rsidR="00E303BE" w:rsidRPr="00AA7A10">
        <w:rPr>
          <w:rFonts w:cs="Arial"/>
          <w:szCs w:val="22"/>
        </w:rPr>
        <w:t xml:space="preserve">build a more diverse community services sector, the </w:t>
      </w:r>
      <w:r w:rsidR="00C8140C" w:rsidRPr="00AA7A10">
        <w:rPr>
          <w:rFonts w:cs="Arial"/>
          <w:szCs w:val="22"/>
        </w:rPr>
        <w:t>g</w:t>
      </w:r>
      <w:r w:rsidR="00E303BE" w:rsidRPr="00AA7A10">
        <w:rPr>
          <w:rFonts w:cs="Arial"/>
          <w:szCs w:val="22"/>
        </w:rPr>
        <w:t xml:space="preserve">overnment </w:t>
      </w:r>
      <w:r w:rsidR="00413A00" w:rsidRPr="00AA7A10">
        <w:rPr>
          <w:rFonts w:cs="Arial"/>
          <w:szCs w:val="22"/>
        </w:rPr>
        <w:t xml:space="preserve">will need to </w:t>
      </w:r>
      <w:r w:rsidR="00B33955" w:rsidRPr="00AA7A10">
        <w:rPr>
          <w:rFonts w:cs="Arial"/>
          <w:szCs w:val="22"/>
        </w:rPr>
        <w:t xml:space="preserve">ensure </w:t>
      </w:r>
      <w:r w:rsidR="00A46E1F" w:rsidRPr="00AA7A10">
        <w:rPr>
          <w:rFonts w:cs="Arial"/>
          <w:szCs w:val="22"/>
        </w:rPr>
        <w:t xml:space="preserve">that </w:t>
      </w:r>
      <w:r w:rsidR="003502CF" w:rsidRPr="00AA7A10">
        <w:rPr>
          <w:rFonts w:cs="Arial"/>
          <w:szCs w:val="22"/>
        </w:rPr>
        <w:t xml:space="preserve">any </w:t>
      </w:r>
      <w:r w:rsidR="00B33955" w:rsidRPr="00AA7A10">
        <w:rPr>
          <w:rFonts w:cs="Arial"/>
          <w:szCs w:val="22"/>
        </w:rPr>
        <w:t>longer</w:t>
      </w:r>
      <w:r w:rsidR="004B0946" w:rsidRPr="00AA7A10">
        <w:rPr>
          <w:rFonts w:cs="Arial"/>
          <w:szCs w:val="22"/>
        </w:rPr>
        <w:t>-</w:t>
      </w:r>
      <w:r w:rsidR="00B33955" w:rsidRPr="00AA7A10">
        <w:rPr>
          <w:rFonts w:cs="Arial"/>
          <w:szCs w:val="22"/>
        </w:rPr>
        <w:t xml:space="preserve">term funding arrangements </w:t>
      </w:r>
      <w:r w:rsidR="00994670" w:rsidRPr="00AA7A10">
        <w:rPr>
          <w:rFonts w:cs="Arial"/>
          <w:szCs w:val="22"/>
        </w:rPr>
        <w:t xml:space="preserve">promote and </w:t>
      </w:r>
      <w:r w:rsidR="00A46E1F" w:rsidRPr="00AA7A10">
        <w:rPr>
          <w:rFonts w:cs="Arial"/>
          <w:szCs w:val="22"/>
        </w:rPr>
        <w:t>allow for</w:t>
      </w:r>
      <w:r w:rsidR="00B33955" w:rsidRPr="00AA7A10">
        <w:rPr>
          <w:rFonts w:cs="Arial"/>
          <w:szCs w:val="22"/>
        </w:rPr>
        <w:t xml:space="preserve"> </w:t>
      </w:r>
      <w:r w:rsidR="00A46E1F" w:rsidRPr="00AA7A10">
        <w:rPr>
          <w:rFonts w:cs="Arial"/>
          <w:szCs w:val="22"/>
        </w:rPr>
        <w:t xml:space="preserve">the inclusion of local organisations and have built-in review and evaluation periods.  </w:t>
      </w:r>
    </w:p>
    <w:p w14:paraId="698A44B1" w14:textId="1AAA29A9" w:rsidR="005C6EB8" w:rsidRPr="00E5620F" w:rsidRDefault="005C6EB8" w:rsidP="00437102">
      <w:pPr>
        <w:pStyle w:val="Heading3"/>
      </w:pPr>
      <w:r w:rsidRPr="00E5620F">
        <w:t xml:space="preserve">What </w:t>
      </w:r>
      <w:r w:rsidR="000250EE" w:rsidRPr="00E5620F">
        <w:t>the department</w:t>
      </w:r>
      <w:r w:rsidRPr="00E5620F">
        <w:t xml:space="preserve"> ha</w:t>
      </w:r>
      <w:r w:rsidR="000250EE" w:rsidRPr="00E5620F">
        <w:t>s</w:t>
      </w:r>
      <w:r w:rsidRPr="00E5620F">
        <w:t xml:space="preserve"> heard</w:t>
      </w:r>
    </w:p>
    <w:p w14:paraId="12B5C1AA" w14:textId="77777777" w:rsidR="00B8148B" w:rsidRPr="00AA7A10" w:rsidRDefault="005C6EB8" w:rsidP="000C011F">
      <w:pPr>
        <w:spacing w:line="276" w:lineRule="auto"/>
        <w:rPr>
          <w:rFonts w:cs="Arial"/>
          <w:szCs w:val="22"/>
        </w:rPr>
      </w:pPr>
      <w:r w:rsidRPr="00AA7A10">
        <w:rPr>
          <w:rFonts w:cs="Arial"/>
          <w:szCs w:val="22"/>
        </w:rPr>
        <w:t xml:space="preserve">CSOs report that short-term funding arrangements </w:t>
      </w:r>
      <w:r w:rsidR="00216B96" w:rsidRPr="00AA7A10">
        <w:rPr>
          <w:rFonts w:cs="Arial"/>
          <w:szCs w:val="22"/>
        </w:rPr>
        <w:t xml:space="preserve">compromise </w:t>
      </w:r>
      <w:r w:rsidRPr="00AA7A10">
        <w:rPr>
          <w:rFonts w:cs="Arial"/>
          <w:szCs w:val="22"/>
        </w:rPr>
        <w:t xml:space="preserve">the sustainability of organisations and the programs they offer. Of particular concern is the impact of short-term funding arrangements on CSOs’ ability to recruit and retain staff required to deliver programs and services. It also </w:t>
      </w:r>
      <w:r w:rsidR="00533399" w:rsidRPr="00AA7A10">
        <w:rPr>
          <w:rFonts w:cs="Arial"/>
          <w:szCs w:val="22"/>
        </w:rPr>
        <w:t xml:space="preserve">affects </w:t>
      </w:r>
      <w:r w:rsidRPr="00AA7A10">
        <w:rPr>
          <w:rFonts w:cs="Arial"/>
          <w:szCs w:val="22"/>
        </w:rPr>
        <w:t>their ability to</w:t>
      </w:r>
      <w:r w:rsidR="00B8148B" w:rsidRPr="00AA7A10">
        <w:rPr>
          <w:rFonts w:cs="Arial"/>
          <w:szCs w:val="22"/>
        </w:rPr>
        <w:t>:</w:t>
      </w:r>
    </w:p>
    <w:p w14:paraId="78124D58" w14:textId="272BDE8C" w:rsidR="00B8148B" w:rsidRPr="00AA7A10" w:rsidRDefault="005C6EB8" w:rsidP="00181F7A">
      <w:pPr>
        <w:pStyle w:val="ListParagraph"/>
        <w:numPr>
          <w:ilvl w:val="0"/>
          <w:numId w:val="25"/>
        </w:numPr>
        <w:spacing w:line="276" w:lineRule="auto"/>
        <w:rPr>
          <w:rFonts w:cs="Arial"/>
          <w:szCs w:val="22"/>
        </w:rPr>
      </w:pPr>
      <w:r w:rsidRPr="00F21392">
        <w:rPr>
          <w:rFonts w:cs="Arial"/>
          <w:szCs w:val="22"/>
        </w:rPr>
        <w:t>forward plan</w:t>
      </w:r>
    </w:p>
    <w:p w14:paraId="4088268F" w14:textId="7798038D" w:rsidR="00B8148B" w:rsidRPr="00AA7A10" w:rsidRDefault="00745FC5" w:rsidP="00181F7A">
      <w:pPr>
        <w:pStyle w:val="ListParagraph"/>
        <w:numPr>
          <w:ilvl w:val="0"/>
          <w:numId w:val="25"/>
        </w:numPr>
        <w:spacing w:line="276" w:lineRule="auto"/>
        <w:rPr>
          <w:rFonts w:cs="Arial"/>
          <w:szCs w:val="22"/>
        </w:rPr>
      </w:pPr>
      <w:r w:rsidRPr="00437102">
        <w:rPr>
          <w:rFonts w:cs="Arial"/>
          <w:szCs w:val="22"/>
        </w:rPr>
        <w:t>focus on research, advocacy and policy development objectives</w:t>
      </w:r>
    </w:p>
    <w:p w14:paraId="4AAA8C89" w14:textId="3416BBEF" w:rsidR="005C6EB8" w:rsidRPr="00437102" w:rsidRDefault="005C6EB8" w:rsidP="00181F7A">
      <w:pPr>
        <w:pStyle w:val="ListParagraph"/>
        <w:numPr>
          <w:ilvl w:val="0"/>
          <w:numId w:val="25"/>
        </w:numPr>
        <w:spacing w:line="276" w:lineRule="auto"/>
        <w:rPr>
          <w:rFonts w:cs="Arial"/>
          <w:szCs w:val="22"/>
        </w:rPr>
      </w:pPr>
      <w:r w:rsidRPr="00437102">
        <w:rPr>
          <w:rFonts w:cs="Arial"/>
          <w:szCs w:val="22"/>
        </w:rPr>
        <w:t>achieve longer-term outcomes.</w:t>
      </w:r>
    </w:p>
    <w:p w14:paraId="3C68A8FB" w14:textId="77A1B24A" w:rsidR="005C6EB8" w:rsidRPr="00AA7A10" w:rsidRDefault="005C6EB8" w:rsidP="000C011F">
      <w:pPr>
        <w:spacing w:line="276" w:lineRule="auto"/>
        <w:rPr>
          <w:rFonts w:cs="Arial"/>
          <w:szCs w:val="22"/>
        </w:rPr>
      </w:pPr>
      <w:r w:rsidRPr="00AA7A10">
        <w:rPr>
          <w:rFonts w:cs="Arial"/>
          <w:szCs w:val="22"/>
        </w:rPr>
        <w:lastRenderedPageBreak/>
        <w:t>Short-term grants are often tied to specific programs or activities. CSOs report that this can make it difficult to redirect resources to address emerging needs</w:t>
      </w:r>
      <w:r w:rsidR="00745FC5" w:rsidRPr="00AA7A10">
        <w:rPr>
          <w:rFonts w:cs="Arial"/>
          <w:szCs w:val="22"/>
        </w:rPr>
        <w:t>,</w:t>
      </w:r>
      <w:r w:rsidRPr="00AA7A10">
        <w:rPr>
          <w:rFonts w:cs="Arial"/>
          <w:szCs w:val="22"/>
        </w:rPr>
        <w:t xml:space="preserve"> or to invest in more innovative solutions to achieve outcomes</w:t>
      </w:r>
      <w:r w:rsidR="00745FC5" w:rsidRPr="00AA7A10">
        <w:rPr>
          <w:rFonts w:cs="Arial"/>
          <w:szCs w:val="22"/>
        </w:rPr>
        <w:t xml:space="preserve"> or goals</w:t>
      </w:r>
      <w:r w:rsidRPr="00AA7A10">
        <w:rPr>
          <w:rFonts w:cs="Arial"/>
          <w:szCs w:val="22"/>
        </w:rPr>
        <w:t>.</w:t>
      </w:r>
      <w:r w:rsidR="00580E9D" w:rsidRPr="00AA7A10">
        <w:rPr>
          <w:rFonts w:cs="Arial"/>
          <w:szCs w:val="22"/>
        </w:rPr>
        <w:t xml:space="preserve"> Some of these short-term grants would not attract indexation because they are </w:t>
      </w:r>
      <w:r w:rsidR="00C77BE0" w:rsidRPr="00AA7A10">
        <w:rPr>
          <w:rFonts w:cs="Arial"/>
          <w:szCs w:val="22"/>
        </w:rPr>
        <w:t>fixed-</w:t>
      </w:r>
      <w:r w:rsidR="00580E9D" w:rsidRPr="00AA7A10">
        <w:rPr>
          <w:rFonts w:cs="Arial"/>
          <w:szCs w:val="22"/>
        </w:rPr>
        <w:t>price services, funded for 12 months or less, or are specific</w:t>
      </w:r>
      <w:r w:rsidR="004B0946" w:rsidRPr="00AA7A10">
        <w:rPr>
          <w:rFonts w:cs="Arial"/>
          <w:szCs w:val="22"/>
        </w:rPr>
        <w:t>ally</w:t>
      </w:r>
      <w:r w:rsidR="00580E9D" w:rsidRPr="00AA7A10">
        <w:rPr>
          <w:rFonts w:cs="Arial"/>
          <w:szCs w:val="22"/>
        </w:rPr>
        <w:t xml:space="preserve"> </w:t>
      </w:r>
      <w:r w:rsidR="00C77BE0" w:rsidRPr="00AA7A10">
        <w:rPr>
          <w:rFonts w:cs="Arial"/>
          <w:szCs w:val="22"/>
        </w:rPr>
        <w:t>project-</w:t>
      </w:r>
      <w:r w:rsidR="00580E9D" w:rsidRPr="00AA7A10">
        <w:rPr>
          <w:rFonts w:cs="Arial"/>
          <w:szCs w:val="22"/>
        </w:rPr>
        <w:t>based.</w:t>
      </w:r>
    </w:p>
    <w:p w14:paraId="72118980" w14:textId="67347C70" w:rsidR="005C6EB8" w:rsidRPr="00AA7A10" w:rsidRDefault="005C6EB8" w:rsidP="000C011F">
      <w:pPr>
        <w:spacing w:line="276" w:lineRule="auto"/>
        <w:rPr>
          <w:rFonts w:cs="Arial"/>
          <w:szCs w:val="22"/>
        </w:rPr>
      </w:pPr>
      <w:r w:rsidRPr="00AA7A10">
        <w:rPr>
          <w:rFonts w:cs="Arial"/>
          <w:szCs w:val="22"/>
        </w:rPr>
        <w:t>The community sector has identified the following challenges</w:t>
      </w:r>
      <w:r w:rsidR="00B8148B" w:rsidRPr="00AA7A10">
        <w:rPr>
          <w:rFonts w:cs="Arial"/>
          <w:szCs w:val="22"/>
        </w:rPr>
        <w:t>.</w:t>
      </w:r>
    </w:p>
    <w:p w14:paraId="2D709F7F" w14:textId="76AA6B91" w:rsidR="005C6EB8"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Short notice periods for renewal and cessation of grants </w:t>
      </w:r>
      <w:r w:rsidR="00533399" w:rsidRPr="00AA7A10">
        <w:rPr>
          <w:rFonts w:eastAsia="Times New Roman"/>
          <w:iCs/>
          <w:color w:val="000000" w:themeColor="text1"/>
          <w:spacing w:val="2"/>
          <w:sz w:val="22"/>
          <w:szCs w:val="22"/>
        </w:rPr>
        <w:t xml:space="preserve">affect </w:t>
      </w:r>
      <w:r w:rsidRPr="00AA7A10">
        <w:rPr>
          <w:rFonts w:eastAsia="Times New Roman"/>
          <w:iCs/>
          <w:color w:val="000000" w:themeColor="text1"/>
          <w:spacing w:val="2"/>
          <w:sz w:val="22"/>
          <w:szCs w:val="22"/>
        </w:rPr>
        <w:t xml:space="preserve">CSO planning for optimal management of resources, and </w:t>
      </w:r>
      <w:r w:rsidR="004B0946" w:rsidRPr="00AA7A10">
        <w:rPr>
          <w:rFonts w:eastAsia="Times New Roman"/>
          <w:iCs/>
          <w:color w:val="000000" w:themeColor="text1"/>
          <w:spacing w:val="2"/>
          <w:sz w:val="22"/>
          <w:szCs w:val="22"/>
        </w:rPr>
        <w:t xml:space="preserve">the </w:t>
      </w:r>
      <w:r w:rsidR="00C77BE0" w:rsidRPr="00AA7A10">
        <w:rPr>
          <w:rFonts w:eastAsia="Times New Roman"/>
          <w:iCs/>
          <w:color w:val="000000" w:themeColor="text1"/>
          <w:spacing w:val="2"/>
          <w:sz w:val="22"/>
          <w:szCs w:val="22"/>
        </w:rPr>
        <w:t>ability</w:t>
      </w:r>
      <w:r w:rsidRPr="00AA7A10">
        <w:rPr>
          <w:rFonts w:eastAsia="Times New Roman"/>
          <w:iCs/>
          <w:color w:val="000000" w:themeColor="text1"/>
          <w:spacing w:val="2"/>
          <w:sz w:val="22"/>
          <w:szCs w:val="22"/>
        </w:rPr>
        <w:t xml:space="preserve"> to help participants in making a smooth transition off programs when they are </w:t>
      </w:r>
      <w:r w:rsidR="00B8148B" w:rsidRPr="00AA7A10">
        <w:rPr>
          <w:rFonts w:eastAsia="Times New Roman"/>
          <w:iCs/>
          <w:color w:val="000000" w:themeColor="text1"/>
          <w:spacing w:val="2"/>
          <w:sz w:val="22"/>
          <w:szCs w:val="22"/>
        </w:rPr>
        <w:t xml:space="preserve">finishing. </w:t>
      </w:r>
    </w:p>
    <w:p w14:paraId="3FEC0531" w14:textId="19D9C6DD" w:rsidR="005C6EB8"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Lack of flexibility to </w:t>
      </w:r>
      <w:r w:rsidR="00533399" w:rsidRPr="00AA7A10">
        <w:rPr>
          <w:rFonts w:eastAsia="Times New Roman"/>
          <w:iCs/>
          <w:color w:val="000000" w:themeColor="text1"/>
          <w:spacing w:val="2"/>
          <w:sz w:val="22"/>
          <w:szCs w:val="22"/>
        </w:rPr>
        <w:t>adjust</w:t>
      </w:r>
      <w:r w:rsidR="00C77BE0" w:rsidRPr="00AA7A10">
        <w:rPr>
          <w:rFonts w:eastAsia="Times New Roman"/>
          <w:iCs/>
          <w:color w:val="000000" w:themeColor="text1"/>
          <w:spacing w:val="2"/>
          <w:sz w:val="22"/>
          <w:szCs w:val="22"/>
        </w:rPr>
        <w:t xml:space="preserve"> how funds are spent</w:t>
      </w:r>
      <w:r w:rsidRPr="00AA7A10">
        <w:rPr>
          <w:rFonts w:eastAsia="Times New Roman"/>
          <w:iCs/>
          <w:color w:val="000000" w:themeColor="text1"/>
          <w:spacing w:val="2"/>
          <w:sz w:val="22"/>
          <w:szCs w:val="22"/>
        </w:rPr>
        <w:t xml:space="preserve"> within and across agreements, </w:t>
      </w:r>
      <w:r w:rsidR="00C77BE0" w:rsidRPr="00AA7A10">
        <w:rPr>
          <w:rFonts w:eastAsia="Times New Roman"/>
          <w:iCs/>
          <w:color w:val="000000" w:themeColor="text1"/>
          <w:spacing w:val="2"/>
          <w:sz w:val="22"/>
          <w:szCs w:val="22"/>
        </w:rPr>
        <w:t>make</w:t>
      </w:r>
      <w:r w:rsidR="004B0946" w:rsidRPr="00AA7A10">
        <w:rPr>
          <w:rFonts w:eastAsia="Times New Roman"/>
          <w:iCs/>
          <w:color w:val="000000" w:themeColor="text1"/>
          <w:spacing w:val="2"/>
          <w:sz w:val="22"/>
          <w:szCs w:val="22"/>
        </w:rPr>
        <w:t>s</w:t>
      </w:r>
      <w:r w:rsidR="00C77BE0" w:rsidRPr="00AA7A10">
        <w:rPr>
          <w:rFonts w:eastAsia="Times New Roman"/>
          <w:iCs/>
          <w:color w:val="000000" w:themeColor="text1"/>
          <w:spacing w:val="2"/>
          <w:sz w:val="22"/>
          <w:szCs w:val="22"/>
        </w:rPr>
        <w:t xml:space="preserve"> </w:t>
      </w:r>
      <w:r w:rsidRPr="00AA7A10">
        <w:rPr>
          <w:rFonts w:eastAsia="Times New Roman"/>
          <w:iCs/>
          <w:color w:val="000000" w:themeColor="text1"/>
          <w:spacing w:val="2"/>
          <w:sz w:val="22"/>
          <w:szCs w:val="22"/>
        </w:rPr>
        <w:t xml:space="preserve">it difficult for </w:t>
      </w:r>
      <w:r w:rsidR="007774A4" w:rsidRPr="00AA7A10">
        <w:rPr>
          <w:rFonts w:eastAsia="Times New Roman"/>
          <w:iCs/>
          <w:color w:val="000000" w:themeColor="text1"/>
          <w:spacing w:val="2"/>
          <w:sz w:val="22"/>
          <w:szCs w:val="22"/>
        </w:rPr>
        <w:t xml:space="preserve">CSOs </w:t>
      </w:r>
      <w:r w:rsidRPr="00AA7A10">
        <w:rPr>
          <w:rFonts w:eastAsia="Times New Roman"/>
          <w:iCs/>
          <w:color w:val="000000" w:themeColor="text1"/>
          <w:spacing w:val="2"/>
          <w:sz w:val="22"/>
          <w:szCs w:val="22"/>
        </w:rPr>
        <w:t>to be responsive to higher priority needs as a result of increased demand, emergency events or natural disasters</w:t>
      </w:r>
      <w:r w:rsidR="00B8148B" w:rsidRPr="00AA7A10">
        <w:rPr>
          <w:rFonts w:eastAsia="Times New Roman"/>
          <w:iCs/>
          <w:color w:val="000000" w:themeColor="text1"/>
          <w:spacing w:val="2"/>
          <w:sz w:val="22"/>
          <w:szCs w:val="22"/>
        </w:rPr>
        <w:t>.</w:t>
      </w:r>
    </w:p>
    <w:p w14:paraId="5D4F1386" w14:textId="7A942FCC" w:rsidR="005C6EB8" w:rsidRPr="00AA7A10" w:rsidRDefault="00113047"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Lack of f</w:t>
      </w:r>
      <w:r w:rsidR="00D4187D" w:rsidRPr="00AA7A10">
        <w:rPr>
          <w:rFonts w:eastAsia="Times New Roman"/>
          <w:iCs/>
          <w:color w:val="000000" w:themeColor="text1"/>
          <w:spacing w:val="2"/>
          <w:sz w:val="22"/>
          <w:szCs w:val="22"/>
        </w:rPr>
        <w:t xml:space="preserve">lexibility to </w:t>
      </w:r>
      <w:r w:rsidR="0065377D" w:rsidRPr="00AA7A10">
        <w:rPr>
          <w:rFonts w:eastAsia="Times New Roman"/>
          <w:iCs/>
          <w:color w:val="000000" w:themeColor="text1"/>
          <w:spacing w:val="2"/>
          <w:sz w:val="22"/>
          <w:szCs w:val="22"/>
        </w:rPr>
        <w:t>use</w:t>
      </w:r>
      <w:r w:rsidR="00D4187D" w:rsidRPr="00AA7A10">
        <w:rPr>
          <w:rFonts w:eastAsia="Times New Roman"/>
          <w:iCs/>
          <w:color w:val="000000" w:themeColor="text1"/>
          <w:spacing w:val="2"/>
          <w:sz w:val="22"/>
          <w:szCs w:val="22"/>
        </w:rPr>
        <w:t xml:space="preserve"> </w:t>
      </w:r>
      <w:r w:rsidR="005C6EB8" w:rsidRPr="00AA7A10">
        <w:rPr>
          <w:rFonts w:eastAsia="Times New Roman"/>
          <w:iCs/>
          <w:color w:val="000000" w:themeColor="text1"/>
          <w:spacing w:val="2"/>
          <w:sz w:val="22"/>
          <w:szCs w:val="22"/>
        </w:rPr>
        <w:t>funding amounts</w:t>
      </w:r>
      <w:r w:rsidR="0065377D" w:rsidRPr="00AA7A10">
        <w:rPr>
          <w:rFonts w:eastAsia="Times New Roman"/>
          <w:iCs/>
          <w:color w:val="000000" w:themeColor="text1"/>
          <w:spacing w:val="2"/>
          <w:sz w:val="22"/>
          <w:szCs w:val="22"/>
        </w:rPr>
        <w:t xml:space="preserve"> as required, rather than having pre-determined amounts in each financial year</w:t>
      </w:r>
      <w:r w:rsidR="00B8148B" w:rsidRPr="00AA7A10">
        <w:rPr>
          <w:rFonts w:eastAsia="Times New Roman"/>
          <w:iCs/>
          <w:color w:val="000000" w:themeColor="text1"/>
          <w:spacing w:val="2"/>
          <w:sz w:val="22"/>
          <w:szCs w:val="22"/>
        </w:rPr>
        <w:t xml:space="preserve"> </w:t>
      </w:r>
      <w:r w:rsidR="00216B96" w:rsidRPr="00AA7A10">
        <w:rPr>
          <w:rFonts w:eastAsia="Times New Roman"/>
          <w:iCs/>
          <w:color w:val="000000" w:themeColor="text1"/>
          <w:spacing w:val="2"/>
          <w:sz w:val="22"/>
          <w:szCs w:val="22"/>
        </w:rPr>
        <w:t>does</w:t>
      </w:r>
      <w:r w:rsidR="00533399" w:rsidRPr="00AA7A10">
        <w:rPr>
          <w:rFonts w:eastAsia="Times New Roman"/>
          <w:iCs/>
          <w:color w:val="000000" w:themeColor="text1"/>
          <w:spacing w:val="2"/>
          <w:sz w:val="22"/>
          <w:szCs w:val="22"/>
        </w:rPr>
        <w:t xml:space="preserve"> not</w:t>
      </w:r>
      <w:r w:rsidR="00216B96" w:rsidRPr="00AA7A10">
        <w:rPr>
          <w:rFonts w:eastAsia="Times New Roman"/>
          <w:iCs/>
          <w:color w:val="000000" w:themeColor="text1"/>
          <w:spacing w:val="2"/>
          <w:sz w:val="22"/>
          <w:szCs w:val="22"/>
        </w:rPr>
        <w:t xml:space="preserve"> enable </w:t>
      </w:r>
      <w:r w:rsidR="005C6EB8" w:rsidRPr="00AA7A10">
        <w:rPr>
          <w:rFonts w:eastAsia="Times New Roman"/>
          <w:iCs/>
          <w:color w:val="000000" w:themeColor="text1"/>
          <w:spacing w:val="2"/>
          <w:sz w:val="22"/>
          <w:szCs w:val="22"/>
        </w:rPr>
        <w:t>CSOs</w:t>
      </w:r>
      <w:r w:rsidR="00C77BE0" w:rsidRPr="00AA7A10">
        <w:rPr>
          <w:rFonts w:eastAsia="Times New Roman"/>
          <w:iCs/>
          <w:color w:val="000000" w:themeColor="text1"/>
          <w:spacing w:val="2"/>
          <w:sz w:val="22"/>
          <w:szCs w:val="22"/>
        </w:rPr>
        <w:t xml:space="preserve"> to</w:t>
      </w:r>
      <w:r w:rsidR="005C6EB8" w:rsidRPr="00AA7A10">
        <w:rPr>
          <w:rFonts w:eastAsia="Times New Roman"/>
          <w:iCs/>
          <w:color w:val="000000" w:themeColor="text1"/>
          <w:spacing w:val="2"/>
          <w:sz w:val="22"/>
          <w:szCs w:val="22"/>
        </w:rPr>
        <w:t xml:space="preserve"> </w:t>
      </w:r>
      <w:r w:rsidRPr="00AA7A10">
        <w:rPr>
          <w:rFonts w:eastAsia="Times New Roman"/>
          <w:iCs/>
          <w:color w:val="000000" w:themeColor="text1"/>
          <w:spacing w:val="2"/>
          <w:sz w:val="22"/>
          <w:szCs w:val="22"/>
        </w:rPr>
        <w:t xml:space="preserve">distribute </w:t>
      </w:r>
      <w:r w:rsidR="005C6EB8" w:rsidRPr="00AA7A10">
        <w:rPr>
          <w:rFonts w:eastAsia="Times New Roman"/>
          <w:iCs/>
          <w:color w:val="000000" w:themeColor="text1"/>
          <w:spacing w:val="2"/>
          <w:sz w:val="22"/>
          <w:szCs w:val="22"/>
        </w:rPr>
        <w:t xml:space="preserve">payments according to </w:t>
      </w:r>
      <w:r w:rsidRPr="00AA7A10">
        <w:rPr>
          <w:rFonts w:eastAsia="Times New Roman"/>
          <w:iCs/>
          <w:color w:val="000000" w:themeColor="text1"/>
          <w:spacing w:val="2"/>
          <w:sz w:val="22"/>
          <w:szCs w:val="22"/>
        </w:rPr>
        <w:t>changing</w:t>
      </w:r>
      <w:r w:rsidR="005C6EB8" w:rsidRPr="00AA7A10">
        <w:rPr>
          <w:rFonts w:eastAsia="Times New Roman"/>
          <w:iCs/>
          <w:color w:val="000000" w:themeColor="text1"/>
          <w:spacing w:val="2"/>
          <w:sz w:val="22"/>
          <w:szCs w:val="22"/>
        </w:rPr>
        <w:t xml:space="preserve"> needs over time.</w:t>
      </w:r>
    </w:p>
    <w:p w14:paraId="0BE75F9F" w14:textId="7739F8BF" w:rsidR="00A14068" w:rsidRPr="00E973E1" w:rsidRDefault="00CE5D7C" w:rsidP="00437102">
      <w:pPr>
        <w:pStyle w:val="Default"/>
        <w:numPr>
          <w:ilvl w:val="0"/>
          <w:numId w:val="2"/>
        </w:numPr>
        <w:spacing w:line="276" w:lineRule="auto"/>
        <w:rPr>
          <w:b/>
          <w:bCs/>
          <w:color w:val="1F4E79" w:themeColor="accent5" w:themeShade="80"/>
          <w:sz w:val="22"/>
          <w:szCs w:val="22"/>
        </w:rPr>
      </w:pPr>
      <w:r w:rsidRPr="00AA7A10">
        <w:rPr>
          <w:rFonts w:eastAsia="Times New Roman"/>
          <w:iCs/>
          <w:color w:val="000000" w:themeColor="text1"/>
          <w:spacing w:val="2"/>
          <w:sz w:val="22"/>
          <w:szCs w:val="22"/>
        </w:rPr>
        <w:t>Application processes can often be lengthy, onerous and divert resources from CSOs</w:t>
      </w:r>
      <w:r w:rsidR="0015211F" w:rsidRPr="00AA7A10">
        <w:rPr>
          <w:rFonts w:eastAsia="Times New Roman"/>
          <w:iCs/>
          <w:color w:val="000000" w:themeColor="text1"/>
          <w:spacing w:val="2"/>
          <w:sz w:val="22"/>
          <w:szCs w:val="22"/>
        </w:rPr>
        <w:t>’</w:t>
      </w:r>
      <w:r w:rsidRPr="00AA7A10">
        <w:rPr>
          <w:rFonts w:eastAsia="Times New Roman"/>
          <w:iCs/>
          <w:color w:val="000000" w:themeColor="text1"/>
          <w:spacing w:val="2"/>
          <w:sz w:val="22"/>
          <w:szCs w:val="22"/>
        </w:rPr>
        <w:t xml:space="preserve"> core service delivery, focus and expertise.</w:t>
      </w:r>
    </w:p>
    <w:p w14:paraId="0608BCC3" w14:textId="77777777" w:rsidR="00E973E1" w:rsidRPr="00E973E1" w:rsidRDefault="00E973E1" w:rsidP="00E973E1">
      <w:pPr>
        <w:pStyle w:val="Default"/>
        <w:spacing w:line="276" w:lineRule="auto"/>
        <w:ind w:left="720"/>
        <w:rPr>
          <w:b/>
          <w:bCs/>
          <w:color w:val="auto"/>
          <w:sz w:val="22"/>
          <w:szCs w:val="22"/>
        </w:rPr>
      </w:pPr>
    </w:p>
    <w:p w14:paraId="489CEE0A" w14:textId="59DDAB47" w:rsidR="00B8148B" w:rsidRDefault="00B8148B" w:rsidP="00B8148B">
      <w:pPr>
        <w:pStyle w:val="Heading3"/>
      </w:pPr>
      <w:r>
        <w:t>How to achieve this</w:t>
      </w:r>
    </w:p>
    <w:p w14:paraId="737B10E2" w14:textId="77777777" w:rsidR="00B8148B" w:rsidRPr="00AA7A10" w:rsidRDefault="00B8148B" w:rsidP="002A537F">
      <w:pPr>
        <w:spacing w:line="276" w:lineRule="auto"/>
        <w:rPr>
          <w:rFonts w:cs="Arial"/>
          <w:color w:val="000000" w:themeColor="text1"/>
        </w:rPr>
      </w:pPr>
      <w:r w:rsidRPr="00AA7A10">
        <w:rPr>
          <w:rFonts w:cs="Arial"/>
          <w:color w:val="000000" w:themeColor="text1"/>
        </w:rPr>
        <w:t xml:space="preserve">Options to achieve this could include the below. </w:t>
      </w:r>
    </w:p>
    <w:p w14:paraId="53C00BBB" w14:textId="6A0EF90B" w:rsidR="005C6EB8" w:rsidRPr="00AA7A10" w:rsidRDefault="005C6EB8" w:rsidP="00181F7A">
      <w:pPr>
        <w:pStyle w:val="ListParagraph"/>
        <w:numPr>
          <w:ilvl w:val="0"/>
          <w:numId w:val="26"/>
        </w:numPr>
        <w:spacing w:after="240" w:line="276" w:lineRule="auto"/>
        <w:rPr>
          <w:rFonts w:cs="Arial"/>
        </w:rPr>
      </w:pPr>
      <w:r w:rsidRPr="00AA7A10">
        <w:rPr>
          <w:rFonts w:cs="Arial"/>
        </w:rPr>
        <w:t>Longer grant agreement cycles</w:t>
      </w:r>
      <w:r w:rsidR="00B8148B" w:rsidRPr="00AA7A10">
        <w:rPr>
          <w:rFonts w:cs="Arial"/>
        </w:rPr>
        <w:t>. T</w:t>
      </w:r>
      <w:r w:rsidR="0015211F" w:rsidRPr="00AA7A10">
        <w:rPr>
          <w:rFonts w:cs="Arial"/>
        </w:rPr>
        <w:t xml:space="preserve">he </w:t>
      </w:r>
      <w:r w:rsidR="00571ECE" w:rsidRPr="00AA7A10">
        <w:rPr>
          <w:rFonts w:cs="Arial"/>
        </w:rPr>
        <w:t>government</w:t>
      </w:r>
      <w:r w:rsidR="0015211F" w:rsidRPr="00AA7A10">
        <w:rPr>
          <w:rFonts w:cs="Arial"/>
        </w:rPr>
        <w:t xml:space="preserve"> could </w:t>
      </w:r>
      <w:r w:rsidR="00216B96" w:rsidRPr="00AA7A10">
        <w:rPr>
          <w:rFonts w:cs="Arial"/>
        </w:rPr>
        <w:t>consult with the community services sector to identify which grants may be suitable for longer</w:t>
      </w:r>
      <w:r w:rsidR="00533399" w:rsidRPr="00AA7A10">
        <w:rPr>
          <w:rFonts w:cs="Arial"/>
        </w:rPr>
        <w:t>-</w:t>
      </w:r>
      <w:r w:rsidR="00216B96" w:rsidRPr="00AA7A10">
        <w:rPr>
          <w:rFonts w:cs="Arial"/>
        </w:rPr>
        <w:t>term agreements</w:t>
      </w:r>
      <w:r w:rsidR="00CE5D7C" w:rsidRPr="00AA7A10">
        <w:rPr>
          <w:rFonts w:cs="Arial"/>
        </w:rPr>
        <w:t xml:space="preserve"> noting that different grant agreement lengths can allow for innovation in the sector.</w:t>
      </w:r>
      <w:r w:rsidR="00216B96" w:rsidRPr="00AA7A10">
        <w:rPr>
          <w:rFonts w:cs="Arial"/>
        </w:rPr>
        <w:t xml:space="preserve"> </w:t>
      </w:r>
    </w:p>
    <w:p w14:paraId="7F33486C" w14:textId="2C2463FE" w:rsidR="00CE5D7C" w:rsidRPr="00437102" w:rsidRDefault="00CE5D7C" w:rsidP="00181F7A">
      <w:pPr>
        <w:pStyle w:val="ListParagraph"/>
        <w:numPr>
          <w:ilvl w:val="0"/>
          <w:numId w:val="26"/>
        </w:numPr>
        <w:spacing w:after="240" w:line="276" w:lineRule="auto"/>
        <w:rPr>
          <w:rFonts w:cs="Arial"/>
        </w:rPr>
      </w:pPr>
      <w:r w:rsidRPr="00437102">
        <w:rPr>
          <w:rFonts w:cs="Arial"/>
        </w:rPr>
        <w:t>Streamlined grant rounds and assessment processes</w:t>
      </w:r>
      <w:r w:rsidR="00B8148B" w:rsidRPr="00AA7A10">
        <w:rPr>
          <w:rFonts w:cs="Arial"/>
        </w:rPr>
        <w:t>. T</w:t>
      </w:r>
      <w:r w:rsidR="0015211F" w:rsidRPr="00F21392">
        <w:rPr>
          <w:rFonts w:cs="Arial"/>
        </w:rPr>
        <w:t xml:space="preserve">his </w:t>
      </w:r>
      <w:r w:rsidRPr="00F21392">
        <w:rPr>
          <w:rFonts w:cs="Arial"/>
        </w:rPr>
        <w:t xml:space="preserve">could encompass simplified application and assessment processes </w:t>
      </w:r>
      <w:r w:rsidR="0015211F" w:rsidRPr="00437102">
        <w:rPr>
          <w:rFonts w:cs="Arial"/>
        </w:rPr>
        <w:t xml:space="preserve">by government </w:t>
      </w:r>
      <w:r w:rsidRPr="00437102">
        <w:rPr>
          <w:rFonts w:cs="Arial"/>
        </w:rPr>
        <w:t>for organisations seeking funding to deliver multiple services or for multiple government agencies.</w:t>
      </w:r>
    </w:p>
    <w:p w14:paraId="0F76F215" w14:textId="59A921E0" w:rsidR="00CE5D7C" w:rsidRPr="00437102" w:rsidRDefault="00CE5D7C" w:rsidP="00181F7A">
      <w:pPr>
        <w:pStyle w:val="ListParagraph"/>
        <w:numPr>
          <w:ilvl w:val="0"/>
          <w:numId w:val="26"/>
        </w:numPr>
        <w:spacing w:after="240" w:line="276" w:lineRule="auto"/>
        <w:rPr>
          <w:rFonts w:cs="Arial"/>
        </w:rPr>
      </w:pPr>
      <w:r w:rsidRPr="00437102">
        <w:rPr>
          <w:rFonts w:cs="Arial"/>
        </w:rPr>
        <w:t>Improved notice period for grant renewals or cessations</w:t>
      </w:r>
      <w:r w:rsidR="00B8148B" w:rsidRPr="00AA7A10">
        <w:rPr>
          <w:rFonts w:cs="Arial"/>
        </w:rPr>
        <w:t>. T</w:t>
      </w:r>
      <w:r w:rsidR="0015211F" w:rsidRPr="00F21392">
        <w:rPr>
          <w:rFonts w:cs="Arial"/>
        </w:rPr>
        <w:t>his could include</w:t>
      </w:r>
      <w:r w:rsidRPr="00F21392">
        <w:rPr>
          <w:rFonts w:cs="Arial"/>
        </w:rPr>
        <w:t xml:space="preserve"> providing a minimum standard for the notice </w:t>
      </w:r>
      <w:r w:rsidR="00571ECE" w:rsidRPr="00437102">
        <w:rPr>
          <w:rFonts w:cs="Arial"/>
        </w:rPr>
        <w:t xml:space="preserve">from government </w:t>
      </w:r>
      <w:r w:rsidRPr="00437102">
        <w:rPr>
          <w:rFonts w:cs="Arial"/>
        </w:rPr>
        <w:t>that organisations should be given for grant renewals or cessation</w:t>
      </w:r>
      <w:r w:rsidR="00945F74" w:rsidRPr="00437102">
        <w:rPr>
          <w:rFonts w:cs="Arial"/>
        </w:rPr>
        <w:t>, and frequent, clear and informative updates on the progress of grant renewals.</w:t>
      </w:r>
    </w:p>
    <w:p w14:paraId="7F44E532" w14:textId="41CACE57" w:rsidR="005C6EB8" w:rsidRPr="00437102" w:rsidRDefault="005C6EB8" w:rsidP="00181F7A">
      <w:pPr>
        <w:pStyle w:val="ListParagraph"/>
        <w:numPr>
          <w:ilvl w:val="0"/>
          <w:numId w:val="26"/>
        </w:numPr>
        <w:spacing w:after="240" w:line="276" w:lineRule="auto"/>
        <w:rPr>
          <w:rFonts w:cs="Arial"/>
          <w:bCs/>
        </w:rPr>
      </w:pPr>
      <w:r w:rsidRPr="00437102">
        <w:rPr>
          <w:rFonts w:cs="Arial"/>
        </w:rPr>
        <w:t>Grant agreement flexibility</w:t>
      </w:r>
      <w:r w:rsidR="00B8148B" w:rsidRPr="00AA7A10">
        <w:rPr>
          <w:rFonts w:cs="Arial"/>
        </w:rPr>
        <w:t xml:space="preserve">. </w:t>
      </w:r>
      <w:r w:rsidR="00B8148B" w:rsidRPr="00AA7A10">
        <w:rPr>
          <w:rFonts w:cs="Arial"/>
          <w:bCs/>
        </w:rPr>
        <w:t>O</w:t>
      </w:r>
      <w:r w:rsidRPr="00F21392">
        <w:rPr>
          <w:rFonts w:cs="Arial"/>
          <w:bCs/>
        </w:rPr>
        <w:t xml:space="preserve">ptions </w:t>
      </w:r>
      <w:r w:rsidR="0015211F" w:rsidRPr="00F21392">
        <w:rPr>
          <w:rFonts w:cs="Arial"/>
          <w:bCs/>
        </w:rPr>
        <w:t>could be put in place</w:t>
      </w:r>
      <w:r w:rsidR="00571ECE" w:rsidRPr="00F21392">
        <w:rPr>
          <w:rFonts w:cs="Arial"/>
          <w:bCs/>
        </w:rPr>
        <w:t xml:space="preserve"> by government</w:t>
      </w:r>
      <w:r w:rsidR="0015211F" w:rsidRPr="00437102">
        <w:rPr>
          <w:rFonts w:cs="Arial"/>
          <w:bCs/>
        </w:rPr>
        <w:t xml:space="preserve"> </w:t>
      </w:r>
      <w:r w:rsidRPr="00437102">
        <w:rPr>
          <w:rFonts w:cs="Arial"/>
          <w:bCs/>
        </w:rPr>
        <w:t>to allow for the reallocation of available funding so CSOs can better respond to emerging end-user service needs</w:t>
      </w:r>
      <w:r w:rsidR="005903C8" w:rsidRPr="00437102">
        <w:rPr>
          <w:rFonts w:cs="Arial"/>
          <w:bCs/>
        </w:rPr>
        <w:t xml:space="preserve"> and measure performance based on outcomes</w:t>
      </w:r>
      <w:r w:rsidRPr="00437102">
        <w:rPr>
          <w:rFonts w:cs="Arial"/>
          <w:bCs/>
        </w:rPr>
        <w:t>.</w:t>
      </w:r>
    </w:p>
    <w:p w14:paraId="77227677" w14:textId="5CD04A9F" w:rsidR="00AB2FFE" w:rsidRPr="00437102" w:rsidRDefault="000F7B0B" w:rsidP="00181F7A">
      <w:pPr>
        <w:pStyle w:val="ListParagraph"/>
        <w:numPr>
          <w:ilvl w:val="0"/>
          <w:numId w:val="26"/>
        </w:numPr>
        <w:spacing w:after="240" w:line="276" w:lineRule="auto"/>
        <w:rPr>
          <w:rFonts w:cs="Arial"/>
        </w:rPr>
      </w:pPr>
      <w:r w:rsidRPr="00437102">
        <w:rPr>
          <w:rFonts w:cs="Arial"/>
          <w:bCs/>
        </w:rPr>
        <w:t>Sub-contracting</w:t>
      </w:r>
      <w:r w:rsidR="00216B96" w:rsidRPr="00437102">
        <w:rPr>
          <w:rFonts w:cs="Arial"/>
          <w:bCs/>
        </w:rPr>
        <w:t xml:space="preserve"> to support locally-led delivery</w:t>
      </w:r>
      <w:r w:rsidR="00B8148B" w:rsidRPr="00AA7A10">
        <w:rPr>
          <w:rFonts w:cs="Arial"/>
          <w:bCs/>
        </w:rPr>
        <w:t>. T</w:t>
      </w:r>
      <w:r w:rsidR="00571ECE" w:rsidRPr="00F21392">
        <w:rPr>
          <w:rFonts w:cs="Arial"/>
          <w:bCs/>
        </w:rPr>
        <w:t>he government</w:t>
      </w:r>
      <w:r w:rsidR="0015211F" w:rsidRPr="00F21392">
        <w:rPr>
          <w:rFonts w:cs="Arial"/>
          <w:bCs/>
        </w:rPr>
        <w:t xml:space="preserve"> could</w:t>
      </w:r>
      <w:r w:rsidR="0015211F" w:rsidRPr="00437102">
        <w:rPr>
          <w:rFonts w:cs="Arial"/>
          <w:bCs/>
        </w:rPr>
        <w:t xml:space="preserve"> </w:t>
      </w:r>
      <w:r w:rsidR="00216B96" w:rsidRPr="00F21392">
        <w:rPr>
          <w:rFonts w:cs="Arial"/>
        </w:rPr>
        <w:t xml:space="preserve">consult with the community services sector to identify which grants may be suitable for the provision of </w:t>
      </w:r>
      <w:r w:rsidR="00C275C5" w:rsidRPr="00F21392">
        <w:rPr>
          <w:rFonts w:cs="Arial"/>
        </w:rPr>
        <w:t>fund</w:t>
      </w:r>
      <w:r w:rsidR="00F9577A" w:rsidRPr="00437102">
        <w:rPr>
          <w:rFonts w:cs="Arial"/>
        </w:rPr>
        <w:t>s</w:t>
      </w:r>
      <w:r w:rsidR="00C275C5" w:rsidRPr="00437102">
        <w:rPr>
          <w:rFonts w:cs="Arial"/>
        </w:rPr>
        <w:t xml:space="preserve"> to be </w:t>
      </w:r>
      <w:r w:rsidR="003711C2" w:rsidRPr="00437102">
        <w:rPr>
          <w:rFonts w:cs="Arial"/>
        </w:rPr>
        <w:t xml:space="preserve">reallocated </w:t>
      </w:r>
      <w:r w:rsidR="00216B96" w:rsidRPr="00437102">
        <w:rPr>
          <w:rFonts w:cs="Arial"/>
        </w:rPr>
        <w:t xml:space="preserve">for </w:t>
      </w:r>
      <w:r w:rsidR="003711C2" w:rsidRPr="00437102">
        <w:rPr>
          <w:rFonts w:cs="Arial"/>
        </w:rPr>
        <w:t>sub-contracting</w:t>
      </w:r>
      <w:r w:rsidR="005D14BF" w:rsidRPr="00437102">
        <w:rPr>
          <w:rFonts w:cs="Arial"/>
        </w:rPr>
        <w:t xml:space="preserve"> from </w:t>
      </w:r>
      <w:r w:rsidR="0009456F">
        <w:rPr>
          <w:rFonts w:cs="Arial"/>
        </w:rPr>
        <w:t xml:space="preserve">the </w:t>
      </w:r>
      <w:r w:rsidR="005D14BF" w:rsidRPr="00437102">
        <w:rPr>
          <w:rFonts w:cs="Arial"/>
        </w:rPr>
        <w:t>grant recipient</w:t>
      </w:r>
      <w:r w:rsidR="00F9577A" w:rsidRPr="00437102">
        <w:rPr>
          <w:rFonts w:cs="Arial"/>
        </w:rPr>
        <w:t>.</w:t>
      </w:r>
    </w:p>
    <w:p w14:paraId="71B11420" w14:textId="4D144FE8" w:rsidR="00B8148B" w:rsidRPr="00AA7A10" w:rsidRDefault="005C6EB8" w:rsidP="00181F7A">
      <w:pPr>
        <w:pStyle w:val="ListParagraph"/>
        <w:numPr>
          <w:ilvl w:val="0"/>
          <w:numId w:val="26"/>
        </w:numPr>
        <w:spacing w:after="240" w:line="276" w:lineRule="auto"/>
        <w:rPr>
          <w:rFonts w:cs="Arial"/>
          <w:bCs/>
        </w:rPr>
      </w:pPr>
      <w:r w:rsidRPr="00437102">
        <w:rPr>
          <w:rFonts w:cs="Arial"/>
          <w:bCs/>
        </w:rPr>
        <w:t>Foster community voice</w:t>
      </w:r>
      <w:r w:rsidR="00B8148B" w:rsidRPr="00AA7A10">
        <w:rPr>
          <w:rFonts w:cs="Arial"/>
          <w:bCs/>
        </w:rPr>
        <w:t>. T</w:t>
      </w:r>
      <w:r w:rsidR="00571ECE" w:rsidRPr="00F21392">
        <w:rPr>
          <w:rFonts w:cs="Arial"/>
          <w:bCs/>
        </w:rPr>
        <w:t xml:space="preserve">he government </w:t>
      </w:r>
      <w:r w:rsidR="0009456F">
        <w:rPr>
          <w:rFonts w:cs="Arial"/>
          <w:bCs/>
        </w:rPr>
        <w:t>c</w:t>
      </w:r>
      <w:r w:rsidR="0009456F" w:rsidRPr="00F21392">
        <w:rPr>
          <w:rFonts w:cs="Arial"/>
          <w:bCs/>
        </w:rPr>
        <w:t>ould</w:t>
      </w:r>
      <w:r w:rsidR="0009456F" w:rsidRPr="00F21392">
        <w:rPr>
          <w:rFonts w:cs="Arial"/>
        </w:rPr>
        <w:t xml:space="preserve"> </w:t>
      </w:r>
      <w:r w:rsidRPr="00F21392">
        <w:rPr>
          <w:rFonts w:cs="Arial"/>
        </w:rPr>
        <w:t xml:space="preserve">ensure </w:t>
      </w:r>
      <w:r w:rsidR="00216B96" w:rsidRPr="00437102">
        <w:rPr>
          <w:rFonts w:cs="Arial"/>
        </w:rPr>
        <w:t xml:space="preserve">policy design, reforms and </w:t>
      </w:r>
      <w:r w:rsidRPr="00437102">
        <w:rPr>
          <w:rFonts w:cs="Arial"/>
        </w:rPr>
        <w:t>grant agreements</w:t>
      </w:r>
      <w:r w:rsidR="00BD3A67" w:rsidRPr="00437102">
        <w:rPr>
          <w:rFonts w:cs="Arial"/>
        </w:rPr>
        <w:t xml:space="preserve"> consider the views of the community </w:t>
      </w:r>
      <w:r w:rsidR="005D14BF" w:rsidRPr="00437102">
        <w:rPr>
          <w:rFonts w:cs="Arial"/>
        </w:rPr>
        <w:t xml:space="preserve">and those being impacted </w:t>
      </w:r>
      <w:r w:rsidR="00BD3A67" w:rsidRPr="00437102">
        <w:rPr>
          <w:rFonts w:cs="Arial"/>
        </w:rPr>
        <w:t xml:space="preserve">before they are </w:t>
      </w:r>
      <w:r w:rsidR="00216B96" w:rsidRPr="00437102">
        <w:rPr>
          <w:rFonts w:cs="Arial"/>
        </w:rPr>
        <w:t>finalised</w:t>
      </w:r>
      <w:r w:rsidR="003711C2" w:rsidRPr="00437102">
        <w:rPr>
          <w:rFonts w:cs="Arial"/>
        </w:rPr>
        <w:t xml:space="preserve">, so </w:t>
      </w:r>
      <w:r w:rsidR="00D10197" w:rsidRPr="00437102">
        <w:rPr>
          <w:rFonts w:cs="Arial"/>
        </w:rPr>
        <w:t>that grants are designed</w:t>
      </w:r>
      <w:r w:rsidRPr="00437102">
        <w:rPr>
          <w:rFonts w:cs="Arial"/>
        </w:rPr>
        <w:t xml:space="preserve"> based on advice from a community</w:t>
      </w:r>
      <w:r w:rsidRPr="00437102">
        <w:rPr>
          <w:rFonts w:cs="Arial"/>
          <w:bCs/>
        </w:rPr>
        <w:t xml:space="preserve">-led </w:t>
      </w:r>
      <w:r w:rsidR="006E1251" w:rsidRPr="00437102">
        <w:rPr>
          <w:rFonts w:cs="Arial"/>
          <w:bCs/>
        </w:rPr>
        <w:t>perspective</w:t>
      </w:r>
      <w:r w:rsidRPr="00437102">
        <w:rPr>
          <w:rFonts w:cs="Arial"/>
          <w:bCs/>
        </w:rPr>
        <w:t xml:space="preserve">. </w:t>
      </w:r>
    </w:p>
    <w:p w14:paraId="3C90567D" w14:textId="05372272" w:rsidR="00B8148B" w:rsidRDefault="00B8148B" w:rsidP="00334E5F">
      <w:pPr>
        <w:pStyle w:val="Heading3"/>
      </w:pPr>
      <w:r>
        <w:lastRenderedPageBreak/>
        <w:t>Key questions</w:t>
      </w:r>
    </w:p>
    <w:p w14:paraId="2AB2905C" w14:textId="1D19B04E" w:rsidR="00114226" w:rsidRPr="00B90D88" w:rsidRDefault="00114226" w:rsidP="00334E5F">
      <w:pPr>
        <w:keepNext/>
        <w:keepLines/>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3.1</w:t>
      </w:r>
      <w:r w:rsidRPr="00B90D88">
        <w:rPr>
          <w:rFonts w:cs="Arial"/>
          <w:sz w:val="24"/>
        </w:rPr>
        <w:tab/>
        <w:t xml:space="preserve">What length grant agreements are CSOs seeking to provide certainty and stability for ongoing service delivery? </w:t>
      </w:r>
    </w:p>
    <w:p w14:paraId="1F58F1EA" w14:textId="7010A530" w:rsidR="00114226" w:rsidRPr="00B90D88" w:rsidRDefault="00114226" w:rsidP="00334E5F">
      <w:pPr>
        <w:keepNext/>
        <w:keepLines/>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3.2</w:t>
      </w:r>
      <w:r w:rsidRPr="00B90D88">
        <w:rPr>
          <w:rFonts w:cs="Arial"/>
          <w:sz w:val="24"/>
        </w:rPr>
        <w:tab/>
        <w:t>What timeframes should the government aim for, at a minimum, to provide final outcomes on grant variations/extensions before the current grant ceases?</w:t>
      </w:r>
    </w:p>
    <w:p w14:paraId="32456557" w14:textId="114C2B4D" w:rsidR="00114226" w:rsidRPr="00B90D88" w:rsidRDefault="00114226" w:rsidP="00334E5F">
      <w:pPr>
        <w:keepNext/>
        <w:keepLines/>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3.3</w:t>
      </w:r>
      <w:r w:rsidRPr="00B90D88">
        <w:rPr>
          <w:rFonts w:cs="Arial"/>
          <w:sz w:val="24"/>
        </w:rPr>
        <w:tab/>
        <w:t xml:space="preserve">What funding flexibility do CSOs require to enable service delivery and innovation? </w:t>
      </w:r>
    </w:p>
    <w:p w14:paraId="2B4D9173" w14:textId="18253938" w:rsidR="00114226" w:rsidRPr="00B90D88" w:rsidRDefault="00114226" w:rsidP="00334E5F">
      <w:pPr>
        <w:keepNext/>
        <w:keepLines/>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3.4</w:t>
      </w:r>
      <w:r w:rsidRPr="00B90D88">
        <w:rPr>
          <w:rFonts w:cs="Arial"/>
          <w:sz w:val="24"/>
        </w:rPr>
        <w:tab/>
        <w:t xml:space="preserve">What flexibility is required by CSOs in acquittal processes to support and encourage sector innovation? </w:t>
      </w:r>
    </w:p>
    <w:p w14:paraId="7E1DA9F5" w14:textId="53B77E8D" w:rsidR="00114226" w:rsidRPr="00B90D88" w:rsidRDefault="00114226" w:rsidP="00334E5F">
      <w:pPr>
        <w:keepNext/>
        <w:keepLines/>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3.5</w:t>
      </w:r>
      <w:r w:rsidRPr="00B90D88">
        <w:rPr>
          <w:rFonts w:cs="Arial"/>
          <w:sz w:val="24"/>
        </w:rPr>
        <w:tab/>
        <w:t>How can government improve the variation process, with consideration that CSO’s must demonstrate alignment with the grant agreement and provide evidence of value-for-money outcomes?</w:t>
      </w:r>
    </w:p>
    <w:p w14:paraId="03CC1744" w14:textId="1921629B" w:rsidR="00E8348B" w:rsidRDefault="00E8348B">
      <w:pPr>
        <w:rPr>
          <w:rFonts w:ascii="Calibri" w:eastAsia="Times New Roman" w:hAnsi="Calibri" w:cstheme="majorBidi"/>
          <w:b/>
          <w:bCs/>
          <w:color w:val="1F3763" w:themeColor="accent1" w:themeShade="7F"/>
          <w:sz w:val="36"/>
          <w:lang w:eastAsia="en-AU"/>
        </w:rPr>
      </w:pPr>
      <w:r>
        <w:br w:type="page"/>
      </w:r>
    </w:p>
    <w:p w14:paraId="01555D28" w14:textId="09926AA8" w:rsidR="005C6EB8" w:rsidRPr="003E5AC1" w:rsidRDefault="000250EE" w:rsidP="00437102">
      <w:pPr>
        <w:pStyle w:val="Heading2"/>
      </w:pPr>
      <w:bookmarkStart w:id="25" w:name="_Toc141437659"/>
      <w:bookmarkStart w:id="26" w:name="_Toc144983245"/>
      <w:r>
        <w:lastRenderedPageBreak/>
        <w:t>Area of focus</w:t>
      </w:r>
      <w:r w:rsidR="00B02AF5">
        <w:t xml:space="preserve"> 4</w:t>
      </w:r>
      <w:r>
        <w:t xml:space="preserve">: </w:t>
      </w:r>
      <w:r w:rsidR="005C6EB8" w:rsidRPr="003E5AC1">
        <w:t xml:space="preserve">Ensuring grant funding flows to a greater diversity of </w:t>
      </w:r>
      <w:r>
        <w:t>CSOs</w:t>
      </w:r>
      <w:bookmarkEnd w:id="25"/>
      <w:bookmarkEnd w:id="26"/>
    </w:p>
    <w:p w14:paraId="7E4ADF01" w14:textId="68AD1EEF" w:rsidR="000C011F" w:rsidRPr="00AA7A10" w:rsidRDefault="005C6EB8" w:rsidP="000C011F">
      <w:pPr>
        <w:spacing w:line="276" w:lineRule="auto"/>
        <w:rPr>
          <w:rFonts w:cs="Arial"/>
          <w:szCs w:val="22"/>
        </w:rPr>
      </w:pPr>
      <w:r w:rsidRPr="00AA7A10">
        <w:rPr>
          <w:rFonts w:cs="Arial"/>
          <w:szCs w:val="22"/>
        </w:rPr>
        <w:t>In</w:t>
      </w:r>
      <w:r w:rsidR="00533399" w:rsidRPr="00AA7A10">
        <w:rPr>
          <w:rFonts w:cs="Arial"/>
          <w:szCs w:val="22"/>
        </w:rPr>
        <w:t xml:space="preserve"> the</w:t>
      </w:r>
      <w:r w:rsidRPr="00AA7A10">
        <w:rPr>
          <w:rFonts w:cs="Arial"/>
          <w:szCs w:val="22"/>
        </w:rPr>
        <w:t xml:space="preserve"> 2022-23</w:t>
      </w:r>
      <w:r w:rsidR="00533399" w:rsidRPr="00AA7A10">
        <w:rPr>
          <w:rFonts w:cs="Arial"/>
          <w:szCs w:val="22"/>
        </w:rPr>
        <w:t xml:space="preserve"> financial year</w:t>
      </w:r>
      <w:r w:rsidRPr="00AA7A10">
        <w:rPr>
          <w:rFonts w:cs="Arial"/>
          <w:szCs w:val="22"/>
        </w:rPr>
        <w:t xml:space="preserve">, grant funding was administered to </w:t>
      </w:r>
      <w:r w:rsidR="00A10ADA" w:rsidRPr="00AA7A10">
        <w:rPr>
          <w:rFonts w:cs="Arial"/>
          <w:szCs w:val="22"/>
        </w:rPr>
        <w:t>4</w:t>
      </w:r>
      <w:r w:rsidR="003D007D" w:rsidRPr="00AA7A10">
        <w:rPr>
          <w:rFonts w:cs="Arial"/>
          <w:szCs w:val="22"/>
        </w:rPr>
        <w:t>,</w:t>
      </w:r>
      <w:r w:rsidR="00D659A7" w:rsidRPr="00AA7A10">
        <w:rPr>
          <w:rFonts w:cs="Arial"/>
          <w:szCs w:val="22"/>
        </w:rPr>
        <w:t>577</w:t>
      </w:r>
      <w:r w:rsidRPr="00AA7A10">
        <w:rPr>
          <w:rFonts w:cs="Arial"/>
          <w:szCs w:val="22"/>
        </w:rPr>
        <w:t xml:space="preserve"> </w:t>
      </w:r>
      <w:r w:rsidR="00C2452A" w:rsidRPr="00AA7A10">
        <w:rPr>
          <w:rFonts w:cs="Arial"/>
          <w:szCs w:val="22"/>
        </w:rPr>
        <w:t>ACNC registered organisations through the Community Grants Hub.</w:t>
      </w:r>
      <w:r w:rsidR="00804063" w:rsidRPr="00AA7A10">
        <w:rPr>
          <w:rFonts w:cs="Arial"/>
          <w:szCs w:val="22"/>
        </w:rPr>
        <w:t xml:space="preserve"> The CSO supplementation payments for </w:t>
      </w:r>
      <w:r w:rsidR="00533399" w:rsidRPr="00AA7A10">
        <w:rPr>
          <w:rFonts w:cs="Arial"/>
          <w:szCs w:val="22"/>
        </w:rPr>
        <w:t xml:space="preserve">the </w:t>
      </w:r>
      <w:r w:rsidR="00804063" w:rsidRPr="00AA7A10">
        <w:rPr>
          <w:rFonts w:cs="Arial"/>
          <w:szCs w:val="22"/>
        </w:rPr>
        <w:t>2022-23</w:t>
      </w:r>
      <w:r w:rsidR="00533399" w:rsidRPr="00AA7A10">
        <w:rPr>
          <w:rFonts w:cs="Arial"/>
          <w:szCs w:val="22"/>
        </w:rPr>
        <w:t xml:space="preserve"> financial year</w:t>
      </w:r>
      <w:r w:rsidR="00804063" w:rsidRPr="00AA7A10">
        <w:rPr>
          <w:rFonts w:cs="Arial"/>
          <w:szCs w:val="22"/>
        </w:rPr>
        <w:t xml:space="preserve"> were </w:t>
      </w:r>
      <w:r w:rsidR="00E83608" w:rsidRPr="00AA7A10">
        <w:rPr>
          <w:rFonts w:cs="Arial"/>
          <w:szCs w:val="22"/>
        </w:rPr>
        <w:t xml:space="preserve">implemented in </w:t>
      </w:r>
      <w:r w:rsidR="00804063" w:rsidRPr="00AA7A10">
        <w:rPr>
          <w:rFonts w:cs="Arial"/>
          <w:szCs w:val="22"/>
        </w:rPr>
        <w:t xml:space="preserve">a fair and consistent basis at the same rate across all eligible community service sector grant programs. </w:t>
      </w:r>
    </w:p>
    <w:p w14:paraId="59C9CA54" w14:textId="5F5BD599" w:rsidR="005C6EB8" w:rsidRPr="00AA7A10" w:rsidRDefault="005C6EB8" w:rsidP="000D68D8">
      <w:pPr>
        <w:spacing w:after="240" w:line="276" w:lineRule="auto"/>
        <w:rPr>
          <w:rFonts w:cs="Arial"/>
          <w:szCs w:val="22"/>
        </w:rPr>
      </w:pPr>
      <w:r w:rsidRPr="00AA7A10">
        <w:rPr>
          <w:rFonts w:cs="Arial"/>
          <w:szCs w:val="22"/>
        </w:rPr>
        <w:t xml:space="preserve">The </w:t>
      </w:r>
      <w:r w:rsidR="000F2098" w:rsidRPr="00AA7A10">
        <w:rPr>
          <w:rFonts w:cs="Arial"/>
          <w:szCs w:val="22"/>
        </w:rPr>
        <w:t>g</w:t>
      </w:r>
      <w:r w:rsidRPr="00AA7A10">
        <w:rPr>
          <w:rFonts w:cs="Arial"/>
          <w:szCs w:val="22"/>
        </w:rPr>
        <w:t>overnment acknowledges the importance of ensuring that funding for community services supports a variety of different organisations including:</w:t>
      </w:r>
    </w:p>
    <w:p w14:paraId="2D63E144" w14:textId="611E30D0" w:rsidR="005C6EB8"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CSOs that are different sizes (</w:t>
      </w:r>
      <w:r w:rsidR="006F6A80" w:rsidRPr="00AA7A10">
        <w:rPr>
          <w:rFonts w:eastAsia="Times New Roman"/>
          <w:iCs/>
          <w:color w:val="000000" w:themeColor="text1"/>
          <w:spacing w:val="2"/>
          <w:sz w:val="22"/>
          <w:szCs w:val="22"/>
        </w:rPr>
        <w:t xml:space="preserve">from </w:t>
      </w:r>
      <w:r w:rsidRPr="00AA7A10">
        <w:rPr>
          <w:rFonts w:eastAsia="Times New Roman"/>
          <w:iCs/>
          <w:color w:val="000000" w:themeColor="text1"/>
          <w:spacing w:val="2"/>
          <w:sz w:val="22"/>
          <w:szCs w:val="22"/>
        </w:rPr>
        <w:t xml:space="preserve">small and local through to </w:t>
      </w:r>
      <w:r w:rsidR="006F6A80" w:rsidRPr="00AA7A10">
        <w:rPr>
          <w:rFonts w:eastAsia="Times New Roman"/>
          <w:iCs/>
          <w:color w:val="000000" w:themeColor="text1"/>
          <w:spacing w:val="2"/>
          <w:sz w:val="22"/>
          <w:szCs w:val="22"/>
        </w:rPr>
        <w:t xml:space="preserve">large and </w:t>
      </w:r>
      <w:r w:rsidRPr="00AA7A10">
        <w:rPr>
          <w:rFonts w:eastAsia="Times New Roman"/>
          <w:iCs/>
          <w:color w:val="000000" w:themeColor="text1"/>
          <w:spacing w:val="2"/>
          <w:sz w:val="22"/>
          <w:szCs w:val="22"/>
        </w:rPr>
        <w:t>national)</w:t>
      </w:r>
    </w:p>
    <w:p w14:paraId="56D6C635" w14:textId="5E437A6C" w:rsidR="006F6A80" w:rsidRPr="00AA7A10" w:rsidRDefault="005C6EB8"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organisations that support specific cohorts and intersectional community groups</w:t>
      </w:r>
    </w:p>
    <w:p w14:paraId="7747C938" w14:textId="264F4AAE" w:rsidR="00E973E1" w:rsidRPr="00334E5F" w:rsidRDefault="00D904B1" w:rsidP="00334E5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s</w:t>
      </w:r>
      <w:r w:rsidR="006F6A80" w:rsidRPr="00AA7A10">
        <w:rPr>
          <w:rFonts w:eastAsia="Times New Roman"/>
          <w:iCs/>
          <w:color w:val="000000" w:themeColor="text1"/>
          <w:spacing w:val="2"/>
          <w:sz w:val="22"/>
          <w:szCs w:val="22"/>
        </w:rPr>
        <w:t xml:space="preserve">ervice providers, </w:t>
      </w:r>
      <w:r w:rsidR="006C61FC" w:rsidRPr="00AA7A10">
        <w:rPr>
          <w:rFonts w:eastAsia="Times New Roman"/>
          <w:iCs/>
          <w:color w:val="000000" w:themeColor="text1"/>
          <w:spacing w:val="2"/>
          <w:sz w:val="22"/>
          <w:szCs w:val="22"/>
        </w:rPr>
        <w:t>peak bodies and advocacy organisations</w:t>
      </w:r>
      <w:r w:rsidR="005C6EB8" w:rsidRPr="00AA7A10">
        <w:rPr>
          <w:rFonts w:eastAsia="Times New Roman"/>
          <w:iCs/>
          <w:color w:val="000000" w:themeColor="text1"/>
          <w:spacing w:val="2"/>
          <w:sz w:val="22"/>
          <w:szCs w:val="22"/>
        </w:rPr>
        <w:t>.</w:t>
      </w:r>
    </w:p>
    <w:p w14:paraId="3EA15473" w14:textId="4E978F42" w:rsidR="004B5894" w:rsidRPr="004B5894"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rPr>
          <w:rFonts w:ascii="Georgia" w:eastAsia="Times New Roman" w:hAnsi="Georgia" w:cstheme="majorBidi"/>
          <w:b/>
          <w:bCs/>
          <w:color w:val="005A70"/>
          <w:sz w:val="28"/>
          <w:lang w:eastAsia="en-AU"/>
        </w:rPr>
      </w:pPr>
      <w:r w:rsidRPr="004B5894">
        <w:rPr>
          <w:rFonts w:ascii="Georgia" w:eastAsia="Times New Roman" w:hAnsi="Georgia" w:cstheme="majorBidi"/>
          <w:b/>
          <w:bCs/>
          <w:color w:val="005A70"/>
          <w:sz w:val="28"/>
          <w:lang w:eastAsia="en-AU"/>
        </w:rPr>
        <w:t>The National Agreement on Closing the Gap</w:t>
      </w:r>
    </w:p>
    <w:p w14:paraId="47CE4086"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rPr>
          <w:rFonts w:cs="Arial"/>
          <w:kern w:val="0"/>
          <w:sz w:val="24"/>
          <w:szCs w:val="22"/>
          <w14:ligatures w14:val="none"/>
        </w:rPr>
      </w:pPr>
      <w:r w:rsidRPr="00B90D88">
        <w:rPr>
          <w:rFonts w:cs="Arial"/>
          <w:kern w:val="0"/>
          <w:sz w:val="24"/>
          <w:szCs w:val="22"/>
          <w14:ligatures w14:val="none"/>
        </w:rPr>
        <w:t>The National Agreement on Closing the Gap (National Agreement) commits the Government to 4 Priority Reforms that change the way governments work with Aboriginal and Torres Strait Islander people and communities. The priority reforms are:</w:t>
      </w:r>
    </w:p>
    <w:p w14:paraId="4E8E320A" w14:textId="1F4A5073"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Priority Reform One – Formal Partnerships and Shared Decision Making, commits the Government to building and strengthening structures that empower First Nations people to share decision-making authority with governments to accelerate community led and place</w:t>
      </w:r>
      <w:r w:rsidR="0009456F" w:rsidRPr="00B90D88">
        <w:rPr>
          <w:rFonts w:cs="Arial"/>
          <w:kern w:val="0"/>
          <w:sz w:val="24"/>
          <w:szCs w:val="22"/>
          <w14:ligatures w14:val="none"/>
        </w:rPr>
        <w:noBreakHyphen/>
      </w:r>
      <w:r w:rsidRPr="00B90D88">
        <w:rPr>
          <w:rFonts w:cs="Arial"/>
          <w:kern w:val="0"/>
          <w:sz w:val="24"/>
          <w:szCs w:val="22"/>
          <w14:ligatures w14:val="none"/>
        </w:rPr>
        <w:t>based progress on Closing the Gap</w:t>
      </w:r>
    </w:p>
    <w:p w14:paraId="40228FE9" w14:textId="41AA11EC"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Priority Reform Two – Building the Community-Controlled Sector</w:t>
      </w:r>
      <w:r w:rsidR="0009456F" w:rsidRPr="00B90D88">
        <w:rPr>
          <w:rFonts w:cs="Arial"/>
          <w:kern w:val="0"/>
          <w:sz w:val="24"/>
          <w:szCs w:val="22"/>
          <w14:ligatures w14:val="none"/>
        </w:rPr>
        <w:t>,</w:t>
      </w:r>
      <w:r w:rsidRPr="00B90D88">
        <w:rPr>
          <w:rFonts w:cs="Arial"/>
          <w:kern w:val="0"/>
          <w:sz w:val="24"/>
          <w:szCs w:val="22"/>
          <w14:ligatures w14:val="none"/>
        </w:rPr>
        <w:t xml:space="preserve"> commits the Government to funding prioritisation policies and sustained capacity building and investment to build the Aboriginal and Torres Strait Islander community-controlled sector.</w:t>
      </w:r>
    </w:p>
    <w:p w14:paraId="08F7B52A"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 xml:space="preserve">Priority Reform Three – Transforming Government Organisations, commits the Government to systemic and structural transformation of mainstream government organisations to improve accountability, and to respond to the needs of Aboriginal and Torres Strait Islander people. </w:t>
      </w:r>
    </w:p>
    <w:p w14:paraId="21EDC5BB"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 xml:space="preserve">Priority Reform Four – Shared Access to Data and Information at a Regional Level, commits Government to ensuring Aboriginal and Torres Strait Islander people have access to, and the capability to use locally relevant data and information to drive their own development and priorities. </w:t>
      </w:r>
    </w:p>
    <w:p w14:paraId="39C756A0"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rPr>
          <w:rFonts w:cs="Arial"/>
          <w:kern w:val="0"/>
          <w:sz w:val="24"/>
          <w:szCs w:val="22"/>
          <w14:ligatures w14:val="none"/>
        </w:rPr>
      </w:pPr>
      <w:r w:rsidRPr="00B90D88">
        <w:rPr>
          <w:rFonts w:cs="Arial"/>
          <w:kern w:val="0"/>
          <w:sz w:val="24"/>
          <w:szCs w:val="22"/>
          <w14:ligatures w14:val="none"/>
        </w:rPr>
        <w:t>Priority Reforms are integrated into funding models and arrangements to ensure greater diversity of organisations to deliver programs and services, such as:</w:t>
      </w:r>
    </w:p>
    <w:p w14:paraId="2F52FABD"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partnerships/consortia arrangements</w:t>
      </w:r>
    </w:p>
    <w:p w14:paraId="1D69EA7F" w14:textId="77777777"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sub-contracting to local and specialist organisations for specific program delivery or services</w:t>
      </w:r>
    </w:p>
    <w:p w14:paraId="275FC486" w14:textId="0355C8B5" w:rsidR="004B5894" w:rsidRPr="00B90D88" w:rsidRDefault="004B5894" w:rsidP="004B5894">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kern w:val="0"/>
          <w:sz w:val="24"/>
          <w:szCs w:val="22"/>
          <w14:ligatures w14:val="none"/>
        </w:rPr>
      </w:pPr>
      <w:r w:rsidRPr="00B90D88">
        <w:rPr>
          <w:rFonts w:cs="Arial"/>
          <w:kern w:val="0"/>
          <w:sz w:val="24"/>
          <w:szCs w:val="22"/>
          <w14:ligatures w14:val="none"/>
        </w:rPr>
        <w:t>•</w:t>
      </w:r>
      <w:r w:rsidRPr="00B90D88">
        <w:rPr>
          <w:rFonts w:cs="Arial"/>
          <w:kern w:val="0"/>
          <w:sz w:val="24"/>
          <w:szCs w:val="22"/>
          <w14:ligatures w14:val="none"/>
        </w:rPr>
        <w:tab/>
        <w:t>Shorter-term grants for specific projects or trials given to local organisations.</w:t>
      </w:r>
    </w:p>
    <w:p w14:paraId="271CAF91" w14:textId="3D5385E6" w:rsidR="00334E5F" w:rsidRPr="00AA7A10" w:rsidRDefault="00334E5F" w:rsidP="00334E5F">
      <w:pPr>
        <w:spacing w:before="240" w:line="276" w:lineRule="auto"/>
        <w:rPr>
          <w:rFonts w:cs="Arial"/>
          <w:szCs w:val="22"/>
        </w:rPr>
      </w:pPr>
      <w:r w:rsidRPr="00AA7A10">
        <w:rPr>
          <w:rFonts w:cs="Arial"/>
          <w:szCs w:val="22"/>
        </w:rPr>
        <w:t>The government also understands that supporting organisations to deliver specialised services and supports to specific cohorts, such as Aboriginal and Torres Strait Islander people</w:t>
      </w:r>
      <w:r w:rsidR="00C22DA5">
        <w:rPr>
          <w:rFonts w:cs="Arial"/>
          <w:szCs w:val="22"/>
        </w:rPr>
        <w:t>, people with disability</w:t>
      </w:r>
      <w:r w:rsidRPr="00AA7A10">
        <w:rPr>
          <w:rFonts w:cs="Arial"/>
          <w:szCs w:val="22"/>
        </w:rPr>
        <w:t xml:space="preserve"> and people from </w:t>
      </w:r>
      <w:r>
        <w:rPr>
          <w:rFonts w:cs="Arial"/>
          <w:szCs w:val="22"/>
        </w:rPr>
        <w:t>culturally and linguistically diverse (</w:t>
      </w:r>
      <w:r w:rsidRPr="00AA7A10">
        <w:rPr>
          <w:rFonts w:cs="Arial"/>
          <w:szCs w:val="22"/>
        </w:rPr>
        <w:t>CALD</w:t>
      </w:r>
      <w:r>
        <w:rPr>
          <w:rFonts w:cs="Arial"/>
          <w:szCs w:val="22"/>
        </w:rPr>
        <w:t>)</w:t>
      </w:r>
      <w:r w:rsidRPr="00AA7A10">
        <w:rPr>
          <w:rFonts w:cs="Arial"/>
          <w:szCs w:val="22"/>
        </w:rPr>
        <w:t xml:space="preserve"> backgrounds, may require approaches that are different to traditional grant funding arrangements. This includes through ensuring diversified workforces, culturally competent, appropriate and safe practices, and targeting resources for priority groups. Government agencies may explore working together to build capacity and capability and tailor engagement strategies across these cohorts.</w:t>
      </w:r>
    </w:p>
    <w:p w14:paraId="12880773" w14:textId="77777777" w:rsidR="00334E5F" w:rsidRPr="00AA7A10" w:rsidRDefault="00334E5F" w:rsidP="00334E5F">
      <w:pPr>
        <w:spacing w:before="120" w:line="276" w:lineRule="auto"/>
        <w:rPr>
          <w:rFonts w:cs="Arial"/>
          <w:color w:val="000000" w:themeColor="text1"/>
          <w:szCs w:val="22"/>
        </w:rPr>
      </w:pPr>
      <w:r w:rsidRPr="00AA7A10">
        <w:rPr>
          <w:rFonts w:cs="Arial"/>
          <w:szCs w:val="22"/>
        </w:rPr>
        <w:lastRenderedPageBreak/>
        <w:t xml:space="preserve">Partnerships and consortia arrangements are often valuable in building the capacity of smaller, local organisations. Larger organisations in partnerships also benefit from understanding the knowledge and </w:t>
      </w:r>
      <w:r w:rsidRPr="00AA7A10">
        <w:rPr>
          <w:rFonts w:cs="Arial"/>
          <w:color w:val="000000" w:themeColor="text1"/>
          <w:szCs w:val="22"/>
        </w:rPr>
        <w:t>practices specialist and local organisations offer.</w:t>
      </w:r>
    </w:p>
    <w:p w14:paraId="07927BFB" w14:textId="77777777" w:rsidR="00334E5F" w:rsidRDefault="00334E5F" w:rsidP="00334E5F">
      <w:pPr>
        <w:spacing w:before="120" w:line="276" w:lineRule="auto"/>
        <w:rPr>
          <w:rFonts w:cs="Arial"/>
          <w:szCs w:val="22"/>
        </w:rPr>
      </w:pPr>
      <w:r w:rsidRPr="00AA7A10">
        <w:rPr>
          <w:rFonts w:cs="Arial"/>
          <w:color w:val="000000" w:themeColor="text1"/>
          <w:szCs w:val="22"/>
        </w:rPr>
        <w:t>Achievin</w:t>
      </w:r>
      <w:r w:rsidRPr="00AA7A10">
        <w:rPr>
          <w:rFonts w:cs="Arial"/>
          <w:szCs w:val="22"/>
        </w:rPr>
        <w:t xml:space="preserve">g more diversity in funded organisations will have some impacts on organisations that are currently funded, if funds and initiatives are spread across a greater number of organisations. This approach may put greater emphasis on supporting organisations that have a connection to, and understanding of, the community needs where services are being delivered rather than those seeking to establish or provide outreach services. It will require capacity and capability building and may lead to partnership approaches with larger, well-established organisations for support. It may be even more important for organisations to consider diversifying their funding sources and to be able to forward plan the critical services and supports their organisation will deliver. </w:t>
      </w:r>
    </w:p>
    <w:p w14:paraId="5A0CA68F" w14:textId="6B2655E6" w:rsidR="005C6EB8" w:rsidRPr="00E5620F" w:rsidRDefault="005C6EB8" w:rsidP="00437102">
      <w:pPr>
        <w:pStyle w:val="Heading3"/>
      </w:pPr>
      <w:r w:rsidRPr="00E5620F">
        <w:t xml:space="preserve">What </w:t>
      </w:r>
      <w:r w:rsidR="000250EE" w:rsidRPr="00E5620F">
        <w:t>the department has</w:t>
      </w:r>
      <w:r w:rsidRPr="00E5620F">
        <w:t xml:space="preserve"> heard</w:t>
      </w:r>
    </w:p>
    <w:p w14:paraId="681274B9" w14:textId="67E358A9" w:rsidR="001C63BF" w:rsidRPr="00AA7A10" w:rsidRDefault="005C6EB8" w:rsidP="0063537C">
      <w:pPr>
        <w:keepNext/>
        <w:spacing w:line="276" w:lineRule="auto"/>
        <w:rPr>
          <w:rFonts w:cs="Arial"/>
          <w:szCs w:val="22"/>
        </w:rPr>
      </w:pPr>
      <w:r w:rsidRPr="00AA7A10">
        <w:rPr>
          <w:rFonts w:cs="Arial"/>
          <w:szCs w:val="22"/>
        </w:rPr>
        <w:t xml:space="preserve">The community sector has suggested the </w:t>
      </w:r>
      <w:r w:rsidR="000F2098" w:rsidRPr="00AA7A10">
        <w:rPr>
          <w:rFonts w:cs="Arial"/>
          <w:szCs w:val="22"/>
        </w:rPr>
        <w:t>g</w:t>
      </w:r>
      <w:r w:rsidRPr="00AA7A10">
        <w:rPr>
          <w:rFonts w:cs="Arial"/>
          <w:szCs w:val="22"/>
        </w:rPr>
        <w:t xml:space="preserve">overnment </w:t>
      </w:r>
      <w:r w:rsidRPr="00437102">
        <w:rPr>
          <w:rFonts w:cs="Arial"/>
          <w:iCs/>
          <w:szCs w:val="22"/>
        </w:rPr>
        <w:t>‘commit to funding a range of organisations, small, medium and large, working to address poverty, disadvantage and marginalisation’</w:t>
      </w:r>
      <w:r w:rsidRPr="00AA7A10">
        <w:rPr>
          <w:rStyle w:val="FootnoteReference"/>
          <w:rFonts w:cs="Arial"/>
          <w:szCs w:val="22"/>
        </w:rPr>
        <w:footnoteReference w:id="8"/>
      </w:r>
      <w:r w:rsidR="00466A76" w:rsidRPr="00AA7A10">
        <w:rPr>
          <w:rFonts w:cs="Arial"/>
          <w:szCs w:val="22"/>
        </w:rPr>
        <w:t>. I</w:t>
      </w:r>
      <w:r w:rsidR="003A44AA" w:rsidRPr="00AA7A10">
        <w:rPr>
          <w:rFonts w:cs="Arial"/>
          <w:szCs w:val="22"/>
        </w:rPr>
        <w:t>n order</w:t>
      </w:r>
      <w:r w:rsidR="00C310E2" w:rsidRPr="00AA7A10">
        <w:rPr>
          <w:rFonts w:cs="Arial"/>
          <w:szCs w:val="22"/>
        </w:rPr>
        <w:t xml:space="preserve"> to achieve this there needs to be:</w:t>
      </w:r>
    </w:p>
    <w:p w14:paraId="76512D60" w14:textId="6C59750C" w:rsidR="00B01D65" w:rsidRPr="00AA7A10" w:rsidRDefault="00B01D65"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better communication across the sector about grant funding opportunities</w:t>
      </w:r>
    </w:p>
    <w:p w14:paraId="0736C59A" w14:textId="58A613C4" w:rsidR="00C310E2" w:rsidRPr="00AA7A10" w:rsidRDefault="00C310E2"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more equitable access to grant funding, especially for smaller organisations who support intersectional groups within their community</w:t>
      </w:r>
    </w:p>
    <w:p w14:paraId="5B809F3D" w14:textId="6D3E6B69" w:rsidR="004876D0" w:rsidRPr="00AA7A10" w:rsidRDefault="007962DE" w:rsidP="003B663F">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efforts to </w:t>
      </w:r>
      <w:r w:rsidR="00C3592A" w:rsidRPr="00AA7A10">
        <w:rPr>
          <w:rFonts w:eastAsia="Times New Roman"/>
          <w:iCs/>
          <w:color w:val="000000" w:themeColor="text1"/>
          <w:spacing w:val="2"/>
          <w:sz w:val="22"/>
          <w:szCs w:val="22"/>
        </w:rPr>
        <w:t>build</w:t>
      </w:r>
      <w:r w:rsidRPr="00AA7A10">
        <w:rPr>
          <w:rFonts w:eastAsia="Times New Roman"/>
          <w:iCs/>
          <w:color w:val="000000" w:themeColor="text1"/>
          <w:spacing w:val="2"/>
          <w:sz w:val="22"/>
          <w:szCs w:val="22"/>
        </w:rPr>
        <w:t xml:space="preserve"> </w:t>
      </w:r>
      <w:r w:rsidR="00230F55" w:rsidRPr="00AA7A10">
        <w:rPr>
          <w:rFonts w:eastAsia="Times New Roman"/>
          <w:iCs/>
          <w:color w:val="000000" w:themeColor="text1"/>
          <w:spacing w:val="2"/>
          <w:sz w:val="22"/>
          <w:szCs w:val="22"/>
        </w:rPr>
        <w:t xml:space="preserve">a fair and competitive market of </w:t>
      </w:r>
      <w:r w:rsidR="005761F4" w:rsidRPr="00AA7A10">
        <w:rPr>
          <w:rFonts w:eastAsia="Times New Roman"/>
          <w:iCs/>
          <w:color w:val="000000" w:themeColor="text1"/>
          <w:spacing w:val="2"/>
          <w:sz w:val="22"/>
          <w:szCs w:val="22"/>
        </w:rPr>
        <w:t xml:space="preserve">organisations in the </w:t>
      </w:r>
      <w:r w:rsidR="00230F55" w:rsidRPr="00AA7A10">
        <w:rPr>
          <w:rFonts w:eastAsia="Times New Roman"/>
          <w:iCs/>
          <w:color w:val="000000" w:themeColor="text1"/>
          <w:spacing w:val="2"/>
          <w:sz w:val="22"/>
          <w:szCs w:val="22"/>
        </w:rPr>
        <w:t>community service</w:t>
      </w:r>
      <w:r w:rsidR="005761F4" w:rsidRPr="00AA7A10">
        <w:rPr>
          <w:rFonts w:eastAsia="Times New Roman"/>
          <w:iCs/>
          <w:color w:val="000000" w:themeColor="text1"/>
          <w:spacing w:val="2"/>
          <w:sz w:val="22"/>
          <w:szCs w:val="22"/>
        </w:rPr>
        <w:t xml:space="preserve"> sector</w:t>
      </w:r>
      <w:r w:rsidR="00C3592A" w:rsidRPr="00AA7A10">
        <w:rPr>
          <w:rFonts w:eastAsia="Times New Roman"/>
          <w:iCs/>
          <w:color w:val="000000" w:themeColor="text1"/>
          <w:spacing w:val="2"/>
          <w:sz w:val="22"/>
          <w:szCs w:val="22"/>
        </w:rPr>
        <w:t>.</w:t>
      </w:r>
    </w:p>
    <w:p w14:paraId="762E91E6" w14:textId="15EF004B" w:rsidR="00466A76" w:rsidRPr="00AA7A10" w:rsidRDefault="008D462C" w:rsidP="000C011F">
      <w:pPr>
        <w:spacing w:after="240" w:line="276" w:lineRule="auto"/>
        <w:rPr>
          <w:rFonts w:cs="Arial"/>
          <w:szCs w:val="22"/>
        </w:rPr>
      </w:pPr>
      <w:r w:rsidRPr="00AA7A10">
        <w:rPr>
          <w:rFonts w:cs="Arial"/>
          <w:szCs w:val="22"/>
        </w:rPr>
        <w:t xml:space="preserve">Organisations </w:t>
      </w:r>
      <w:r w:rsidR="00466A76" w:rsidRPr="00AA7A10">
        <w:rPr>
          <w:rFonts w:cs="Arial"/>
          <w:szCs w:val="22"/>
        </w:rPr>
        <w:t>that</w:t>
      </w:r>
      <w:r w:rsidRPr="00AA7A10">
        <w:rPr>
          <w:rFonts w:cs="Arial"/>
          <w:szCs w:val="22"/>
        </w:rPr>
        <w:t xml:space="preserve"> represent </w:t>
      </w:r>
      <w:r w:rsidR="00D74005" w:rsidRPr="00AA7A10">
        <w:rPr>
          <w:rFonts w:cs="Arial"/>
          <w:szCs w:val="22"/>
        </w:rPr>
        <w:t xml:space="preserve">diverse population groups have also called </w:t>
      </w:r>
      <w:r w:rsidR="009871C9" w:rsidRPr="00AA7A10">
        <w:rPr>
          <w:rFonts w:cs="Arial"/>
          <w:szCs w:val="22"/>
        </w:rPr>
        <w:t xml:space="preserve">on the </w:t>
      </w:r>
      <w:r w:rsidR="000F2098" w:rsidRPr="00AA7A10">
        <w:rPr>
          <w:rFonts w:cs="Arial"/>
          <w:szCs w:val="22"/>
        </w:rPr>
        <w:t>g</w:t>
      </w:r>
      <w:r w:rsidR="009871C9" w:rsidRPr="00AA7A10">
        <w:rPr>
          <w:rFonts w:cs="Arial"/>
          <w:szCs w:val="22"/>
        </w:rPr>
        <w:t>overnment to</w:t>
      </w:r>
      <w:r w:rsidR="00D74005" w:rsidRPr="00AA7A10">
        <w:rPr>
          <w:rFonts w:cs="Arial"/>
          <w:szCs w:val="22"/>
        </w:rPr>
        <w:t xml:space="preserve"> ensur</w:t>
      </w:r>
      <w:r w:rsidR="009871C9" w:rsidRPr="00AA7A10">
        <w:rPr>
          <w:rFonts w:cs="Arial"/>
          <w:szCs w:val="22"/>
        </w:rPr>
        <w:t>e</w:t>
      </w:r>
      <w:r w:rsidR="00D74005" w:rsidRPr="00AA7A10">
        <w:rPr>
          <w:rFonts w:cs="Arial"/>
          <w:szCs w:val="22"/>
        </w:rPr>
        <w:t xml:space="preserve"> there is </w:t>
      </w:r>
      <w:r w:rsidR="009871C9" w:rsidRPr="00AA7A10">
        <w:rPr>
          <w:rFonts w:cs="Arial"/>
          <w:szCs w:val="22"/>
        </w:rPr>
        <w:t xml:space="preserve">a </w:t>
      </w:r>
      <w:r w:rsidR="00FD62E5" w:rsidRPr="00AA7A10">
        <w:rPr>
          <w:rFonts w:cs="Arial"/>
          <w:szCs w:val="22"/>
        </w:rPr>
        <w:t xml:space="preserve">diversity of organisations with access to funding that can support specific cohorts and intersectional community groups. </w:t>
      </w:r>
      <w:r w:rsidR="00350498" w:rsidRPr="00AA7A10">
        <w:rPr>
          <w:rFonts w:cs="Arial"/>
          <w:szCs w:val="22"/>
        </w:rPr>
        <w:t xml:space="preserve">For example, </w:t>
      </w:r>
      <w:r w:rsidR="00533399" w:rsidRPr="00AA7A10">
        <w:rPr>
          <w:rFonts w:cs="Arial"/>
          <w:szCs w:val="22"/>
        </w:rPr>
        <w:t xml:space="preserve">the Federation of Ethnic Communities’ Councils of Australia </w:t>
      </w:r>
      <w:r w:rsidR="002C1CC2" w:rsidRPr="00AA7A10">
        <w:rPr>
          <w:rFonts w:cs="Arial"/>
          <w:szCs w:val="22"/>
        </w:rPr>
        <w:t xml:space="preserve">2023-24 Pre-Budget Submission </w:t>
      </w:r>
      <w:r w:rsidR="00897440" w:rsidRPr="00AA7A10">
        <w:rPr>
          <w:rFonts w:cs="Arial"/>
          <w:szCs w:val="22"/>
        </w:rPr>
        <w:t>suggested that</w:t>
      </w:r>
      <w:r w:rsidR="00C20C22">
        <w:rPr>
          <w:rFonts w:cs="Arial"/>
          <w:szCs w:val="22"/>
        </w:rPr>
        <w:t>:</w:t>
      </w:r>
    </w:p>
    <w:p w14:paraId="612E06C3" w14:textId="166DD5D8" w:rsidR="00466A76" w:rsidRPr="00437102" w:rsidRDefault="00466A76" w:rsidP="00E20168">
      <w:pPr>
        <w:pStyle w:val="Quote"/>
      </w:pPr>
      <w:r w:rsidRPr="00437102">
        <w:t>…</w:t>
      </w:r>
      <w:r w:rsidR="00897440" w:rsidRPr="00437102">
        <w:t xml:space="preserve">given the </w:t>
      </w:r>
      <w:r w:rsidR="002C1CC2" w:rsidRPr="00437102">
        <w:t>breadth of diversity within multicultural Australia, it is equally important to invest in existing multicultural organisations. These organisations have wide networks and deep relationships built over time with their communities based on trust and deep cultural understanding. During the COVID-19 pandemic, these organisations were crucial in facilitating engagement between communities and government</w:t>
      </w:r>
      <w:r w:rsidRPr="00437102">
        <w:t>.</w:t>
      </w:r>
    </w:p>
    <w:p w14:paraId="1DC6B6CF" w14:textId="725C7B2E" w:rsidR="000F2098" w:rsidRPr="00AA7A10" w:rsidRDefault="00F558C4" w:rsidP="000C011F">
      <w:pPr>
        <w:spacing w:after="240" w:line="276" w:lineRule="auto"/>
        <w:rPr>
          <w:rFonts w:cs="Arial"/>
          <w:i/>
          <w:iCs/>
          <w:szCs w:val="22"/>
        </w:rPr>
      </w:pPr>
      <w:r w:rsidRPr="00AA7A10">
        <w:rPr>
          <w:rFonts w:cs="Arial"/>
          <w:iCs/>
          <w:szCs w:val="22"/>
        </w:rPr>
        <w:t xml:space="preserve">In addition, </w:t>
      </w:r>
      <w:hyperlink r:id="rId57" w:history="1">
        <w:r w:rsidRPr="00437102">
          <w:rPr>
            <w:rStyle w:val="Hyperlink"/>
            <w:rFonts w:cs="Arial"/>
            <w:szCs w:val="22"/>
          </w:rPr>
          <w:t xml:space="preserve">Stronger ACCOs, Stronger Families </w:t>
        </w:r>
        <w:r w:rsidRPr="00437102">
          <w:rPr>
            <w:rStyle w:val="Hyperlink"/>
            <w:rFonts w:cs="Arial"/>
            <w:iCs/>
            <w:szCs w:val="22"/>
          </w:rPr>
          <w:t>report</w:t>
        </w:r>
      </w:hyperlink>
      <w:r w:rsidRPr="00AA7A10">
        <w:rPr>
          <w:rFonts w:cs="Arial"/>
          <w:iCs/>
          <w:szCs w:val="22"/>
        </w:rPr>
        <w:t xml:space="preserve"> authored by</w:t>
      </w:r>
      <w:r w:rsidR="00C20C22">
        <w:rPr>
          <w:rFonts w:cs="Arial"/>
          <w:iCs/>
          <w:szCs w:val="22"/>
        </w:rPr>
        <w:t xml:space="preserve"> </w:t>
      </w:r>
      <w:r w:rsidRPr="00AA7A10">
        <w:rPr>
          <w:rFonts w:cs="Arial"/>
          <w:iCs/>
          <w:szCs w:val="22"/>
        </w:rPr>
        <w:t>SNAICC</w:t>
      </w:r>
      <w:r w:rsidR="0009456F">
        <w:rPr>
          <w:rFonts w:cs="Arial"/>
          <w:iCs/>
          <w:szCs w:val="22"/>
        </w:rPr>
        <w:t xml:space="preserve"> – National Voice for our Children</w:t>
      </w:r>
      <w:r w:rsidRPr="00AA7A10">
        <w:rPr>
          <w:rFonts w:cs="Arial"/>
          <w:iCs/>
          <w:szCs w:val="22"/>
        </w:rPr>
        <w:t xml:space="preserve"> outlined that</w:t>
      </w:r>
      <w:r w:rsidR="001D1F80">
        <w:rPr>
          <w:rFonts w:cs="Arial"/>
          <w:iCs/>
          <w:szCs w:val="22"/>
        </w:rPr>
        <w:t xml:space="preserve"> Aboriginal Community-Controlled Organisations</w:t>
      </w:r>
      <w:r w:rsidRPr="00AA7A10">
        <w:rPr>
          <w:rFonts w:cs="Arial"/>
          <w:iCs/>
          <w:szCs w:val="22"/>
        </w:rPr>
        <w:t xml:space="preserve"> </w:t>
      </w:r>
      <w:r w:rsidR="001D1F80">
        <w:rPr>
          <w:rFonts w:cs="Arial"/>
          <w:iCs/>
          <w:szCs w:val="22"/>
        </w:rPr>
        <w:t>(</w:t>
      </w:r>
      <w:r w:rsidRPr="00AA7A10">
        <w:rPr>
          <w:rFonts w:cs="Arial"/>
          <w:iCs/>
          <w:szCs w:val="22"/>
        </w:rPr>
        <w:t>ACCOs</w:t>
      </w:r>
      <w:r w:rsidR="001D1F80">
        <w:rPr>
          <w:rFonts w:cs="Arial"/>
          <w:iCs/>
          <w:szCs w:val="22"/>
        </w:rPr>
        <w:t>)</w:t>
      </w:r>
      <w:r w:rsidRPr="00AA7A10">
        <w:rPr>
          <w:rFonts w:cs="Arial"/>
          <w:iCs/>
          <w:szCs w:val="22"/>
        </w:rPr>
        <w:t xml:space="preserve"> are inextricably connected to the community they serve which drives high quality service delivery. In recommendation 3 of the report SNAICC </w:t>
      </w:r>
      <w:r w:rsidR="00466A76" w:rsidRPr="00AA7A10">
        <w:rPr>
          <w:rFonts w:cs="Arial"/>
          <w:iCs/>
          <w:szCs w:val="22"/>
        </w:rPr>
        <w:t xml:space="preserve">suggested </w:t>
      </w:r>
      <w:r w:rsidRPr="00AA7A10">
        <w:rPr>
          <w:rFonts w:cs="Arial"/>
          <w:iCs/>
          <w:szCs w:val="22"/>
        </w:rPr>
        <w:t>this strength be recognised through investment, development and sustainability of ACCOs through core-functions funding.</w:t>
      </w:r>
    </w:p>
    <w:p w14:paraId="6CE22C1A" w14:textId="22FA72E7" w:rsidR="00466A76" w:rsidRDefault="00466A76" w:rsidP="00466A76">
      <w:pPr>
        <w:pStyle w:val="Heading3"/>
      </w:pPr>
      <w:r>
        <w:t>How to achieve this</w:t>
      </w:r>
    </w:p>
    <w:p w14:paraId="3B96AFAC" w14:textId="77777777" w:rsidR="00466A76" w:rsidRPr="00AA7A10" w:rsidRDefault="00466A76" w:rsidP="002A537F">
      <w:pPr>
        <w:spacing w:line="276" w:lineRule="auto"/>
        <w:rPr>
          <w:rFonts w:cs="Arial"/>
          <w:color w:val="000000" w:themeColor="text1"/>
          <w:szCs w:val="22"/>
        </w:rPr>
      </w:pPr>
      <w:r w:rsidRPr="00AA7A10">
        <w:rPr>
          <w:rFonts w:cs="Arial"/>
          <w:color w:val="000000" w:themeColor="text1"/>
          <w:szCs w:val="22"/>
        </w:rPr>
        <w:t xml:space="preserve">Options to achieve this could include the below. </w:t>
      </w:r>
    </w:p>
    <w:p w14:paraId="5EC526EF" w14:textId="679BD768" w:rsidR="007E0144" w:rsidRPr="00AA7A10" w:rsidRDefault="00DE0757" w:rsidP="00181F7A">
      <w:pPr>
        <w:pStyle w:val="ListParagraph"/>
        <w:numPr>
          <w:ilvl w:val="0"/>
          <w:numId w:val="27"/>
        </w:numPr>
        <w:spacing w:after="240" w:line="276" w:lineRule="auto"/>
        <w:rPr>
          <w:rFonts w:eastAsiaTheme="majorEastAsia" w:cs="Arial"/>
          <w:color w:val="000000" w:themeColor="text1"/>
          <w:szCs w:val="22"/>
        </w:rPr>
      </w:pPr>
      <w:r w:rsidRPr="00AA7A10">
        <w:rPr>
          <w:rFonts w:cs="Arial"/>
          <w:iCs/>
          <w:spacing w:val="2"/>
          <w:szCs w:val="22"/>
        </w:rPr>
        <w:t>A comprehensive review of funding flows</w:t>
      </w:r>
      <w:r w:rsidR="00DF0761" w:rsidRPr="00AA7A10">
        <w:rPr>
          <w:rFonts w:cs="Arial"/>
          <w:iCs/>
          <w:spacing w:val="2"/>
          <w:szCs w:val="22"/>
        </w:rPr>
        <w:t xml:space="preserve"> from </w:t>
      </w:r>
      <w:r w:rsidR="000F2098" w:rsidRPr="00AA7A10">
        <w:rPr>
          <w:rFonts w:cs="Arial"/>
          <w:iCs/>
          <w:spacing w:val="2"/>
          <w:szCs w:val="22"/>
        </w:rPr>
        <w:t>g</w:t>
      </w:r>
      <w:r w:rsidR="00DF0761" w:rsidRPr="00AA7A10">
        <w:rPr>
          <w:rFonts w:cs="Arial"/>
          <w:iCs/>
          <w:spacing w:val="2"/>
          <w:szCs w:val="22"/>
        </w:rPr>
        <w:t>overnment to CSOs</w:t>
      </w:r>
      <w:r w:rsidR="00466A76" w:rsidRPr="00AA7A10">
        <w:rPr>
          <w:rFonts w:cs="Arial"/>
          <w:iCs/>
          <w:color w:val="000000" w:themeColor="text1"/>
          <w:spacing w:val="2"/>
          <w:szCs w:val="22"/>
        </w:rPr>
        <w:t>. T</w:t>
      </w:r>
      <w:r w:rsidR="00900DF8" w:rsidRPr="00AA7A10">
        <w:rPr>
          <w:rFonts w:cs="Arial"/>
          <w:iCs/>
          <w:color w:val="000000" w:themeColor="text1"/>
          <w:spacing w:val="2"/>
          <w:szCs w:val="22"/>
        </w:rPr>
        <w:t>his would help to</w:t>
      </w:r>
      <w:r w:rsidR="00CC642C" w:rsidRPr="00AA7A10">
        <w:rPr>
          <w:rFonts w:cs="Arial"/>
          <w:iCs/>
          <w:color w:val="000000" w:themeColor="text1"/>
          <w:spacing w:val="2"/>
          <w:szCs w:val="22"/>
        </w:rPr>
        <w:t xml:space="preserve"> </w:t>
      </w:r>
      <w:r w:rsidRPr="00AA7A10">
        <w:rPr>
          <w:rFonts w:cs="Arial"/>
          <w:iCs/>
          <w:color w:val="000000" w:themeColor="text1"/>
          <w:spacing w:val="2"/>
          <w:szCs w:val="22"/>
        </w:rPr>
        <w:t>identify barriers</w:t>
      </w:r>
      <w:r w:rsidR="00DF0761" w:rsidRPr="00AA7A10">
        <w:rPr>
          <w:rFonts w:cs="Arial"/>
          <w:iCs/>
          <w:color w:val="000000" w:themeColor="text1"/>
          <w:spacing w:val="2"/>
          <w:szCs w:val="22"/>
        </w:rPr>
        <w:t xml:space="preserve">, explore opportunities for collaboration between CSOs and other initiatives such as Local Jobs Programs, </w:t>
      </w:r>
      <w:r w:rsidR="00056DD3" w:rsidRPr="00AA7A10">
        <w:rPr>
          <w:rFonts w:cs="Arial"/>
          <w:iCs/>
          <w:color w:val="000000" w:themeColor="text1"/>
          <w:spacing w:val="2"/>
          <w:szCs w:val="22"/>
        </w:rPr>
        <w:t xml:space="preserve">and </w:t>
      </w:r>
      <w:r w:rsidR="00DF0761" w:rsidRPr="00AA7A10">
        <w:rPr>
          <w:rFonts w:cs="Arial"/>
          <w:iCs/>
          <w:color w:val="000000" w:themeColor="text1"/>
          <w:spacing w:val="2"/>
          <w:szCs w:val="22"/>
        </w:rPr>
        <w:t>encourage</w:t>
      </w:r>
      <w:r w:rsidR="00056DD3" w:rsidRPr="00AA7A10">
        <w:rPr>
          <w:rFonts w:cs="Arial"/>
          <w:iCs/>
          <w:color w:val="000000" w:themeColor="text1"/>
          <w:spacing w:val="2"/>
          <w:szCs w:val="22"/>
        </w:rPr>
        <w:t xml:space="preserve"> greater </w:t>
      </w:r>
      <w:r w:rsidR="00056DD3" w:rsidRPr="00F21392">
        <w:rPr>
          <w:rFonts w:cs="Arial"/>
          <w:iCs/>
          <w:color w:val="000000" w:themeColor="text1"/>
          <w:spacing w:val="2"/>
          <w:szCs w:val="22"/>
        </w:rPr>
        <w:t>transparency</w:t>
      </w:r>
      <w:r w:rsidR="00056DD3" w:rsidRPr="00AA7A10">
        <w:rPr>
          <w:rFonts w:cs="Arial"/>
          <w:iCs/>
          <w:color w:val="000000" w:themeColor="text1"/>
          <w:spacing w:val="2"/>
          <w:szCs w:val="22"/>
        </w:rPr>
        <w:t xml:space="preserve"> </w:t>
      </w:r>
      <w:r w:rsidRPr="00AA7A10">
        <w:rPr>
          <w:rFonts w:cs="Arial"/>
          <w:iCs/>
          <w:color w:val="000000" w:themeColor="text1"/>
          <w:spacing w:val="2"/>
          <w:szCs w:val="22"/>
        </w:rPr>
        <w:t>within the sector.</w:t>
      </w:r>
      <w:r w:rsidR="005C0863" w:rsidRPr="00AA7A10">
        <w:rPr>
          <w:rFonts w:cs="Arial"/>
          <w:iCs/>
          <w:color w:val="000000" w:themeColor="text1"/>
          <w:spacing w:val="2"/>
          <w:szCs w:val="22"/>
        </w:rPr>
        <w:t xml:space="preserve"> This could include </w:t>
      </w:r>
      <w:r w:rsidR="005C0863" w:rsidRPr="00AA7A10">
        <w:rPr>
          <w:rFonts w:eastAsiaTheme="majorEastAsia" w:cs="Arial"/>
          <w:color w:val="000000" w:themeColor="text1"/>
          <w:szCs w:val="22"/>
        </w:rPr>
        <w:t>evaluating existing programs and identifying how smaller CSOs could play a greater role.</w:t>
      </w:r>
      <w:r w:rsidR="00C700CB">
        <w:rPr>
          <w:rFonts w:eastAsiaTheme="majorEastAsia" w:cs="Arial"/>
          <w:color w:val="000000" w:themeColor="text1"/>
          <w:szCs w:val="22"/>
        </w:rPr>
        <w:t xml:space="preserve"> </w:t>
      </w:r>
      <w:r w:rsidR="00C22DA5" w:rsidRPr="00C700CB">
        <w:rPr>
          <w:rFonts w:eastAsiaTheme="majorEastAsia" w:cs="Arial"/>
          <w:color w:val="000000" w:themeColor="text1"/>
          <w:szCs w:val="22"/>
        </w:rPr>
        <w:t>This review would be informed by other concurrent initiatives.</w:t>
      </w:r>
    </w:p>
    <w:p w14:paraId="1BBEC857" w14:textId="60EE86B0" w:rsidR="002325E0" w:rsidRPr="00E70EAD" w:rsidRDefault="002325E0" w:rsidP="00E70EAD">
      <w:pPr>
        <w:pStyle w:val="ListParagraph"/>
        <w:numPr>
          <w:ilvl w:val="0"/>
          <w:numId w:val="27"/>
        </w:numPr>
        <w:spacing w:after="240" w:line="276" w:lineRule="auto"/>
        <w:rPr>
          <w:rFonts w:cs="Arial"/>
          <w:iCs/>
          <w:color w:val="000000" w:themeColor="text1"/>
          <w:spacing w:val="2"/>
          <w:szCs w:val="22"/>
        </w:rPr>
      </w:pPr>
      <w:r w:rsidRPr="00E70EAD">
        <w:rPr>
          <w:rFonts w:cs="Arial"/>
          <w:iCs/>
          <w:color w:val="000000" w:themeColor="text1"/>
          <w:spacing w:val="2"/>
          <w:szCs w:val="22"/>
        </w:rPr>
        <w:lastRenderedPageBreak/>
        <w:t>Shared decision-making that includes organisations, government and communities</w:t>
      </w:r>
      <w:r w:rsidR="00466A76" w:rsidRPr="00E70EAD">
        <w:rPr>
          <w:rFonts w:cs="Arial"/>
          <w:iCs/>
          <w:color w:val="000000" w:themeColor="text1"/>
          <w:spacing w:val="2"/>
          <w:szCs w:val="22"/>
        </w:rPr>
        <w:t xml:space="preserve">. </w:t>
      </w:r>
      <w:r w:rsidR="00E70EAD" w:rsidRPr="00E70EAD">
        <w:rPr>
          <w:rFonts w:cs="Arial"/>
          <w:iCs/>
          <w:color w:val="000000" w:themeColor="text1"/>
          <w:spacing w:val="2"/>
          <w:szCs w:val="22"/>
        </w:rPr>
        <w:t>This may involve forming meaningful partnerships and creating more opportunities for organisations working within communities, as well as the community themselves, to be part of decision-making processes about policy, programs, funding and outcomes. This can help ensure that funding is directed to activities and organisations, including smaller and more localised organisations, which are best able to meet specific community needs and align with existing strategies, reforms and national agreements.</w:t>
      </w:r>
    </w:p>
    <w:p w14:paraId="248AEBA3" w14:textId="262B6E6D" w:rsidR="00DE0757" w:rsidRPr="00E70EAD" w:rsidRDefault="009C6146" w:rsidP="00DD4814">
      <w:pPr>
        <w:pStyle w:val="ListParagraph"/>
        <w:numPr>
          <w:ilvl w:val="0"/>
          <w:numId w:val="27"/>
        </w:numPr>
        <w:spacing w:after="240" w:line="276" w:lineRule="auto"/>
        <w:rPr>
          <w:rFonts w:cs="Arial"/>
          <w:iCs/>
          <w:color w:val="000000" w:themeColor="text1"/>
          <w:spacing w:val="2"/>
          <w:szCs w:val="22"/>
        </w:rPr>
      </w:pPr>
      <w:r w:rsidRPr="00E70EAD">
        <w:rPr>
          <w:rFonts w:cs="Arial"/>
          <w:iCs/>
          <w:color w:val="000000" w:themeColor="text1"/>
          <w:spacing w:val="2"/>
          <w:szCs w:val="22"/>
        </w:rPr>
        <w:t>Establishment of a virtual Community of Practice (CoP)</w:t>
      </w:r>
      <w:r w:rsidR="008B22C3" w:rsidRPr="00E70EAD">
        <w:rPr>
          <w:rFonts w:cs="Arial"/>
          <w:iCs/>
          <w:color w:val="000000" w:themeColor="text1"/>
          <w:spacing w:val="2"/>
          <w:szCs w:val="22"/>
        </w:rPr>
        <w:t xml:space="preserve"> on achieving grant success</w:t>
      </w:r>
      <w:r w:rsidR="00466A76" w:rsidRPr="00E70EAD">
        <w:rPr>
          <w:rFonts w:cs="Arial"/>
          <w:iCs/>
          <w:color w:val="000000" w:themeColor="text1"/>
          <w:spacing w:val="2"/>
          <w:szCs w:val="22"/>
        </w:rPr>
        <w:t>. T</w:t>
      </w:r>
      <w:r w:rsidRPr="00E70EAD">
        <w:rPr>
          <w:rFonts w:cs="Arial"/>
          <w:iCs/>
          <w:color w:val="000000" w:themeColor="text1"/>
          <w:spacing w:val="2"/>
          <w:szCs w:val="22"/>
        </w:rPr>
        <w:t>his may include</w:t>
      </w:r>
      <w:r w:rsidR="00C700CB" w:rsidRPr="00E70EAD">
        <w:rPr>
          <w:rFonts w:cs="Arial"/>
          <w:iCs/>
          <w:color w:val="000000" w:themeColor="text1"/>
          <w:spacing w:val="2"/>
          <w:szCs w:val="22"/>
        </w:rPr>
        <w:t xml:space="preserve"> </w:t>
      </w:r>
      <w:r w:rsidR="00E70EAD" w:rsidRPr="00E70EAD">
        <w:rPr>
          <w:rFonts w:cs="Arial"/>
          <w:iCs/>
          <w:color w:val="000000" w:themeColor="text1"/>
          <w:spacing w:val="2"/>
          <w:szCs w:val="22"/>
        </w:rPr>
        <w:t xml:space="preserve">resources and </w:t>
      </w:r>
      <w:r w:rsidRPr="00E70EAD">
        <w:rPr>
          <w:rFonts w:cs="Arial"/>
          <w:iCs/>
          <w:color w:val="000000" w:themeColor="text1"/>
          <w:spacing w:val="2"/>
          <w:szCs w:val="22"/>
        </w:rPr>
        <w:t xml:space="preserve">sessions supported by </w:t>
      </w:r>
      <w:r w:rsidR="000F2098" w:rsidRPr="00E70EAD">
        <w:rPr>
          <w:rFonts w:cs="Arial"/>
          <w:iCs/>
          <w:color w:val="000000" w:themeColor="text1"/>
          <w:spacing w:val="2"/>
          <w:szCs w:val="22"/>
        </w:rPr>
        <w:t>g</w:t>
      </w:r>
      <w:r w:rsidRPr="00E70EAD">
        <w:rPr>
          <w:rFonts w:cs="Arial"/>
          <w:iCs/>
          <w:color w:val="000000" w:themeColor="text1"/>
          <w:spacing w:val="2"/>
          <w:szCs w:val="22"/>
        </w:rPr>
        <w:t>overnm</w:t>
      </w:r>
      <w:r w:rsidR="00662FDB" w:rsidRPr="00E70EAD">
        <w:rPr>
          <w:rFonts w:cs="Arial"/>
          <w:iCs/>
          <w:color w:val="000000" w:themeColor="text1"/>
          <w:spacing w:val="2"/>
          <w:szCs w:val="22"/>
        </w:rPr>
        <w:t>e</w:t>
      </w:r>
      <w:r w:rsidRPr="00E70EAD">
        <w:rPr>
          <w:rFonts w:cs="Arial"/>
          <w:iCs/>
          <w:color w:val="000000" w:themeColor="text1"/>
          <w:spacing w:val="2"/>
          <w:szCs w:val="22"/>
        </w:rPr>
        <w:t xml:space="preserve">nt to help </w:t>
      </w:r>
      <w:r w:rsidR="00F62C31" w:rsidRPr="00E70EAD">
        <w:rPr>
          <w:rFonts w:cs="Arial"/>
          <w:iCs/>
          <w:color w:val="000000" w:themeColor="text1"/>
          <w:spacing w:val="2"/>
          <w:szCs w:val="22"/>
        </w:rPr>
        <w:t xml:space="preserve">the </w:t>
      </w:r>
      <w:r w:rsidRPr="00E70EAD">
        <w:rPr>
          <w:rFonts w:cs="Arial"/>
          <w:iCs/>
          <w:color w:val="000000" w:themeColor="text1"/>
          <w:spacing w:val="2"/>
          <w:szCs w:val="22"/>
        </w:rPr>
        <w:t xml:space="preserve">community sector </w:t>
      </w:r>
      <w:r w:rsidR="006E04B6" w:rsidRPr="00E70EAD">
        <w:rPr>
          <w:rFonts w:cs="Arial"/>
          <w:iCs/>
          <w:color w:val="000000" w:themeColor="text1"/>
          <w:spacing w:val="2"/>
          <w:szCs w:val="22"/>
        </w:rPr>
        <w:t>improve communication, knowledge sharing and exchange of best practices</w:t>
      </w:r>
      <w:r w:rsidR="00E70EAD" w:rsidRPr="00E70EAD">
        <w:rPr>
          <w:rFonts w:cs="Arial"/>
          <w:iCs/>
          <w:color w:val="000000" w:themeColor="text1"/>
          <w:spacing w:val="2"/>
          <w:szCs w:val="22"/>
        </w:rPr>
        <w:t xml:space="preserve"> regarding Commonwealth </w:t>
      </w:r>
      <w:r w:rsidR="0009456F">
        <w:rPr>
          <w:rFonts w:cs="Arial"/>
          <w:iCs/>
          <w:color w:val="000000" w:themeColor="text1"/>
          <w:spacing w:val="2"/>
          <w:szCs w:val="22"/>
        </w:rPr>
        <w:t>g</w:t>
      </w:r>
      <w:r w:rsidR="00E70EAD" w:rsidRPr="00E70EAD">
        <w:rPr>
          <w:rFonts w:cs="Arial"/>
          <w:iCs/>
          <w:color w:val="000000" w:themeColor="text1"/>
          <w:spacing w:val="2"/>
          <w:szCs w:val="22"/>
        </w:rPr>
        <w:t xml:space="preserve">rants </w:t>
      </w:r>
      <w:r w:rsidR="0009456F">
        <w:rPr>
          <w:rFonts w:cs="Arial"/>
          <w:iCs/>
          <w:color w:val="000000" w:themeColor="text1"/>
          <w:spacing w:val="2"/>
          <w:szCs w:val="22"/>
        </w:rPr>
        <w:t>processes, expectations and documentation</w:t>
      </w:r>
      <w:r w:rsidR="006E04B6" w:rsidRPr="00E70EAD">
        <w:rPr>
          <w:rFonts w:cs="Arial"/>
          <w:iCs/>
          <w:color w:val="000000" w:themeColor="text1"/>
          <w:spacing w:val="2"/>
          <w:szCs w:val="22"/>
        </w:rPr>
        <w:t xml:space="preserve">. </w:t>
      </w:r>
      <w:r w:rsidRPr="00E70EAD">
        <w:rPr>
          <w:rFonts w:cs="Arial"/>
          <w:iCs/>
          <w:color w:val="000000" w:themeColor="text1"/>
          <w:spacing w:val="2"/>
          <w:szCs w:val="22"/>
        </w:rPr>
        <w:t xml:space="preserve"> </w:t>
      </w:r>
    </w:p>
    <w:p w14:paraId="5A343765" w14:textId="5E6D0457" w:rsidR="00466A76" w:rsidRPr="00AA7A10" w:rsidRDefault="00CF3CF2" w:rsidP="00181F7A">
      <w:pPr>
        <w:pStyle w:val="ListParagraph"/>
        <w:numPr>
          <w:ilvl w:val="0"/>
          <w:numId w:val="27"/>
        </w:numPr>
        <w:spacing w:after="240" w:line="276" w:lineRule="auto"/>
        <w:rPr>
          <w:rFonts w:cs="Arial"/>
          <w:bCs/>
          <w:iCs/>
          <w:color w:val="000000" w:themeColor="text1"/>
          <w:spacing w:val="2"/>
          <w:szCs w:val="22"/>
        </w:rPr>
      </w:pPr>
      <w:r w:rsidRPr="00437102">
        <w:rPr>
          <w:rFonts w:cs="Arial"/>
          <w:iCs/>
          <w:color w:val="000000" w:themeColor="text1"/>
          <w:spacing w:val="2"/>
          <w:szCs w:val="22"/>
        </w:rPr>
        <w:t>Dividing</w:t>
      </w:r>
      <w:r w:rsidR="00662FDB" w:rsidRPr="00437102">
        <w:rPr>
          <w:rFonts w:cs="Arial"/>
          <w:iCs/>
          <w:color w:val="000000" w:themeColor="text1"/>
          <w:spacing w:val="2"/>
          <w:szCs w:val="22"/>
        </w:rPr>
        <w:t xml:space="preserve"> </w:t>
      </w:r>
      <w:r w:rsidR="006E1251" w:rsidRPr="00437102">
        <w:rPr>
          <w:rFonts w:cs="Arial"/>
          <w:iCs/>
          <w:color w:val="000000" w:themeColor="text1"/>
          <w:spacing w:val="2"/>
          <w:szCs w:val="22"/>
        </w:rPr>
        <w:t>suitable</w:t>
      </w:r>
      <w:r w:rsidR="00662FDB" w:rsidRPr="00437102">
        <w:rPr>
          <w:rFonts w:cs="Arial"/>
          <w:iCs/>
          <w:color w:val="000000" w:themeColor="text1"/>
          <w:spacing w:val="2"/>
          <w:szCs w:val="22"/>
        </w:rPr>
        <w:t xml:space="preserve"> future </w:t>
      </w:r>
      <w:r w:rsidR="00466A76" w:rsidRPr="00AA7A10">
        <w:rPr>
          <w:rFonts w:cs="Arial"/>
          <w:iCs/>
          <w:color w:val="000000" w:themeColor="text1"/>
          <w:spacing w:val="2"/>
          <w:szCs w:val="22"/>
        </w:rPr>
        <w:t>Australian Government</w:t>
      </w:r>
      <w:r w:rsidR="00466A76" w:rsidRPr="00437102">
        <w:rPr>
          <w:rFonts w:cs="Arial"/>
          <w:iCs/>
          <w:color w:val="000000" w:themeColor="text1"/>
          <w:spacing w:val="2"/>
          <w:szCs w:val="22"/>
        </w:rPr>
        <w:t xml:space="preserve"> </w:t>
      </w:r>
      <w:r w:rsidR="00662FDB" w:rsidRPr="00437102">
        <w:rPr>
          <w:rFonts w:cs="Arial"/>
          <w:iCs/>
          <w:color w:val="000000" w:themeColor="text1"/>
          <w:spacing w:val="2"/>
          <w:szCs w:val="22"/>
        </w:rPr>
        <w:t>grant opportunities into separate streams for small and large CSOs</w:t>
      </w:r>
      <w:r w:rsidR="00466A76" w:rsidRPr="00AA7A10">
        <w:rPr>
          <w:rFonts w:cs="Arial"/>
          <w:iCs/>
          <w:color w:val="000000" w:themeColor="text1"/>
          <w:spacing w:val="2"/>
          <w:szCs w:val="22"/>
        </w:rPr>
        <w:t xml:space="preserve">. </w:t>
      </w:r>
      <w:r w:rsidR="00466A76" w:rsidRPr="00AA7A10">
        <w:rPr>
          <w:rFonts w:cs="Arial"/>
          <w:bCs/>
          <w:iCs/>
          <w:color w:val="000000" w:themeColor="text1"/>
          <w:spacing w:val="2"/>
          <w:szCs w:val="22"/>
        </w:rPr>
        <w:t>T</w:t>
      </w:r>
      <w:r w:rsidR="00662FDB" w:rsidRPr="00437102">
        <w:rPr>
          <w:rFonts w:cs="Arial"/>
          <w:bCs/>
          <w:iCs/>
          <w:color w:val="000000" w:themeColor="text1"/>
          <w:spacing w:val="2"/>
          <w:szCs w:val="22"/>
        </w:rPr>
        <w:t xml:space="preserve">his may help to ensure targeted support for different communities and cohorts is delivered by </w:t>
      </w:r>
      <w:r w:rsidR="00385E49" w:rsidRPr="00437102">
        <w:rPr>
          <w:rFonts w:cs="Arial"/>
          <w:bCs/>
          <w:iCs/>
          <w:color w:val="000000" w:themeColor="text1"/>
          <w:spacing w:val="2"/>
          <w:szCs w:val="22"/>
        </w:rPr>
        <w:t>smaller CSOs that may be local to a particular area or specialised in supporting specific cohorts or intersectional groups.</w:t>
      </w:r>
    </w:p>
    <w:p w14:paraId="27273400" w14:textId="02DDE6E6" w:rsidR="00466A76" w:rsidRDefault="00466A76" w:rsidP="00437102">
      <w:pPr>
        <w:pStyle w:val="Heading3"/>
      </w:pPr>
      <w:r>
        <w:t>Key questions</w:t>
      </w:r>
    </w:p>
    <w:p w14:paraId="47200AE7" w14:textId="74DD587D"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4.1</w:t>
      </w:r>
      <w:r w:rsidR="00A94D6B" w:rsidRPr="00B90D88">
        <w:rPr>
          <w:rFonts w:cs="Arial"/>
          <w:sz w:val="24"/>
        </w:rPr>
        <w:tab/>
      </w:r>
      <w:r w:rsidRPr="00B90D88">
        <w:rPr>
          <w:rFonts w:cs="Arial"/>
          <w:sz w:val="24"/>
        </w:rPr>
        <w:t xml:space="preserve">How can the government ensure opportunities are available for new and emerging organisations to access funding? </w:t>
      </w:r>
    </w:p>
    <w:p w14:paraId="334F157D" w14:textId="4F0D62AC"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4.2</w:t>
      </w:r>
      <w:r w:rsidR="00A94D6B" w:rsidRPr="00B90D88">
        <w:rPr>
          <w:rFonts w:cs="Arial"/>
          <w:sz w:val="24"/>
        </w:rPr>
        <w:tab/>
      </w:r>
      <w:r w:rsidRPr="00B90D88">
        <w:rPr>
          <w:rFonts w:cs="Arial"/>
          <w:sz w:val="24"/>
        </w:rPr>
        <w:t xml:space="preserve">What programs, supports and information are already available for smaller CSOs to help build capacity of the organisation? Are these working? </w:t>
      </w:r>
    </w:p>
    <w:p w14:paraId="71E7FD78" w14:textId="2DD2A519" w:rsidR="00114226" w:rsidRPr="00B90D88" w:rsidRDefault="00114226" w:rsidP="00114226">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4.3</w:t>
      </w:r>
      <w:r w:rsidR="00A94D6B" w:rsidRPr="00B90D88">
        <w:rPr>
          <w:rFonts w:cs="Arial"/>
          <w:sz w:val="24"/>
        </w:rPr>
        <w:tab/>
      </w:r>
      <w:r w:rsidRPr="00B90D88">
        <w:rPr>
          <w:rFonts w:cs="Arial"/>
          <w:sz w:val="24"/>
        </w:rPr>
        <w:t>How could larger CSOs support smaller CSOs? What are the barriers to providing this support?</w:t>
      </w:r>
    </w:p>
    <w:p w14:paraId="551A38C1" w14:textId="77777777" w:rsidR="00114226" w:rsidRPr="00114226" w:rsidRDefault="00114226" w:rsidP="00114226">
      <w:pPr>
        <w:rPr>
          <w:lang w:eastAsia="en-AU"/>
        </w:rPr>
      </w:pPr>
    </w:p>
    <w:p w14:paraId="545E062B" w14:textId="4F502A4D" w:rsidR="00980717" w:rsidRPr="00D97E01" w:rsidRDefault="00980717" w:rsidP="00FC29AD">
      <w:pPr>
        <w:spacing w:after="0"/>
        <w:rPr>
          <w:rFonts w:eastAsia="Times New Roman"/>
          <w:b/>
          <w:bCs/>
          <w:spacing w:val="4"/>
          <w:lang w:eastAsia="en-AU"/>
        </w:rPr>
      </w:pPr>
      <w:r w:rsidRPr="00363E61">
        <w:rPr>
          <w:rFonts w:ascii="Calibri" w:hAnsi="Calibri" w:cs="Calibri"/>
          <w:bCs/>
          <w:iCs/>
          <w:color w:val="000000" w:themeColor="text1"/>
          <w:spacing w:val="2"/>
          <w:szCs w:val="22"/>
        </w:rPr>
        <w:br w:type="page"/>
      </w:r>
    </w:p>
    <w:p w14:paraId="160AE7F1" w14:textId="771743EB" w:rsidR="00177E89" w:rsidRPr="003E5AC1" w:rsidRDefault="00D90DFC" w:rsidP="00437102">
      <w:pPr>
        <w:pStyle w:val="Heading2"/>
      </w:pPr>
      <w:bookmarkStart w:id="27" w:name="_Toc141437660"/>
      <w:bookmarkStart w:id="28" w:name="_Toc144983246"/>
      <w:r>
        <w:lastRenderedPageBreak/>
        <w:t>Area of focus</w:t>
      </w:r>
      <w:r w:rsidR="00466A76">
        <w:t xml:space="preserve"> 5</w:t>
      </w:r>
      <w:r>
        <w:t xml:space="preserve">: </w:t>
      </w:r>
      <w:r w:rsidR="00177E89" w:rsidRPr="003E5AC1">
        <w:t>Partnering with trusted community organisations with strong local links</w:t>
      </w:r>
      <w:bookmarkEnd w:id="27"/>
      <w:bookmarkEnd w:id="28"/>
    </w:p>
    <w:p w14:paraId="1D9CA743" w14:textId="65E49523" w:rsidR="00B95758" w:rsidRPr="00AA7A10" w:rsidRDefault="00F3275E" w:rsidP="00E5620F">
      <w:pPr>
        <w:spacing w:after="240" w:line="276" w:lineRule="auto"/>
        <w:rPr>
          <w:rFonts w:cs="Arial"/>
        </w:rPr>
      </w:pPr>
      <w:r w:rsidRPr="00AA7A10">
        <w:rPr>
          <w:rFonts w:cs="Arial"/>
        </w:rPr>
        <w:t xml:space="preserve">The </w:t>
      </w:r>
      <w:r w:rsidR="00B22EEC" w:rsidRPr="00AA7A10">
        <w:rPr>
          <w:rFonts w:cs="Arial"/>
        </w:rPr>
        <w:t>d</w:t>
      </w:r>
      <w:r w:rsidR="001A242E" w:rsidRPr="00AA7A10">
        <w:rPr>
          <w:rFonts w:cs="Arial"/>
        </w:rPr>
        <w:t>epartment has a number of initiatives to implement different forms of funding</w:t>
      </w:r>
      <w:r w:rsidR="008A4700" w:rsidRPr="00AA7A10">
        <w:rPr>
          <w:rFonts w:cs="Arial"/>
        </w:rPr>
        <w:t xml:space="preserve"> which strengthen local service delivery</w:t>
      </w:r>
      <w:r w:rsidR="00793775" w:rsidRPr="00AA7A10">
        <w:rPr>
          <w:rFonts w:cs="Arial"/>
        </w:rPr>
        <w:t xml:space="preserve">. This </w:t>
      </w:r>
      <w:r w:rsidR="006D71C6" w:rsidRPr="00AA7A10">
        <w:rPr>
          <w:rFonts w:cs="Arial"/>
        </w:rPr>
        <w:t xml:space="preserve">includes </w:t>
      </w:r>
      <w:r w:rsidR="004524C2" w:rsidRPr="00AA7A10">
        <w:rPr>
          <w:rFonts w:cs="Arial"/>
        </w:rPr>
        <w:t xml:space="preserve">areas of entrenched disadvantage </w:t>
      </w:r>
      <w:r w:rsidR="006D71C6" w:rsidRPr="00AA7A10">
        <w:rPr>
          <w:rFonts w:cs="Arial"/>
        </w:rPr>
        <w:t>where place-based init</w:t>
      </w:r>
      <w:r w:rsidR="000A54CF" w:rsidRPr="00AA7A10">
        <w:rPr>
          <w:rFonts w:cs="Arial"/>
        </w:rPr>
        <w:t>iatives are an option,</w:t>
      </w:r>
      <w:r w:rsidR="00942DF0" w:rsidRPr="00AA7A10">
        <w:rPr>
          <w:rFonts w:cs="Arial"/>
        </w:rPr>
        <w:t xml:space="preserve"> and</w:t>
      </w:r>
      <w:r w:rsidR="00856014" w:rsidRPr="00AA7A10">
        <w:rPr>
          <w:rFonts w:cs="Arial"/>
        </w:rPr>
        <w:t xml:space="preserve"> tria</w:t>
      </w:r>
      <w:r w:rsidR="00643D2A" w:rsidRPr="00AA7A10">
        <w:rPr>
          <w:rFonts w:cs="Arial"/>
        </w:rPr>
        <w:t>ls where these initiatives</w:t>
      </w:r>
      <w:r w:rsidR="00942DF0" w:rsidRPr="00AA7A10">
        <w:rPr>
          <w:rFonts w:cs="Arial"/>
        </w:rPr>
        <w:t xml:space="preserve"> could involve outcomes-based funding models.</w:t>
      </w:r>
      <w:r w:rsidR="000A54CF" w:rsidRPr="00AA7A10">
        <w:rPr>
          <w:rFonts w:cs="Arial"/>
        </w:rPr>
        <w:t xml:space="preserve"> </w:t>
      </w:r>
      <w:r w:rsidR="00CA4BC1" w:rsidRPr="00AA7A10">
        <w:rPr>
          <w:rFonts w:cs="Arial"/>
        </w:rPr>
        <w:t xml:space="preserve">The </w:t>
      </w:r>
      <w:r w:rsidR="000F2098" w:rsidRPr="00AA7A10">
        <w:rPr>
          <w:rFonts w:cs="Arial"/>
        </w:rPr>
        <w:t>g</w:t>
      </w:r>
      <w:r w:rsidR="00CA4BC1" w:rsidRPr="00AA7A10">
        <w:rPr>
          <w:rFonts w:cs="Arial"/>
        </w:rPr>
        <w:t>overn</w:t>
      </w:r>
      <w:r w:rsidR="00763106" w:rsidRPr="00AA7A10">
        <w:rPr>
          <w:rFonts w:cs="Arial"/>
        </w:rPr>
        <w:t>me</w:t>
      </w:r>
      <w:r w:rsidR="00CA4BC1" w:rsidRPr="00AA7A10">
        <w:rPr>
          <w:rFonts w:cs="Arial"/>
        </w:rPr>
        <w:t xml:space="preserve">nt is looking at </w:t>
      </w:r>
      <w:r w:rsidR="008A4700" w:rsidRPr="00AA7A10">
        <w:rPr>
          <w:rFonts w:cs="Arial"/>
        </w:rPr>
        <w:t xml:space="preserve">innovative </w:t>
      </w:r>
      <w:r w:rsidR="00CA4BC1" w:rsidRPr="00AA7A10">
        <w:rPr>
          <w:rFonts w:cs="Arial"/>
        </w:rPr>
        <w:t>new ways o</w:t>
      </w:r>
      <w:r w:rsidR="00B64DCF" w:rsidRPr="00AA7A10">
        <w:rPr>
          <w:rFonts w:cs="Arial"/>
        </w:rPr>
        <w:t xml:space="preserve">f </w:t>
      </w:r>
      <w:r w:rsidR="0014758C" w:rsidRPr="00AA7A10">
        <w:rPr>
          <w:rFonts w:cs="Arial"/>
        </w:rPr>
        <w:t>working with partner</w:t>
      </w:r>
      <w:r w:rsidR="00B64DCF" w:rsidRPr="00AA7A10">
        <w:rPr>
          <w:rFonts w:cs="Arial"/>
        </w:rPr>
        <w:t xml:space="preserve"> organisations with strong local links. </w:t>
      </w:r>
    </w:p>
    <w:p w14:paraId="26E6DC6B" w14:textId="624C958A" w:rsidR="00B95758" w:rsidRDefault="00B95758" w:rsidP="00437102">
      <w:pPr>
        <w:pStyle w:val="Heading3"/>
      </w:pPr>
      <w:bookmarkStart w:id="29" w:name="_Toc139022131"/>
      <w:r>
        <w:t>Place-based funding models</w:t>
      </w:r>
      <w:bookmarkEnd w:id="29"/>
      <w:r w:rsidR="007B758F">
        <w:t xml:space="preserve"> and partnerships</w:t>
      </w:r>
    </w:p>
    <w:p w14:paraId="58FBA62D" w14:textId="7ACFA612" w:rsidR="00B95758" w:rsidRPr="00AA7A10" w:rsidRDefault="00B95758" w:rsidP="000D68D8">
      <w:pPr>
        <w:spacing w:before="120" w:line="276" w:lineRule="auto"/>
        <w:rPr>
          <w:rFonts w:cs="Arial"/>
          <w:color w:val="000000" w:themeColor="text1"/>
          <w:szCs w:val="22"/>
        </w:rPr>
      </w:pPr>
      <w:r w:rsidRPr="00AA7A10">
        <w:rPr>
          <w:rFonts w:cs="Arial"/>
          <w:color w:val="000000" w:themeColor="text1"/>
          <w:kern w:val="0"/>
          <w:szCs w:val="22"/>
          <w:lang w:val="en-GB"/>
        </w:rPr>
        <w:t>There is increasing interest among government, philanthropists and corporates to invest in place</w:t>
      </w:r>
      <w:r w:rsidR="008B22C3" w:rsidRPr="00AA7A10">
        <w:rPr>
          <w:rFonts w:cs="Arial"/>
          <w:color w:val="000000" w:themeColor="text1"/>
          <w:kern w:val="0"/>
          <w:szCs w:val="22"/>
          <w:lang w:val="en-GB"/>
        </w:rPr>
        <w:noBreakHyphen/>
      </w:r>
      <w:r w:rsidRPr="00AA7A10">
        <w:rPr>
          <w:rFonts w:cs="Arial"/>
          <w:color w:val="000000" w:themeColor="text1"/>
          <w:kern w:val="0"/>
          <w:szCs w:val="22"/>
          <w:lang w:val="en-GB"/>
        </w:rPr>
        <w:t xml:space="preserve">based </w:t>
      </w:r>
      <w:r w:rsidRPr="00AA7A10">
        <w:rPr>
          <w:rFonts w:cs="Arial"/>
          <w:color w:val="000000" w:themeColor="text1"/>
          <w:szCs w:val="22"/>
        </w:rPr>
        <w:t>models and partnerships</w:t>
      </w:r>
      <w:r w:rsidR="00DC7577" w:rsidRPr="00AA7A10">
        <w:rPr>
          <w:rFonts w:cs="Arial"/>
          <w:color w:val="000000" w:themeColor="text1"/>
          <w:szCs w:val="22"/>
        </w:rPr>
        <w:t>, especially</w:t>
      </w:r>
      <w:r w:rsidRPr="00AA7A10">
        <w:rPr>
          <w:rFonts w:cs="Arial"/>
          <w:color w:val="000000" w:themeColor="text1"/>
          <w:szCs w:val="22"/>
        </w:rPr>
        <w:t xml:space="preserve"> </w:t>
      </w:r>
      <w:r w:rsidR="00234132" w:rsidRPr="00AA7A10">
        <w:rPr>
          <w:rFonts w:cs="Arial"/>
          <w:color w:val="000000" w:themeColor="text1"/>
          <w:szCs w:val="22"/>
        </w:rPr>
        <w:t>in areas of</w:t>
      </w:r>
      <w:r w:rsidR="008F7063" w:rsidRPr="00AA7A10">
        <w:rPr>
          <w:rFonts w:cs="Arial"/>
          <w:color w:val="000000" w:themeColor="text1"/>
          <w:szCs w:val="22"/>
        </w:rPr>
        <w:t xml:space="preserve"> </w:t>
      </w:r>
      <w:r w:rsidR="00770FB8" w:rsidRPr="00AA7A10">
        <w:rPr>
          <w:rFonts w:cs="Arial"/>
          <w:color w:val="000000" w:themeColor="text1"/>
          <w:szCs w:val="22"/>
        </w:rPr>
        <w:t xml:space="preserve">entrenched </w:t>
      </w:r>
      <w:r w:rsidRPr="00AA7A10">
        <w:rPr>
          <w:rFonts w:cs="Arial"/>
          <w:color w:val="000000" w:themeColor="text1"/>
          <w:szCs w:val="22"/>
        </w:rPr>
        <w:t>disadvantage</w:t>
      </w:r>
      <w:r w:rsidR="00A808E6" w:rsidRPr="00AA7A10">
        <w:rPr>
          <w:rFonts w:cs="Arial"/>
          <w:color w:val="000000" w:themeColor="text1"/>
          <w:szCs w:val="22"/>
        </w:rPr>
        <w:t>.</w:t>
      </w:r>
    </w:p>
    <w:p w14:paraId="5E14F6DC" w14:textId="3FD6A6BE" w:rsidR="00E8348B" w:rsidRPr="00AA7A10" w:rsidRDefault="00B95758" w:rsidP="000D68D8">
      <w:pPr>
        <w:spacing w:before="120" w:line="276" w:lineRule="auto"/>
        <w:rPr>
          <w:rFonts w:cs="Arial"/>
          <w:color w:val="000000" w:themeColor="text1"/>
          <w:szCs w:val="22"/>
        </w:rPr>
      </w:pPr>
      <w:r w:rsidRPr="00AA7A10">
        <w:rPr>
          <w:rFonts w:cs="Arial"/>
          <w:color w:val="000000" w:themeColor="text1"/>
          <w:szCs w:val="22"/>
        </w:rPr>
        <w:t xml:space="preserve">Place-based </w:t>
      </w:r>
      <w:r w:rsidR="00B63F67" w:rsidRPr="00AA7A10">
        <w:rPr>
          <w:rFonts w:cs="Arial"/>
          <w:color w:val="000000" w:themeColor="text1"/>
          <w:szCs w:val="22"/>
        </w:rPr>
        <w:t xml:space="preserve">approaches </w:t>
      </w:r>
      <w:r w:rsidR="008F7063" w:rsidRPr="00AA7A10">
        <w:rPr>
          <w:rFonts w:cs="Arial"/>
          <w:color w:val="000000" w:themeColor="text1"/>
          <w:szCs w:val="22"/>
        </w:rPr>
        <w:t xml:space="preserve">are </w:t>
      </w:r>
      <w:r w:rsidR="008C3E91" w:rsidRPr="00AA7A10">
        <w:rPr>
          <w:rFonts w:cs="Arial"/>
          <w:color w:val="000000" w:themeColor="text1"/>
          <w:szCs w:val="22"/>
        </w:rPr>
        <w:t>co-ordinated</w:t>
      </w:r>
      <w:r w:rsidR="008F7063" w:rsidRPr="00AA7A10">
        <w:rPr>
          <w:rFonts w:cs="Arial"/>
          <w:color w:val="000000" w:themeColor="text1"/>
          <w:szCs w:val="22"/>
        </w:rPr>
        <w:t>, long-term approaches</w:t>
      </w:r>
      <w:r w:rsidR="00B63F67" w:rsidRPr="00AA7A10">
        <w:rPr>
          <w:rFonts w:cs="Arial"/>
          <w:color w:val="000000" w:themeColor="text1"/>
          <w:szCs w:val="22"/>
        </w:rPr>
        <w:t>, some are community-led initiatives,</w:t>
      </w:r>
      <w:r w:rsidR="00F62C31" w:rsidRPr="00AA7A10">
        <w:rPr>
          <w:rFonts w:cs="Arial"/>
          <w:color w:val="000000" w:themeColor="text1"/>
          <w:szCs w:val="22"/>
        </w:rPr>
        <w:t xml:space="preserve"> and</w:t>
      </w:r>
      <w:r w:rsidR="008F7063" w:rsidRPr="00AA7A10">
        <w:rPr>
          <w:rFonts w:cs="Arial"/>
          <w:color w:val="000000" w:themeColor="text1"/>
          <w:szCs w:val="22"/>
        </w:rPr>
        <w:t xml:space="preserve"> </w:t>
      </w:r>
      <w:r w:rsidR="007B758F" w:rsidRPr="00AA7A10">
        <w:rPr>
          <w:rFonts w:cs="Arial"/>
          <w:color w:val="000000" w:themeColor="text1"/>
          <w:szCs w:val="22"/>
        </w:rPr>
        <w:t xml:space="preserve">aim </w:t>
      </w:r>
      <w:r w:rsidR="008F7063" w:rsidRPr="00AA7A10">
        <w:rPr>
          <w:rFonts w:cs="Arial"/>
          <w:color w:val="000000" w:themeColor="text1"/>
          <w:szCs w:val="22"/>
        </w:rPr>
        <w:t xml:space="preserve">to build thriving communities and ensure </w:t>
      </w:r>
      <w:r w:rsidR="007B758F" w:rsidRPr="00AA7A10">
        <w:rPr>
          <w:rFonts w:cs="Arial"/>
          <w:color w:val="000000" w:themeColor="text1"/>
          <w:szCs w:val="22"/>
        </w:rPr>
        <w:t xml:space="preserve">local </w:t>
      </w:r>
      <w:r w:rsidR="008F7063" w:rsidRPr="00AA7A10">
        <w:rPr>
          <w:rFonts w:cs="Arial"/>
          <w:color w:val="000000" w:themeColor="text1"/>
          <w:szCs w:val="22"/>
        </w:rPr>
        <w:t>solutions meet the needs of that community</w:t>
      </w:r>
      <w:r w:rsidR="001B35DB" w:rsidRPr="00AA7A10">
        <w:rPr>
          <w:rFonts w:cs="Arial"/>
          <w:color w:val="000000" w:themeColor="text1"/>
          <w:szCs w:val="22"/>
        </w:rPr>
        <w:t>.</w:t>
      </w:r>
      <w:r w:rsidRPr="00AA7A10">
        <w:rPr>
          <w:rFonts w:cs="Arial"/>
          <w:color w:val="000000" w:themeColor="text1"/>
          <w:szCs w:val="22"/>
        </w:rPr>
        <w:t xml:space="preserve"> </w:t>
      </w:r>
      <w:r w:rsidR="001B35DB" w:rsidRPr="00AA7A10">
        <w:rPr>
          <w:rFonts w:cs="Arial"/>
          <w:color w:val="000000" w:themeColor="text1"/>
          <w:szCs w:val="22"/>
        </w:rPr>
        <w:t>They</w:t>
      </w:r>
      <w:r w:rsidRPr="00AA7A10">
        <w:rPr>
          <w:rFonts w:cs="Arial"/>
          <w:color w:val="000000" w:themeColor="text1"/>
          <w:szCs w:val="22"/>
        </w:rPr>
        <w:t xml:space="preserve"> typically </w:t>
      </w:r>
      <w:r w:rsidR="007F1BC7" w:rsidRPr="00AA7A10">
        <w:rPr>
          <w:rFonts w:cs="Arial"/>
          <w:color w:val="000000" w:themeColor="text1"/>
          <w:szCs w:val="22"/>
        </w:rPr>
        <w:t xml:space="preserve">involve local communities, </w:t>
      </w:r>
      <w:r w:rsidR="007B758F" w:rsidRPr="00AA7A10">
        <w:rPr>
          <w:rFonts w:cs="Arial"/>
          <w:color w:val="000000" w:themeColor="text1"/>
          <w:szCs w:val="22"/>
        </w:rPr>
        <w:t xml:space="preserve">multiple levels of </w:t>
      </w:r>
      <w:r w:rsidR="007F1BC7" w:rsidRPr="00AA7A10">
        <w:rPr>
          <w:rFonts w:cs="Arial"/>
          <w:color w:val="000000" w:themeColor="text1"/>
          <w:szCs w:val="22"/>
        </w:rPr>
        <w:t>government, service provide</w:t>
      </w:r>
      <w:r w:rsidR="007B758F" w:rsidRPr="00AA7A10">
        <w:rPr>
          <w:rFonts w:cs="Arial"/>
          <w:color w:val="000000" w:themeColor="text1"/>
          <w:szCs w:val="22"/>
        </w:rPr>
        <w:t>r</w:t>
      </w:r>
      <w:r w:rsidR="007F1BC7" w:rsidRPr="00AA7A10">
        <w:rPr>
          <w:rFonts w:cs="Arial"/>
          <w:color w:val="000000" w:themeColor="text1"/>
          <w:szCs w:val="22"/>
        </w:rPr>
        <w:t xml:space="preserve">s and other stakeholders working </w:t>
      </w:r>
      <w:r w:rsidR="007B758F" w:rsidRPr="00AA7A10">
        <w:rPr>
          <w:rFonts w:cs="Arial"/>
          <w:color w:val="000000" w:themeColor="text1"/>
          <w:szCs w:val="22"/>
        </w:rPr>
        <w:t>in partnership</w:t>
      </w:r>
      <w:r w:rsidR="007F1BC7" w:rsidRPr="00AA7A10">
        <w:rPr>
          <w:rFonts w:cs="Arial"/>
          <w:color w:val="000000" w:themeColor="text1"/>
          <w:szCs w:val="22"/>
        </w:rPr>
        <w:t xml:space="preserve"> to </w:t>
      </w:r>
      <w:r w:rsidRPr="00AA7A10">
        <w:rPr>
          <w:rFonts w:cs="Arial"/>
          <w:color w:val="000000" w:themeColor="text1"/>
          <w:szCs w:val="22"/>
        </w:rPr>
        <w:t>plan</w:t>
      </w:r>
      <w:r w:rsidR="00BF24A1" w:rsidRPr="00AA7A10">
        <w:rPr>
          <w:rFonts w:cs="Arial"/>
          <w:color w:val="000000" w:themeColor="text1"/>
          <w:szCs w:val="22"/>
        </w:rPr>
        <w:t xml:space="preserve">, </w:t>
      </w:r>
      <w:r w:rsidRPr="00AA7A10">
        <w:rPr>
          <w:rFonts w:cs="Arial"/>
          <w:color w:val="000000" w:themeColor="text1"/>
          <w:szCs w:val="22"/>
        </w:rPr>
        <w:t>adapt</w:t>
      </w:r>
      <w:r w:rsidR="00BF24A1" w:rsidRPr="00AA7A10">
        <w:rPr>
          <w:rFonts w:cs="Arial"/>
          <w:color w:val="000000" w:themeColor="text1"/>
          <w:szCs w:val="22"/>
        </w:rPr>
        <w:t xml:space="preserve"> and make decisions about</w:t>
      </w:r>
      <w:r w:rsidRPr="00AA7A10">
        <w:rPr>
          <w:rFonts w:cs="Arial"/>
          <w:color w:val="000000" w:themeColor="text1"/>
          <w:szCs w:val="22"/>
        </w:rPr>
        <w:t xml:space="preserve"> government</w:t>
      </w:r>
      <w:r w:rsidR="007B758F" w:rsidRPr="00AA7A10">
        <w:rPr>
          <w:rFonts w:cs="Arial"/>
          <w:color w:val="000000" w:themeColor="text1"/>
          <w:szCs w:val="22"/>
        </w:rPr>
        <w:t>-</w:t>
      </w:r>
      <w:r w:rsidRPr="00AA7A10">
        <w:rPr>
          <w:rFonts w:cs="Arial"/>
          <w:color w:val="000000" w:themeColor="text1"/>
          <w:szCs w:val="22"/>
        </w:rPr>
        <w:t>funded services</w:t>
      </w:r>
      <w:r w:rsidR="007F1BC7" w:rsidRPr="00AA7A10">
        <w:rPr>
          <w:rFonts w:cs="Arial"/>
          <w:color w:val="000000" w:themeColor="text1"/>
          <w:szCs w:val="22"/>
        </w:rPr>
        <w:t>, programs</w:t>
      </w:r>
      <w:r w:rsidRPr="00AA7A10">
        <w:rPr>
          <w:rFonts w:cs="Arial"/>
          <w:color w:val="000000" w:themeColor="text1"/>
          <w:szCs w:val="22"/>
        </w:rPr>
        <w:t xml:space="preserve"> and infrastructure to better meet local needs. In place-based approaches</w:t>
      </w:r>
      <w:r w:rsidR="007B758F" w:rsidRPr="00AA7A10">
        <w:rPr>
          <w:rFonts w:cs="Arial"/>
          <w:color w:val="000000" w:themeColor="text1"/>
          <w:szCs w:val="22"/>
        </w:rPr>
        <w:t>,</w:t>
      </w:r>
      <w:r w:rsidRPr="00AA7A10">
        <w:rPr>
          <w:rFonts w:cs="Arial"/>
          <w:color w:val="000000" w:themeColor="text1"/>
          <w:szCs w:val="22"/>
        </w:rPr>
        <w:t xml:space="preserve"> change is </w:t>
      </w:r>
      <w:r w:rsidR="007B758F" w:rsidRPr="00AA7A10">
        <w:rPr>
          <w:rFonts w:cs="Arial"/>
          <w:color w:val="000000" w:themeColor="text1"/>
          <w:szCs w:val="22"/>
        </w:rPr>
        <w:t xml:space="preserve">usually </w:t>
      </w:r>
      <w:r w:rsidRPr="00AA7A10">
        <w:rPr>
          <w:rFonts w:cs="Arial"/>
          <w:color w:val="000000" w:themeColor="text1"/>
          <w:szCs w:val="22"/>
        </w:rPr>
        <w:t>community-led with the role of CSOs</w:t>
      </w:r>
      <w:r w:rsidR="0014758C" w:rsidRPr="00AA7A10">
        <w:rPr>
          <w:rFonts w:cs="Arial"/>
          <w:color w:val="000000" w:themeColor="text1"/>
          <w:szCs w:val="22"/>
        </w:rPr>
        <w:t xml:space="preserve">, </w:t>
      </w:r>
      <w:r w:rsidRPr="00AA7A10">
        <w:rPr>
          <w:rFonts w:cs="Arial"/>
          <w:color w:val="000000" w:themeColor="text1"/>
          <w:szCs w:val="22"/>
        </w:rPr>
        <w:t>governments</w:t>
      </w:r>
      <w:r w:rsidR="0014758C" w:rsidRPr="00AA7A10">
        <w:rPr>
          <w:rFonts w:cs="Arial"/>
          <w:color w:val="000000" w:themeColor="text1"/>
          <w:szCs w:val="22"/>
        </w:rPr>
        <w:t>, business</w:t>
      </w:r>
      <w:r w:rsidR="00F62C31" w:rsidRPr="00AA7A10">
        <w:rPr>
          <w:rFonts w:cs="Arial"/>
          <w:color w:val="000000" w:themeColor="text1"/>
          <w:szCs w:val="22"/>
        </w:rPr>
        <w:t>es</w:t>
      </w:r>
      <w:r w:rsidR="0014758C" w:rsidRPr="00AA7A10">
        <w:rPr>
          <w:rFonts w:cs="Arial"/>
          <w:color w:val="000000" w:themeColor="text1"/>
          <w:szCs w:val="22"/>
        </w:rPr>
        <w:t xml:space="preserve"> and others</w:t>
      </w:r>
      <w:r w:rsidRPr="00AA7A10">
        <w:rPr>
          <w:rFonts w:cs="Arial"/>
          <w:color w:val="000000" w:themeColor="text1"/>
          <w:szCs w:val="22"/>
        </w:rPr>
        <w:t xml:space="preserve"> being active partners</w:t>
      </w:r>
      <w:r w:rsidR="007B758F" w:rsidRPr="00AA7A10">
        <w:rPr>
          <w:rFonts w:cs="Arial"/>
          <w:color w:val="000000" w:themeColor="text1"/>
          <w:szCs w:val="22"/>
        </w:rPr>
        <w:t xml:space="preserve"> with the community</w:t>
      </w:r>
      <w:r w:rsidRPr="00AA7A10">
        <w:rPr>
          <w:rFonts w:cs="Arial"/>
          <w:color w:val="000000" w:themeColor="text1"/>
          <w:szCs w:val="22"/>
        </w:rPr>
        <w:t xml:space="preserve">. </w:t>
      </w:r>
    </w:p>
    <w:p w14:paraId="627FC3C6" w14:textId="6DBF9E13" w:rsidR="00B95758" w:rsidRPr="00AA7A10" w:rsidRDefault="001B35DB" w:rsidP="000D68D8">
      <w:pPr>
        <w:spacing w:before="120" w:line="276" w:lineRule="auto"/>
        <w:rPr>
          <w:rFonts w:eastAsia="Times New Roman" w:cs="Arial"/>
          <w:iCs/>
          <w:color w:val="000000" w:themeColor="text1"/>
          <w:spacing w:val="2"/>
          <w:szCs w:val="22"/>
        </w:rPr>
      </w:pPr>
      <w:r w:rsidRPr="00AA7A10">
        <w:rPr>
          <w:rFonts w:cs="Arial"/>
          <w:color w:val="000000" w:themeColor="text1"/>
          <w:szCs w:val="22"/>
        </w:rPr>
        <w:t xml:space="preserve">The </w:t>
      </w:r>
      <w:r w:rsidR="000F2098" w:rsidRPr="00AA7A10">
        <w:rPr>
          <w:rFonts w:cs="Arial"/>
          <w:color w:val="000000" w:themeColor="text1"/>
          <w:szCs w:val="22"/>
        </w:rPr>
        <w:t>g</w:t>
      </w:r>
      <w:r w:rsidRPr="00AA7A10">
        <w:rPr>
          <w:rFonts w:eastAsia="Times New Roman" w:cs="Arial"/>
          <w:iCs/>
          <w:color w:val="000000" w:themeColor="text1"/>
          <w:spacing w:val="2"/>
          <w:szCs w:val="22"/>
        </w:rPr>
        <w:t xml:space="preserve">overnment </w:t>
      </w:r>
      <w:r w:rsidR="007F1BC7" w:rsidRPr="00AA7A10">
        <w:rPr>
          <w:rFonts w:eastAsia="Times New Roman" w:cs="Arial"/>
          <w:iCs/>
          <w:color w:val="000000" w:themeColor="text1"/>
          <w:spacing w:val="2"/>
          <w:szCs w:val="22"/>
        </w:rPr>
        <w:t xml:space="preserve">has engaged a Foundation Partner </w:t>
      </w:r>
      <w:r w:rsidR="007A7600" w:rsidRPr="00AA7A10">
        <w:rPr>
          <w:rFonts w:eastAsia="Times New Roman" w:cs="Arial"/>
          <w:iCs/>
          <w:color w:val="000000" w:themeColor="text1"/>
          <w:spacing w:val="2"/>
          <w:szCs w:val="22"/>
        </w:rPr>
        <w:t xml:space="preserve">to </w:t>
      </w:r>
      <w:r w:rsidR="007F1BC7" w:rsidRPr="00AA7A10">
        <w:rPr>
          <w:rFonts w:eastAsia="Times New Roman" w:cs="Arial"/>
          <w:iCs/>
          <w:color w:val="000000" w:themeColor="text1"/>
          <w:spacing w:val="2"/>
          <w:szCs w:val="22"/>
        </w:rPr>
        <w:t>inform a potential</w:t>
      </w:r>
      <w:r w:rsidR="007A7600" w:rsidRPr="00AA7A10">
        <w:rPr>
          <w:rFonts w:eastAsia="Times New Roman" w:cs="Arial"/>
          <w:iCs/>
          <w:color w:val="000000" w:themeColor="text1"/>
          <w:spacing w:val="2"/>
          <w:szCs w:val="22"/>
        </w:rPr>
        <w:t xml:space="preserve"> new</w:t>
      </w:r>
      <w:r w:rsidRPr="00AA7A10">
        <w:rPr>
          <w:rFonts w:eastAsia="Times New Roman" w:cs="Arial"/>
          <w:iCs/>
          <w:color w:val="000000" w:themeColor="text1"/>
          <w:spacing w:val="2"/>
          <w:szCs w:val="22"/>
        </w:rPr>
        <w:t xml:space="preserve"> </w:t>
      </w:r>
      <w:hyperlink r:id="rId58" w:history="1">
        <w:r w:rsidRPr="00AA7A10">
          <w:rPr>
            <w:rStyle w:val="Hyperlink"/>
            <w:rFonts w:eastAsia="Times New Roman" w:cs="Arial"/>
            <w:iCs/>
            <w:spacing w:val="2"/>
            <w:szCs w:val="22"/>
          </w:rPr>
          <w:t>National Centre for Place-Based Collaboration</w:t>
        </w:r>
      </w:hyperlink>
      <w:r w:rsidRPr="00AA7A10">
        <w:rPr>
          <w:rFonts w:eastAsia="Times New Roman" w:cs="Arial"/>
          <w:iCs/>
          <w:color w:val="000000" w:themeColor="text1"/>
          <w:spacing w:val="2"/>
          <w:szCs w:val="22"/>
        </w:rPr>
        <w:t xml:space="preserve">. </w:t>
      </w:r>
    </w:p>
    <w:p w14:paraId="709E5978" w14:textId="1DD39A4F" w:rsidR="001A1B6F" w:rsidRPr="00AA7A10" w:rsidRDefault="00030DB7" w:rsidP="000D68D8">
      <w:pPr>
        <w:spacing w:before="120" w:line="276" w:lineRule="auto"/>
        <w:rPr>
          <w:rFonts w:eastAsia="Times New Roman" w:cs="Arial"/>
          <w:iCs/>
          <w:color w:val="000000" w:themeColor="text1"/>
          <w:spacing w:val="2"/>
          <w:szCs w:val="22"/>
        </w:rPr>
      </w:pPr>
      <w:r w:rsidRPr="00AA7A10">
        <w:rPr>
          <w:rFonts w:cs="Arial"/>
          <w:color w:val="000000" w:themeColor="text1"/>
          <w:szCs w:val="22"/>
        </w:rPr>
        <w:t>Examples</w:t>
      </w:r>
      <w:r w:rsidRPr="00AA7A10">
        <w:rPr>
          <w:rFonts w:eastAsia="Times New Roman" w:cs="Arial"/>
          <w:iCs/>
          <w:color w:val="000000" w:themeColor="text1"/>
          <w:spacing w:val="2"/>
          <w:szCs w:val="22"/>
        </w:rPr>
        <w:t xml:space="preserve"> of </w:t>
      </w:r>
      <w:r w:rsidR="00BF2A2C" w:rsidRPr="00AA7A10">
        <w:rPr>
          <w:rFonts w:eastAsia="Times New Roman" w:cs="Arial"/>
          <w:iCs/>
          <w:color w:val="000000" w:themeColor="text1"/>
          <w:spacing w:val="2"/>
          <w:szCs w:val="22"/>
        </w:rPr>
        <w:t xml:space="preserve">Australian </w:t>
      </w:r>
      <w:r w:rsidRPr="00AA7A10">
        <w:rPr>
          <w:rFonts w:eastAsia="Times New Roman" w:cs="Arial"/>
          <w:iCs/>
          <w:color w:val="000000" w:themeColor="text1"/>
          <w:spacing w:val="2"/>
          <w:szCs w:val="22"/>
        </w:rPr>
        <w:t xml:space="preserve">Government investment in place-based </w:t>
      </w:r>
      <w:r w:rsidR="003364AF" w:rsidRPr="00AA7A10">
        <w:rPr>
          <w:rFonts w:eastAsia="Times New Roman" w:cs="Arial"/>
          <w:iCs/>
          <w:color w:val="000000" w:themeColor="text1"/>
          <w:spacing w:val="2"/>
          <w:szCs w:val="22"/>
        </w:rPr>
        <w:t xml:space="preserve">programs </w:t>
      </w:r>
      <w:r w:rsidR="001C68A9" w:rsidRPr="00AA7A10">
        <w:rPr>
          <w:rFonts w:eastAsia="Times New Roman" w:cs="Arial"/>
          <w:iCs/>
          <w:color w:val="000000" w:themeColor="text1"/>
          <w:spacing w:val="2"/>
          <w:szCs w:val="22"/>
        </w:rPr>
        <w:t xml:space="preserve">and partnerships </w:t>
      </w:r>
      <w:r w:rsidRPr="00AA7A10">
        <w:rPr>
          <w:rFonts w:eastAsia="Times New Roman" w:cs="Arial"/>
          <w:iCs/>
          <w:color w:val="000000" w:themeColor="text1"/>
          <w:spacing w:val="2"/>
          <w:szCs w:val="22"/>
        </w:rPr>
        <w:t>include</w:t>
      </w:r>
      <w:r w:rsidR="001A1B6F" w:rsidRPr="00AA7A10">
        <w:rPr>
          <w:rFonts w:eastAsia="Times New Roman" w:cs="Arial"/>
          <w:iCs/>
          <w:color w:val="000000" w:themeColor="text1"/>
          <w:spacing w:val="2"/>
          <w:szCs w:val="22"/>
        </w:rPr>
        <w:t>:</w:t>
      </w:r>
    </w:p>
    <w:p w14:paraId="1F22EDD3" w14:textId="01EFC1C6" w:rsidR="001A1B6F" w:rsidRPr="00AA7A10" w:rsidRDefault="00030DB7" w:rsidP="00025D6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the </w:t>
      </w:r>
      <w:hyperlink r:id="rId59" w:history="1">
        <w:r w:rsidRPr="00AA7A10">
          <w:rPr>
            <w:rStyle w:val="Hyperlink"/>
            <w:rFonts w:eastAsia="Times New Roman"/>
            <w:iCs/>
            <w:spacing w:val="2"/>
            <w:sz w:val="22"/>
            <w:szCs w:val="22"/>
          </w:rPr>
          <w:t xml:space="preserve">Communities for Children </w:t>
        </w:r>
        <w:r w:rsidR="005D7812" w:rsidRPr="00AA7A10">
          <w:rPr>
            <w:rStyle w:val="Hyperlink"/>
            <w:rFonts w:eastAsia="Times New Roman"/>
            <w:iCs/>
            <w:spacing w:val="2"/>
            <w:sz w:val="22"/>
            <w:szCs w:val="22"/>
          </w:rPr>
          <w:t>Facilitating Partners</w:t>
        </w:r>
        <w:r w:rsidRPr="00AA7A10">
          <w:rPr>
            <w:rStyle w:val="Hyperlink"/>
            <w:rFonts w:eastAsia="Times New Roman"/>
            <w:iCs/>
            <w:spacing w:val="2"/>
            <w:sz w:val="22"/>
            <w:szCs w:val="22"/>
          </w:rPr>
          <w:t xml:space="preserve"> Program</w:t>
        </w:r>
      </w:hyperlink>
      <w:r w:rsidR="007F1BC7" w:rsidRPr="00AA7A10">
        <w:rPr>
          <w:rFonts w:eastAsia="Times New Roman"/>
          <w:iCs/>
          <w:color w:val="000000" w:themeColor="text1"/>
          <w:spacing w:val="2"/>
          <w:sz w:val="22"/>
          <w:szCs w:val="22"/>
        </w:rPr>
        <w:t xml:space="preserve"> </w:t>
      </w:r>
    </w:p>
    <w:p w14:paraId="03FD77D4" w14:textId="65E974FC" w:rsidR="001A1B6F" w:rsidRPr="00AA7A10" w:rsidRDefault="00030DB7" w:rsidP="00025D6D">
      <w:pPr>
        <w:pStyle w:val="Default"/>
        <w:numPr>
          <w:ilvl w:val="0"/>
          <w:numId w:val="2"/>
        </w:numPr>
        <w:spacing w:line="276" w:lineRule="auto"/>
        <w:rPr>
          <w:rFonts w:eastAsia="Times New Roman"/>
          <w:iCs/>
          <w:color w:val="000000" w:themeColor="text1"/>
          <w:spacing w:val="2"/>
          <w:sz w:val="22"/>
          <w:szCs w:val="22"/>
        </w:rPr>
      </w:pPr>
      <w:r w:rsidRPr="00AA7A10">
        <w:rPr>
          <w:rFonts w:eastAsia="Times New Roman"/>
          <w:iCs/>
          <w:color w:val="000000" w:themeColor="text1"/>
          <w:spacing w:val="2"/>
          <w:sz w:val="22"/>
          <w:szCs w:val="22"/>
        </w:rPr>
        <w:t xml:space="preserve">the </w:t>
      </w:r>
      <w:hyperlink r:id="rId60" w:history="1">
        <w:r w:rsidRPr="00AA7A10">
          <w:rPr>
            <w:rStyle w:val="Hyperlink"/>
            <w:rFonts w:eastAsia="Times New Roman"/>
            <w:iCs/>
            <w:spacing w:val="2"/>
            <w:sz w:val="22"/>
            <w:szCs w:val="22"/>
          </w:rPr>
          <w:t>Stronger Places</w:t>
        </w:r>
        <w:r w:rsidR="008D3F0C" w:rsidRPr="00AA7A10">
          <w:rPr>
            <w:rStyle w:val="Hyperlink"/>
            <w:rFonts w:eastAsia="Times New Roman"/>
            <w:iCs/>
            <w:spacing w:val="2"/>
            <w:sz w:val="22"/>
            <w:szCs w:val="22"/>
          </w:rPr>
          <w:t>,</w:t>
        </w:r>
        <w:r w:rsidRPr="00AA7A10">
          <w:rPr>
            <w:rStyle w:val="Hyperlink"/>
            <w:rFonts w:eastAsia="Times New Roman"/>
            <w:iCs/>
            <w:spacing w:val="2"/>
            <w:sz w:val="22"/>
            <w:szCs w:val="22"/>
          </w:rPr>
          <w:t xml:space="preserve"> Strong</w:t>
        </w:r>
        <w:r w:rsidR="008D3F0C" w:rsidRPr="00AA7A10">
          <w:rPr>
            <w:rStyle w:val="Hyperlink"/>
            <w:rFonts w:eastAsia="Times New Roman"/>
            <w:iCs/>
            <w:spacing w:val="2"/>
            <w:sz w:val="22"/>
            <w:szCs w:val="22"/>
          </w:rPr>
          <w:t>er</w:t>
        </w:r>
        <w:r w:rsidR="0077502A" w:rsidRPr="00AA7A10">
          <w:rPr>
            <w:rStyle w:val="Hyperlink"/>
            <w:rFonts w:eastAsia="Times New Roman"/>
            <w:iCs/>
            <w:spacing w:val="2"/>
            <w:sz w:val="22"/>
            <w:szCs w:val="22"/>
          </w:rPr>
          <w:t xml:space="preserve"> </w:t>
        </w:r>
        <w:r w:rsidRPr="00AA7A10">
          <w:rPr>
            <w:rStyle w:val="Hyperlink"/>
            <w:rFonts w:eastAsia="Times New Roman"/>
            <w:iCs/>
            <w:spacing w:val="2"/>
            <w:sz w:val="22"/>
            <w:szCs w:val="22"/>
          </w:rPr>
          <w:t>People</w:t>
        </w:r>
      </w:hyperlink>
      <w:r w:rsidRPr="00AA7A10">
        <w:rPr>
          <w:rFonts w:eastAsia="Times New Roman"/>
          <w:iCs/>
          <w:color w:val="000000" w:themeColor="text1"/>
          <w:spacing w:val="2"/>
          <w:sz w:val="22"/>
          <w:szCs w:val="22"/>
        </w:rPr>
        <w:t xml:space="preserve"> initiative</w:t>
      </w:r>
      <w:r w:rsidR="007F1BC7" w:rsidRPr="00AA7A10">
        <w:rPr>
          <w:rFonts w:eastAsia="Times New Roman"/>
          <w:iCs/>
          <w:color w:val="000000" w:themeColor="text1"/>
          <w:spacing w:val="2"/>
          <w:sz w:val="22"/>
          <w:szCs w:val="22"/>
        </w:rPr>
        <w:t xml:space="preserve"> </w:t>
      </w:r>
    </w:p>
    <w:p w14:paraId="058FAB0F" w14:textId="4839E042" w:rsidR="001A1B6F" w:rsidRPr="00AA7A10" w:rsidRDefault="004D262C" w:rsidP="00025D6D">
      <w:pPr>
        <w:pStyle w:val="Default"/>
        <w:numPr>
          <w:ilvl w:val="0"/>
          <w:numId w:val="2"/>
        </w:numPr>
        <w:spacing w:line="276" w:lineRule="auto"/>
        <w:rPr>
          <w:rFonts w:eastAsia="Times New Roman"/>
          <w:iCs/>
          <w:color w:val="000000" w:themeColor="text1"/>
          <w:spacing w:val="2"/>
          <w:sz w:val="22"/>
          <w:szCs w:val="22"/>
        </w:rPr>
      </w:pPr>
      <w:hyperlink r:id="rId61" w:history="1">
        <w:r w:rsidR="007F1BC7" w:rsidRPr="00AA7A10">
          <w:rPr>
            <w:rStyle w:val="Hyperlink"/>
            <w:rFonts w:eastAsia="Times New Roman"/>
            <w:iCs/>
            <w:spacing w:val="2"/>
            <w:sz w:val="22"/>
            <w:szCs w:val="22"/>
          </w:rPr>
          <w:t>Empowered Communities</w:t>
        </w:r>
      </w:hyperlink>
    </w:p>
    <w:p w14:paraId="31F295E0" w14:textId="1255F8DF" w:rsidR="001A1B6F" w:rsidRPr="00AA7A10" w:rsidRDefault="004D262C" w:rsidP="00025D6D">
      <w:pPr>
        <w:pStyle w:val="Default"/>
        <w:numPr>
          <w:ilvl w:val="0"/>
          <w:numId w:val="2"/>
        </w:numPr>
        <w:spacing w:line="276" w:lineRule="auto"/>
        <w:rPr>
          <w:rFonts w:eastAsia="Times New Roman"/>
          <w:iCs/>
          <w:color w:val="000000" w:themeColor="text1"/>
          <w:spacing w:val="2"/>
          <w:sz w:val="22"/>
          <w:szCs w:val="22"/>
        </w:rPr>
      </w:pPr>
      <w:hyperlink r:id="rId62" w:history="1">
        <w:r w:rsidR="007F1BC7" w:rsidRPr="00AA7A10">
          <w:rPr>
            <w:rStyle w:val="Hyperlink"/>
            <w:rFonts w:eastAsia="Times New Roman"/>
            <w:iCs/>
            <w:spacing w:val="2"/>
            <w:sz w:val="22"/>
            <w:szCs w:val="22"/>
          </w:rPr>
          <w:t>Connected Beginnings</w:t>
        </w:r>
      </w:hyperlink>
      <w:r w:rsidR="003364AF" w:rsidRPr="00AA7A10">
        <w:rPr>
          <w:rStyle w:val="Hyperlink"/>
          <w:rFonts w:eastAsia="Times New Roman"/>
          <w:iCs/>
          <w:spacing w:val="2"/>
          <w:sz w:val="22"/>
          <w:szCs w:val="22"/>
        </w:rPr>
        <w:t xml:space="preserve"> Program</w:t>
      </w:r>
    </w:p>
    <w:p w14:paraId="6814684B" w14:textId="2B61A8ED" w:rsidR="001A1B6F" w:rsidRPr="00AA7A10" w:rsidRDefault="004D262C" w:rsidP="00025D6D">
      <w:pPr>
        <w:pStyle w:val="Default"/>
        <w:numPr>
          <w:ilvl w:val="0"/>
          <w:numId w:val="2"/>
        </w:numPr>
        <w:spacing w:line="276" w:lineRule="auto"/>
        <w:rPr>
          <w:rFonts w:eastAsia="Times New Roman"/>
          <w:iCs/>
          <w:color w:val="000000" w:themeColor="text1"/>
          <w:spacing w:val="2"/>
          <w:sz w:val="22"/>
          <w:szCs w:val="22"/>
        </w:rPr>
      </w:pPr>
      <w:hyperlink r:id="rId63" w:history="1">
        <w:r w:rsidR="005D7812" w:rsidRPr="00AA7A10">
          <w:rPr>
            <w:rStyle w:val="Hyperlink"/>
            <w:rFonts w:eastAsia="Times New Roman"/>
            <w:iCs/>
            <w:spacing w:val="2"/>
            <w:sz w:val="22"/>
            <w:szCs w:val="22"/>
          </w:rPr>
          <w:t>Stronger Communities for Children</w:t>
        </w:r>
      </w:hyperlink>
      <w:r w:rsidR="00D42ACC" w:rsidRPr="00AA7A10">
        <w:rPr>
          <w:rStyle w:val="Hyperlink"/>
          <w:rFonts w:eastAsia="Times New Roman"/>
          <w:iCs/>
          <w:spacing w:val="2"/>
          <w:sz w:val="22"/>
          <w:szCs w:val="22"/>
        </w:rPr>
        <w:t xml:space="preserve"> Program</w:t>
      </w:r>
    </w:p>
    <w:p w14:paraId="457C2788" w14:textId="0C721E18" w:rsidR="00D75AA7" w:rsidRPr="00AA7A10" w:rsidRDefault="004D262C" w:rsidP="00025D6D">
      <w:pPr>
        <w:pStyle w:val="Default"/>
        <w:numPr>
          <w:ilvl w:val="0"/>
          <w:numId w:val="2"/>
        </w:numPr>
        <w:spacing w:after="240" w:line="276" w:lineRule="auto"/>
        <w:rPr>
          <w:rFonts w:eastAsia="Times New Roman"/>
          <w:iCs/>
          <w:color w:val="000000" w:themeColor="text1"/>
          <w:spacing w:val="2"/>
          <w:sz w:val="22"/>
          <w:szCs w:val="22"/>
        </w:rPr>
      </w:pPr>
      <w:hyperlink r:id="rId64" w:history="1">
        <w:r w:rsidR="005D7812" w:rsidRPr="00AA7A10">
          <w:rPr>
            <w:rStyle w:val="Hyperlink"/>
            <w:rFonts w:eastAsia="Times New Roman"/>
            <w:iCs/>
            <w:spacing w:val="2"/>
            <w:sz w:val="22"/>
            <w:szCs w:val="22"/>
          </w:rPr>
          <w:t>City and Regional Deals</w:t>
        </w:r>
      </w:hyperlink>
      <w:r w:rsidR="005D7812" w:rsidRPr="00AA7A10">
        <w:rPr>
          <w:rFonts w:eastAsia="Times New Roman"/>
          <w:iCs/>
          <w:color w:val="000000" w:themeColor="text1"/>
          <w:spacing w:val="2"/>
          <w:sz w:val="22"/>
          <w:szCs w:val="22"/>
        </w:rPr>
        <w:t xml:space="preserve">. </w:t>
      </w:r>
    </w:p>
    <w:p w14:paraId="204745E3" w14:textId="77777777" w:rsidR="00E973E1" w:rsidRPr="00E973E1"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ascii="Georgia" w:eastAsia="Times New Roman" w:hAnsi="Georgia" w:cstheme="majorBidi"/>
          <w:b/>
          <w:bCs/>
          <w:color w:val="005A70"/>
          <w:sz w:val="28"/>
          <w:lang w:eastAsia="en-AU"/>
        </w:rPr>
      </w:pPr>
      <w:r w:rsidRPr="00E973E1">
        <w:rPr>
          <w:rFonts w:ascii="Georgia" w:eastAsia="Times New Roman" w:hAnsi="Georgia" w:cstheme="majorBidi"/>
          <w:b/>
          <w:bCs/>
          <w:color w:val="005A70"/>
          <w:sz w:val="28"/>
          <w:lang w:eastAsia="en-AU"/>
        </w:rPr>
        <w:t>Features of place-based approaches</w:t>
      </w:r>
    </w:p>
    <w:p w14:paraId="6950CF28" w14:textId="1E70ACE5"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Place-based approaches generally include the following:</w:t>
      </w:r>
    </w:p>
    <w:p w14:paraId="5C282C7D" w14:textId="77777777"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Driving cross-sector collaboration to integrate and address fragmented service delivery and supports in pursuit of long-term outcomes.</w:t>
      </w:r>
    </w:p>
    <w:p w14:paraId="0C3F9406" w14:textId="2333F8D3"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Moving accountability, decision-making, funding and service delivery to the local level, to facilitate strategically targeted solutions tailored to community needs.</w:t>
      </w:r>
    </w:p>
    <w:p w14:paraId="7E1E7122" w14:textId="77777777"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Building community capacity to implement place-based reforms and use relevant facilities, services and networks to support improved community outcomes.</w:t>
      </w:r>
    </w:p>
    <w:p w14:paraId="70E72613" w14:textId="77777777"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The use of collaborative and interactive ways of working, including promoting community engagement and participation for citizens.</w:t>
      </w:r>
    </w:p>
    <w:p w14:paraId="6EACA980" w14:textId="77777777"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An emphasis on localised flexible service delivery and funding models, rather than traditional government-funded programs.</w:t>
      </w:r>
    </w:p>
    <w:p w14:paraId="6A9E9248" w14:textId="70EF846A" w:rsidR="00E973E1" w:rsidRPr="00B90D88" w:rsidRDefault="00E973E1" w:rsidP="00E973E1">
      <w:pPr>
        <w:pBdr>
          <w:top w:val="single" w:sz="4" w:space="1" w:color="auto"/>
          <w:left w:val="single" w:sz="4" w:space="4" w:color="auto"/>
          <w:bottom w:val="single" w:sz="4" w:space="1" w:color="auto"/>
          <w:right w:val="single" w:sz="4" w:space="4" w:color="auto"/>
        </w:pBdr>
        <w:shd w:val="clear" w:color="auto" w:fill="DEEAF6" w:themeFill="accent5" w:themeFillTint="33"/>
        <w:spacing w:before="120"/>
        <w:ind w:left="567" w:hanging="567"/>
        <w:rPr>
          <w:rFonts w:cs="Arial"/>
          <w:sz w:val="24"/>
        </w:rPr>
      </w:pPr>
      <w:r w:rsidRPr="00B90D88">
        <w:rPr>
          <w:rFonts w:cs="Arial"/>
          <w:sz w:val="24"/>
        </w:rPr>
        <w:t>•</w:t>
      </w:r>
      <w:r w:rsidRPr="00B90D88">
        <w:rPr>
          <w:rFonts w:cs="Arial"/>
          <w:sz w:val="24"/>
        </w:rPr>
        <w:tab/>
        <w:t>A commitment to apply localised efforts with a long-term vision to support community change.</w:t>
      </w:r>
    </w:p>
    <w:p w14:paraId="4EC3F92C" w14:textId="77777777" w:rsidR="00F907F3" w:rsidRDefault="00F907F3" w:rsidP="00F907F3">
      <w:pPr>
        <w:pStyle w:val="Heading3"/>
      </w:pPr>
      <w:r>
        <w:lastRenderedPageBreak/>
        <w:t>Working in partnership with communities to address disadvantage</w:t>
      </w:r>
    </w:p>
    <w:p w14:paraId="0A5B5F69" w14:textId="7B2FC8B3" w:rsidR="00E973E1" w:rsidRPr="00090271" w:rsidRDefault="00F907F3" w:rsidP="00845FE8">
      <w:pPr>
        <w:pStyle w:val="Default"/>
        <w:spacing w:after="120" w:line="276" w:lineRule="auto"/>
        <w:rPr>
          <w:rFonts w:eastAsia="Times New Roman"/>
          <w:iCs/>
          <w:color w:val="000000" w:themeColor="text1"/>
          <w:spacing w:val="2"/>
          <w:sz w:val="22"/>
          <w:szCs w:val="22"/>
        </w:rPr>
      </w:pPr>
      <w:r w:rsidRPr="00090271">
        <w:rPr>
          <w:rFonts w:eastAsia="Times New Roman"/>
          <w:iCs/>
          <w:color w:val="000000" w:themeColor="text1"/>
          <w:spacing w:val="2"/>
          <w:sz w:val="22"/>
          <w:szCs w:val="22"/>
        </w:rPr>
        <w:t xml:space="preserve">As announced under the 2023-24 Budget </w:t>
      </w:r>
      <w:hyperlink r:id="rId65" w:history="1">
        <w:r w:rsidRPr="00090271">
          <w:rPr>
            <w:rStyle w:val="Hyperlink"/>
            <w:rFonts w:eastAsia="Times New Roman"/>
            <w:iCs/>
            <w:spacing w:val="2"/>
            <w:sz w:val="22"/>
            <w:szCs w:val="22"/>
          </w:rPr>
          <w:t>Targeting Entrenched Community Disadvantage package</w:t>
        </w:r>
      </w:hyperlink>
      <w:r w:rsidRPr="00090271">
        <w:rPr>
          <w:rFonts w:eastAsia="Times New Roman"/>
          <w:iCs/>
          <w:color w:val="000000" w:themeColor="text1"/>
          <w:spacing w:val="2"/>
          <w:sz w:val="22"/>
          <w:szCs w:val="22"/>
        </w:rPr>
        <w:t>, the government will develop a whole of government framework to address community disadvantage to identify strategic objectives and key principles to guide how government works in partnership with communities. This includes finding opportunities to better use place-based approaches to target disadvantage and support a greater ability for communities to make decisions reflecting their needs.</w:t>
      </w:r>
    </w:p>
    <w:p w14:paraId="04DECFE1" w14:textId="0963F18D" w:rsidR="00D96849" w:rsidRDefault="007C6287" w:rsidP="00437102">
      <w:pPr>
        <w:pStyle w:val="Heading3"/>
      </w:pPr>
      <w:bookmarkStart w:id="30" w:name="_Toc139022132"/>
      <w:r>
        <w:t xml:space="preserve">Outcomes </w:t>
      </w:r>
      <w:r w:rsidR="00E8348B">
        <w:t>f</w:t>
      </w:r>
      <w:r w:rsidR="00D96849">
        <w:t xml:space="preserve">und and </w:t>
      </w:r>
      <w:r w:rsidR="00E8348B">
        <w:t>t</w:t>
      </w:r>
      <w:r w:rsidR="00D96849">
        <w:t>rials</w:t>
      </w:r>
      <w:bookmarkEnd w:id="30"/>
    </w:p>
    <w:p w14:paraId="3FA818BD" w14:textId="7A68BFB3" w:rsidR="00AC644C" w:rsidRPr="00845FE8" w:rsidRDefault="00AC644C" w:rsidP="00845FE8">
      <w:pPr>
        <w:spacing w:before="240" w:line="276" w:lineRule="auto"/>
        <w:rPr>
          <w:rFonts w:eastAsiaTheme="majorEastAsia" w:cs="Arial"/>
          <w:szCs w:val="22"/>
        </w:rPr>
      </w:pPr>
      <w:r w:rsidRPr="00845FE8">
        <w:rPr>
          <w:rFonts w:eastAsiaTheme="majorEastAsia" w:cs="Arial"/>
          <w:szCs w:val="22"/>
        </w:rPr>
        <w:t xml:space="preserve">In addition to place-based funding models the </w:t>
      </w:r>
      <w:r w:rsidR="000F2098" w:rsidRPr="00845FE8">
        <w:rPr>
          <w:rFonts w:eastAsiaTheme="majorEastAsia" w:cs="Arial"/>
          <w:szCs w:val="22"/>
        </w:rPr>
        <w:t>g</w:t>
      </w:r>
      <w:r w:rsidRPr="00845FE8">
        <w:rPr>
          <w:rFonts w:eastAsiaTheme="majorEastAsia" w:cs="Arial"/>
          <w:szCs w:val="22"/>
        </w:rPr>
        <w:t>overnment has committed $100 million towards establishing an Outcomes Fund, to be co-designed with stakeholders, including states and territories. An Outcomes Fund will make payments for programs delivered in local communities, based on these programs achieving agreed</w:t>
      </w:r>
      <w:r w:rsidR="007D407C" w:rsidRPr="00845FE8">
        <w:rPr>
          <w:rFonts w:eastAsiaTheme="majorEastAsia" w:cs="Arial"/>
          <w:szCs w:val="22"/>
        </w:rPr>
        <w:t xml:space="preserve"> and</w:t>
      </w:r>
      <w:r w:rsidRPr="00845FE8">
        <w:rPr>
          <w:rFonts w:eastAsiaTheme="majorEastAsia" w:cs="Arial"/>
          <w:szCs w:val="22"/>
        </w:rPr>
        <w:t xml:space="preserve"> measurable outcomes. This will support data</w:t>
      </w:r>
      <w:r w:rsidR="0009456F" w:rsidRPr="00845FE8">
        <w:rPr>
          <w:rFonts w:eastAsiaTheme="majorEastAsia" w:cs="Arial"/>
          <w:szCs w:val="22"/>
        </w:rPr>
        <w:noBreakHyphen/>
      </w:r>
      <w:r w:rsidRPr="00845FE8">
        <w:rPr>
          <w:rFonts w:eastAsiaTheme="majorEastAsia" w:cs="Arial"/>
          <w:szCs w:val="22"/>
        </w:rPr>
        <w:t>driven, evidence</w:t>
      </w:r>
      <w:r w:rsidR="0009456F" w:rsidRPr="00845FE8">
        <w:rPr>
          <w:rFonts w:eastAsiaTheme="majorEastAsia" w:cs="Arial"/>
          <w:szCs w:val="22"/>
        </w:rPr>
        <w:noBreakHyphen/>
      </w:r>
      <w:r w:rsidRPr="00845FE8">
        <w:rPr>
          <w:rFonts w:eastAsiaTheme="majorEastAsia" w:cs="Arial"/>
          <w:szCs w:val="22"/>
        </w:rPr>
        <w:t xml:space="preserve">based solutions, improving outcomes in a range of policy areas.  </w:t>
      </w:r>
    </w:p>
    <w:p w14:paraId="2EC9D30B" w14:textId="579617DF" w:rsidR="00AC644C" w:rsidRPr="00845FE8" w:rsidRDefault="00AC644C" w:rsidP="00845FE8">
      <w:pPr>
        <w:spacing w:before="240" w:line="276" w:lineRule="auto"/>
        <w:rPr>
          <w:rFonts w:eastAsiaTheme="majorEastAsia" w:cs="Arial"/>
          <w:szCs w:val="22"/>
        </w:rPr>
      </w:pPr>
      <w:r w:rsidRPr="00845FE8">
        <w:rPr>
          <w:rFonts w:eastAsiaTheme="majorEastAsia" w:cs="Arial"/>
          <w:szCs w:val="22"/>
        </w:rPr>
        <w:t>The Outcomes Fund is informed by the work of the Social Impact Investing Taskforce, and will adopt outcomes</w:t>
      </w:r>
      <w:r w:rsidR="00F62C31" w:rsidRPr="00845FE8">
        <w:rPr>
          <w:rFonts w:eastAsiaTheme="majorEastAsia" w:cs="Arial"/>
          <w:szCs w:val="22"/>
        </w:rPr>
        <w:t>-</w:t>
      </w:r>
      <w:r w:rsidRPr="00845FE8">
        <w:rPr>
          <w:rFonts w:eastAsiaTheme="majorEastAsia" w:cs="Arial"/>
          <w:szCs w:val="22"/>
        </w:rPr>
        <w:t>based commissioning and social impact investing (SII) approaches. The Outcomes Fund will also build on existing work in this space, including the existing SII state and territory partnership trials. These trials provide up to $22.3</w:t>
      </w:r>
      <w:r w:rsidR="00533399" w:rsidRPr="00845FE8">
        <w:rPr>
          <w:rFonts w:eastAsiaTheme="majorEastAsia" w:cs="Arial"/>
          <w:szCs w:val="22"/>
        </w:rPr>
        <w:t xml:space="preserve"> million</w:t>
      </w:r>
      <w:r w:rsidRPr="00845FE8">
        <w:rPr>
          <w:rFonts w:eastAsiaTheme="majorEastAsia" w:cs="Arial"/>
          <w:szCs w:val="22"/>
        </w:rPr>
        <w:t xml:space="preserve"> from 2017-18 to 2026-27 to trial joint investments with state governments </w:t>
      </w:r>
      <w:r w:rsidR="00BF2A2C" w:rsidRPr="00845FE8">
        <w:rPr>
          <w:rFonts w:eastAsiaTheme="majorEastAsia" w:cs="Arial"/>
          <w:szCs w:val="22"/>
        </w:rPr>
        <w:t>o</w:t>
      </w:r>
      <w:r w:rsidRPr="00845FE8">
        <w:rPr>
          <w:rFonts w:eastAsiaTheme="majorEastAsia" w:cs="Arial"/>
          <w:szCs w:val="22"/>
        </w:rPr>
        <w:t>n SII projects.   </w:t>
      </w:r>
    </w:p>
    <w:p w14:paraId="0FB2124F" w14:textId="49A2EA4B" w:rsidR="00AC644C" w:rsidRPr="00845FE8" w:rsidRDefault="00AC644C" w:rsidP="00845FE8">
      <w:pPr>
        <w:spacing w:before="240" w:line="276" w:lineRule="auto"/>
        <w:rPr>
          <w:rFonts w:eastAsiaTheme="majorEastAsia" w:cs="Arial"/>
          <w:szCs w:val="22"/>
        </w:rPr>
      </w:pPr>
      <w:r w:rsidRPr="00845FE8">
        <w:rPr>
          <w:rFonts w:eastAsiaTheme="majorEastAsia" w:cs="Arial"/>
          <w:szCs w:val="22"/>
        </w:rPr>
        <w:t xml:space="preserve">In contrast to grants which may only </w:t>
      </w:r>
      <w:r w:rsidR="00F62C31" w:rsidRPr="00845FE8">
        <w:rPr>
          <w:rFonts w:eastAsiaTheme="majorEastAsia" w:cs="Arial"/>
          <w:szCs w:val="22"/>
        </w:rPr>
        <w:t>contribute</w:t>
      </w:r>
      <w:r w:rsidRPr="00845FE8">
        <w:rPr>
          <w:rFonts w:eastAsiaTheme="majorEastAsia" w:cs="Arial"/>
          <w:szCs w:val="22"/>
        </w:rPr>
        <w:t xml:space="preserve"> towards the cost of service delivery, </w:t>
      </w:r>
      <w:r w:rsidR="00DB3CB6" w:rsidRPr="00845FE8">
        <w:rPr>
          <w:rFonts w:eastAsiaTheme="majorEastAsia" w:cs="Arial"/>
          <w:szCs w:val="22"/>
        </w:rPr>
        <w:t>o</w:t>
      </w:r>
      <w:r w:rsidRPr="00845FE8">
        <w:rPr>
          <w:rFonts w:eastAsiaTheme="majorEastAsia" w:cs="Arial"/>
          <w:szCs w:val="22"/>
        </w:rPr>
        <w:t>utcomes</w:t>
      </w:r>
      <w:r w:rsidR="003B3836" w:rsidRPr="00845FE8">
        <w:rPr>
          <w:rFonts w:eastAsiaTheme="majorEastAsia" w:cs="Arial"/>
          <w:szCs w:val="22"/>
        </w:rPr>
        <w:noBreakHyphen/>
      </w:r>
      <w:r w:rsidRPr="00845FE8">
        <w:rPr>
          <w:rFonts w:eastAsiaTheme="majorEastAsia" w:cs="Arial"/>
          <w:szCs w:val="22"/>
        </w:rPr>
        <w:t xml:space="preserve">based commissioning generally funds the full cost of service delivery in a target performance scenario, including capital costs. However, if performance is below target, then total government payments may be less than the service costs, and investors (or service providers if there are no investors) may make a financial loss. </w:t>
      </w:r>
    </w:p>
    <w:p w14:paraId="4559E1FC" w14:textId="04E64813" w:rsidR="002A7335" w:rsidRPr="00155745" w:rsidRDefault="002A7335" w:rsidP="00437102">
      <w:pPr>
        <w:pStyle w:val="Heading3"/>
      </w:pPr>
      <w:r>
        <w:t xml:space="preserve">What </w:t>
      </w:r>
      <w:r w:rsidR="00207C23">
        <w:t>the department</w:t>
      </w:r>
      <w:r>
        <w:t xml:space="preserve"> </w:t>
      </w:r>
      <w:r w:rsidRPr="00090271">
        <w:t>ha</w:t>
      </w:r>
      <w:r w:rsidR="00207C23" w:rsidRPr="00090271">
        <w:t>s</w:t>
      </w:r>
      <w:r>
        <w:t xml:space="preserve"> heard</w:t>
      </w:r>
    </w:p>
    <w:p w14:paraId="11F41830" w14:textId="3D96EC55" w:rsidR="00DF6068" w:rsidRPr="00090271" w:rsidRDefault="00E60EB2" w:rsidP="00165F69">
      <w:pPr>
        <w:keepNext/>
        <w:keepLines/>
        <w:spacing w:line="276" w:lineRule="auto"/>
        <w:rPr>
          <w:rFonts w:cs="Arial"/>
          <w:szCs w:val="22"/>
        </w:rPr>
      </w:pPr>
      <w:r w:rsidRPr="00090271">
        <w:rPr>
          <w:rFonts w:cs="Arial"/>
          <w:szCs w:val="22"/>
        </w:rPr>
        <w:t>There have been strong calls from the community sector for governments and other funders, such as philanthropy, to support</w:t>
      </w:r>
      <w:r w:rsidR="00646ECF" w:rsidRPr="00090271">
        <w:rPr>
          <w:rFonts w:cs="Arial"/>
          <w:szCs w:val="22"/>
        </w:rPr>
        <w:t xml:space="preserve"> more place</w:t>
      </w:r>
      <w:r w:rsidR="00F62C31" w:rsidRPr="00090271">
        <w:rPr>
          <w:rFonts w:cs="Arial"/>
          <w:szCs w:val="22"/>
        </w:rPr>
        <w:t>-</w:t>
      </w:r>
      <w:r w:rsidR="00646ECF" w:rsidRPr="00090271">
        <w:rPr>
          <w:rFonts w:cs="Arial"/>
          <w:szCs w:val="22"/>
        </w:rPr>
        <w:t xml:space="preserve">based approaches. </w:t>
      </w:r>
    </w:p>
    <w:p w14:paraId="462F9895" w14:textId="77777777" w:rsidR="002F52CA" w:rsidRDefault="000A6C7C" w:rsidP="00E20168">
      <w:pPr>
        <w:pStyle w:val="Quote"/>
      </w:pPr>
      <w:r w:rsidRPr="00437102">
        <w:t xml:space="preserve">We are delighted that this year’s Federal Budget has seized the opportunity to scale up place-based community-led work to improve wellbeing and equity in local communities. </w:t>
      </w:r>
    </w:p>
    <w:p w14:paraId="338D4682" w14:textId="710CCCB8" w:rsidR="000A6C7C" w:rsidRPr="00090271" w:rsidRDefault="004D262C">
      <w:pPr>
        <w:pStyle w:val="Quote"/>
        <w:rPr>
          <w:szCs w:val="22"/>
        </w:rPr>
      </w:pPr>
      <w:hyperlink r:id="rId66" w:history="1">
        <w:r w:rsidR="000A6C7C" w:rsidRPr="002F52CA">
          <w:rPr>
            <w:rStyle w:val="Hyperlink"/>
            <w:i w:val="0"/>
            <w:szCs w:val="22"/>
          </w:rPr>
          <w:t>Sharon Callister, CEO, Mission Australia</w:t>
        </w:r>
        <w:r w:rsidR="00573390" w:rsidRPr="002F52CA">
          <w:rPr>
            <w:rStyle w:val="Hyperlink"/>
            <w:i w:val="0"/>
            <w:szCs w:val="22"/>
          </w:rPr>
          <w:t>.</w:t>
        </w:r>
      </w:hyperlink>
    </w:p>
    <w:p w14:paraId="26D4E586" w14:textId="01BA95E2" w:rsidR="00573390" w:rsidRPr="00090271" w:rsidRDefault="006377CF" w:rsidP="000D68D8">
      <w:pPr>
        <w:spacing w:line="276" w:lineRule="auto"/>
        <w:rPr>
          <w:rFonts w:eastAsiaTheme="majorEastAsia" w:cs="Arial"/>
          <w:szCs w:val="22"/>
        </w:rPr>
      </w:pPr>
      <w:r w:rsidRPr="00090271">
        <w:rPr>
          <w:rFonts w:cs="Arial"/>
          <w:szCs w:val="22"/>
        </w:rPr>
        <w:t xml:space="preserve">The community services sector reports having strong interest in place-based funding models, but as noted by </w:t>
      </w:r>
      <w:r w:rsidR="00F0413A" w:rsidRPr="00090271">
        <w:rPr>
          <w:rFonts w:cs="Arial"/>
          <w:szCs w:val="22"/>
        </w:rPr>
        <w:t>Social Ventures Australia</w:t>
      </w:r>
      <w:r w:rsidRPr="00090271">
        <w:rPr>
          <w:rFonts w:cs="Arial"/>
          <w:szCs w:val="22"/>
        </w:rPr>
        <w:t xml:space="preserve"> 2019 </w:t>
      </w:r>
      <w:hyperlink r:id="rId67" w:history="1">
        <w:r w:rsidR="00554437" w:rsidRPr="00090271">
          <w:rPr>
            <w:rStyle w:val="Hyperlink"/>
            <w:rFonts w:cs="Arial"/>
            <w:szCs w:val="22"/>
          </w:rPr>
          <w:t>Funding community</w:t>
        </w:r>
        <w:r w:rsidR="00E04295" w:rsidRPr="00090271">
          <w:rPr>
            <w:rStyle w:val="Hyperlink"/>
            <w:rFonts w:cs="Arial"/>
            <w:szCs w:val="22"/>
          </w:rPr>
          <w:t>-</w:t>
        </w:r>
        <w:r w:rsidR="00554437" w:rsidRPr="00090271">
          <w:rPr>
            <w:rStyle w:val="Hyperlink"/>
            <w:rFonts w:cs="Arial"/>
            <w:szCs w:val="22"/>
          </w:rPr>
          <w:t>led place</w:t>
        </w:r>
        <w:r w:rsidR="00F62C31" w:rsidRPr="00090271">
          <w:rPr>
            <w:rStyle w:val="Hyperlink"/>
            <w:rFonts w:cs="Arial"/>
            <w:szCs w:val="22"/>
          </w:rPr>
          <w:t>-</w:t>
        </w:r>
        <w:r w:rsidR="00554437" w:rsidRPr="00090271">
          <w:rPr>
            <w:rStyle w:val="Hyperlink"/>
            <w:rFonts w:cs="Arial"/>
            <w:szCs w:val="22"/>
          </w:rPr>
          <w:t>based</w:t>
        </w:r>
        <w:r w:rsidR="00E04295" w:rsidRPr="00090271">
          <w:rPr>
            <w:rStyle w:val="Hyperlink"/>
            <w:rFonts w:cs="Arial"/>
            <w:szCs w:val="22"/>
          </w:rPr>
          <w:t xml:space="preserve"> practice</w:t>
        </w:r>
        <w:r w:rsidR="00242BBA" w:rsidRPr="00090271">
          <w:rPr>
            <w:rStyle w:val="Hyperlink"/>
            <w:rFonts w:cs="Arial"/>
            <w:szCs w:val="22"/>
          </w:rPr>
          <w:t xml:space="preserve"> report</w:t>
        </w:r>
      </w:hyperlink>
      <w:r w:rsidR="00242BBA" w:rsidRPr="00090271">
        <w:rPr>
          <w:rFonts w:cs="Arial"/>
          <w:szCs w:val="22"/>
        </w:rPr>
        <w:t>,</w:t>
      </w:r>
      <w:r w:rsidR="00554437" w:rsidRPr="00090271">
        <w:rPr>
          <w:rFonts w:cs="Arial"/>
          <w:szCs w:val="22"/>
        </w:rPr>
        <w:t xml:space="preserve"> </w:t>
      </w:r>
      <w:r w:rsidR="00477199" w:rsidRPr="00090271">
        <w:rPr>
          <w:rFonts w:cs="Arial"/>
          <w:szCs w:val="22"/>
        </w:rPr>
        <w:t>direct funding pool</w:t>
      </w:r>
      <w:r w:rsidR="000A6C7C" w:rsidRPr="00090271">
        <w:rPr>
          <w:rFonts w:cs="Arial"/>
          <w:szCs w:val="22"/>
        </w:rPr>
        <w:t>s</w:t>
      </w:r>
      <w:r w:rsidR="00477199" w:rsidRPr="00090271">
        <w:rPr>
          <w:rFonts w:cs="Arial"/>
          <w:szCs w:val="22"/>
        </w:rPr>
        <w:t xml:space="preserve"> for backbone resources and activities is limited and concentrated.</w:t>
      </w:r>
    </w:p>
    <w:p w14:paraId="7442D756" w14:textId="34D29C5D" w:rsidR="00831CDD" w:rsidRPr="00090271" w:rsidRDefault="00831CDD" w:rsidP="00437102">
      <w:pPr>
        <w:spacing w:before="240" w:line="276" w:lineRule="auto"/>
        <w:rPr>
          <w:rFonts w:cs="Arial"/>
          <w:szCs w:val="22"/>
        </w:rPr>
      </w:pPr>
      <w:r w:rsidRPr="00090271">
        <w:rPr>
          <w:rFonts w:eastAsiaTheme="majorEastAsia" w:cs="Arial"/>
          <w:szCs w:val="22"/>
        </w:rPr>
        <w:t xml:space="preserve">Community-led initiatives are working in partnership with the </w:t>
      </w:r>
      <w:r w:rsidR="007D407C">
        <w:rPr>
          <w:rFonts w:eastAsiaTheme="majorEastAsia" w:cs="Arial"/>
          <w:szCs w:val="22"/>
        </w:rPr>
        <w:t>community sector</w:t>
      </w:r>
      <w:r w:rsidR="007D407C" w:rsidRPr="00090271">
        <w:rPr>
          <w:rFonts w:eastAsiaTheme="majorEastAsia" w:cs="Arial"/>
          <w:szCs w:val="22"/>
        </w:rPr>
        <w:t xml:space="preserve"> </w:t>
      </w:r>
      <w:r w:rsidRPr="00090271">
        <w:rPr>
          <w:rFonts w:eastAsiaTheme="majorEastAsia" w:cs="Arial"/>
          <w:szCs w:val="22"/>
        </w:rPr>
        <w:t>and governments to create better results</w:t>
      </w:r>
      <w:r w:rsidR="00A71AA0" w:rsidRPr="00090271">
        <w:rPr>
          <w:rFonts w:eastAsiaTheme="majorEastAsia" w:cs="Arial"/>
          <w:szCs w:val="22"/>
        </w:rPr>
        <w:t xml:space="preserve">, </w:t>
      </w:r>
      <w:r w:rsidR="007D407C">
        <w:rPr>
          <w:rFonts w:eastAsiaTheme="majorEastAsia" w:cs="Arial"/>
          <w:szCs w:val="22"/>
        </w:rPr>
        <w:t>including</w:t>
      </w:r>
      <w:r w:rsidR="00A71AA0" w:rsidRPr="00090271">
        <w:rPr>
          <w:rFonts w:eastAsiaTheme="majorEastAsia" w:cs="Arial"/>
          <w:szCs w:val="22"/>
        </w:rPr>
        <w:t xml:space="preserve"> working collectively to share decision-making.  </w:t>
      </w:r>
      <w:r w:rsidRPr="00090271">
        <w:rPr>
          <w:rFonts w:eastAsiaTheme="majorEastAsia" w:cs="Arial"/>
          <w:szCs w:val="22"/>
        </w:rPr>
        <w:t>Communit</w:t>
      </w:r>
      <w:r w:rsidR="00A71AA0" w:rsidRPr="00090271">
        <w:rPr>
          <w:rFonts w:eastAsiaTheme="majorEastAsia" w:cs="Arial"/>
          <w:szCs w:val="22"/>
        </w:rPr>
        <w:t>y-led initiatives</w:t>
      </w:r>
      <w:r w:rsidRPr="00090271">
        <w:rPr>
          <w:rFonts w:eastAsiaTheme="majorEastAsia" w:cs="Arial"/>
          <w:szCs w:val="22"/>
        </w:rPr>
        <w:t xml:space="preserve"> are inviting further alignment of </w:t>
      </w:r>
      <w:r w:rsidR="007D407C">
        <w:rPr>
          <w:rFonts w:eastAsiaTheme="majorEastAsia" w:cs="Arial"/>
          <w:szCs w:val="22"/>
        </w:rPr>
        <w:t>community sector</w:t>
      </w:r>
      <w:r w:rsidR="002F52CA">
        <w:rPr>
          <w:rFonts w:eastAsiaTheme="majorEastAsia" w:cs="Arial"/>
          <w:szCs w:val="22"/>
        </w:rPr>
        <w:t xml:space="preserve"> </w:t>
      </w:r>
      <w:r w:rsidRPr="00090271">
        <w:rPr>
          <w:rFonts w:eastAsiaTheme="majorEastAsia" w:cs="Arial"/>
          <w:szCs w:val="22"/>
        </w:rPr>
        <w:t>efforts to their strategies for change</w:t>
      </w:r>
      <w:r w:rsidR="007D407C">
        <w:rPr>
          <w:rFonts w:eastAsiaTheme="majorEastAsia" w:cs="Arial"/>
          <w:szCs w:val="22"/>
        </w:rPr>
        <w:t>. There have also been suggestions for community and funders (government) to share accountability as a way to strengthen service delivery.</w:t>
      </w:r>
      <w:r w:rsidRPr="00090271">
        <w:rPr>
          <w:rFonts w:eastAsiaTheme="majorEastAsia" w:cs="Arial"/>
          <w:szCs w:val="22"/>
        </w:rPr>
        <w:t xml:space="preserve"> </w:t>
      </w:r>
    </w:p>
    <w:p w14:paraId="035A4DCD" w14:textId="7166F9EF" w:rsidR="00B05BE8" w:rsidRDefault="00B05BE8" w:rsidP="00745161">
      <w:pPr>
        <w:pStyle w:val="Heading3"/>
      </w:pPr>
      <w:r>
        <w:lastRenderedPageBreak/>
        <w:t>How to achieve this</w:t>
      </w:r>
    </w:p>
    <w:p w14:paraId="05510F12" w14:textId="77777777" w:rsidR="00B05BE8" w:rsidRPr="00090271" w:rsidRDefault="00B05BE8" w:rsidP="00745161">
      <w:pPr>
        <w:keepNext/>
        <w:spacing w:line="276" w:lineRule="auto"/>
        <w:rPr>
          <w:rFonts w:cs="Arial"/>
          <w:color w:val="000000" w:themeColor="text1"/>
          <w:szCs w:val="22"/>
        </w:rPr>
      </w:pPr>
      <w:r w:rsidRPr="00090271">
        <w:rPr>
          <w:rFonts w:cs="Arial"/>
          <w:color w:val="000000" w:themeColor="text1"/>
          <w:szCs w:val="22"/>
        </w:rPr>
        <w:t xml:space="preserve">Options to achieve this could include the below. </w:t>
      </w:r>
    </w:p>
    <w:p w14:paraId="21D53121" w14:textId="741EE5B4" w:rsidR="0059743D" w:rsidRPr="00437102" w:rsidRDefault="00900DE1" w:rsidP="00181F7A">
      <w:pPr>
        <w:pStyle w:val="ListParagraph"/>
        <w:numPr>
          <w:ilvl w:val="0"/>
          <w:numId w:val="28"/>
        </w:numPr>
        <w:spacing w:after="240" w:line="276" w:lineRule="auto"/>
        <w:rPr>
          <w:rFonts w:cs="Arial"/>
          <w:szCs w:val="22"/>
        </w:rPr>
      </w:pPr>
      <w:r w:rsidRPr="00437102">
        <w:rPr>
          <w:rFonts w:eastAsiaTheme="majorEastAsia" w:cs="Arial"/>
          <w:szCs w:val="22"/>
        </w:rPr>
        <w:t xml:space="preserve">Increased and </w:t>
      </w:r>
      <w:r w:rsidRPr="00437102">
        <w:rPr>
          <w:rFonts w:cs="Arial"/>
          <w:szCs w:val="22"/>
        </w:rPr>
        <w:t>continued</w:t>
      </w:r>
      <w:r w:rsidR="000E2245" w:rsidRPr="00437102">
        <w:rPr>
          <w:rFonts w:eastAsiaTheme="majorEastAsia" w:cs="Arial"/>
          <w:szCs w:val="22"/>
        </w:rPr>
        <w:t xml:space="preserve"> </w:t>
      </w:r>
      <w:r w:rsidR="00765B91" w:rsidRPr="00437102">
        <w:rPr>
          <w:rFonts w:eastAsiaTheme="majorEastAsia" w:cs="Arial"/>
          <w:szCs w:val="22"/>
        </w:rPr>
        <w:t xml:space="preserve">support </w:t>
      </w:r>
      <w:r w:rsidR="000E2245" w:rsidRPr="00437102">
        <w:rPr>
          <w:rFonts w:eastAsiaTheme="majorEastAsia" w:cs="Arial"/>
          <w:szCs w:val="22"/>
        </w:rPr>
        <w:t xml:space="preserve">for </w:t>
      </w:r>
      <w:r w:rsidR="00765B91" w:rsidRPr="00437102">
        <w:rPr>
          <w:rFonts w:eastAsiaTheme="majorEastAsia" w:cs="Arial"/>
          <w:szCs w:val="22"/>
        </w:rPr>
        <w:t>the testing of innovative approaches at the local leve</w:t>
      </w:r>
      <w:r w:rsidR="00B05BE8" w:rsidRPr="00090271">
        <w:rPr>
          <w:rFonts w:eastAsiaTheme="majorEastAsia" w:cs="Arial"/>
          <w:szCs w:val="22"/>
        </w:rPr>
        <w:t>l. T</w:t>
      </w:r>
      <w:r w:rsidR="00765B91" w:rsidRPr="00437102">
        <w:rPr>
          <w:rFonts w:eastAsiaTheme="majorEastAsia" w:cs="Arial"/>
          <w:szCs w:val="22"/>
        </w:rPr>
        <w:t xml:space="preserve">his may include funding and support for pilot projects </w:t>
      </w:r>
      <w:r w:rsidR="000E2245" w:rsidRPr="00437102">
        <w:rPr>
          <w:rFonts w:eastAsiaTheme="majorEastAsia" w:cs="Arial"/>
          <w:szCs w:val="22"/>
        </w:rPr>
        <w:t>to</w:t>
      </w:r>
      <w:r w:rsidR="00765B91" w:rsidRPr="00437102">
        <w:rPr>
          <w:rFonts w:eastAsiaTheme="majorEastAsia" w:cs="Arial"/>
          <w:szCs w:val="22"/>
        </w:rPr>
        <w:t xml:space="preserve"> encourage communities to explore new strategies and interventions that can lead to positive change.</w:t>
      </w:r>
    </w:p>
    <w:p w14:paraId="515442EE" w14:textId="579993D4" w:rsidR="00994B00" w:rsidRPr="00437102" w:rsidRDefault="00994B00" w:rsidP="00181F7A">
      <w:pPr>
        <w:pStyle w:val="ListParagraph"/>
        <w:numPr>
          <w:ilvl w:val="0"/>
          <w:numId w:val="28"/>
        </w:numPr>
        <w:spacing w:after="240" w:line="276" w:lineRule="auto"/>
        <w:rPr>
          <w:rFonts w:cs="Arial"/>
          <w:szCs w:val="22"/>
        </w:rPr>
      </w:pPr>
      <w:r w:rsidRPr="00437102">
        <w:rPr>
          <w:rFonts w:cs="Arial"/>
          <w:bCs/>
          <w:szCs w:val="22"/>
        </w:rPr>
        <w:t>Help</w:t>
      </w:r>
      <w:r w:rsidR="00D516B8" w:rsidRPr="00437102">
        <w:rPr>
          <w:rFonts w:cs="Arial"/>
          <w:bCs/>
          <w:szCs w:val="22"/>
        </w:rPr>
        <w:t>ing</w:t>
      </w:r>
      <w:r w:rsidRPr="00437102">
        <w:rPr>
          <w:rFonts w:cs="Arial"/>
          <w:bCs/>
          <w:szCs w:val="22"/>
        </w:rPr>
        <w:t xml:space="preserve"> to improve pathways for </w:t>
      </w:r>
      <w:r w:rsidR="008A2858" w:rsidRPr="00437102">
        <w:rPr>
          <w:rFonts w:cs="Arial"/>
          <w:bCs/>
          <w:szCs w:val="22"/>
        </w:rPr>
        <w:t>new and emerging organisations to access funding</w:t>
      </w:r>
      <w:r w:rsidR="00B05BE8" w:rsidRPr="00090271">
        <w:rPr>
          <w:rFonts w:cs="Arial"/>
          <w:bCs/>
          <w:szCs w:val="22"/>
        </w:rPr>
        <w:t xml:space="preserve">. </w:t>
      </w:r>
      <w:r w:rsidR="00B05BE8" w:rsidRPr="00090271">
        <w:rPr>
          <w:rFonts w:cs="Arial"/>
          <w:szCs w:val="22"/>
        </w:rPr>
        <w:t>T</w:t>
      </w:r>
      <w:r w:rsidR="008A2858" w:rsidRPr="00437102">
        <w:rPr>
          <w:rFonts w:cs="Arial"/>
          <w:szCs w:val="22"/>
        </w:rPr>
        <w:t xml:space="preserve">his could help to improve the diversity and responsiveness of the </w:t>
      </w:r>
      <w:r w:rsidR="007D407C">
        <w:rPr>
          <w:rFonts w:cs="Arial"/>
          <w:szCs w:val="22"/>
        </w:rPr>
        <w:t>community</w:t>
      </w:r>
      <w:r w:rsidR="007D407C" w:rsidRPr="00437102">
        <w:rPr>
          <w:rFonts w:cs="Arial"/>
          <w:szCs w:val="22"/>
        </w:rPr>
        <w:t xml:space="preserve"> </w:t>
      </w:r>
      <w:r w:rsidR="008A2858" w:rsidRPr="00437102">
        <w:rPr>
          <w:rFonts w:cs="Arial"/>
          <w:szCs w:val="22"/>
        </w:rPr>
        <w:t xml:space="preserve">sector. </w:t>
      </w:r>
    </w:p>
    <w:p w14:paraId="2D3348FB" w14:textId="1F8F4238" w:rsidR="00635547" w:rsidRPr="00437102" w:rsidRDefault="00635547" w:rsidP="00181F7A">
      <w:pPr>
        <w:pStyle w:val="ListParagraph"/>
        <w:numPr>
          <w:ilvl w:val="0"/>
          <w:numId w:val="28"/>
        </w:numPr>
        <w:spacing w:after="240" w:line="276" w:lineRule="auto"/>
        <w:rPr>
          <w:rFonts w:eastAsiaTheme="majorEastAsia" w:cs="Arial"/>
          <w:szCs w:val="22"/>
        </w:rPr>
      </w:pPr>
      <w:r w:rsidRPr="00437102">
        <w:rPr>
          <w:rFonts w:eastAsiaTheme="majorEastAsia" w:cs="Arial"/>
          <w:szCs w:val="22"/>
        </w:rPr>
        <w:t>A place-based model for community sector grants funding</w:t>
      </w:r>
      <w:r w:rsidR="00B05BE8" w:rsidRPr="00090271">
        <w:rPr>
          <w:rFonts w:eastAsiaTheme="majorEastAsia" w:cs="Arial"/>
          <w:szCs w:val="22"/>
        </w:rPr>
        <w:t>. T</w:t>
      </w:r>
      <w:r w:rsidRPr="00437102">
        <w:rPr>
          <w:rFonts w:eastAsiaTheme="majorEastAsia" w:cs="Arial"/>
          <w:szCs w:val="22"/>
        </w:rPr>
        <w:t xml:space="preserve">his </w:t>
      </w:r>
      <w:r w:rsidR="00D516B8" w:rsidRPr="00437102">
        <w:rPr>
          <w:rFonts w:eastAsiaTheme="majorEastAsia" w:cs="Arial"/>
          <w:szCs w:val="22"/>
        </w:rPr>
        <w:t>w</w:t>
      </w:r>
      <w:r w:rsidRPr="00437102">
        <w:rPr>
          <w:rFonts w:eastAsiaTheme="majorEastAsia" w:cs="Arial"/>
          <w:szCs w:val="22"/>
        </w:rPr>
        <w:t xml:space="preserve">ould allow for a tailored approach </w:t>
      </w:r>
      <w:r w:rsidR="001E3AEB" w:rsidRPr="00437102">
        <w:rPr>
          <w:rFonts w:eastAsiaTheme="majorEastAsia" w:cs="Arial"/>
          <w:szCs w:val="22"/>
        </w:rPr>
        <w:t xml:space="preserve">in areas of entrenched disadvantage </w:t>
      </w:r>
      <w:r w:rsidRPr="00437102">
        <w:rPr>
          <w:rFonts w:eastAsiaTheme="majorEastAsia" w:cs="Arial"/>
          <w:szCs w:val="22"/>
        </w:rPr>
        <w:t xml:space="preserve">that puts </w:t>
      </w:r>
      <w:r w:rsidR="0009456F" w:rsidRPr="00437102">
        <w:rPr>
          <w:rFonts w:eastAsiaTheme="majorEastAsia" w:cs="Arial"/>
          <w:szCs w:val="22"/>
        </w:rPr>
        <w:t>communit</w:t>
      </w:r>
      <w:r w:rsidR="0009456F">
        <w:rPr>
          <w:rFonts w:eastAsiaTheme="majorEastAsia" w:cs="Arial"/>
          <w:szCs w:val="22"/>
        </w:rPr>
        <w:t>y</w:t>
      </w:r>
      <w:r w:rsidR="0009456F" w:rsidRPr="00437102">
        <w:rPr>
          <w:rFonts w:eastAsiaTheme="majorEastAsia" w:cs="Arial"/>
          <w:szCs w:val="22"/>
        </w:rPr>
        <w:t xml:space="preserve"> </w:t>
      </w:r>
      <w:r w:rsidRPr="00437102">
        <w:rPr>
          <w:rFonts w:eastAsiaTheme="majorEastAsia" w:cs="Arial"/>
          <w:szCs w:val="22"/>
        </w:rPr>
        <w:t>and user needs at the centre of policy design and service delivery.</w:t>
      </w:r>
      <w:r w:rsidR="00831CDD" w:rsidRPr="00437102">
        <w:rPr>
          <w:rFonts w:eastAsiaTheme="majorEastAsia" w:cs="Arial"/>
          <w:szCs w:val="22"/>
        </w:rPr>
        <w:t xml:space="preserve">  </w:t>
      </w:r>
      <w:r w:rsidR="00D42ACC" w:rsidRPr="00437102">
        <w:rPr>
          <w:rFonts w:eastAsiaTheme="majorEastAsia" w:cs="Arial"/>
          <w:szCs w:val="22"/>
        </w:rPr>
        <w:t xml:space="preserve"> </w:t>
      </w:r>
    </w:p>
    <w:p w14:paraId="0B8BB0A0" w14:textId="781DD08A" w:rsidR="00E5620F" w:rsidRPr="00090271" w:rsidRDefault="00A04DED" w:rsidP="00181F7A">
      <w:pPr>
        <w:pStyle w:val="ListParagraph"/>
        <w:numPr>
          <w:ilvl w:val="0"/>
          <w:numId w:val="28"/>
        </w:numPr>
        <w:spacing w:after="240" w:line="276" w:lineRule="auto"/>
        <w:rPr>
          <w:rFonts w:eastAsiaTheme="majorEastAsia" w:cs="Arial"/>
          <w:szCs w:val="22"/>
        </w:rPr>
      </w:pPr>
      <w:r w:rsidRPr="00437102">
        <w:rPr>
          <w:rFonts w:eastAsiaTheme="majorEastAsia" w:cs="Arial"/>
          <w:szCs w:val="22"/>
        </w:rPr>
        <w:t>Explore better collaboration across government agencies to reduce duplication of service</w:t>
      </w:r>
      <w:r w:rsidR="00A46435" w:rsidRPr="00437102">
        <w:rPr>
          <w:rFonts w:eastAsiaTheme="majorEastAsia" w:cs="Arial"/>
          <w:szCs w:val="22"/>
        </w:rPr>
        <w:t>s</w:t>
      </w:r>
      <w:r w:rsidRPr="00437102">
        <w:rPr>
          <w:rFonts w:eastAsiaTheme="majorEastAsia" w:cs="Arial"/>
          <w:szCs w:val="22"/>
        </w:rPr>
        <w:t xml:space="preserve"> and inefficiencies</w:t>
      </w:r>
      <w:r w:rsidR="00A46435" w:rsidRPr="00437102">
        <w:rPr>
          <w:rFonts w:eastAsiaTheme="majorEastAsia" w:cs="Arial"/>
          <w:szCs w:val="22"/>
        </w:rPr>
        <w:t xml:space="preserve"> in delivering services</w:t>
      </w:r>
      <w:r w:rsidRPr="00437102">
        <w:rPr>
          <w:rFonts w:eastAsiaTheme="majorEastAsia" w:cs="Arial"/>
          <w:szCs w:val="22"/>
        </w:rPr>
        <w:t>.</w:t>
      </w:r>
    </w:p>
    <w:p w14:paraId="5F35BB1D" w14:textId="1651C4EC" w:rsidR="00B05BE8" w:rsidRDefault="00B05BE8" w:rsidP="00437102">
      <w:pPr>
        <w:pStyle w:val="Heading3"/>
        <w:rPr>
          <w:rFonts w:eastAsiaTheme="majorEastAsia"/>
        </w:rPr>
      </w:pPr>
      <w:r>
        <w:rPr>
          <w:rFonts w:eastAsiaTheme="majorEastAsia"/>
        </w:rPr>
        <w:t>Key questions</w:t>
      </w:r>
    </w:p>
    <w:p w14:paraId="6903ED06" w14:textId="21948B2D" w:rsidR="00E8525E" w:rsidRPr="00B90D88" w:rsidRDefault="00E8525E" w:rsidP="00E8525E">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5.1</w:t>
      </w:r>
      <w:r w:rsidRPr="00B90D88">
        <w:rPr>
          <w:rFonts w:cs="Arial"/>
          <w:sz w:val="24"/>
        </w:rPr>
        <w:tab/>
        <w:t>What is your experience with and reflections on place-based funding approaches?</w:t>
      </w:r>
    </w:p>
    <w:p w14:paraId="56A8F903" w14:textId="19A2137C" w:rsidR="00E8525E" w:rsidRPr="00B90D88" w:rsidRDefault="00E8525E" w:rsidP="00E8525E">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5.2</w:t>
      </w:r>
      <w:r w:rsidRPr="00B90D88">
        <w:rPr>
          <w:rFonts w:cs="Arial"/>
          <w:sz w:val="24"/>
        </w:rPr>
        <w:tab/>
        <w:t xml:space="preserve">What innovative approaches could be implemented to ensure the grant funding reaches trusted community organisations with strong local links? </w:t>
      </w:r>
    </w:p>
    <w:p w14:paraId="2B65CF45" w14:textId="647E9A50" w:rsidR="00E8525E" w:rsidRPr="00B90D88" w:rsidRDefault="00E8525E" w:rsidP="00E8525E">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5.3</w:t>
      </w:r>
      <w:r w:rsidRPr="00B90D88">
        <w:rPr>
          <w:rFonts w:cs="Arial"/>
          <w:sz w:val="24"/>
        </w:rPr>
        <w:tab/>
        <w:t>Which areas do you consider have duplicative funding or gaps you think need to be addressed, and what is the evidence?</w:t>
      </w:r>
    </w:p>
    <w:p w14:paraId="20DEDC4F" w14:textId="342CACC2" w:rsidR="00E8525E" w:rsidRPr="00B90D88" w:rsidRDefault="00E8525E" w:rsidP="00E8525E">
      <w:pPr>
        <w:pBdr>
          <w:top w:val="single" w:sz="4" w:space="1" w:color="auto"/>
          <w:left w:val="single" w:sz="4" w:space="4" w:color="auto"/>
          <w:bottom w:val="single" w:sz="4" w:space="1" w:color="auto"/>
          <w:right w:val="single" w:sz="4" w:space="4" w:color="auto"/>
        </w:pBdr>
        <w:shd w:val="clear" w:color="auto" w:fill="DDF9FF"/>
        <w:spacing w:before="120"/>
        <w:ind w:left="709" w:hanging="709"/>
        <w:rPr>
          <w:rFonts w:cs="Arial"/>
          <w:sz w:val="24"/>
        </w:rPr>
      </w:pPr>
      <w:r w:rsidRPr="00B90D88">
        <w:rPr>
          <w:rFonts w:cs="Arial"/>
          <w:sz w:val="24"/>
        </w:rPr>
        <w:t>5.4</w:t>
      </w:r>
      <w:r w:rsidRPr="00B90D88">
        <w:rPr>
          <w:rFonts w:cs="Arial"/>
          <w:sz w:val="24"/>
        </w:rPr>
        <w:tab/>
        <w:t>Where there is a community-led</w:t>
      </w:r>
      <w:r w:rsidR="00F907F3" w:rsidRPr="00B90D88">
        <w:rPr>
          <w:rFonts w:cs="Arial"/>
          <w:sz w:val="24"/>
        </w:rPr>
        <w:t xml:space="preserve"> change initiative, could share</w:t>
      </w:r>
      <w:r w:rsidRPr="00B90D88">
        <w:rPr>
          <w:rFonts w:cs="Arial"/>
          <w:sz w:val="24"/>
        </w:rPr>
        <w:t xml:space="preserve"> accountability to community and funders (government) strengthen service delivery?</w:t>
      </w:r>
    </w:p>
    <w:p w14:paraId="5EEA3525" w14:textId="77777777" w:rsidR="00E8525E" w:rsidRPr="00E8525E" w:rsidRDefault="00E8525E" w:rsidP="00E8525E">
      <w:pPr>
        <w:rPr>
          <w:lang w:eastAsia="en-AU"/>
        </w:rPr>
      </w:pPr>
    </w:p>
    <w:p w14:paraId="1A1B098D" w14:textId="77777777" w:rsidR="00CC3EA5" w:rsidRPr="00D72498" w:rsidRDefault="00CC3EA5" w:rsidP="00A00979">
      <w:pPr>
        <w:sectPr w:rsidR="00CC3EA5" w:rsidRPr="00D72498" w:rsidSect="00E020E0">
          <w:pgSz w:w="11906" w:h="16838"/>
          <w:pgMar w:top="782" w:right="968" w:bottom="807" w:left="1156" w:header="708" w:footer="708" w:gutter="0"/>
          <w:cols w:space="708"/>
          <w:docGrid w:linePitch="360"/>
        </w:sectPr>
      </w:pPr>
    </w:p>
    <w:p w14:paraId="480FCF04" w14:textId="74BE65CA" w:rsidR="0054589D" w:rsidRPr="00651014" w:rsidRDefault="0054589D" w:rsidP="00437102">
      <w:pPr>
        <w:pStyle w:val="Heading1"/>
      </w:pPr>
      <w:bookmarkStart w:id="31" w:name="_Toc141437661"/>
      <w:bookmarkStart w:id="32" w:name="_Toc144983247"/>
      <w:bookmarkStart w:id="33" w:name="_Toc139022134"/>
      <w:r>
        <w:lastRenderedPageBreak/>
        <w:t>Conclusion</w:t>
      </w:r>
      <w:bookmarkEnd w:id="31"/>
      <w:bookmarkEnd w:id="32"/>
    </w:p>
    <w:p w14:paraId="47FC1BF4" w14:textId="066F85AF" w:rsidR="0054589D" w:rsidRPr="00845FE8" w:rsidRDefault="0054589D" w:rsidP="00845FE8">
      <w:pPr>
        <w:spacing w:before="240" w:line="276" w:lineRule="auto"/>
        <w:rPr>
          <w:rFonts w:eastAsiaTheme="majorEastAsia" w:cs="Arial"/>
          <w:szCs w:val="22"/>
        </w:rPr>
      </w:pPr>
      <w:r w:rsidRPr="00845FE8">
        <w:rPr>
          <w:rFonts w:eastAsiaTheme="majorEastAsia" w:cs="Arial"/>
          <w:szCs w:val="22"/>
        </w:rPr>
        <w:t xml:space="preserve">The </w:t>
      </w:r>
      <w:r w:rsidR="000F2098" w:rsidRPr="00845FE8">
        <w:rPr>
          <w:rFonts w:eastAsiaTheme="majorEastAsia" w:cs="Arial"/>
          <w:szCs w:val="22"/>
        </w:rPr>
        <w:t>g</w:t>
      </w:r>
      <w:r w:rsidRPr="00845FE8">
        <w:rPr>
          <w:rFonts w:eastAsiaTheme="majorEastAsia" w:cs="Arial"/>
          <w:szCs w:val="22"/>
        </w:rPr>
        <w:t xml:space="preserve">overnment is </w:t>
      </w:r>
      <w:r w:rsidR="00721E60" w:rsidRPr="00845FE8">
        <w:rPr>
          <w:rFonts w:eastAsiaTheme="majorEastAsia" w:cs="Arial"/>
          <w:szCs w:val="22"/>
        </w:rPr>
        <w:t>committed</w:t>
      </w:r>
      <w:r w:rsidRPr="00845FE8">
        <w:rPr>
          <w:rFonts w:eastAsiaTheme="majorEastAsia" w:cs="Arial"/>
          <w:szCs w:val="22"/>
        </w:rPr>
        <w:t xml:space="preserve"> to supporting and strengthening the sustainability of the community sector, evident through the </w:t>
      </w:r>
      <w:r w:rsidR="00721E60" w:rsidRPr="00845FE8">
        <w:rPr>
          <w:rFonts w:eastAsiaTheme="majorEastAsia" w:cs="Arial"/>
          <w:szCs w:val="22"/>
        </w:rPr>
        <w:t>significant funding</w:t>
      </w:r>
      <w:r w:rsidRPr="00845FE8">
        <w:rPr>
          <w:rFonts w:eastAsiaTheme="majorEastAsia" w:cs="Arial"/>
          <w:szCs w:val="22"/>
        </w:rPr>
        <w:t xml:space="preserve"> and ongoing efforts aimed to address the challenges faced by CSOs. The additional $560 million over </w:t>
      </w:r>
      <w:r w:rsidR="00C260E7" w:rsidRPr="00845FE8">
        <w:rPr>
          <w:rFonts w:eastAsiaTheme="majorEastAsia" w:cs="Arial"/>
          <w:szCs w:val="22"/>
        </w:rPr>
        <w:t xml:space="preserve">4 </w:t>
      </w:r>
      <w:r w:rsidRPr="00845FE8">
        <w:rPr>
          <w:rFonts w:eastAsiaTheme="majorEastAsia" w:cs="Arial"/>
          <w:szCs w:val="22"/>
        </w:rPr>
        <w:t>years from 2022-23, announced in the 202</w:t>
      </w:r>
      <w:r w:rsidR="00FF5D8F">
        <w:rPr>
          <w:rFonts w:eastAsiaTheme="majorEastAsia" w:cs="Arial"/>
          <w:szCs w:val="22"/>
        </w:rPr>
        <w:t>2</w:t>
      </w:r>
      <w:r w:rsidRPr="00845FE8">
        <w:rPr>
          <w:rFonts w:eastAsiaTheme="majorEastAsia" w:cs="Arial"/>
          <w:szCs w:val="22"/>
        </w:rPr>
        <w:t>-2</w:t>
      </w:r>
      <w:r w:rsidR="00FF5D8F">
        <w:rPr>
          <w:rFonts w:eastAsiaTheme="majorEastAsia" w:cs="Arial"/>
          <w:szCs w:val="22"/>
        </w:rPr>
        <w:t>3</w:t>
      </w:r>
      <w:r w:rsidRPr="00845FE8">
        <w:rPr>
          <w:rFonts w:eastAsiaTheme="majorEastAsia" w:cs="Arial"/>
          <w:szCs w:val="22"/>
        </w:rPr>
        <w:t xml:space="preserve"> </w:t>
      </w:r>
      <w:r w:rsidR="00FF5D8F" w:rsidRPr="00845FE8">
        <w:rPr>
          <w:rFonts w:eastAsiaTheme="majorEastAsia" w:cs="Arial"/>
          <w:szCs w:val="22"/>
        </w:rPr>
        <w:t xml:space="preserve">October </w:t>
      </w:r>
      <w:r w:rsidRPr="00845FE8">
        <w:rPr>
          <w:rFonts w:eastAsiaTheme="majorEastAsia" w:cs="Arial"/>
          <w:szCs w:val="22"/>
        </w:rPr>
        <w:t xml:space="preserve">Budget, demonstrates the </w:t>
      </w:r>
      <w:r w:rsidR="000F2098" w:rsidRPr="00845FE8">
        <w:rPr>
          <w:rFonts w:eastAsiaTheme="majorEastAsia" w:cs="Arial"/>
          <w:szCs w:val="22"/>
        </w:rPr>
        <w:t>g</w:t>
      </w:r>
      <w:r w:rsidRPr="00845FE8">
        <w:rPr>
          <w:rFonts w:eastAsiaTheme="majorEastAsia" w:cs="Arial"/>
          <w:szCs w:val="22"/>
        </w:rPr>
        <w:t xml:space="preserve">overnment's recognition of the </w:t>
      </w:r>
      <w:r w:rsidR="00FF4241" w:rsidRPr="00845FE8">
        <w:rPr>
          <w:rFonts w:eastAsiaTheme="majorEastAsia" w:cs="Arial"/>
          <w:szCs w:val="22"/>
        </w:rPr>
        <w:t xml:space="preserve">increasing </w:t>
      </w:r>
      <w:r w:rsidRPr="00845FE8">
        <w:rPr>
          <w:rFonts w:eastAsiaTheme="majorEastAsia" w:cs="Arial"/>
          <w:szCs w:val="22"/>
        </w:rPr>
        <w:t xml:space="preserve">cost pressures affecting CSOs. Through ongoing consultation, the </w:t>
      </w:r>
      <w:r w:rsidR="000F2098" w:rsidRPr="00845FE8">
        <w:rPr>
          <w:rFonts w:eastAsiaTheme="majorEastAsia" w:cs="Arial"/>
          <w:szCs w:val="22"/>
        </w:rPr>
        <w:t>g</w:t>
      </w:r>
      <w:r w:rsidRPr="00845FE8">
        <w:rPr>
          <w:rFonts w:eastAsiaTheme="majorEastAsia" w:cs="Arial"/>
          <w:szCs w:val="22"/>
        </w:rPr>
        <w:t>overnment will continue to support the</w:t>
      </w:r>
      <w:r w:rsidR="00FF4241" w:rsidRPr="00845FE8">
        <w:rPr>
          <w:rFonts w:eastAsiaTheme="majorEastAsia" w:cs="Arial"/>
          <w:szCs w:val="22"/>
        </w:rPr>
        <w:t xml:space="preserve"> development of a stronger, more diverse and independent community sector.</w:t>
      </w:r>
    </w:p>
    <w:p w14:paraId="19A7477E" w14:textId="46486FCA" w:rsidR="00B05BE8" w:rsidRPr="00845FE8" w:rsidRDefault="00721E60" w:rsidP="00845FE8">
      <w:pPr>
        <w:spacing w:before="240" w:line="276" w:lineRule="auto"/>
        <w:rPr>
          <w:rFonts w:eastAsiaTheme="majorEastAsia" w:cs="Arial"/>
          <w:szCs w:val="22"/>
        </w:rPr>
      </w:pPr>
      <w:r w:rsidRPr="00845FE8">
        <w:rPr>
          <w:rFonts w:eastAsiaTheme="majorEastAsia" w:cs="Arial"/>
          <w:szCs w:val="22"/>
        </w:rPr>
        <w:t xml:space="preserve">Community </w:t>
      </w:r>
      <w:r w:rsidR="003E0654" w:rsidRPr="00845FE8">
        <w:rPr>
          <w:rFonts w:eastAsiaTheme="majorEastAsia" w:cs="Arial"/>
          <w:szCs w:val="22"/>
        </w:rPr>
        <w:t>s</w:t>
      </w:r>
      <w:r w:rsidRPr="00845FE8">
        <w:rPr>
          <w:rFonts w:eastAsiaTheme="majorEastAsia" w:cs="Arial"/>
          <w:szCs w:val="22"/>
        </w:rPr>
        <w:t xml:space="preserve">ector </w:t>
      </w:r>
      <w:r w:rsidR="00FF4241" w:rsidRPr="00845FE8">
        <w:rPr>
          <w:rFonts w:eastAsiaTheme="majorEastAsia" w:cs="Arial"/>
          <w:szCs w:val="22"/>
        </w:rPr>
        <w:t>feedback on the issues raised in</w:t>
      </w:r>
      <w:r w:rsidR="00C63F8E" w:rsidRPr="00845FE8">
        <w:rPr>
          <w:rFonts w:eastAsiaTheme="majorEastAsia" w:cs="Arial"/>
          <w:szCs w:val="22"/>
        </w:rPr>
        <w:t xml:space="preserve"> this</w:t>
      </w:r>
      <w:r w:rsidR="009F5851" w:rsidRPr="00845FE8">
        <w:rPr>
          <w:rFonts w:eastAsiaTheme="majorEastAsia" w:cs="Arial"/>
          <w:szCs w:val="22"/>
        </w:rPr>
        <w:t xml:space="preserve"> </w:t>
      </w:r>
      <w:r w:rsidR="00C63F8E" w:rsidRPr="00845FE8">
        <w:rPr>
          <w:rFonts w:eastAsiaTheme="majorEastAsia" w:cs="Arial"/>
          <w:szCs w:val="22"/>
        </w:rPr>
        <w:t>p</w:t>
      </w:r>
      <w:r w:rsidRPr="00845FE8">
        <w:rPr>
          <w:rFonts w:eastAsiaTheme="majorEastAsia" w:cs="Arial"/>
          <w:szCs w:val="22"/>
        </w:rPr>
        <w:t>aper</w:t>
      </w:r>
      <w:r w:rsidR="0054589D" w:rsidRPr="00845FE8">
        <w:rPr>
          <w:rFonts w:eastAsiaTheme="majorEastAsia" w:cs="Arial"/>
          <w:szCs w:val="22"/>
        </w:rPr>
        <w:t xml:space="preserve"> </w:t>
      </w:r>
      <w:r w:rsidR="003E0654" w:rsidRPr="00845FE8">
        <w:rPr>
          <w:rFonts w:eastAsiaTheme="majorEastAsia" w:cs="Arial"/>
          <w:szCs w:val="22"/>
        </w:rPr>
        <w:t xml:space="preserve">will assist the </w:t>
      </w:r>
      <w:r w:rsidR="000F2098" w:rsidRPr="00845FE8">
        <w:rPr>
          <w:rFonts w:eastAsiaTheme="majorEastAsia" w:cs="Arial"/>
          <w:szCs w:val="22"/>
        </w:rPr>
        <w:t>g</w:t>
      </w:r>
      <w:r w:rsidR="003E0654" w:rsidRPr="00845FE8">
        <w:rPr>
          <w:rFonts w:eastAsiaTheme="majorEastAsia" w:cs="Arial"/>
          <w:szCs w:val="22"/>
        </w:rPr>
        <w:t xml:space="preserve">overnment to </w:t>
      </w:r>
      <w:r w:rsidR="0054589D" w:rsidRPr="00845FE8">
        <w:rPr>
          <w:rFonts w:eastAsiaTheme="majorEastAsia" w:cs="Arial"/>
          <w:szCs w:val="22"/>
        </w:rPr>
        <w:t>improv</w:t>
      </w:r>
      <w:r w:rsidR="003E0654" w:rsidRPr="00845FE8">
        <w:rPr>
          <w:rFonts w:eastAsiaTheme="majorEastAsia" w:cs="Arial"/>
          <w:szCs w:val="22"/>
        </w:rPr>
        <w:t>e</w:t>
      </w:r>
      <w:r w:rsidR="0054589D" w:rsidRPr="00845FE8">
        <w:rPr>
          <w:rFonts w:eastAsiaTheme="majorEastAsia" w:cs="Arial"/>
          <w:szCs w:val="22"/>
        </w:rPr>
        <w:t xml:space="preserve"> the design and administration of grants to the sector. The engagement and feedback sought from the community in implementing the </w:t>
      </w:r>
      <w:r w:rsidR="000F2098" w:rsidRPr="00845FE8">
        <w:rPr>
          <w:rFonts w:eastAsiaTheme="majorEastAsia" w:cs="Arial"/>
          <w:szCs w:val="22"/>
        </w:rPr>
        <w:t>g</w:t>
      </w:r>
      <w:r w:rsidR="0054589D" w:rsidRPr="00845FE8">
        <w:rPr>
          <w:rFonts w:eastAsiaTheme="majorEastAsia" w:cs="Arial"/>
          <w:szCs w:val="22"/>
        </w:rPr>
        <w:t xml:space="preserve">overnment's election commitment will be instrumental in shaping a stronger and more effective support system for Australian communities. </w:t>
      </w:r>
    </w:p>
    <w:p w14:paraId="0FC2657D" w14:textId="3EC0E8E8" w:rsidR="00B05BE8" w:rsidRPr="00437102" w:rsidRDefault="0054589D" w:rsidP="00845FE8">
      <w:pPr>
        <w:spacing w:before="240" w:line="276" w:lineRule="auto"/>
        <w:rPr>
          <w:rStyle w:val="bulletbold"/>
          <w:rFonts w:ascii="Helvetica" w:eastAsia="Times New Roman" w:hAnsi="Helvetica" w:cstheme="minorHAnsi"/>
          <w:spacing w:val="5"/>
          <w:sz w:val="24"/>
          <w:szCs w:val="24"/>
          <w:lang w:eastAsia="en-AU"/>
        </w:rPr>
      </w:pPr>
      <w:r w:rsidRPr="00845FE8">
        <w:rPr>
          <w:rFonts w:eastAsiaTheme="majorEastAsia" w:cs="Arial"/>
          <w:szCs w:val="22"/>
        </w:rPr>
        <w:t xml:space="preserve">Interested individuals and organisations are invited to provide written submissions to the </w:t>
      </w:r>
      <w:r w:rsidR="00C260E7" w:rsidRPr="00845FE8">
        <w:rPr>
          <w:rFonts w:eastAsiaTheme="majorEastAsia" w:cs="Arial"/>
          <w:szCs w:val="22"/>
        </w:rPr>
        <w:t>d</w:t>
      </w:r>
      <w:r w:rsidRPr="00845FE8">
        <w:rPr>
          <w:rFonts w:eastAsiaTheme="majorEastAsia" w:cs="Arial"/>
          <w:szCs w:val="22"/>
        </w:rPr>
        <w:t>epartment through</w:t>
      </w:r>
      <w:r w:rsidRPr="00437102">
        <w:rPr>
          <w:rFonts w:eastAsiaTheme="majorEastAsia" w:cstheme="minorHAnsi"/>
        </w:rPr>
        <w:t xml:space="preserve"> </w:t>
      </w:r>
      <w:hyperlink r:id="rId68" w:history="1">
        <w:r w:rsidR="009D29EC">
          <w:rPr>
            <w:rStyle w:val="Hyperlink"/>
          </w:rPr>
          <w:t>engage.dss.gov.au</w:t>
        </w:r>
      </w:hyperlink>
      <w:r w:rsidRPr="00F21392">
        <w:rPr>
          <w:rFonts w:cstheme="minorHAnsi"/>
          <w:spacing w:val="5"/>
          <w:lang w:eastAsia="en-AU"/>
        </w:rPr>
        <w:t xml:space="preserve"> </w:t>
      </w:r>
      <w:r w:rsidRPr="00F21392">
        <w:rPr>
          <w:rFonts w:eastAsiaTheme="majorEastAsia" w:cstheme="minorHAnsi"/>
        </w:rPr>
        <w:t xml:space="preserve">by </w:t>
      </w:r>
      <w:r w:rsidR="00FF5D8F">
        <w:rPr>
          <w:rFonts w:cstheme="minorHAnsi"/>
          <w:spacing w:val="5"/>
          <w:lang w:eastAsia="en-AU"/>
        </w:rPr>
        <w:t>7</w:t>
      </w:r>
      <w:r w:rsidR="008410AB" w:rsidRPr="00437102">
        <w:rPr>
          <w:rFonts w:cstheme="minorHAnsi"/>
          <w:spacing w:val="5"/>
          <w:lang w:eastAsia="en-AU"/>
        </w:rPr>
        <w:t xml:space="preserve"> </w:t>
      </w:r>
      <w:r w:rsidR="00FF5D8F">
        <w:rPr>
          <w:rFonts w:cstheme="minorHAnsi"/>
          <w:spacing w:val="5"/>
          <w:lang w:eastAsia="en-AU"/>
        </w:rPr>
        <w:t>November</w:t>
      </w:r>
      <w:r w:rsidRPr="00437102">
        <w:rPr>
          <w:rFonts w:cstheme="minorHAnsi"/>
          <w:spacing w:val="5"/>
          <w:lang w:eastAsia="en-AU"/>
        </w:rPr>
        <w:t xml:space="preserve"> 2023</w:t>
      </w:r>
      <w:r w:rsidRPr="00F21392">
        <w:rPr>
          <w:rFonts w:eastAsiaTheme="majorEastAsia" w:cstheme="minorHAnsi"/>
        </w:rPr>
        <w:t xml:space="preserve">. </w:t>
      </w:r>
      <w:r w:rsidRPr="00437102">
        <w:rPr>
          <w:rFonts w:eastAsiaTheme="majorEastAsia" w:cstheme="minorHAnsi"/>
        </w:rPr>
        <w:t xml:space="preserve">The closing </w:t>
      </w:r>
      <w:r w:rsidR="003E0654" w:rsidRPr="00437102">
        <w:rPr>
          <w:rFonts w:eastAsiaTheme="majorEastAsia" w:cstheme="minorHAnsi"/>
        </w:rPr>
        <w:t>time</w:t>
      </w:r>
      <w:r w:rsidRPr="00437102">
        <w:rPr>
          <w:rFonts w:eastAsiaTheme="majorEastAsia" w:cstheme="minorHAnsi"/>
        </w:rPr>
        <w:t xml:space="preserve"> for submissions is </w:t>
      </w:r>
      <w:r w:rsidR="008410AB" w:rsidRPr="00437102">
        <w:rPr>
          <w:rFonts w:cstheme="minorHAnsi"/>
          <w:spacing w:val="5"/>
          <w:lang w:eastAsia="en-AU"/>
        </w:rPr>
        <w:t>5pm</w:t>
      </w:r>
      <w:r w:rsidR="001B7AE0">
        <w:rPr>
          <w:rFonts w:cstheme="minorHAnsi"/>
          <w:spacing w:val="5"/>
          <w:lang w:eastAsia="en-AU"/>
        </w:rPr>
        <w:t> </w:t>
      </w:r>
      <w:r w:rsidR="00FF5D8F">
        <w:rPr>
          <w:rFonts w:cstheme="minorHAnsi"/>
          <w:spacing w:val="5"/>
          <w:lang w:eastAsia="en-AU"/>
        </w:rPr>
        <w:t>7</w:t>
      </w:r>
      <w:r w:rsidR="001B7AE0">
        <w:rPr>
          <w:rFonts w:cstheme="minorHAnsi"/>
          <w:spacing w:val="5"/>
          <w:lang w:eastAsia="en-AU"/>
        </w:rPr>
        <w:t> </w:t>
      </w:r>
      <w:r w:rsidR="00FF5D8F">
        <w:rPr>
          <w:rFonts w:cstheme="minorHAnsi"/>
          <w:spacing w:val="5"/>
          <w:lang w:eastAsia="en-AU"/>
        </w:rPr>
        <w:t>November</w:t>
      </w:r>
      <w:r w:rsidRPr="00437102">
        <w:rPr>
          <w:rFonts w:cstheme="minorHAnsi"/>
          <w:spacing w:val="5"/>
          <w:lang w:eastAsia="en-AU"/>
        </w:rPr>
        <w:t xml:space="preserve"> 2023 (AE</w:t>
      </w:r>
      <w:r w:rsidR="00C63F8E" w:rsidRPr="00437102">
        <w:rPr>
          <w:rFonts w:cstheme="minorHAnsi"/>
          <w:spacing w:val="5"/>
          <w:lang w:eastAsia="en-AU"/>
        </w:rPr>
        <w:t>D</w:t>
      </w:r>
      <w:r w:rsidRPr="00437102">
        <w:rPr>
          <w:rFonts w:cstheme="minorHAnsi"/>
          <w:spacing w:val="5"/>
          <w:lang w:eastAsia="en-AU"/>
        </w:rPr>
        <w:t xml:space="preserve">T). </w:t>
      </w:r>
    </w:p>
    <w:p w14:paraId="07434BA0" w14:textId="4FEB3BB2" w:rsidR="00B05BE8" w:rsidRDefault="00F558C4" w:rsidP="00845FE8">
      <w:pPr>
        <w:spacing w:before="240" w:line="276" w:lineRule="auto"/>
        <w:rPr>
          <w:rStyle w:val="Hyperlink"/>
          <w:rFonts w:cs="Arial"/>
          <w:spacing w:val="2"/>
          <w:szCs w:val="22"/>
        </w:rPr>
      </w:pPr>
      <w:r w:rsidRPr="00437102">
        <w:rPr>
          <w:rFonts w:cs="Arial"/>
          <w:szCs w:val="22"/>
        </w:rPr>
        <w:t xml:space="preserve">For more information on the consultation process and to make a submission visit the </w:t>
      </w:r>
      <w:r w:rsidR="00E917DD" w:rsidRPr="00437102">
        <w:rPr>
          <w:rFonts w:cs="Arial"/>
          <w:szCs w:val="22"/>
        </w:rPr>
        <w:t>d</w:t>
      </w:r>
      <w:r w:rsidRPr="00437102">
        <w:rPr>
          <w:rFonts w:cs="Arial"/>
          <w:szCs w:val="22"/>
        </w:rPr>
        <w:t>epartment</w:t>
      </w:r>
      <w:r w:rsidR="00E917DD" w:rsidRPr="00437102">
        <w:rPr>
          <w:rFonts w:cs="Arial"/>
          <w:szCs w:val="22"/>
        </w:rPr>
        <w:t>’s</w:t>
      </w:r>
      <w:r w:rsidRPr="00437102">
        <w:rPr>
          <w:rFonts w:cs="Arial"/>
          <w:szCs w:val="22"/>
        </w:rPr>
        <w:t xml:space="preserve"> Engage website. </w:t>
      </w:r>
      <w:r w:rsidR="0054589D" w:rsidRPr="00F21392">
        <w:rPr>
          <w:rFonts w:eastAsiaTheme="majorEastAsia" w:cs="Arial"/>
          <w:szCs w:val="22"/>
        </w:rPr>
        <w:t xml:space="preserve">Any questions about the </w:t>
      </w:r>
      <w:r w:rsidR="009F5851" w:rsidRPr="00F21392">
        <w:rPr>
          <w:rFonts w:eastAsiaTheme="majorEastAsia" w:cs="Arial"/>
          <w:szCs w:val="22"/>
        </w:rPr>
        <w:t xml:space="preserve">issues </w:t>
      </w:r>
      <w:r w:rsidR="001A6E6C" w:rsidRPr="00F21392">
        <w:rPr>
          <w:rFonts w:eastAsiaTheme="majorEastAsia" w:cs="Arial"/>
          <w:szCs w:val="22"/>
        </w:rPr>
        <w:t>p</w:t>
      </w:r>
      <w:r w:rsidR="0054589D" w:rsidRPr="00437102">
        <w:rPr>
          <w:rFonts w:eastAsiaTheme="majorEastAsia" w:cs="Arial"/>
          <w:szCs w:val="22"/>
        </w:rPr>
        <w:t>aper and supporting consultation process can be directed to</w:t>
      </w:r>
      <w:r w:rsidRPr="00437102">
        <w:rPr>
          <w:rFonts w:cs="Arial"/>
          <w:szCs w:val="22"/>
        </w:rPr>
        <w:t xml:space="preserve"> </w:t>
      </w:r>
      <w:hyperlink r:id="rId69" w:history="1">
        <w:r w:rsidR="00845FE8" w:rsidRPr="00127FEC">
          <w:rPr>
            <w:rStyle w:val="Hyperlink"/>
          </w:rPr>
          <w:t>CSAGSecretariat@dss.gov.au</w:t>
        </w:r>
      </w:hyperlink>
    </w:p>
    <w:p w14:paraId="231EF296" w14:textId="7235E12F" w:rsidR="0054589D" w:rsidRPr="00437102" w:rsidRDefault="0054589D" w:rsidP="00845FE8">
      <w:pPr>
        <w:spacing w:before="240" w:line="276" w:lineRule="auto"/>
        <w:rPr>
          <w:rStyle w:val="bulletbold"/>
          <w:rFonts w:cs="Arial"/>
          <w:color w:val="auto"/>
        </w:rPr>
      </w:pPr>
      <w:r w:rsidRPr="00437102">
        <w:rPr>
          <w:rStyle w:val="bulletbold"/>
          <w:rFonts w:cs="Arial"/>
          <w:color w:val="auto"/>
        </w:rPr>
        <w:t>For further informa</w:t>
      </w:r>
      <w:r w:rsidR="00721E60" w:rsidRPr="00437102">
        <w:rPr>
          <w:rStyle w:val="bulletbold"/>
          <w:rFonts w:cs="Arial"/>
          <w:color w:val="auto"/>
        </w:rPr>
        <w:t xml:space="preserve">tion on </w:t>
      </w:r>
      <w:r w:rsidR="009D29EC">
        <w:rPr>
          <w:rStyle w:val="bulletbold"/>
          <w:rFonts w:cs="Arial"/>
          <w:color w:val="auto"/>
        </w:rPr>
        <w:t>CSAG</w:t>
      </w:r>
      <w:r w:rsidRPr="00437102">
        <w:rPr>
          <w:rStyle w:val="bulletbold"/>
          <w:rFonts w:cs="Arial"/>
          <w:color w:val="auto"/>
        </w:rPr>
        <w:t xml:space="preserve"> and the Stronger, more diverse and independent community sector election commitment, please refer to </w:t>
      </w:r>
      <w:hyperlink r:id="rId70" w:history="1">
        <w:r w:rsidRPr="00B42B50">
          <w:rPr>
            <w:rStyle w:val="Hyperlink"/>
            <w:rFonts w:cs="Arial"/>
            <w:spacing w:val="2"/>
            <w:szCs w:val="22"/>
          </w:rPr>
          <w:t xml:space="preserve">the </w:t>
        </w:r>
        <w:r w:rsidR="00B42B50" w:rsidRPr="00B42B50">
          <w:rPr>
            <w:rStyle w:val="Hyperlink"/>
            <w:rFonts w:cs="Arial"/>
            <w:spacing w:val="2"/>
            <w:szCs w:val="22"/>
          </w:rPr>
          <w:t xml:space="preserve">Department of </w:t>
        </w:r>
        <w:r w:rsidRPr="00B42B50">
          <w:rPr>
            <w:rStyle w:val="Hyperlink"/>
            <w:rFonts w:cs="Arial"/>
            <w:spacing w:val="2"/>
            <w:szCs w:val="22"/>
          </w:rPr>
          <w:t>Social Services website</w:t>
        </w:r>
      </w:hyperlink>
      <w:r w:rsidR="00B05BE8" w:rsidRPr="00437102">
        <w:rPr>
          <w:rStyle w:val="bulletbold"/>
          <w:rFonts w:cs="Arial"/>
          <w:color w:val="auto"/>
        </w:rPr>
        <w:t>.</w:t>
      </w:r>
      <w:r w:rsidRPr="00437102">
        <w:rPr>
          <w:rStyle w:val="bulletbold"/>
          <w:rFonts w:cs="Arial"/>
          <w:color w:val="auto"/>
        </w:rPr>
        <w:t xml:space="preserve"> </w:t>
      </w:r>
    </w:p>
    <w:p w14:paraId="754D3496" w14:textId="77777777" w:rsidR="0054589D" w:rsidRPr="00363E61" w:rsidRDefault="0054589D" w:rsidP="0054589D">
      <w:pPr>
        <w:rPr>
          <w:rFonts w:cstheme="minorHAnsi"/>
        </w:rPr>
      </w:pPr>
    </w:p>
    <w:p w14:paraId="3F46AA97" w14:textId="77777777" w:rsidR="0054589D" w:rsidRPr="00057E03" w:rsidRDefault="0054589D" w:rsidP="00D27733">
      <w:pPr>
        <w:pStyle w:val="Heading2"/>
        <w:rPr>
          <w:rFonts w:asciiTheme="minorHAnsi" w:hAnsiTheme="minorHAnsi" w:cstheme="minorHAnsi"/>
          <w:sz w:val="22"/>
          <w:szCs w:val="22"/>
        </w:rPr>
        <w:sectPr w:rsidR="0054589D" w:rsidRPr="00057E03" w:rsidSect="003F6E8F">
          <w:pgSz w:w="11906" w:h="16838"/>
          <w:pgMar w:top="1132" w:right="968" w:bottom="807" w:left="1156" w:header="708" w:footer="708" w:gutter="0"/>
          <w:cols w:space="708"/>
          <w:docGrid w:linePitch="360"/>
        </w:sectPr>
      </w:pPr>
    </w:p>
    <w:p w14:paraId="3EB2CE81" w14:textId="5C788699" w:rsidR="00D27733" w:rsidRDefault="000B372D" w:rsidP="00D27733">
      <w:pPr>
        <w:pStyle w:val="Heading2"/>
      </w:pPr>
      <w:bookmarkStart w:id="34" w:name="_Toc141437662"/>
      <w:bookmarkStart w:id="35" w:name="_Toc144983248"/>
      <w:r>
        <w:lastRenderedPageBreak/>
        <w:t>Appendix A</w:t>
      </w:r>
      <w:r w:rsidR="00E10803">
        <w:t xml:space="preserve">: </w:t>
      </w:r>
      <w:r w:rsidR="00D27733">
        <w:t>Relevant strategies and resources</w:t>
      </w:r>
      <w:bookmarkEnd w:id="34"/>
      <w:bookmarkEnd w:id="35"/>
    </w:p>
    <w:p w14:paraId="2663533B" w14:textId="2DE307F0" w:rsidR="00B05BE8" w:rsidRPr="00437102" w:rsidRDefault="004D262C" w:rsidP="00437102">
      <w:pPr>
        <w:rPr>
          <w:rStyle w:val="Hyperlink"/>
          <w:rFonts w:cs="Arial"/>
          <w:b/>
          <w:szCs w:val="22"/>
        </w:rPr>
      </w:pPr>
      <w:hyperlink r:id="rId71" w:history="1">
        <w:r w:rsidR="00B05BE8" w:rsidRPr="00437102">
          <w:rPr>
            <w:rStyle w:val="Hyperlink"/>
            <w:rFonts w:cs="Arial"/>
            <w:b/>
            <w:szCs w:val="22"/>
          </w:rPr>
          <w:t>National Agreement to Closing the Gap</w:t>
        </w:r>
      </w:hyperlink>
      <w:r w:rsidR="00B05BE8" w:rsidRPr="00437102">
        <w:rPr>
          <w:rStyle w:val="Hyperlink"/>
          <w:rFonts w:cs="Arial"/>
          <w:b/>
          <w:szCs w:val="22"/>
        </w:rPr>
        <w:t xml:space="preserve"> </w:t>
      </w:r>
    </w:p>
    <w:p w14:paraId="1DE0C3E2" w14:textId="77777777" w:rsidR="00B05BE8" w:rsidRPr="00DF7432" w:rsidRDefault="00B05BE8" w:rsidP="00DF7432">
      <w:pPr>
        <w:spacing w:before="240" w:line="276" w:lineRule="auto"/>
        <w:rPr>
          <w:rFonts w:eastAsiaTheme="majorEastAsia" w:cs="Arial"/>
          <w:szCs w:val="22"/>
        </w:rPr>
      </w:pPr>
      <w:r w:rsidRPr="00DF7432">
        <w:rPr>
          <w:rFonts w:eastAsiaTheme="majorEastAsia" w:cs="Arial"/>
          <w:szCs w:val="22"/>
        </w:rPr>
        <w:t>The objective of the National Agreement on Closing the Gap (the National Agreement) is to enable Aboriginal and Torres Strait Islander people and governments to work together to overcome the inequality experienced by Aboriginal and Torres Strait Islander people, and achieve life outcomes equal to all Australians.</w:t>
      </w:r>
    </w:p>
    <w:p w14:paraId="52C76940" w14:textId="77777777" w:rsidR="00B05BE8" w:rsidRPr="00DF7432" w:rsidRDefault="00B05BE8" w:rsidP="00DF7432">
      <w:pPr>
        <w:spacing w:before="240" w:line="276" w:lineRule="auto"/>
        <w:rPr>
          <w:rFonts w:eastAsiaTheme="majorEastAsia" w:cs="Arial"/>
          <w:szCs w:val="22"/>
        </w:rPr>
      </w:pPr>
      <w:r w:rsidRPr="00DF7432">
        <w:rPr>
          <w:rFonts w:eastAsiaTheme="majorEastAsia" w:cs="Arial"/>
          <w:szCs w:val="22"/>
        </w:rPr>
        <w:t>For the first time, the National Agreement has been developed in genuine partnership between Australian governments and the Coalition of Aboriginal and Torres Strait Islander Peak Organisations (the Coalition of Peaks).</w:t>
      </w:r>
    </w:p>
    <w:p w14:paraId="79B43CB4" w14:textId="57FA8513" w:rsidR="00B05BE8" w:rsidRPr="00DF7432" w:rsidRDefault="00B05BE8" w:rsidP="00DF7432">
      <w:pPr>
        <w:spacing w:before="240" w:line="276" w:lineRule="auto"/>
        <w:rPr>
          <w:rFonts w:eastAsiaTheme="majorEastAsia" w:cs="Arial"/>
          <w:szCs w:val="22"/>
        </w:rPr>
      </w:pPr>
      <w:r w:rsidRPr="00DF7432">
        <w:rPr>
          <w:rFonts w:eastAsiaTheme="majorEastAsia" w:cs="Arial"/>
          <w:szCs w:val="22"/>
        </w:rPr>
        <w:t>The National Agreement, and its requirements, have been agreed by all governments. The 4 Priority Reforms outline how governments must transform the way they work with Aboriginal and Torres Strait Islander people, organisations and communities. This includes changes to the way we fund organisations, build capability, deliver in partnership and share regional level data with communities to add local decision making.</w:t>
      </w:r>
    </w:p>
    <w:p w14:paraId="40D003E4" w14:textId="5C3322C4" w:rsidR="00AA7A10" w:rsidRPr="00437102" w:rsidRDefault="00AA7A10" w:rsidP="00437102">
      <w:pPr>
        <w:rPr>
          <w:rFonts w:cs="Arial"/>
          <w:b/>
          <w:szCs w:val="22"/>
        </w:rPr>
      </w:pPr>
      <w:r w:rsidRPr="00437102">
        <w:rPr>
          <w:rFonts w:cs="Arial"/>
          <w:b/>
          <w:szCs w:val="22"/>
        </w:rPr>
        <w:t>Review of Philanthropy</w:t>
      </w:r>
    </w:p>
    <w:p w14:paraId="08520948" w14:textId="77777777" w:rsidR="00AA7A10" w:rsidRPr="00DF7432" w:rsidRDefault="00AA7A10" w:rsidP="00DF7432">
      <w:pPr>
        <w:spacing w:before="240" w:line="276" w:lineRule="auto"/>
        <w:rPr>
          <w:rFonts w:eastAsiaTheme="majorEastAsia" w:cs="Arial"/>
          <w:szCs w:val="22"/>
        </w:rPr>
      </w:pPr>
      <w:r w:rsidRPr="00DF7432">
        <w:rPr>
          <w:rFonts w:eastAsiaTheme="majorEastAsia" w:cs="Arial"/>
          <w:szCs w:val="22"/>
        </w:rPr>
        <w:t xml:space="preserve">The Australian Government has committed to working with the philanthropic, not-for-profit and business sectors to double philanthropic giving by 2030. It has asked the Productivity Commission to undertake an inquiry to analyse motivations for philanthropic giving in Australia and identify opportunities to grow it further. The broad tasks are to: </w:t>
      </w:r>
    </w:p>
    <w:p w14:paraId="4E3AD464" w14:textId="77777777" w:rsidR="00AA7A10" w:rsidRPr="00437102" w:rsidRDefault="00AA7A10" w:rsidP="00181F7A">
      <w:pPr>
        <w:numPr>
          <w:ilvl w:val="0"/>
          <w:numId w:val="5"/>
        </w:numPr>
        <w:contextualSpacing/>
        <w:rPr>
          <w:rFonts w:cs="Arial"/>
          <w:szCs w:val="22"/>
        </w:rPr>
      </w:pPr>
      <w:r w:rsidRPr="00437102">
        <w:rPr>
          <w:rFonts w:cs="Arial"/>
          <w:szCs w:val="22"/>
        </w:rPr>
        <w:t xml:space="preserve">analyse trends in philanthropic giving in Australia and the drivers of these trends </w:t>
      </w:r>
    </w:p>
    <w:p w14:paraId="08DC7BE9" w14:textId="77777777" w:rsidR="00066DBB" w:rsidRPr="00437102" w:rsidRDefault="00AA7A10" w:rsidP="00181F7A">
      <w:pPr>
        <w:numPr>
          <w:ilvl w:val="0"/>
          <w:numId w:val="5"/>
        </w:numPr>
        <w:contextualSpacing/>
        <w:rPr>
          <w:rFonts w:cs="Arial"/>
          <w:szCs w:val="22"/>
        </w:rPr>
      </w:pPr>
      <w:r w:rsidRPr="00437102">
        <w:rPr>
          <w:rFonts w:cs="Arial"/>
          <w:szCs w:val="22"/>
        </w:rPr>
        <w:t>identify opportunities for, and obstacles to, increasing philanthropic giving in Australia</w:t>
      </w:r>
    </w:p>
    <w:p w14:paraId="30C98DE0" w14:textId="519246C9" w:rsidR="00AA7A10" w:rsidRPr="00437102" w:rsidRDefault="00AA7A10" w:rsidP="00181F7A">
      <w:pPr>
        <w:numPr>
          <w:ilvl w:val="0"/>
          <w:numId w:val="5"/>
        </w:numPr>
        <w:contextualSpacing/>
        <w:rPr>
          <w:rFonts w:cs="Arial"/>
          <w:szCs w:val="22"/>
        </w:rPr>
      </w:pPr>
      <w:r w:rsidRPr="00437102">
        <w:rPr>
          <w:rFonts w:cs="Arial"/>
          <w:szCs w:val="22"/>
        </w:rPr>
        <w:t>recommend ways to respond to these opportunities and obstacles.</w:t>
      </w:r>
    </w:p>
    <w:p w14:paraId="73B268F4" w14:textId="7A796B77" w:rsidR="00066DBB" w:rsidRPr="00437102" w:rsidRDefault="00066DBB" w:rsidP="00437102">
      <w:pPr>
        <w:contextualSpacing/>
        <w:rPr>
          <w:rFonts w:cs="Arial"/>
          <w:szCs w:val="22"/>
        </w:rPr>
      </w:pPr>
    </w:p>
    <w:p w14:paraId="4129F097" w14:textId="5694ACA8" w:rsidR="00066DBB" w:rsidRPr="00437102" w:rsidRDefault="00066DBB" w:rsidP="00437102">
      <w:pPr>
        <w:rPr>
          <w:rFonts w:cs="Arial"/>
          <w:b/>
          <w:szCs w:val="22"/>
        </w:rPr>
      </w:pPr>
      <w:r w:rsidRPr="00437102">
        <w:rPr>
          <w:rFonts w:cs="Arial"/>
          <w:b/>
          <w:szCs w:val="22"/>
        </w:rPr>
        <w:t>The Not-For-Profit (NFP) Sector Blueprint</w:t>
      </w:r>
    </w:p>
    <w:p w14:paraId="0C005DA4" w14:textId="2A94B894" w:rsidR="00B05BE8" w:rsidRPr="00DF7432" w:rsidRDefault="00066DBB" w:rsidP="00DF7432">
      <w:pPr>
        <w:spacing w:before="240" w:line="276" w:lineRule="auto"/>
        <w:rPr>
          <w:rFonts w:eastAsiaTheme="majorEastAsia" w:cs="Arial"/>
          <w:szCs w:val="22"/>
        </w:rPr>
      </w:pPr>
      <w:r w:rsidRPr="00DF7432">
        <w:rPr>
          <w:rFonts w:eastAsiaTheme="majorEastAsia" w:cs="Arial"/>
          <w:szCs w:val="22"/>
        </w:rPr>
        <w:t>The Blueprint will be used to develop a suite of sector-led workable and effective options for reform to strengthen social capital and a vibrant sector. A stronger charities sector will contribute to stronger, more cohesive communities and lead to a more inclusive society.</w:t>
      </w:r>
    </w:p>
    <w:p w14:paraId="2679DDCF" w14:textId="1E99CF99" w:rsidR="00066DBB" w:rsidRPr="00437102" w:rsidRDefault="004D262C" w:rsidP="00437102">
      <w:pPr>
        <w:rPr>
          <w:rStyle w:val="Hyperlink"/>
          <w:rFonts w:cs="Arial"/>
          <w:b/>
          <w:szCs w:val="22"/>
        </w:rPr>
      </w:pPr>
      <w:hyperlink r:id="rId72" w:history="1">
        <w:r w:rsidR="00EF53C6">
          <w:rPr>
            <w:rStyle w:val="Hyperlink"/>
            <w:rFonts w:cs="Arial"/>
            <w:b/>
            <w:szCs w:val="22"/>
          </w:rPr>
          <w:t>National Strategy for Volunteering</w:t>
        </w:r>
      </w:hyperlink>
    </w:p>
    <w:p w14:paraId="0519BE09" w14:textId="77777777" w:rsidR="00066DBB" w:rsidRPr="00DF7432" w:rsidRDefault="00066DBB" w:rsidP="00DF7432">
      <w:pPr>
        <w:spacing w:before="240" w:line="276" w:lineRule="auto"/>
        <w:rPr>
          <w:rFonts w:eastAsiaTheme="majorEastAsia" w:cs="Arial"/>
          <w:szCs w:val="22"/>
        </w:rPr>
      </w:pPr>
      <w:r w:rsidRPr="00DF7432">
        <w:rPr>
          <w:rFonts w:eastAsiaTheme="majorEastAsia" w:cs="Arial"/>
          <w:szCs w:val="22"/>
        </w:rPr>
        <w:t>The National Strategy for Volunteering (2023–2033) is a 10-year blueprint for a reimagined future for volunteering in Australia. It is the first National Strategy for Volunteering in a decade, providing a strategic framework for enabling safe, supported, and sustainable volunteering.</w:t>
      </w:r>
    </w:p>
    <w:p w14:paraId="6EB9E968" w14:textId="5DD2D549" w:rsidR="00066DBB" w:rsidRPr="00DF7432" w:rsidRDefault="00066DBB" w:rsidP="00DF7432">
      <w:pPr>
        <w:spacing w:before="240" w:line="276" w:lineRule="auto"/>
        <w:rPr>
          <w:rFonts w:eastAsiaTheme="majorEastAsia" w:cs="Arial"/>
          <w:szCs w:val="22"/>
        </w:rPr>
      </w:pPr>
      <w:r w:rsidRPr="00DF7432">
        <w:rPr>
          <w:rFonts w:eastAsiaTheme="majorEastAsia" w:cs="Arial"/>
          <w:szCs w:val="22"/>
        </w:rPr>
        <w:t>The purpose of the National Strategy for Volunteering is to provide guideposts to a better future for volunteering. It highlights activities and approaches that are currently working and should be preserved, as well as opportunities for improvement and change. The National Strategy for Volunteering identifies an ambitious yet achievable future state for volunteering where individual and collective potential is harnessed for the common good.</w:t>
      </w:r>
    </w:p>
    <w:p w14:paraId="7C4D4308" w14:textId="62830842" w:rsidR="00066DBB" w:rsidRPr="00C76D0F" w:rsidRDefault="004D262C" w:rsidP="00437102">
      <w:pPr>
        <w:rPr>
          <w:rStyle w:val="Hyperlink"/>
        </w:rPr>
      </w:pPr>
      <w:hyperlink r:id="rId73" w:history="1">
        <w:r w:rsidR="00DD4814" w:rsidRPr="00DD4814">
          <w:rPr>
            <w:rStyle w:val="Hyperlink"/>
            <w:rFonts w:cs="Arial"/>
            <w:b/>
            <w:szCs w:val="22"/>
          </w:rPr>
          <w:t>Australia’s Disability Strategy 2021-2031</w:t>
        </w:r>
      </w:hyperlink>
    </w:p>
    <w:p w14:paraId="6339D558" w14:textId="62A84DCF" w:rsidR="00066DBB" w:rsidRPr="00DF7432" w:rsidRDefault="00066DBB" w:rsidP="00DF7432">
      <w:pPr>
        <w:spacing w:before="240" w:line="276" w:lineRule="auto"/>
        <w:rPr>
          <w:rFonts w:eastAsiaTheme="majorEastAsia" w:cs="Arial"/>
          <w:szCs w:val="22"/>
        </w:rPr>
      </w:pPr>
      <w:r w:rsidRPr="00DF7432">
        <w:rPr>
          <w:rFonts w:eastAsiaTheme="majorEastAsia" w:cs="Arial"/>
          <w:szCs w:val="22"/>
        </w:rPr>
        <w:t>Australia’s Disability Strategy 2021-2031 outlines a vision for a</w:t>
      </w:r>
      <w:r w:rsidR="00DD4814" w:rsidRPr="00DF7432">
        <w:rPr>
          <w:rFonts w:eastAsiaTheme="majorEastAsia" w:cs="Arial"/>
          <w:szCs w:val="22"/>
        </w:rPr>
        <w:t>n</w:t>
      </w:r>
      <w:r w:rsidRPr="00DF7432">
        <w:rPr>
          <w:rFonts w:eastAsiaTheme="majorEastAsia" w:cs="Arial"/>
          <w:szCs w:val="22"/>
        </w:rPr>
        <w:t xml:space="preserve"> inclusive Australian society </w:t>
      </w:r>
      <w:r w:rsidR="00DD4814" w:rsidRPr="00DF7432">
        <w:rPr>
          <w:rFonts w:eastAsiaTheme="majorEastAsia" w:cs="Arial"/>
          <w:szCs w:val="22"/>
        </w:rPr>
        <w:t>that ensures</w:t>
      </w:r>
      <w:r w:rsidRPr="00DF7432">
        <w:rPr>
          <w:rFonts w:eastAsiaTheme="majorEastAsia" w:cs="Arial"/>
          <w:szCs w:val="22"/>
        </w:rPr>
        <w:t xml:space="preserve"> people with disability can fulfil their potential</w:t>
      </w:r>
      <w:r w:rsidR="00DD4814" w:rsidRPr="00DF7432">
        <w:rPr>
          <w:rFonts w:eastAsiaTheme="majorEastAsia" w:cs="Arial"/>
          <w:szCs w:val="22"/>
        </w:rPr>
        <w:t>,</w:t>
      </w:r>
      <w:r w:rsidRPr="00DF7432">
        <w:rPr>
          <w:rFonts w:eastAsiaTheme="majorEastAsia" w:cs="Arial"/>
          <w:szCs w:val="22"/>
        </w:rPr>
        <w:t xml:space="preserve"> as equal members of the community. Its purpose is to: </w:t>
      </w:r>
    </w:p>
    <w:p w14:paraId="3CBA6C75" w14:textId="77777777" w:rsidR="00066DBB" w:rsidRPr="00437102" w:rsidRDefault="00066DBB" w:rsidP="00181F7A">
      <w:pPr>
        <w:numPr>
          <w:ilvl w:val="0"/>
          <w:numId w:val="6"/>
        </w:numPr>
        <w:contextualSpacing/>
        <w:rPr>
          <w:rFonts w:cs="Arial"/>
          <w:szCs w:val="22"/>
        </w:rPr>
      </w:pPr>
      <w:r w:rsidRPr="00437102">
        <w:rPr>
          <w:rFonts w:cs="Arial"/>
          <w:szCs w:val="22"/>
        </w:rPr>
        <w:t xml:space="preserve">provide national leadership towards greater inclusion of people with disability </w:t>
      </w:r>
    </w:p>
    <w:p w14:paraId="56DF9606" w14:textId="77777777" w:rsidR="00066DBB" w:rsidRPr="00437102" w:rsidRDefault="00066DBB" w:rsidP="00181F7A">
      <w:pPr>
        <w:numPr>
          <w:ilvl w:val="0"/>
          <w:numId w:val="6"/>
        </w:numPr>
        <w:contextualSpacing/>
        <w:rPr>
          <w:rFonts w:cs="Arial"/>
          <w:szCs w:val="22"/>
        </w:rPr>
      </w:pPr>
      <w:r w:rsidRPr="00437102">
        <w:rPr>
          <w:rFonts w:cs="Arial"/>
          <w:szCs w:val="22"/>
        </w:rPr>
        <w:lastRenderedPageBreak/>
        <w:t xml:space="preserve">guide activity across all areas of public policy to be inclusive and responsive to people with disability </w:t>
      </w:r>
    </w:p>
    <w:p w14:paraId="6009FC60" w14:textId="77777777" w:rsidR="00066DBB" w:rsidRPr="00437102" w:rsidRDefault="00066DBB" w:rsidP="00181F7A">
      <w:pPr>
        <w:numPr>
          <w:ilvl w:val="0"/>
          <w:numId w:val="6"/>
        </w:numPr>
        <w:contextualSpacing/>
        <w:rPr>
          <w:rFonts w:cs="Arial"/>
          <w:szCs w:val="22"/>
          <w:lang w:eastAsia="en-AU"/>
        </w:rPr>
      </w:pPr>
      <w:r w:rsidRPr="00437102">
        <w:rPr>
          <w:rFonts w:cs="Arial"/>
          <w:szCs w:val="22"/>
        </w:rPr>
        <w:t xml:space="preserve">drive mainstream services and systems to improve outcomes for people with disability </w:t>
      </w:r>
    </w:p>
    <w:p w14:paraId="2A11C98C" w14:textId="541F9A9A" w:rsidR="00066DBB" w:rsidRPr="00437102" w:rsidRDefault="00066DBB" w:rsidP="00181F7A">
      <w:pPr>
        <w:numPr>
          <w:ilvl w:val="0"/>
          <w:numId w:val="6"/>
        </w:numPr>
        <w:contextualSpacing/>
        <w:rPr>
          <w:rFonts w:cs="Arial"/>
          <w:szCs w:val="22"/>
          <w:lang w:eastAsia="en-AU"/>
        </w:rPr>
      </w:pPr>
      <w:r w:rsidRPr="00437102">
        <w:rPr>
          <w:rFonts w:cs="Arial"/>
          <w:szCs w:val="22"/>
        </w:rPr>
        <w:t>engage, inform and involve the whole community in achieving a more inclusive society.</w:t>
      </w:r>
    </w:p>
    <w:p w14:paraId="5B7AF417" w14:textId="464EAAEA" w:rsidR="00066DBB" w:rsidRPr="00437102" w:rsidRDefault="00066DBB" w:rsidP="00437102">
      <w:pPr>
        <w:contextualSpacing/>
        <w:rPr>
          <w:rFonts w:cs="Arial"/>
          <w:szCs w:val="22"/>
        </w:rPr>
      </w:pPr>
    </w:p>
    <w:p w14:paraId="52FFA4D4" w14:textId="5DF25D21" w:rsidR="00066DBB" w:rsidRPr="007C2F14" w:rsidRDefault="004D262C" w:rsidP="007C2F14">
      <w:pPr>
        <w:keepNext/>
        <w:shd w:val="clear" w:color="auto" w:fill="FFFFFF"/>
        <w:spacing w:before="100" w:beforeAutospacing="1"/>
        <w:rPr>
          <w:rStyle w:val="Hyperlink"/>
        </w:rPr>
      </w:pPr>
      <w:hyperlink r:id="rId74" w:history="1">
        <w:r w:rsidR="00066DBB" w:rsidRPr="00437102">
          <w:rPr>
            <w:rStyle w:val="Hyperlink"/>
            <w:rFonts w:cs="Arial"/>
            <w:b/>
            <w:szCs w:val="22"/>
          </w:rPr>
          <w:t>National Strategy for the Care and Support Economy</w:t>
        </w:r>
      </w:hyperlink>
    </w:p>
    <w:p w14:paraId="1C8DDA33" w14:textId="5287CB84" w:rsidR="00066DBB" w:rsidRPr="00DF7432" w:rsidRDefault="00066DBB" w:rsidP="00DF7432">
      <w:pPr>
        <w:spacing w:before="240" w:line="276" w:lineRule="auto"/>
        <w:rPr>
          <w:rFonts w:eastAsiaTheme="majorEastAsia" w:cs="Arial"/>
          <w:szCs w:val="22"/>
        </w:rPr>
      </w:pPr>
      <w:r w:rsidRPr="00DF7432">
        <w:rPr>
          <w:rFonts w:eastAsiaTheme="majorEastAsia" w:cs="Arial"/>
          <w:szCs w:val="22"/>
        </w:rPr>
        <w:t xml:space="preserve">The National Strategy for the Care and Support Economy sets a road map of actions to a sustainable and productive care and support economy that delivers quality care with decent jobs. It has 3 goals: </w:t>
      </w:r>
    </w:p>
    <w:p w14:paraId="08F8A4E8" w14:textId="77777777" w:rsidR="00066DBB" w:rsidRPr="00437102" w:rsidRDefault="00066DBB" w:rsidP="007C2F14">
      <w:pPr>
        <w:pStyle w:val="ListParagraph"/>
        <w:numPr>
          <w:ilvl w:val="0"/>
          <w:numId w:val="7"/>
        </w:numPr>
        <w:spacing w:after="0"/>
        <w:ind w:left="714" w:hanging="357"/>
        <w:rPr>
          <w:rFonts w:cs="Arial"/>
          <w:szCs w:val="22"/>
        </w:rPr>
      </w:pPr>
      <w:r w:rsidRPr="00437102">
        <w:rPr>
          <w:rFonts w:cs="Arial"/>
          <w:szCs w:val="22"/>
        </w:rPr>
        <w:t>Quality care and support, so people have access to the care and support they need.</w:t>
      </w:r>
    </w:p>
    <w:p w14:paraId="7BF405C0" w14:textId="77777777" w:rsidR="00066DBB" w:rsidRPr="00437102" w:rsidRDefault="00066DBB" w:rsidP="00181F7A">
      <w:pPr>
        <w:numPr>
          <w:ilvl w:val="0"/>
          <w:numId w:val="7"/>
        </w:numPr>
        <w:shd w:val="clear" w:color="auto" w:fill="FFFFFF"/>
        <w:spacing w:before="100" w:beforeAutospacing="1" w:after="100" w:afterAutospacing="1"/>
        <w:contextualSpacing/>
        <w:rPr>
          <w:rFonts w:cs="Arial"/>
          <w:szCs w:val="22"/>
          <w:lang w:eastAsia="en-AU"/>
        </w:rPr>
      </w:pPr>
      <w:r w:rsidRPr="00437102">
        <w:rPr>
          <w:rFonts w:cs="Arial"/>
          <w:szCs w:val="22"/>
        </w:rPr>
        <w:t>Decent jobs, with pay and conditions reflect the value of care and support work and workplaces that are safe and allow for career progression.</w:t>
      </w:r>
    </w:p>
    <w:p w14:paraId="2F1388AA" w14:textId="1D404D77" w:rsidR="00066DBB" w:rsidRPr="00437102" w:rsidRDefault="00066DBB" w:rsidP="00181F7A">
      <w:pPr>
        <w:numPr>
          <w:ilvl w:val="0"/>
          <w:numId w:val="7"/>
        </w:numPr>
        <w:shd w:val="clear" w:color="auto" w:fill="FFFFFF"/>
        <w:spacing w:before="100" w:beforeAutospacing="1" w:after="100" w:afterAutospacing="1"/>
        <w:ind w:left="714" w:hanging="357"/>
        <w:rPr>
          <w:rFonts w:cs="Arial"/>
          <w:szCs w:val="22"/>
          <w:lang w:eastAsia="en-AU"/>
        </w:rPr>
      </w:pPr>
      <w:r w:rsidRPr="00437102">
        <w:rPr>
          <w:rFonts w:cs="Arial"/>
          <w:szCs w:val="22"/>
        </w:rPr>
        <w:t>Productive and sustainable, with sustainable funding models.</w:t>
      </w:r>
    </w:p>
    <w:p w14:paraId="1507C906" w14:textId="3FF0D4DA" w:rsidR="00066DBB" w:rsidRPr="00437102" w:rsidRDefault="004D262C" w:rsidP="00437102">
      <w:pPr>
        <w:shd w:val="clear" w:color="auto" w:fill="FFFFFF"/>
        <w:spacing w:before="100" w:beforeAutospacing="1"/>
        <w:rPr>
          <w:rFonts w:cs="Arial"/>
          <w:b/>
          <w:szCs w:val="22"/>
        </w:rPr>
      </w:pPr>
      <w:hyperlink r:id="rId75" w:history="1">
        <w:r w:rsidR="00066DBB" w:rsidRPr="00437102">
          <w:rPr>
            <w:rStyle w:val="Hyperlink"/>
            <w:rFonts w:cs="Arial"/>
            <w:b/>
            <w:szCs w:val="22"/>
          </w:rPr>
          <w:t>Targeting Entrenched Disadvantage Package</w:t>
        </w:r>
      </w:hyperlink>
    </w:p>
    <w:p w14:paraId="4B3E68F1" w14:textId="3C290771" w:rsidR="00066DBB" w:rsidRPr="00DF7432" w:rsidRDefault="00066DBB" w:rsidP="00DF7432">
      <w:pPr>
        <w:spacing w:before="240" w:line="276" w:lineRule="auto"/>
        <w:rPr>
          <w:rFonts w:eastAsiaTheme="majorEastAsia" w:cs="Arial"/>
          <w:szCs w:val="22"/>
        </w:rPr>
      </w:pPr>
      <w:r w:rsidRPr="00DF7432">
        <w:rPr>
          <w:rFonts w:eastAsiaTheme="majorEastAsia" w:cs="Arial"/>
          <w:szCs w:val="22"/>
        </w:rPr>
        <w:t xml:space="preserve">The 2023–24 Budget will deliver a $199.8 million package to target entrenched community disadvantage. This package has a strong focus on intergenerational disadvantage and improving child and family wellbeing. This investment will deliver: </w:t>
      </w:r>
    </w:p>
    <w:p w14:paraId="344CB80C" w14:textId="5AEF808A" w:rsidR="00066DBB" w:rsidRPr="00437102" w:rsidRDefault="00066DBB" w:rsidP="00181F7A">
      <w:pPr>
        <w:numPr>
          <w:ilvl w:val="0"/>
          <w:numId w:val="8"/>
        </w:numPr>
        <w:contextualSpacing/>
        <w:rPr>
          <w:rFonts w:cs="Arial"/>
          <w:szCs w:val="22"/>
        </w:rPr>
      </w:pPr>
      <w:r w:rsidRPr="00437102">
        <w:rPr>
          <w:rFonts w:cs="Arial"/>
          <w:szCs w:val="22"/>
        </w:rPr>
        <w:t>investment dialogue on Australia’s children - A new strategy to partner with philanthropy through the Investment Dialogue on Australia’s Children— enabling the government to coordinate efforts and direct funding where it’s needed most</w:t>
      </w:r>
    </w:p>
    <w:p w14:paraId="7E3D7DAC" w14:textId="58E47B62" w:rsidR="00066DBB" w:rsidRPr="00437102" w:rsidRDefault="00066DBB" w:rsidP="00181F7A">
      <w:pPr>
        <w:numPr>
          <w:ilvl w:val="0"/>
          <w:numId w:val="8"/>
        </w:numPr>
        <w:contextualSpacing/>
        <w:rPr>
          <w:rFonts w:cs="Arial"/>
          <w:szCs w:val="22"/>
        </w:rPr>
      </w:pPr>
      <w:r w:rsidRPr="00437102">
        <w:rPr>
          <w:rFonts w:cs="Arial"/>
          <w:szCs w:val="22"/>
        </w:rPr>
        <w:t>$7.8 million for a whole of government Framework to Address Community Disadvantage</w:t>
      </w:r>
    </w:p>
    <w:p w14:paraId="180B1D1B" w14:textId="7DD768F1" w:rsidR="00066DBB" w:rsidRPr="00437102" w:rsidRDefault="00066DBB" w:rsidP="00181F7A">
      <w:pPr>
        <w:numPr>
          <w:ilvl w:val="0"/>
          <w:numId w:val="8"/>
        </w:numPr>
        <w:contextualSpacing/>
        <w:rPr>
          <w:rFonts w:cs="Arial"/>
          <w:szCs w:val="22"/>
        </w:rPr>
      </w:pPr>
      <w:r w:rsidRPr="00437102">
        <w:rPr>
          <w:rFonts w:cs="Arial"/>
          <w:szCs w:val="22"/>
        </w:rPr>
        <w:t>$64 million for place-based partnerships, to extend the Stronger Plac</w:t>
      </w:r>
      <w:r w:rsidR="00E10803" w:rsidRPr="00437102">
        <w:rPr>
          <w:rFonts w:cs="Arial"/>
          <w:szCs w:val="22"/>
        </w:rPr>
        <w:t>es, Stronger People initiative</w:t>
      </w:r>
    </w:p>
    <w:p w14:paraId="7D6864C1" w14:textId="13CA26DD" w:rsidR="00066DBB" w:rsidRPr="00437102" w:rsidRDefault="00066DBB" w:rsidP="00181F7A">
      <w:pPr>
        <w:numPr>
          <w:ilvl w:val="0"/>
          <w:numId w:val="8"/>
        </w:numPr>
        <w:contextualSpacing/>
        <w:rPr>
          <w:rFonts w:cs="Arial"/>
          <w:szCs w:val="22"/>
        </w:rPr>
      </w:pPr>
      <w:r w:rsidRPr="00437102">
        <w:rPr>
          <w:rFonts w:cs="Arial"/>
          <w:szCs w:val="22"/>
        </w:rPr>
        <w:t xml:space="preserve">$16.4 million for a Life Course Data Initiative that will capture data insights to improve our understanding of how communities experience disadvantage, including through longitudinal data </w:t>
      </w:r>
    </w:p>
    <w:p w14:paraId="4B3DF97C" w14:textId="110CE16A" w:rsidR="00066DBB" w:rsidRPr="00437102" w:rsidRDefault="00E10803" w:rsidP="00181F7A">
      <w:pPr>
        <w:numPr>
          <w:ilvl w:val="0"/>
          <w:numId w:val="8"/>
        </w:numPr>
        <w:shd w:val="clear" w:color="auto" w:fill="FFFFFF"/>
        <w:spacing w:before="100" w:beforeAutospacing="1" w:after="100" w:afterAutospacing="1"/>
        <w:contextualSpacing/>
        <w:rPr>
          <w:rFonts w:cs="Arial"/>
          <w:szCs w:val="22"/>
          <w:lang w:eastAsia="en-AU"/>
        </w:rPr>
      </w:pPr>
      <w:r w:rsidRPr="00437102">
        <w:rPr>
          <w:rFonts w:cs="Arial"/>
          <w:szCs w:val="22"/>
        </w:rPr>
        <w:t>a</w:t>
      </w:r>
      <w:r w:rsidR="00066DBB" w:rsidRPr="00437102">
        <w:rPr>
          <w:rFonts w:cs="Arial"/>
          <w:szCs w:val="22"/>
        </w:rPr>
        <w:t xml:space="preserve"> new $100 million Outcomes Fund which will see the Commonwealth partner with states, territories and social enterprises to tackle disadvantage by funding projects that d</w:t>
      </w:r>
      <w:r w:rsidRPr="00437102">
        <w:rPr>
          <w:rFonts w:cs="Arial"/>
          <w:szCs w:val="22"/>
        </w:rPr>
        <w:t>eliver outcomes in communities</w:t>
      </w:r>
    </w:p>
    <w:p w14:paraId="15228EE2" w14:textId="26F74915" w:rsidR="00066DBB" w:rsidRPr="00437102" w:rsidRDefault="00066DBB" w:rsidP="00181F7A">
      <w:pPr>
        <w:numPr>
          <w:ilvl w:val="0"/>
          <w:numId w:val="8"/>
        </w:numPr>
        <w:shd w:val="clear" w:color="auto" w:fill="FFFFFF"/>
        <w:spacing w:before="100" w:beforeAutospacing="1" w:after="100" w:afterAutospacing="1"/>
        <w:ind w:left="714" w:hanging="357"/>
        <w:rPr>
          <w:rFonts w:cs="Arial"/>
          <w:szCs w:val="22"/>
          <w:lang w:eastAsia="en-AU"/>
        </w:rPr>
      </w:pPr>
      <w:r w:rsidRPr="00437102">
        <w:rPr>
          <w:rFonts w:cs="Arial"/>
          <w:szCs w:val="22"/>
        </w:rPr>
        <w:t>$11.6 million will fund a Social Enterprise Development Initiative to support ‘for purpose’ organisations such as social enterprises and charities to build their capability to access capital and support improved social outcomes</w:t>
      </w:r>
      <w:r w:rsidR="00E10803" w:rsidRPr="00437102">
        <w:rPr>
          <w:rFonts w:cs="Arial"/>
          <w:szCs w:val="22"/>
        </w:rPr>
        <w:t>.</w:t>
      </w:r>
    </w:p>
    <w:p w14:paraId="77BB618C" w14:textId="10064E1E" w:rsidR="00E10803" w:rsidRPr="00437102" w:rsidRDefault="00E10803" w:rsidP="000E33AF">
      <w:pPr>
        <w:shd w:val="clear" w:color="auto" w:fill="FFFFFF"/>
        <w:spacing w:before="100" w:beforeAutospacing="1"/>
        <w:rPr>
          <w:rFonts w:cs="Arial"/>
          <w:b/>
          <w:szCs w:val="22"/>
        </w:rPr>
      </w:pPr>
      <w:r w:rsidRPr="00437102">
        <w:rPr>
          <w:rFonts w:cs="Arial"/>
          <w:b/>
          <w:szCs w:val="22"/>
        </w:rPr>
        <w:t>Early Years Strategy</w:t>
      </w:r>
    </w:p>
    <w:p w14:paraId="67FCFD49"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Australian Government is developing an Early Years Strategy (the Strategy) to shape its vision for the future of Australia’s children and their families.</w:t>
      </w:r>
    </w:p>
    <w:p w14:paraId="6F8DC57D" w14:textId="05A7F22A"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Recognising how critical the early years are for children’s development and continued success over their lifetime, the strategy will aim to deliver the best possible outcomes for Australian children.</w:t>
      </w:r>
    </w:p>
    <w:p w14:paraId="5CEF92B6" w14:textId="7E5068C4"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strategy will help the Australian Government create a more integrated, holistic approach to the early years and better support the education, wellbeing and development of Australia’s children. It will seek to support improved coordination between programs, funding and frameworks impacting early childhood development.</w:t>
      </w:r>
    </w:p>
    <w:p w14:paraId="466289E0" w14:textId="04D14D95" w:rsidR="00E10803" w:rsidRPr="00437102" w:rsidRDefault="00E10803" w:rsidP="00DF7432">
      <w:pPr>
        <w:keepNext/>
        <w:shd w:val="clear" w:color="auto" w:fill="FFFFFF"/>
        <w:spacing w:before="100" w:beforeAutospacing="1"/>
        <w:rPr>
          <w:rFonts w:cs="Arial"/>
          <w:b/>
          <w:szCs w:val="22"/>
        </w:rPr>
      </w:pPr>
      <w:r w:rsidRPr="00437102">
        <w:rPr>
          <w:rFonts w:cs="Arial"/>
          <w:b/>
          <w:szCs w:val="22"/>
        </w:rPr>
        <w:lastRenderedPageBreak/>
        <w:t>National Housing and Homelessness Plan</w:t>
      </w:r>
    </w:p>
    <w:p w14:paraId="6FF40F4D" w14:textId="082D628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Australian Government is developing a National Housing and Homelessness Plan (the Plan) to help more Australians access safe and affordable housing. The plan will be a 10-year strategy. It will set out a shared vision to inform future housing and homelessness policy in Australia.</w:t>
      </w:r>
    </w:p>
    <w:p w14:paraId="00FC01C0" w14:textId="56D35321"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plan is an opportunity to better unite governments, unions, not-for-profits, industry bodies, superannuation funds and other experts in housing, finance and urban development in achieving better housing and homelessness outcomes across the country.</w:t>
      </w:r>
    </w:p>
    <w:p w14:paraId="6C9A0566" w14:textId="1D6A8FA3"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plan will draw on insights from the public, including those with lived experience of housing stress or homelessness.</w:t>
      </w:r>
    </w:p>
    <w:p w14:paraId="1C151C16" w14:textId="77777777" w:rsidR="00E10803" w:rsidRPr="00437102" w:rsidRDefault="00E10803" w:rsidP="000E33AF">
      <w:pPr>
        <w:shd w:val="clear" w:color="auto" w:fill="FFFFFF"/>
        <w:spacing w:before="100" w:beforeAutospacing="1" w:after="100" w:afterAutospacing="1"/>
        <w:contextualSpacing/>
        <w:rPr>
          <w:rFonts w:cs="Arial"/>
          <w:b/>
          <w:szCs w:val="22"/>
        </w:rPr>
      </w:pPr>
    </w:p>
    <w:p w14:paraId="3FEFA600" w14:textId="7EB8BE7F" w:rsidR="00E10803" w:rsidRPr="00437102" w:rsidRDefault="00E10803" w:rsidP="007C2F14">
      <w:pPr>
        <w:keepNext/>
        <w:shd w:val="clear" w:color="auto" w:fill="FFFFFF"/>
        <w:spacing w:before="100" w:beforeAutospacing="1"/>
        <w:rPr>
          <w:rFonts w:cs="Arial"/>
          <w:b/>
          <w:szCs w:val="22"/>
        </w:rPr>
      </w:pPr>
      <w:r w:rsidRPr="00437102">
        <w:rPr>
          <w:rFonts w:cs="Arial"/>
          <w:b/>
          <w:szCs w:val="22"/>
        </w:rPr>
        <w:t>Multicultural Framework Review </w:t>
      </w:r>
    </w:p>
    <w:p w14:paraId="0A0A62F3"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Review will assess and make recommendations on the institutional arrangements and policy settings required to advance a multicultural Australia and meet the current and future needs of multicultural Australia at the Commonwealth level.</w:t>
      </w:r>
    </w:p>
    <w:p w14:paraId="4B82BDE6"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Review will consider:</w:t>
      </w:r>
    </w:p>
    <w:p w14:paraId="71BBEE2D" w14:textId="77777777" w:rsidR="00E10803" w:rsidRPr="00437102" w:rsidRDefault="00E10803" w:rsidP="00181F7A">
      <w:pPr>
        <w:numPr>
          <w:ilvl w:val="0"/>
          <w:numId w:val="9"/>
        </w:numPr>
        <w:autoSpaceDE w:val="0"/>
        <w:autoSpaceDN w:val="0"/>
        <w:adjustRightInd w:val="0"/>
        <w:contextualSpacing/>
        <w:rPr>
          <w:rFonts w:cs="Arial"/>
          <w:color w:val="000000"/>
          <w:szCs w:val="22"/>
        </w:rPr>
      </w:pPr>
      <w:r w:rsidRPr="00437102">
        <w:rPr>
          <w:rFonts w:cs="Arial"/>
          <w:color w:val="000000"/>
          <w:szCs w:val="22"/>
        </w:rPr>
        <w:t>the effectiveness of existing federal:</w:t>
      </w:r>
    </w:p>
    <w:p w14:paraId="51AD3B71" w14:textId="77777777" w:rsidR="00E10803" w:rsidRPr="00437102" w:rsidRDefault="00E10803" w:rsidP="00181F7A">
      <w:pPr>
        <w:numPr>
          <w:ilvl w:val="1"/>
          <w:numId w:val="9"/>
        </w:numPr>
        <w:autoSpaceDE w:val="0"/>
        <w:autoSpaceDN w:val="0"/>
        <w:adjustRightInd w:val="0"/>
        <w:contextualSpacing/>
        <w:rPr>
          <w:rFonts w:cs="Arial"/>
          <w:color w:val="000000"/>
          <w:szCs w:val="22"/>
        </w:rPr>
      </w:pPr>
      <w:r w:rsidRPr="00437102">
        <w:rPr>
          <w:rFonts w:cs="Arial"/>
          <w:color w:val="000000"/>
          <w:szCs w:val="22"/>
        </w:rPr>
        <w:t>legislative and regulatory frameworks</w:t>
      </w:r>
    </w:p>
    <w:p w14:paraId="7DCE4B11" w14:textId="77777777" w:rsidR="00E10803" w:rsidRPr="00437102" w:rsidRDefault="00E10803" w:rsidP="00181F7A">
      <w:pPr>
        <w:numPr>
          <w:ilvl w:val="1"/>
          <w:numId w:val="9"/>
        </w:numPr>
        <w:autoSpaceDE w:val="0"/>
        <w:autoSpaceDN w:val="0"/>
        <w:adjustRightInd w:val="0"/>
        <w:contextualSpacing/>
        <w:rPr>
          <w:rFonts w:cs="Arial"/>
          <w:color w:val="000000"/>
          <w:szCs w:val="22"/>
        </w:rPr>
      </w:pPr>
      <w:r w:rsidRPr="00437102">
        <w:rPr>
          <w:rFonts w:cs="Arial"/>
          <w:color w:val="000000"/>
          <w:szCs w:val="22"/>
        </w:rPr>
        <w:t>policy settings and programs</w:t>
      </w:r>
    </w:p>
    <w:p w14:paraId="6E22D664" w14:textId="77777777" w:rsidR="00E10803" w:rsidRPr="00437102" w:rsidRDefault="00E10803" w:rsidP="00181F7A">
      <w:pPr>
        <w:numPr>
          <w:ilvl w:val="1"/>
          <w:numId w:val="9"/>
        </w:numPr>
        <w:autoSpaceDE w:val="0"/>
        <w:autoSpaceDN w:val="0"/>
        <w:adjustRightInd w:val="0"/>
        <w:contextualSpacing/>
        <w:rPr>
          <w:rFonts w:cs="Arial"/>
          <w:color w:val="000000"/>
          <w:szCs w:val="22"/>
        </w:rPr>
      </w:pPr>
      <w:r w:rsidRPr="00437102">
        <w:rPr>
          <w:rFonts w:cs="Arial"/>
          <w:color w:val="000000"/>
          <w:szCs w:val="22"/>
        </w:rPr>
        <w:t>interactions with communities</w:t>
      </w:r>
    </w:p>
    <w:p w14:paraId="4987A70C" w14:textId="77777777" w:rsidR="00E10803" w:rsidRPr="00437102" w:rsidRDefault="00E10803" w:rsidP="00181F7A">
      <w:pPr>
        <w:numPr>
          <w:ilvl w:val="1"/>
          <w:numId w:val="9"/>
        </w:numPr>
        <w:autoSpaceDE w:val="0"/>
        <w:autoSpaceDN w:val="0"/>
        <w:adjustRightInd w:val="0"/>
        <w:contextualSpacing/>
        <w:rPr>
          <w:rFonts w:cs="Arial"/>
          <w:color w:val="000000"/>
          <w:szCs w:val="22"/>
        </w:rPr>
      </w:pPr>
      <w:r w:rsidRPr="00437102">
        <w:rPr>
          <w:rFonts w:cs="Arial"/>
          <w:color w:val="000000"/>
          <w:szCs w:val="22"/>
        </w:rPr>
        <w:t>services designed to support multicultural Australia and how these interact with state and local government settings.</w:t>
      </w:r>
    </w:p>
    <w:p w14:paraId="742066C6" w14:textId="45D9D349" w:rsidR="00E10803" w:rsidRPr="00437102" w:rsidRDefault="00E10803" w:rsidP="00181F7A">
      <w:pPr>
        <w:numPr>
          <w:ilvl w:val="0"/>
          <w:numId w:val="9"/>
        </w:numPr>
        <w:autoSpaceDE w:val="0"/>
        <w:autoSpaceDN w:val="0"/>
        <w:adjustRightInd w:val="0"/>
        <w:contextualSpacing/>
        <w:rPr>
          <w:rFonts w:cs="Arial"/>
          <w:color w:val="000000"/>
          <w:szCs w:val="22"/>
        </w:rPr>
      </w:pPr>
      <w:r w:rsidRPr="00437102">
        <w:rPr>
          <w:rFonts w:cs="Arial"/>
          <w:color w:val="000000"/>
          <w:szCs w:val="22"/>
        </w:rPr>
        <w:t>roles and functions of government and non-government organisations respectively. They will also consider appropriate relationships between them, ensuring effective planning and provision of programs and services to multicultural communities</w:t>
      </w:r>
    </w:p>
    <w:p w14:paraId="107D9C33" w14:textId="6E6F45A8" w:rsidR="00E10803" w:rsidRPr="000E33AF" w:rsidRDefault="00E10803" w:rsidP="00181F7A">
      <w:pPr>
        <w:numPr>
          <w:ilvl w:val="0"/>
          <w:numId w:val="9"/>
        </w:numPr>
        <w:shd w:val="clear" w:color="auto" w:fill="FFFFFF"/>
        <w:autoSpaceDE w:val="0"/>
        <w:autoSpaceDN w:val="0"/>
        <w:adjustRightInd w:val="0"/>
        <w:spacing w:before="100" w:beforeAutospacing="1" w:after="100" w:afterAutospacing="1"/>
        <w:contextualSpacing/>
        <w:rPr>
          <w:rFonts w:cs="Arial"/>
          <w:szCs w:val="22"/>
          <w:lang w:eastAsia="en-AU"/>
        </w:rPr>
      </w:pPr>
      <w:r w:rsidRPr="00437102">
        <w:rPr>
          <w:rFonts w:cs="Arial"/>
          <w:color w:val="000000"/>
          <w:szCs w:val="22"/>
        </w:rPr>
        <w:t>the effectiveness of current federal diversity, equity and inclusion strategies. This ensures the Australian Public Service workforce reflects multicultural Australia</w:t>
      </w:r>
    </w:p>
    <w:p w14:paraId="1070F9A9" w14:textId="394AAF27" w:rsidR="00E10803" w:rsidRPr="000E33AF" w:rsidRDefault="00E10803" w:rsidP="00181F7A">
      <w:pPr>
        <w:numPr>
          <w:ilvl w:val="0"/>
          <w:numId w:val="9"/>
        </w:numPr>
        <w:shd w:val="clear" w:color="auto" w:fill="FFFFFF"/>
        <w:autoSpaceDE w:val="0"/>
        <w:autoSpaceDN w:val="0"/>
        <w:adjustRightInd w:val="0"/>
        <w:spacing w:before="100" w:beforeAutospacing="1" w:after="100" w:afterAutospacing="1"/>
        <w:ind w:left="714" w:hanging="357"/>
        <w:rPr>
          <w:rFonts w:cs="Arial"/>
          <w:szCs w:val="22"/>
          <w:lang w:eastAsia="en-AU"/>
        </w:rPr>
      </w:pPr>
      <w:r w:rsidRPr="000E33AF">
        <w:rPr>
          <w:rFonts w:cs="Arial"/>
          <w:color w:val="000000"/>
          <w:szCs w:val="22"/>
        </w:rPr>
        <w:t>identifying areas for reform to address any systemic barriers preventing people from multicultural communities from participating in Australian society. This includes second generation plus migrants.</w:t>
      </w:r>
    </w:p>
    <w:p w14:paraId="012E32F4" w14:textId="59404A08" w:rsidR="00E10803" w:rsidRPr="000E33AF" w:rsidRDefault="004D262C" w:rsidP="000E33AF">
      <w:pPr>
        <w:shd w:val="clear" w:color="auto" w:fill="FFFFFF"/>
        <w:autoSpaceDE w:val="0"/>
        <w:autoSpaceDN w:val="0"/>
        <w:adjustRightInd w:val="0"/>
        <w:spacing w:before="100" w:beforeAutospacing="1"/>
        <w:rPr>
          <w:rFonts w:cs="Arial"/>
          <w:b/>
          <w:szCs w:val="22"/>
        </w:rPr>
      </w:pPr>
      <w:hyperlink r:id="rId76" w:history="1">
        <w:r w:rsidR="00E10803" w:rsidRPr="000E33AF">
          <w:rPr>
            <w:rStyle w:val="Hyperlink"/>
            <w:rFonts w:cs="Arial"/>
            <w:b/>
            <w:szCs w:val="22"/>
          </w:rPr>
          <w:t>Safe and Supported</w:t>
        </w:r>
      </w:hyperlink>
    </w:p>
    <w:p w14:paraId="612CA752"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Safe and Supported: the National Framework for Protecting Australia’s Children 2021–2031 (Safe and Supported) sets out a 10-year strategy to improve the lives of children, young people and families experiencing disadvantage or who are vulnerable to abuse and neglect.</w:t>
      </w:r>
    </w:p>
    <w:p w14:paraId="091BEE7A"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The Australian government, state and territory governments, Aboriginal and Torres Strait Islander representatives and the non-government sector are working together through Safe and Supported toward the shared goal of making significant and sustained progress in reducing the rate of child abuse and neglect and its intergenerational impacts.</w:t>
      </w:r>
    </w:p>
    <w:p w14:paraId="0F987133" w14:textId="77777777" w:rsidR="00E10803" w:rsidRPr="00DF7432" w:rsidRDefault="00E10803" w:rsidP="00DF7432">
      <w:pPr>
        <w:spacing w:before="240" w:line="276" w:lineRule="auto"/>
        <w:rPr>
          <w:rFonts w:eastAsiaTheme="majorEastAsia" w:cs="Arial"/>
          <w:szCs w:val="22"/>
        </w:rPr>
      </w:pPr>
      <w:r w:rsidRPr="00DF7432">
        <w:rPr>
          <w:rFonts w:eastAsiaTheme="majorEastAsia" w:cs="Arial"/>
          <w:szCs w:val="22"/>
        </w:rPr>
        <w:t xml:space="preserve">Safe and Supported is being implemented through 2 sets of action plans: Safe and Supported: First Action Plan 2023-2026 and Safe and Supported: Aboriginal and Torres Strait Islander First Action Plan 2023-2026 (First Action Plans). Launched in January 2023, the First Action Plans drive change through collective effort across governments and sectors that impact the safety and wellbeing of children and young people, and outline the actions and activities needed to improve outcomes for children and young people. </w:t>
      </w:r>
    </w:p>
    <w:p w14:paraId="6DCE9339" w14:textId="29C1EA87" w:rsidR="00D27733" w:rsidRPr="00DF7432" w:rsidRDefault="00E10803" w:rsidP="00DF7432">
      <w:pPr>
        <w:spacing w:before="240" w:line="276" w:lineRule="auto"/>
        <w:rPr>
          <w:rFonts w:eastAsiaTheme="majorEastAsia" w:cs="Arial"/>
          <w:szCs w:val="22"/>
        </w:rPr>
      </w:pPr>
      <w:r w:rsidRPr="00DF7432">
        <w:rPr>
          <w:rFonts w:eastAsiaTheme="majorEastAsia" w:cs="Arial"/>
          <w:szCs w:val="22"/>
        </w:rPr>
        <w:lastRenderedPageBreak/>
        <w:t>Safe and Supported and the First Action Plans were developed in partnership with Aboriginal and Torres Strait Islander people and recognise the importance of shared decision-making in the development and implementation of policy that impacts Aboriginal and Torres Strait Islander people.</w:t>
      </w:r>
    </w:p>
    <w:bookmarkEnd w:id="33"/>
    <w:p w14:paraId="378693EC" w14:textId="77777777" w:rsidR="00E70EAD" w:rsidRPr="00C700CB" w:rsidRDefault="00E70EAD" w:rsidP="007C2F14">
      <w:pPr>
        <w:keepNext/>
        <w:shd w:val="clear" w:color="auto" w:fill="FFFFFF"/>
        <w:spacing w:before="100" w:beforeAutospacing="1"/>
        <w:rPr>
          <w:rFonts w:cs="Arial"/>
          <w:b/>
          <w:szCs w:val="22"/>
        </w:rPr>
      </w:pPr>
      <w:r w:rsidRPr="00C700CB">
        <w:rPr>
          <w:rFonts w:cs="Arial"/>
          <w:b/>
          <w:szCs w:val="22"/>
        </w:rPr>
        <w:t>National Disaster Risk Reduction Framework</w:t>
      </w:r>
    </w:p>
    <w:p w14:paraId="40E58E8A" w14:textId="78F5CA3A" w:rsidR="00E70EAD" w:rsidRPr="00DF7432" w:rsidRDefault="00E70EAD" w:rsidP="00DF7432">
      <w:pPr>
        <w:spacing w:before="240" w:line="276" w:lineRule="auto"/>
        <w:rPr>
          <w:rFonts w:eastAsiaTheme="majorEastAsia" w:cs="Arial"/>
          <w:szCs w:val="22"/>
        </w:rPr>
      </w:pPr>
      <w:r w:rsidRPr="00DF7432">
        <w:rPr>
          <w:rFonts w:eastAsiaTheme="majorEastAsia" w:cs="Arial"/>
          <w:szCs w:val="22"/>
        </w:rPr>
        <w:t xml:space="preserve">The National Disaster Risk Reduction Framework outlines principles and action points for Australia to nationally and collectively reduce disaster risk. The Framework affirms the importance of integrated actions, across levels and portfolios of government, and with the non-government sector, given the increased severity and risk of disasters. </w:t>
      </w:r>
    </w:p>
    <w:p w14:paraId="419A1AC0" w14:textId="77777777" w:rsidR="00E70EAD" w:rsidRPr="00DF7432" w:rsidRDefault="00E70EAD" w:rsidP="00DF7432">
      <w:pPr>
        <w:spacing w:before="240" w:line="276" w:lineRule="auto"/>
        <w:rPr>
          <w:rFonts w:eastAsiaTheme="majorEastAsia" w:cs="Arial"/>
          <w:szCs w:val="22"/>
        </w:rPr>
      </w:pPr>
      <w:r w:rsidRPr="00DF7432">
        <w:rPr>
          <w:rFonts w:eastAsiaTheme="majorEastAsia" w:cs="Arial"/>
          <w:szCs w:val="22"/>
        </w:rPr>
        <w:t>The Framework also emphasises the importance of inclusive engagement, to ensure that all stakeholders – including CSOs and communities – are given opportunities to influence the broader disaster management system. This principle retains communities at the centre of activities, to ensure their voice is heard when policy, program and investment decisions are made.</w:t>
      </w:r>
    </w:p>
    <w:p w14:paraId="500110B0" w14:textId="77777777" w:rsidR="00E70EAD" w:rsidRPr="00DF7432" w:rsidRDefault="00E70EAD" w:rsidP="00DF7432">
      <w:pPr>
        <w:spacing w:before="240" w:line="276" w:lineRule="auto"/>
        <w:rPr>
          <w:rFonts w:eastAsiaTheme="majorEastAsia" w:cs="Arial"/>
          <w:szCs w:val="22"/>
        </w:rPr>
      </w:pPr>
      <w:r w:rsidRPr="00DF7432">
        <w:rPr>
          <w:rFonts w:eastAsiaTheme="majorEastAsia" w:cs="Arial"/>
          <w:szCs w:val="22"/>
        </w:rPr>
        <w:t xml:space="preserve">The Framework is being implemented through a series of National Action Plans, the Second of which is being finalised at the time of writing.  </w:t>
      </w:r>
    </w:p>
    <w:p w14:paraId="65CCA22C" w14:textId="1593468E" w:rsidR="00D27733" w:rsidRDefault="00D27733">
      <w:pPr>
        <w:rPr>
          <w:rFonts w:ascii="Calibri" w:hAnsi="Calibri" w:cs="Calibri"/>
          <w:szCs w:val="22"/>
        </w:rPr>
      </w:pPr>
      <w:r>
        <w:rPr>
          <w:rFonts w:ascii="Calibri" w:hAnsi="Calibri" w:cs="Calibri"/>
          <w:szCs w:val="22"/>
        </w:rPr>
        <w:br w:type="page"/>
      </w:r>
    </w:p>
    <w:p w14:paraId="243ED4E4" w14:textId="4F120516" w:rsidR="00D27733" w:rsidRDefault="00E10803" w:rsidP="00D27733">
      <w:pPr>
        <w:pStyle w:val="Heading2"/>
      </w:pPr>
      <w:bookmarkStart w:id="36" w:name="_Toc141437663"/>
      <w:bookmarkStart w:id="37" w:name="_Toc144983249"/>
      <w:r>
        <w:lastRenderedPageBreak/>
        <w:t xml:space="preserve">Appendix B: </w:t>
      </w:r>
      <w:r w:rsidR="00D27733">
        <w:t>Glossary</w:t>
      </w:r>
      <w:bookmarkEnd w:id="36"/>
      <w:bookmarkEnd w:id="37"/>
      <w:r w:rsidR="00D27733">
        <w:t xml:space="preserve"> </w:t>
      </w:r>
      <w:bookmarkStart w:id="38" w:name="_Toc138176079"/>
      <w:bookmarkEnd w:id="38"/>
    </w:p>
    <w:tbl>
      <w:tblPr>
        <w:tblStyle w:val="TableGrid3"/>
        <w:tblW w:w="9776" w:type="dxa"/>
        <w:tblInd w:w="0" w:type="dxa"/>
        <w:tblLook w:val="04A0" w:firstRow="1" w:lastRow="0" w:firstColumn="1" w:lastColumn="0" w:noHBand="0" w:noVBand="1"/>
        <w:tblCaption w:val="Glossary"/>
        <w:tblDescription w:val="This is a glossary of terms which occur in the paper "/>
      </w:tblPr>
      <w:tblGrid>
        <w:gridCol w:w="2546"/>
        <w:gridCol w:w="7230"/>
      </w:tblGrid>
      <w:tr w:rsidR="008410AB" w14:paraId="5C442F3D" w14:textId="77777777" w:rsidTr="000E33AF">
        <w:trPr>
          <w:trHeight w:val="411"/>
          <w:tblHeader/>
        </w:trPr>
        <w:tc>
          <w:tcPr>
            <w:tcW w:w="2546" w:type="dxa"/>
            <w:shd w:val="clear" w:color="auto" w:fill="F2F2F2" w:themeFill="background1" w:themeFillShade="F2"/>
          </w:tcPr>
          <w:p w14:paraId="55E58F53" w14:textId="5B9A74E9" w:rsidR="008410AB" w:rsidRPr="007C2F14" w:rsidRDefault="008410AB" w:rsidP="00EB4329">
            <w:pPr>
              <w:rPr>
                <w:rFonts w:cs="Arial"/>
                <w:b/>
                <w:sz w:val="20"/>
                <w:szCs w:val="20"/>
              </w:rPr>
            </w:pPr>
            <w:r w:rsidRPr="007C2F14">
              <w:rPr>
                <w:rFonts w:cs="Arial"/>
                <w:b/>
                <w:sz w:val="20"/>
                <w:szCs w:val="20"/>
              </w:rPr>
              <w:t>Term</w:t>
            </w:r>
          </w:p>
          <w:p w14:paraId="62B85664" w14:textId="77777777" w:rsidR="008410AB" w:rsidRPr="007C2F14" w:rsidRDefault="008410AB" w:rsidP="00EB4329">
            <w:pPr>
              <w:rPr>
                <w:rFonts w:cs="Arial"/>
                <w:b/>
                <w:sz w:val="20"/>
                <w:szCs w:val="20"/>
              </w:rPr>
            </w:pPr>
          </w:p>
        </w:tc>
        <w:tc>
          <w:tcPr>
            <w:tcW w:w="7230" w:type="dxa"/>
            <w:shd w:val="clear" w:color="auto" w:fill="F2F2F2" w:themeFill="background1" w:themeFillShade="F2"/>
          </w:tcPr>
          <w:p w14:paraId="54D7221A" w14:textId="77777777" w:rsidR="008410AB" w:rsidRPr="007C2F14" w:rsidRDefault="008410AB" w:rsidP="00EB4329">
            <w:pPr>
              <w:rPr>
                <w:rFonts w:cs="Arial"/>
                <w:b/>
                <w:sz w:val="20"/>
                <w:szCs w:val="20"/>
              </w:rPr>
            </w:pPr>
            <w:r w:rsidRPr="007C2F14">
              <w:rPr>
                <w:rFonts w:cs="Arial"/>
                <w:b/>
                <w:sz w:val="20"/>
                <w:szCs w:val="20"/>
              </w:rPr>
              <w:t>Meaning</w:t>
            </w:r>
          </w:p>
        </w:tc>
      </w:tr>
      <w:tr w:rsidR="008410AB" w14:paraId="6DE84619" w14:textId="77777777" w:rsidTr="00EB4329">
        <w:tc>
          <w:tcPr>
            <w:tcW w:w="2546" w:type="dxa"/>
          </w:tcPr>
          <w:p w14:paraId="3ED5114D" w14:textId="20ADBB10" w:rsidR="008410AB" w:rsidRPr="007C2F14" w:rsidRDefault="008410AB" w:rsidP="00EB4329">
            <w:pPr>
              <w:rPr>
                <w:rFonts w:cs="Arial"/>
                <w:color w:val="000000"/>
                <w:sz w:val="20"/>
                <w:szCs w:val="20"/>
              </w:rPr>
            </w:pPr>
            <w:r w:rsidRPr="007C2F14">
              <w:rPr>
                <w:rFonts w:cs="Arial"/>
                <w:color w:val="000000"/>
                <w:sz w:val="20"/>
                <w:szCs w:val="20"/>
              </w:rPr>
              <w:t>ACNC Registered</w:t>
            </w:r>
          </w:p>
        </w:tc>
        <w:tc>
          <w:tcPr>
            <w:tcW w:w="7230" w:type="dxa"/>
          </w:tcPr>
          <w:p w14:paraId="0F057E28" w14:textId="77777777" w:rsidR="008410AB" w:rsidRPr="007C2F14" w:rsidRDefault="008410AB" w:rsidP="00EB4329">
            <w:pPr>
              <w:rPr>
                <w:rFonts w:cs="Arial"/>
                <w:sz w:val="20"/>
                <w:szCs w:val="20"/>
              </w:rPr>
            </w:pPr>
            <w:r w:rsidRPr="007C2F14">
              <w:rPr>
                <w:rFonts w:cs="Arial"/>
                <w:sz w:val="20"/>
                <w:szCs w:val="20"/>
              </w:rPr>
              <w:t>An organisation registered with the ACNC as a charity. The Charities Act clarifies that to be a recognised as a charity, an organisation must:</w:t>
            </w:r>
          </w:p>
          <w:p w14:paraId="60C58D6F" w14:textId="77777777" w:rsidR="008410AB" w:rsidRPr="007C2F14" w:rsidRDefault="008410AB" w:rsidP="00181F7A">
            <w:pPr>
              <w:pStyle w:val="ListParagraph"/>
              <w:numPr>
                <w:ilvl w:val="0"/>
                <w:numId w:val="11"/>
              </w:numPr>
              <w:rPr>
                <w:rFonts w:cs="Arial"/>
                <w:sz w:val="20"/>
                <w:szCs w:val="20"/>
              </w:rPr>
            </w:pPr>
            <w:r w:rsidRPr="007C2F14">
              <w:rPr>
                <w:rFonts w:cs="Arial"/>
                <w:sz w:val="20"/>
                <w:szCs w:val="20"/>
              </w:rPr>
              <w:t>be not-for-profit</w:t>
            </w:r>
          </w:p>
          <w:p w14:paraId="15CFD16A" w14:textId="77777777" w:rsidR="008410AB" w:rsidRPr="007C2F14" w:rsidRDefault="008410AB" w:rsidP="00181F7A">
            <w:pPr>
              <w:pStyle w:val="ListParagraph"/>
              <w:numPr>
                <w:ilvl w:val="0"/>
                <w:numId w:val="11"/>
              </w:numPr>
              <w:rPr>
                <w:rFonts w:cs="Arial"/>
                <w:sz w:val="20"/>
                <w:szCs w:val="20"/>
              </w:rPr>
            </w:pPr>
            <w:r w:rsidRPr="007C2F14">
              <w:rPr>
                <w:rFonts w:cs="Arial"/>
                <w:sz w:val="20"/>
                <w:szCs w:val="20"/>
              </w:rPr>
              <w:t>have only charitable purposes that are for the public benefit</w:t>
            </w:r>
          </w:p>
          <w:p w14:paraId="60A18D2C" w14:textId="77777777" w:rsidR="008410AB" w:rsidRPr="007C2F14" w:rsidRDefault="008410AB" w:rsidP="00181F7A">
            <w:pPr>
              <w:pStyle w:val="ListParagraph"/>
              <w:numPr>
                <w:ilvl w:val="0"/>
                <w:numId w:val="11"/>
              </w:numPr>
              <w:rPr>
                <w:rFonts w:cs="Arial"/>
                <w:sz w:val="20"/>
                <w:szCs w:val="20"/>
              </w:rPr>
            </w:pPr>
            <w:r w:rsidRPr="007C2F14">
              <w:rPr>
                <w:rFonts w:cs="Arial"/>
                <w:sz w:val="20"/>
                <w:szCs w:val="20"/>
              </w:rPr>
              <w:t>not have a disqualifying purpose</w:t>
            </w:r>
          </w:p>
          <w:p w14:paraId="30B1BDA2" w14:textId="77777777" w:rsidR="008410AB" w:rsidRPr="007C2F14" w:rsidRDefault="008410AB" w:rsidP="00181F7A">
            <w:pPr>
              <w:pStyle w:val="ListParagraph"/>
              <w:numPr>
                <w:ilvl w:val="0"/>
                <w:numId w:val="11"/>
              </w:numPr>
              <w:rPr>
                <w:rFonts w:cs="Arial"/>
                <w:sz w:val="20"/>
                <w:szCs w:val="20"/>
              </w:rPr>
            </w:pPr>
            <w:r w:rsidRPr="007C2F14">
              <w:rPr>
                <w:rFonts w:cs="Arial"/>
                <w:sz w:val="20"/>
                <w:szCs w:val="20"/>
              </w:rPr>
              <w:t>not be an individual, a political party or a government entity.</w:t>
            </w:r>
          </w:p>
          <w:p w14:paraId="2DC4B1DD" w14:textId="3D143A19" w:rsidR="008410AB" w:rsidRPr="00C76D0F" w:rsidRDefault="004D262C" w:rsidP="00307E9A">
            <w:pPr>
              <w:rPr>
                <w:rFonts w:cs="Arial"/>
                <w:sz w:val="20"/>
                <w:szCs w:val="20"/>
              </w:rPr>
            </w:pPr>
            <w:hyperlink r:id="rId77" w:history="1">
              <w:r w:rsidR="008410AB" w:rsidRPr="00C76D0F">
                <w:rPr>
                  <w:rStyle w:val="Hyperlink"/>
                  <w:rFonts w:cs="Arial"/>
                  <w:sz w:val="20"/>
                  <w:szCs w:val="20"/>
                </w:rPr>
                <w:t>Source</w:t>
              </w:r>
            </w:hyperlink>
          </w:p>
        </w:tc>
      </w:tr>
      <w:tr w:rsidR="008410AB" w14:paraId="0E6B5E2F" w14:textId="77777777" w:rsidTr="00EB4329">
        <w:tc>
          <w:tcPr>
            <w:tcW w:w="2546" w:type="dxa"/>
          </w:tcPr>
          <w:p w14:paraId="47360E83" w14:textId="77777777" w:rsidR="008410AB" w:rsidRPr="00C76D0F" w:rsidRDefault="008410AB" w:rsidP="00EB4329">
            <w:pPr>
              <w:rPr>
                <w:rFonts w:cs="Arial"/>
                <w:color w:val="000000"/>
                <w:sz w:val="20"/>
                <w:szCs w:val="20"/>
              </w:rPr>
            </w:pPr>
            <w:r w:rsidRPr="00C76D0F">
              <w:rPr>
                <w:rFonts w:cs="Arial"/>
                <w:color w:val="000000"/>
                <w:sz w:val="20"/>
                <w:szCs w:val="20"/>
              </w:rPr>
              <w:t xml:space="preserve">Capability </w:t>
            </w:r>
          </w:p>
        </w:tc>
        <w:tc>
          <w:tcPr>
            <w:tcW w:w="7230" w:type="dxa"/>
          </w:tcPr>
          <w:p w14:paraId="03AC4A90" w14:textId="77777777" w:rsidR="007E7FDE" w:rsidRDefault="008410AB" w:rsidP="00EB4329">
            <w:pPr>
              <w:rPr>
                <w:rFonts w:cs="Arial"/>
                <w:sz w:val="20"/>
                <w:szCs w:val="20"/>
              </w:rPr>
            </w:pPr>
            <w:r w:rsidRPr="00C76D0F">
              <w:rPr>
                <w:rFonts w:cs="Arial"/>
                <w:sz w:val="20"/>
                <w:szCs w:val="20"/>
              </w:rPr>
              <w:t>The demonstrated ability for an organisation to perform an activity. Capabilities may be internally assessed or externally verifiable such as training completion, certificates or organisation accreditation.</w:t>
            </w:r>
          </w:p>
          <w:p w14:paraId="7FD7A1E9" w14:textId="4C05A441" w:rsidR="008410AB" w:rsidRPr="00C76D0F" w:rsidRDefault="004D262C" w:rsidP="00EB4329">
            <w:pPr>
              <w:rPr>
                <w:rFonts w:cs="Arial"/>
                <w:sz w:val="20"/>
                <w:szCs w:val="20"/>
              </w:rPr>
            </w:pPr>
            <w:hyperlink r:id="rId78" w:history="1">
              <w:r w:rsidR="008410AB" w:rsidRPr="00C76D0F">
                <w:rPr>
                  <w:rStyle w:val="Hyperlink"/>
                  <w:rFonts w:cs="Arial"/>
                  <w:sz w:val="20"/>
                  <w:szCs w:val="20"/>
                </w:rPr>
                <w:t>Source</w:t>
              </w:r>
            </w:hyperlink>
          </w:p>
        </w:tc>
      </w:tr>
      <w:tr w:rsidR="008410AB" w14:paraId="0BF87FAB" w14:textId="77777777" w:rsidTr="00EB4329">
        <w:tc>
          <w:tcPr>
            <w:tcW w:w="2546" w:type="dxa"/>
          </w:tcPr>
          <w:p w14:paraId="4808F256" w14:textId="77777777" w:rsidR="008410AB" w:rsidRPr="00C76D0F" w:rsidRDefault="008410AB" w:rsidP="00EB4329">
            <w:pPr>
              <w:rPr>
                <w:rFonts w:cs="Arial"/>
                <w:color w:val="000000"/>
                <w:sz w:val="20"/>
                <w:szCs w:val="20"/>
              </w:rPr>
            </w:pPr>
            <w:r w:rsidRPr="00C76D0F">
              <w:rPr>
                <w:rFonts w:cs="Arial"/>
                <w:color w:val="000000"/>
                <w:sz w:val="20"/>
                <w:szCs w:val="20"/>
              </w:rPr>
              <w:t>Capacity</w:t>
            </w:r>
          </w:p>
        </w:tc>
        <w:tc>
          <w:tcPr>
            <w:tcW w:w="7230" w:type="dxa"/>
          </w:tcPr>
          <w:p w14:paraId="1A45AF1A" w14:textId="77777777" w:rsidR="008410AB" w:rsidRPr="00C76D0F" w:rsidRDefault="008410AB" w:rsidP="00EB4329">
            <w:pPr>
              <w:rPr>
                <w:rFonts w:cs="Arial"/>
                <w:sz w:val="20"/>
                <w:szCs w:val="20"/>
              </w:rPr>
            </w:pPr>
            <w:r w:rsidRPr="00C76D0F">
              <w:rPr>
                <w:rFonts w:cs="Arial"/>
                <w:sz w:val="20"/>
                <w:szCs w:val="20"/>
              </w:rPr>
              <w:t>The ability of an organisation to undertake grant activities. It includes human resources, financial and regional capacity measures.</w:t>
            </w:r>
          </w:p>
          <w:p w14:paraId="7E5B3476" w14:textId="77777777" w:rsidR="008410AB" w:rsidRPr="00C76D0F" w:rsidRDefault="004D262C" w:rsidP="00EB4329">
            <w:pPr>
              <w:rPr>
                <w:rFonts w:cs="Arial"/>
                <w:sz w:val="20"/>
                <w:szCs w:val="20"/>
              </w:rPr>
            </w:pPr>
            <w:hyperlink r:id="rId79" w:history="1">
              <w:r w:rsidR="008410AB" w:rsidRPr="00C76D0F">
                <w:rPr>
                  <w:rStyle w:val="Hyperlink"/>
                  <w:rFonts w:cs="Arial"/>
                  <w:sz w:val="20"/>
                  <w:szCs w:val="20"/>
                </w:rPr>
                <w:t>Source</w:t>
              </w:r>
            </w:hyperlink>
          </w:p>
        </w:tc>
      </w:tr>
      <w:tr w:rsidR="008410AB" w14:paraId="5ABBF51B" w14:textId="77777777" w:rsidTr="00EB4329">
        <w:tc>
          <w:tcPr>
            <w:tcW w:w="2546" w:type="dxa"/>
          </w:tcPr>
          <w:p w14:paraId="4743A3E7" w14:textId="77777777" w:rsidR="008410AB" w:rsidRPr="00C76D0F" w:rsidRDefault="008410AB" w:rsidP="00EB4329">
            <w:pPr>
              <w:rPr>
                <w:rFonts w:cs="Arial"/>
                <w:color w:val="000000"/>
                <w:sz w:val="20"/>
                <w:szCs w:val="20"/>
              </w:rPr>
            </w:pPr>
            <w:r w:rsidRPr="00C76D0F">
              <w:rPr>
                <w:rFonts w:cs="Arial"/>
                <w:color w:val="000000"/>
                <w:sz w:val="20"/>
                <w:szCs w:val="20"/>
              </w:rPr>
              <w:t>Grant Opportunities</w:t>
            </w:r>
          </w:p>
        </w:tc>
        <w:tc>
          <w:tcPr>
            <w:tcW w:w="7230" w:type="dxa"/>
          </w:tcPr>
          <w:p w14:paraId="08F39D01" w14:textId="77777777" w:rsidR="008410AB" w:rsidRPr="00C76D0F" w:rsidRDefault="008410AB" w:rsidP="00EB4329">
            <w:pPr>
              <w:rPr>
                <w:rFonts w:cs="Arial"/>
                <w:sz w:val="20"/>
                <w:szCs w:val="20"/>
              </w:rPr>
            </w:pPr>
            <w:r w:rsidRPr="00C76D0F">
              <w:rPr>
                <w:rFonts w:cs="Arial"/>
                <w:sz w:val="20"/>
                <w:szCs w:val="20"/>
              </w:rPr>
              <w:t>Refers to the specific grant round or process where a Commonwealth grant is made available to potential grantees. Grant opportunities may be open or targeted, and will reflect the relevant grant selection process.</w:t>
            </w:r>
          </w:p>
          <w:p w14:paraId="04DAD8CD" w14:textId="0F7B1CEB" w:rsidR="008410AB" w:rsidRPr="00C76D0F" w:rsidRDefault="004D262C" w:rsidP="00307E9A">
            <w:pPr>
              <w:rPr>
                <w:rFonts w:cs="Arial"/>
                <w:sz w:val="20"/>
                <w:szCs w:val="20"/>
              </w:rPr>
            </w:pPr>
            <w:hyperlink r:id="rId80" w:history="1">
              <w:r w:rsidR="008410AB" w:rsidRPr="00C76D0F">
                <w:rPr>
                  <w:rStyle w:val="Hyperlink"/>
                  <w:rFonts w:cs="Arial"/>
                  <w:sz w:val="20"/>
                  <w:szCs w:val="20"/>
                </w:rPr>
                <w:t>Source</w:t>
              </w:r>
            </w:hyperlink>
          </w:p>
        </w:tc>
      </w:tr>
      <w:tr w:rsidR="008410AB" w14:paraId="1E7B45EF" w14:textId="77777777" w:rsidTr="00EB4329">
        <w:tc>
          <w:tcPr>
            <w:tcW w:w="2546" w:type="dxa"/>
          </w:tcPr>
          <w:p w14:paraId="77B6F555" w14:textId="77777777" w:rsidR="008410AB" w:rsidRPr="00C76D0F" w:rsidRDefault="008410AB" w:rsidP="00EB4329">
            <w:pPr>
              <w:rPr>
                <w:rFonts w:cs="Arial"/>
                <w:color w:val="000000"/>
                <w:sz w:val="20"/>
                <w:szCs w:val="20"/>
              </w:rPr>
            </w:pPr>
            <w:r w:rsidRPr="00C76D0F">
              <w:rPr>
                <w:rFonts w:cs="Arial"/>
                <w:color w:val="000000"/>
                <w:sz w:val="20"/>
                <w:szCs w:val="20"/>
              </w:rPr>
              <w:t>Commonwealth Grants Rules and Guidelines CGRG’s</w:t>
            </w:r>
          </w:p>
        </w:tc>
        <w:tc>
          <w:tcPr>
            <w:tcW w:w="7230" w:type="dxa"/>
          </w:tcPr>
          <w:p w14:paraId="0B91B429" w14:textId="77777777" w:rsidR="00847F8C" w:rsidRDefault="008410AB" w:rsidP="00EB4329">
            <w:pPr>
              <w:rPr>
                <w:rFonts w:cs="Arial"/>
                <w:sz w:val="20"/>
                <w:szCs w:val="20"/>
              </w:rPr>
            </w:pPr>
            <w:r w:rsidRPr="00C76D0F">
              <w:rPr>
                <w:rFonts w:cs="Arial"/>
                <w:sz w:val="20"/>
                <w:szCs w:val="20"/>
              </w:rPr>
              <w:t>The Commonwealth Grants Rules and Guidelines 2017 (CGRGs) establish the Commonwealth grants policy framework. The CGRGs contain the key legislative and policy requirements, and explain the better practice principles of grants administration.</w:t>
            </w:r>
          </w:p>
          <w:p w14:paraId="40EEA6A1" w14:textId="01112BE8" w:rsidR="008410AB" w:rsidRPr="00C76D0F" w:rsidRDefault="004D262C" w:rsidP="00EB4329">
            <w:pPr>
              <w:rPr>
                <w:rFonts w:cs="Arial"/>
                <w:sz w:val="20"/>
                <w:szCs w:val="20"/>
              </w:rPr>
            </w:pPr>
            <w:hyperlink r:id="rId81" w:history="1">
              <w:r w:rsidR="008410AB" w:rsidRPr="00C76D0F">
                <w:rPr>
                  <w:rStyle w:val="Hyperlink"/>
                  <w:rFonts w:cs="Arial"/>
                  <w:sz w:val="20"/>
                  <w:szCs w:val="20"/>
                </w:rPr>
                <w:t>Source</w:t>
              </w:r>
            </w:hyperlink>
          </w:p>
        </w:tc>
      </w:tr>
      <w:tr w:rsidR="008410AB" w14:paraId="280A4247" w14:textId="77777777" w:rsidTr="00EB4329">
        <w:tc>
          <w:tcPr>
            <w:tcW w:w="2546" w:type="dxa"/>
          </w:tcPr>
          <w:p w14:paraId="7D31A7A7" w14:textId="77777777" w:rsidR="008410AB" w:rsidRPr="00C76D0F" w:rsidRDefault="008410AB" w:rsidP="00EB4329">
            <w:pPr>
              <w:rPr>
                <w:rFonts w:cs="Arial"/>
                <w:color w:val="000000"/>
                <w:sz w:val="20"/>
                <w:szCs w:val="20"/>
              </w:rPr>
            </w:pPr>
            <w:r w:rsidRPr="00C76D0F">
              <w:rPr>
                <w:rFonts w:cs="Arial"/>
                <w:color w:val="000000"/>
                <w:sz w:val="20"/>
                <w:szCs w:val="20"/>
              </w:rPr>
              <w:t>Community Grants Hub</w:t>
            </w:r>
          </w:p>
        </w:tc>
        <w:tc>
          <w:tcPr>
            <w:tcW w:w="7230" w:type="dxa"/>
          </w:tcPr>
          <w:p w14:paraId="74F9A3B5" w14:textId="0ACE102B"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 xml:space="preserve">The Community Grants Hub (the Hub) provides a shared-services arrangement to deliver grant administration services on behalf of Australian Government client agencies to support their policy outcomes. Client agencies are responsible for grant policy and the development of grant programs, while the Hub is responsible for administering grant programs at the direction of policy owners and consistent with the requirements of the </w:t>
            </w:r>
            <w:r w:rsidR="00307E9A" w:rsidRPr="003A5C7E">
              <w:rPr>
                <w:rFonts w:cs="Arial"/>
                <w:sz w:val="20"/>
                <w:szCs w:val="20"/>
              </w:rPr>
              <w:t>CGRGs</w:t>
            </w:r>
            <w:r w:rsidRPr="00C76D0F">
              <w:rPr>
                <w:rFonts w:cs="Arial"/>
                <w:color w:val="000000"/>
                <w:sz w:val="20"/>
                <w:szCs w:val="20"/>
              </w:rPr>
              <w:t>.</w:t>
            </w:r>
          </w:p>
        </w:tc>
      </w:tr>
      <w:tr w:rsidR="008410AB" w14:paraId="42FF194E" w14:textId="77777777" w:rsidTr="00EB4329">
        <w:tc>
          <w:tcPr>
            <w:tcW w:w="2546" w:type="dxa"/>
          </w:tcPr>
          <w:p w14:paraId="4EB11703" w14:textId="77777777" w:rsidR="008410AB" w:rsidRPr="00C76D0F" w:rsidRDefault="008410AB" w:rsidP="00EB4329">
            <w:pPr>
              <w:rPr>
                <w:rFonts w:cs="Arial"/>
                <w:color w:val="000000"/>
                <w:sz w:val="20"/>
                <w:szCs w:val="20"/>
              </w:rPr>
            </w:pPr>
            <w:r w:rsidRPr="00C76D0F">
              <w:rPr>
                <w:rFonts w:cs="Arial"/>
                <w:color w:val="000000"/>
                <w:sz w:val="20"/>
                <w:szCs w:val="20"/>
              </w:rPr>
              <w:t>Community Services Advisory Group (CSAG)</w:t>
            </w:r>
          </w:p>
        </w:tc>
        <w:tc>
          <w:tcPr>
            <w:tcW w:w="7230" w:type="dxa"/>
          </w:tcPr>
          <w:p w14:paraId="7ACCAE72"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 xml:space="preserve">The Community Services Advisory Group (CSAG) is the key community sector stakeholder engagement group for the Department of Social Services (the department). CSAG engages in monthly information sharing between the department and the community sector on issues relating to grants policy and process improvement opportunities across the community services sector.  </w:t>
            </w:r>
          </w:p>
          <w:p w14:paraId="194D3BE2" w14:textId="77777777" w:rsidR="008410AB" w:rsidRPr="00C76D0F" w:rsidRDefault="004D262C" w:rsidP="00EB4329">
            <w:pPr>
              <w:autoSpaceDE w:val="0"/>
              <w:autoSpaceDN w:val="0"/>
              <w:adjustRightInd w:val="0"/>
              <w:rPr>
                <w:rFonts w:cs="Arial"/>
                <w:color w:val="000000"/>
                <w:sz w:val="20"/>
                <w:szCs w:val="20"/>
              </w:rPr>
            </w:pPr>
            <w:hyperlink r:id="rId82" w:history="1">
              <w:r w:rsidR="008410AB" w:rsidRPr="00C76D0F">
                <w:rPr>
                  <w:rStyle w:val="Hyperlink"/>
                  <w:rFonts w:cs="Arial"/>
                  <w:sz w:val="20"/>
                  <w:szCs w:val="20"/>
                </w:rPr>
                <w:t>Source</w:t>
              </w:r>
            </w:hyperlink>
          </w:p>
        </w:tc>
      </w:tr>
      <w:tr w:rsidR="008410AB" w14:paraId="07F74168" w14:textId="77777777" w:rsidTr="00EB4329">
        <w:tc>
          <w:tcPr>
            <w:tcW w:w="2546" w:type="dxa"/>
          </w:tcPr>
          <w:p w14:paraId="4F7A94C2" w14:textId="5ED9D312" w:rsidR="008410AB" w:rsidRPr="00C76D0F" w:rsidRDefault="008410AB" w:rsidP="00EB4329">
            <w:pPr>
              <w:rPr>
                <w:rFonts w:cs="Arial"/>
                <w:color w:val="000000"/>
                <w:sz w:val="20"/>
                <w:szCs w:val="20"/>
              </w:rPr>
            </w:pPr>
            <w:r w:rsidRPr="00C76D0F">
              <w:rPr>
                <w:rFonts w:cs="Arial"/>
                <w:color w:val="000000"/>
                <w:sz w:val="20"/>
                <w:szCs w:val="20"/>
              </w:rPr>
              <w:t xml:space="preserve">Consumer Price Index </w:t>
            </w:r>
            <w:r w:rsidR="007309BE" w:rsidRPr="00C76D0F">
              <w:rPr>
                <w:rFonts w:cs="Arial"/>
                <w:color w:val="000000"/>
                <w:sz w:val="20"/>
                <w:szCs w:val="20"/>
              </w:rPr>
              <w:t>(CPI)</w:t>
            </w:r>
          </w:p>
        </w:tc>
        <w:tc>
          <w:tcPr>
            <w:tcW w:w="7230" w:type="dxa"/>
          </w:tcPr>
          <w:p w14:paraId="2CA9C4FF" w14:textId="60BA65FC" w:rsidR="008410AB" w:rsidRPr="00C76D0F" w:rsidRDefault="007309BE" w:rsidP="00057E03">
            <w:pPr>
              <w:autoSpaceDE w:val="0"/>
              <w:autoSpaceDN w:val="0"/>
              <w:adjustRightInd w:val="0"/>
              <w:rPr>
                <w:rFonts w:cs="Arial"/>
                <w:color w:val="000000"/>
                <w:sz w:val="20"/>
                <w:szCs w:val="20"/>
              </w:rPr>
            </w:pPr>
            <w:r w:rsidRPr="00C76D0F">
              <w:rPr>
                <w:rFonts w:cs="Arial"/>
                <w:color w:val="000000"/>
                <w:sz w:val="20"/>
                <w:szCs w:val="20"/>
              </w:rPr>
              <w:t>The CPI is a fixed weighted price index that relates to household expenditure on retail goods and services and other items such as housing, government charges and consumer credit charges</w:t>
            </w:r>
            <w:r w:rsidR="00307E9A">
              <w:rPr>
                <w:rFonts w:cs="Arial"/>
                <w:color w:val="000000"/>
                <w:sz w:val="20"/>
                <w:szCs w:val="20"/>
              </w:rPr>
              <w:t>.</w:t>
            </w:r>
          </w:p>
        </w:tc>
      </w:tr>
      <w:tr w:rsidR="008410AB" w14:paraId="4CD609AB" w14:textId="77777777" w:rsidTr="00EB4329">
        <w:tc>
          <w:tcPr>
            <w:tcW w:w="2546" w:type="dxa"/>
          </w:tcPr>
          <w:p w14:paraId="3394F34C" w14:textId="1EEB66CA" w:rsidR="008410AB" w:rsidRPr="00C76D0F" w:rsidRDefault="008410AB" w:rsidP="00307E9A">
            <w:pPr>
              <w:rPr>
                <w:rFonts w:cs="Arial"/>
                <w:color w:val="000000"/>
                <w:sz w:val="20"/>
                <w:szCs w:val="20"/>
              </w:rPr>
            </w:pPr>
            <w:r w:rsidRPr="00C76D0F">
              <w:rPr>
                <w:rFonts w:cs="Arial"/>
                <w:color w:val="000000"/>
                <w:sz w:val="20"/>
                <w:szCs w:val="20"/>
              </w:rPr>
              <w:t xml:space="preserve">Community </w:t>
            </w:r>
            <w:r w:rsidR="00307E9A">
              <w:rPr>
                <w:rFonts w:cs="Arial"/>
                <w:color w:val="000000"/>
                <w:sz w:val="20"/>
                <w:szCs w:val="20"/>
              </w:rPr>
              <w:t>S</w:t>
            </w:r>
            <w:r w:rsidR="00307E9A" w:rsidRPr="00C76D0F">
              <w:rPr>
                <w:rFonts w:cs="Arial"/>
                <w:color w:val="000000"/>
                <w:sz w:val="20"/>
                <w:szCs w:val="20"/>
              </w:rPr>
              <w:t xml:space="preserve">ector </w:t>
            </w:r>
            <w:r w:rsidR="00307E9A">
              <w:rPr>
                <w:rFonts w:cs="Arial"/>
                <w:color w:val="000000"/>
                <w:sz w:val="20"/>
                <w:szCs w:val="20"/>
              </w:rPr>
              <w:t>O</w:t>
            </w:r>
            <w:r w:rsidR="00307E9A" w:rsidRPr="00C76D0F">
              <w:rPr>
                <w:rFonts w:cs="Arial"/>
                <w:color w:val="000000"/>
                <w:sz w:val="20"/>
                <w:szCs w:val="20"/>
              </w:rPr>
              <w:t>rganisation</w:t>
            </w:r>
            <w:r w:rsidR="00307E9A">
              <w:rPr>
                <w:rFonts w:cs="Arial"/>
                <w:color w:val="000000"/>
                <w:sz w:val="20"/>
                <w:szCs w:val="20"/>
              </w:rPr>
              <w:t xml:space="preserve"> (CSO)</w:t>
            </w:r>
          </w:p>
        </w:tc>
        <w:tc>
          <w:tcPr>
            <w:tcW w:w="7230" w:type="dxa"/>
          </w:tcPr>
          <w:p w14:paraId="74466D25"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Organisations that are not-for-profit and established for community service purposes, which provide for the wellbeing and benefit of others. CSOs promote, provide or carry out activities, facilities or projects for the benefit or welfare of the community or any members who have a particular need by reason of youth, age, infirmity or disablement, poverty or social or economic circumstances. CSOs do not operate for the profit, personal gain or other benefit of particular people.</w:t>
            </w:r>
          </w:p>
        </w:tc>
      </w:tr>
      <w:tr w:rsidR="008410AB" w14:paraId="21169F33" w14:textId="77777777" w:rsidTr="00EB4329">
        <w:tc>
          <w:tcPr>
            <w:tcW w:w="2546" w:type="dxa"/>
          </w:tcPr>
          <w:p w14:paraId="5DDF93C6" w14:textId="77777777" w:rsidR="008410AB" w:rsidRPr="00C76D0F" w:rsidRDefault="008410AB" w:rsidP="00EB4329">
            <w:pPr>
              <w:rPr>
                <w:rFonts w:cs="Arial"/>
                <w:color w:val="000000"/>
                <w:sz w:val="20"/>
                <w:szCs w:val="20"/>
              </w:rPr>
            </w:pPr>
            <w:r w:rsidRPr="00C76D0F">
              <w:rPr>
                <w:rFonts w:cs="Arial"/>
                <w:color w:val="000000"/>
                <w:sz w:val="20"/>
                <w:szCs w:val="20"/>
              </w:rPr>
              <w:t>Grant</w:t>
            </w:r>
          </w:p>
        </w:tc>
        <w:tc>
          <w:tcPr>
            <w:tcW w:w="7230" w:type="dxa"/>
          </w:tcPr>
          <w:p w14:paraId="65350CFC"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An arrangement for the provision of financial assistance by the Commonwealth or on behalf of the Commonwealth:</w:t>
            </w:r>
          </w:p>
          <w:p w14:paraId="3F401BA1" w14:textId="47D32607" w:rsidR="008410AB" w:rsidRPr="00C76D0F" w:rsidRDefault="008410AB" w:rsidP="00181F7A">
            <w:pPr>
              <w:pStyle w:val="ListParagraph"/>
              <w:numPr>
                <w:ilvl w:val="0"/>
                <w:numId w:val="13"/>
              </w:numPr>
              <w:autoSpaceDE w:val="0"/>
              <w:autoSpaceDN w:val="0"/>
              <w:adjustRightInd w:val="0"/>
              <w:rPr>
                <w:rFonts w:cs="Arial"/>
                <w:color w:val="000000"/>
                <w:sz w:val="20"/>
                <w:szCs w:val="20"/>
              </w:rPr>
            </w:pPr>
            <w:r w:rsidRPr="00C76D0F">
              <w:rPr>
                <w:rFonts w:cs="Arial"/>
                <w:color w:val="000000"/>
                <w:sz w:val="20"/>
                <w:szCs w:val="20"/>
              </w:rPr>
              <w:lastRenderedPageBreak/>
              <w:t xml:space="preserve">under which relevant money or other </w:t>
            </w:r>
            <w:r w:rsidR="00847F8C">
              <w:rPr>
                <w:rFonts w:cs="Arial"/>
                <w:color w:val="000000"/>
                <w:sz w:val="20"/>
                <w:szCs w:val="20"/>
              </w:rPr>
              <w:t>Consolidated Revenue Fund</w:t>
            </w:r>
            <w:r w:rsidRPr="00C76D0F">
              <w:rPr>
                <w:rFonts w:cs="Arial"/>
                <w:color w:val="000000"/>
                <w:sz w:val="20"/>
                <w:szCs w:val="20"/>
              </w:rPr>
              <w:t xml:space="preserve"> money is to be paid to a grantee other than the Commonwealth</w:t>
            </w:r>
          </w:p>
          <w:p w14:paraId="1970C18A" w14:textId="77777777" w:rsidR="008410AB" w:rsidRPr="00C76D0F" w:rsidRDefault="008410AB" w:rsidP="00181F7A">
            <w:pPr>
              <w:pStyle w:val="ListParagraph"/>
              <w:numPr>
                <w:ilvl w:val="0"/>
                <w:numId w:val="13"/>
              </w:numPr>
              <w:autoSpaceDE w:val="0"/>
              <w:autoSpaceDN w:val="0"/>
              <w:adjustRightInd w:val="0"/>
              <w:rPr>
                <w:rFonts w:cs="Arial"/>
                <w:color w:val="000000"/>
                <w:sz w:val="20"/>
                <w:szCs w:val="20"/>
              </w:rPr>
            </w:pPr>
            <w:r w:rsidRPr="00C76D0F">
              <w:rPr>
                <w:rFonts w:cs="Arial"/>
                <w:color w:val="000000"/>
                <w:sz w:val="20"/>
                <w:szCs w:val="20"/>
              </w:rPr>
              <w:t>which is intended to help address one or more of the Australian Government’s policy outcomes while assisting the grantee achieve its objectives.</w:t>
            </w:r>
          </w:p>
          <w:p w14:paraId="15BD7AA4" w14:textId="5040DB31" w:rsidR="008410AB" w:rsidRPr="00C76D0F" w:rsidRDefault="004D262C" w:rsidP="00C76D0F">
            <w:pPr>
              <w:autoSpaceDE w:val="0"/>
              <w:autoSpaceDN w:val="0"/>
              <w:adjustRightInd w:val="0"/>
              <w:rPr>
                <w:rFonts w:cs="Arial"/>
                <w:color w:val="000000"/>
                <w:sz w:val="20"/>
                <w:szCs w:val="20"/>
              </w:rPr>
            </w:pPr>
            <w:hyperlink r:id="rId83" w:history="1">
              <w:r w:rsidR="008410AB" w:rsidRPr="00C76D0F">
                <w:rPr>
                  <w:rStyle w:val="Hyperlink"/>
                  <w:rFonts w:cs="Arial"/>
                  <w:sz w:val="20"/>
                  <w:szCs w:val="20"/>
                </w:rPr>
                <w:t>Source</w:t>
              </w:r>
            </w:hyperlink>
          </w:p>
        </w:tc>
      </w:tr>
      <w:tr w:rsidR="008410AB" w14:paraId="53A3C141" w14:textId="77777777" w:rsidTr="00EB4329">
        <w:tc>
          <w:tcPr>
            <w:tcW w:w="2546" w:type="dxa"/>
          </w:tcPr>
          <w:p w14:paraId="7BE63526" w14:textId="77777777" w:rsidR="008410AB" w:rsidRPr="00C76D0F" w:rsidRDefault="008410AB" w:rsidP="00EB4329">
            <w:pPr>
              <w:rPr>
                <w:rFonts w:cs="Arial"/>
                <w:color w:val="000000"/>
                <w:sz w:val="20"/>
                <w:szCs w:val="20"/>
              </w:rPr>
            </w:pPr>
            <w:r w:rsidRPr="00C76D0F">
              <w:rPr>
                <w:rFonts w:cs="Arial"/>
                <w:color w:val="000000"/>
                <w:sz w:val="20"/>
                <w:szCs w:val="20"/>
              </w:rPr>
              <w:lastRenderedPageBreak/>
              <w:t>Grant Agreement</w:t>
            </w:r>
          </w:p>
        </w:tc>
        <w:tc>
          <w:tcPr>
            <w:tcW w:w="7230" w:type="dxa"/>
          </w:tcPr>
          <w:p w14:paraId="4991F9E6"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Sets out the relationship between the parties to the agreement and specifies the details of the grant. It is also used as a collective noun for grant agreement, schedule and activities.</w:t>
            </w:r>
          </w:p>
          <w:p w14:paraId="002CD994" w14:textId="313FC12E" w:rsidR="008410AB" w:rsidRPr="00C76D0F" w:rsidRDefault="004D262C" w:rsidP="00EB4329">
            <w:pPr>
              <w:autoSpaceDE w:val="0"/>
              <w:autoSpaceDN w:val="0"/>
              <w:adjustRightInd w:val="0"/>
              <w:rPr>
                <w:rFonts w:cs="Arial"/>
                <w:color w:val="000000"/>
                <w:sz w:val="20"/>
                <w:szCs w:val="20"/>
              </w:rPr>
            </w:pPr>
            <w:hyperlink r:id="rId84" w:history="1">
              <w:r w:rsidR="008410AB" w:rsidRPr="00C76D0F">
                <w:rPr>
                  <w:rStyle w:val="Hyperlink"/>
                  <w:rFonts w:cs="Arial"/>
                  <w:sz w:val="20"/>
                  <w:szCs w:val="20"/>
                </w:rPr>
                <w:t>Source</w:t>
              </w:r>
            </w:hyperlink>
          </w:p>
        </w:tc>
      </w:tr>
      <w:tr w:rsidR="008410AB" w14:paraId="61F0D944" w14:textId="77777777" w:rsidTr="00EB4329">
        <w:tc>
          <w:tcPr>
            <w:tcW w:w="2546" w:type="dxa"/>
          </w:tcPr>
          <w:p w14:paraId="013A1F92" w14:textId="266B2340" w:rsidR="008410AB" w:rsidRPr="00C76D0F" w:rsidRDefault="008410AB" w:rsidP="00EB4329">
            <w:pPr>
              <w:rPr>
                <w:rFonts w:cs="Arial"/>
                <w:color w:val="000000"/>
                <w:sz w:val="20"/>
                <w:szCs w:val="20"/>
              </w:rPr>
            </w:pPr>
            <w:r w:rsidRPr="00C76D0F">
              <w:rPr>
                <w:rFonts w:cs="Arial"/>
                <w:color w:val="000000"/>
                <w:sz w:val="20"/>
                <w:szCs w:val="20"/>
              </w:rPr>
              <w:t xml:space="preserve">Grant </w:t>
            </w:r>
            <w:r w:rsidR="00613DE3" w:rsidRPr="00C76D0F">
              <w:rPr>
                <w:rFonts w:cs="Arial"/>
                <w:color w:val="000000"/>
                <w:sz w:val="20"/>
                <w:szCs w:val="20"/>
              </w:rPr>
              <w:t>l</w:t>
            </w:r>
            <w:r w:rsidRPr="00C76D0F">
              <w:rPr>
                <w:rFonts w:cs="Arial"/>
                <w:color w:val="000000"/>
                <w:sz w:val="20"/>
                <w:szCs w:val="20"/>
              </w:rPr>
              <w:t>ifecycle</w:t>
            </w:r>
          </w:p>
        </w:tc>
        <w:tc>
          <w:tcPr>
            <w:tcW w:w="7230" w:type="dxa"/>
          </w:tcPr>
          <w:p w14:paraId="2DD9C695"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The grant lifecycle includes the:</w:t>
            </w:r>
          </w:p>
          <w:p w14:paraId="16A411DB" w14:textId="77777777" w:rsidR="008410AB" w:rsidRPr="00C76D0F" w:rsidRDefault="008410AB" w:rsidP="00181F7A">
            <w:pPr>
              <w:pStyle w:val="ListParagraph"/>
              <w:numPr>
                <w:ilvl w:val="0"/>
                <w:numId w:val="14"/>
              </w:numPr>
              <w:autoSpaceDE w:val="0"/>
              <w:autoSpaceDN w:val="0"/>
              <w:adjustRightInd w:val="0"/>
              <w:rPr>
                <w:rFonts w:cs="Arial"/>
                <w:color w:val="000000"/>
                <w:sz w:val="20"/>
                <w:szCs w:val="20"/>
              </w:rPr>
            </w:pPr>
            <w:r w:rsidRPr="00C76D0F">
              <w:rPr>
                <w:rFonts w:cs="Arial"/>
                <w:color w:val="000000"/>
                <w:sz w:val="20"/>
                <w:szCs w:val="20"/>
              </w:rPr>
              <w:t>design phase</w:t>
            </w:r>
          </w:p>
          <w:p w14:paraId="2F4DC7BA" w14:textId="77777777" w:rsidR="008410AB" w:rsidRPr="00C76D0F" w:rsidRDefault="008410AB" w:rsidP="00181F7A">
            <w:pPr>
              <w:pStyle w:val="ListParagraph"/>
              <w:numPr>
                <w:ilvl w:val="1"/>
                <w:numId w:val="14"/>
              </w:numPr>
              <w:autoSpaceDE w:val="0"/>
              <w:autoSpaceDN w:val="0"/>
              <w:adjustRightInd w:val="0"/>
              <w:rPr>
                <w:rFonts w:cs="Arial"/>
                <w:color w:val="000000"/>
                <w:sz w:val="20"/>
                <w:szCs w:val="20"/>
              </w:rPr>
            </w:pPr>
            <w:r w:rsidRPr="00C76D0F">
              <w:rPr>
                <w:rFonts w:cs="Arial"/>
                <w:color w:val="000000"/>
                <w:sz w:val="20"/>
                <w:szCs w:val="20"/>
              </w:rPr>
              <w:t>The design phase of the grants lifecycle involves planning and defining the details of a program and how it will be implemented to achieve intended outcomes.</w:t>
            </w:r>
          </w:p>
          <w:p w14:paraId="55F3FF80" w14:textId="77777777" w:rsidR="008410AB" w:rsidRPr="00C76D0F" w:rsidRDefault="008410AB" w:rsidP="00181F7A">
            <w:pPr>
              <w:pStyle w:val="ListParagraph"/>
              <w:numPr>
                <w:ilvl w:val="0"/>
                <w:numId w:val="14"/>
              </w:numPr>
              <w:autoSpaceDE w:val="0"/>
              <w:autoSpaceDN w:val="0"/>
              <w:adjustRightInd w:val="0"/>
              <w:rPr>
                <w:rFonts w:cs="Arial"/>
                <w:color w:val="000000"/>
                <w:sz w:val="20"/>
                <w:szCs w:val="20"/>
              </w:rPr>
            </w:pPr>
            <w:r w:rsidRPr="00C76D0F">
              <w:rPr>
                <w:rFonts w:cs="Arial"/>
                <w:color w:val="000000"/>
                <w:sz w:val="20"/>
                <w:szCs w:val="20"/>
              </w:rPr>
              <w:t>select phase</w:t>
            </w:r>
          </w:p>
          <w:p w14:paraId="0C9DBA4A" w14:textId="77777777" w:rsidR="008410AB" w:rsidRPr="00C76D0F" w:rsidRDefault="008410AB" w:rsidP="00181F7A">
            <w:pPr>
              <w:pStyle w:val="ListParagraph"/>
              <w:numPr>
                <w:ilvl w:val="1"/>
                <w:numId w:val="14"/>
              </w:numPr>
              <w:autoSpaceDE w:val="0"/>
              <w:autoSpaceDN w:val="0"/>
              <w:adjustRightInd w:val="0"/>
              <w:rPr>
                <w:rFonts w:cs="Arial"/>
                <w:color w:val="000000"/>
                <w:sz w:val="20"/>
                <w:szCs w:val="20"/>
              </w:rPr>
            </w:pPr>
            <w:r w:rsidRPr="00C76D0F">
              <w:rPr>
                <w:rFonts w:cs="Arial"/>
                <w:color w:val="000000"/>
                <w:sz w:val="20"/>
                <w:szCs w:val="20"/>
              </w:rPr>
              <w:t>The select phase involves advertising the grant round and assessing and selecting the grantees.</w:t>
            </w:r>
          </w:p>
          <w:p w14:paraId="1A007084" w14:textId="77777777" w:rsidR="008410AB" w:rsidRPr="00C76D0F" w:rsidRDefault="008410AB" w:rsidP="00181F7A">
            <w:pPr>
              <w:pStyle w:val="ListParagraph"/>
              <w:numPr>
                <w:ilvl w:val="0"/>
                <w:numId w:val="14"/>
              </w:numPr>
              <w:autoSpaceDE w:val="0"/>
              <w:autoSpaceDN w:val="0"/>
              <w:adjustRightInd w:val="0"/>
              <w:rPr>
                <w:rFonts w:cs="Arial"/>
                <w:color w:val="000000"/>
                <w:sz w:val="20"/>
                <w:szCs w:val="20"/>
              </w:rPr>
            </w:pPr>
            <w:r w:rsidRPr="00C76D0F">
              <w:rPr>
                <w:rFonts w:cs="Arial"/>
                <w:color w:val="000000"/>
                <w:sz w:val="20"/>
                <w:szCs w:val="20"/>
              </w:rPr>
              <w:t>establish phase</w:t>
            </w:r>
          </w:p>
          <w:p w14:paraId="1DE9444F" w14:textId="77777777" w:rsidR="008410AB" w:rsidRPr="00C76D0F" w:rsidRDefault="008410AB" w:rsidP="00181F7A">
            <w:pPr>
              <w:pStyle w:val="ListParagraph"/>
              <w:numPr>
                <w:ilvl w:val="1"/>
                <w:numId w:val="14"/>
              </w:numPr>
              <w:autoSpaceDE w:val="0"/>
              <w:autoSpaceDN w:val="0"/>
              <w:adjustRightInd w:val="0"/>
              <w:rPr>
                <w:rFonts w:cs="Arial"/>
                <w:color w:val="000000"/>
                <w:sz w:val="20"/>
                <w:szCs w:val="20"/>
              </w:rPr>
            </w:pPr>
            <w:r w:rsidRPr="00C76D0F">
              <w:rPr>
                <w:rFonts w:cs="Arial"/>
                <w:color w:val="000000"/>
                <w:sz w:val="20"/>
                <w:szCs w:val="20"/>
              </w:rPr>
              <w:t>The establish phase involves creating, populating, varying and executing grant agreements or contracts.</w:t>
            </w:r>
          </w:p>
          <w:p w14:paraId="18EE41B3" w14:textId="77777777" w:rsidR="008410AB" w:rsidRPr="00C76D0F" w:rsidRDefault="008410AB" w:rsidP="00181F7A">
            <w:pPr>
              <w:pStyle w:val="ListParagraph"/>
              <w:numPr>
                <w:ilvl w:val="0"/>
                <w:numId w:val="14"/>
              </w:numPr>
              <w:autoSpaceDE w:val="0"/>
              <w:autoSpaceDN w:val="0"/>
              <w:adjustRightInd w:val="0"/>
              <w:rPr>
                <w:rFonts w:cs="Arial"/>
                <w:color w:val="000000"/>
                <w:sz w:val="20"/>
                <w:szCs w:val="20"/>
              </w:rPr>
            </w:pPr>
            <w:r w:rsidRPr="00C76D0F">
              <w:rPr>
                <w:rFonts w:cs="Arial"/>
                <w:color w:val="000000"/>
                <w:sz w:val="20"/>
                <w:szCs w:val="20"/>
              </w:rPr>
              <w:t>manage phase</w:t>
            </w:r>
          </w:p>
          <w:p w14:paraId="075B2FF2" w14:textId="77777777" w:rsidR="008410AB" w:rsidRPr="00C76D0F" w:rsidRDefault="008410AB" w:rsidP="00181F7A">
            <w:pPr>
              <w:pStyle w:val="ListParagraph"/>
              <w:numPr>
                <w:ilvl w:val="1"/>
                <w:numId w:val="14"/>
              </w:numPr>
              <w:autoSpaceDE w:val="0"/>
              <w:autoSpaceDN w:val="0"/>
              <w:adjustRightInd w:val="0"/>
              <w:rPr>
                <w:rFonts w:cs="Arial"/>
                <w:color w:val="000000"/>
                <w:sz w:val="20"/>
                <w:szCs w:val="20"/>
              </w:rPr>
            </w:pPr>
            <w:r w:rsidRPr="00C76D0F">
              <w:rPr>
                <w:rFonts w:cs="Arial"/>
                <w:color w:val="000000"/>
                <w:sz w:val="20"/>
                <w:szCs w:val="20"/>
              </w:rPr>
              <w:t>The manage phase involves monitoring and assurance of service provider performance.</w:t>
            </w:r>
          </w:p>
          <w:p w14:paraId="504B0811" w14:textId="0A66C1CC" w:rsidR="008410AB" w:rsidRPr="00C76D0F" w:rsidRDefault="008410AB" w:rsidP="00181F7A">
            <w:pPr>
              <w:pStyle w:val="ListParagraph"/>
              <w:numPr>
                <w:ilvl w:val="0"/>
                <w:numId w:val="14"/>
              </w:numPr>
              <w:autoSpaceDE w:val="0"/>
              <w:autoSpaceDN w:val="0"/>
              <w:adjustRightInd w:val="0"/>
              <w:rPr>
                <w:rFonts w:cs="Arial"/>
                <w:color w:val="000000"/>
                <w:sz w:val="20"/>
                <w:szCs w:val="20"/>
              </w:rPr>
            </w:pPr>
            <w:r w:rsidRPr="00C76D0F">
              <w:rPr>
                <w:rFonts w:cs="Arial"/>
                <w:color w:val="000000"/>
                <w:sz w:val="20"/>
                <w:szCs w:val="20"/>
              </w:rPr>
              <w:t>evaluate phase</w:t>
            </w:r>
          </w:p>
          <w:p w14:paraId="69815402" w14:textId="77777777" w:rsidR="008410AB" w:rsidRPr="00C76D0F" w:rsidRDefault="008410AB" w:rsidP="00181F7A">
            <w:pPr>
              <w:pStyle w:val="ListParagraph"/>
              <w:numPr>
                <w:ilvl w:val="1"/>
                <w:numId w:val="14"/>
              </w:numPr>
              <w:autoSpaceDE w:val="0"/>
              <w:autoSpaceDN w:val="0"/>
              <w:adjustRightInd w:val="0"/>
              <w:rPr>
                <w:rFonts w:cs="Arial"/>
                <w:color w:val="000000"/>
                <w:sz w:val="20"/>
                <w:szCs w:val="20"/>
              </w:rPr>
            </w:pPr>
            <w:r w:rsidRPr="00C76D0F">
              <w:rPr>
                <w:rFonts w:cs="Arial"/>
                <w:color w:val="000000"/>
                <w:sz w:val="20"/>
                <w:szCs w:val="20"/>
              </w:rPr>
              <w:t>The evaluate phase involves determining the efficiency or effectiveness of the grant outcomes and grant administration.</w:t>
            </w:r>
          </w:p>
          <w:p w14:paraId="2180B6C8" w14:textId="16B22B07" w:rsidR="008410AB" w:rsidRPr="00C76D0F" w:rsidRDefault="004D262C" w:rsidP="00EB4329">
            <w:pPr>
              <w:autoSpaceDE w:val="0"/>
              <w:autoSpaceDN w:val="0"/>
              <w:adjustRightInd w:val="0"/>
              <w:rPr>
                <w:rFonts w:cs="Arial"/>
                <w:color w:val="000000"/>
                <w:sz w:val="20"/>
                <w:szCs w:val="20"/>
              </w:rPr>
            </w:pPr>
            <w:hyperlink r:id="rId85" w:history="1">
              <w:r w:rsidR="008410AB" w:rsidRPr="00C76D0F">
                <w:rPr>
                  <w:rStyle w:val="Hyperlink"/>
                  <w:rFonts w:cs="Arial"/>
                  <w:sz w:val="20"/>
                  <w:szCs w:val="20"/>
                </w:rPr>
                <w:t>Source</w:t>
              </w:r>
            </w:hyperlink>
          </w:p>
        </w:tc>
      </w:tr>
      <w:tr w:rsidR="008410AB" w14:paraId="422C8471" w14:textId="77777777" w:rsidTr="00EB4329">
        <w:tc>
          <w:tcPr>
            <w:tcW w:w="2546" w:type="dxa"/>
          </w:tcPr>
          <w:p w14:paraId="6FCBF1E6" w14:textId="77340B2A" w:rsidR="008410AB" w:rsidRPr="00C76D0F" w:rsidRDefault="008410AB" w:rsidP="00EB4329">
            <w:pPr>
              <w:rPr>
                <w:rFonts w:cs="Arial"/>
                <w:color w:val="000000"/>
                <w:sz w:val="20"/>
                <w:szCs w:val="20"/>
              </w:rPr>
            </w:pPr>
            <w:r w:rsidRPr="00C76D0F">
              <w:rPr>
                <w:rFonts w:cs="Arial"/>
                <w:color w:val="000000"/>
                <w:sz w:val="20"/>
                <w:szCs w:val="20"/>
              </w:rPr>
              <w:t xml:space="preserve">Grant </w:t>
            </w:r>
            <w:r w:rsidR="00613DE3" w:rsidRPr="00C76D0F">
              <w:rPr>
                <w:rFonts w:cs="Arial"/>
                <w:color w:val="000000"/>
                <w:sz w:val="20"/>
                <w:szCs w:val="20"/>
              </w:rPr>
              <w:t>O</w:t>
            </w:r>
            <w:r w:rsidRPr="00C76D0F">
              <w:rPr>
                <w:rFonts w:cs="Arial"/>
                <w:color w:val="000000"/>
                <w:sz w:val="20"/>
                <w:szCs w:val="20"/>
              </w:rPr>
              <w:t>pportunity</w:t>
            </w:r>
          </w:p>
        </w:tc>
        <w:tc>
          <w:tcPr>
            <w:tcW w:w="7230" w:type="dxa"/>
          </w:tcPr>
          <w:p w14:paraId="7E0BE97B"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 notice published on GrantConnect and the Community Grants Hub website advertising the availability of Commonwealth grants.</w:t>
            </w:r>
          </w:p>
          <w:p w14:paraId="2A09074D"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Grant opportunity documents include:</w:t>
            </w:r>
          </w:p>
          <w:p w14:paraId="3769D2F0"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the application guidelines and form</w:t>
            </w:r>
          </w:p>
          <w:p w14:paraId="71CE2357"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invitations to apply</w:t>
            </w:r>
          </w:p>
          <w:p w14:paraId="0C2EBEDD"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supporting documentation</w:t>
            </w:r>
          </w:p>
          <w:p w14:paraId="785CDA4E"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frequently asked questions</w:t>
            </w:r>
          </w:p>
          <w:p w14:paraId="1D2FE11E"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draft grant agreements</w:t>
            </w:r>
          </w:p>
          <w:p w14:paraId="50DBFC43" w14:textId="77777777" w:rsidR="008410AB" w:rsidRPr="00C76D0F" w:rsidRDefault="008410AB" w:rsidP="00181F7A">
            <w:pPr>
              <w:pStyle w:val="ListParagraph"/>
              <w:numPr>
                <w:ilvl w:val="0"/>
                <w:numId w:val="15"/>
              </w:numPr>
              <w:autoSpaceDE w:val="0"/>
              <w:autoSpaceDN w:val="0"/>
              <w:adjustRightInd w:val="0"/>
              <w:rPr>
                <w:rFonts w:cs="Arial"/>
                <w:color w:val="000000"/>
                <w:sz w:val="20"/>
                <w:szCs w:val="20"/>
              </w:rPr>
            </w:pPr>
            <w:r w:rsidRPr="00C76D0F">
              <w:rPr>
                <w:rFonts w:cs="Arial"/>
                <w:color w:val="000000"/>
                <w:sz w:val="20"/>
                <w:szCs w:val="20"/>
              </w:rPr>
              <w:t>any templates for reporting or acquittals</w:t>
            </w:r>
          </w:p>
          <w:p w14:paraId="2269714E" w14:textId="75202897" w:rsidR="008410AB" w:rsidRPr="00C76D0F" w:rsidRDefault="004D262C" w:rsidP="00EB4329">
            <w:pPr>
              <w:autoSpaceDE w:val="0"/>
              <w:autoSpaceDN w:val="0"/>
              <w:adjustRightInd w:val="0"/>
              <w:rPr>
                <w:rFonts w:cs="Arial"/>
                <w:color w:val="000000"/>
                <w:sz w:val="20"/>
                <w:szCs w:val="20"/>
              </w:rPr>
            </w:pPr>
            <w:hyperlink r:id="rId86" w:history="1">
              <w:r w:rsidR="008410AB" w:rsidRPr="00C76D0F">
                <w:rPr>
                  <w:rStyle w:val="Hyperlink"/>
                  <w:rFonts w:cs="Arial"/>
                  <w:sz w:val="20"/>
                  <w:szCs w:val="20"/>
                </w:rPr>
                <w:t>Source</w:t>
              </w:r>
            </w:hyperlink>
          </w:p>
        </w:tc>
      </w:tr>
      <w:tr w:rsidR="008410AB" w14:paraId="76B70236" w14:textId="77777777" w:rsidTr="00EB4329">
        <w:tc>
          <w:tcPr>
            <w:tcW w:w="2546" w:type="dxa"/>
          </w:tcPr>
          <w:p w14:paraId="59619F21" w14:textId="77777777" w:rsidR="008410AB" w:rsidRPr="00C76D0F" w:rsidRDefault="008410AB" w:rsidP="00EB4329">
            <w:pPr>
              <w:rPr>
                <w:rFonts w:cs="Arial"/>
                <w:color w:val="000000"/>
                <w:sz w:val="20"/>
                <w:szCs w:val="20"/>
              </w:rPr>
            </w:pPr>
            <w:r w:rsidRPr="00C76D0F">
              <w:rPr>
                <w:rFonts w:cs="Arial"/>
                <w:color w:val="000000"/>
                <w:sz w:val="20"/>
                <w:szCs w:val="20"/>
              </w:rPr>
              <w:t>Grant Round</w:t>
            </w:r>
          </w:p>
        </w:tc>
        <w:tc>
          <w:tcPr>
            <w:tcW w:w="7230" w:type="dxa"/>
          </w:tcPr>
          <w:p w14:paraId="112294E6" w14:textId="55373E54" w:rsidR="008410AB" w:rsidRPr="00C76D0F" w:rsidRDefault="00E808F1" w:rsidP="00EB4329">
            <w:pPr>
              <w:autoSpaceDE w:val="0"/>
              <w:autoSpaceDN w:val="0"/>
              <w:adjustRightInd w:val="0"/>
              <w:rPr>
                <w:rFonts w:cs="Arial"/>
                <w:color w:val="000000"/>
                <w:sz w:val="20"/>
                <w:szCs w:val="20"/>
                <w:highlight w:val="yellow"/>
              </w:rPr>
            </w:pPr>
            <w:r w:rsidRPr="00C76D0F">
              <w:rPr>
                <w:rFonts w:cs="Arial"/>
                <w:color w:val="000000"/>
                <w:sz w:val="20"/>
                <w:szCs w:val="20"/>
              </w:rPr>
              <w:t>A Grant Round is a 'Grant Opportunity', a term to describe any grant round, invitation to apply or other such time when an applicant can be considered for a grant as defined under the </w:t>
            </w:r>
            <w:hyperlink r:id="rId87" w:history="1">
              <w:r w:rsidRPr="00C76D0F">
                <w:rPr>
                  <w:rFonts w:cs="Arial"/>
                  <w:color w:val="000000"/>
                  <w:sz w:val="20"/>
                  <w:szCs w:val="20"/>
                </w:rPr>
                <w:t>CGRGs</w:t>
              </w:r>
            </w:hyperlink>
            <w:r w:rsidRPr="00C76D0F">
              <w:rPr>
                <w:rFonts w:cs="Arial"/>
                <w:color w:val="000000"/>
                <w:sz w:val="20"/>
                <w:szCs w:val="20"/>
              </w:rPr>
              <w:t>.</w:t>
            </w:r>
          </w:p>
        </w:tc>
      </w:tr>
      <w:tr w:rsidR="008410AB" w14:paraId="772EB330" w14:textId="77777777" w:rsidTr="00EB4329">
        <w:tc>
          <w:tcPr>
            <w:tcW w:w="2546" w:type="dxa"/>
          </w:tcPr>
          <w:p w14:paraId="483DDE79" w14:textId="77777777" w:rsidR="008410AB" w:rsidRPr="00C76D0F" w:rsidRDefault="008410AB" w:rsidP="00EB4329">
            <w:pPr>
              <w:rPr>
                <w:rFonts w:cs="Arial"/>
                <w:color w:val="000000"/>
                <w:sz w:val="20"/>
                <w:szCs w:val="20"/>
              </w:rPr>
            </w:pPr>
            <w:r w:rsidRPr="00C76D0F">
              <w:rPr>
                <w:rFonts w:cs="Arial"/>
                <w:color w:val="000000"/>
                <w:sz w:val="20"/>
                <w:szCs w:val="20"/>
              </w:rPr>
              <w:t>GrantConnect</w:t>
            </w:r>
          </w:p>
        </w:tc>
        <w:tc>
          <w:tcPr>
            <w:tcW w:w="7230" w:type="dxa"/>
          </w:tcPr>
          <w:p w14:paraId="088CA7DE"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Australian Government’s whole-of-government grants information system, which centralises the publication and reporting of Commonwealth grants.</w:t>
            </w:r>
          </w:p>
          <w:p w14:paraId="1710B64F" w14:textId="28FC68EA" w:rsidR="008410AB" w:rsidRPr="00C76D0F" w:rsidRDefault="004D262C" w:rsidP="00EB4329">
            <w:pPr>
              <w:autoSpaceDE w:val="0"/>
              <w:autoSpaceDN w:val="0"/>
              <w:adjustRightInd w:val="0"/>
              <w:rPr>
                <w:rFonts w:cs="Arial"/>
                <w:color w:val="000000"/>
                <w:sz w:val="20"/>
                <w:szCs w:val="20"/>
              </w:rPr>
            </w:pPr>
            <w:hyperlink r:id="rId88" w:history="1">
              <w:r w:rsidR="008410AB" w:rsidRPr="00C76D0F">
                <w:rPr>
                  <w:rStyle w:val="Hyperlink"/>
                  <w:rFonts w:cs="Arial"/>
                  <w:sz w:val="20"/>
                  <w:szCs w:val="20"/>
                </w:rPr>
                <w:t>Source</w:t>
              </w:r>
            </w:hyperlink>
          </w:p>
        </w:tc>
      </w:tr>
      <w:tr w:rsidR="008410AB" w14:paraId="1991E6F9" w14:textId="77777777" w:rsidTr="00EB4329">
        <w:tc>
          <w:tcPr>
            <w:tcW w:w="2546" w:type="dxa"/>
          </w:tcPr>
          <w:p w14:paraId="43D7CB92" w14:textId="23389176" w:rsidR="008410AB" w:rsidRPr="00C76D0F" w:rsidRDefault="008410AB" w:rsidP="00EB4329">
            <w:pPr>
              <w:rPr>
                <w:rFonts w:cs="Arial"/>
                <w:color w:val="000000"/>
                <w:sz w:val="20"/>
                <w:szCs w:val="20"/>
              </w:rPr>
            </w:pPr>
            <w:r w:rsidRPr="00C76D0F">
              <w:rPr>
                <w:rFonts w:cs="Arial"/>
                <w:color w:val="000000"/>
                <w:sz w:val="20"/>
                <w:szCs w:val="20"/>
              </w:rPr>
              <w:t>Grants Processing System</w:t>
            </w:r>
            <w:r w:rsidR="009724C7">
              <w:rPr>
                <w:rFonts w:cs="Arial"/>
                <w:color w:val="000000"/>
                <w:sz w:val="20"/>
                <w:szCs w:val="20"/>
              </w:rPr>
              <w:t xml:space="preserve"> (GPS)</w:t>
            </w:r>
          </w:p>
        </w:tc>
        <w:tc>
          <w:tcPr>
            <w:tcW w:w="7230" w:type="dxa"/>
          </w:tcPr>
          <w:p w14:paraId="48A96E1D"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GPS is the Community Grants Hub’s grants processing system used to record and manage grants applied for and awarded across the Hub’s client agencies. It includes:</w:t>
            </w:r>
          </w:p>
          <w:p w14:paraId="26F232B7" w14:textId="77777777" w:rsidR="008410AB" w:rsidRPr="00C76D0F" w:rsidRDefault="008410AB" w:rsidP="00181F7A">
            <w:pPr>
              <w:pStyle w:val="ListParagraph"/>
              <w:numPr>
                <w:ilvl w:val="0"/>
                <w:numId w:val="12"/>
              </w:numPr>
              <w:autoSpaceDE w:val="0"/>
              <w:autoSpaceDN w:val="0"/>
              <w:adjustRightInd w:val="0"/>
              <w:rPr>
                <w:rFonts w:cs="Arial"/>
                <w:color w:val="000000"/>
                <w:sz w:val="20"/>
                <w:szCs w:val="20"/>
              </w:rPr>
            </w:pPr>
            <w:r w:rsidRPr="00C76D0F">
              <w:rPr>
                <w:rFonts w:cs="Arial"/>
                <w:color w:val="000000"/>
                <w:sz w:val="20"/>
                <w:szCs w:val="20"/>
              </w:rPr>
              <w:t>standard grants functionality to support block funding and some individualised  funding</w:t>
            </w:r>
          </w:p>
          <w:p w14:paraId="34906AB3" w14:textId="77777777" w:rsidR="008410AB" w:rsidRPr="00C76D0F" w:rsidRDefault="008410AB" w:rsidP="00181F7A">
            <w:pPr>
              <w:pStyle w:val="ListParagraph"/>
              <w:numPr>
                <w:ilvl w:val="0"/>
                <w:numId w:val="12"/>
              </w:numPr>
              <w:autoSpaceDE w:val="0"/>
              <w:autoSpaceDN w:val="0"/>
              <w:adjustRightInd w:val="0"/>
              <w:rPr>
                <w:rFonts w:cs="Arial"/>
                <w:color w:val="000000"/>
                <w:sz w:val="20"/>
                <w:szCs w:val="20"/>
              </w:rPr>
            </w:pPr>
            <w:r w:rsidRPr="00C76D0F">
              <w:rPr>
                <w:rFonts w:cs="Arial"/>
                <w:color w:val="000000"/>
                <w:sz w:val="20"/>
                <w:szCs w:val="20"/>
              </w:rPr>
              <w:t>grants rounds and application assessment</w:t>
            </w:r>
          </w:p>
          <w:p w14:paraId="235A352A" w14:textId="77777777" w:rsidR="008410AB" w:rsidRPr="00C76D0F" w:rsidRDefault="008410AB" w:rsidP="00181F7A">
            <w:pPr>
              <w:pStyle w:val="ListParagraph"/>
              <w:numPr>
                <w:ilvl w:val="0"/>
                <w:numId w:val="12"/>
              </w:numPr>
              <w:autoSpaceDE w:val="0"/>
              <w:autoSpaceDN w:val="0"/>
              <w:adjustRightInd w:val="0"/>
              <w:rPr>
                <w:rFonts w:cs="Arial"/>
                <w:color w:val="000000"/>
                <w:sz w:val="20"/>
                <w:szCs w:val="20"/>
              </w:rPr>
            </w:pPr>
            <w:r w:rsidRPr="00C76D0F">
              <w:rPr>
                <w:rFonts w:cs="Arial"/>
                <w:color w:val="000000"/>
                <w:sz w:val="20"/>
                <w:szCs w:val="20"/>
              </w:rPr>
              <w:t>review functionality for reporting</w:t>
            </w:r>
          </w:p>
          <w:p w14:paraId="56B64175" w14:textId="77777777" w:rsidR="008410AB" w:rsidRPr="00C76D0F" w:rsidRDefault="008410AB" w:rsidP="00181F7A">
            <w:pPr>
              <w:pStyle w:val="ListParagraph"/>
              <w:numPr>
                <w:ilvl w:val="0"/>
                <w:numId w:val="12"/>
              </w:numPr>
              <w:autoSpaceDE w:val="0"/>
              <w:autoSpaceDN w:val="0"/>
              <w:adjustRightInd w:val="0"/>
              <w:rPr>
                <w:rFonts w:cs="Arial"/>
                <w:color w:val="000000"/>
                <w:sz w:val="20"/>
                <w:szCs w:val="20"/>
              </w:rPr>
            </w:pPr>
            <w:r w:rsidRPr="00C76D0F">
              <w:rPr>
                <w:rFonts w:cs="Arial"/>
                <w:color w:val="000000"/>
                <w:sz w:val="20"/>
                <w:szCs w:val="20"/>
              </w:rPr>
              <w:lastRenderedPageBreak/>
              <w:t>grant agreement creation and management including financial commitment recording and payment processing.</w:t>
            </w:r>
          </w:p>
          <w:p w14:paraId="28F9FDFF" w14:textId="69FF6321" w:rsidR="008410AB" w:rsidRPr="00C76D0F" w:rsidRDefault="004D262C" w:rsidP="00EB4329">
            <w:pPr>
              <w:autoSpaceDE w:val="0"/>
              <w:autoSpaceDN w:val="0"/>
              <w:adjustRightInd w:val="0"/>
              <w:rPr>
                <w:rFonts w:cs="Arial"/>
                <w:color w:val="000000"/>
                <w:sz w:val="20"/>
                <w:szCs w:val="20"/>
              </w:rPr>
            </w:pPr>
            <w:hyperlink r:id="rId89" w:history="1">
              <w:r w:rsidR="008410AB" w:rsidRPr="00C76D0F">
                <w:rPr>
                  <w:rStyle w:val="Hyperlink"/>
                  <w:rFonts w:cs="Arial"/>
                  <w:sz w:val="20"/>
                  <w:szCs w:val="20"/>
                </w:rPr>
                <w:t>Source</w:t>
              </w:r>
            </w:hyperlink>
          </w:p>
        </w:tc>
      </w:tr>
      <w:tr w:rsidR="008410AB" w14:paraId="4371BE61" w14:textId="77777777" w:rsidTr="00EB4329">
        <w:tc>
          <w:tcPr>
            <w:tcW w:w="2546" w:type="dxa"/>
          </w:tcPr>
          <w:p w14:paraId="19FCE56C" w14:textId="3F6D4291" w:rsidR="008410AB" w:rsidRPr="00C76D0F" w:rsidRDefault="008410AB" w:rsidP="00307E9A">
            <w:pPr>
              <w:rPr>
                <w:rFonts w:cs="Arial"/>
                <w:color w:val="000000"/>
                <w:sz w:val="20"/>
                <w:szCs w:val="20"/>
              </w:rPr>
            </w:pPr>
            <w:r w:rsidRPr="00C76D0F">
              <w:rPr>
                <w:rFonts w:cs="Arial"/>
                <w:color w:val="000000"/>
                <w:sz w:val="20"/>
                <w:szCs w:val="20"/>
              </w:rPr>
              <w:lastRenderedPageBreak/>
              <w:t xml:space="preserve">Outcomes </w:t>
            </w:r>
            <w:r w:rsidR="00307E9A">
              <w:rPr>
                <w:rFonts w:cs="Arial"/>
                <w:color w:val="000000"/>
                <w:sz w:val="20"/>
                <w:szCs w:val="20"/>
              </w:rPr>
              <w:t>F</w:t>
            </w:r>
            <w:r w:rsidR="00307E9A" w:rsidRPr="00C76D0F">
              <w:rPr>
                <w:rFonts w:cs="Arial"/>
                <w:color w:val="000000"/>
                <w:sz w:val="20"/>
                <w:szCs w:val="20"/>
              </w:rPr>
              <w:t>und</w:t>
            </w:r>
          </w:p>
        </w:tc>
        <w:tc>
          <w:tcPr>
            <w:tcW w:w="7230" w:type="dxa"/>
          </w:tcPr>
          <w:p w14:paraId="15FA113E"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An Outcomes Fund will make payments for programs delivered in local communities, based on these programs achieving agreed, measurable outcomes. This will support data</w:t>
            </w:r>
            <w:r w:rsidRPr="00C76D0F">
              <w:rPr>
                <w:rFonts w:ascii="Cambria Math" w:hAnsi="Cambria Math" w:cs="Cambria Math"/>
                <w:color w:val="000000"/>
                <w:sz w:val="20"/>
                <w:szCs w:val="20"/>
              </w:rPr>
              <w:t>‑</w:t>
            </w:r>
            <w:r w:rsidRPr="00C76D0F">
              <w:rPr>
                <w:rFonts w:cs="Arial"/>
                <w:color w:val="000000"/>
                <w:sz w:val="20"/>
                <w:szCs w:val="20"/>
              </w:rPr>
              <w:t>driven, evidence</w:t>
            </w:r>
            <w:r w:rsidRPr="00C76D0F">
              <w:rPr>
                <w:rFonts w:ascii="Cambria Math" w:hAnsi="Cambria Math" w:cs="Cambria Math"/>
                <w:color w:val="000000"/>
                <w:sz w:val="20"/>
                <w:szCs w:val="20"/>
              </w:rPr>
              <w:t>‑</w:t>
            </w:r>
            <w:r w:rsidRPr="00C76D0F">
              <w:rPr>
                <w:rFonts w:cs="Arial"/>
                <w:color w:val="000000"/>
                <w:sz w:val="20"/>
                <w:szCs w:val="20"/>
              </w:rPr>
              <w:t xml:space="preserve">based solutions, improving outcomes in a range of policy areas. </w:t>
            </w:r>
          </w:p>
          <w:p w14:paraId="3574230F" w14:textId="5D9F7D81" w:rsidR="008410AB" w:rsidRPr="00C76D0F" w:rsidRDefault="004D262C" w:rsidP="00307E9A">
            <w:pPr>
              <w:autoSpaceDE w:val="0"/>
              <w:autoSpaceDN w:val="0"/>
              <w:adjustRightInd w:val="0"/>
              <w:rPr>
                <w:rFonts w:cs="Arial"/>
                <w:color w:val="000000"/>
                <w:sz w:val="20"/>
                <w:szCs w:val="20"/>
              </w:rPr>
            </w:pPr>
            <w:hyperlink r:id="rId90" w:history="1">
              <w:r w:rsidR="008410AB" w:rsidRPr="00C76D0F">
                <w:rPr>
                  <w:rStyle w:val="Hyperlink"/>
                  <w:rFonts w:cs="Arial"/>
                  <w:sz w:val="20"/>
                  <w:szCs w:val="20"/>
                </w:rPr>
                <w:t>Source</w:t>
              </w:r>
            </w:hyperlink>
          </w:p>
        </w:tc>
      </w:tr>
      <w:tr w:rsidR="008410AB" w14:paraId="7A2C5797" w14:textId="77777777" w:rsidTr="00EB4329">
        <w:tc>
          <w:tcPr>
            <w:tcW w:w="2546" w:type="dxa"/>
          </w:tcPr>
          <w:p w14:paraId="6929CFA9" w14:textId="77777777" w:rsidR="008410AB" w:rsidRPr="00C76D0F" w:rsidRDefault="008410AB" w:rsidP="00EB4329">
            <w:pPr>
              <w:rPr>
                <w:rFonts w:cs="Arial"/>
                <w:color w:val="000000"/>
                <w:sz w:val="20"/>
                <w:szCs w:val="20"/>
              </w:rPr>
            </w:pPr>
            <w:r w:rsidRPr="00C76D0F">
              <w:rPr>
                <w:rFonts w:cs="Arial"/>
                <w:color w:val="000000"/>
                <w:sz w:val="20"/>
                <w:szCs w:val="20"/>
              </w:rPr>
              <w:t>Partnership</w:t>
            </w:r>
          </w:p>
        </w:tc>
        <w:tc>
          <w:tcPr>
            <w:tcW w:w="7230" w:type="dxa"/>
          </w:tcPr>
          <w:p w14:paraId="07D7BAF7" w14:textId="0068AE6C"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 partnership is an agreement by legal persons to share responsibility for debts, losses and obligations which any individual partner may take on in the course of conducting the business or activities of the partnership. An individual partner may be any of the types of legal entities described in</w:t>
            </w:r>
            <w:r w:rsidR="009724C7">
              <w:rPr>
                <w:rFonts w:cs="Arial"/>
                <w:color w:val="000000"/>
                <w:sz w:val="20"/>
                <w:szCs w:val="20"/>
              </w:rPr>
              <w:t xml:space="preserve"> the agreement</w:t>
            </w:r>
            <w:r w:rsidRPr="00C76D0F">
              <w:rPr>
                <w:rFonts w:cs="Arial"/>
                <w:color w:val="000000"/>
                <w:sz w:val="20"/>
                <w:szCs w:val="20"/>
              </w:rPr>
              <w:t xml:space="preserve">. A partnership may consist of both government and private partners. An individual partner can enter into agreements on behalf of the partnership. The department </w:t>
            </w:r>
            <w:r w:rsidR="009724C7">
              <w:rPr>
                <w:rFonts w:cs="Arial"/>
                <w:color w:val="000000"/>
                <w:sz w:val="20"/>
                <w:szCs w:val="20"/>
              </w:rPr>
              <w:t>can</w:t>
            </w:r>
            <w:r w:rsidR="009724C7" w:rsidRPr="00C76D0F">
              <w:rPr>
                <w:rFonts w:cs="Arial"/>
                <w:color w:val="000000"/>
                <w:sz w:val="20"/>
                <w:szCs w:val="20"/>
              </w:rPr>
              <w:t xml:space="preserve"> </w:t>
            </w:r>
            <w:r w:rsidRPr="00C76D0F">
              <w:rPr>
                <w:rFonts w:cs="Arial"/>
                <w:color w:val="000000"/>
                <w:sz w:val="20"/>
                <w:szCs w:val="20"/>
              </w:rPr>
              <w:t>enter into an agreement with the individual partners of the partnership.</w:t>
            </w:r>
          </w:p>
        </w:tc>
      </w:tr>
      <w:tr w:rsidR="008410AB" w14:paraId="3BEC6040" w14:textId="77777777" w:rsidTr="00EB4329">
        <w:tc>
          <w:tcPr>
            <w:tcW w:w="2546" w:type="dxa"/>
          </w:tcPr>
          <w:p w14:paraId="086F7584" w14:textId="77777777" w:rsidR="008410AB" w:rsidRPr="00C76D0F" w:rsidRDefault="008410AB" w:rsidP="00EB4329">
            <w:pPr>
              <w:rPr>
                <w:rFonts w:cs="Arial"/>
                <w:color w:val="000000"/>
                <w:sz w:val="20"/>
                <w:szCs w:val="20"/>
              </w:rPr>
            </w:pPr>
            <w:r w:rsidRPr="00C76D0F">
              <w:rPr>
                <w:rFonts w:cs="Arial"/>
                <w:color w:val="000000"/>
                <w:sz w:val="20"/>
                <w:szCs w:val="20"/>
              </w:rPr>
              <w:t>Place-Based Program Model</w:t>
            </w:r>
          </w:p>
        </w:tc>
        <w:tc>
          <w:tcPr>
            <w:tcW w:w="7230" w:type="dxa"/>
          </w:tcPr>
          <w:p w14:paraId="7E37C0CC" w14:textId="39279B36"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Place-based funding meets specific, often localised needs by using targeted or tailored approaches that are developed in partnership with grant recipients.</w:t>
            </w:r>
          </w:p>
        </w:tc>
      </w:tr>
      <w:tr w:rsidR="008410AB" w14:paraId="46E73CE8" w14:textId="77777777" w:rsidTr="00EB4329">
        <w:tc>
          <w:tcPr>
            <w:tcW w:w="2546" w:type="dxa"/>
          </w:tcPr>
          <w:p w14:paraId="763540C0" w14:textId="77777777" w:rsidR="008410AB" w:rsidRPr="00C76D0F" w:rsidRDefault="008410AB" w:rsidP="00EB4329">
            <w:pPr>
              <w:rPr>
                <w:rFonts w:cs="Arial"/>
                <w:color w:val="000000"/>
                <w:sz w:val="20"/>
                <w:szCs w:val="20"/>
              </w:rPr>
            </w:pPr>
            <w:r w:rsidRPr="00C76D0F">
              <w:rPr>
                <w:rFonts w:cs="Arial"/>
                <w:color w:val="000000"/>
                <w:sz w:val="20"/>
                <w:szCs w:val="20"/>
              </w:rPr>
              <w:t>Procurement</w:t>
            </w:r>
          </w:p>
        </w:tc>
        <w:tc>
          <w:tcPr>
            <w:tcW w:w="7230" w:type="dxa"/>
          </w:tcPr>
          <w:p w14:paraId="74020D38"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Encompasses the whole process of procuring goods and services. See paragraphs 2.7 to 2.9 in the Commonwealth Procurement Rules.</w:t>
            </w:r>
          </w:p>
          <w:p w14:paraId="0DC206C5"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Procurement achieves policy objectives through the acquisition of goods and services for the Commonwealth’s own use or for the use of third parties.</w:t>
            </w:r>
          </w:p>
          <w:p w14:paraId="678A7CEB" w14:textId="150664CC" w:rsidR="008410AB" w:rsidRPr="00C76D0F" w:rsidRDefault="004D262C" w:rsidP="00EB4329">
            <w:pPr>
              <w:autoSpaceDE w:val="0"/>
              <w:autoSpaceDN w:val="0"/>
              <w:adjustRightInd w:val="0"/>
              <w:rPr>
                <w:rFonts w:cs="Arial"/>
                <w:color w:val="000000"/>
                <w:sz w:val="20"/>
                <w:szCs w:val="20"/>
              </w:rPr>
            </w:pPr>
            <w:hyperlink r:id="rId91" w:history="1">
              <w:r w:rsidR="008410AB" w:rsidRPr="00C76D0F">
                <w:rPr>
                  <w:rStyle w:val="Hyperlink"/>
                  <w:rFonts w:cs="Arial"/>
                  <w:sz w:val="20"/>
                  <w:szCs w:val="20"/>
                </w:rPr>
                <w:t>Source</w:t>
              </w:r>
            </w:hyperlink>
          </w:p>
        </w:tc>
      </w:tr>
      <w:tr w:rsidR="008410AB" w14:paraId="025D3A6D" w14:textId="77777777" w:rsidTr="00EB4329">
        <w:tc>
          <w:tcPr>
            <w:tcW w:w="2546" w:type="dxa"/>
          </w:tcPr>
          <w:p w14:paraId="4547BEDE" w14:textId="055E5824" w:rsidR="008410AB" w:rsidRPr="00C76D0F" w:rsidRDefault="008410AB" w:rsidP="00EB4329">
            <w:pPr>
              <w:rPr>
                <w:rFonts w:cs="Arial"/>
                <w:color w:val="000000"/>
                <w:sz w:val="20"/>
                <w:szCs w:val="20"/>
              </w:rPr>
            </w:pPr>
            <w:r w:rsidRPr="00C76D0F">
              <w:rPr>
                <w:rFonts w:cs="Arial"/>
                <w:color w:val="000000"/>
                <w:sz w:val="20"/>
                <w:szCs w:val="20"/>
              </w:rPr>
              <w:t xml:space="preserve">Selection </w:t>
            </w:r>
            <w:r w:rsidR="00613DE3" w:rsidRPr="00C76D0F">
              <w:rPr>
                <w:rFonts w:cs="Arial"/>
                <w:color w:val="000000"/>
                <w:sz w:val="20"/>
                <w:szCs w:val="20"/>
              </w:rPr>
              <w:t>p</w:t>
            </w:r>
            <w:r w:rsidRPr="00C76D0F">
              <w:rPr>
                <w:rFonts w:cs="Arial"/>
                <w:color w:val="000000"/>
                <w:sz w:val="20"/>
                <w:szCs w:val="20"/>
              </w:rPr>
              <w:t>rocesses</w:t>
            </w:r>
          </w:p>
        </w:tc>
        <w:tc>
          <w:tcPr>
            <w:tcW w:w="7230" w:type="dxa"/>
          </w:tcPr>
          <w:p w14:paraId="6C72356B"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The process used to select successful applications. Types of selection processes used include:</w:t>
            </w:r>
          </w:p>
          <w:p w14:paraId="568EF009" w14:textId="77777777"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Open competitive</w:t>
            </w:r>
          </w:p>
          <w:p w14:paraId="6A48C676" w14:textId="77777777" w:rsidR="00A50C3F" w:rsidRPr="00C76D0F" w:rsidRDefault="00A50C3F" w:rsidP="00181F7A">
            <w:pPr>
              <w:pStyle w:val="ListParagraph"/>
              <w:numPr>
                <w:ilvl w:val="0"/>
                <w:numId w:val="16"/>
              </w:numPr>
              <w:autoSpaceDE w:val="0"/>
              <w:autoSpaceDN w:val="0"/>
              <w:adjustRightInd w:val="0"/>
              <w:rPr>
                <w:rFonts w:cs="Arial"/>
                <w:color w:val="000000"/>
                <w:sz w:val="20"/>
                <w:szCs w:val="20"/>
              </w:rPr>
            </w:pPr>
            <w:r w:rsidRPr="00C76D0F">
              <w:rPr>
                <w:rFonts w:cs="Arial"/>
                <w:color w:val="000000"/>
                <w:sz w:val="20"/>
                <w:szCs w:val="20"/>
              </w:rPr>
              <w:t>Open competitive funding rounds have open and closed nominated dates, with eligible applications being assessed against the nominated selection criteria. The delegate may select to fund some or all applications.</w:t>
            </w:r>
          </w:p>
          <w:p w14:paraId="77929D9F" w14:textId="39960616"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Targeted or restricted competitive</w:t>
            </w:r>
          </w:p>
          <w:p w14:paraId="336070AA" w14:textId="0AB8962A" w:rsidR="00A50C3F" w:rsidRPr="00C76D0F" w:rsidRDefault="00A50C3F" w:rsidP="00181F7A">
            <w:pPr>
              <w:pStyle w:val="ListParagraph"/>
              <w:numPr>
                <w:ilvl w:val="0"/>
                <w:numId w:val="16"/>
              </w:numPr>
              <w:autoSpaceDE w:val="0"/>
              <w:autoSpaceDN w:val="0"/>
              <w:adjustRightInd w:val="0"/>
              <w:rPr>
                <w:rFonts w:cs="Arial"/>
                <w:color w:val="000000"/>
                <w:sz w:val="20"/>
                <w:szCs w:val="20"/>
              </w:rPr>
            </w:pPr>
            <w:r w:rsidRPr="00C76D0F">
              <w:rPr>
                <w:rFonts w:cs="Arial"/>
                <w:color w:val="000000"/>
                <w:sz w:val="20"/>
                <w:szCs w:val="20"/>
              </w:rPr>
              <w:t>A targeted or restricted grant round is competitive, but is only open to a limited number of potential grant recipients. This selection process is used where there are few providers available in the market. This may be because of the highly specialised services or expertise required, geographical considerations or time constraints. Organisations are invited to apply and are assessed against selection criteria.</w:t>
            </w:r>
          </w:p>
          <w:p w14:paraId="10879B97" w14:textId="77777777"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Open non-competitive</w:t>
            </w:r>
          </w:p>
          <w:p w14:paraId="4C816003" w14:textId="77777777" w:rsidR="00A50C3F" w:rsidRPr="00C76D0F" w:rsidRDefault="00A50C3F" w:rsidP="00181F7A">
            <w:pPr>
              <w:pStyle w:val="ListParagraph"/>
              <w:numPr>
                <w:ilvl w:val="0"/>
                <w:numId w:val="16"/>
              </w:numPr>
              <w:autoSpaceDE w:val="0"/>
              <w:autoSpaceDN w:val="0"/>
              <w:adjustRightInd w:val="0"/>
              <w:rPr>
                <w:rFonts w:cs="Arial"/>
                <w:color w:val="000000"/>
                <w:sz w:val="20"/>
                <w:szCs w:val="20"/>
              </w:rPr>
            </w:pPr>
            <w:r w:rsidRPr="00C76D0F">
              <w:rPr>
                <w:rFonts w:cs="Arial"/>
                <w:color w:val="000000"/>
                <w:sz w:val="20"/>
                <w:szCs w:val="20"/>
              </w:rPr>
              <w:t>An open non-competitive selection process is open to the market for eligible organisations or individuals to apply. The delegate may select to fund all applications that meet eligibility and selection criteria. Typically, all eligible applications are funded.</w:t>
            </w:r>
          </w:p>
          <w:p w14:paraId="7B6FBAE0" w14:textId="15DFF9DD"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Closed non-competitive</w:t>
            </w:r>
          </w:p>
          <w:p w14:paraId="30376377" w14:textId="77777777" w:rsidR="00A50C3F" w:rsidRPr="00C76D0F" w:rsidRDefault="00A50C3F" w:rsidP="00181F7A">
            <w:pPr>
              <w:pStyle w:val="ListParagraph"/>
              <w:numPr>
                <w:ilvl w:val="0"/>
                <w:numId w:val="16"/>
              </w:numPr>
              <w:autoSpaceDE w:val="0"/>
              <w:autoSpaceDN w:val="0"/>
              <w:adjustRightInd w:val="0"/>
              <w:rPr>
                <w:rFonts w:cs="Arial"/>
                <w:color w:val="000000"/>
                <w:sz w:val="20"/>
                <w:szCs w:val="20"/>
              </w:rPr>
            </w:pPr>
            <w:r w:rsidRPr="00C76D0F">
              <w:rPr>
                <w:rFonts w:cs="Arial"/>
                <w:color w:val="000000"/>
                <w:sz w:val="20"/>
                <w:szCs w:val="20"/>
              </w:rPr>
              <w:t>A restricted non-competitive selection process where applicants are invited by the entity to submit applications for a particular grant and the applications or proposals are not assessed against other applicants’ submissions but assessed individually against other criteria. Typically, all eligible applications are funded.</w:t>
            </w:r>
          </w:p>
          <w:p w14:paraId="45F68268" w14:textId="0579E448"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Demand-driven</w:t>
            </w:r>
          </w:p>
          <w:p w14:paraId="1590606C" w14:textId="6D9E2BE6" w:rsidR="00A50C3F" w:rsidRPr="00C76D0F" w:rsidRDefault="00A50C3F" w:rsidP="00181F7A">
            <w:pPr>
              <w:pStyle w:val="ListParagraph"/>
              <w:numPr>
                <w:ilvl w:val="0"/>
                <w:numId w:val="16"/>
              </w:numPr>
              <w:autoSpaceDE w:val="0"/>
              <w:autoSpaceDN w:val="0"/>
              <w:adjustRightInd w:val="0"/>
              <w:rPr>
                <w:rFonts w:cs="Arial"/>
                <w:color w:val="000000"/>
                <w:sz w:val="20"/>
                <w:szCs w:val="20"/>
              </w:rPr>
            </w:pPr>
            <w:r w:rsidRPr="00C76D0F">
              <w:rPr>
                <w:rFonts w:cs="Arial"/>
                <w:color w:val="000000"/>
                <w:sz w:val="20"/>
                <w:szCs w:val="20"/>
              </w:rPr>
              <w:lastRenderedPageBreak/>
              <w:t>In a demand-driven grant round, applications that satisfy stated eligibility criteria receive funding, up to the limit of available funding. Demand-driven grant rounds are subject to revision, suspension or abolition of the grant opportunity.</w:t>
            </w:r>
          </w:p>
          <w:p w14:paraId="5ECFCC4D" w14:textId="77777777" w:rsidR="00A50C3F" w:rsidRPr="00C76D0F" w:rsidRDefault="00A50C3F" w:rsidP="00CD3339">
            <w:pPr>
              <w:autoSpaceDE w:val="0"/>
              <w:autoSpaceDN w:val="0"/>
              <w:adjustRightInd w:val="0"/>
              <w:rPr>
                <w:rFonts w:cs="Arial"/>
                <w:color w:val="000000"/>
                <w:sz w:val="20"/>
                <w:szCs w:val="20"/>
              </w:rPr>
            </w:pPr>
            <w:r w:rsidRPr="00C76D0F">
              <w:rPr>
                <w:rFonts w:cs="Arial"/>
                <w:color w:val="000000"/>
                <w:sz w:val="20"/>
                <w:szCs w:val="20"/>
              </w:rPr>
              <w:t>One-off</w:t>
            </w:r>
          </w:p>
          <w:p w14:paraId="36F566EF" w14:textId="77777777" w:rsidR="009724C7" w:rsidRDefault="00EB4329" w:rsidP="009724C7">
            <w:pPr>
              <w:numPr>
                <w:ilvl w:val="0"/>
                <w:numId w:val="16"/>
              </w:numPr>
              <w:autoSpaceDE w:val="0"/>
              <w:autoSpaceDN w:val="0"/>
              <w:adjustRightInd w:val="0"/>
              <w:rPr>
                <w:rFonts w:cs="Arial"/>
                <w:color w:val="000000"/>
                <w:sz w:val="20"/>
                <w:szCs w:val="20"/>
              </w:rPr>
            </w:pPr>
            <w:r w:rsidRPr="00C76D0F">
              <w:rPr>
                <w:rFonts w:cs="Arial"/>
                <w:color w:val="000000"/>
                <w:sz w:val="20"/>
                <w:szCs w:val="20"/>
              </w:rPr>
              <w:t>Grants to be determined on an ad hoc basis, usually by ministerial decision. These grants are generally not available to a range of grantees or on an ongoing basis.</w:t>
            </w:r>
          </w:p>
          <w:p w14:paraId="6316F260" w14:textId="660F98E8" w:rsidR="009724C7" w:rsidRPr="00C76D0F" w:rsidRDefault="004D262C" w:rsidP="00C76D0F">
            <w:pPr>
              <w:autoSpaceDE w:val="0"/>
              <w:autoSpaceDN w:val="0"/>
              <w:adjustRightInd w:val="0"/>
              <w:rPr>
                <w:rFonts w:cs="Arial"/>
                <w:color w:val="000000"/>
                <w:sz w:val="20"/>
                <w:szCs w:val="20"/>
              </w:rPr>
            </w:pPr>
            <w:hyperlink r:id="rId92" w:history="1">
              <w:r w:rsidR="009724C7" w:rsidRPr="003A5C7E">
                <w:rPr>
                  <w:rStyle w:val="Hyperlink"/>
                  <w:rFonts w:cs="Arial"/>
                  <w:sz w:val="20"/>
                  <w:szCs w:val="20"/>
                </w:rPr>
                <w:t>Source</w:t>
              </w:r>
            </w:hyperlink>
          </w:p>
        </w:tc>
      </w:tr>
      <w:tr w:rsidR="008410AB" w14:paraId="08797182" w14:textId="77777777" w:rsidTr="00A00979">
        <w:tc>
          <w:tcPr>
            <w:tcW w:w="2546" w:type="dxa"/>
          </w:tcPr>
          <w:p w14:paraId="4D970A24" w14:textId="6B846255" w:rsidR="008410AB" w:rsidRPr="00C76D0F" w:rsidRDefault="008410AB" w:rsidP="007D035F">
            <w:pPr>
              <w:rPr>
                <w:rFonts w:cs="Arial"/>
                <w:color w:val="000000"/>
                <w:sz w:val="20"/>
                <w:szCs w:val="20"/>
              </w:rPr>
            </w:pPr>
            <w:r w:rsidRPr="00C76D0F">
              <w:rPr>
                <w:rFonts w:cs="Arial"/>
                <w:color w:val="000000"/>
                <w:sz w:val="20"/>
                <w:szCs w:val="20"/>
              </w:rPr>
              <w:lastRenderedPageBreak/>
              <w:t xml:space="preserve">Stronger Places, Stronger People </w:t>
            </w:r>
            <w:r w:rsidR="007D035F" w:rsidRPr="00C76D0F">
              <w:rPr>
                <w:rFonts w:cs="Arial"/>
                <w:color w:val="000000"/>
                <w:sz w:val="20"/>
                <w:szCs w:val="20"/>
              </w:rPr>
              <w:t>(SPSP) initiative</w:t>
            </w:r>
          </w:p>
        </w:tc>
        <w:tc>
          <w:tcPr>
            <w:tcW w:w="7230" w:type="dxa"/>
            <w:shd w:val="clear" w:color="auto" w:fill="auto"/>
          </w:tcPr>
          <w:p w14:paraId="39EB05A3" w14:textId="77777777" w:rsidR="008410AB" w:rsidRDefault="007D035F" w:rsidP="00F12A15">
            <w:pPr>
              <w:autoSpaceDE w:val="0"/>
              <w:autoSpaceDN w:val="0"/>
              <w:adjustRightInd w:val="0"/>
              <w:rPr>
                <w:rFonts w:cs="Arial"/>
                <w:color w:val="000000"/>
                <w:sz w:val="20"/>
                <w:szCs w:val="20"/>
              </w:rPr>
            </w:pPr>
            <w:r w:rsidRPr="00C76D0F">
              <w:rPr>
                <w:rFonts w:cs="Arial"/>
                <w:color w:val="000000"/>
                <w:sz w:val="20"/>
                <w:szCs w:val="20"/>
              </w:rPr>
              <w:t xml:space="preserve">The SPSP initiative supports community-led systems change in 10 communities through bilateral partnerships. The goal of the initiative is </w:t>
            </w:r>
            <w:r w:rsidR="00C6369C" w:rsidRPr="00C76D0F">
              <w:rPr>
                <w:rFonts w:cs="Arial"/>
                <w:color w:val="000000"/>
                <w:sz w:val="20"/>
                <w:szCs w:val="20"/>
              </w:rPr>
              <w:t xml:space="preserve">to disrupt disadvantage and early evidence of impacts </w:t>
            </w:r>
            <w:r w:rsidR="00F12A15" w:rsidRPr="00C76D0F">
              <w:rPr>
                <w:rFonts w:cs="Arial"/>
                <w:color w:val="000000"/>
                <w:sz w:val="20"/>
                <w:szCs w:val="20"/>
              </w:rPr>
              <w:t>i</w:t>
            </w:r>
            <w:r w:rsidR="00C6369C" w:rsidRPr="00C76D0F">
              <w:rPr>
                <w:rFonts w:cs="Arial"/>
                <w:color w:val="000000"/>
                <w:sz w:val="20"/>
                <w:szCs w:val="20"/>
              </w:rPr>
              <w:t>s be</w:t>
            </w:r>
            <w:r w:rsidR="00F12A15" w:rsidRPr="00C76D0F">
              <w:rPr>
                <w:rFonts w:cs="Arial"/>
                <w:color w:val="000000"/>
                <w:sz w:val="20"/>
                <w:szCs w:val="20"/>
              </w:rPr>
              <w:t>ing</w:t>
            </w:r>
            <w:r w:rsidR="00C6369C" w:rsidRPr="00C76D0F">
              <w:rPr>
                <w:rFonts w:cs="Arial"/>
                <w:color w:val="000000"/>
                <w:sz w:val="20"/>
                <w:szCs w:val="20"/>
              </w:rPr>
              <w:t xml:space="preserve"> demonstrated. </w:t>
            </w:r>
          </w:p>
          <w:p w14:paraId="366CD6CE" w14:textId="0A72A79A" w:rsidR="009C750E" w:rsidRPr="00C76D0F" w:rsidRDefault="004D262C" w:rsidP="00F12A15">
            <w:pPr>
              <w:autoSpaceDE w:val="0"/>
              <w:autoSpaceDN w:val="0"/>
              <w:adjustRightInd w:val="0"/>
              <w:rPr>
                <w:rFonts w:cs="Arial"/>
                <w:color w:val="000000"/>
                <w:sz w:val="20"/>
                <w:szCs w:val="20"/>
                <w:highlight w:val="yellow"/>
              </w:rPr>
            </w:pPr>
            <w:hyperlink r:id="rId93" w:history="1">
              <w:r w:rsidR="009C750E" w:rsidRPr="009C750E">
                <w:rPr>
                  <w:rStyle w:val="Hyperlink"/>
                  <w:rFonts w:cs="Arial"/>
                  <w:sz w:val="20"/>
                  <w:szCs w:val="20"/>
                </w:rPr>
                <w:t>Source</w:t>
              </w:r>
            </w:hyperlink>
          </w:p>
        </w:tc>
      </w:tr>
      <w:tr w:rsidR="008410AB" w14:paraId="6E4916FC" w14:textId="77777777" w:rsidTr="00EB4329">
        <w:tc>
          <w:tcPr>
            <w:tcW w:w="2546" w:type="dxa"/>
          </w:tcPr>
          <w:p w14:paraId="36044572" w14:textId="77777777" w:rsidR="008410AB" w:rsidRPr="00C76D0F" w:rsidRDefault="008410AB" w:rsidP="00EB4329">
            <w:pPr>
              <w:rPr>
                <w:rFonts w:cs="Arial"/>
                <w:color w:val="000000"/>
                <w:sz w:val="20"/>
                <w:szCs w:val="20"/>
              </w:rPr>
            </w:pPr>
            <w:r w:rsidRPr="00C76D0F">
              <w:rPr>
                <w:rFonts w:cs="Arial"/>
                <w:color w:val="000000"/>
                <w:sz w:val="20"/>
                <w:szCs w:val="20"/>
              </w:rPr>
              <w:t>Sub-contract</w:t>
            </w:r>
          </w:p>
        </w:tc>
        <w:tc>
          <w:tcPr>
            <w:tcW w:w="7230" w:type="dxa"/>
          </w:tcPr>
          <w:p w14:paraId="5CE8E940" w14:textId="184C9F4B" w:rsidR="008410AB" w:rsidRPr="00C76D0F" w:rsidRDefault="00E808F1" w:rsidP="00EB4329">
            <w:pPr>
              <w:autoSpaceDE w:val="0"/>
              <w:autoSpaceDN w:val="0"/>
              <w:adjustRightInd w:val="0"/>
              <w:rPr>
                <w:rFonts w:cs="Arial"/>
                <w:color w:val="000000"/>
                <w:sz w:val="20"/>
                <w:szCs w:val="20"/>
                <w:highlight w:val="yellow"/>
              </w:rPr>
            </w:pPr>
            <w:r w:rsidRPr="00C76D0F">
              <w:rPr>
                <w:rFonts w:cs="Arial"/>
                <w:color w:val="000000"/>
                <w:sz w:val="20"/>
                <w:szCs w:val="20"/>
              </w:rPr>
              <w:t>Sub-contracting is the practice of assigning or outsourcing part of the funded activity under a contract to another party. Sub-contractors can include program partners, agents or volunteers.</w:t>
            </w:r>
          </w:p>
        </w:tc>
      </w:tr>
      <w:tr w:rsidR="008410AB" w14:paraId="65623B45" w14:textId="77777777" w:rsidTr="00EB4329">
        <w:tc>
          <w:tcPr>
            <w:tcW w:w="2546" w:type="dxa"/>
          </w:tcPr>
          <w:p w14:paraId="4A615797" w14:textId="77777777" w:rsidR="008410AB" w:rsidRPr="00C76D0F" w:rsidRDefault="008410AB" w:rsidP="00EB4329">
            <w:pPr>
              <w:rPr>
                <w:rFonts w:cs="Arial"/>
                <w:color w:val="000000"/>
                <w:sz w:val="20"/>
                <w:szCs w:val="20"/>
              </w:rPr>
            </w:pPr>
            <w:r w:rsidRPr="00C76D0F">
              <w:rPr>
                <w:rFonts w:cs="Arial"/>
                <w:color w:val="000000"/>
                <w:sz w:val="20"/>
                <w:szCs w:val="20"/>
              </w:rPr>
              <w:t>The Public Governance Performance and Accountability Act 2013</w:t>
            </w:r>
          </w:p>
        </w:tc>
        <w:tc>
          <w:tcPr>
            <w:tcW w:w="7230" w:type="dxa"/>
          </w:tcPr>
          <w:p w14:paraId="136A0583" w14:textId="77777777" w:rsidR="008410AB" w:rsidRPr="00C76D0F" w:rsidRDefault="008410AB" w:rsidP="00EB4329">
            <w:pPr>
              <w:autoSpaceDE w:val="0"/>
              <w:autoSpaceDN w:val="0"/>
              <w:adjustRightInd w:val="0"/>
              <w:rPr>
                <w:rFonts w:cs="Arial"/>
                <w:color w:val="000000"/>
                <w:sz w:val="20"/>
                <w:szCs w:val="20"/>
              </w:rPr>
            </w:pPr>
            <w:r w:rsidRPr="00C76D0F">
              <w:rPr>
                <w:rFonts w:cs="Arial"/>
                <w:color w:val="000000"/>
                <w:sz w:val="20"/>
                <w:szCs w:val="20"/>
              </w:rPr>
              <w:t>An Act about the governance, performance and accountability of, and the use and management of public resources by, the Commonwealth, Commonwealth entities and Commonwealth companies, and for related purposes.</w:t>
            </w:r>
          </w:p>
        </w:tc>
      </w:tr>
    </w:tbl>
    <w:p w14:paraId="4E066CA8" w14:textId="446D383E" w:rsidR="00331E0D" w:rsidRPr="00F3235B" w:rsidRDefault="00331E0D">
      <w:pPr>
        <w:rPr>
          <w:rFonts w:ascii="Calibri" w:hAnsi="Calibri" w:cs="Calibri"/>
          <w:szCs w:val="22"/>
        </w:rPr>
      </w:pPr>
    </w:p>
    <w:sectPr w:rsidR="00331E0D" w:rsidRPr="00F3235B" w:rsidSect="003F6E8F">
      <w:pgSz w:w="11906" w:h="16838"/>
      <w:pgMar w:top="1132" w:right="968" w:bottom="807" w:left="115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D10A" w16cex:dateUtc="2023-07-06T11:47:00Z"/>
  <w16cex:commentExtensible w16cex:durableId="2851F452" w16cex:dateUtc="2023-07-06T14:17:00Z"/>
  <w16cex:commentExtensible w16cex:durableId="2851D8FB" w16cex:dateUtc="2023-07-06T12:21:00Z"/>
  <w16cex:commentExtensible w16cex:durableId="2851DE9F" w16cex:dateUtc="2023-07-06T12:45:00Z"/>
  <w16cex:commentExtensible w16cex:durableId="2851DDBD" w16cex:dateUtc="2023-07-06T12:41:00Z"/>
  <w16cex:commentExtensible w16cex:durableId="2851FAD7" w16cex:dateUtc="2023-07-06T14:45:00Z"/>
  <w16cex:commentExtensible w16cex:durableId="2851300E" w16cex:dateUtc="2023-07-06T02:20:00Z"/>
  <w16cex:commentExtensible w16cex:durableId="2851E159" w16cex:dateUtc="2023-07-06T12:56:00Z"/>
  <w16cex:commentExtensible w16cex:durableId="284495ED" w16cex:dateUtc="2023-06-26T12:55:00Z"/>
  <w16cex:commentExtensible w16cex:durableId="2851E4A9" w16cex:dateUtc="2023-07-06T13:11:00Z"/>
  <w16cex:commentExtensible w16cex:durableId="2851EA8D" w16cex:dateUtc="2023-07-06T13:36:00Z"/>
  <w16cex:commentExtensible w16cex:durableId="2851E89E" w16cex:dateUtc="2023-07-06T13:27:00Z"/>
  <w16cex:commentExtensible w16cex:durableId="285134EF" w16cex:dateUtc="2023-07-06T02:41:00Z"/>
  <w16cex:commentExtensible w16cex:durableId="2851F0B1" w16cex:dateUtc="2023-07-06T14:02:00Z"/>
  <w16cex:commentExtensible w16cex:durableId="28492AC8" w16cex:dateUtc="2023-06-30T00:19:00Z"/>
  <w16cex:commentExtensible w16cex:durableId="2851F4DB" w16cex:dateUtc="2023-07-06T14:20:00Z"/>
  <w16cex:commentExtensible w16cex:durableId="28494C6B" w16cex:dateUtc="2023-06-30T00:43:00Z"/>
  <w16cex:commentExtensible w16cex:durableId="2851F8A7" w16cex:dateUtc="2023-07-06T14:36:00Z"/>
  <w16cex:commentExtensible w16cex:durableId="28514E2C" w16cex:dateUtc="2023-07-06T04:29:00Z"/>
  <w16cex:commentExtensible w16cex:durableId="28514E63" w16cex:dateUtc="2023-07-06T04:29:00Z"/>
  <w16cex:commentExtensible w16cex:durableId="28459688" w16cex:dateUtc="2023-06-27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CB9D9" w16cid:durableId="2851D10A"/>
  <w16cid:commentId w16cid:paraId="14DEFB66" w16cid:durableId="2851F452"/>
  <w16cid:commentId w16cid:paraId="01171D5F" w16cid:durableId="285108B1"/>
  <w16cid:commentId w16cid:paraId="3F5DC3A7" w16cid:durableId="285108B2"/>
  <w16cid:commentId w16cid:paraId="06FEDAD0" w16cid:durableId="2851D8FB"/>
  <w16cid:commentId w16cid:paraId="73B5960D" w16cid:durableId="2851DE9F"/>
  <w16cid:commentId w16cid:paraId="62371804" w16cid:durableId="2851DDBD"/>
  <w16cid:commentId w16cid:paraId="443F1206" w16cid:durableId="285108C1"/>
  <w16cid:commentId w16cid:paraId="4290E66D" w16cid:durableId="285108C2"/>
  <w16cid:commentId w16cid:paraId="1AF185A8" w16cid:durableId="2851FAD7"/>
  <w16cid:commentId w16cid:paraId="609286FA" w16cid:durableId="285108CF"/>
  <w16cid:commentId w16cid:paraId="49ACECBC" w16cid:durableId="285108D0"/>
  <w16cid:commentId w16cid:paraId="60A3B8CA" w16cid:durableId="285108D1"/>
  <w16cid:commentId w16cid:paraId="49824711" w16cid:durableId="285108D2"/>
  <w16cid:commentId w16cid:paraId="2443EC98" w16cid:durableId="2851300E"/>
  <w16cid:commentId w16cid:paraId="416167DA" w16cid:durableId="2851E159"/>
  <w16cid:commentId w16cid:paraId="53E9C82F" w16cid:durableId="284495ED"/>
  <w16cid:commentId w16cid:paraId="4ED85C6B" w16cid:durableId="2847E46F"/>
  <w16cid:commentId w16cid:paraId="216E9505" w16cid:durableId="285108D7"/>
  <w16cid:commentId w16cid:paraId="57ADAE70" w16cid:durableId="2851E4A9"/>
  <w16cid:commentId w16cid:paraId="4143D176" w16cid:durableId="285108DC"/>
  <w16cid:commentId w16cid:paraId="26E316AE" w16cid:durableId="285108DD"/>
  <w16cid:commentId w16cid:paraId="03A67225" w16cid:durableId="285108E2"/>
  <w16cid:commentId w16cid:paraId="36B4C368" w16cid:durableId="285108E3"/>
  <w16cid:commentId w16cid:paraId="4D188783" w16cid:durableId="2851EA8D"/>
  <w16cid:commentId w16cid:paraId="334054F1" w16cid:durableId="285108E4"/>
  <w16cid:commentId w16cid:paraId="13CD74A5" w16cid:durableId="285108E5"/>
  <w16cid:commentId w16cid:paraId="38F1E881" w16cid:durableId="2851E89E"/>
  <w16cid:commentId w16cid:paraId="04BF1ADA" w16cid:durableId="285108EB"/>
  <w16cid:commentId w16cid:paraId="2EDE1868" w16cid:durableId="285108EC"/>
  <w16cid:commentId w16cid:paraId="37C8F275" w16cid:durableId="285134AA"/>
  <w16cid:commentId w16cid:paraId="330A3770" w16cid:durableId="285134A9"/>
  <w16cid:commentId w16cid:paraId="29FDA1B9" w16cid:durableId="285134A8"/>
  <w16cid:commentId w16cid:paraId="5172F485" w16cid:durableId="285134EF"/>
  <w16cid:commentId w16cid:paraId="62303F96" w16cid:durableId="285108F0"/>
  <w16cid:commentId w16cid:paraId="7EA13221" w16cid:durableId="285108F1"/>
  <w16cid:commentId w16cid:paraId="6C5DF3A4" w16cid:durableId="2851F0B1"/>
  <w16cid:commentId w16cid:paraId="302AA0FB" w16cid:durableId="28492AC8"/>
  <w16cid:commentId w16cid:paraId="177E6A4A" w16cid:durableId="285108FD"/>
  <w16cid:commentId w16cid:paraId="54B47B52" w16cid:durableId="285108FE"/>
  <w16cid:commentId w16cid:paraId="454A1A5F" w16cid:durableId="2851F4DB"/>
  <w16cid:commentId w16cid:paraId="53855A34" w16cid:durableId="28494C6B"/>
  <w16cid:commentId w16cid:paraId="71EA79F4" w16cid:durableId="28510902"/>
  <w16cid:commentId w16cid:paraId="02DCE58D" w16cid:durableId="28510903"/>
  <w16cid:commentId w16cid:paraId="7247C8ED" w16cid:durableId="2851F8A7"/>
  <w16cid:commentId w16cid:paraId="5A6E2EEB" w16cid:durableId="28510919"/>
  <w16cid:commentId w16cid:paraId="5BB8F2FE" w16cid:durableId="2851091A"/>
  <w16cid:commentId w16cid:paraId="4F7C4977" w16cid:durableId="28514E2C"/>
  <w16cid:commentId w16cid:paraId="1E413D88" w16cid:durableId="2851091B"/>
  <w16cid:commentId w16cid:paraId="5D4A1920" w16cid:durableId="2851091C"/>
  <w16cid:commentId w16cid:paraId="192F9987" w16cid:durableId="28514E63"/>
  <w16cid:commentId w16cid:paraId="347CC544" w16cid:durableId="2851091D"/>
  <w16cid:commentId w16cid:paraId="20779C5C" w16cid:durableId="2851091E"/>
  <w16cid:commentId w16cid:paraId="361F4DE1" w16cid:durableId="28459688"/>
  <w16cid:commentId w16cid:paraId="1D50F1C5" w16cid:durableId="28510920"/>
  <w16cid:commentId w16cid:paraId="617C3F61" w16cid:durableId="28510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C128" w14:textId="77777777" w:rsidR="004D262C" w:rsidRDefault="004D262C" w:rsidP="00A1539A">
      <w:r>
        <w:separator/>
      </w:r>
    </w:p>
  </w:endnote>
  <w:endnote w:type="continuationSeparator" w:id="0">
    <w:p w14:paraId="5381C07F" w14:textId="77777777" w:rsidR="004D262C" w:rsidRDefault="004D262C" w:rsidP="00A1539A">
      <w:r>
        <w:continuationSeparator/>
      </w:r>
    </w:p>
  </w:endnote>
  <w:endnote w:type="continuationNotice" w:id="1">
    <w:p w14:paraId="4E0057A7" w14:textId="77777777" w:rsidR="004D262C" w:rsidRDefault="004D2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4877584"/>
      <w:docPartObj>
        <w:docPartGallery w:val="Page Numbers (Bottom of Page)"/>
        <w:docPartUnique/>
      </w:docPartObj>
    </w:sdtPr>
    <w:sdtEndPr>
      <w:rPr>
        <w:rStyle w:val="PageNumber"/>
      </w:rPr>
    </w:sdtEndPr>
    <w:sdtContent>
      <w:p w14:paraId="38E6C5AE" w14:textId="77777777" w:rsidR="00FF5D8F" w:rsidRDefault="00FF5D8F" w:rsidP="0050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83A76EF" w14:textId="77777777" w:rsidR="00FF5D8F" w:rsidRDefault="00FF5D8F" w:rsidP="00A15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6286783"/>
      <w:docPartObj>
        <w:docPartGallery w:val="Page Numbers (Bottom of Page)"/>
        <w:docPartUnique/>
      </w:docPartObj>
    </w:sdtPr>
    <w:sdtEndPr>
      <w:rPr>
        <w:rStyle w:val="PageNumber"/>
      </w:rPr>
    </w:sdtEndPr>
    <w:sdtContent>
      <w:p w14:paraId="5B62D277" w14:textId="27422CCC" w:rsidR="00FF5D8F" w:rsidRDefault="00FF5D8F" w:rsidP="0050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3523">
          <w:rPr>
            <w:rStyle w:val="PageNumber"/>
            <w:noProof/>
          </w:rPr>
          <w:t>5</w:t>
        </w:r>
        <w:r>
          <w:rPr>
            <w:rStyle w:val="PageNumber"/>
          </w:rPr>
          <w:fldChar w:fldCharType="end"/>
        </w:r>
      </w:p>
    </w:sdtContent>
  </w:sdt>
  <w:p w14:paraId="79311697" w14:textId="4FEF9420" w:rsidR="00FF5D8F" w:rsidRPr="0063537C" w:rsidRDefault="00FF5D8F" w:rsidP="00A1539A">
    <w:pPr>
      <w:pStyle w:val="Footer"/>
      <w:ind w:right="360"/>
      <w:rPr>
        <w:color w:val="C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1A5B" w14:textId="77777777" w:rsidR="00FF5D8F" w:rsidRDefault="00FF5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9145460"/>
      <w:docPartObj>
        <w:docPartGallery w:val="Page Numbers (Bottom of Page)"/>
        <w:docPartUnique/>
      </w:docPartObj>
    </w:sdtPr>
    <w:sdtEndPr>
      <w:rPr>
        <w:rStyle w:val="PageNumber"/>
      </w:rPr>
    </w:sdtEndPr>
    <w:sdtContent>
      <w:p w14:paraId="49297E84" w14:textId="40CADA64" w:rsidR="00FF5D8F" w:rsidRDefault="00FF5D8F" w:rsidP="0050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4775F8B" w14:textId="77777777" w:rsidR="00FF5D8F" w:rsidRDefault="00FF5D8F" w:rsidP="00A153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7254854"/>
      <w:docPartObj>
        <w:docPartGallery w:val="Page Numbers (Bottom of Page)"/>
        <w:docPartUnique/>
      </w:docPartObj>
    </w:sdtPr>
    <w:sdtEndPr>
      <w:rPr>
        <w:rStyle w:val="PageNumber"/>
      </w:rPr>
    </w:sdtEndPr>
    <w:sdtContent>
      <w:p w14:paraId="19BB0633" w14:textId="77D01AB2" w:rsidR="00FF5D8F" w:rsidRDefault="00FF5D8F" w:rsidP="0050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3523">
          <w:rPr>
            <w:rStyle w:val="PageNumber"/>
            <w:noProof/>
          </w:rPr>
          <w:t>16</w:t>
        </w:r>
        <w:r>
          <w:rPr>
            <w:rStyle w:val="PageNumber"/>
          </w:rPr>
          <w:fldChar w:fldCharType="end"/>
        </w:r>
      </w:p>
    </w:sdtContent>
  </w:sdt>
  <w:p w14:paraId="388B12FC" w14:textId="424F48D4" w:rsidR="00FF5D8F" w:rsidRPr="0063537C" w:rsidRDefault="00FF5D8F" w:rsidP="00A1539A">
    <w:pPr>
      <w:pStyle w:val="Footer"/>
      <w:ind w:right="360"/>
      <w:rPr>
        <w:color w:val="C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BEB2" w14:textId="77777777" w:rsidR="004D262C" w:rsidRDefault="004D262C" w:rsidP="00A1539A">
      <w:r>
        <w:separator/>
      </w:r>
    </w:p>
  </w:footnote>
  <w:footnote w:type="continuationSeparator" w:id="0">
    <w:p w14:paraId="763E860A" w14:textId="77777777" w:rsidR="004D262C" w:rsidRDefault="004D262C" w:rsidP="00A1539A">
      <w:r>
        <w:continuationSeparator/>
      </w:r>
    </w:p>
  </w:footnote>
  <w:footnote w:type="continuationNotice" w:id="1">
    <w:p w14:paraId="10AC385B" w14:textId="77777777" w:rsidR="004D262C" w:rsidRDefault="004D262C"/>
  </w:footnote>
  <w:footnote w:id="2">
    <w:p w14:paraId="04E5DF83" w14:textId="77777777" w:rsidR="00FF5D8F" w:rsidRPr="00303858" w:rsidRDefault="00FF5D8F" w:rsidP="006117AD">
      <w:pPr>
        <w:rPr>
          <w:rFonts w:ascii="Calibri" w:hAnsi="Calibri" w:cs="Calibri"/>
          <w:smallCaps/>
          <w:sz w:val="18"/>
          <w:szCs w:val="18"/>
        </w:rPr>
      </w:pPr>
      <w:r w:rsidRPr="00303858">
        <w:rPr>
          <w:rStyle w:val="FootnoteReference"/>
          <w:sz w:val="18"/>
          <w:szCs w:val="18"/>
        </w:rPr>
        <w:footnoteRef/>
      </w:r>
      <w:r w:rsidRPr="00303858">
        <w:rPr>
          <w:sz w:val="18"/>
          <w:szCs w:val="18"/>
        </w:rPr>
        <w:t xml:space="preserve"> </w:t>
      </w:r>
      <w:r w:rsidRPr="00303858">
        <w:rPr>
          <w:rFonts w:ascii="Calibri" w:hAnsi="Calibri" w:cs="Calibri"/>
          <w:smallCaps/>
          <w:sz w:val="18"/>
          <w:szCs w:val="18"/>
        </w:rPr>
        <w:t xml:space="preserve">AT THE PRECIPICE: AUSTRALIA’S COMMUNITY SECTOR THROUGH THE COST-OF-LIVING CRISIS: FINDINGS FROM THE AUSTRALIAN COMMUNITY SECTOR SURVEY, APRIL 2023 </w:t>
      </w:r>
      <w:hyperlink r:id="rId1" w:history="1">
        <w:r w:rsidRPr="00303858">
          <w:rPr>
            <w:rStyle w:val="Hyperlink"/>
            <w:sz w:val="18"/>
            <w:szCs w:val="18"/>
          </w:rPr>
          <w:t>https://www.acoss.org.au/wp-content/uploads/2023/04/At-the-Precipice_ACSS-2023.pdf</w:t>
        </w:r>
      </w:hyperlink>
      <w:r w:rsidRPr="00303858">
        <w:rPr>
          <w:sz w:val="18"/>
          <w:szCs w:val="18"/>
        </w:rPr>
        <w:t xml:space="preserve"> </w:t>
      </w:r>
    </w:p>
  </w:footnote>
  <w:footnote w:id="3">
    <w:p w14:paraId="39D6D7AA" w14:textId="37454C33" w:rsidR="00FF5D8F" w:rsidRDefault="00FF5D8F">
      <w:pPr>
        <w:pStyle w:val="FootnoteText"/>
      </w:pPr>
      <w:r>
        <w:rPr>
          <w:rStyle w:val="FootnoteReference"/>
        </w:rPr>
        <w:footnoteRef/>
      </w:r>
      <w:r>
        <w:t xml:space="preserve"> </w:t>
      </w:r>
      <w:hyperlink r:id="rId2" w:history="1">
        <w:r>
          <w:rPr>
            <w:rStyle w:val="Hyperlink"/>
          </w:rPr>
          <w:t>F Community services - Report on Government Services 2023 (pc.gov.au)</w:t>
        </w:r>
      </w:hyperlink>
    </w:p>
  </w:footnote>
  <w:footnote w:id="4">
    <w:p w14:paraId="74F35EB4" w14:textId="1ADAA897" w:rsidR="00FF5D8F" w:rsidRDefault="00FF5D8F">
      <w:pPr>
        <w:pStyle w:val="FootnoteText"/>
      </w:pPr>
      <w:r>
        <w:rPr>
          <w:rStyle w:val="FootnoteReference"/>
        </w:rPr>
        <w:footnoteRef/>
      </w:r>
      <w:r>
        <w:t xml:space="preserve"> </w:t>
      </w:r>
      <w:hyperlink r:id="rId3" w:history="1">
        <w:r w:rsidRPr="00C90E2C">
          <w:rPr>
            <w:rStyle w:val="Hyperlink"/>
          </w:rPr>
          <w:t>Ask Izzy</w:t>
        </w:r>
      </w:hyperlink>
      <w:r w:rsidRPr="00C90E2C">
        <w:t xml:space="preserve"> is a free and anonymous website that connects people in need with housing, a meal, money help, family violence support, counselling and other services in Australia.</w:t>
      </w:r>
    </w:p>
  </w:footnote>
  <w:footnote w:id="5">
    <w:p w14:paraId="12BF7799" w14:textId="77777777" w:rsidR="00FF5D8F" w:rsidRDefault="00FF5D8F" w:rsidP="00E973E1">
      <w:pPr>
        <w:pStyle w:val="FootnoteText"/>
      </w:pPr>
      <w:r>
        <w:rPr>
          <w:rStyle w:val="FootnoteReference"/>
        </w:rPr>
        <w:footnoteRef/>
      </w:r>
      <w:r>
        <w:t xml:space="preserve"> </w:t>
      </w:r>
      <w:hyperlink r:id="rId4" w:history="1">
        <w:r>
          <w:rPr>
            <w:rStyle w:val="Hyperlink"/>
          </w:rPr>
          <w:t>Indexation | Department of Finance</w:t>
        </w:r>
      </w:hyperlink>
    </w:p>
  </w:footnote>
  <w:footnote w:id="6">
    <w:p w14:paraId="10009252" w14:textId="1B0BC0FD" w:rsidR="00FF5D8F" w:rsidRDefault="00FF5D8F">
      <w:pPr>
        <w:pStyle w:val="FootnoteText"/>
      </w:pPr>
      <w:r>
        <w:rPr>
          <w:rStyle w:val="FootnoteReference"/>
        </w:rPr>
        <w:footnoteRef/>
      </w:r>
      <w:r>
        <w:t xml:space="preserve"> </w:t>
      </w:r>
      <w:hyperlink r:id="rId5" w:history="1">
        <w:r w:rsidRPr="00303858">
          <w:rPr>
            <w:rStyle w:val="Hyperlink"/>
            <w:sz w:val="18"/>
            <w:szCs w:val="18"/>
          </w:rPr>
          <w:t>https://www.acoss.org.au/wp-content/uploads/2023/04/At-the-Precipice_ACSS-2023.pdf</w:t>
        </w:r>
      </w:hyperlink>
    </w:p>
  </w:footnote>
  <w:footnote w:id="7">
    <w:p w14:paraId="18194539" w14:textId="77777777" w:rsidR="00FF5D8F" w:rsidRDefault="00FF5D8F" w:rsidP="00B2350B">
      <w:pPr>
        <w:pStyle w:val="FootnoteText"/>
      </w:pPr>
      <w:r>
        <w:rPr>
          <w:rStyle w:val="FootnoteReference"/>
        </w:rPr>
        <w:footnoteRef/>
      </w:r>
      <w:r>
        <w:t xml:space="preserve"> GrantConnect website, filtered by Variations and Department of Social Services, </w:t>
      </w:r>
    </w:p>
  </w:footnote>
  <w:footnote w:id="8">
    <w:p w14:paraId="1E147EE5" w14:textId="5F44639E" w:rsidR="00FF5D8F" w:rsidRDefault="00FF5D8F" w:rsidP="003502CF">
      <w:pPr>
        <w:pStyle w:val="FootnoteText"/>
      </w:pPr>
      <w:r>
        <w:rPr>
          <w:rStyle w:val="FootnoteReference"/>
        </w:rPr>
        <w:footnoteRef/>
      </w:r>
      <w:r>
        <w:t xml:space="preserve"> </w:t>
      </w:r>
      <w:hyperlink r:id="rId6" w:history="1">
        <w:r w:rsidRPr="007E3D46">
          <w:rPr>
            <w:rStyle w:val="Hyperlink"/>
          </w:rPr>
          <w:t>https://www.acoss.org.au/wp-content/uploads/2021/06/ACSS-2021_better-contracting-report.pdf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54A5" w14:textId="77777777" w:rsidR="00FF5D8F" w:rsidRDefault="00FF5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E914" w14:textId="6F3EA264" w:rsidR="00FF5D8F" w:rsidRDefault="00FF5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87AC" w14:textId="77777777" w:rsidR="00FF5D8F" w:rsidRDefault="00FF5D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245D" w14:textId="6FD40179" w:rsidR="00FF5D8F" w:rsidRDefault="00FF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FB9"/>
    <w:multiLevelType w:val="hybridMultilevel"/>
    <w:tmpl w:val="63F63D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10965B2"/>
    <w:multiLevelType w:val="hybridMultilevel"/>
    <w:tmpl w:val="46C4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64B8A"/>
    <w:multiLevelType w:val="multilevel"/>
    <w:tmpl w:val="70BC3D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6B6D6B"/>
    <w:multiLevelType w:val="hybridMultilevel"/>
    <w:tmpl w:val="F314F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BB5EC6"/>
    <w:multiLevelType w:val="hybridMultilevel"/>
    <w:tmpl w:val="509A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1249F6"/>
    <w:multiLevelType w:val="hybridMultilevel"/>
    <w:tmpl w:val="59A68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2B26A1"/>
    <w:multiLevelType w:val="hybridMultilevel"/>
    <w:tmpl w:val="2C0C3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317039"/>
    <w:multiLevelType w:val="hybridMultilevel"/>
    <w:tmpl w:val="046E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8628E0"/>
    <w:multiLevelType w:val="hybridMultilevel"/>
    <w:tmpl w:val="97FE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3D0FDF"/>
    <w:multiLevelType w:val="hybridMultilevel"/>
    <w:tmpl w:val="0FA6A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414DC"/>
    <w:multiLevelType w:val="hybridMultilevel"/>
    <w:tmpl w:val="0186E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02D11"/>
    <w:multiLevelType w:val="hybridMultilevel"/>
    <w:tmpl w:val="3936268A"/>
    <w:lvl w:ilvl="0" w:tplc="C54475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C484B"/>
    <w:multiLevelType w:val="hybridMultilevel"/>
    <w:tmpl w:val="7366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214D4"/>
    <w:multiLevelType w:val="multilevel"/>
    <w:tmpl w:val="70BC3D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E84B1F"/>
    <w:multiLevelType w:val="hybridMultilevel"/>
    <w:tmpl w:val="5C348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E7650"/>
    <w:multiLevelType w:val="hybridMultilevel"/>
    <w:tmpl w:val="6E3432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AFA4F97"/>
    <w:multiLevelType w:val="hybridMultilevel"/>
    <w:tmpl w:val="2D12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F15A2"/>
    <w:multiLevelType w:val="hybridMultilevel"/>
    <w:tmpl w:val="1A0A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2746C"/>
    <w:multiLevelType w:val="hybridMultilevel"/>
    <w:tmpl w:val="BB30B440"/>
    <w:lvl w:ilvl="0" w:tplc="80500B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B0E4A"/>
    <w:multiLevelType w:val="multilevel"/>
    <w:tmpl w:val="C8F03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DF55A8"/>
    <w:multiLevelType w:val="hybridMultilevel"/>
    <w:tmpl w:val="5C348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36B16"/>
    <w:multiLevelType w:val="hybridMultilevel"/>
    <w:tmpl w:val="C7B4F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50D2E80"/>
    <w:multiLevelType w:val="hybridMultilevel"/>
    <w:tmpl w:val="6116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30748"/>
    <w:multiLevelType w:val="hybridMultilevel"/>
    <w:tmpl w:val="1A16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50566"/>
    <w:multiLevelType w:val="hybridMultilevel"/>
    <w:tmpl w:val="90187510"/>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9127C"/>
    <w:multiLevelType w:val="hybridMultilevel"/>
    <w:tmpl w:val="9EA49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46049B5"/>
    <w:multiLevelType w:val="hybridMultilevel"/>
    <w:tmpl w:val="BDE45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2C144A"/>
    <w:multiLevelType w:val="hybridMultilevel"/>
    <w:tmpl w:val="0A8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3B1732"/>
    <w:multiLevelType w:val="hybridMultilevel"/>
    <w:tmpl w:val="81089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302030"/>
    <w:multiLevelType w:val="hybridMultilevel"/>
    <w:tmpl w:val="203CDF8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8"/>
  </w:num>
  <w:num w:numId="10">
    <w:abstractNumId w:val="13"/>
  </w:num>
  <w:num w:numId="11">
    <w:abstractNumId w:val="19"/>
  </w:num>
  <w:num w:numId="12">
    <w:abstractNumId w:val="20"/>
  </w:num>
  <w:num w:numId="13">
    <w:abstractNumId w:val="4"/>
  </w:num>
  <w:num w:numId="14">
    <w:abstractNumId w:val="3"/>
  </w:num>
  <w:num w:numId="15">
    <w:abstractNumId w:val="30"/>
  </w:num>
  <w:num w:numId="16">
    <w:abstractNumId w:val="29"/>
  </w:num>
  <w:num w:numId="17">
    <w:abstractNumId w:val="18"/>
  </w:num>
  <w:num w:numId="18">
    <w:abstractNumId w:val="25"/>
  </w:num>
  <w:num w:numId="19">
    <w:abstractNumId w:val="7"/>
  </w:num>
  <w:num w:numId="20">
    <w:abstractNumId w:val="26"/>
  </w:num>
  <w:num w:numId="21">
    <w:abstractNumId w:val="14"/>
  </w:num>
  <w:num w:numId="22">
    <w:abstractNumId w:val="31"/>
  </w:num>
  <w:num w:numId="23">
    <w:abstractNumId w:val="5"/>
  </w:num>
  <w:num w:numId="24">
    <w:abstractNumId w:val="1"/>
  </w:num>
  <w:num w:numId="25">
    <w:abstractNumId w:val="0"/>
  </w:num>
  <w:num w:numId="26">
    <w:abstractNumId w:val="12"/>
  </w:num>
  <w:num w:numId="27">
    <w:abstractNumId w:val="6"/>
  </w:num>
  <w:num w:numId="28">
    <w:abstractNumId w:val="9"/>
  </w:num>
  <w:num w:numId="29">
    <w:abstractNumId w:val="8"/>
  </w:num>
  <w:num w:numId="30">
    <w:abstractNumId w:val="32"/>
  </w:num>
  <w:num w:numId="31">
    <w:abstractNumId w:val="11"/>
  </w:num>
  <w:num w:numId="32">
    <w:abstractNumId w:val="17"/>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style="mso-position-horizontal:left;mso-position-horizontal-relative:page;mso-position-vertical:top;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D"/>
    <w:rsid w:val="000027E1"/>
    <w:rsid w:val="0000359D"/>
    <w:rsid w:val="00003743"/>
    <w:rsid w:val="0000401A"/>
    <w:rsid w:val="000050B2"/>
    <w:rsid w:val="000061A3"/>
    <w:rsid w:val="00007D1E"/>
    <w:rsid w:val="00010E10"/>
    <w:rsid w:val="00010FA5"/>
    <w:rsid w:val="00010FDC"/>
    <w:rsid w:val="00013589"/>
    <w:rsid w:val="000149B5"/>
    <w:rsid w:val="000152CE"/>
    <w:rsid w:val="000164BB"/>
    <w:rsid w:val="000166E9"/>
    <w:rsid w:val="00017D6D"/>
    <w:rsid w:val="000200BE"/>
    <w:rsid w:val="000206A7"/>
    <w:rsid w:val="00020CED"/>
    <w:rsid w:val="00020EDD"/>
    <w:rsid w:val="00024710"/>
    <w:rsid w:val="0002486D"/>
    <w:rsid w:val="00024AE5"/>
    <w:rsid w:val="000250EE"/>
    <w:rsid w:val="00025D6D"/>
    <w:rsid w:val="00026084"/>
    <w:rsid w:val="0002673D"/>
    <w:rsid w:val="000274C5"/>
    <w:rsid w:val="0002762B"/>
    <w:rsid w:val="00027A8B"/>
    <w:rsid w:val="0003003D"/>
    <w:rsid w:val="00030DB7"/>
    <w:rsid w:val="00037997"/>
    <w:rsid w:val="00041D70"/>
    <w:rsid w:val="000421DB"/>
    <w:rsid w:val="00044168"/>
    <w:rsid w:val="00044BE9"/>
    <w:rsid w:val="00044C05"/>
    <w:rsid w:val="000465FC"/>
    <w:rsid w:val="00047532"/>
    <w:rsid w:val="00047A0D"/>
    <w:rsid w:val="00050078"/>
    <w:rsid w:val="000512AD"/>
    <w:rsid w:val="0005258E"/>
    <w:rsid w:val="000528E3"/>
    <w:rsid w:val="00056DD3"/>
    <w:rsid w:val="0005759A"/>
    <w:rsid w:val="000577D5"/>
    <w:rsid w:val="00057C16"/>
    <w:rsid w:val="00057E03"/>
    <w:rsid w:val="00060965"/>
    <w:rsid w:val="000617A1"/>
    <w:rsid w:val="0006202D"/>
    <w:rsid w:val="00062D8B"/>
    <w:rsid w:val="00062FBB"/>
    <w:rsid w:val="00063136"/>
    <w:rsid w:val="000651C1"/>
    <w:rsid w:val="000658B4"/>
    <w:rsid w:val="00065962"/>
    <w:rsid w:val="00066DBB"/>
    <w:rsid w:val="00066E7A"/>
    <w:rsid w:val="000702D6"/>
    <w:rsid w:val="000737CB"/>
    <w:rsid w:val="000756CE"/>
    <w:rsid w:val="00077EAC"/>
    <w:rsid w:val="00077F5C"/>
    <w:rsid w:val="00077F96"/>
    <w:rsid w:val="0008047D"/>
    <w:rsid w:val="00081A49"/>
    <w:rsid w:val="000824F3"/>
    <w:rsid w:val="00082E2E"/>
    <w:rsid w:val="0008327A"/>
    <w:rsid w:val="000835A4"/>
    <w:rsid w:val="00085BB2"/>
    <w:rsid w:val="00090271"/>
    <w:rsid w:val="000915F8"/>
    <w:rsid w:val="00093CFA"/>
    <w:rsid w:val="00093F9F"/>
    <w:rsid w:val="0009456F"/>
    <w:rsid w:val="000957FC"/>
    <w:rsid w:val="000964D9"/>
    <w:rsid w:val="0009715F"/>
    <w:rsid w:val="000A1333"/>
    <w:rsid w:val="000A1D3D"/>
    <w:rsid w:val="000A2DF8"/>
    <w:rsid w:val="000A2F67"/>
    <w:rsid w:val="000A334D"/>
    <w:rsid w:val="000A402E"/>
    <w:rsid w:val="000A4AEF"/>
    <w:rsid w:val="000A4FA1"/>
    <w:rsid w:val="000A54CF"/>
    <w:rsid w:val="000A596C"/>
    <w:rsid w:val="000A6145"/>
    <w:rsid w:val="000A6700"/>
    <w:rsid w:val="000A68BC"/>
    <w:rsid w:val="000A6B7A"/>
    <w:rsid w:val="000A6C7C"/>
    <w:rsid w:val="000A71B4"/>
    <w:rsid w:val="000A792A"/>
    <w:rsid w:val="000B096D"/>
    <w:rsid w:val="000B1E04"/>
    <w:rsid w:val="000B21A9"/>
    <w:rsid w:val="000B372D"/>
    <w:rsid w:val="000B43E9"/>
    <w:rsid w:val="000B5E07"/>
    <w:rsid w:val="000B6F69"/>
    <w:rsid w:val="000C011F"/>
    <w:rsid w:val="000C0698"/>
    <w:rsid w:val="000C09B3"/>
    <w:rsid w:val="000C0AAB"/>
    <w:rsid w:val="000C18C1"/>
    <w:rsid w:val="000C1CCC"/>
    <w:rsid w:val="000C1EFB"/>
    <w:rsid w:val="000C20E2"/>
    <w:rsid w:val="000C28C9"/>
    <w:rsid w:val="000C2CAD"/>
    <w:rsid w:val="000C392E"/>
    <w:rsid w:val="000C44A5"/>
    <w:rsid w:val="000C608B"/>
    <w:rsid w:val="000C6C28"/>
    <w:rsid w:val="000C7AAE"/>
    <w:rsid w:val="000C7D50"/>
    <w:rsid w:val="000D0300"/>
    <w:rsid w:val="000D0F8D"/>
    <w:rsid w:val="000D3480"/>
    <w:rsid w:val="000D68D8"/>
    <w:rsid w:val="000D7979"/>
    <w:rsid w:val="000E0B81"/>
    <w:rsid w:val="000E2245"/>
    <w:rsid w:val="000E33AF"/>
    <w:rsid w:val="000E380B"/>
    <w:rsid w:val="000E3BAB"/>
    <w:rsid w:val="000E44E6"/>
    <w:rsid w:val="000E4634"/>
    <w:rsid w:val="000E719A"/>
    <w:rsid w:val="000F2098"/>
    <w:rsid w:val="000F2209"/>
    <w:rsid w:val="000F2339"/>
    <w:rsid w:val="000F2FDE"/>
    <w:rsid w:val="000F36A8"/>
    <w:rsid w:val="000F41C6"/>
    <w:rsid w:val="000F4B53"/>
    <w:rsid w:val="000F6F81"/>
    <w:rsid w:val="000F790C"/>
    <w:rsid w:val="000F7B0B"/>
    <w:rsid w:val="001018A6"/>
    <w:rsid w:val="00101C53"/>
    <w:rsid w:val="00103CFE"/>
    <w:rsid w:val="001044A2"/>
    <w:rsid w:val="00104998"/>
    <w:rsid w:val="00106235"/>
    <w:rsid w:val="00106376"/>
    <w:rsid w:val="00106861"/>
    <w:rsid w:val="00106D23"/>
    <w:rsid w:val="00110982"/>
    <w:rsid w:val="00111285"/>
    <w:rsid w:val="001117FA"/>
    <w:rsid w:val="00112B2A"/>
    <w:rsid w:val="00113047"/>
    <w:rsid w:val="00113239"/>
    <w:rsid w:val="001132B7"/>
    <w:rsid w:val="00114213"/>
    <w:rsid w:val="00114226"/>
    <w:rsid w:val="001148C3"/>
    <w:rsid w:val="00114A14"/>
    <w:rsid w:val="0011529F"/>
    <w:rsid w:val="001155CA"/>
    <w:rsid w:val="0011600F"/>
    <w:rsid w:val="0011645B"/>
    <w:rsid w:val="00121480"/>
    <w:rsid w:val="00123727"/>
    <w:rsid w:val="00123AFC"/>
    <w:rsid w:val="0012484A"/>
    <w:rsid w:val="00125975"/>
    <w:rsid w:val="00126FF6"/>
    <w:rsid w:val="001272C5"/>
    <w:rsid w:val="00127F93"/>
    <w:rsid w:val="00130446"/>
    <w:rsid w:val="00130A95"/>
    <w:rsid w:val="001310A0"/>
    <w:rsid w:val="00131398"/>
    <w:rsid w:val="001316E8"/>
    <w:rsid w:val="00133AC8"/>
    <w:rsid w:val="00135C33"/>
    <w:rsid w:val="00135F5C"/>
    <w:rsid w:val="00137930"/>
    <w:rsid w:val="00137CBD"/>
    <w:rsid w:val="00137CE8"/>
    <w:rsid w:val="00140843"/>
    <w:rsid w:val="00141991"/>
    <w:rsid w:val="001427F1"/>
    <w:rsid w:val="00143494"/>
    <w:rsid w:val="0014377F"/>
    <w:rsid w:val="00145F9D"/>
    <w:rsid w:val="00146A9F"/>
    <w:rsid w:val="00146F5E"/>
    <w:rsid w:val="00146FCD"/>
    <w:rsid w:val="0014758C"/>
    <w:rsid w:val="00147823"/>
    <w:rsid w:val="001505E9"/>
    <w:rsid w:val="0015087A"/>
    <w:rsid w:val="0015211F"/>
    <w:rsid w:val="001521FE"/>
    <w:rsid w:val="001532D7"/>
    <w:rsid w:val="00153462"/>
    <w:rsid w:val="0015453E"/>
    <w:rsid w:val="00155745"/>
    <w:rsid w:val="0016021B"/>
    <w:rsid w:val="001607D0"/>
    <w:rsid w:val="00162DDE"/>
    <w:rsid w:val="00165F69"/>
    <w:rsid w:val="00166C96"/>
    <w:rsid w:val="00166CF0"/>
    <w:rsid w:val="00167E0B"/>
    <w:rsid w:val="00170B25"/>
    <w:rsid w:val="001726A3"/>
    <w:rsid w:val="0017306F"/>
    <w:rsid w:val="001746DC"/>
    <w:rsid w:val="001762F1"/>
    <w:rsid w:val="00177126"/>
    <w:rsid w:val="00177E89"/>
    <w:rsid w:val="001807F3"/>
    <w:rsid w:val="00181092"/>
    <w:rsid w:val="00181F7A"/>
    <w:rsid w:val="001820EE"/>
    <w:rsid w:val="00184705"/>
    <w:rsid w:val="00185EB8"/>
    <w:rsid w:val="00185F11"/>
    <w:rsid w:val="0018643F"/>
    <w:rsid w:val="0018732A"/>
    <w:rsid w:val="00187A91"/>
    <w:rsid w:val="00187F19"/>
    <w:rsid w:val="0019128A"/>
    <w:rsid w:val="00193563"/>
    <w:rsid w:val="00194258"/>
    <w:rsid w:val="0019602E"/>
    <w:rsid w:val="00197229"/>
    <w:rsid w:val="001A042B"/>
    <w:rsid w:val="001A1B6F"/>
    <w:rsid w:val="001A1ED6"/>
    <w:rsid w:val="001A242E"/>
    <w:rsid w:val="001A6345"/>
    <w:rsid w:val="001A64FB"/>
    <w:rsid w:val="001A6E6C"/>
    <w:rsid w:val="001B0F9A"/>
    <w:rsid w:val="001B104C"/>
    <w:rsid w:val="001B25D5"/>
    <w:rsid w:val="001B2939"/>
    <w:rsid w:val="001B35DB"/>
    <w:rsid w:val="001B433D"/>
    <w:rsid w:val="001B5BFC"/>
    <w:rsid w:val="001B6D40"/>
    <w:rsid w:val="001B7AE0"/>
    <w:rsid w:val="001C25CC"/>
    <w:rsid w:val="001C3E33"/>
    <w:rsid w:val="001C42DB"/>
    <w:rsid w:val="001C48DF"/>
    <w:rsid w:val="001C4CAF"/>
    <w:rsid w:val="001C5A1C"/>
    <w:rsid w:val="001C5DDD"/>
    <w:rsid w:val="001C6395"/>
    <w:rsid w:val="001C63BF"/>
    <w:rsid w:val="001C68A9"/>
    <w:rsid w:val="001C6EE5"/>
    <w:rsid w:val="001C7A5F"/>
    <w:rsid w:val="001D057B"/>
    <w:rsid w:val="001D074A"/>
    <w:rsid w:val="001D0B6E"/>
    <w:rsid w:val="001D1F80"/>
    <w:rsid w:val="001D2328"/>
    <w:rsid w:val="001D29D6"/>
    <w:rsid w:val="001D2AE8"/>
    <w:rsid w:val="001D3363"/>
    <w:rsid w:val="001E0771"/>
    <w:rsid w:val="001E1737"/>
    <w:rsid w:val="001E30AA"/>
    <w:rsid w:val="001E3AEB"/>
    <w:rsid w:val="001E451D"/>
    <w:rsid w:val="001E7191"/>
    <w:rsid w:val="001F0A24"/>
    <w:rsid w:val="001F1359"/>
    <w:rsid w:val="001F1C13"/>
    <w:rsid w:val="001F2B8A"/>
    <w:rsid w:val="001F6515"/>
    <w:rsid w:val="001F78A7"/>
    <w:rsid w:val="002009F6"/>
    <w:rsid w:val="00201282"/>
    <w:rsid w:val="00202590"/>
    <w:rsid w:val="00203953"/>
    <w:rsid w:val="00204541"/>
    <w:rsid w:val="0020515F"/>
    <w:rsid w:val="00205957"/>
    <w:rsid w:val="0020691F"/>
    <w:rsid w:val="002074EA"/>
    <w:rsid w:val="00207C23"/>
    <w:rsid w:val="00207D55"/>
    <w:rsid w:val="00211210"/>
    <w:rsid w:val="0021225A"/>
    <w:rsid w:val="002125E5"/>
    <w:rsid w:val="00214830"/>
    <w:rsid w:val="00214C53"/>
    <w:rsid w:val="00215BD6"/>
    <w:rsid w:val="00216B96"/>
    <w:rsid w:val="00220947"/>
    <w:rsid w:val="0022111B"/>
    <w:rsid w:val="002212A4"/>
    <w:rsid w:val="00221618"/>
    <w:rsid w:val="00222125"/>
    <w:rsid w:val="00222597"/>
    <w:rsid w:val="00222832"/>
    <w:rsid w:val="002231B8"/>
    <w:rsid w:val="00223D25"/>
    <w:rsid w:val="00224CB4"/>
    <w:rsid w:val="002275E2"/>
    <w:rsid w:val="00230BBB"/>
    <w:rsid w:val="00230C47"/>
    <w:rsid w:val="00230E8D"/>
    <w:rsid w:val="00230F55"/>
    <w:rsid w:val="00230FB3"/>
    <w:rsid w:val="00232016"/>
    <w:rsid w:val="002325E0"/>
    <w:rsid w:val="00232C22"/>
    <w:rsid w:val="00233358"/>
    <w:rsid w:val="0023384E"/>
    <w:rsid w:val="00234132"/>
    <w:rsid w:val="00236636"/>
    <w:rsid w:val="002410D3"/>
    <w:rsid w:val="00242A27"/>
    <w:rsid w:val="00242BBA"/>
    <w:rsid w:val="00243245"/>
    <w:rsid w:val="00243B7C"/>
    <w:rsid w:val="00244C68"/>
    <w:rsid w:val="00245511"/>
    <w:rsid w:val="00245B08"/>
    <w:rsid w:val="00245C92"/>
    <w:rsid w:val="00245E07"/>
    <w:rsid w:val="0024676D"/>
    <w:rsid w:val="00246D38"/>
    <w:rsid w:val="00252DEA"/>
    <w:rsid w:val="0025531A"/>
    <w:rsid w:val="0025532E"/>
    <w:rsid w:val="00255E5A"/>
    <w:rsid w:val="0025752C"/>
    <w:rsid w:val="00257850"/>
    <w:rsid w:val="0026073A"/>
    <w:rsid w:val="00261AD1"/>
    <w:rsid w:val="0026262A"/>
    <w:rsid w:val="00264BCF"/>
    <w:rsid w:val="00264E5B"/>
    <w:rsid w:val="00264EBB"/>
    <w:rsid w:val="002701C5"/>
    <w:rsid w:val="0027081E"/>
    <w:rsid w:val="00270B3D"/>
    <w:rsid w:val="002730C1"/>
    <w:rsid w:val="002730C5"/>
    <w:rsid w:val="0027333D"/>
    <w:rsid w:val="00276810"/>
    <w:rsid w:val="00277332"/>
    <w:rsid w:val="00280D52"/>
    <w:rsid w:val="002819E1"/>
    <w:rsid w:val="00283C11"/>
    <w:rsid w:val="00285718"/>
    <w:rsid w:val="00285E73"/>
    <w:rsid w:val="00291D09"/>
    <w:rsid w:val="002922B9"/>
    <w:rsid w:val="00293720"/>
    <w:rsid w:val="00293F22"/>
    <w:rsid w:val="00296477"/>
    <w:rsid w:val="00297709"/>
    <w:rsid w:val="00297E00"/>
    <w:rsid w:val="002A1129"/>
    <w:rsid w:val="002A11BF"/>
    <w:rsid w:val="002A2869"/>
    <w:rsid w:val="002A28EF"/>
    <w:rsid w:val="002A2954"/>
    <w:rsid w:val="002A3037"/>
    <w:rsid w:val="002A3A1D"/>
    <w:rsid w:val="002A537F"/>
    <w:rsid w:val="002A5ADD"/>
    <w:rsid w:val="002A622F"/>
    <w:rsid w:val="002A6A6E"/>
    <w:rsid w:val="002A6B8F"/>
    <w:rsid w:val="002A6FD3"/>
    <w:rsid w:val="002A7317"/>
    <w:rsid w:val="002A7335"/>
    <w:rsid w:val="002A74B3"/>
    <w:rsid w:val="002B037C"/>
    <w:rsid w:val="002B1F45"/>
    <w:rsid w:val="002B24AD"/>
    <w:rsid w:val="002B3A93"/>
    <w:rsid w:val="002B3DD9"/>
    <w:rsid w:val="002B460A"/>
    <w:rsid w:val="002B479D"/>
    <w:rsid w:val="002B5495"/>
    <w:rsid w:val="002B581A"/>
    <w:rsid w:val="002B63A9"/>
    <w:rsid w:val="002B662C"/>
    <w:rsid w:val="002B7552"/>
    <w:rsid w:val="002B78E1"/>
    <w:rsid w:val="002C141F"/>
    <w:rsid w:val="002C191D"/>
    <w:rsid w:val="002C1CC2"/>
    <w:rsid w:val="002C27C0"/>
    <w:rsid w:val="002C398F"/>
    <w:rsid w:val="002C3A64"/>
    <w:rsid w:val="002C4EC3"/>
    <w:rsid w:val="002C4F4A"/>
    <w:rsid w:val="002C6092"/>
    <w:rsid w:val="002C6156"/>
    <w:rsid w:val="002C6528"/>
    <w:rsid w:val="002C6AF5"/>
    <w:rsid w:val="002C6D04"/>
    <w:rsid w:val="002D080D"/>
    <w:rsid w:val="002D1544"/>
    <w:rsid w:val="002D70FC"/>
    <w:rsid w:val="002E2146"/>
    <w:rsid w:val="002E3063"/>
    <w:rsid w:val="002E3A8E"/>
    <w:rsid w:val="002E41E0"/>
    <w:rsid w:val="002E6157"/>
    <w:rsid w:val="002E6935"/>
    <w:rsid w:val="002E77DC"/>
    <w:rsid w:val="002E7D52"/>
    <w:rsid w:val="002F2658"/>
    <w:rsid w:val="002F4645"/>
    <w:rsid w:val="002F52CA"/>
    <w:rsid w:val="002F71A8"/>
    <w:rsid w:val="002F7B1E"/>
    <w:rsid w:val="002F7C90"/>
    <w:rsid w:val="00301341"/>
    <w:rsid w:val="003013C2"/>
    <w:rsid w:val="00303858"/>
    <w:rsid w:val="00303D95"/>
    <w:rsid w:val="00303DD1"/>
    <w:rsid w:val="00304170"/>
    <w:rsid w:val="003047FA"/>
    <w:rsid w:val="00304BF0"/>
    <w:rsid w:val="003065E5"/>
    <w:rsid w:val="00307E9A"/>
    <w:rsid w:val="00312EE5"/>
    <w:rsid w:val="003155DB"/>
    <w:rsid w:val="00315E5C"/>
    <w:rsid w:val="00316431"/>
    <w:rsid w:val="003175AB"/>
    <w:rsid w:val="00317912"/>
    <w:rsid w:val="00321C80"/>
    <w:rsid w:val="00321F95"/>
    <w:rsid w:val="0032266F"/>
    <w:rsid w:val="0032285C"/>
    <w:rsid w:val="00324A84"/>
    <w:rsid w:val="0032764D"/>
    <w:rsid w:val="00327D52"/>
    <w:rsid w:val="0033048E"/>
    <w:rsid w:val="00331E0D"/>
    <w:rsid w:val="00334E5F"/>
    <w:rsid w:val="00335EB8"/>
    <w:rsid w:val="003364AF"/>
    <w:rsid w:val="00340E6E"/>
    <w:rsid w:val="00340F95"/>
    <w:rsid w:val="0034178A"/>
    <w:rsid w:val="00342A75"/>
    <w:rsid w:val="00342E72"/>
    <w:rsid w:val="00343B80"/>
    <w:rsid w:val="003447F4"/>
    <w:rsid w:val="00344A68"/>
    <w:rsid w:val="00344E89"/>
    <w:rsid w:val="00345681"/>
    <w:rsid w:val="003458C3"/>
    <w:rsid w:val="00345977"/>
    <w:rsid w:val="003502CF"/>
    <w:rsid w:val="00350498"/>
    <w:rsid w:val="00350855"/>
    <w:rsid w:val="00351107"/>
    <w:rsid w:val="00351AA2"/>
    <w:rsid w:val="00351CA3"/>
    <w:rsid w:val="00352D23"/>
    <w:rsid w:val="00354AA9"/>
    <w:rsid w:val="00356311"/>
    <w:rsid w:val="0035635D"/>
    <w:rsid w:val="00356ACD"/>
    <w:rsid w:val="0035722C"/>
    <w:rsid w:val="00357958"/>
    <w:rsid w:val="00357A3C"/>
    <w:rsid w:val="00362E6C"/>
    <w:rsid w:val="00363E61"/>
    <w:rsid w:val="00364CAD"/>
    <w:rsid w:val="00364F8F"/>
    <w:rsid w:val="00365213"/>
    <w:rsid w:val="00365D6A"/>
    <w:rsid w:val="00365F55"/>
    <w:rsid w:val="00370591"/>
    <w:rsid w:val="00370C5F"/>
    <w:rsid w:val="003711C2"/>
    <w:rsid w:val="003718FE"/>
    <w:rsid w:val="003730DC"/>
    <w:rsid w:val="00374E67"/>
    <w:rsid w:val="00375A84"/>
    <w:rsid w:val="00375D13"/>
    <w:rsid w:val="00376741"/>
    <w:rsid w:val="00376D0E"/>
    <w:rsid w:val="00380612"/>
    <w:rsid w:val="00381F02"/>
    <w:rsid w:val="00382397"/>
    <w:rsid w:val="003826A9"/>
    <w:rsid w:val="00382C7D"/>
    <w:rsid w:val="00384015"/>
    <w:rsid w:val="0038557C"/>
    <w:rsid w:val="00385E49"/>
    <w:rsid w:val="00390B87"/>
    <w:rsid w:val="00394384"/>
    <w:rsid w:val="003948F5"/>
    <w:rsid w:val="003954CE"/>
    <w:rsid w:val="0039587C"/>
    <w:rsid w:val="003A2953"/>
    <w:rsid w:val="003A2D43"/>
    <w:rsid w:val="003A44AA"/>
    <w:rsid w:val="003A4BA6"/>
    <w:rsid w:val="003A4E24"/>
    <w:rsid w:val="003A581D"/>
    <w:rsid w:val="003A659C"/>
    <w:rsid w:val="003A788F"/>
    <w:rsid w:val="003B042A"/>
    <w:rsid w:val="003B145C"/>
    <w:rsid w:val="003B3836"/>
    <w:rsid w:val="003B550C"/>
    <w:rsid w:val="003B571A"/>
    <w:rsid w:val="003B58DB"/>
    <w:rsid w:val="003B58E0"/>
    <w:rsid w:val="003B663F"/>
    <w:rsid w:val="003B74F5"/>
    <w:rsid w:val="003B7749"/>
    <w:rsid w:val="003C16BB"/>
    <w:rsid w:val="003C2506"/>
    <w:rsid w:val="003C660F"/>
    <w:rsid w:val="003C6DED"/>
    <w:rsid w:val="003C72D9"/>
    <w:rsid w:val="003D007D"/>
    <w:rsid w:val="003D0703"/>
    <w:rsid w:val="003D30EE"/>
    <w:rsid w:val="003D3BEA"/>
    <w:rsid w:val="003D5EB3"/>
    <w:rsid w:val="003D6137"/>
    <w:rsid w:val="003D63B6"/>
    <w:rsid w:val="003E014F"/>
    <w:rsid w:val="003E0654"/>
    <w:rsid w:val="003E09B5"/>
    <w:rsid w:val="003E14FC"/>
    <w:rsid w:val="003E1635"/>
    <w:rsid w:val="003E1DBA"/>
    <w:rsid w:val="003E2327"/>
    <w:rsid w:val="003E2F09"/>
    <w:rsid w:val="003E3F02"/>
    <w:rsid w:val="003E4154"/>
    <w:rsid w:val="003E4A63"/>
    <w:rsid w:val="003E5AC1"/>
    <w:rsid w:val="003E5B41"/>
    <w:rsid w:val="003E78D9"/>
    <w:rsid w:val="003F2B02"/>
    <w:rsid w:val="003F31C8"/>
    <w:rsid w:val="003F4571"/>
    <w:rsid w:val="003F4A35"/>
    <w:rsid w:val="003F69B1"/>
    <w:rsid w:val="003F6E8F"/>
    <w:rsid w:val="003F7209"/>
    <w:rsid w:val="003F7256"/>
    <w:rsid w:val="003F740B"/>
    <w:rsid w:val="003F7481"/>
    <w:rsid w:val="003F7672"/>
    <w:rsid w:val="0040044E"/>
    <w:rsid w:val="004029AF"/>
    <w:rsid w:val="004033E0"/>
    <w:rsid w:val="00405EFC"/>
    <w:rsid w:val="00407104"/>
    <w:rsid w:val="0040745D"/>
    <w:rsid w:val="00407587"/>
    <w:rsid w:val="00407C03"/>
    <w:rsid w:val="004102ED"/>
    <w:rsid w:val="00410410"/>
    <w:rsid w:val="00410F1E"/>
    <w:rsid w:val="00411995"/>
    <w:rsid w:val="00413A00"/>
    <w:rsid w:val="0041519F"/>
    <w:rsid w:val="00416CB4"/>
    <w:rsid w:val="0041706F"/>
    <w:rsid w:val="00417816"/>
    <w:rsid w:val="00421702"/>
    <w:rsid w:val="00421EFB"/>
    <w:rsid w:val="004222B6"/>
    <w:rsid w:val="004237C4"/>
    <w:rsid w:val="00424B55"/>
    <w:rsid w:val="00424B5D"/>
    <w:rsid w:val="00426E34"/>
    <w:rsid w:val="00430049"/>
    <w:rsid w:val="004305A7"/>
    <w:rsid w:val="004318BF"/>
    <w:rsid w:val="00433D73"/>
    <w:rsid w:val="00433F00"/>
    <w:rsid w:val="004340F7"/>
    <w:rsid w:val="00437102"/>
    <w:rsid w:val="0043774F"/>
    <w:rsid w:val="004402DD"/>
    <w:rsid w:val="00440822"/>
    <w:rsid w:val="00445CD3"/>
    <w:rsid w:val="0044614C"/>
    <w:rsid w:val="00447B02"/>
    <w:rsid w:val="004524C2"/>
    <w:rsid w:val="00453A8A"/>
    <w:rsid w:val="00453C3F"/>
    <w:rsid w:val="004542BD"/>
    <w:rsid w:val="004550CD"/>
    <w:rsid w:val="004565F6"/>
    <w:rsid w:val="004566DB"/>
    <w:rsid w:val="004617AD"/>
    <w:rsid w:val="0046276E"/>
    <w:rsid w:val="00462C28"/>
    <w:rsid w:val="0046441F"/>
    <w:rsid w:val="00464F1A"/>
    <w:rsid w:val="00466A76"/>
    <w:rsid w:val="00467BBB"/>
    <w:rsid w:val="004726C2"/>
    <w:rsid w:val="0047520E"/>
    <w:rsid w:val="00477199"/>
    <w:rsid w:val="004811B4"/>
    <w:rsid w:val="0048269B"/>
    <w:rsid w:val="00482BF5"/>
    <w:rsid w:val="004838D5"/>
    <w:rsid w:val="00485F62"/>
    <w:rsid w:val="00486FF7"/>
    <w:rsid w:val="00487650"/>
    <w:rsid w:val="004876D0"/>
    <w:rsid w:val="00491B4B"/>
    <w:rsid w:val="00491C45"/>
    <w:rsid w:val="0049255F"/>
    <w:rsid w:val="00492A7E"/>
    <w:rsid w:val="00494912"/>
    <w:rsid w:val="00494E03"/>
    <w:rsid w:val="00495E54"/>
    <w:rsid w:val="0049646C"/>
    <w:rsid w:val="004A0BF7"/>
    <w:rsid w:val="004A45E5"/>
    <w:rsid w:val="004A565A"/>
    <w:rsid w:val="004A63C0"/>
    <w:rsid w:val="004A70D4"/>
    <w:rsid w:val="004A7AE3"/>
    <w:rsid w:val="004B0946"/>
    <w:rsid w:val="004B275D"/>
    <w:rsid w:val="004B2A4F"/>
    <w:rsid w:val="004B2ADC"/>
    <w:rsid w:val="004B5373"/>
    <w:rsid w:val="004B5894"/>
    <w:rsid w:val="004B6060"/>
    <w:rsid w:val="004B6195"/>
    <w:rsid w:val="004B68D4"/>
    <w:rsid w:val="004C235D"/>
    <w:rsid w:val="004C24B8"/>
    <w:rsid w:val="004C31C3"/>
    <w:rsid w:val="004C3651"/>
    <w:rsid w:val="004C52A0"/>
    <w:rsid w:val="004C7584"/>
    <w:rsid w:val="004C77AF"/>
    <w:rsid w:val="004D2409"/>
    <w:rsid w:val="004D262C"/>
    <w:rsid w:val="004D356C"/>
    <w:rsid w:val="004D4AD5"/>
    <w:rsid w:val="004D54B3"/>
    <w:rsid w:val="004D5C34"/>
    <w:rsid w:val="004D78CE"/>
    <w:rsid w:val="004E243D"/>
    <w:rsid w:val="004E2652"/>
    <w:rsid w:val="004E2818"/>
    <w:rsid w:val="004E4ADC"/>
    <w:rsid w:val="004E733C"/>
    <w:rsid w:val="004F2114"/>
    <w:rsid w:val="004F3DCE"/>
    <w:rsid w:val="004F4A27"/>
    <w:rsid w:val="004F6255"/>
    <w:rsid w:val="004F62EC"/>
    <w:rsid w:val="005000E4"/>
    <w:rsid w:val="0050108E"/>
    <w:rsid w:val="00503258"/>
    <w:rsid w:val="0050340A"/>
    <w:rsid w:val="005042E9"/>
    <w:rsid w:val="0050547F"/>
    <w:rsid w:val="00505527"/>
    <w:rsid w:val="00505E76"/>
    <w:rsid w:val="00506A06"/>
    <w:rsid w:val="0050715D"/>
    <w:rsid w:val="0050765C"/>
    <w:rsid w:val="0051013B"/>
    <w:rsid w:val="00510CF2"/>
    <w:rsid w:val="00510D10"/>
    <w:rsid w:val="00511478"/>
    <w:rsid w:val="00512A7F"/>
    <w:rsid w:val="00516739"/>
    <w:rsid w:val="00516AF6"/>
    <w:rsid w:val="00516BD2"/>
    <w:rsid w:val="00516F9C"/>
    <w:rsid w:val="005178BC"/>
    <w:rsid w:val="00525D0D"/>
    <w:rsid w:val="00526B43"/>
    <w:rsid w:val="00527D0D"/>
    <w:rsid w:val="005315EF"/>
    <w:rsid w:val="00531C60"/>
    <w:rsid w:val="00532C61"/>
    <w:rsid w:val="00533399"/>
    <w:rsid w:val="00535F9D"/>
    <w:rsid w:val="00537205"/>
    <w:rsid w:val="005411AE"/>
    <w:rsid w:val="00543881"/>
    <w:rsid w:val="005439F5"/>
    <w:rsid w:val="00543A4C"/>
    <w:rsid w:val="0054589D"/>
    <w:rsid w:val="00545B22"/>
    <w:rsid w:val="00547C75"/>
    <w:rsid w:val="00551840"/>
    <w:rsid w:val="00551BCA"/>
    <w:rsid w:val="00551D6F"/>
    <w:rsid w:val="00554437"/>
    <w:rsid w:val="005551B4"/>
    <w:rsid w:val="00555769"/>
    <w:rsid w:val="00560607"/>
    <w:rsid w:val="005628E4"/>
    <w:rsid w:val="005647E0"/>
    <w:rsid w:val="005658A5"/>
    <w:rsid w:val="00567D8C"/>
    <w:rsid w:val="00570A6E"/>
    <w:rsid w:val="00571ECE"/>
    <w:rsid w:val="005730F1"/>
    <w:rsid w:val="00573390"/>
    <w:rsid w:val="0057352E"/>
    <w:rsid w:val="00573D9F"/>
    <w:rsid w:val="005761F4"/>
    <w:rsid w:val="005765A3"/>
    <w:rsid w:val="0058081B"/>
    <w:rsid w:val="00580E9D"/>
    <w:rsid w:val="00583649"/>
    <w:rsid w:val="00583BF1"/>
    <w:rsid w:val="005850DD"/>
    <w:rsid w:val="005903C8"/>
    <w:rsid w:val="00590E2D"/>
    <w:rsid w:val="00591973"/>
    <w:rsid w:val="00592DFB"/>
    <w:rsid w:val="00592EC0"/>
    <w:rsid w:val="0059743D"/>
    <w:rsid w:val="005A0E8E"/>
    <w:rsid w:val="005A144C"/>
    <w:rsid w:val="005A2D56"/>
    <w:rsid w:val="005A5331"/>
    <w:rsid w:val="005A6C8A"/>
    <w:rsid w:val="005A78C3"/>
    <w:rsid w:val="005A799B"/>
    <w:rsid w:val="005B327F"/>
    <w:rsid w:val="005B35AB"/>
    <w:rsid w:val="005B3E9D"/>
    <w:rsid w:val="005B42FE"/>
    <w:rsid w:val="005B4545"/>
    <w:rsid w:val="005B5347"/>
    <w:rsid w:val="005B5D46"/>
    <w:rsid w:val="005C0664"/>
    <w:rsid w:val="005C0863"/>
    <w:rsid w:val="005C0C9A"/>
    <w:rsid w:val="005C3786"/>
    <w:rsid w:val="005C3ED3"/>
    <w:rsid w:val="005C6EB8"/>
    <w:rsid w:val="005C7550"/>
    <w:rsid w:val="005C7D30"/>
    <w:rsid w:val="005D13DF"/>
    <w:rsid w:val="005D14BF"/>
    <w:rsid w:val="005D169E"/>
    <w:rsid w:val="005D1C4A"/>
    <w:rsid w:val="005D3A3D"/>
    <w:rsid w:val="005D574C"/>
    <w:rsid w:val="005D776A"/>
    <w:rsid w:val="005D7812"/>
    <w:rsid w:val="005E0549"/>
    <w:rsid w:val="005E0639"/>
    <w:rsid w:val="005E131D"/>
    <w:rsid w:val="005E2127"/>
    <w:rsid w:val="005E2AAE"/>
    <w:rsid w:val="005E2B88"/>
    <w:rsid w:val="005E6B95"/>
    <w:rsid w:val="005E6C86"/>
    <w:rsid w:val="005E7609"/>
    <w:rsid w:val="005E7A76"/>
    <w:rsid w:val="005F34EA"/>
    <w:rsid w:val="005F3C97"/>
    <w:rsid w:val="005F4478"/>
    <w:rsid w:val="005F5741"/>
    <w:rsid w:val="005F5A8A"/>
    <w:rsid w:val="005F6C4E"/>
    <w:rsid w:val="005F776B"/>
    <w:rsid w:val="006001A0"/>
    <w:rsid w:val="00601DE5"/>
    <w:rsid w:val="00604064"/>
    <w:rsid w:val="0060670D"/>
    <w:rsid w:val="0060761F"/>
    <w:rsid w:val="00610683"/>
    <w:rsid w:val="00611049"/>
    <w:rsid w:val="006110AE"/>
    <w:rsid w:val="006117AD"/>
    <w:rsid w:val="00612543"/>
    <w:rsid w:val="00613DE3"/>
    <w:rsid w:val="00614691"/>
    <w:rsid w:val="00614768"/>
    <w:rsid w:val="00614DA1"/>
    <w:rsid w:val="00614DE1"/>
    <w:rsid w:val="0061759B"/>
    <w:rsid w:val="006175E7"/>
    <w:rsid w:val="006178B8"/>
    <w:rsid w:val="006228B3"/>
    <w:rsid w:val="00622F38"/>
    <w:rsid w:val="00623743"/>
    <w:rsid w:val="00624338"/>
    <w:rsid w:val="0062463F"/>
    <w:rsid w:val="00626383"/>
    <w:rsid w:val="0062674D"/>
    <w:rsid w:val="00627A71"/>
    <w:rsid w:val="00630E2D"/>
    <w:rsid w:val="006331BF"/>
    <w:rsid w:val="00633C05"/>
    <w:rsid w:val="00633C4C"/>
    <w:rsid w:val="00633EC6"/>
    <w:rsid w:val="00634D04"/>
    <w:rsid w:val="0063537C"/>
    <w:rsid w:val="00635547"/>
    <w:rsid w:val="00636E57"/>
    <w:rsid w:val="00637657"/>
    <w:rsid w:val="006376FD"/>
    <w:rsid w:val="006377CF"/>
    <w:rsid w:val="00640649"/>
    <w:rsid w:val="00642031"/>
    <w:rsid w:val="00643832"/>
    <w:rsid w:val="00643D2A"/>
    <w:rsid w:val="0064449A"/>
    <w:rsid w:val="00644F3A"/>
    <w:rsid w:val="00645ED6"/>
    <w:rsid w:val="00646698"/>
    <w:rsid w:val="00646ECF"/>
    <w:rsid w:val="00647B25"/>
    <w:rsid w:val="00647CED"/>
    <w:rsid w:val="00651014"/>
    <w:rsid w:val="0065377D"/>
    <w:rsid w:val="006546E5"/>
    <w:rsid w:val="00655568"/>
    <w:rsid w:val="0065761F"/>
    <w:rsid w:val="00660A8B"/>
    <w:rsid w:val="00661DD9"/>
    <w:rsid w:val="00662DAF"/>
    <w:rsid w:val="00662FDB"/>
    <w:rsid w:val="00664267"/>
    <w:rsid w:val="00666005"/>
    <w:rsid w:val="00667E77"/>
    <w:rsid w:val="00672119"/>
    <w:rsid w:val="00674112"/>
    <w:rsid w:val="006743CC"/>
    <w:rsid w:val="0067562E"/>
    <w:rsid w:val="00676518"/>
    <w:rsid w:val="00681A5A"/>
    <w:rsid w:val="00681B56"/>
    <w:rsid w:val="00681DED"/>
    <w:rsid w:val="00684681"/>
    <w:rsid w:val="006852BD"/>
    <w:rsid w:val="0068586E"/>
    <w:rsid w:val="00686CDE"/>
    <w:rsid w:val="00686CEE"/>
    <w:rsid w:val="00690EF0"/>
    <w:rsid w:val="00691A75"/>
    <w:rsid w:val="00691E2A"/>
    <w:rsid w:val="00692E23"/>
    <w:rsid w:val="0069603C"/>
    <w:rsid w:val="00697107"/>
    <w:rsid w:val="006A2A9B"/>
    <w:rsid w:val="006A54FA"/>
    <w:rsid w:val="006A66E8"/>
    <w:rsid w:val="006A6F82"/>
    <w:rsid w:val="006A7329"/>
    <w:rsid w:val="006A7D22"/>
    <w:rsid w:val="006B2E1B"/>
    <w:rsid w:val="006B48E4"/>
    <w:rsid w:val="006B4E96"/>
    <w:rsid w:val="006B536A"/>
    <w:rsid w:val="006B595C"/>
    <w:rsid w:val="006B7877"/>
    <w:rsid w:val="006B7D5F"/>
    <w:rsid w:val="006C10A0"/>
    <w:rsid w:val="006C1FA3"/>
    <w:rsid w:val="006C2E4B"/>
    <w:rsid w:val="006C4C11"/>
    <w:rsid w:val="006C5BE4"/>
    <w:rsid w:val="006C61FC"/>
    <w:rsid w:val="006D0E3E"/>
    <w:rsid w:val="006D30AC"/>
    <w:rsid w:val="006D33A2"/>
    <w:rsid w:val="006D36ED"/>
    <w:rsid w:val="006D71C6"/>
    <w:rsid w:val="006E04B6"/>
    <w:rsid w:val="006E09B8"/>
    <w:rsid w:val="006E1251"/>
    <w:rsid w:val="006E2D51"/>
    <w:rsid w:val="006E5A84"/>
    <w:rsid w:val="006E5F18"/>
    <w:rsid w:val="006E6B9F"/>
    <w:rsid w:val="006F0C6E"/>
    <w:rsid w:val="006F36BF"/>
    <w:rsid w:val="006F3E7D"/>
    <w:rsid w:val="006F410C"/>
    <w:rsid w:val="006F6A80"/>
    <w:rsid w:val="006F6F05"/>
    <w:rsid w:val="006F75E1"/>
    <w:rsid w:val="0070089F"/>
    <w:rsid w:val="00700F07"/>
    <w:rsid w:val="00702658"/>
    <w:rsid w:val="00702681"/>
    <w:rsid w:val="00703C38"/>
    <w:rsid w:val="00704A52"/>
    <w:rsid w:val="00710769"/>
    <w:rsid w:val="00710806"/>
    <w:rsid w:val="007118B5"/>
    <w:rsid w:val="00714B31"/>
    <w:rsid w:val="0071522D"/>
    <w:rsid w:val="0071528E"/>
    <w:rsid w:val="00715B39"/>
    <w:rsid w:val="00715C4F"/>
    <w:rsid w:val="007165D8"/>
    <w:rsid w:val="007218A5"/>
    <w:rsid w:val="00721A9F"/>
    <w:rsid w:val="00721E60"/>
    <w:rsid w:val="00722309"/>
    <w:rsid w:val="007229C1"/>
    <w:rsid w:val="00724D0B"/>
    <w:rsid w:val="0072575B"/>
    <w:rsid w:val="0072662D"/>
    <w:rsid w:val="007309BE"/>
    <w:rsid w:val="00732FF3"/>
    <w:rsid w:val="00733434"/>
    <w:rsid w:val="00733B85"/>
    <w:rsid w:val="00736F72"/>
    <w:rsid w:val="00737C48"/>
    <w:rsid w:val="00737C4D"/>
    <w:rsid w:val="00740432"/>
    <w:rsid w:val="00741C81"/>
    <w:rsid w:val="00742498"/>
    <w:rsid w:val="00743EC0"/>
    <w:rsid w:val="00745161"/>
    <w:rsid w:val="00745FC5"/>
    <w:rsid w:val="007472B3"/>
    <w:rsid w:val="0074764A"/>
    <w:rsid w:val="007500C1"/>
    <w:rsid w:val="00750EEC"/>
    <w:rsid w:val="00750F0A"/>
    <w:rsid w:val="00754254"/>
    <w:rsid w:val="0075447C"/>
    <w:rsid w:val="00754CF0"/>
    <w:rsid w:val="007578FB"/>
    <w:rsid w:val="00763106"/>
    <w:rsid w:val="00763C60"/>
    <w:rsid w:val="00763E5A"/>
    <w:rsid w:val="00765B91"/>
    <w:rsid w:val="00766566"/>
    <w:rsid w:val="00770858"/>
    <w:rsid w:val="00770DDC"/>
    <w:rsid w:val="00770FB8"/>
    <w:rsid w:val="0077502A"/>
    <w:rsid w:val="0077571B"/>
    <w:rsid w:val="00776540"/>
    <w:rsid w:val="00776BAF"/>
    <w:rsid w:val="00777126"/>
    <w:rsid w:val="007774A4"/>
    <w:rsid w:val="00777FD7"/>
    <w:rsid w:val="00780B97"/>
    <w:rsid w:val="00781D37"/>
    <w:rsid w:val="007834D1"/>
    <w:rsid w:val="007843B9"/>
    <w:rsid w:val="007847B2"/>
    <w:rsid w:val="0078568F"/>
    <w:rsid w:val="0078692B"/>
    <w:rsid w:val="00786948"/>
    <w:rsid w:val="007877CE"/>
    <w:rsid w:val="00790776"/>
    <w:rsid w:val="007910F9"/>
    <w:rsid w:val="00793775"/>
    <w:rsid w:val="0079398C"/>
    <w:rsid w:val="00794962"/>
    <w:rsid w:val="0079619A"/>
    <w:rsid w:val="007962DE"/>
    <w:rsid w:val="00797A96"/>
    <w:rsid w:val="007A0B27"/>
    <w:rsid w:val="007A2AF6"/>
    <w:rsid w:val="007A481F"/>
    <w:rsid w:val="007A4F96"/>
    <w:rsid w:val="007A661F"/>
    <w:rsid w:val="007A7600"/>
    <w:rsid w:val="007B0CC8"/>
    <w:rsid w:val="007B237A"/>
    <w:rsid w:val="007B2BA7"/>
    <w:rsid w:val="007B5D8E"/>
    <w:rsid w:val="007B5F59"/>
    <w:rsid w:val="007B758F"/>
    <w:rsid w:val="007C1548"/>
    <w:rsid w:val="007C2F14"/>
    <w:rsid w:val="007C4097"/>
    <w:rsid w:val="007C6287"/>
    <w:rsid w:val="007C6341"/>
    <w:rsid w:val="007C676D"/>
    <w:rsid w:val="007C7546"/>
    <w:rsid w:val="007C7E8D"/>
    <w:rsid w:val="007D0160"/>
    <w:rsid w:val="007D035F"/>
    <w:rsid w:val="007D0BC4"/>
    <w:rsid w:val="007D3C4E"/>
    <w:rsid w:val="007D407C"/>
    <w:rsid w:val="007D46A0"/>
    <w:rsid w:val="007D6117"/>
    <w:rsid w:val="007D6388"/>
    <w:rsid w:val="007D64DE"/>
    <w:rsid w:val="007E0144"/>
    <w:rsid w:val="007E2241"/>
    <w:rsid w:val="007E2371"/>
    <w:rsid w:val="007E2AF4"/>
    <w:rsid w:val="007E3210"/>
    <w:rsid w:val="007E33C5"/>
    <w:rsid w:val="007E512E"/>
    <w:rsid w:val="007E5EEB"/>
    <w:rsid w:val="007E6190"/>
    <w:rsid w:val="007E6823"/>
    <w:rsid w:val="007E7976"/>
    <w:rsid w:val="007E7AC6"/>
    <w:rsid w:val="007E7FDE"/>
    <w:rsid w:val="007F05D8"/>
    <w:rsid w:val="007F0E10"/>
    <w:rsid w:val="007F19D7"/>
    <w:rsid w:val="007F1BC7"/>
    <w:rsid w:val="007F3049"/>
    <w:rsid w:val="007F42E4"/>
    <w:rsid w:val="007F559C"/>
    <w:rsid w:val="007F5AAA"/>
    <w:rsid w:val="007F5BAD"/>
    <w:rsid w:val="007F64FF"/>
    <w:rsid w:val="007F65C4"/>
    <w:rsid w:val="008009B9"/>
    <w:rsid w:val="008014B7"/>
    <w:rsid w:val="00801F6E"/>
    <w:rsid w:val="008026B6"/>
    <w:rsid w:val="00804063"/>
    <w:rsid w:val="00804580"/>
    <w:rsid w:val="00807320"/>
    <w:rsid w:val="00807D2D"/>
    <w:rsid w:val="00810ECF"/>
    <w:rsid w:val="00813B66"/>
    <w:rsid w:val="00815499"/>
    <w:rsid w:val="0081625E"/>
    <w:rsid w:val="00816769"/>
    <w:rsid w:val="008178F4"/>
    <w:rsid w:val="00817B20"/>
    <w:rsid w:val="00820EAE"/>
    <w:rsid w:val="00826843"/>
    <w:rsid w:val="00831CDD"/>
    <w:rsid w:val="0083363A"/>
    <w:rsid w:val="00833D69"/>
    <w:rsid w:val="00833F56"/>
    <w:rsid w:val="0083425A"/>
    <w:rsid w:val="0083439A"/>
    <w:rsid w:val="00835729"/>
    <w:rsid w:val="008410AB"/>
    <w:rsid w:val="00841274"/>
    <w:rsid w:val="00841E7C"/>
    <w:rsid w:val="00845AF3"/>
    <w:rsid w:val="00845F1B"/>
    <w:rsid w:val="00845F33"/>
    <w:rsid w:val="00845FE8"/>
    <w:rsid w:val="0084649B"/>
    <w:rsid w:val="00847F8C"/>
    <w:rsid w:val="0085038D"/>
    <w:rsid w:val="008515B8"/>
    <w:rsid w:val="00851843"/>
    <w:rsid w:val="00851D8E"/>
    <w:rsid w:val="00851DB3"/>
    <w:rsid w:val="00853F43"/>
    <w:rsid w:val="00854D7F"/>
    <w:rsid w:val="00855527"/>
    <w:rsid w:val="00855A14"/>
    <w:rsid w:val="00856014"/>
    <w:rsid w:val="00860AF1"/>
    <w:rsid w:val="00863A89"/>
    <w:rsid w:val="00864393"/>
    <w:rsid w:val="00870268"/>
    <w:rsid w:val="008704F5"/>
    <w:rsid w:val="008705B8"/>
    <w:rsid w:val="00871147"/>
    <w:rsid w:val="00872A65"/>
    <w:rsid w:val="00872E5E"/>
    <w:rsid w:val="00873523"/>
    <w:rsid w:val="00873F13"/>
    <w:rsid w:val="0087477C"/>
    <w:rsid w:val="00874DA6"/>
    <w:rsid w:val="00874DF9"/>
    <w:rsid w:val="00875A9B"/>
    <w:rsid w:val="008767C6"/>
    <w:rsid w:val="00877570"/>
    <w:rsid w:val="00880A57"/>
    <w:rsid w:val="00880E33"/>
    <w:rsid w:val="00880FD0"/>
    <w:rsid w:val="00881BE8"/>
    <w:rsid w:val="00883ADC"/>
    <w:rsid w:val="00885B0F"/>
    <w:rsid w:val="00886228"/>
    <w:rsid w:val="00886568"/>
    <w:rsid w:val="008869A1"/>
    <w:rsid w:val="00887D06"/>
    <w:rsid w:val="00891219"/>
    <w:rsid w:val="008917E2"/>
    <w:rsid w:val="00891B29"/>
    <w:rsid w:val="00891C02"/>
    <w:rsid w:val="00893953"/>
    <w:rsid w:val="008942C5"/>
    <w:rsid w:val="00895A59"/>
    <w:rsid w:val="00896935"/>
    <w:rsid w:val="00897440"/>
    <w:rsid w:val="00897860"/>
    <w:rsid w:val="00897F99"/>
    <w:rsid w:val="008A1C09"/>
    <w:rsid w:val="008A2084"/>
    <w:rsid w:val="008A2858"/>
    <w:rsid w:val="008A4700"/>
    <w:rsid w:val="008A5872"/>
    <w:rsid w:val="008A6675"/>
    <w:rsid w:val="008A687C"/>
    <w:rsid w:val="008B1C1E"/>
    <w:rsid w:val="008B22C3"/>
    <w:rsid w:val="008B265D"/>
    <w:rsid w:val="008B37B6"/>
    <w:rsid w:val="008B64DF"/>
    <w:rsid w:val="008C170C"/>
    <w:rsid w:val="008C243F"/>
    <w:rsid w:val="008C28C8"/>
    <w:rsid w:val="008C2D6D"/>
    <w:rsid w:val="008C3E91"/>
    <w:rsid w:val="008C465A"/>
    <w:rsid w:val="008C7D21"/>
    <w:rsid w:val="008D005A"/>
    <w:rsid w:val="008D0309"/>
    <w:rsid w:val="008D0E0D"/>
    <w:rsid w:val="008D263E"/>
    <w:rsid w:val="008D29A4"/>
    <w:rsid w:val="008D2AC0"/>
    <w:rsid w:val="008D2FAD"/>
    <w:rsid w:val="008D3A41"/>
    <w:rsid w:val="008D3F0C"/>
    <w:rsid w:val="008D410E"/>
    <w:rsid w:val="008D462C"/>
    <w:rsid w:val="008D49EE"/>
    <w:rsid w:val="008D5DD9"/>
    <w:rsid w:val="008D6B95"/>
    <w:rsid w:val="008E0219"/>
    <w:rsid w:val="008E02C3"/>
    <w:rsid w:val="008E0476"/>
    <w:rsid w:val="008E07B1"/>
    <w:rsid w:val="008E0B10"/>
    <w:rsid w:val="008E0F7D"/>
    <w:rsid w:val="008E1DF2"/>
    <w:rsid w:val="008E2075"/>
    <w:rsid w:val="008E76A9"/>
    <w:rsid w:val="008E7D6D"/>
    <w:rsid w:val="008F1568"/>
    <w:rsid w:val="008F1CD1"/>
    <w:rsid w:val="008F2455"/>
    <w:rsid w:val="008F24F4"/>
    <w:rsid w:val="008F3990"/>
    <w:rsid w:val="008F4481"/>
    <w:rsid w:val="008F45A7"/>
    <w:rsid w:val="008F5255"/>
    <w:rsid w:val="008F612C"/>
    <w:rsid w:val="008F7063"/>
    <w:rsid w:val="008F72DD"/>
    <w:rsid w:val="00900A1A"/>
    <w:rsid w:val="00900DE1"/>
    <w:rsid w:val="00900DF8"/>
    <w:rsid w:val="00900FDF"/>
    <w:rsid w:val="0090124B"/>
    <w:rsid w:val="009040DF"/>
    <w:rsid w:val="00904722"/>
    <w:rsid w:val="009075C0"/>
    <w:rsid w:val="00910EBB"/>
    <w:rsid w:val="009127D6"/>
    <w:rsid w:val="00913F93"/>
    <w:rsid w:val="009148DA"/>
    <w:rsid w:val="00921CB8"/>
    <w:rsid w:val="009224E0"/>
    <w:rsid w:val="00922B1C"/>
    <w:rsid w:val="00922BD4"/>
    <w:rsid w:val="0092323D"/>
    <w:rsid w:val="0092534B"/>
    <w:rsid w:val="00925993"/>
    <w:rsid w:val="00930252"/>
    <w:rsid w:val="009316CC"/>
    <w:rsid w:val="0093179F"/>
    <w:rsid w:val="00932061"/>
    <w:rsid w:val="009325BC"/>
    <w:rsid w:val="00936198"/>
    <w:rsid w:val="009367FD"/>
    <w:rsid w:val="009369BF"/>
    <w:rsid w:val="00937AB5"/>
    <w:rsid w:val="00940BC7"/>
    <w:rsid w:val="00941BD5"/>
    <w:rsid w:val="00941FE1"/>
    <w:rsid w:val="00942215"/>
    <w:rsid w:val="0094290A"/>
    <w:rsid w:val="00942DF0"/>
    <w:rsid w:val="00944BF1"/>
    <w:rsid w:val="00945F74"/>
    <w:rsid w:val="00947B13"/>
    <w:rsid w:val="0095069C"/>
    <w:rsid w:val="009533DB"/>
    <w:rsid w:val="0095456A"/>
    <w:rsid w:val="00954659"/>
    <w:rsid w:val="009552A5"/>
    <w:rsid w:val="00955BA2"/>
    <w:rsid w:val="00955F45"/>
    <w:rsid w:val="009568BF"/>
    <w:rsid w:val="00956E00"/>
    <w:rsid w:val="00957EB1"/>
    <w:rsid w:val="00962873"/>
    <w:rsid w:val="00962F2D"/>
    <w:rsid w:val="0096351F"/>
    <w:rsid w:val="00963EE2"/>
    <w:rsid w:val="00964AD6"/>
    <w:rsid w:val="00965298"/>
    <w:rsid w:val="009661B7"/>
    <w:rsid w:val="00966CC6"/>
    <w:rsid w:val="00967947"/>
    <w:rsid w:val="00967DAC"/>
    <w:rsid w:val="009715AF"/>
    <w:rsid w:val="0097236E"/>
    <w:rsid w:val="009724C7"/>
    <w:rsid w:val="00973CF6"/>
    <w:rsid w:val="0097438A"/>
    <w:rsid w:val="00974434"/>
    <w:rsid w:val="00976EFC"/>
    <w:rsid w:val="00980717"/>
    <w:rsid w:val="00980ACC"/>
    <w:rsid w:val="009812A3"/>
    <w:rsid w:val="00982131"/>
    <w:rsid w:val="00984678"/>
    <w:rsid w:val="00985CFF"/>
    <w:rsid w:val="00986801"/>
    <w:rsid w:val="009870F9"/>
    <w:rsid w:val="009871C9"/>
    <w:rsid w:val="00991546"/>
    <w:rsid w:val="00991DA1"/>
    <w:rsid w:val="0099429F"/>
    <w:rsid w:val="00994670"/>
    <w:rsid w:val="009949C2"/>
    <w:rsid w:val="00994B00"/>
    <w:rsid w:val="0099524B"/>
    <w:rsid w:val="009974A4"/>
    <w:rsid w:val="00997E74"/>
    <w:rsid w:val="009A0476"/>
    <w:rsid w:val="009A07F1"/>
    <w:rsid w:val="009A0EA2"/>
    <w:rsid w:val="009A2E51"/>
    <w:rsid w:val="009A3D53"/>
    <w:rsid w:val="009A420C"/>
    <w:rsid w:val="009A48B3"/>
    <w:rsid w:val="009A57AF"/>
    <w:rsid w:val="009A5A0E"/>
    <w:rsid w:val="009A6279"/>
    <w:rsid w:val="009A6354"/>
    <w:rsid w:val="009A65EC"/>
    <w:rsid w:val="009B2E42"/>
    <w:rsid w:val="009B3D6E"/>
    <w:rsid w:val="009B45F8"/>
    <w:rsid w:val="009B4715"/>
    <w:rsid w:val="009B4E3F"/>
    <w:rsid w:val="009B589F"/>
    <w:rsid w:val="009B63B0"/>
    <w:rsid w:val="009C13BA"/>
    <w:rsid w:val="009C1C8D"/>
    <w:rsid w:val="009C1FE9"/>
    <w:rsid w:val="009C504D"/>
    <w:rsid w:val="009C6146"/>
    <w:rsid w:val="009C6479"/>
    <w:rsid w:val="009C750E"/>
    <w:rsid w:val="009D032E"/>
    <w:rsid w:val="009D146B"/>
    <w:rsid w:val="009D14E6"/>
    <w:rsid w:val="009D210C"/>
    <w:rsid w:val="009D29EC"/>
    <w:rsid w:val="009D2CB7"/>
    <w:rsid w:val="009D36D3"/>
    <w:rsid w:val="009D40B6"/>
    <w:rsid w:val="009D4A9E"/>
    <w:rsid w:val="009D78A0"/>
    <w:rsid w:val="009E09F3"/>
    <w:rsid w:val="009E0B47"/>
    <w:rsid w:val="009E476E"/>
    <w:rsid w:val="009E5999"/>
    <w:rsid w:val="009E5B9B"/>
    <w:rsid w:val="009E5BB8"/>
    <w:rsid w:val="009E7C17"/>
    <w:rsid w:val="009F1EAD"/>
    <w:rsid w:val="009F4767"/>
    <w:rsid w:val="009F5851"/>
    <w:rsid w:val="00A0015B"/>
    <w:rsid w:val="00A00979"/>
    <w:rsid w:val="00A0180D"/>
    <w:rsid w:val="00A02B09"/>
    <w:rsid w:val="00A02C17"/>
    <w:rsid w:val="00A03072"/>
    <w:rsid w:val="00A045AD"/>
    <w:rsid w:val="00A045AE"/>
    <w:rsid w:val="00A04DED"/>
    <w:rsid w:val="00A05AA6"/>
    <w:rsid w:val="00A0653C"/>
    <w:rsid w:val="00A06E48"/>
    <w:rsid w:val="00A0748C"/>
    <w:rsid w:val="00A079AB"/>
    <w:rsid w:val="00A07A54"/>
    <w:rsid w:val="00A10ADA"/>
    <w:rsid w:val="00A11D56"/>
    <w:rsid w:val="00A14068"/>
    <w:rsid w:val="00A145D9"/>
    <w:rsid w:val="00A1539A"/>
    <w:rsid w:val="00A16361"/>
    <w:rsid w:val="00A201FD"/>
    <w:rsid w:val="00A20667"/>
    <w:rsid w:val="00A225BF"/>
    <w:rsid w:val="00A24195"/>
    <w:rsid w:val="00A250D1"/>
    <w:rsid w:val="00A252C3"/>
    <w:rsid w:val="00A25AA5"/>
    <w:rsid w:val="00A25FE8"/>
    <w:rsid w:val="00A26384"/>
    <w:rsid w:val="00A2721D"/>
    <w:rsid w:val="00A30779"/>
    <w:rsid w:val="00A32E70"/>
    <w:rsid w:val="00A3311E"/>
    <w:rsid w:val="00A34D07"/>
    <w:rsid w:val="00A35D48"/>
    <w:rsid w:val="00A372B8"/>
    <w:rsid w:val="00A374DD"/>
    <w:rsid w:val="00A377F9"/>
    <w:rsid w:val="00A406BC"/>
    <w:rsid w:val="00A406D3"/>
    <w:rsid w:val="00A42365"/>
    <w:rsid w:val="00A42EA1"/>
    <w:rsid w:val="00A43423"/>
    <w:rsid w:val="00A46435"/>
    <w:rsid w:val="00A46E1F"/>
    <w:rsid w:val="00A47398"/>
    <w:rsid w:val="00A50C3F"/>
    <w:rsid w:val="00A52A63"/>
    <w:rsid w:val="00A52D86"/>
    <w:rsid w:val="00A52DB5"/>
    <w:rsid w:val="00A53051"/>
    <w:rsid w:val="00A54879"/>
    <w:rsid w:val="00A55107"/>
    <w:rsid w:val="00A55527"/>
    <w:rsid w:val="00A558D3"/>
    <w:rsid w:val="00A55CCD"/>
    <w:rsid w:val="00A603DD"/>
    <w:rsid w:val="00A605E9"/>
    <w:rsid w:val="00A609F6"/>
    <w:rsid w:val="00A60AD8"/>
    <w:rsid w:val="00A60FC5"/>
    <w:rsid w:val="00A61219"/>
    <w:rsid w:val="00A6158F"/>
    <w:rsid w:val="00A64317"/>
    <w:rsid w:val="00A66128"/>
    <w:rsid w:val="00A673DC"/>
    <w:rsid w:val="00A676A8"/>
    <w:rsid w:val="00A71822"/>
    <w:rsid w:val="00A71AA0"/>
    <w:rsid w:val="00A71E9D"/>
    <w:rsid w:val="00A7227D"/>
    <w:rsid w:val="00A722AE"/>
    <w:rsid w:val="00A72746"/>
    <w:rsid w:val="00A73E62"/>
    <w:rsid w:val="00A754F5"/>
    <w:rsid w:val="00A75BDE"/>
    <w:rsid w:val="00A76D17"/>
    <w:rsid w:val="00A808E6"/>
    <w:rsid w:val="00A832D3"/>
    <w:rsid w:val="00A83355"/>
    <w:rsid w:val="00A842EA"/>
    <w:rsid w:val="00A86359"/>
    <w:rsid w:val="00A90FD4"/>
    <w:rsid w:val="00A9179B"/>
    <w:rsid w:val="00A925FE"/>
    <w:rsid w:val="00A92AEE"/>
    <w:rsid w:val="00A92CD6"/>
    <w:rsid w:val="00A93146"/>
    <w:rsid w:val="00A94A63"/>
    <w:rsid w:val="00A94D6B"/>
    <w:rsid w:val="00A958BF"/>
    <w:rsid w:val="00A95DBB"/>
    <w:rsid w:val="00A9605D"/>
    <w:rsid w:val="00A97802"/>
    <w:rsid w:val="00AA03B3"/>
    <w:rsid w:val="00AA2110"/>
    <w:rsid w:val="00AA2359"/>
    <w:rsid w:val="00AA27A7"/>
    <w:rsid w:val="00AA2D5C"/>
    <w:rsid w:val="00AA7A10"/>
    <w:rsid w:val="00AB0188"/>
    <w:rsid w:val="00AB15BF"/>
    <w:rsid w:val="00AB2FFE"/>
    <w:rsid w:val="00AB371E"/>
    <w:rsid w:val="00AB3D25"/>
    <w:rsid w:val="00AB3DCE"/>
    <w:rsid w:val="00AB4997"/>
    <w:rsid w:val="00AB6591"/>
    <w:rsid w:val="00AB688E"/>
    <w:rsid w:val="00AC158A"/>
    <w:rsid w:val="00AC359E"/>
    <w:rsid w:val="00AC4EDC"/>
    <w:rsid w:val="00AC52E4"/>
    <w:rsid w:val="00AC5FA6"/>
    <w:rsid w:val="00AC644C"/>
    <w:rsid w:val="00AC735E"/>
    <w:rsid w:val="00AC75C3"/>
    <w:rsid w:val="00AC7F02"/>
    <w:rsid w:val="00AD2140"/>
    <w:rsid w:val="00AD2232"/>
    <w:rsid w:val="00AD2A92"/>
    <w:rsid w:val="00AD3B53"/>
    <w:rsid w:val="00AD4CED"/>
    <w:rsid w:val="00AE048F"/>
    <w:rsid w:val="00AE0E42"/>
    <w:rsid w:val="00AE30CF"/>
    <w:rsid w:val="00AE30D5"/>
    <w:rsid w:val="00AE4895"/>
    <w:rsid w:val="00AE4C60"/>
    <w:rsid w:val="00AE586F"/>
    <w:rsid w:val="00AE5F63"/>
    <w:rsid w:val="00AE6484"/>
    <w:rsid w:val="00AE722D"/>
    <w:rsid w:val="00AF2F08"/>
    <w:rsid w:val="00AF3383"/>
    <w:rsid w:val="00AF504F"/>
    <w:rsid w:val="00AF633E"/>
    <w:rsid w:val="00B016A5"/>
    <w:rsid w:val="00B01D65"/>
    <w:rsid w:val="00B02AF5"/>
    <w:rsid w:val="00B031A9"/>
    <w:rsid w:val="00B05BE8"/>
    <w:rsid w:val="00B06D0B"/>
    <w:rsid w:val="00B076E2"/>
    <w:rsid w:val="00B11EA5"/>
    <w:rsid w:val="00B13C45"/>
    <w:rsid w:val="00B13FCE"/>
    <w:rsid w:val="00B17E10"/>
    <w:rsid w:val="00B201A3"/>
    <w:rsid w:val="00B227D1"/>
    <w:rsid w:val="00B22827"/>
    <w:rsid w:val="00B2291C"/>
    <w:rsid w:val="00B22EEC"/>
    <w:rsid w:val="00B2350B"/>
    <w:rsid w:val="00B23792"/>
    <w:rsid w:val="00B24068"/>
    <w:rsid w:val="00B254CA"/>
    <w:rsid w:val="00B2558C"/>
    <w:rsid w:val="00B27042"/>
    <w:rsid w:val="00B27412"/>
    <w:rsid w:val="00B278B3"/>
    <w:rsid w:val="00B2793E"/>
    <w:rsid w:val="00B3229A"/>
    <w:rsid w:val="00B33461"/>
    <w:rsid w:val="00B33955"/>
    <w:rsid w:val="00B35807"/>
    <w:rsid w:val="00B3701C"/>
    <w:rsid w:val="00B41790"/>
    <w:rsid w:val="00B426F3"/>
    <w:rsid w:val="00B42B50"/>
    <w:rsid w:val="00B44A59"/>
    <w:rsid w:val="00B460E4"/>
    <w:rsid w:val="00B46BBF"/>
    <w:rsid w:val="00B474E6"/>
    <w:rsid w:val="00B510A8"/>
    <w:rsid w:val="00B5272D"/>
    <w:rsid w:val="00B53148"/>
    <w:rsid w:val="00B535B7"/>
    <w:rsid w:val="00B54470"/>
    <w:rsid w:val="00B54DA8"/>
    <w:rsid w:val="00B55B4C"/>
    <w:rsid w:val="00B6086B"/>
    <w:rsid w:val="00B62A09"/>
    <w:rsid w:val="00B63445"/>
    <w:rsid w:val="00B63F16"/>
    <w:rsid w:val="00B63F67"/>
    <w:rsid w:val="00B64DCF"/>
    <w:rsid w:val="00B66038"/>
    <w:rsid w:val="00B6617A"/>
    <w:rsid w:val="00B67CDC"/>
    <w:rsid w:val="00B67E62"/>
    <w:rsid w:val="00B7111B"/>
    <w:rsid w:val="00B74CAF"/>
    <w:rsid w:val="00B77A84"/>
    <w:rsid w:val="00B80E96"/>
    <w:rsid w:val="00B8148B"/>
    <w:rsid w:val="00B8299F"/>
    <w:rsid w:val="00B8351C"/>
    <w:rsid w:val="00B8443A"/>
    <w:rsid w:val="00B863F3"/>
    <w:rsid w:val="00B86F08"/>
    <w:rsid w:val="00B87272"/>
    <w:rsid w:val="00B90639"/>
    <w:rsid w:val="00B90D88"/>
    <w:rsid w:val="00B91718"/>
    <w:rsid w:val="00B936A1"/>
    <w:rsid w:val="00B93ADD"/>
    <w:rsid w:val="00B94C8D"/>
    <w:rsid w:val="00B94D0F"/>
    <w:rsid w:val="00B950B0"/>
    <w:rsid w:val="00B95758"/>
    <w:rsid w:val="00B96FBE"/>
    <w:rsid w:val="00BA0B3A"/>
    <w:rsid w:val="00BA136C"/>
    <w:rsid w:val="00BA1677"/>
    <w:rsid w:val="00BA4FA1"/>
    <w:rsid w:val="00BA716D"/>
    <w:rsid w:val="00BB0E51"/>
    <w:rsid w:val="00BB2558"/>
    <w:rsid w:val="00BB2E34"/>
    <w:rsid w:val="00BB499D"/>
    <w:rsid w:val="00BB5C87"/>
    <w:rsid w:val="00BB60DE"/>
    <w:rsid w:val="00BB6524"/>
    <w:rsid w:val="00BB69C9"/>
    <w:rsid w:val="00BC17BE"/>
    <w:rsid w:val="00BC24D8"/>
    <w:rsid w:val="00BC3324"/>
    <w:rsid w:val="00BC3734"/>
    <w:rsid w:val="00BC3956"/>
    <w:rsid w:val="00BC43D5"/>
    <w:rsid w:val="00BC4B78"/>
    <w:rsid w:val="00BC5A8A"/>
    <w:rsid w:val="00BC659D"/>
    <w:rsid w:val="00BC73EE"/>
    <w:rsid w:val="00BC794D"/>
    <w:rsid w:val="00BD0226"/>
    <w:rsid w:val="00BD13A0"/>
    <w:rsid w:val="00BD18A7"/>
    <w:rsid w:val="00BD3A67"/>
    <w:rsid w:val="00BD527E"/>
    <w:rsid w:val="00BD54CD"/>
    <w:rsid w:val="00BD55EF"/>
    <w:rsid w:val="00BD720A"/>
    <w:rsid w:val="00BD7433"/>
    <w:rsid w:val="00BD79D1"/>
    <w:rsid w:val="00BE019D"/>
    <w:rsid w:val="00BE0409"/>
    <w:rsid w:val="00BE46C8"/>
    <w:rsid w:val="00BE4BD6"/>
    <w:rsid w:val="00BE4EBE"/>
    <w:rsid w:val="00BE6CB1"/>
    <w:rsid w:val="00BE78B5"/>
    <w:rsid w:val="00BE7AFA"/>
    <w:rsid w:val="00BE7CCC"/>
    <w:rsid w:val="00BF00B3"/>
    <w:rsid w:val="00BF121F"/>
    <w:rsid w:val="00BF140C"/>
    <w:rsid w:val="00BF24A1"/>
    <w:rsid w:val="00BF2A2C"/>
    <w:rsid w:val="00BF3ADD"/>
    <w:rsid w:val="00BF3B09"/>
    <w:rsid w:val="00BF4EDF"/>
    <w:rsid w:val="00BF5D98"/>
    <w:rsid w:val="00BF602B"/>
    <w:rsid w:val="00BF7A14"/>
    <w:rsid w:val="00BF7A1C"/>
    <w:rsid w:val="00C000BA"/>
    <w:rsid w:val="00C008A1"/>
    <w:rsid w:val="00C0198C"/>
    <w:rsid w:val="00C02029"/>
    <w:rsid w:val="00C020D8"/>
    <w:rsid w:val="00C032EF"/>
    <w:rsid w:val="00C03E88"/>
    <w:rsid w:val="00C0463C"/>
    <w:rsid w:val="00C04B2A"/>
    <w:rsid w:val="00C06083"/>
    <w:rsid w:val="00C065A1"/>
    <w:rsid w:val="00C0722B"/>
    <w:rsid w:val="00C10F82"/>
    <w:rsid w:val="00C121D6"/>
    <w:rsid w:val="00C1242C"/>
    <w:rsid w:val="00C124BE"/>
    <w:rsid w:val="00C1258C"/>
    <w:rsid w:val="00C1325F"/>
    <w:rsid w:val="00C141E8"/>
    <w:rsid w:val="00C1489A"/>
    <w:rsid w:val="00C1557C"/>
    <w:rsid w:val="00C164B7"/>
    <w:rsid w:val="00C16ED6"/>
    <w:rsid w:val="00C20C22"/>
    <w:rsid w:val="00C22DA5"/>
    <w:rsid w:val="00C231F6"/>
    <w:rsid w:val="00C2402F"/>
    <w:rsid w:val="00C2452A"/>
    <w:rsid w:val="00C260E7"/>
    <w:rsid w:val="00C26A2E"/>
    <w:rsid w:val="00C275C5"/>
    <w:rsid w:val="00C276F0"/>
    <w:rsid w:val="00C27EB1"/>
    <w:rsid w:val="00C310E2"/>
    <w:rsid w:val="00C314DD"/>
    <w:rsid w:val="00C31691"/>
    <w:rsid w:val="00C31BA5"/>
    <w:rsid w:val="00C32866"/>
    <w:rsid w:val="00C342F1"/>
    <w:rsid w:val="00C351D6"/>
    <w:rsid w:val="00C3592A"/>
    <w:rsid w:val="00C35BD2"/>
    <w:rsid w:val="00C43584"/>
    <w:rsid w:val="00C44A39"/>
    <w:rsid w:val="00C45F4F"/>
    <w:rsid w:val="00C5053B"/>
    <w:rsid w:val="00C5077D"/>
    <w:rsid w:val="00C50951"/>
    <w:rsid w:val="00C50A29"/>
    <w:rsid w:val="00C523A9"/>
    <w:rsid w:val="00C54FAF"/>
    <w:rsid w:val="00C55814"/>
    <w:rsid w:val="00C55FA7"/>
    <w:rsid w:val="00C60B9A"/>
    <w:rsid w:val="00C61786"/>
    <w:rsid w:val="00C62E52"/>
    <w:rsid w:val="00C6369C"/>
    <w:rsid w:val="00C63CD7"/>
    <w:rsid w:val="00C63E78"/>
    <w:rsid w:val="00C63F8E"/>
    <w:rsid w:val="00C64A81"/>
    <w:rsid w:val="00C651C1"/>
    <w:rsid w:val="00C700CB"/>
    <w:rsid w:val="00C70270"/>
    <w:rsid w:val="00C70AAB"/>
    <w:rsid w:val="00C71ACF"/>
    <w:rsid w:val="00C71C35"/>
    <w:rsid w:val="00C7426E"/>
    <w:rsid w:val="00C75A31"/>
    <w:rsid w:val="00C763EE"/>
    <w:rsid w:val="00C768DE"/>
    <w:rsid w:val="00C76D0F"/>
    <w:rsid w:val="00C76DAF"/>
    <w:rsid w:val="00C77262"/>
    <w:rsid w:val="00C77BE0"/>
    <w:rsid w:val="00C8140C"/>
    <w:rsid w:val="00C815C1"/>
    <w:rsid w:val="00C82488"/>
    <w:rsid w:val="00C824E2"/>
    <w:rsid w:val="00C83555"/>
    <w:rsid w:val="00C83A09"/>
    <w:rsid w:val="00C83A57"/>
    <w:rsid w:val="00C848A6"/>
    <w:rsid w:val="00C84A88"/>
    <w:rsid w:val="00C8513C"/>
    <w:rsid w:val="00C8563E"/>
    <w:rsid w:val="00C86CFC"/>
    <w:rsid w:val="00C901DA"/>
    <w:rsid w:val="00C90899"/>
    <w:rsid w:val="00C90E2C"/>
    <w:rsid w:val="00C93DC5"/>
    <w:rsid w:val="00C93F07"/>
    <w:rsid w:val="00C949F2"/>
    <w:rsid w:val="00C95034"/>
    <w:rsid w:val="00C9533F"/>
    <w:rsid w:val="00C95C0D"/>
    <w:rsid w:val="00C96AC9"/>
    <w:rsid w:val="00C97B74"/>
    <w:rsid w:val="00CA0DCF"/>
    <w:rsid w:val="00CA2C18"/>
    <w:rsid w:val="00CA3B67"/>
    <w:rsid w:val="00CA4769"/>
    <w:rsid w:val="00CA4BC1"/>
    <w:rsid w:val="00CA5295"/>
    <w:rsid w:val="00CA558D"/>
    <w:rsid w:val="00CA7167"/>
    <w:rsid w:val="00CB0224"/>
    <w:rsid w:val="00CB16CD"/>
    <w:rsid w:val="00CB46A6"/>
    <w:rsid w:val="00CB4BB0"/>
    <w:rsid w:val="00CB53C6"/>
    <w:rsid w:val="00CB65FB"/>
    <w:rsid w:val="00CB6943"/>
    <w:rsid w:val="00CC0119"/>
    <w:rsid w:val="00CC02D2"/>
    <w:rsid w:val="00CC0703"/>
    <w:rsid w:val="00CC0E9D"/>
    <w:rsid w:val="00CC2153"/>
    <w:rsid w:val="00CC30E4"/>
    <w:rsid w:val="00CC3285"/>
    <w:rsid w:val="00CC3EA5"/>
    <w:rsid w:val="00CC4426"/>
    <w:rsid w:val="00CC4D32"/>
    <w:rsid w:val="00CC4EFB"/>
    <w:rsid w:val="00CC642C"/>
    <w:rsid w:val="00CC7694"/>
    <w:rsid w:val="00CC76A8"/>
    <w:rsid w:val="00CD1CFF"/>
    <w:rsid w:val="00CD1D84"/>
    <w:rsid w:val="00CD2E8B"/>
    <w:rsid w:val="00CD305C"/>
    <w:rsid w:val="00CD326A"/>
    <w:rsid w:val="00CD3339"/>
    <w:rsid w:val="00CD4EFD"/>
    <w:rsid w:val="00CD50FD"/>
    <w:rsid w:val="00CD6387"/>
    <w:rsid w:val="00CD6BDD"/>
    <w:rsid w:val="00CD71CA"/>
    <w:rsid w:val="00CD7EE8"/>
    <w:rsid w:val="00CE0B77"/>
    <w:rsid w:val="00CE12E4"/>
    <w:rsid w:val="00CE161A"/>
    <w:rsid w:val="00CE1E53"/>
    <w:rsid w:val="00CE27EB"/>
    <w:rsid w:val="00CE3E04"/>
    <w:rsid w:val="00CE5860"/>
    <w:rsid w:val="00CE5979"/>
    <w:rsid w:val="00CE5D7C"/>
    <w:rsid w:val="00CE6C91"/>
    <w:rsid w:val="00CE7283"/>
    <w:rsid w:val="00CE75A9"/>
    <w:rsid w:val="00CF1352"/>
    <w:rsid w:val="00CF1962"/>
    <w:rsid w:val="00CF2224"/>
    <w:rsid w:val="00CF3981"/>
    <w:rsid w:val="00CF3CF2"/>
    <w:rsid w:val="00CF3FCB"/>
    <w:rsid w:val="00CF4711"/>
    <w:rsid w:val="00CF614D"/>
    <w:rsid w:val="00CF74CB"/>
    <w:rsid w:val="00CF7766"/>
    <w:rsid w:val="00D00790"/>
    <w:rsid w:val="00D02E2C"/>
    <w:rsid w:val="00D0306E"/>
    <w:rsid w:val="00D03506"/>
    <w:rsid w:val="00D07512"/>
    <w:rsid w:val="00D10197"/>
    <w:rsid w:val="00D11E95"/>
    <w:rsid w:val="00D12502"/>
    <w:rsid w:val="00D125C2"/>
    <w:rsid w:val="00D12D07"/>
    <w:rsid w:val="00D146DD"/>
    <w:rsid w:val="00D154AD"/>
    <w:rsid w:val="00D15D14"/>
    <w:rsid w:val="00D16202"/>
    <w:rsid w:val="00D1647E"/>
    <w:rsid w:val="00D17CA7"/>
    <w:rsid w:val="00D209F5"/>
    <w:rsid w:val="00D23F4E"/>
    <w:rsid w:val="00D2516E"/>
    <w:rsid w:val="00D26098"/>
    <w:rsid w:val="00D26C7B"/>
    <w:rsid w:val="00D27733"/>
    <w:rsid w:val="00D27908"/>
    <w:rsid w:val="00D31026"/>
    <w:rsid w:val="00D34509"/>
    <w:rsid w:val="00D34DB5"/>
    <w:rsid w:val="00D35735"/>
    <w:rsid w:val="00D35F22"/>
    <w:rsid w:val="00D3620D"/>
    <w:rsid w:val="00D410F2"/>
    <w:rsid w:val="00D4187D"/>
    <w:rsid w:val="00D42ACC"/>
    <w:rsid w:val="00D46F54"/>
    <w:rsid w:val="00D47267"/>
    <w:rsid w:val="00D501DE"/>
    <w:rsid w:val="00D516B8"/>
    <w:rsid w:val="00D52C8E"/>
    <w:rsid w:val="00D53139"/>
    <w:rsid w:val="00D54D3B"/>
    <w:rsid w:val="00D564F7"/>
    <w:rsid w:val="00D5708B"/>
    <w:rsid w:val="00D5709C"/>
    <w:rsid w:val="00D57B2B"/>
    <w:rsid w:val="00D610E3"/>
    <w:rsid w:val="00D61E82"/>
    <w:rsid w:val="00D6250B"/>
    <w:rsid w:val="00D629C0"/>
    <w:rsid w:val="00D64574"/>
    <w:rsid w:val="00D659A7"/>
    <w:rsid w:val="00D65EEF"/>
    <w:rsid w:val="00D66B38"/>
    <w:rsid w:val="00D67A83"/>
    <w:rsid w:val="00D72498"/>
    <w:rsid w:val="00D72CE9"/>
    <w:rsid w:val="00D74005"/>
    <w:rsid w:val="00D75AA7"/>
    <w:rsid w:val="00D7659D"/>
    <w:rsid w:val="00D76DDF"/>
    <w:rsid w:val="00D8038E"/>
    <w:rsid w:val="00D80D0C"/>
    <w:rsid w:val="00D80D50"/>
    <w:rsid w:val="00D81D2E"/>
    <w:rsid w:val="00D82225"/>
    <w:rsid w:val="00D82507"/>
    <w:rsid w:val="00D83F86"/>
    <w:rsid w:val="00D848B7"/>
    <w:rsid w:val="00D8585C"/>
    <w:rsid w:val="00D86374"/>
    <w:rsid w:val="00D87EA1"/>
    <w:rsid w:val="00D900D2"/>
    <w:rsid w:val="00D904B1"/>
    <w:rsid w:val="00D90DFC"/>
    <w:rsid w:val="00D92763"/>
    <w:rsid w:val="00D95C89"/>
    <w:rsid w:val="00D95E28"/>
    <w:rsid w:val="00D96849"/>
    <w:rsid w:val="00D96F2E"/>
    <w:rsid w:val="00D97E01"/>
    <w:rsid w:val="00DA006F"/>
    <w:rsid w:val="00DA0156"/>
    <w:rsid w:val="00DA0B9E"/>
    <w:rsid w:val="00DA13CA"/>
    <w:rsid w:val="00DA2AC6"/>
    <w:rsid w:val="00DA36D1"/>
    <w:rsid w:val="00DA38A1"/>
    <w:rsid w:val="00DA5828"/>
    <w:rsid w:val="00DA5C44"/>
    <w:rsid w:val="00DA5D29"/>
    <w:rsid w:val="00DA6133"/>
    <w:rsid w:val="00DB0538"/>
    <w:rsid w:val="00DB13E4"/>
    <w:rsid w:val="00DB1B0A"/>
    <w:rsid w:val="00DB1CD1"/>
    <w:rsid w:val="00DB23C5"/>
    <w:rsid w:val="00DB2C2C"/>
    <w:rsid w:val="00DB32CB"/>
    <w:rsid w:val="00DB3B4B"/>
    <w:rsid w:val="00DB3CB6"/>
    <w:rsid w:val="00DB4399"/>
    <w:rsid w:val="00DB57EB"/>
    <w:rsid w:val="00DB7ECC"/>
    <w:rsid w:val="00DC27EC"/>
    <w:rsid w:val="00DC2B8B"/>
    <w:rsid w:val="00DC49CD"/>
    <w:rsid w:val="00DC5D69"/>
    <w:rsid w:val="00DC7577"/>
    <w:rsid w:val="00DD0CE0"/>
    <w:rsid w:val="00DD26F4"/>
    <w:rsid w:val="00DD2A50"/>
    <w:rsid w:val="00DD4814"/>
    <w:rsid w:val="00DD5C87"/>
    <w:rsid w:val="00DE0757"/>
    <w:rsid w:val="00DE1E09"/>
    <w:rsid w:val="00DE1F60"/>
    <w:rsid w:val="00DE3B01"/>
    <w:rsid w:val="00DE64E0"/>
    <w:rsid w:val="00DE6934"/>
    <w:rsid w:val="00DF0231"/>
    <w:rsid w:val="00DF0761"/>
    <w:rsid w:val="00DF2F1F"/>
    <w:rsid w:val="00DF3C20"/>
    <w:rsid w:val="00DF41B3"/>
    <w:rsid w:val="00DF47D9"/>
    <w:rsid w:val="00DF5B3F"/>
    <w:rsid w:val="00DF6068"/>
    <w:rsid w:val="00DF6469"/>
    <w:rsid w:val="00DF6862"/>
    <w:rsid w:val="00DF6930"/>
    <w:rsid w:val="00DF6C82"/>
    <w:rsid w:val="00DF6E03"/>
    <w:rsid w:val="00DF7104"/>
    <w:rsid w:val="00DF7432"/>
    <w:rsid w:val="00E002D0"/>
    <w:rsid w:val="00E006A3"/>
    <w:rsid w:val="00E01092"/>
    <w:rsid w:val="00E020E0"/>
    <w:rsid w:val="00E03136"/>
    <w:rsid w:val="00E03386"/>
    <w:rsid w:val="00E03C2E"/>
    <w:rsid w:val="00E03E1D"/>
    <w:rsid w:val="00E04295"/>
    <w:rsid w:val="00E045D2"/>
    <w:rsid w:val="00E06AF8"/>
    <w:rsid w:val="00E06EED"/>
    <w:rsid w:val="00E07E26"/>
    <w:rsid w:val="00E07EA4"/>
    <w:rsid w:val="00E10803"/>
    <w:rsid w:val="00E1091F"/>
    <w:rsid w:val="00E10CAA"/>
    <w:rsid w:val="00E11798"/>
    <w:rsid w:val="00E11FF1"/>
    <w:rsid w:val="00E12A7A"/>
    <w:rsid w:val="00E12DFC"/>
    <w:rsid w:val="00E160E4"/>
    <w:rsid w:val="00E17848"/>
    <w:rsid w:val="00E20168"/>
    <w:rsid w:val="00E20C8B"/>
    <w:rsid w:val="00E225B4"/>
    <w:rsid w:val="00E22B77"/>
    <w:rsid w:val="00E24C8F"/>
    <w:rsid w:val="00E25F42"/>
    <w:rsid w:val="00E27E66"/>
    <w:rsid w:val="00E303BE"/>
    <w:rsid w:val="00E30780"/>
    <w:rsid w:val="00E32B6E"/>
    <w:rsid w:val="00E33D29"/>
    <w:rsid w:val="00E33F87"/>
    <w:rsid w:val="00E35326"/>
    <w:rsid w:val="00E359C8"/>
    <w:rsid w:val="00E35F46"/>
    <w:rsid w:val="00E37703"/>
    <w:rsid w:val="00E37D01"/>
    <w:rsid w:val="00E40D4E"/>
    <w:rsid w:val="00E42454"/>
    <w:rsid w:val="00E42ECA"/>
    <w:rsid w:val="00E43BDA"/>
    <w:rsid w:val="00E44FE2"/>
    <w:rsid w:val="00E452B4"/>
    <w:rsid w:val="00E45AEE"/>
    <w:rsid w:val="00E468DD"/>
    <w:rsid w:val="00E46C71"/>
    <w:rsid w:val="00E47656"/>
    <w:rsid w:val="00E5337E"/>
    <w:rsid w:val="00E53728"/>
    <w:rsid w:val="00E53E6A"/>
    <w:rsid w:val="00E547E2"/>
    <w:rsid w:val="00E55A8F"/>
    <w:rsid w:val="00E5620F"/>
    <w:rsid w:val="00E56648"/>
    <w:rsid w:val="00E60EB2"/>
    <w:rsid w:val="00E63DC6"/>
    <w:rsid w:val="00E64DC6"/>
    <w:rsid w:val="00E660AB"/>
    <w:rsid w:val="00E6758B"/>
    <w:rsid w:val="00E6798D"/>
    <w:rsid w:val="00E7045E"/>
    <w:rsid w:val="00E70EAD"/>
    <w:rsid w:val="00E72AC4"/>
    <w:rsid w:val="00E7395F"/>
    <w:rsid w:val="00E74307"/>
    <w:rsid w:val="00E7438F"/>
    <w:rsid w:val="00E758B5"/>
    <w:rsid w:val="00E76663"/>
    <w:rsid w:val="00E808F1"/>
    <w:rsid w:val="00E80B17"/>
    <w:rsid w:val="00E80F85"/>
    <w:rsid w:val="00E80FB8"/>
    <w:rsid w:val="00E820F1"/>
    <w:rsid w:val="00E82B37"/>
    <w:rsid w:val="00E8348B"/>
    <w:rsid w:val="00E83608"/>
    <w:rsid w:val="00E839FB"/>
    <w:rsid w:val="00E8432A"/>
    <w:rsid w:val="00E84DA6"/>
    <w:rsid w:val="00E8525E"/>
    <w:rsid w:val="00E86197"/>
    <w:rsid w:val="00E861AF"/>
    <w:rsid w:val="00E87299"/>
    <w:rsid w:val="00E917DD"/>
    <w:rsid w:val="00E93492"/>
    <w:rsid w:val="00E9396C"/>
    <w:rsid w:val="00E95EA6"/>
    <w:rsid w:val="00E96164"/>
    <w:rsid w:val="00E973E1"/>
    <w:rsid w:val="00E97C10"/>
    <w:rsid w:val="00EA268F"/>
    <w:rsid w:val="00EA3F63"/>
    <w:rsid w:val="00EA7310"/>
    <w:rsid w:val="00EA7715"/>
    <w:rsid w:val="00EA77A7"/>
    <w:rsid w:val="00EB0211"/>
    <w:rsid w:val="00EB0323"/>
    <w:rsid w:val="00EB127B"/>
    <w:rsid w:val="00EB1766"/>
    <w:rsid w:val="00EB19A9"/>
    <w:rsid w:val="00EB28CA"/>
    <w:rsid w:val="00EB29A4"/>
    <w:rsid w:val="00EB3BDD"/>
    <w:rsid w:val="00EB4329"/>
    <w:rsid w:val="00EB5945"/>
    <w:rsid w:val="00EB5984"/>
    <w:rsid w:val="00EB6274"/>
    <w:rsid w:val="00EB788C"/>
    <w:rsid w:val="00EC20DA"/>
    <w:rsid w:val="00EC243E"/>
    <w:rsid w:val="00EC31E6"/>
    <w:rsid w:val="00EC39AF"/>
    <w:rsid w:val="00EC4292"/>
    <w:rsid w:val="00EC4759"/>
    <w:rsid w:val="00EC4D29"/>
    <w:rsid w:val="00EC592D"/>
    <w:rsid w:val="00EC60A8"/>
    <w:rsid w:val="00EC6632"/>
    <w:rsid w:val="00EC737F"/>
    <w:rsid w:val="00EC7B44"/>
    <w:rsid w:val="00ED0512"/>
    <w:rsid w:val="00ED1098"/>
    <w:rsid w:val="00ED26E2"/>
    <w:rsid w:val="00ED3EB2"/>
    <w:rsid w:val="00ED4605"/>
    <w:rsid w:val="00ED4CD0"/>
    <w:rsid w:val="00ED654D"/>
    <w:rsid w:val="00EE0FDD"/>
    <w:rsid w:val="00EE4F81"/>
    <w:rsid w:val="00EE4FE1"/>
    <w:rsid w:val="00EE5018"/>
    <w:rsid w:val="00EE5BA5"/>
    <w:rsid w:val="00EE6666"/>
    <w:rsid w:val="00EE7EE0"/>
    <w:rsid w:val="00EF1397"/>
    <w:rsid w:val="00EF38BB"/>
    <w:rsid w:val="00EF53C6"/>
    <w:rsid w:val="00EF6CDC"/>
    <w:rsid w:val="00F00221"/>
    <w:rsid w:val="00F00484"/>
    <w:rsid w:val="00F023FB"/>
    <w:rsid w:val="00F02E2C"/>
    <w:rsid w:val="00F03503"/>
    <w:rsid w:val="00F040CF"/>
    <w:rsid w:val="00F0413A"/>
    <w:rsid w:val="00F044F6"/>
    <w:rsid w:val="00F06A88"/>
    <w:rsid w:val="00F10600"/>
    <w:rsid w:val="00F12290"/>
    <w:rsid w:val="00F12A15"/>
    <w:rsid w:val="00F139E1"/>
    <w:rsid w:val="00F13DD1"/>
    <w:rsid w:val="00F15387"/>
    <w:rsid w:val="00F1665B"/>
    <w:rsid w:val="00F17943"/>
    <w:rsid w:val="00F17FFD"/>
    <w:rsid w:val="00F20EE8"/>
    <w:rsid w:val="00F21392"/>
    <w:rsid w:val="00F21ABF"/>
    <w:rsid w:val="00F22362"/>
    <w:rsid w:val="00F22BAF"/>
    <w:rsid w:val="00F22D75"/>
    <w:rsid w:val="00F2328A"/>
    <w:rsid w:val="00F24A87"/>
    <w:rsid w:val="00F24DFC"/>
    <w:rsid w:val="00F2521F"/>
    <w:rsid w:val="00F26114"/>
    <w:rsid w:val="00F26938"/>
    <w:rsid w:val="00F3235B"/>
    <w:rsid w:val="00F3275E"/>
    <w:rsid w:val="00F32B5C"/>
    <w:rsid w:val="00F34DD4"/>
    <w:rsid w:val="00F3518D"/>
    <w:rsid w:val="00F36D13"/>
    <w:rsid w:val="00F40E11"/>
    <w:rsid w:val="00F42202"/>
    <w:rsid w:val="00F4229C"/>
    <w:rsid w:val="00F42B60"/>
    <w:rsid w:val="00F4317D"/>
    <w:rsid w:val="00F43EF2"/>
    <w:rsid w:val="00F4542D"/>
    <w:rsid w:val="00F45555"/>
    <w:rsid w:val="00F45814"/>
    <w:rsid w:val="00F45861"/>
    <w:rsid w:val="00F458AF"/>
    <w:rsid w:val="00F45E05"/>
    <w:rsid w:val="00F47970"/>
    <w:rsid w:val="00F50B5B"/>
    <w:rsid w:val="00F50F0F"/>
    <w:rsid w:val="00F51AC9"/>
    <w:rsid w:val="00F5269A"/>
    <w:rsid w:val="00F53D97"/>
    <w:rsid w:val="00F53E2F"/>
    <w:rsid w:val="00F54AD9"/>
    <w:rsid w:val="00F558C4"/>
    <w:rsid w:val="00F567DF"/>
    <w:rsid w:val="00F56E4E"/>
    <w:rsid w:val="00F57E74"/>
    <w:rsid w:val="00F57EB5"/>
    <w:rsid w:val="00F60707"/>
    <w:rsid w:val="00F60990"/>
    <w:rsid w:val="00F62C31"/>
    <w:rsid w:val="00F64E70"/>
    <w:rsid w:val="00F655A7"/>
    <w:rsid w:val="00F65D17"/>
    <w:rsid w:val="00F65E6D"/>
    <w:rsid w:val="00F669C3"/>
    <w:rsid w:val="00F71724"/>
    <w:rsid w:val="00F71772"/>
    <w:rsid w:val="00F74575"/>
    <w:rsid w:val="00F765DC"/>
    <w:rsid w:val="00F76A3C"/>
    <w:rsid w:val="00F77368"/>
    <w:rsid w:val="00F777A2"/>
    <w:rsid w:val="00F822AD"/>
    <w:rsid w:val="00F828C1"/>
    <w:rsid w:val="00F82953"/>
    <w:rsid w:val="00F82C11"/>
    <w:rsid w:val="00F8312B"/>
    <w:rsid w:val="00F83BB3"/>
    <w:rsid w:val="00F84C43"/>
    <w:rsid w:val="00F855C8"/>
    <w:rsid w:val="00F85666"/>
    <w:rsid w:val="00F8584C"/>
    <w:rsid w:val="00F86A21"/>
    <w:rsid w:val="00F907F3"/>
    <w:rsid w:val="00F90B61"/>
    <w:rsid w:val="00F91252"/>
    <w:rsid w:val="00F917C8"/>
    <w:rsid w:val="00F92DC2"/>
    <w:rsid w:val="00F9399D"/>
    <w:rsid w:val="00F93A81"/>
    <w:rsid w:val="00F9536C"/>
    <w:rsid w:val="00F9577A"/>
    <w:rsid w:val="00F9605D"/>
    <w:rsid w:val="00F97374"/>
    <w:rsid w:val="00F97830"/>
    <w:rsid w:val="00F97E3E"/>
    <w:rsid w:val="00FA1322"/>
    <w:rsid w:val="00FA210D"/>
    <w:rsid w:val="00FA36A8"/>
    <w:rsid w:val="00FA4DFA"/>
    <w:rsid w:val="00FA51D4"/>
    <w:rsid w:val="00FA7129"/>
    <w:rsid w:val="00FA7F19"/>
    <w:rsid w:val="00FB04B7"/>
    <w:rsid w:val="00FB0765"/>
    <w:rsid w:val="00FB1B75"/>
    <w:rsid w:val="00FB1BA0"/>
    <w:rsid w:val="00FB3C72"/>
    <w:rsid w:val="00FB3C7D"/>
    <w:rsid w:val="00FB7780"/>
    <w:rsid w:val="00FB7F61"/>
    <w:rsid w:val="00FC2294"/>
    <w:rsid w:val="00FC29AD"/>
    <w:rsid w:val="00FC3BD6"/>
    <w:rsid w:val="00FC4643"/>
    <w:rsid w:val="00FC5AF9"/>
    <w:rsid w:val="00FC670F"/>
    <w:rsid w:val="00FC6A8B"/>
    <w:rsid w:val="00FC7FE6"/>
    <w:rsid w:val="00FD0782"/>
    <w:rsid w:val="00FD07C0"/>
    <w:rsid w:val="00FD07D4"/>
    <w:rsid w:val="00FD4F47"/>
    <w:rsid w:val="00FD50A7"/>
    <w:rsid w:val="00FD5F8B"/>
    <w:rsid w:val="00FD62E5"/>
    <w:rsid w:val="00FD6FB5"/>
    <w:rsid w:val="00FD73D7"/>
    <w:rsid w:val="00FD7F30"/>
    <w:rsid w:val="00FE1545"/>
    <w:rsid w:val="00FE1D59"/>
    <w:rsid w:val="00FE1E81"/>
    <w:rsid w:val="00FE2492"/>
    <w:rsid w:val="00FE2B7D"/>
    <w:rsid w:val="00FE70F4"/>
    <w:rsid w:val="00FF07B3"/>
    <w:rsid w:val="00FF0CCA"/>
    <w:rsid w:val="00FF3BB7"/>
    <w:rsid w:val="00FF3FC4"/>
    <w:rsid w:val="00FF40C6"/>
    <w:rsid w:val="00FF4241"/>
    <w:rsid w:val="00FF47C1"/>
    <w:rsid w:val="00FF5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14:docId w14:val="3030B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71"/>
    <w:pPr>
      <w:spacing w:after="120"/>
    </w:pPr>
    <w:rPr>
      <w:rFonts w:ascii="Arial" w:hAnsi="Arial"/>
      <w:sz w:val="22"/>
    </w:rPr>
  </w:style>
  <w:style w:type="paragraph" w:styleId="Heading1">
    <w:name w:val="heading 1"/>
    <w:next w:val="Normal"/>
    <w:link w:val="Heading1Char"/>
    <w:uiPriority w:val="9"/>
    <w:qFormat/>
    <w:rsid w:val="00C000BA"/>
    <w:pPr>
      <w:outlineLvl w:val="0"/>
    </w:pPr>
    <w:rPr>
      <w:rFonts w:ascii="Georgia" w:eastAsiaTheme="majorEastAsia" w:hAnsi="Georgia" w:cstheme="majorBidi"/>
      <w:bCs/>
      <w:color w:val="005A70"/>
      <w:spacing w:val="4"/>
      <w:kern w:val="0"/>
      <w:sz w:val="40"/>
      <w:szCs w:val="40"/>
      <w:lang w:eastAsia="en-AU"/>
      <w14:ligatures w14:val="none"/>
    </w:rPr>
  </w:style>
  <w:style w:type="paragraph" w:styleId="Heading2">
    <w:name w:val="heading 2"/>
    <w:basedOn w:val="Normal"/>
    <w:next w:val="Normal"/>
    <w:link w:val="Heading2Char"/>
    <w:uiPriority w:val="2"/>
    <w:unhideWhenUsed/>
    <w:qFormat/>
    <w:rsid w:val="00C000BA"/>
    <w:pPr>
      <w:spacing w:before="240"/>
      <w:outlineLvl w:val="1"/>
    </w:pPr>
    <w:rPr>
      <w:rFonts w:ascii="Georgia" w:eastAsiaTheme="majorEastAsia" w:hAnsi="Georgia" w:cstheme="majorBidi"/>
      <w:bCs/>
      <w:color w:val="005A70"/>
      <w:spacing w:val="4"/>
      <w:kern w:val="0"/>
      <w:sz w:val="32"/>
      <w:szCs w:val="40"/>
      <w:lang w:eastAsia="en-AU"/>
      <w14:ligatures w14:val="none"/>
    </w:rPr>
  </w:style>
  <w:style w:type="paragraph" w:styleId="Heading3">
    <w:name w:val="heading 3"/>
    <w:basedOn w:val="Normal"/>
    <w:next w:val="Normal"/>
    <w:link w:val="Heading3Char"/>
    <w:uiPriority w:val="9"/>
    <w:unhideWhenUsed/>
    <w:qFormat/>
    <w:rsid w:val="005C3786"/>
    <w:pPr>
      <w:keepNext/>
      <w:keepLines/>
      <w:outlineLvl w:val="2"/>
    </w:pPr>
    <w:rPr>
      <w:rFonts w:ascii="Georgia" w:eastAsia="Times New Roman" w:hAnsi="Georgia" w:cstheme="majorBidi"/>
      <w:bCs/>
      <w:color w:val="005A70"/>
      <w:sz w:val="28"/>
      <w:lang w:eastAsia="en-AU"/>
    </w:rPr>
  </w:style>
  <w:style w:type="paragraph" w:styleId="Heading4">
    <w:name w:val="heading 4"/>
    <w:basedOn w:val="Heading3"/>
    <w:next w:val="Normal"/>
    <w:link w:val="Heading4Char"/>
    <w:uiPriority w:val="9"/>
    <w:unhideWhenUsed/>
    <w:qFormat/>
    <w:rsid w:val="007A2AF6"/>
    <w:pPr>
      <w:spacing w:before="240"/>
      <w:outlineLvl w:val="3"/>
    </w:pPr>
    <w:rPr>
      <w:szCs w:val="28"/>
    </w:rPr>
  </w:style>
  <w:style w:type="paragraph" w:styleId="Heading5">
    <w:name w:val="heading 5"/>
    <w:basedOn w:val="Normal"/>
    <w:next w:val="Normal"/>
    <w:link w:val="Heading5Char"/>
    <w:uiPriority w:val="9"/>
    <w:unhideWhenUsed/>
    <w:qFormat/>
    <w:rsid w:val="000C1EFB"/>
    <w:pPr>
      <w:keepNext/>
      <w:keepLines/>
      <w:spacing w:before="40"/>
      <w:ind w:left="720" w:hanging="360"/>
      <w:outlineLvl w:val="4"/>
    </w:pPr>
    <w:rPr>
      <w:rFonts w:ascii="Calibri" w:eastAsiaTheme="majorEastAsia" w:hAnsi="Calibri" w:cs="Calibri"/>
      <w:color w:val="000000" w:themeColor="text1"/>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23C5"/>
    <w:pPr>
      <w:widowControl w:val="0"/>
      <w:autoSpaceDE w:val="0"/>
      <w:autoSpaceDN w:val="0"/>
    </w:pPr>
    <w:rPr>
      <w:rFonts w:ascii="Calibri" w:eastAsia="Calibri" w:hAnsi="Calibri" w:cs="Calibri"/>
      <w:kern w:val="0"/>
      <w:szCs w:val="22"/>
      <w:lang w:val="en-US"/>
      <w14:ligatures w14:val="none"/>
    </w:rPr>
  </w:style>
  <w:style w:type="character" w:customStyle="1" w:styleId="BodyTextChar">
    <w:name w:val="Body Text Char"/>
    <w:basedOn w:val="DefaultParagraphFont"/>
    <w:link w:val="BodyText"/>
    <w:uiPriority w:val="1"/>
    <w:rsid w:val="00DB23C5"/>
    <w:rPr>
      <w:rFonts w:ascii="Calibri" w:eastAsia="Calibri" w:hAnsi="Calibri" w:cs="Calibri"/>
      <w:kern w:val="0"/>
      <w:sz w:val="22"/>
      <w:szCs w:val="22"/>
      <w:lang w:val="en-US"/>
      <w14:ligatures w14:val="none"/>
    </w:rPr>
  </w:style>
  <w:style w:type="character" w:styleId="Hyperlink">
    <w:name w:val="Hyperlink"/>
    <w:basedOn w:val="DefaultParagraphFont"/>
    <w:uiPriority w:val="99"/>
    <w:unhideWhenUsed/>
    <w:rsid w:val="00DB23C5"/>
    <w:rPr>
      <w:color w:val="0563C1" w:themeColor="hyperlink"/>
      <w:u w:val="single"/>
    </w:rPr>
  </w:style>
  <w:style w:type="character" w:customStyle="1" w:styleId="UnresolvedMention1">
    <w:name w:val="Unresolved Mention1"/>
    <w:basedOn w:val="DefaultParagraphFont"/>
    <w:uiPriority w:val="99"/>
    <w:semiHidden/>
    <w:unhideWhenUsed/>
    <w:rsid w:val="00DB23C5"/>
    <w:rPr>
      <w:color w:val="605E5C"/>
      <w:shd w:val="clear" w:color="auto" w:fill="E1DFDD"/>
    </w:rPr>
  </w:style>
  <w:style w:type="paragraph" w:styleId="ListParagraph">
    <w:name w:val="List Paragraph"/>
    <w:aliases w:val="Bullet List,Bullet list,Bulletr List Paragraph,FooterText,Key Message Bullets,L,List Paragraph1,List Paragraph11,List Paragraph2,List Paragraph21,Listeafsnit1,Listenabsatz,Paragraphe de liste1,Recommendation,bullet point list,numbered,列出段"/>
    <w:basedOn w:val="Normal"/>
    <w:link w:val="ListParagraphChar"/>
    <w:uiPriority w:val="34"/>
    <w:qFormat/>
    <w:rsid w:val="00B44A59"/>
    <w:pPr>
      <w:ind w:left="720"/>
      <w:contextualSpacing/>
    </w:pPr>
  </w:style>
  <w:style w:type="character" w:customStyle="1" w:styleId="Heading2Char">
    <w:name w:val="Heading 2 Char"/>
    <w:basedOn w:val="DefaultParagraphFont"/>
    <w:link w:val="Heading2"/>
    <w:uiPriority w:val="2"/>
    <w:rsid w:val="00C000BA"/>
    <w:rPr>
      <w:rFonts w:ascii="Georgia" w:eastAsiaTheme="majorEastAsia" w:hAnsi="Georgia" w:cstheme="majorBidi"/>
      <w:bCs/>
      <w:color w:val="005A70"/>
      <w:spacing w:val="4"/>
      <w:kern w:val="0"/>
      <w:sz w:val="32"/>
      <w:szCs w:val="40"/>
      <w:lang w:eastAsia="en-AU"/>
      <w14:ligatures w14:val="none"/>
    </w:rPr>
  </w:style>
  <w:style w:type="character" w:customStyle="1" w:styleId="ListParagraphChar">
    <w:name w:val="List Paragraph Char"/>
    <w:aliases w:val="Bullet List Char,Bullet list Char,Bulletr List Paragraph Char,FooterText Char,Key Message Bullets Char,L Char,List Paragraph1 Char,List Paragraph11 Char,List Paragraph2 Char,List Paragraph21 Char,Listeafsnit1 Char,Listenabsatz Char"/>
    <w:basedOn w:val="DefaultParagraphFont"/>
    <w:link w:val="ListParagraph"/>
    <w:uiPriority w:val="34"/>
    <w:qFormat/>
    <w:locked/>
    <w:rsid w:val="0039587C"/>
  </w:style>
  <w:style w:type="character" w:styleId="FollowedHyperlink">
    <w:name w:val="FollowedHyperlink"/>
    <w:basedOn w:val="DefaultParagraphFont"/>
    <w:uiPriority w:val="99"/>
    <w:semiHidden/>
    <w:unhideWhenUsed/>
    <w:rsid w:val="0039587C"/>
    <w:rPr>
      <w:color w:val="954F72" w:themeColor="followedHyperlink"/>
      <w:u w:val="single"/>
    </w:rPr>
  </w:style>
  <w:style w:type="character" w:styleId="CommentReference">
    <w:name w:val="annotation reference"/>
    <w:basedOn w:val="DefaultParagraphFont"/>
    <w:uiPriority w:val="99"/>
    <w:unhideWhenUsed/>
    <w:rsid w:val="00CC02D2"/>
    <w:rPr>
      <w:sz w:val="16"/>
      <w:szCs w:val="16"/>
    </w:rPr>
  </w:style>
  <w:style w:type="paragraph" w:styleId="CommentText">
    <w:name w:val="annotation text"/>
    <w:basedOn w:val="Normal"/>
    <w:link w:val="CommentTextChar"/>
    <w:unhideWhenUsed/>
    <w:rsid w:val="00CC02D2"/>
    <w:rPr>
      <w:sz w:val="20"/>
      <w:szCs w:val="20"/>
    </w:rPr>
  </w:style>
  <w:style w:type="character" w:customStyle="1" w:styleId="CommentTextChar">
    <w:name w:val="Comment Text Char"/>
    <w:basedOn w:val="DefaultParagraphFont"/>
    <w:link w:val="CommentText"/>
    <w:rsid w:val="00CC02D2"/>
    <w:rPr>
      <w:sz w:val="20"/>
      <w:szCs w:val="20"/>
    </w:rPr>
  </w:style>
  <w:style w:type="paragraph" w:styleId="CommentSubject">
    <w:name w:val="annotation subject"/>
    <w:basedOn w:val="CommentText"/>
    <w:next w:val="CommentText"/>
    <w:link w:val="CommentSubjectChar"/>
    <w:uiPriority w:val="99"/>
    <w:semiHidden/>
    <w:unhideWhenUsed/>
    <w:rsid w:val="00CC02D2"/>
    <w:rPr>
      <w:b/>
      <w:bCs/>
    </w:rPr>
  </w:style>
  <w:style w:type="character" w:customStyle="1" w:styleId="CommentSubjectChar">
    <w:name w:val="Comment Subject Char"/>
    <w:basedOn w:val="CommentTextChar"/>
    <w:link w:val="CommentSubject"/>
    <w:uiPriority w:val="99"/>
    <w:semiHidden/>
    <w:rsid w:val="00CC02D2"/>
    <w:rPr>
      <w:b/>
      <w:bCs/>
      <w:sz w:val="20"/>
      <w:szCs w:val="20"/>
    </w:rPr>
  </w:style>
  <w:style w:type="character" w:customStyle="1" w:styleId="Heading3Char">
    <w:name w:val="Heading 3 Char"/>
    <w:basedOn w:val="DefaultParagraphFont"/>
    <w:link w:val="Heading3"/>
    <w:uiPriority w:val="9"/>
    <w:rsid w:val="005C3786"/>
    <w:rPr>
      <w:rFonts w:ascii="Georgia" w:eastAsia="Times New Roman" w:hAnsi="Georgia" w:cstheme="majorBidi"/>
      <w:bCs/>
      <w:color w:val="005A70"/>
      <w:sz w:val="28"/>
      <w:lang w:eastAsia="en-AU"/>
    </w:rPr>
  </w:style>
  <w:style w:type="paragraph" w:customStyle="1" w:styleId="Default">
    <w:name w:val="Default"/>
    <w:uiPriority w:val="99"/>
    <w:rsid w:val="00ED654D"/>
    <w:pPr>
      <w:autoSpaceDE w:val="0"/>
      <w:autoSpaceDN w:val="0"/>
      <w:adjustRightInd w:val="0"/>
    </w:pPr>
    <w:rPr>
      <w:rFonts w:ascii="Arial" w:hAnsi="Arial" w:cs="Arial"/>
      <w:color w:val="000000"/>
      <w:kern w:val="0"/>
      <w14:ligatures w14:val="none"/>
    </w:rPr>
  </w:style>
  <w:style w:type="character" w:customStyle="1" w:styleId="Heading4Char">
    <w:name w:val="Heading 4 Char"/>
    <w:basedOn w:val="DefaultParagraphFont"/>
    <w:link w:val="Heading4"/>
    <w:uiPriority w:val="9"/>
    <w:rsid w:val="007A2AF6"/>
    <w:rPr>
      <w:rFonts w:asciiTheme="majorHAnsi" w:eastAsia="Times New Roman" w:hAnsiTheme="majorHAnsi" w:cstheme="majorBidi"/>
      <w:b/>
      <w:bCs/>
      <w:color w:val="1F3763" w:themeColor="accent1" w:themeShade="7F"/>
      <w:sz w:val="28"/>
      <w:szCs w:val="28"/>
      <w:lang w:eastAsia="en-AU"/>
    </w:rPr>
  </w:style>
  <w:style w:type="paragraph" w:styleId="Header">
    <w:name w:val="header"/>
    <w:basedOn w:val="Normal"/>
    <w:link w:val="HeaderChar"/>
    <w:uiPriority w:val="99"/>
    <w:unhideWhenUsed/>
    <w:rsid w:val="00A1539A"/>
    <w:pPr>
      <w:tabs>
        <w:tab w:val="center" w:pos="4513"/>
        <w:tab w:val="right" w:pos="9026"/>
      </w:tabs>
    </w:pPr>
  </w:style>
  <w:style w:type="character" w:customStyle="1" w:styleId="HeaderChar">
    <w:name w:val="Header Char"/>
    <w:basedOn w:val="DefaultParagraphFont"/>
    <w:link w:val="Header"/>
    <w:uiPriority w:val="99"/>
    <w:rsid w:val="00A1539A"/>
  </w:style>
  <w:style w:type="paragraph" w:styleId="Footer">
    <w:name w:val="footer"/>
    <w:basedOn w:val="Normal"/>
    <w:link w:val="FooterChar"/>
    <w:uiPriority w:val="99"/>
    <w:unhideWhenUsed/>
    <w:rsid w:val="00A1539A"/>
    <w:pPr>
      <w:tabs>
        <w:tab w:val="center" w:pos="4513"/>
        <w:tab w:val="right" w:pos="9026"/>
      </w:tabs>
    </w:pPr>
  </w:style>
  <w:style w:type="character" w:customStyle="1" w:styleId="FooterChar">
    <w:name w:val="Footer Char"/>
    <w:basedOn w:val="DefaultParagraphFont"/>
    <w:link w:val="Footer"/>
    <w:uiPriority w:val="99"/>
    <w:rsid w:val="00A1539A"/>
  </w:style>
  <w:style w:type="character" w:styleId="PageNumber">
    <w:name w:val="page number"/>
    <w:basedOn w:val="DefaultParagraphFont"/>
    <w:uiPriority w:val="99"/>
    <w:semiHidden/>
    <w:unhideWhenUsed/>
    <w:rsid w:val="00A1539A"/>
  </w:style>
  <w:style w:type="paragraph" w:styleId="EndnoteText">
    <w:name w:val="endnote text"/>
    <w:basedOn w:val="Normal"/>
    <w:link w:val="EndnoteTextChar"/>
    <w:uiPriority w:val="99"/>
    <w:semiHidden/>
    <w:unhideWhenUsed/>
    <w:rsid w:val="008A6675"/>
    <w:rPr>
      <w:sz w:val="20"/>
      <w:szCs w:val="20"/>
    </w:rPr>
  </w:style>
  <w:style w:type="character" w:customStyle="1" w:styleId="EndnoteTextChar">
    <w:name w:val="Endnote Text Char"/>
    <w:basedOn w:val="DefaultParagraphFont"/>
    <w:link w:val="EndnoteText"/>
    <w:uiPriority w:val="99"/>
    <w:semiHidden/>
    <w:rsid w:val="008A6675"/>
    <w:rPr>
      <w:sz w:val="20"/>
      <w:szCs w:val="20"/>
    </w:rPr>
  </w:style>
  <w:style w:type="character" w:styleId="EndnoteReference">
    <w:name w:val="endnote reference"/>
    <w:basedOn w:val="DefaultParagraphFont"/>
    <w:uiPriority w:val="99"/>
    <w:semiHidden/>
    <w:unhideWhenUsed/>
    <w:rsid w:val="008A6675"/>
    <w:rPr>
      <w:vertAlign w:val="superscript"/>
    </w:rPr>
  </w:style>
  <w:style w:type="character" w:customStyle="1" w:styleId="Heading5Char">
    <w:name w:val="Heading 5 Char"/>
    <w:basedOn w:val="DefaultParagraphFont"/>
    <w:link w:val="Heading5"/>
    <w:uiPriority w:val="9"/>
    <w:rsid w:val="000C1EFB"/>
    <w:rPr>
      <w:rFonts w:ascii="Calibri" w:eastAsiaTheme="majorEastAsia" w:hAnsi="Calibri" w:cs="Calibri"/>
      <w:color w:val="000000" w:themeColor="text1"/>
      <w:sz w:val="22"/>
      <w:szCs w:val="22"/>
    </w:rPr>
  </w:style>
  <w:style w:type="paragraph" w:styleId="BalloonText">
    <w:name w:val="Balloon Text"/>
    <w:basedOn w:val="Normal"/>
    <w:link w:val="BalloonTextChar"/>
    <w:uiPriority w:val="99"/>
    <w:semiHidden/>
    <w:unhideWhenUsed/>
    <w:rsid w:val="00874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F9"/>
    <w:rPr>
      <w:rFonts w:ascii="Segoe UI" w:hAnsi="Segoe UI" w:cs="Segoe UI"/>
      <w:sz w:val="18"/>
      <w:szCs w:val="18"/>
    </w:rPr>
  </w:style>
  <w:style w:type="character" w:customStyle="1" w:styleId="UnresolvedMention2">
    <w:name w:val="Unresolved Mention2"/>
    <w:basedOn w:val="DefaultParagraphFont"/>
    <w:uiPriority w:val="99"/>
    <w:semiHidden/>
    <w:unhideWhenUsed/>
    <w:rsid w:val="005D169E"/>
    <w:rPr>
      <w:color w:val="605E5C"/>
      <w:shd w:val="clear" w:color="auto" w:fill="E1DFDD"/>
    </w:rPr>
  </w:style>
  <w:style w:type="paragraph" w:styleId="FootnoteText">
    <w:name w:val="footnote text"/>
    <w:basedOn w:val="Normal"/>
    <w:link w:val="FootnoteTextChar"/>
    <w:uiPriority w:val="99"/>
    <w:unhideWhenUsed/>
    <w:rsid w:val="00C0198C"/>
    <w:rPr>
      <w:sz w:val="20"/>
      <w:szCs w:val="20"/>
    </w:rPr>
  </w:style>
  <w:style w:type="character" w:customStyle="1" w:styleId="FootnoteTextChar">
    <w:name w:val="Footnote Text Char"/>
    <w:basedOn w:val="DefaultParagraphFont"/>
    <w:link w:val="FootnoteText"/>
    <w:uiPriority w:val="99"/>
    <w:rsid w:val="00C0198C"/>
    <w:rPr>
      <w:sz w:val="20"/>
      <w:szCs w:val="20"/>
    </w:rPr>
  </w:style>
  <w:style w:type="character" w:styleId="FootnoteReference">
    <w:name w:val="footnote reference"/>
    <w:basedOn w:val="DefaultParagraphFont"/>
    <w:uiPriority w:val="99"/>
    <w:semiHidden/>
    <w:unhideWhenUsed/>
    <w:rsid w:val="00C0198C"/>
    <w:rPr>
      <w:vertAlign w:val="superscript"/>
    </w:rPr>
  </w:style>
  <w:style w:type="character" w:styleId="Strong">
    <w:name w:val="Strong"/>
    <w:basedOn w:val="DefaultParagraphFont"/>
    <w:uiPriority w:val="22"/>
    <w:qFormat/>
    <w:rsid w:val="00A47398"/>
    <w:rPr>
      <w:b/>
      <w:bCs/>
    </w:rPr>
  </w:style>
  <w:style w:type="character" w:customStyle="1" w:styleId="Heading1Char">
    <w:name w:val="Heading 1 Char"/>
    <w:basedOn w:val="DefaultParagraphFont"/>
    <w:link w:val="Heading1"/>
    <w:uiPriority w:val="9"/>
    <w:rsid w:val="00C000BA"/>
    <w:rPr>
      <w:rFonts w:ascii="Georgia" w:eastAsiaTheme="majorEastAsia" w:hAnsi="Georgia" w:cstheme="majorBidi"/>
      <w:bCs/>
      <w:color w:val="005A70"/>
      <w:spacing w:val="4"/>
      <w:kern w:val="0"/>
      <w:sz w:val="40"/>
      <w:szCs w:val="40"/>
      <w:lang w:eastAsia="en-AU"/>
      <w14:ligatures w14:val="none"/>
    </w:rPr>
  </w:style>
  <w:style w:type="paragraph" w:styleId="TOCHeading">
    <w:name w:val="TOC Heading"/>
    <w:basedOn w:val="Heading1"/>
    <w:next w:val="Normal"/>
    <w:uiPriority w:val="39"/>
    <w:unhideWhenUsed/>
    <w:qFormat/>
    <w:rsid w:val="002C6528"/>
    <w:pPr>
      <w:spacing w:before="480" w:line="276" w:lineRule="auto"/>
      <w:outlineLvl w:val="9"/>
    </w:pPr>
    <w:rPr>
      <w:b/>
      <w:bCs w:val="0"/>
      <w:sz w:val="28"/>
      <w:szCs w:val="28"/>
      <w:lang w:val="en-US"/>
    </w:rPr>
  </w:style>
  <w:style w:type="paragraph" w:styleId="TOC2">
    <w:name w:val="toc 2"/>
    <w:basedOn w:val="Normal"/>
    <w:next w:val="Normal"/>
    <w:autoRedefine/>
    <w:uiPriority w:val="39"/>
    <w:unhideWhenUsed/>
    <w:rsid w:val="00637657"/>
    <w:pPr>
      <w:tabs>
        <w:tab w:val="right" w:leader="dot" w:pos="9772"/>
      </w:tabs>
      <w:spacing w:before="120"/>
    </w:pPr>
    <w:rPr>
      <w:rFonts w:cstheme="minorHAnsi"/>
      <w:b/>
      <w:bCs/>
      <w:szCs w:val="22"/>
    </w:rPr>
  </w:style>
  <w:style w:type="paragraph" w:styleId="TOC3">
    <w:name w:val="toc 3"/>
    <w:basedOn w:val="Normal"/>
    <w:next w:val="Normal"/>
    <w:autoRedefine/>
    <w:uiPriority w:val="39"/>
    <w:unhideWhenUsed/>
    <w:rsid w:val="002D1544"/>
    <w:pPr>
      <w:tabs>
        <w:tab w:val="right" w:leader="dot" w:pos="9772"/>
      </w:tabs>
      <w:spacing w:before="120" w:line="276" w:lineRule="auto"/>
      <w:ind w:left="993" w:hanging="513"/>
    </w:pPr>
    <w:rPr>
      <w:rFonts w:cstheme="minorHAnsi"/>
      <w:sz w:val="20"/>
      <w:szCs w:val="20"/>
    </w:rPr>
  </w:style>
  <w:style w:type="paragraph" w:styleId="TOC1">
    <w:name w:val="toc 1"/>
    <w:basedOn w:val="Normal"/>
    <w:next w:val="Normal"/>
    <w:autoRedefine/>
    <w:uiPriority w:val="39"/>
    <w:unhideWhenUsed/>
    <w:rsid w:val="002C6528"/>
    <w:pPr>
      <w:spacing w:before="120"/>
    </w:pPr>
    <w:rPr>
      <w:rFonts w:cstheme="minorHAnsi"/>
      <w:b/>
      <w:bCs/>
      <w:i/>
      <w:iCs/>
    </w:rPr>
  </w:style>
  <w:style w:type="paragraph" w:styleId="TOC4">
    <w:name w:val="toc 4"/>
    <w:basedOn w:val="Normal"/>
    <w:next w:val="Normal"/>
    <w:autoRedefine/>
    <w:uiPriority w:val="39"/>
    <w:semiHidden/>
    <w:unhideWhenUsed/>
    <w:rsid w:val="002C6528"/>
    <w:pPr>
      <w:ind w:left="720"/>
    </w:pPr>
    <w:rPr>
      <w:rFonts w:cstheme="minorHAnsi"/>
      <w:sz w:val="20"/>
      <w:szCs w:val="20"/>
    </w:rPr>
  </w:style>
  <w:style w:type="paragraph" w:styleId="TOC5">
    <w:name w:val="toc 5"/>
    <w:basedOn w:val="Normal"/>
    <w:next w:val="Normal"/>
    <w:autoRedefine/>
    <w:uiPriority w:val="39"/>
    <w:semiHidden/>
    <w:unhideWhenUsed/>
    <w:rsid w:val="002C6528"/>
    <w:pPr>
      <w:ind w:left="960"/>
    </w:pPr>
    <w:rPr>
      <w:rFonts w:cstheme="minorHAnsi"/>
      <w:sz w:val="20"/>
      <w:szCs w:val="20"/>
    </w:rPr>
  </w:style>
  <w:style w:type="paragraph" w:styleId="TOC6">
    <w:name w:val="toc 6"/>
    <w:basedOn w:val="Normal"/>
    <w:next w:val="Normal"/>
    <w:autoRedefine/>
    <w:uiPriority w:val="39"/>
    <w:semiHidden/>
    <w:unhideWhenUsed/>
    <w:rsid w:val="002C6528"/>
    <w:pPr>
      <w:ind w:left="1200"/>
    </w:pPr>
    <w:rPr>
      <w:rFonts w:cstheme="minorHAnsi"/>
      <w:sz w:val="20"/>
      <w:szCs w:val="20"/>
    </w:rPr>
  </w:style>
  <w:style w:type="paragraph" w:styleId="TOC7">
    <w:name w:val="toc 7"/>
    <w:basedOn w:val="Normal"/>
    <w:next w:val="Normal"/>
    <w:autoRedefine/>
    <w:uiPriority w:val="39"/>
    <w:semiHidden/>
    <w:unhideWhenUsed/>
    <w:rsid w:val="002C6528"/>
    <w:pPr>
      <w:ind w:left="1440"/>
    </w:pPr>
    <w:rPr>
      <w:rFonts w:cstheme="minorHAnsi"/>
      <w:sz w:val="20"/>
      <w:szCs w:val="20"/>
    </w:rPr>
  </w:style>
  <w:style w:type="paragraph" w:styleId="TOC8">
    <w:name w:val="toc 8"/>
    <w:basedOn w:val="Normal"/>
    <w:next w:val="Normal"/>
    <w:autoRedefine/>
    <w:uiPriority w:val="39"/>
    <w:semiHidden/>
    <w:unhideWhenUsed/>
    <w:rsid w:val="002C6528"/>
    <w:pPr>
      <w:ind w:left="1680"/>
    </w:pPr>
    <w:rPr>
      <w:rFonts w:cstheme="minorHAnsi"/>
      <w:sz w:val="20"/>
      <w:szCs w:val="20"/>
    </w:rPr>
  </w:style>
  <w:style w:type="paragraph" w:styleId="TOC9">
    <w:name w:val="toc 9"/>
    <w:basedOn w:val="Normal"/>
    <w:next w:val="Normal"/>
    <w:autoRedefine/>
    <w:uiPriority w:val="39"/>
    <w:semiHidden/>
    <w:unhideWhenUsed/>
    <w:rsid w:val="002C6528"/>
    <w:pPr>
      <w:ind w:left="1920"/>
    </w:pPr>
    <w:rPr>
      <w:rFonts w:cstheme="minorHAnsi"/>
      <w:sz w:val="20"/>
      <w:szCs w:val="20"/>
    </w:rPr>
  </w:style>
  <w:style w:type="paragraph" w:styleId="Revision">
    <w:name w:val="Revision"/>
    <w:hidden/>
    <w:uiPriority w:val="99"/>
    <w:semiHidden/>
    <w:rsid w:val="0046276E"/>
  </w:style>
  <w:style w:type="character" w:customStyle="1" w:styleId="UnresolvedMention">
    <w:name w:val="Unresolved Mention"/>
    <w:basedOn w:val="DefaultParagraphFont"/>
    <w:uiPriority w:val="99"/>
    <w:semiHidden/>
    <w:unhideWhenUsed/>
    <w:rsid w:val="00A842EA"/>
    <w:rPr>
      <w:color w:val="605E5C"/>
      <w:shd w:val="clear" w:color="auto" w:fill="E1DFDD"/>
    </w:rPr>
  </w:style>
  <w:style w:type="paragraph" w:styleId="NormalWeb">
    <w:name w:val="Normal (Web)"/>
    <w:basedOn w:val="Normal"/>
    <w:uiPriority w:val="99"/>
    <w:unhideWhenUsed/>
    <w:rsid w:val="00D35735"/>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59"/>
    <w:rsid w:val="00E6758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21CB8"/>
  </w:style>
  <w:style w:type="table" w:customStyle="1" w:styleId="TableGrid3">
    <w:name w:val="Table Grid3"/>
    <w:basedOn w:val="TableNormal"/>
    <w:uiPriority w:val="59"/>
    <w:rsid w:val="000B372D"/>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BulletList">
    <w:name w:val="CAB Bullet List"/>
    <w:basedOn w:val="ListParagraph"/>
    <w:uiPriority w:val="98"/>
    <w:qFormat/>
    <w:rsid w:val="007F5BAD"/>
    <w:pPr>
      <w:tabs>
        <w:tab w:val="left" w:pos="851"/>
      </w:tabs>
      <w:spacing w:before="60" w:after="60"/>
      <w:ind w:left="284" w:hanging="284"/>
    </w:pPr>
    <w:rPr>
      <w:kern w:val="0"/>
      <w:szCs w:val="22"/>
      <w14:ligatures w14:val="none"/>
    </w:rPr>
  </w:style>
  <w:style w:type="paragraph" w:customStyle="1" w:styleId="CABHeading2">
    <w:name w:val="CAB Heading 2."/>
    <w:basedOn w:val="Normal"/>
    <w:link w:val="CABHeading2Char"/>
    <w:uiPriority w:val="98"/>
    <w:qFormat/>
    <w:rsid w:val="007F5BAD"/>
    <w:pPr>
      <w:keepNext/>
      <w:keepLines/>
      <w:tabs>
        <w:tab w:val="left" w:pos="567"/>
      </w:tabs>
      <w:spacing w:before="200"/>
      <w:outlineLvl w:val="0"/>
    </w:pPr>
    <w:rPr>
      <w:rFonts w:eastAsiaTheme="majorEastAsia" w:cstheme="majorBidi"/>
      <w:b/>
      <w:bCs/>
      <w:color w:val="003865"/>
      <w:kern w:val="0"/>
      <w:szCs w:val="28"/>
      <w14:ligatures w14:val="none"/>
    </w:rPr>
  </w:style>
  <w:style w:type="character" w:customStyle="1" w:styleId="CABHeading2Char">
    <w:name w:val="CAB Heading 2. Char"/>
    <w:basedOn w:val="DefaultParagraphFont"/>
    <w:link w:val="CABHeading2"/>
    <w:uiPriority w:val="98"/>
    <w:rsid w:val="007F5BAD"/>
    <w:rPr>
      <w:rFonts w:ascii="Arial" w:eastAsiaTheme="majorEastAsia" w:hAnsi="Arial" w:cstheme="majorBidi"/>
      <w:b/>
      <w:bCs/>
      <w:color w:val="003865"/>
      <w:kern w:val="0"/>
      <w:szCs w:val="28"/>
      <w14:ligatures w14:val="none"/>
    </w:rPr>
  </w:style>
  <w:style w:type="character" w:customStyle="1" w:styleId="BasicParagraphChar">
    <w:name w:val="[Basic Paragraph] Char"/>
    <w:basedOn w:val="DefaultParagraphFont"/>
    <w:link w:val="BasicParagraph"/>
    <w:uiPriority w:val="99"/>
    <w:locked/>
    <w:rsid w:val="00BE019D"/>
    <w:rPr>
      <w:rFonts w:ascii="Minion Pro" w:eastAsia="Times New Roman" w:hAnsi="Minion Pro" w:cs="Minion Pro"/>
      <w:color w:val="000000"/>
      <w:lang w:val="en-GB"/>
    </w:rPr>
  </w:style>
  <w:style w:type="paragraph" w:customStyle="1" w:styleId="BasicParagraph">
    <w:name w:val="[Basic Paragraph]"/>
    <w:basedOn w:val="Normal"/>
    <w:link w:val="BasicParagraphChar"/>
    <w:uiPriority w:val="99"/>
    <w:rsid w:val="00BE019D"/>
    <w:pPr>
      <w:autoSpaceDE w:val="0"/>
      <w:autoSpaceDN w:val="0"/>
      <w:adjustRightInd w:val="0"/>
      <w:spacing w:line="288" w:lineRule="auto"/>
    </w:pPr>
    <w:rPr>
      <w:rFonts w:ascii="Minion Pro" w:eastAsia="Times New Roman" w:hAnsi="Minion Pro" w:cs="Minion Pro"/>
      <w:color w:val="000000"/>
      <w:lang w:val="en-GB"/>
    </w:rPr>
  </w:style>
  <w:style w:type="character" w:customStyle="1" w:styleId="Style2Char">
    <w:name w:val="Style2 Char"/>
    <w:basedOn w:val="BasicParagraphChar"/>
    <w:link w:val="Style2"/>
    <w:locked/>
    <w:rsid w:val="00BE019D"/>
    <w:rPr>
      <w:rFonts w:ascii="Minion Pro" w:eastAsia="Times New Roman" w:hAnsi="Minion Pro" w:cs="Minion Pro"/>
      <w:b/>
      <w:color w:val="4BACC6"/>
      <w:sz w:val="28"/>
      <w:szCs w:val="30"/>
      <w:lang w:val="en-GB" w:eastAsia="en-AU"/>
    </w:rPr>
  </w:style>
  <w:style w:type="paragraph" w:customStyle="1" w:styleId="Style2">
    <w:name w:val="Style2"/>
    <w:basedOn w:val="BasicParagraph"/>
    <w:link w:val="Style2Char"/>
    <w:qFormat/>
    <w:rsid w:val="00BE019D"/>
    <w:pPr>
      <w:spacing w:line="276" w:lineRule="auto"/>
    </w:pPr>
    <w:rPr>
      <w:b/>
      <w:color w:val="4BACC6"/>
      <w:sz w:val="28"/>
      <w:szCs w:val="30"/>
      <w:lang w:eastAsia="en-AU"/>
    </w:rPr>
  </w:style>
  <w:style w:type="character" w:customStyle="1" w:styleId="bulletbold">
    <w:name w:val="bullet bold"/>
    <w:uiPriority w:val="99"/>
    <w:rsid w:val="00BE019D"/>
    <w:rPr>
      <w:color w:val="00B5CC"/>
      <w:spacing w:val="2"/>
      <w:sz w:val="22"/>
      <w:szCs w:val="22"/>
    </w:rPr>
  </w:style>
  <w:style w:type="paragraph" w:styleId="Quote">
    <w:name w:val="Quote"/>
    <w:basedOn w:val="Normal"/>
    <w:next w:val="Normal"/>
    <w:link w:val="QuoteChar"/>
    <w:uiPriority w:val="29"/>
    <w:qFormat/>
    <w:rsid w:val="00E20168"/>
    <w:pPr>
      <w:spacing w:before="200" w:after="160"/>
      <w:ind w:left="864" w:right="864"/>
    </w:pPr>
    <w:rPr>
      <w:rFonts w:cs="Arial"/>
      <w:i/>
      <w:iCs/>
      <w:color w:val="404040" w:themeColor="text1" w:themeTint="BF"/>
    </w:rPr>
  </w:style>
  <w:style w:type="character" w:customStyle="1" w:styleId="QuoteChar">
    <w:name w:val="Quote Char"/>
    <w:basedOn w:val="DefaultParagraphFont"/>
    <w:link w:val="Quote"/>
    <w:uiPriority w:val="29"/>
    <w:rsid w:val="00E20168"/>
    <w:rPr>
      <w:rFonts w:ascii="Arial" w:hAnsi="Arial" w:cs="Arial"/>
      <w:i/>
      <w:iCs/>
      <w:color w:val="404040" w:themeColor="text1" w:themeTint="BF"/>
      <w:sz w:val="22"/>
    </w:rPr>
  </w:style>
  <w:style w:type="paragraph" w:styleId="Title">
    <w:name w:val="Title"/>
    <w:basedOn w:val="Normal"/>
    <w:next w:val="Normal"/>
    <w:link w:val="TitleChar"/>
    <w:uiPriority w:val="10"/>
    <w:qFormat/>
    <w:rsid w:val="00C848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8A6"/>
    <w:rPr>
      <w:rFonts w:asciiTheme="majorHAnsi" w:eastAsiaTheme="majorEastAsia" w:hAnsiTheme="majorHAnsi" w:cstheme="majorBidi"/>
      <w:spacing w:val="-10"/>
      <w:kern w:val="28"/>
      <w:sz w:val="56"/>
      <w:szCs w:val="56"/>
    </w:rPr>
  </w:style>
  <w:style w:type="paragraph" w:customStyle="1" w:styleId="CABNETParagraph">
    <w:name w:val="CABNET Paragraph."/>
    <w:basedOn w:val="Normal"/>
    <w:link w:val="CABNETParagraphChar"/>
    <w:uiPriority w:val="98"/>
    <w:qFormat/>
    <w:rsid w:val="00B2558C"/>
    <w:pPr>
      <w:spacing w:before="120"/>
    </w:pPr>
    <w:rPr>
      <w:rFonts w:cstheme="minorHAnsi"/>
      <w:kern w:val="0"/>
      <w:szCs w:val="22"/>
      <w14:ligatures w14:val="none"/>
    </w:rPr>
  </w:style>
  <w:style w:type="character" w:customStyle="1" w:styleId="CABNETParagraphChar">
    <w:name w:val="CABNET Paragraph. Char"/>
    <w:basedOn w:val="DefaultParagraphFont"/>
    <w:link w:val="CABNETParagraph"/>
    <w:uiPriority w:val="98"/>
    <w:rsid w:val="00B2558C"/>
    <w:rPr>
      <w:rFonts w:ascii="Arial" w:hAnsi="Arial" w:cstheme="minorHAnsi"/>
      <w:kern w:val="0"/>
      <w:sz w:val="22"/>
      <w:szCs w:val="22"/>
      <w14:ligatures w14:val="none"/>
    </w:rPr>
  </w:style>
  <w:style w:type="paragraph" w:styleId="ListBullet">
    <w:name w:val="List Bullet"/>
    <w:basedOn w:val="Normal"/>
    <w:uiPriority w:val="1"/>
    <w:qFormat/>
    <w:rsid w:val="00293720"/>
    <w:pPr>
      <w:numPr>
        <w:numId w:val="31"/>
      </w:numPr>
      <w:tabs>
        <w:tab w:val="clear" w:pos="360"/>
        <w:tab w:val="left" w:pos="170"/>
      </w:tabs>
      <w:spacing w:before="60" w:line="280" w:lineRule="atLeast"/>
      <w:ind w:left="170" w:hanging="170"/>
    </w:pPr>
    <w:rPr>
      <w:rFonts w:eastAsia="Times New Roman" w:cs="Times New Roman"/>
      <w:spacing w:val="4"/>
      <w:kern w:val="0"/>
      <w:sz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71">
      <w:bodyDiv w:val="1"/>
      <w:marLeft w:val="0"/>
      <w:marRight w:val="0"/>
      <w:marTop w:val="0"/>
      <w:marBottom w:val="0"/>
      <w:divBdr>
        <w:top w:val="none" w:sz="0" w:space="0" w:color="auto"/>
        <w:left w:val="none" w:sz="0" w:space="0" w:color="auto"/>
        <w:bottom w:val="none" w:sz="0" w:space="0" w:color="auto"/>
        <w:right w:val="none" w:sz="0" w:space="0" w:color="auto"/>
      </w:divBdr>
    </w:div>
    <w:div w:id="32390013">
      <w:bodyDiv w:val="1"/>
      <w:marLeft w:val="0"/>
      <w:marRight w:val="0"/>
      <w:marTop w:val="0"/>
      <w:marBottom w:val="0"/>
      <w:divBdr>
        <w:top w:val="none" w:sz="0" w:space="0" w:color="auto"/>
        <w:left w:val="none" w:sz="0" w:space="0" w:color="auto"/>
        <w:bottom w:val="none" w:sz="0" w:space="0" w:color="auto"/>
        <w:right w:val="none" w:sz="0" w:space="0" w:color="auto"/>
      </w:divBdr>
    </w:div>
    <w:div w:id="56520258">
      <w:bodyDiv w:val="1"/>
      <w:marLeft w:val="0"/>
      <w:marRight w:val="0"/>
      <w:marTop w:val="0"/>
      <w:marBottom w:val="0"/>
      <w:divBdr>
        <w:top w:val="none" w:sz="0" w:space="0" w:color="auto"/>
        <w:left w:val="none" w:sz="0" w:space="0" w:color="auto"/>
        <w:bottom w:val="none" w:sz="0" w:space="0" w:color="auto"/>
        <w:right w:val="none" w:sz="0" w:space="0" w:color="auto"/>
      </w:divBdr>
    </w:div>
    <w:div w:id="195043487">
      <w:bodyDiv w:val="1"/>
      <w:marLeft w:val="0"/>
      <w:marRight w:val="0"/>
      <w:marTop w:val="0"/>
      <w:marBottom w:val="0"/>
      <w:divBdr>
        <w:top w:val="none" w:sz="0" w:space="0" w:color="auto"/>
        <w:left w:val="none" w:sz="0" w:space="0" w:color="auto"/>
        <w:bottom w:val="none" w:sz="0" w:space="0" w:color="auto"/>
        <w:right w:val="none" w:sz="0" w:space="0" w:color="auto"/>
      </w:divBdr>
    </w:div>
    <w:div w:id="209457752">
      <w:bodyDiv w:val="1"/>
      <w:marLeft w:val="0"/>
      <w:marRight w:val="0"/>
      <w:marTop w:val="0"/>
      <w:marBottom w:val="0"/>
      <w:divBdr>
        <w:top w:val="none" w:sz="0" w:space="0" w:color="auto"/>
        <w:left w:val="none" w:sz="0" w:space="0" w:color="auto"/>
        <w:bottom w:val="none" w:sz="0" w:space="0" w:color="auto"/>
        <w:right w:val="none" w:sz="0" w:space="0" w:color="auto"/>
      </w:divBdr>
    </w:div>
    <w:div w:id="220023105">
      <w:bodyDiv w:val="1"/>
      <w:marLeft w:val="0"/>
      <w:marRight w:val="0"/>
      <w:marTop w:val="0"/>
      <w:marBottom w:val="0"/>
      <w:divBdr>
        <w:top w:val="none" w:sz="0" w:space="0" w:color="auto"/>
        <w:left w:val="none" w:sz="0" w:space="0" w:color="auto"/>
        <w:bottom w:val="none" w:sz="0" w:space="0" w:color="auto"/>
        <w:right w:val="none" w:sz="0" w:space="0" w:color="auto"/>
      </w:divBdr>
    </w:div>
    <w:div w:id="283118680">
      <w:bodyDiv w:val="1"/>
      <w:marLeft w:val="0"/>
      <w:marRight w:val="0"/>
      <w:marTop w:val="0"/>
      <w:marBottom w:val="0"/>
      <w:divBdr>
        <w:top w:val="none" w:sz="0" w:space="0" w:color="auto"/>
        <w:left w:val="none" w:sz="0" w:space="0" w:color="auto"/>
        <w:bottom w:val="none" w:sz="0" w:space="0" w:color="auto"/>
        <w:right w:val="none" w:sz="0" w:space="0" w:color="auto"/>
      </w:divBdr>
    </w:div>
    <w:div w:id="387921798">
      <w:bodyDiv w:val="1"/>
      <w:marLeft w:val="0"/>
      <w:marRight w:val="0"/>
      <w:marTop w:val="0"/>
      <w:marBottom w:val="0"/>
      <w:divBdr>
        <w:top w:val="none" w:sz="0" w:space="0" w:color="auto"/>
        <w:left w:val="none" w:sz="0" w:space="0" w:color="auto"/>
        <w:bottom w:val="none" w:sz="0" w:space="0" w:color="auto"/>
        <w:right w:val="none" w:sz="0" w:space="0" w:color="auto"/>
      </w:divBdr>
    </w:div>
    <w:div w:id="414714303">
      <w:bodyDiv w:val="1"/>
      <w:marLeft w:val="0"/>
      <w:marRight w:val="0"/>
      <w:marTop w:val="0"/>
      <w:marBottom w:val="0"/>
      <w:divBdr>
        <w:top w:val="none" w:sz="0" w:space="0" w:color="auto"/>
        <w:left w:val="none" w:sz="0" w:space="0" w:color="auto"/>
        <w:bottom w:val="none" w:sz="0" w:space="0" w:color="auto"/>
        <w:right w:val="none" w:sz="0" w:space="0" w:color="auto"/>
      </w:divBdr>
    </w:div>
    <w:div w:id="498083746">
      <w:bodyDiv w:val="1"/>
      <w:marLeft w:val="0"/>
      <w:marRight w:val="0"/>
      <w:marTop w:val="0"/>
      <w:marBottom w:val="0"/>
      <w:divBdr>
        <w:top w:val="none" w:sz="0" w:space="0" w:color="auto"/>
        <w:left w:val="none" w:sz="0" w:space="0" w:color="auto"/>
        <w:bottom w:val="none" w:sz="0" w:space="0" w:color="auto"/>
        <w:right w:val="none" w:sz="0" w:space="0" w:color="auto"/>
      </w:divBdr>
      <w:divsChild>
        <w:div w:id="2039238979">
          <w:marLeft w:val="547"/>
          <w:marRight w:val="0"/>
          <w:marTop w:val="0"/>
          <w:marBottom w:val="0"/>
          <w:divBdr>
            <w:top w:val="none" w:sz="0" w:space="0" w:color="auto"/>
            <w:left w:val="none" w:sz="0" w:space="0" w:color="auto"/>
            <w:bottom w:val="none" w:sz="0" w:space="0" w:color="auto"/>
            <w:right w:val="none" w:sz="0" w:space="0" w:color="auto"/>
          </w:divBdr>
        </w:div>
      </w:divsChild>
    </w:div>
    <w:div w:id="502286720">
      <w:bodyDiv w:val="1"/>
      <w:marLeft w:val="0"/>
      <w:marRight w:val="0"/>
      <w:marTop w:val="0"/>
      <w:marBottom w:val="0"/>
      <w:divBdr>
        <w:top w:val="none" w:sz="0" w:space="0" w:color="auto"/>
        <w:left w:val="none" w:sz="0" w:space="0" w:color="auto"/>
        <w:bottom w:val="none" w:sz="0" w:space="0" w:color="auto"/>
        <w:right w:val="none" w:sz="0" w:space="0" w:color="auto"/>
      </w:divBdr>
    </w:div>
    <w:div w:id="518852837">
      <w:bodyDiv w:val="1"/>
      <w:marLeft w:val="0"/>
      <w:marRight w:val="0"/>
      <w:marTop w:val="0"/>
      <w:marBottom w:val="0"/>
      <w:divBdr>
        <w:top w:val="none" w:sz="0" w:space="0" w:color="auto"/>
        <w:left w:val="none" w:sz="0" w:space="0" w:color="auto"/>
        <w:bottom w:val="none" w:sz="0" w:space="0" w:color="auto"/>
        <w:right w:val="none" w:sz="0" w:space="0" w:color="auto"/>
      </w:divBdr>
      <w:divsChild>
        <w:div w:id="1643344751">
          <w:marLeft w:val="547"/>
          <w:marRight w:val="0"/>
          <w:marTop w:val="0"/>
          <w:marBottom w:val="0"/>
          <w:divBdr>
            <w:top w:val="none" w:sz="0" w:space="0" w:color="auto"/>
            <w:left w:val="none" w:sz="0" w:space="0" w:color="auto"/>
            <w:bottom w:val="none" w:sz="0" w:space="0" w:color="auto"/>
            <w:right w:val="none" w:sz="0" w:space="0" w:color="auto"/>
          </w:divBdr>
        </w:div>
      </w:divsChild>
    </w:div>
    <w:div w:id="548415274">
      <w:bodyDiv w:val="1"/>
      <w:marLeft w:val="0"/>
      <w:marRight w:val="0"/>
      <w:marTop w:val="0"/>
      <w:marBottom w:val="0"/>
      <w:divBdr>
        <w:top w:val="none" w:sz="0" w:space="0" w:color="auto"/>
        <w:left w:val="none" w:sz="0" w:space="0" w:color="auto"/>
        <w:bottom w:val="none" w:sz="0" w:space="0" w:color="auto"/>
        <w:right w:val="none" w:sz="0" w:space="0" w:color="auto"/>
      </w:divBdr>
    </w:div>
    <w:div w:id="590509355">
      <w:bodyDiv w:val="1"/>
      <w:marLeft w:val="0"/>
      <w:marRight w:val="0"/>
      <w:marTop w:val="0"/>
      <w:marBottom w:val="0"/>
      <w:divBdr>
        <w:top w:val="none" w:sz="0" w:space="0" w:color="auto"/>
        <w:left w:val="none" w:sz="0" w:space="0" w:color="auto"/>
        <w:bottom w:val="none" w:sz="0" w:space="0" w:color="auto"/>
        <w:right w:val="none" w:sz="0" w:space="0" w:color="auto"/>
      </w:divBdr>
    </w:div>
    <w:div w:id="605112091">
      <w:bodyDiv w:val="1"/>
      <w:marLeft w:val="0"/>
      <w:marRight w:val="0"/>
      <w:marTop w:val="0"/>
      <w:marBottom w:val="0"/>
      <w:divBdr>
        <w:top w:val="none" w:sz="0" w:space="0" w:color="auto"/>
        <w:left w:val="none" w:sz="0" w:space="0" w:color="auto"/>
        <w:bottom w:val="none" w:sz="0" w:space="0" w:color="auto"/>
        <w:right w:val="none" w:sz="0" w:space="0" w:color="auto"/>
      </w:divBdr>
      <w:divsChild>
        <w:div w:id="2101170319">
          <w:marLeft w:val="547"/>
          <w:marRight w:val="0"/>
          <w:marTop w:val="0"/>
          <w:marBottom w:val="0"/>
          <w:divBdr>
            <w:top w:val="none" w:sz="0" w:space="0" w:color="auto"/>
            <w:left w:val="none" w:sz="0" w:space="0" w:color="auto"/>
            <w:bottom w:val="none" w:sz="0" w:space="0" w:color="auto"/>
            <w:right w:val="none" w:sz="0" w:space="0" w:color="auto"/>
          </w:divBdr>
        </w:div>
      </w:divsChild>
    </w:div>
    <w:div w:id="657878381">
      <w:bodyDiv w:val="1"/>
      <w:marLeft w:val="0"/>
      <w:marRight w:val="0"/>
      <w:marTop w:val="0"/>
      <w:marBottom w:val="0"/>
      <w:divBdr>
        <w:top w:val="none" w:sz="0" w:space="0" w:color="auto"/>
        <w:left w:val="none" w:sz="0" w:space="0" w:color="auto"/>
        <w:bottom w:val="none" w:sz="0" w:space="0" w:color="auto"/>
        <w:right w:val="none" w:sz="0" w:space="0" w:color="auto"/>
      </w:divBdr>
    </w:div>
    <w:div w:id="678431429">
      <w:bodyDiv w:val="1"/>
      <w:marLeft w:val="0"/>
      <w:marRight w:val="0"/>
      <w:marTop w:val="0"/>
      <w:marBottom w:val="0"/>
      <w:divBdr>
        <w:top w:val="none" w:sz="0" w:space="0" w:color="auto"/>
        <w:left w:val="none" w:sz="0" w:space="0" w:color="auto"/>
        <w:bottom w:val="none" w:sz="0" w:space="0" w:color="auto"/>
        <w:right w:val="none" w:sz="0" w:space="0" w:color="auto"/>
      </w:divBdr>
    </w:div>
    <w:div w:id="699739764">
      <w:bodyDiv w:val="1"/>
      <w:marLeft w:val="0"/>
      <w:marRight w:val="0"/>
      <w:marTop w:val="0"/>
      <w:marBottom w:val="0"/>
      <w:divBdr>
        <w:top w:val="none" w:sz="0" w:space="0" w:color="auto"/>
        <w:left w:val="none" w:sz="0" w:space="0" w:color="auto"/>
        <w:bottom w:val="none" w:sz="0" w:space="0" w:color="auto"/>
        <w:right w:val="none" w:sz="0" w:space="0" w:color="auto"/>
      </w:divBdr>
    </w:div>
    <w:div w:id="728844289">
      <w:bodyDiv w:val="1"/>
      <w:marLeft w:val="0"/>
      <w:marRight w:val="0"/>
      <w:marTop w:val="0"/>
      <w:marBottom w:val="0"/>
      <w:divBdr>
        <w:top w:val="none" w:sz="0" w:space="0" w:color="auto"/>
        <w:left w:val="none" w:sz="0" w:space="0" w:color="auto"/>
        <w:bottom w:val="none" w:sz="0" w:space="0" w:color="auto"/>
        <w:right w:val="none" w:sz="0" w:space="0" w:color="auto"/>
      </w:divBdr>
    </w:div>
    <w:div w:id="763768397">
      <w:bodyDiv w:val="1"/>
      <w:marLeft w:val="0"/>
      <w:marRight w:val="0"/>
      <w:marTop w:val="0"/>
      <w:marBottom w:val="0"/>
      <w:divBdr>
        <w:top w:val="none" w:sz="0" w:space="0" w:color="auto"/>
        <w:left w:val="none" w:sz="0" w:space="0" w:color="auto"/>
        <w:bottom w:val="none" w:sz="0" w:space="0" w:color="auto"/>
        <w:right w:val="none" w:sz="0" w:space="0" w:color="auto"/>
      </w:divBdr>
    </w:div>
    <w:div w:id="833297432">
      <w:bodyDiv w:val="1"/>
      <w:marLeft w:val="0"/>
      <w:marRight w:val="0"/>
      <w:marTop w:val="0"/>
      <w:marBottom w:val="0"/>
      <w:divBdr>
        <w:top w:val="none" w:sz="0" w:space="0" w:color="auto"/>
        <w:left w:val="none" w:sz="0" w:space="0" w:color="auto"/>
        <w:bottom w:val="none" w:sz="0" w:space="0" w:color="auto"/>
        <w:right w:val="none" w:sz="0" w:space="0" w:color="auto"/>
      </w:divBdr>
      <w:divsChild>
        <w:div w:id="522600140">
          <w:marLeft w:val="547"/>
          <w:marRight w:val="0"/>
          <w:marTop w:val="0"/>
          <w:marBottom w:val="0"/>
          <w:divBdr>
            <w:top w:val="none" w:sz="0" w:space="0" w:color="auto"/>
            <w:left w:val="none" w:sz="0" w:space="0" w:color="auto"/>
            <w:bottom w:val="none" w:sz="0" w:space="0" w:color="auto"/>
            <w:right w:val="none" w:sz="0" w:space="0" w:color="auto"/>
          </w:divBdr>
        </w:div>
      </w:divsChild>
    </w:div>
    <w:div w:id="976910423">
      <w:bodyDiv w:val="1"/>
      <w:marLeft w:val="0"/>
      <w:marRight w:val="0"/>
      <w:marTop w:val="0"/>
      <w:marBottom w:val="0"/>
      <w:divBdr>
        <w:top w:val="none" w:sz="0" w:space="0" w:color="auto"/>
        <w:left w:val="none" w:sz="0" w:space="0" w:color="auto"/>
        <w:bottom w:val="none" w:sz="0" w:space="0" w:color="auto"/>
        <w:right w:val="none" w:sz="0" w:space="0" w:color="auto"/>
      </w:divBdr>
      <w:divsChild>
        <w:div w:id="1553808136">
          <w:marLeft w:val="547"/>
          <w:marRight w:val="0"/>
          <w:marTop w:val="0"/>
          <w:marBottom w:val="0"/>
          <w:divBdr>
            <w:top w:val="none" w:sz="0" w:space="0" w:color="auto"/>
            <w:left w:val="none" w:sz="0" w:space="0" w:color="auto"/>
            <w:bottom w:val="none" w:sz="0" w:space="0" w:color="auto"/>
            <w:right w:val="none" w:sz="0" w:space="0" w:color="auto"/>
          </w:divBdr>
        </w:div>
      </w:divsChild>
    </w:div>
    <w:div w:id="1031684539">
      <w:bodyDiv w:val="1"/>
      <w:marLeft w:val="0"/>
      <w:marRight w:val="0"/>
      <w:marTop w:val="0"/>
      <w:marBottom w:val="0"/>
      <w:divBdr>
        <w:top w:val="none" w:sz="0" w:space="0" w:color="auto"/>
        <w:left w:val="none" w:sz="0" w:space="0" w:color="auto"/>
        <w:bottom w:val="none" w:sz="0" w:space="0" w:color="auto"/>
        <w:right w:val="none" w:sz="0" w:space="0" w:color="auto"/>
      </w:divBdr>
      <w:divsChild>
        <w:div w:id="1830755942">
          <w:marLeft w:val="547"/>
          <w:marRight w:val="0"/>
          <w:marTop w:val="0"/>
          <w:marBottom w:val="0"/>
          <w:divBdr>
            <w:top w:val="none" w:sz="0" w:space="0" w:color="auto"/>
            <w:left w:val="none" w:sz="0" w:space="0" w:color="auto"/>
            <w:bottom w:val="none" w:sz="0" w:space="0" w:color="auto"/>
            <w:right w:val="none" w:sz="0" w:space="0" w:color="auto"/>
          </w:divBdr>
        </w:div>
      </w:divsChild>
    </w:div>
    <w:div w:id="1033919891">
      <w:bodyDiv w:val="1"/>
      <w:marLeft w:val="0"/>
      <w:marRight w:val="0"/>
      <w:marTop w:val="0"/>
      <w:marBottom w:val="0"/>
      <w:divBdr>
        <w:top w:val="none" w:sz="0" w:space="0" w:color="auto"/>
        <w:left w:val="none" w:sz="0" w:space="0" w:color="auto"/>
        <w:bottom w:val="none" w:sz="0" w:space="0" w:color="auto"/>
        <w:right w:val="none" w:sz="0" w:space="0" w:color="auto"/>
      </w:divBdr>
    </w:div>
    <w:div w:id="1147012293">
      <w:bodyDiv w:val="1"/>
      <w:marLeft w:val="0"/>
      <w:marRight w:val="0"/>
      <w:marTop w:val="0"/>
      <w:marBottom w:val="0"/>
      <w:divBdr>
        <w:top w:val="none" w:sz="0" w:space="0" w:color="auto"/>
        <w:left w:val="none" w:sz="0" w:space="0" w:color="auto"/>
        <w:bottom w:val="none" w:sz="0" w:space="0" w:color="auto"/>
        <w:right w:val="none" w:sz="0" w:space="0" w:color="auto"/>
      </w:divBdr>
    </w:div>
    <w:div w:id="1190216214">
      <w:bodyDiv w:val="1"/>
      <w:marLeft w:val="0"/>
      <w:marRight w:val="0"/>
      <w:marTop w:val="0"/>
      <w:marBottom w:val="0"/>
      <w:divBdr>
        <w:top w:val="none" w:sz="0" w:space="0" w:color="auto"/>
        <w:left w:val="none" w:sz="0" w:space="0" w:color="auto"/>
        <w:bottom w:val="none" w:sz="0" w:space="0" w:color="auto"/>
        <w:right w:val="none" w:sz="0" w:space="0" w:color="auto"/>
      </w:divBdr>
      <w:divsChild>
        <w:div w:id="2056734283">
          <w:marLeft w:val="0"/>
          <w:marRight w:val="0"/>
          <w:marTop w:val="0"/>
          <w:marBottom w:val="0"/>
          <w:divBdr>
            <w:top w:val="none" w:sz="0" w:space="0" w:color="auto"/>
            <w:left w:val="none" w:sz="0" w:space="0" w:color="auto"/>
            <w:bottom w:val="none" w:sz="0" w:space="0" w:color="auto"/>
            <w:right w:val="none" w:sz="0" w:space="0" w:color="auto"/>
          </w:divBdr>
          <w:divsChild>
            <w:div w:id="964970200">
              <w:marLeft w:val="0"/>
              <w:marRight w:val="0"/>
              <w:marTop w:val="0"/>
              <w:marBottom w:val="0"/>
              <w:divBdr>
                <w:top w:val="none" w:sz="0" w:space="0" w:color="auto"/>
                <w:left w:val="none" w:sz="0" w:space="0" w:color="auto"/>
                <w:bottom w:val="none" w:sz="0" w:space="0" w:color="auto"/>
                <w:right w:val="none" w:sz="0" w:space="0" w:color="auto"/>
              </w:divBdr>
              <w:divsChild>
                <w:div w:id="1775710530">
                  <w:marLeft w:val="0"/>
                  <w:marRight w:val="0"/>
                  <w:marTop w:val="0"/>
                  <w:marBottom w:val="0"/>
                  <w:divBdr>
                    <w:top w:val="none" w:sz="0" w:space="0" w:color="auto"/>
                    <w:left w:val="none" w:sz="0" w:space="0" w:color="auto"/>
                    <w:bottom w:val="none" w:sz="0" w:space="0" w:color="auto"/>
                    <w:right w:val="none" w:sz="0" w:space="0" w:color="auto"/>
                  </w:divBdr>
                  <w:divsChild>
                    <w:div w:id="473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2204">
      <w:bodyDiv w:val="1"/>
      <w:marLeft w:val="0"/>
      <w:marRight w:val="0"/>
      <w:marTop w:val="0"/>
      <w:marBottom w:val="0"/>
      <w:divBdr>
        <w:top w:val="none" w:sz="0" w:space="0" w:color="auto"/>
        <w:left w:val="none" w:sz="0" w:space="0" w:color="auto"/>
        <w:bottom w:val="none" w:sz="0" w:space="0" w:color="auto"/>
        <w:right w:val="none" w:sz="0" w:space="0" w:color="auto"/>
      </w:divBdr>
    </w:div>
    <w:div w:id="1391880562">
      <w:bodyDiv w:val="1"/>
      <w:marLeft w:val="0"/>
      <w:marRight w:val="0"/>
      <w:marTop w:val="0"/>
      <w:marBottom w:val="0"/>
      <w:divBdr>
        <w:top w:val="none" w:sz="0" w:space="0" w:color="auto"/>
        <w:left w:val="none" w:sz="0" w:space="0" w:color="auto"/>
        <w:bottom w:val="none" w:sz="0" w:space="0" w:color="auto"/>
        <w:right w:val="none" w:sz="0" w:space="0" w:color="auto"/>
      </w:divBdr>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568110685">
      <w:bodyDiv w:val="1"/>
      <w:marLeft w:val="0"/>
      <w:marRight w:val="0"/>
      <w:marTop w:val="0"/>
      <w:marBottom w:val="0"/>
      <w:divBdr>
        <w:top w:val="none" w:sz="0" w:space="0" w:color="auto"/>
        <w:left w:val="none" w:sz="0" w:space="0" w:color="auto"/>
        <w:bottom w:val="none" w:sz="0" w:space="0" w:color="auto"/>
        <w:right w:val="none" w:sz="0" w:space="0" w:color="auto"/>
      </w:divBdr>
    </w:div>
    <w:div w:id="1731074700">
      <w:bodyDiv w:val="1"/>
      <w:marLeft w:val="0"/>
      <w:marRight w:val="0"/>
      <w:marTop w:val="0"/>
      <w:marBottom w:val="0"/>
      <w:divBdr>
        <w:top w:val="none" w:sz="0" w:space="0" w:color="auto"/>
        <w:left w:val="none" w:sz="0" w:space="0" w:color="auto"/>
        <w:bottom w:val="none" w:sz="0" w:space="0" w:color="auto"/>
        <w:right w:val="none" w:sz="0" w:space="0" w:color="auto"/>
      </w:divBdr>
    </w:div>
    <w:div w:id="173600693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84">
          <w:marLeft w:val="547"/>
          <w:marRight w:val="0"/>
          <w:marTop w:val="0"/>
          <w:marBottom w:val="0"/>
          <w:divBdr>
            <w:top w:val="none" w:sz="0" w:space="0" w:color="auto"/>
            <w:left w:val="none" w:sz="0" w:space="0" w:color="auto"/>
            <w:bottom w:val="none" w:sz="0" w:space="0" w:color="auto"/>
            <w:right w:val="none" w:sz="0" w:space="0" w:color="auto"/>
          </w:divBdr>
        </w:div>
      </w:divsChild>
    </w:div>
    <w:div w:id="1738243757">
      <w:bodyDiv w:val="1"/>
      <w:marLeft w:val="0"/>
      <w:marRight w:val="0"/>
      <w:marTop w:val="0"/>
      <w:marBottom w:val="0"/>
      <w:divBdr>
        <w:top w:val="none" w:sz="0" w:space="0" w:color="auto"/>
        <w:left w:val="none" w:sz="0" w:space="0" w:color="auto"/>
        <w:bottom w:val="none" w:sz="0" w:space="0" w:color="auto"/>
        <w:right w:val="none" w:sz="0" w:space="0" w:color="auto"/>
      </w:divBdr>
      <w:divsChild>
        <w:div w:id="1868522699">
          <w:marLeft w:val="547"/>
          <w:marRight w:val="0"/>
          <w:marTop w:val="0"/>
          <w:marBottom w:val="0"/>
          <w:divBdr>
            <w:top w:val="none" w:sz="0" w:space="0" w:color="auto"/>
            <w:left w:val="none" w:sz="0" w:space="0" w:color="auto"/>
            <w:bottom w:val="none" w:sz="0" w:space="0" w:color="auto"/>
            <w:right w:val="none" w:sz="0" w:space="0" w:color="auto"/>
          </w:divBdr>
        </w:div>
      </w:divsChild>
    </w:div>
    <w:div w:id="1752580702">
      <w:bodyDiv w:val="1"/>
      <w:marLeft w:val="0"/>
      <w:marRight w:val="0"/>
      <w:marTop w:val="0"/>
      <w:marBottom w:val="0"/>
      <w:divBdr>
        <w:top w:val="none" w:sz="0" w:space="0" w:color="auto"/>
        <w:left w:val="none" w:sz="0" w:space="0" w:color="auto"/>
        <w:bottom w:val="none" w:sz="0" w:space="0" w:color="auto"/>
        <w:right w:val="none" w:sz="0" w:space="0" w:color="auto"/>
      </w:divBdr>
      <w:divsChild>
        <w:div w:id="1645813621">
          <w:marLeft w:val="547"/>
          <w:marRight w:val="0"/>
          <w:marTop w:val="0"/>
          <w:marBottom w:val="0"/>
          <w:divBdr>
            <w:top w:val="none" w:sz="0" w:space="0" w:color="auto"/>
            <w:left w:val="none" w:sz="0" w:space="0" w:color="auto"/>
            <w:bottom w:val="none" w:sz="0" w:space="0" w:color="auto"/>
            <w:right w:val="none" w:sz="0" w:space="0" w:color="auto"/>
          </w:divBdr>
        </w:div>
      </w:divsChild>
    </w:div>
    <w:div w:id="1805657509">
      <w:bodyDiv w:val="1"/>
      <w:marLeft w:val="0"/>
      <w:marRight w:val="0"/>
      <w:marTop w:val="0"/>
      <w:marBottom w:val="0"/>
      <w:divBdr>
        <w:top w:val="none" w:sz="0" w:space="0" w:color="auto"/>
        <w:left w:val="none" w:sz="0" w:space="0" w:color="auto"/>
        <w:bottom w:val="none" w:sz="0" w:space="0" w:color="auto"/>
        <w:right w:val="none" w:sz="0" w:space="0" w:color="auto"/>
      </w:divBdr>
    </w:div>
    <w:div w:id="1883326854">
      <w:bodyDiv w:val="1"/>
      <w:marLeft w:val="0"/>
      <w:marRight w:val="0"/>
      <w:marTop w:val="0"/>
      <w:marBottom w:val="0"/>
      <w:divBdr>
        <w:top w:val="none" w:sz="0" w:space="0" w:color="auto"/>
        <w:left w:val="none" w:sz="0" w:space="0" w:color="auto"/>
        <w:bottom w:val="none" w:sz="0" w:space="0" w:color="auto"/>
        <w:right w:val="none" w:sz="0" w:space="0" w:color="auto"/>
      </w:divBdr>
    </w:div>
    <w:div w:id="1935240684">
      <w:bodyDiv w:val="1"/>
      <w:marLeft w:val="0"/>
      <w:marRight w:val="0"/>
      <w:marTop w:val="0"/>
      <w:marBottom w:val="0"/>
      <w:divBdr>
        <w:top w:val="none" w:sz="0" w:space="0" w:color="auto"/>
        <w:left w:val="none" w:sz="0" w:space="0" w:color="auto"/>
        <w:bottom w:val="none" w:sz="0" w:space="0" w:color="auto"/>
        <w:right w:val="none" w:sz="0" w:space="0" w:color="auto"/>
      </w:divBdr>
    </w:div>
    <w:div w:id="2001076749">
      <w:bodyDiv w:val="1"/>
      <w:marLeft w:val="0"/>
      <w:marRight w:val="0"/>
      <w:marTop w:val="0"/>
      <w:marBottom w:val="0"/>
      <w:divBdr>
        <w:top w:val="none" w:sz="0" w:space="0" w:color="auto"/>
        <w:left w:val="none" w:sz="0" w:space="0" w:color="auto"/>
        <w:bottom w:val="none" w:sz="0" w:space="0" w:color="auto"/>
        <w:right w:val="none" w:sz="0" w:space="0" w:color="auto"/>
      </w:divBdr>
      <w:divsChild>
        <w:div w:id="1618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bsl.org.au/assets/Strengthening-Communities-Position-Paper.pdf" TargetMode="External"/><Relationship Id="rId21" Type="http://schemas.openxmlformats.org/officeDocument/2006/relationships/hyperlink" Target="https://www.dss.gov.au/grants/dss-consultative-forum" TargetMode="External"/><Relationship Id="rId34" Type="http://schemas.openxmlformats.org/officeDocument/2006/relationships/hyperlink" Target="https://www.oecd.org/cfe/leed/social-economy/oecd-global-action/" TargetMode="External"/><Relationship Id="rId42" Type="http://schemas.openxmlformats.org/officeDocument/2006/relationships/hyperlink" Target="https://www.dss.gov.au/communities-and-vulnerable-people-programs-services/the-blueprint-expert-reference-group-berg-latest-updates" TargetMode="External"/><Relationship Id="rId47" Type="http://schemas.openxmlformats.org/officeDocument/2006/relationships/hyperlink" Target="https://help.grants.gov.au/" TargetMode="External"/><Relationship Id="rId50" Type="http://schemas.openxmlformats.org/officeDocument/2006/relationships/hyperlink" Target="https://www.dss.gov.au/families-and-children-programs-services/stronger-places-stronger-people" TargetMode="External"/><Relationship Id="rId55" Type="http://schemas.openxmlformats.org/officeDocument/2006/relationships/footer" Target="footer5.xml"/><Relationship Id="rId63" Type="http://schemas.openxmlformats.org/officeDocument/2006/relationships/hyperlink" Target="https://www.niaa.gov.au/indigenous-affairs/education/stronger-communities-children" TargetMode="External"/><Relationship Id="rId68" Type="http://schemas.openxmlformats.org/officeDocument/2006/relationships/hyperlink" Target="https://engage.dss.gov.au/" TargetMode="External"/><Relationship Id="rId76" Type="http://schemas.openxmlformats.org/officeDocument/2006/relationships/hyperlink" Target="https://www.dss.gov.au/the-national-framework-for-protecting-australias-children-2021-2031" TargetMode="External"/><Relationship Id="rId84" Type="http://schemas.openxmlformats.org/officeDocument/2006/relationships/hyperlink" Target="https://www.communitygrants.gov.au/glossary" TargetMode="External"/><Relationship Id="rId89" Type="http://schemas.openxmlformats.org/officeDocument/2006/relationships/hyperlink" Target="https://www.communitygrants.gov.au/glossary" TargetMode="External"/><Relationship Id="rId112" Type="http://schemas.microsoft.com/office/2016/09/relationships/commentsIds" Target="commentsIds.xml"/><Relationship Id="rId7" Type="http://schemas.openxmlformats.org/officeDocument/2006/relationships/image" Target="media/image1.png"/><Relationship Id="rId71" Type="http://schemas.openxmlformats.org/officeDocument/2006/relationships/hyperlink" Target="https://www.closingthegap.gov.au/national-agreement" TargetMode="External"/><Relationship Id="rId92" Type="http://schemas.openxmlformats.org/officeDocument/2006/relationships/hyperlink" Target="https://www.communitygrants.gov.au/selection-processes"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apo.org.au/sites/default/files/resource-files/2022-04/apo-nid317636.pdf" TargetMode="External"/><Relationship Id="rId11" Type="http://schemas.openxmlformats.org/officeDocument/2006/relationships/hyperlink" Target="https://www.itsanhonour.gov.au/coat-arms/index.cfm" TargetMode="External"/><Relationship Id="rId24" Type="http://schemas.openxmlformats.org/officeDocument/2006/relationships/hyperlink" Target="https://www.philanthropy.org.au/wp-content/uploads/2023/06/Participatory-grantmaking-Building-the-evidence_finalreport-1.pdf" TargetMode="External"/><Relationship Id="rId32" Type="http://schemas.openxmlformats.org/officeDocument/2006/relationships/hyperlink" Target="https://www.snaicc.org.au/wp-content/uploads/2023/05/SNAICC-Stronger-ACCOs-Stronger-Families-report-2022.pdf" TargetMode="External"/><Relationship Id="rId37" Type="http://schemas.openxmlformats.org/officeDocument/2006/relationships/hyperlink" Target="https://volunteeringstrategy.org.au/the-strategy/" TargetMode="External"/><Relationship Id="rId40" Type="http://schemas.openxmlformats.org/officeDocument/2006/relationships/hyperlink" Target="https://www.apsreform.gov.au/about-aps-reform" TargetMode="External"/><Relationship Id="rId45" Type="http://schemas.openxmlformats.org/officeDocument/2006/relationships/hyperlink" Target="https://www.finance.gov.au/sites/default/files/2019-11/commonwealth-grants-rules-and-guidelines.pdf" TargetMode="External"/><Relationship Id="rId53" Type="http://schemas.openxmlformats.org/officeDocument/2006/relationships/header" Target="header4.xml"/><Relationship Id="rId58" Type="http://schemas.openxmlformats.org/officeDocument/2006/relationships/hyperlink" Target="https://ministers.dss.gov.au/media-releases/9896" TargetMode="External"/><Relationship Id="rId66" Type="http://schemas.openxmlformats.org/officeDocument/2006/relationships/hyperlink" Target="https://www.missionaustralia.com.au/media-centre/media-releases/mission-australia-s-response-to-federal-budget-2023-24" TargetMode="External"/><Relationship Id="rId74" Type="http://schemas.openxmlformats.org/officeDocument/2006/relationships/hyperlink" Target="https://www.pmc.gov.au/domestic-policy/national-strategy-care-and-support-economy" TargetMode="External"/><Relationship Id="rId79" Type="http://schemas.openxmlformats.org/officeDocument/2006/relationships/hyperlink" Target="https://www.communitygrants.gov.au/glossary" TargetMode="External"/><Relationship Id="rId87" Type="http://schemas.openxmlformats.org/officeDocument/2006/relationships/hyperlink" Target="https://www.finance.gov.au/government/commonwealth-grants/commonwealth-grants-rules-guidelines" TargetMode="External"/><Relationship Id="rId5" Type="http://schemas.openxmlformats.org/officeDocument/2006/relationships/footnotes" Target="footnotes.xml"/><Relationship Id="rId61" Type="http://schemas.openxmlformats.org/officeDocument/2006/relationships/hyperlink" Target="https://www.niaa.gov.au/indigenous-affairs/empowered-communities" TargetMode="External"/><Relationship Id="rId82" Type="http://schemas.openxmlformats.org/officeDocument/2006/relationships/hyperlink" Target="https://www.dss.gov.au/grants/dss-consultative-forum" TargetMode="External"/><Relationship Id="rId90" Type="http://schemas.openxmlformats.org/officeDocument/2006/relationships/hyperlink" Target="https://budget.gov.au/content/04-opportunity.htm" TargetMode="External"/><Relationship Id="rId95"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mailto:CSAGSecretariat@dss.gov.au" TargetMode="External"/><Relationship Id="rId22" Type="http://schemas.openxmlformats.org/officeDocument/2006/relationships/hyperlink" Target="https://www.acoss.org.au/australian-community-sector-survey/" TargetMode="External"/><Relationship Id="rId27" Type="http://schemas.openxmlformats.org/officeDocument/2006/relationships/hyperlink" Target="https://www.anao.gov.au/work/performance-audit/operation-grants-hubs-0" TargetMode="External"/><Relationship Id="rId30" Type="http://schemas.openxmlformats.org/officeDocument/2006/relationships/hyperlink" Target="https://actcoss.org.au/publication/2023-act-cost-of-living-report/" TargetMode="External"/><Relationship Id="rId35" Type="http://schemas.openxmlformats.org/officeDocument/2006/relationships/hyperlink" Target="https://www.oecd.org/cfe/leed/social-economy/social-economy-recommendation/" TargetMode="External"/><Relationship Id="rId43" Type="http://schemas.openxmlformats.org/officeDocument/2006/relationships/hyperlink" Target="https://www.ato.gov.au/Non-profit/Your-organisation/Does-your-not-for-profit-need-to-pay-income-tax-/Types-of-income-tax-exempt-organisations/Community-service-organisations/" TargetMode="External"/><Relationship Id="rId48" Type="http://schemas.openxmlformats.org/officeDocument/2006/relationships/hyperlink" Target="https://www.finance.gov.au/sites/default/files/2019-11/commonwealth-grants-rules-and-guidelines.pdf" TargetMode="External"/><Relationship Id="rId56" Type="http://schemas.openxmlformats.org/officeDocument/2006/relationships/hyperlink" Target="https://www.dss.gov.au/our-responsibilities-communities-and-vulnerable-people/strong-and-resilient-communities" TargetMode="External"/><Relationship Id="rId64" Type="http://schemas.openxmlformats.org/officeDocument/2006/relationships/hyperlink" Target="https://www.infrastructure.gov.au/territories-regions-cities/cities" TargetMode="External"/><Relationship Id="rId69" Type="http://schemas.openxmlformats.org/officeDocument/2006/relationships/hyperlink" Target="mailto:CSAGSecretariat@dss.gov.au" TargetMode="External"/><Relationship Id="rId77" Type="http://schemas.openxmlformats.org/officeDocument/2006/relationships/hyperlink" Target="https://www.acnc.gov.au/" TargetMode="External"/><Relationship Id="rId113" Type="http://schemas.microsoft.com/office/2018/08/relationships/commentsExtensible" Target="commentsExtensible.xml"/><Relationship Id="rId8" Type="http://schemas.openxmlformats.org/officeDocument/2006/relationships/image" Target="media/image2.png"/><Relationship Id="rId51" Type="http://schemas.openxmlformats.org/officeDocument/2006/relationships/hyperlink" Target="https://actcoss.org.au/news/cost-of-living-crisis-hits-canberra-community-sector/" TargetMode="External"/><Relationship Id="rId72" Type="http://schemas.openxmlformats.org/officeDocument/2006/relationships/hyperlink" Target="https://volunteeringstrategy.org.au/" TargetMode="External"/><Relationship Id="rId80" Type="http://schemas.openxmlformats.org/officeDocument/2006/relationships/hyperlink" Target="https://www.finance.gov.au/publications/resource-management-guides/publishing-and-reporting-grants-and-grantconnect-rmg-421" TargetMode="External"/><Relationship Id="rId85" Type="http://schemas.openxmlformats.org/officeDocument/2006/relationships/hyperlink" Target="https://www.communitygrants.gov.au/glossary" TargetMode="External"/><Relationship Id="rId93" Type="http://schemas.openxmlformats.org/officeDocument/2006/relationships/hyperlink" Target="https://www.dss.gov.au/families-and-children-programs-services/stronger-places-stronger-people" TargetMode="External"/><Relationship Id="rId3" Type="http://schemas.openxmlformats.org/officeDocument/2006/relationships/settings" Target="settings.xml"/><Relationship Id="rId12" Type="http://schemas.openxmlformats.org/officeDocument/2006/relationships/hyperlink" Target="http://www.engage.dss.gov.au" TargetMode="External"/><Relationship Id="rId17" Type="http://schemas.openxmlformats.org/officeDocument/2006/relationships/footer" Target="footer1.xml"/><Relationship Id="rId25" Type="http://schemas.openxmlformats.org/officeDocument/2006/relationships/hyperlink" Target="https://platformc.org/sites/default/files/2022-12/SPSP%20Early%20Evidence%20Impact%20Report_20221101%20FINAL_0.pdf" TargetMode="External"/><Relationship Id="rId33" Type="http://schemas.openxmlformats.org/officeDocument/2006/relationships/hyperlink" Target="https://www.oecd.org/cfe/leed/social-economy/" TargetMode="External"/><Relationship Id="rId38" Type="http://schemas.openxmlformats.org/officeDocument/2006/relationships/hyperlink" Target="https://www.dss.gov.au/our-responsibilities/families-and-children/programs-services/protecting-australias-children" TargetMode="External"/><Relationship Id="rId46" Type="http://schemas.openxmlformats.org/officeDocument/2006/relationships/hyperlink" Target="https://www.legislation.gov.au/Details/C2013A00123" TargetMode="External"/><Relationship Id="rId59" Type="http://schemas.openxmlformats.org/officeDocument/2006/relationships/hyperlink" Target="https://www.dss.gov.au/our-responsibilities/families-and-children/programs-services/family-support-program/family-and-children-s-services" TargetMode="External"/><Relationship Id="rId67" Type="http://schemas.openxmlformats.org/officeDocument/2006/relationships/hyperlink" Target="https://www.socialventures.com.au/assets/Funding-community-led-place-based-practice-report.pdf" TargetMode="External"/><Relationship Id="rId20" Type="http://schemas.openxmlformats.org/officeDocument/2006/relationships/footer" Target="footer3.xml"/><Relationship Id="rId41" Type="http://schemas.openxmlformats.org/officeDocument/2006/relationships/hyperlink" Target="https://www.pc.gov.au/inquiries/current/philanthropy/terms-of-reference" TargetMode="External"/><Relationship Id="rId54" Type="http://schemas.openxmlformats.org/officeDocument/2006/relationships/footer" Target="footer4.xml"/><Relationship Id="rId62" Type="http://schemas.openxmlformats.org/officeDocument/2006/relationships/hyperlink" Target="https://www.education.gov.au/early-childhood/community-child-care-fund/connected-beginnings" TargetMode="External"/><Relationship Id="rId70" Type="http://schemas.openxmlformats.org/officeDocument/2006/relationships/hyperlink" Target="https://www.dss.gov.au/grants/dss-consultative-forum" TargetMode="External"/><Relationship Id="rId75" Type="http://schemas.openxmlformats.org/officeDocument/2006/relationships/hyperlink" Target="https://www.dss.gov.au/publications-articles-corporate-publications-budget-and-additional-estimates-statements/entrenched-disadvantage-package?HTML" TargetMode="External"/><Relationship Id="rId83" Type="http://schemas.openxmlformats.org/officeDocument/2006/relationships/hyperlink" Target="https://www.finance.gov.au/publications/grants/grants-decision-tree-tool" TargetMode="External"/><Relationship Id="rId88" Type="http://schemas.openxmlformats.org/officeDocument/2006/relationships/hyperlink" Target="https://help.grants.gov.au/" TargetMode="External"/><Relationship Id="rId91" Type="http://schemas.openxmlformats.org/officeDocument/2006/relationships/hyperlink" Target="https://www.finance.gov.au/government/procurement/commonwealth-procurement-ru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acoss.org.au/wp-content/uploads/2021/06/ACSS-2021_better-contracting-report.pdf" TargetMode="External"/><Relationship Id="rId28" Type="http://schemas.openxmlformats.org/officeDocument/2006/relationships/hyperlink" Target="https://www.socialventures.com.au/assets/Paying-what-it-takes.pdf" TargetMode="External"/><Relationship Id="rId36" Type="http://schemas.openxmlformats.org/officeDocument/2006/relationships/hyperlink" Target="https://www.disabilitygateway.gov.au/ads" TargetMode="External"/><Relationship Id="rId49" Type="http://schemas.openxmlformats.org/officeDocument/2006/relationships/image" Target="media/image4.png"/><Relationship Id="rId57" Type="http://schemas.openxmlformats.org/officeDocument/2006/relationships/hyperlink" Target="https://www.snaicc.org.au/wp-content/uploads/2023/05/SNAICC-Stronger-ACCOs-Stronger-Families-report-2022.pdf" TargetMode="External"/><Relationship Id="rId10" Type="http://schemas.openxmlformats.org/officeDocument/2006/relationships/hyperlink" Target="mailto:communications@dss.gov.au" TargetMode="External"/><Relationship Id="rId31" Type="http://schemas.openxmlformats.org/officeDocument/2006/relationships/hyperlink" Target="https://www.google.com/url?sa=t&amp;rct=j&amp;q=&amp;esrc=s&amp;source=web&amp;cd=&amp;ved=2ahUKEwjzybPMv_v_AhXt2DgGHeoEDJkQFnoECBYQAQ&amp;url=https%3A%2F%2Fwww.aph.gov.au%2Fsitecore%2Fcontent%2FHome%2FParliamentary_Business%2FCommittees%2FSenate%2FCommunity_Affairs%2FGrants%2F~%2Fmedia%2FCommittees%2Fclac_ctte%2FGrants%2FFinal_Report%2Fc01.pdf&amp;usg=AOvVaw2h0vBjof-lh_HxcQrc4txf&amp;opi=89978449" TargetMode="External"/><Relationship Id="rId44" Type="http://schemas.openxmlformats.org/officeDocument/2006/relationships/image" Target="media/image3.png"/><Relationship Id="rId52" Type="http://schemas.openxmlformats.org/officeDocument/2006/relationships/hyperlink" Target="https://www.pc.gov.au/__data/assets/pdf_file/0010/359488/sub125-philanthropy.pdf" TargetMode="External"/><Relationship Id="rId60" Type="http://schemas.openxmlformats.org/officeDocument/2006/relationships/hyperlink" Target="https://www.dss.gov.au/families-and-children-programs-services/stronger-places-stronger-people" TargetMode="External"/><Relationship Id="rId65" Type="http://schemas.openxmlformats.org/officeDocument/2006/relationships/hyperlink" Target="https://www.dss.gov.au/publications-articles-corporate-publications-budget-and-additional-estimates-statements/entrenched-disadvantage-package?HTML" TargetMode="External"/><Relationship Id="rId73" Type="http://schemas.openxmlformats.org/officeDocument/2006/relationships/hyperlink" Target="https://www.disabilitygateway.gov.au/ads" TargetMode="External"/><Relationship Id="rId78" Type="http://schemas.openxmlformats.org/officeDocument/2006/relationships/hyperlink" Target="https://www.communitygrants.gov.au/glossary" TargetMode="External"/><Relationship Id="rId81" Type="http://schemas.openxmlformats.org/officeDocument/2006/relationships/hyperlink" Target="https://www.finance.gov.au/government/commonwealth-grants/commonwealth-grants-rules-and-guidelines" TargetMode="External"/><Relationship Id="rId86" Type="http://schemas.openxmlformats.org/officeDocument/2006/relationships/hyperlink" Target="https://www.communitygrants.gov.au/glossary"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s.gov.au" TargetMode="External"/><Relationship Id="rId13" Type="http://schemas.openxmlformats.org/officeDocument/2006/relationships/hyperlink" Target="mailto:CSAGSecretariat@dss.gov.au" TargetMode="External"/><Relationship Id="rId18" Type="http://schemas.openxmlformats.org/officeDocument/2006/relationships/footer" Target="footer2.xml"/><Relationship Id="rId39" Type="http://schemas.openxmlformats.org/officeDocument/2006/relationships/hyperlink" Target="https://www.closingthegap.gov.au/national-agre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kizzy.org.au/" TargetMode="External"/><Relationship Id="rId2" Type="http://schemas.openxmlformats.org/officeDocument/2006/relationships/hyperlink" Target="https://www.pc.gov.au/ongoing/report-on-government-services/2023/community-services/rogs-2023-partf-overview-and-sections.pdf" TargetMode="External"/><Relationship Id="rId1" Type="http://schemas.openxmlformats.org/officeDocument/2006/relationships/hyperlink" Target="https://www.acoss.org.au/wp-content/uploads/2023/04/At-the-Precipice_ACSS-2023.pdf" TargetMode="External"/><Relationship Id="rId6" Type="http://schemas.openxmlformats.org/officeDocument/2006/relationships/hyperlink" Target="https://www.acoss.org.au/wp-content/uploads/2021/06/ACSS-2021_better-contracting-report.pdf" TargetMode="External"/><Relationship Id="rId5" Type="http://schemas.openxmlformats.org/officeDocument/2006/relationships/hyperlink" Target="https://www.acoss.org.au/wp-content/uploads/2023/04/At-the-Precipice_ACSS-2023.pdf" TargetMode="External"/><Relationship Id="rId4" Type="http://schemas.openxmlformats.org/officeDocument/2006/relationships/hyperlink" Target="https://www.finance.gov.au/about-us/glossary/pgpa/term-inde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14341</Words>
  <Characters>85049</Characters>
  <Application>Microsoft Office Word</Application>
  <DocSecurity>0</DocSecurity>
  <Lines>1518</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2023-09-26T02:38:00Z</dcterms:created>
  <dcterms:modified xsi:type="dcterms:W3CDTF">2023-09-26T02:40:00Z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ing_FileId">
    <vt:lpwstr>D529CE08AEE74F6496A61C6A7B967C50</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OriginationTimeStamp">
    <vt:lpwstr>2023-09-26T02:38:29Z</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
    <vt:lpwstr>DC8C5534C693C106C4FD5339087B462D</vt:lpwstr>
  </property>
  <property fmtid="{D5CDD505-2E9C-101B-9397-08002B2CF9AE}" pid="20" name="PM_Hash_SHA1">
    <vt:lpwstr>12A9FC6F2FB041ED1B06B8FD8E467E24541E8DA4</vt:lpwstr>
  </property>
  <property fmtid="{D5CDD505-2E9C-101B-9397-08002B2CF9AE}" pid="21" name="PM_OriginatorDomainName_SHA256">
    <vt:lpwstr>E83A2A66C4061446A7E3732E8D44762184B6B377D962B96C83DC624302585857</vt:lpwstr>
  </property>
  <property fmtid="{D5CDD505-2E9C-101B-9397-08002B2CF9AE}" pid="22" name="PM_MinimumSecurityClassification">
    <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Hash_Salt_Prev">
    <vt:lpwstr>B267A962768B6F107F3487A45EE28DD5</vt:lpwstr>
  </property>
  <property fmtid="{D5CDD505-2E9C-101B-9397-08002B2CF9AE}" pid="26" name="PM_Originator_Hash_SHA1">
    <vt:lpwstr>56318F1E41EEE7DD63A00B042775726502E5580C</vt:lpwstr>
  </property>
  <property fmtid="{D5CDD505-2E9C-101B-9397-08002B2CF9AE}" pid="27" name="PM_OriginatorUserAccountName_SHA256">
    <vt:lpwstr>18A6631F2BE20880CC88418D12675102A38147F831A171AEF8B3F46317A8C17E</vt:lpwstr>
  </property>
</Properties>
</file>