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4CAC" w14:textId="27CF79EB" w:rsidR="00F71B12" w:rsidRPr="00713FCE" w:rsidRDefault="00F71B12" w:rsidP="00D677E0">
      <w:pPr>
        <w:pStyle w:val="Title"/>
        <w:spacing w:before="840"/>
      </w:pPr>
      <w:bookmarkStart w:id="0" w:name="_Toc160715763"/>
      <w:r w:rsidRPr="00713FCE">
        <w:t>D</w:t>
      </w:r>
      <w:r w:rsidR="00A223BC">
        <w:t>isability Employment Services</w:t>
      </w:r>
      <w:r w:rsidRPr="00713FCE">
        <w:t xml:space="preserve"> Reforms – </w:t>
      </w:r>
      <w:r w:rsidR="000D54D4">
        <w:br/>
      </w:r>
      <w:r w:rsidRPr="00713FCE">
        <w:t>Consultation on recommendations from recent reviews</w:t>
      </w:r>
      <w:bookmarkEnd w:id="0"/>
    </w:p>
    <w:p w14:paraId="5DC0A182" w14:textId="77777777" w:rsidR="00A978EE" w:rsidRDefault="00F71B12" w:rsidP="00A978EE">
      <w:pPr>
        <w:pStyle w:val="Subtitle"/>
      </w:pPr>
      <w:r w:rsidRPr="00F71B12">
        <w:t>Consultation Report</w:t>
      </w:r>
    </w:p>
    <w:p w14:paraId="23C84EF6" w14:textId="2617E7B5" w:rsidR="00A978EE" w:rsidRPr="00A978EE" w:rsidRDefault="00A978EE" w:rsidP="00A978EE">
      <w:pPr>
        <w:pStyle w:val="Subtitle"/>
      </w:pPr>
      <w:r>
        <w:t>May 202</w:t>
      </w:r>
      <w:r w:rsidR="00214D10">
        <w:t>4</w:t>
      </w:r>
    </w:p>
    <w:p w14:paraId="6FFA1E00" w14:textId="77777777" w:rsidR="0094563F" w:rsidRDefault="0094563F" w:rsidP="004F77F4">
      <w:pPr>
        <w:spacing w:before="800"/>
        <w:ind w:left="-709"/>
        <w:rPr>
          <w:i/>
          <w:iCs/>
          <w:smallCaps/>
        </w:rPr>
        <w:sectPr w:rsidR="0094563F" w:rsidSect="00106F4B">
          <w:footerReference w:type="default" r:id="rId11"/>
          <w:headerReference w:type="first" r:id="rId12"/>
          <w:footerReference w:type="first" r:id="rId13"/>
          <w:pgSz w:w="11906" w:h="16838"/>
          <w:pgMar w:top="1440" w:right="1440" w:bottom="1440" w:left="1440" w:header="283" w:footer="0" w:gutter="0"/>
          <w:cols w:space="708"/>
          <w:titlePg/>
          <w:docGrid w:linePitch="360"/>
        </w:sectPr>
      </w:pPr>
    </w:p>
    <w:sdt>
      <w:sdtPr>
        <w:rPr>
          <w:rFonts w:cs="Times New Roman"/>
          <w:b w:val="0"/>
          <w:bCs w:val="0"/>
          <w:color w:val="auto"/>
          <w:kern w:val="0"/>
          <w:sz w:val="24"/>
          <w:szCs w:val="24"/>
          <w:lang w:bidi="ar-SA"/>
        </w:rPr>
        <w:id w:val="1580713489"/>
        <w:docPartObj>
          <w:docPartGallery w:val="Table of Contents"/>
          <w:docPartUnique/>
        </w:docPartObj>
      </w:sdtPr>
      <w:sdtEndPr>
        <w:rPr>
          <w:noProof/>
        </w:rPr>
      </w:sdtEndPr>
      <w:sdtContent>
        <w:p w14:paraId="129A0D39" w14:textId="0E0DA142" w:rsidR="00713FCE" w:rsidRDefault="00713FCE">
          <w:pPr>
            <w:pStyle w:val="TOCHeading"/>
          </w:pPr>
          <w:r>
            <w:t>Contents</w:t>
          </w:r>
        </w:p>
        <w:p w14:paraId="5A67406C" w14:textId="27E18C73" w:rsidR="00713FCE" w:rsidRDefault="00713FCE">
          <w:pPr>
            <w:pStyle w:val="TOC1"/>
            <w:tabs>
              <w:tab w:val="right" w:leader="dot" w:pos="9344"/>
            </w:tabs>
            <w:rPr>
              <w:rFonts w:asciiTheme="minorHAnsi" w:eastAsiaTheme="minorEastAsia" w:hAnsiTheme="minorHAnsi" w:cstheme="minorBidi"/>
              <w:noProof/>
              <w:spacing w:val="0"/>
              <w:sz w:val="22"/>
              <w:szCs w:val="22"/>
            </w:rPr>
          </w:pPr>
          <w:r>
            <w:fldChar w:fldCharType="begin"/>
          </w:r>
          <w:r>
            <w:instrText xml:space="preserve"> TOC \o "1-3" \h \z \u </w:instrText>
          </w:r>
          <w:r>
            <w:fldChar w:fldCharType="separate"/>
          </w:r>
          <w:hyperlink w:anchor="_Toc160715910" w:history="1">
            <w:r w:rsidRPr="00BC2340">
              <w:rPr>
                <w:rStyle w:val="Hyperlink"/>
                <w:rFonts w:eastAsiaTheme="majorEastAsia"/>
                <w:noProof/>
              </w:rPr>
              <w:t>Introduction</w:t>
            </w:r>
            <w:r>
              <w:rPr>
                <w:noProof/>
                <w:webHidden/>
              </w:rPr>
              <w:tab/>
            </w:r>
            <w:r>
              <w:rPr>
                <w:noProof/>
                <w:webHidden/>
              </w:rPr>
              <w:fldChar w:fldCharType="begin"/>
            </w:r>
            <w:r>
              <w:rPr>
                <w:noProof/>
                <w:webHidden/>
              </w:rPr>
              <w:instrText xml:space="preserve"> PAGEREF _Toc160715910 \h </w:instrText>
            </w:r>
            <w:r>
              <w:rPr>
                <w:noProof/>
                <w:webHidden/>
              </w:rPr>
            </w:r>
            <w:r>
              <w:rPr>
                <w:noProof/>
                <w:webHidden/>
              </w:rPr>
              <w:fldChar w:fldCharType="separate"/>
            </w:r>
            <w:r w:rsidR="0044778C">
              <w:rPr>
                <w:noProof/>
                <w:webHidden/>
              </w:rPr>
              <w:t>3</w:t>
            </w:r>
            <w:r>
              <w:rPr>
                <w:noProof/>
                <w:webHidden/>
              </w:rPr>
              <w:fldChar w:fldCharType="end"/>
            </w:r>
          </w:hyperlink>
        </w:p>
        <w:p w14:paraId="461F4314" w14:textId="14270D44" w:rsidR="00713FCE" w:rsidRDefault="00E612F4">
          <w:pPr>
            <w:pStyle w:val="TOC2"/>
            <w:tabs>
              <w:tab w:val="right" w:leader="dot" w:pos="9344"/>
            </w:tabs>
            <w:rPr>
              <w:rFonts w:asciiTheme="minorHAnsi" w:eastAsiaTheme="minorEastAsia" w:hAnsiTheme="minorHAnsi" w:cstheme="minorBidi"/>
              <w:noProof/>
              <w:spacing w:val="0"/>
              <w:sz w:val="22"/>
              <w:szCs w:val="22"/>
            </w:rPr>
          </w:pPr>
          <w:hyperlink w:anchor="_Toc160715911" w:history="1">
            <w:r w:rsidR="00713FCE" w:rsidRPr="00BC2340">
              <w:rPr>
                <w:rStyle w:val="Hyperlink"/>
                <w:rFonts w:eastAsiaTheme="majorEastAsia"/>
                <w:noProof/>
              </w:rPr>
              <w:t>Purpose of the consultation</w:t>
            </w:r>
            <w:r w:rsidR="00713FCE">
              <w:rPr>
                <w:noProof/>
                <w:webHidden/>
              </w:rPr>
              <w:tab/>
            </w:r>
            <w:r w:rsidR="00713FCE">
              <w:rPr>
                <w:noProof/>
                <w:webHidden/>
              </w:rPr>
              <w:fldChar w:fldCharType="begin"/>
            </w:r>
            <w:r w:rsidR="00713FCE">
              <w:rPr>
                <w:noProof/>
                <w:webHidden/>
              </w:rPr>
              <w:instrText xml:space="preserve"> PAGEREF _Toc160715911 \h </w:instrText>
            </w:r>
            <w:r w:rsidR="00713FCE">
              <w:rPr>
                <w:noProof/>
                <w:webHidden/>
              </w:rPr>
            </w:r>
            <w:r w:rsidR="00713FCE">
              <w:rPr>
                <w:noProof/>
                <w:webHidden/>
              </w:rPr>
              <w:fldChar w:fldCharType="separate"/>
            </w:r>
            <w:r w:rsidR="0044778C">
              <w:rPr>
                <w:noProof/>
                <w:webHidden/>
              </w:rPr>
              <w:t>3</w:t>
            </w:r>
            <w:r w:rsidR="00713FCE">
              <w:rPr>
                <w:noProof/>
                <w:webHidden/>
              </w:rPr>
              <w:fldChar w:fldCharType="end"/>
            </w:r>
          </w:hyperlink>
        </w:p>
        <w:p w14:paraId="385D39EC" w14:textId="362D94F7" w:rsidR="00713FCE" w:rsidRDefault="00E612F4">
          <w:pPr>
            <w:pStyle w:val="TOC2"/>
            <w:tabs>
              <w:tab w:val="right" w:leader="dot" w:pos="9344"/>
            </w:tabs>
            <w:rPr>
              <w:rFonts w:asciiTheme="minorHAnsi" w:eastAsiaTheme="minorEastAsia" w:hAnsiTheme="minorHAnsi" w:cstheme="minorBidi"/>
              <w:noProof/>
              <w:spacing w:val="0"/>
              <w:sz w:val="22"/>
              <w:szCs w:val="22"/>
            </w:rPr>
          </w:pPr>
          <w:hyperlink w:anchor="_Toc160715912" w:history="1">
            <w:r w:rsidR="00713FCE" w:rsidRPr="00BC2340">
              <w:rPr>
                <w:rStyle w:val="Hyperlink"/>
                <w:rFonts w:eastAsiaTheme="majorEastAsia"/>
                <w:noProof/>
              </w:rPr>
              <w:t>Consultation process</w:t>
            </w:r>
            <w:r w:rsidR="00713FCE">
              <w:rPr>
                <w:noProof/>
                <w:webHidden/>
              </w:rPr>
              <w:tab/>
            </w:r>
            <w:r w:rsidR="00713FCE">
              <w:rPr>
                <w:noProof/>
                <w:webHidden/>
              </w:rPr>
              <w:fldChar w:fldCharType="begin"/>
            </w:r>
            <w:r w:rsidR="00713FCE">
              <w:rPr>
                <w:noProof/>
                <w:webHidden/>
              </w:rPr>
              <w:instrText xml:space="preserve"> PAGEREF _Toc160715912 \h </w:instrText>
            </w:r>
            <w:r w:rsidR="00713FCE">
              <w:rPr>
                <w:noProof/>
                <w:webHidden/>
              </w:rPr>
            </w:r>
            <w:r w:rsidR="00713FCE">
              <w:rPr>
                <w:noProof/>
                <w:webHidden/>
              </w:rPr>
              <w:fldChar w:fldCharType="separate"/>
            </w:r>
            <w:r w:rsidR="0044778C">
              <w:rPr>
                <w:noProof/>
                <w:webHidden/>
              </w:rPr>
              <w:t>4</w:t>
            </w:r>
            <w:r w:rsidR="00713FCE">
              <w:rPr>
                <w:noProof/>
                <w:webHidden/>
              </w:rPr>
              <w:fldChar w:fldCharType="end"/>
            </w:r>
          </w:hyperlink>
        </w:p>
        <w:p w14:paraId="6B83DC89" w14:textId="7DB10001" w:rsidR="00713FCE" w:rsidRDefault="00E612F4">
          <w:pPr>
            <w:pStyle w:val="TOC1"/>
            <w:tabs>
              <w:tab w:val="right" w:leader="dot" w:pos="9344"/>
            </w:tabs>
            <w:rPr>
              <w:rFonts w:asciiTheme="minorHAnsi" w:eastAsiaTheme="minorEastAsia" w:hAnsiTheme="minorHAnsi" w:cstheme="minorBidi"/>
              <w:noProof/>
              <w:spacing w:val="0"/>
              <w:sz w:val="22"/>
              <w:szCs w:val="22"/>
            </w:rPr>
          </w:pPr>
          <w:hyperlink w:anchor="_Toc160715913" w:history="1">
            <w:r w:rsidR="00713FCE" w:rsidRPr="00BC2340">
              <w:rPr>
                <w:rStyle w:val="Hyperlink"/>
                <w:rFonts w:eastAsiaTheme="majorEastAsia"/>
                <w:noProof/>
              </w:rPr>
              <w:t>Key Findings</w:t>
            </w:r>
            <w:r w:rsidR="00713FCE">
              <w:rPr>
                <w:noProof/>
                <w:webHidden/>
              </w:rPr>
              <w:tab/>
            </w:r>
            <w:r w:rsidR="00713FCE">
              <w:rPr>
                <w:noProof/>
                <w:webHidden/>
              </w:rPr>
              <w:fldChar w:fldCharType="begin"/>
            </w:r>
            <w:r w:rsidR="00713FCE">
              <w:rPr>
                <w:noProof/>
                <w:webHidden/>
              </w:rPr>
              <w:instrText xml:space="preserve"> PAGEREF _Toc160715913 \h </w:instrText>
            </w:r>
            <w:r w:rsidR="00713FCE">
              <w:rPr>
                <w:noProof/>
                <w:webHidden/>
              </w:rPr>
            </w:r>
            <w:r w:rsidR="00713FCE">
              <w:rPr>
                <w:noProof/>
                <w:webHidden/>
              </w:rPr>
              <w:fldChar w:fldCharType="separate"/>
            </w:r>
            <w:r w:rsidR="0044778C">
              <w:rPr>
                <w:noProof/>
                <w:webHidden/>
              </w:rPr>
              <w:t>6</w:t>
            </w:r>
            <w:r w:rsidR="00713FCE">
              <w:rPr>
                <w:noProof/>
                <w:webHidden/>
              </w:rPr>
              <w:fldChar w:fldCharType="end"/>
            </w:r>
          </w:hyperlink>
        </w:p>
        <w:p w14:paraId="3CB070C0" w14:textId="3CC8F9FB" w:rsidR="00713FCE" w:rsidRDefault="00E612F4">
          <w:pPr>
            <w:pStyle w:val="TOC1"/>
            <w:tabs>
              <w:tab w:val="right" w:leader="dot" w:pos="9344"/>
            </w:tabs>
            <w:rPr>
              <w:rFonts w:asciiTheme="minorHAnsi" w:eastAsiaTheme="minorEastAsia" w:hAnsiTheme="minorHAnsi" w:cstheme="minorBidi"/>
              <w:noProof/>
              <w:spacing w:val="0"/>
              <w:sz w:val="22"/>
              <w:szCs w:val="22"/>
            </w:rPr>
          </w:pPr>
          <w:hyperlink w:anchor="_Toc160715914" w:history="1">
            <w:r w:rsidR="00713FCE" w:rsidRPr="00BC2340">
              <w:rPr>
                <w:rStyle w:val="Hyperlink"/>
                <w:rFonts w:eastAsiaTheme="majorEastAsia"/>
                <w:noProof/>
              </w:rPr>
              <w:t>Discussion topic 1 – Eligibility</w:t>
            </w:r>
            <w:r w:rsidR="00713FCE">
              <w:rPr>
                <w:noProof/>
                <w:webHidden/>
              </w:rPr>
              <w:tab/>
            </w:r>
            <w:r w:rsidR="00713FCE">
              <w:rPr>
                <w:noProof/>
                <w:webHidden/>
              </w:rPr>
              <w:fldChar w:fldCharType="begin"/>
            </w:r>
            <w:r w:rsidR="00713FCE">
              <w:rPr>
                <w:noProof/>
                <w:webHidden/>
              </w:rPr>
              <w:instrText xml:space="preserve"> PAGEREF _Toc160715914 \h </w:instrText>
            </w:r>
            <w:r w:rsidR="00713FCE">
              <w:rPr>
                <w:noProof/>
                <w:webHidden/>
              </w:rPr>
            </w:r>
            <w:r w:rsidR="00713FCE">
              <w:rPr>
                <w:noProof/>
                <w:webHidden/>
              </w:rPr>
              <w:fldChar w:fldCharType="separate"/>
            </w:r>
            <w:r w:rsidR="0044778C">
              <w:rPr>
                <w:noProof/>
                <w:webHidden/>
              </w:rPr>
              <w:t>9</w:t>
            </w:r>
            <w:r w:rsidR="00713FCE">
              <w:rPr>
                <w:noProof/>
                <w:webHidden/>
              </w:rPr>
              <w:fldChar w:fldCharType="end"/>
            </w:r>
          </w:hyperlink>
        </w:p>
        <w:p w14:paraId="57E24EB0" w14:textId="571E3CD9" w:rsidR="00713FCE" w:rsidRDefault="00E612F4">
          <w:pPr>
            <w:pStyle w:val="TOC1"/>
            <w:tabs>
              <w:tab w:val="right" w:leader="dot" w:pos="9344"/>
            </w:tabs>
            <w:rPr>
              <w:rFonts w:asciiTheme="minorHAnsi" w:eastAsiaTheme="minorEastAsia" w:hAnsiTheme="minorHAnsi" w:cstheme="minorBidi"/>
              <w:noProof/>
              <w:spacing w:val="0"/>
              <w:sz w:val="22"/>
              <w:szCs w:val="22"/>
            </w:rPr>
          </w:pPr>
          <w:hyperlink w:anchor="_Toc160715915" w:history="1">
            <w:r w:rsidR="00713FCE" w:rsidRPr="00BC2340">
              <w:rPr>
                <w:rStyle w:val="Hyperlink"/>
                <w:rFonts w:eastAsiaTheme="majorEastAsia"/>
                <w:noProof/>
              </w:rPr>
              <w:t>Discussion topic 2 – Service structure</w:t>
            </w:r>
            <w:r w:rsidR="00713FCE">
              <w:rPr>
                <w:noProof/>
                <w:webHidden/>
              </w:rPr>
              <w:tab/>
            </w:r>
            <w:r w:rsidR="00713FCE">
              <w:rPr>
                <w:noProof/>
                <w:webHidden/>
              </w:rPr>
              <w:fldChar w:fldCharType="begin"/>
            </w:r>
            <w:r w:rsidR="00713FCE">
              <w:rPr>
                <w:noProof/>
                <w:webHidden/>
              </w:rPr>
              <w:instrText xml:space="preserve"> PAGEREF _Toc160715915 \h </w:instrText>
            </w:r>
            <w:r w:rsidR="00713FCE">
              <w:rPr>
                <w:noProof/>
                <w:webHidden/>
              </w:rPr>
            </w:r>
            <w:r w:rsidR="00713FCE">
              <w:rPr>
                <w:noProof/>
                <w:webHidden/>
              </w:rPr>
              <w:fldChar w:fldCharType="separate"/>
            </w:r>
            <w:r w:rsidR="0044778C">
              <w:rPr>
                <w:noProof/>
                <w:webHidden/>
              </w:rPr>
              <w:t>12</w:t>
            </w:r>
            <w:r w:rsidR="00713FCE">
              <w:rPr>
                <w:noProof/>
                <w:webHidden/>
              </w:rPr>
              <w:fldChar w:fldCharType="end"/>
            </w:r>
          </w:hyperlink>
        </w:p>
        <w:p w14:paraId="1FF1A715" w14:textId="33DB3771" w:rsidR="00713FCE" w:rsidRDefault="00E612F4">
          <w:pPr>
            <w:pStyle w:val="TOC1"/>
            <w:tabs>
              <w:tab w:val="right" w:leader="dot" w:pos="9344"/>
            </w:tabs>
            <w:rPr>
              <w:rFonts w:asciiTheme="minorHAnsi" w:eastAsiaTheme="minorEastAsia" w:hAnsiTheme="minorHAnsi" w:cstheme="minorBidi"/>
              <w:noProof/>
              <w:spacing w:val="0"/>
              <w:sz w:val="22"/>
              <w:szCs w:val="22"/>
            </w:rPr>
          </w:pPr>
          <w:hyperlink w:anchor="_Toc160715916" w:history="1">
            <w:r w:rsidR="00713FCE" w:rsidRPr="00BC2340">
              <w:rPr>
                <w:rStyle w:val="Hyperlink"/>
                <w:rFonts w:eastAsiaTheme="majorEastAsia"/>
                <w:noProof/>
              </w:rPr>
              <w:t>Discussion topic 3 – Mutual obligations</w:t>
            </w:r>
            <w:r w:rsidR="00713FCE">
              <w:rPr>
                <w:noProof/>
                <w:webHidden/>
              </w:rPr>
              <w:tab/>
            </w:r>
            <w:r w:rsidR="00713FCE">
              <w:rPr>
                <w:noProof/>
                <w:webHidden/>
              </w:rPr>
              <w:fldChar w:fldCharType="begin"/>
            </w:r>
            <w:r w:rsidR="00713FCE">
              <w:rPr>
                <w:noProof/>
                <w:webHidden/>
              </w:rPr>
              <w:instrText xml:space="preserve"> PAGEREF _Toc160715916 \h </w:instrText>
            </w:r>
            <w:r w:rsidR="00713FCE">
              <w:rPr>
                <w:noProof/>
                <w:webHidden/>
              </w:rPr>
            </w:r>
            <w:r w:rsidR="00713FCE">
              <w:rPr>
                <w:noProof/>
                <w:webHidden/>
              </w:rPr>
              <w:fldChar w:fldCharType="separate"/>
            </w:r>
            <w:r w:rsidR="0044778C">
              <w:rPr>
                <w:noProof/>
                <w:webHidden/>
              </w:rPr>
              <w:t>15</w:t>
            </w:r>
            <w:r w:rsidR="00713FCE">
              <w:rPr>
                <w:noProof/>
                <w:webHidden/>
              </w:rPr>
              <w:fldChar w:fldCharType="end"/>
            </w:r>
          </w:hyperlink>
        </w:p>
        <w:p w14:paraId="14A38EBF" w14:textId="76E00537" w:rsidR="00713FCE" w:rsidRDefault="00E612F4">
          <w:pPr>
            <w:pStyle w:val="TOC1"/>
            <w:tabs>
              <w:tab w:val="right" w:leader="dot" w:pos="9344"/>
            </w:tabs>
            <w:rPr>
              <w:rFonts w:asciiTheme="minorHAnsi" w:eastAsiaTheme="minorEastAsia" w:hAnsiTheme="minorHAnsi" w:cstheme="minorBidi"/>
              <w:noProof/>
              <w:spacing w:val="0"/>
              <w:sz w:val="22"/>
              <w:szCs w:val="22"/>
            </w:rPr>
          </w:pPr>
          <w:hyperlink w:anchor="_Toc160715917" w:history="1">
            <w:r w:rsidR="00713FCE" w:rsidRPr="00BC2340">
              <w:rPr>
                <w:rStyle w:val="Hyperlink"/>
                <w:rFonts w:eastAsiaTheme="majorEastAsia"/>
                <w:noProof/>
              </w:rPr>
              <w:t>Discussion topic 4 – Ongoing support</w:t>
            </w:r>
            <w:r w:rsidR="00713FCE">
              <w:rPr>
                <w:noProof/>
                <w:webHidden/>
              </w:rPr>
              <w:tab/>
            </w:r>
            <w:r w:rsidR="00713FCE">
              <w:rPr>
                <w:noProof/>
                <w:webHidden/>
              </w:rPr>
              <w:fldChar w:fldCharType="begin"/>
            </w:r>
            <w:r w:rsidR="00713FCE">
              <w:rPr>
                <w:noProof/>
                <w:webHidden/>
              </w:rPr>
              <w:instrText xml:space="preserve"> PAGEREF _Toc160715917 \h </w:instrText>
            </w:r>
            <w:r w:rsidR="00713FCE">
              <w:rPr>
                <w:noProof/>
                <w:webHidden/>
              </w:rPr>
            </w:r>
            <w:r w:rsidR="00713FCE">
              <w:rPr>
                <w:noProof/>
                <w:webHidden/>
              </w:rPr>
              <w:fldChar w:fldCharType="separate"/>
            </w:r>
            <w:r w:rsidR="0044778C">
              <w:rPr>
                <w:noProof/>
                <w:webHidden/>
              </w:rPr>
              <w:t>17</w:t>
            </w:r>
            <w:r w:rsidR="00713FCE">
              <w:rPr>
                <w:noProof/>
                <w:webHidden/>
              </w:rPr>
              <w:fldChar w:fldCharType="end"/>
            </w:r>
          </w:hyperlink>
        </w:p>
        <w:p w14:paraId="3AF9F815" w14:textId="1FC818AC" w:rsidR="00713FCE" w:rsidRPr="00713FCE" w:rsidRDefault="00713FCE">
          <w:pPr>
            <w:rPr>
              <w:b/>
              <w:bCs/>
              <w:noProof/>
            </w:rPr>
          </w:pPr>
          <w:r>
            <w:rPr>
              <w:b/>
              <w:bCs/>
              <w:noProof/>
            </w:rPr>
            <w:fldChar w:fldCharType="end"/>
          </w:r>
        </w:p>
      </w:sdtContent>
    </w:sdt>
    <w:p w14:paraId="03549819" w14:textId="67433B04" w:rsidR="00337926" w:rsidRPr="00F71B12" w:rsidRDefault="00F71B12" w:rsidP="00713FCE">
      <w:pPr>
        <w:pStyle w:val="Heading1"/>
        <w:pageBreakBefore/>
      </w:pPr>
      <w:bookmarkStart w:id="1" w:name="_Toc160715910"/>
      <w:r>
        <w:lastRenderedPageBreak/>
        <w:t>Introduction</w:t>
      </w:r>
      <w:bookmarkEnd w:id="1"/>
    </w:p>
    <w:p w14:paraId="6E272742" w14:textId="2B9F9BF1" w:rsidR="00743557" w:rsidRDefault="00743557" w:rsidP="00F71B12">
      <w:r>
        <w:t xml:space="preserve">The Australian Government has made a commitment that the current </w:t>
      </w:r>
      <w:r w:rsidR="001F35D6">
        <w:t xml:space="preserve">Disability Employment Services (DES) program </w:t>
      </w:r>
      <w:r>
        <w:t xml:space="preserve">will be replaced by a new </w:t>
      </w:r>
      <w:r w:rsidR="00DB158E" w:rsidRPr="00DB158E">
        <w:t>specialist disability employment services mode</w:t>
      </w:r>
      <w:r w:rsidR="00DB158E">
        <w:t>l</w:t>
      </w:r>
      <w:r w:rsidR="0050660C">
        <w:t xml:space="preserve"> — </w:t>
      </w:r>
      <w:r w:rsidR="008812A2">
        <w:t>with</w:t>
      </w:r>
      <w:r w:rsidR="0050660C">
        <w:t xml:space="preserve"> current contracts in place until 30 June 2025</w:t>
      </w:r>
      <w:r>
        <w:t>.</w:t>
      </w:r>
    </w:p>
    <w:p w14:paraId="2DFE15B5" w14:textId="36E7C233" w:rsidR="00222E83" w:rsidRDefault="00F71B12" w:rsidP="00F71B12">
      <w:r>
        <w:t xml:space="preserve">The Department of Social Services (the </w:t>
      </w:r>
      <w:r w:rsidR="539288F0">
        <w:t>D</w:t>
      </w:r>
      <w:r>
        <w:t xml:space="preserve">epartment) is currently </w:t>
      </w:r>
      <w:r w:rsidR="00FF0C8A">
        <w:t>working on the design of</w:t>
      </w:r>
      <w:r w:rsidR="00743557">
        <w:t xml:space="preserve"> </w:t>
      </w:r>
      <w:r w:rsidR="00743557" w:rsidRPr="3FC71A2A">
        <w:rPr>
          <w:rFonts w:eastAsiaTheme="majorEastAsia"/>
          <w:color w:val="000000"/>
          <w:shd w:val="clear" w:color="auto" w:fill="FFFFFF"/>
        </w:rPr>
        <w:t xml:space="preserve">the new </w:t>
      </w:r>
      <w:r w:rsidR="00DB158E">
        <w:rPr>
          <w:rFonts w:eastAsiaTheme="majorEastAsia"/>
          <w:color w:val="000000"/>
          <w:shd w:val="clear" w:color="auto" w:fill="FFFFFF"/>
        </w:rPr>
        <w:t>model</w:t>
      </w:r>
      <w:r w:rsidR="00743557">
        <w:t xml:space="preserve">. </w:t>
      </w:r>
      <w:r>
        <w:t>The new model will focus on</w:t>
      </w:r>
      <w:r w:rsidR="00222E83">
        <w:t>:</w:t>
      </w:r>
    </w:p>
    <w:p w14:paraId="67A55CC6" w14:textId="77777777" w:rsidR="00315704" w:rsidRDefault="00F71B12" w:rsidP="00445D52">
      <w:pPr>
        <w:pStyle w:val="ListBullet"/>
      </w:pPr>
      <w:r>
        <w:t>genuine choice and control for people with di</w:t>
      </w:r>
      <w:r w:rsidR="00222E83">
        <w:t>sability</w:t>
      </w:r>
    </w:p>
    <w:p w14:paraId="3EB62531" w14:textId="1FBE80C6" w:rsidR="003808E1" w:rsidRDefault="003808E1" w:rsidP="00445D52">
      <w:pPr>
        <w:pStyle w:val="ListBullet"/>
      </w:pPr>
      <w:r>
        <w:t>providing flexible support which meets the needs of people with disability</w:t>
      </w:r>
    </w:p>
    <w:p w14:paraId="5BC6CFC2" w14:textId="20B3F9A0" w:rsidR="00222E83" w:rsidRDefault="70090065" w:rsidP="00445D52">
      <w:pPr>
        <w:pStyle w:val="ListBullet"/>
      </w:pPr>
      <w:r>
        <w:t>support</w:t>
      </w:r>
      <w:r w:rsidR="22038140">
        <w:t>ing</w:t>
      </w:r>
      <w:r w:rsidR="00F71B12">
        <w:t xml:space="preserve"> employers </w:t>
      </w:r>
      <w:r w:rsidR="006437E9">
        <w:t>to</w:t>
      </w:r>
      <w:r w:rsidR="00F71B12">
        <w:t xml:space="preserve"> hire people with disability and ensure their employment is successful</w:t>
      </w:r>
      <w:r w:rsidR="006437E9">
        <w:t>;</w:t>
      </w:r>
      <w:r w:rsidR="003808E1">
        <w:t xml:space="preserve"> and</w:t>
      </w:r>
    </w:p>
    <w:p w14:paraId="4158A54B" w14:textId="2C9D1E92" w:rsidR="003808E1" w:rsidRDefault="00797C0D" w:rsidP="00445D52">
      <w:pPr>
        <w:pStyle w:val="ListBullet"/>
      </w:pPr>
      <w:r>
        <w:t>greater integration with other programs and services, such as Workforce Australia and the NDIS.</w:t>
      </w:r>
    </w:p>
    <w:p w14:paraId="360EAEB3" w14:textId="2FB81E75" w:rsidR="00D57560" w:rsidRDefault="00D57560" w:rsidP="00D57560">
      <w:bookmarkStart w:id="2" w:name="_Toc160715911"/>
      <w:r>
        <w:t>The new model must be cost effective and sustainable, align with other Commonwealth</w:t>
      </w:r>
      <w:r w:rsidR="23FF8F2F">
        <w:t>-</w:t>
      </w:r>
      <w:r>
        <w:t xml:space="preserve">funded employment programs, and not duplicate assistance available through other </w:t>
      </w:r>
      <w:r w:rsidR="60BDAF80">
        <w:t>Government-funded</w:t>
      </w:r>
      <w:r w:rsidR="4298AFF9">
        <w:t xml:space="preserve"> </w:t>
      </w:r>
      <w:r>
        <w:t>disability support programs.</w:t>
      </w:r>
    </w:p>
    <w:p w14:paraId="62FC4C65" w14:textId="13CDF014" w:rsidR="007C3085" w:rsidRDefault="007C3085" w:rsidP="007C3085">
      <w:pPr>
        <w:pStyle w:val="Heading2"/>
      </w:pPr>
      <w:r>
        <w:t>Purpose of the consultation</w:t>
      </w:r>
      <w:bookmarkEnd w:id="2"/>
    </w:p>
    <w:p w14:paraId="61660371" w14:textId="2EEB6F19" w:rsidR="000978B1" w:rsidRDefault="00B46F0C" w:rsidP="000978B1">
      <w:r>
        <w:t xml:space="preserve">The purpose of the consultation was to </w:t>
      </w:r>
      <w:r w:rsidR="00476252">
        <w:t>test</w:t>
      </w:r>
      <w:r w:rsidR="000978B1">
        <w:t xml:space="preserve"> the sector’s view</w:t>
      </w:r>
      <w:r w:rsidR="00FF79A9">
        <w:t>s</w:t>
      </w:r>
      <w:r w:rsidR="000978B1">
        <w:t xml:space="preserve"> on 4 key areas: eligibility, service structure, mutual obligations and ongoing support.</w:t>
      </w:r>
    </w:p>
    <w:p w14:paraId="7A8A6CEF" w14:textId="06BDED29" w:rsidR="00743557" w:rsidRDefault="00FF79A9" w:rsidP="00743557">
      <w:r>
        <w:t xml:space="preserve">These key areas of interest </w:t>
      </w:r>
      <w:r w:rsidR="00AF081D">
        <w:t>align with</w:t>
      </w:r>
      <w:r w:rsidR="00FF19C7">
        <w:t xml:space="preserve"> </w:t>
      </w:r>
      <w:r w:rsidR="007849BF">
        <w:t xml:space="preserve">issues raised in previous consultations </w:t>
      </w:r>
      <w:r w:rsidR="00A649BA">
        <w:t xml:space="preserve">and </w:t>
      </w:r>
      <w:r w:rsidR="00743557">
        <w:t>disability employment-related recommendations</w:t>
      </w:r>
      <w:r w:rsidR="001F6D2D">
        <w:t xml:space="preserve"> made by recent reviews including</w:t>
      </w:r>
      <w:r w:rsidR="00222E83">
        <w:t>:</w:t>
      </w:r>
    </w:p>
    <w:p w14:paraId="09BB2F01" w14:textId="074A8AA2" w:rsidR="00743557" w:rsidRPr="00743557" w:rsidRDefault="49C7E2E2" w:rsidP="00445D52">
      <w:pPr>
        <w:pStyle w:val="ListBullet"/>
      </w:pPr>
      <w:r w:rsidRPr="17A49AD1">
        <w:t xml:space="preserve">The Royal Commission into Violence, Abuse, Neglect and Exploitation </w:t>
      </w:r>
      <w:r w:rsidR="00F41CF6" w:rsidRPr="17A49AD1">
        <w:t xml:space="preserve">of People </w:t>
      </w:r>
      <w:r w:rsidR="0014749A" w:rsidRPr="17A49AD1">
        <w:t>w</w:t>
      </w:r>
      <w:r w:rsidR="00F41CF6" w:rsidRPr="17A49AD1">
        <w:t xml:space="preserve">ith Disability </w:t>
      </w:r>
      <w:r w:rsidRPr="17A49AD1">
        <w:t>(Disability Royal Commission):</w:t>
      </w:r>
      <w:r>
        <w:t xml:space="preserve"> </w:t>
      </w:r>
      <w:r>
        <w:br/>
        <w:t>which investigated how to ensure a more inclusive and just society that supports the independence of people with disabilit</w:t>
      </w:r>
      <w:r w:rsidR="35EFFEF1">
        <w:t>y and their rights to live free from harm.</w:t>
      </w:r>
      <w:r w:rsidR="159C6A5A">
        <w:t xml:space="preserve"> Volume 7</w:t>
      </w:r>
      <w:r w:rsidR="001B4858">
        <w:t xml:space="preserve"> of the Final Report</w:t>
      </w:r>
      <w:r w:rsidR="159C6A5A">
        <w:t xml:space="preserve"> specifically </w:t>
      </w:r>
      <w:r w:rsidR="00D03728">
        <w:t xml:space="preserve">focused on </w:t>
      </w:r>
      <w:r w:rsidR="159C6A5A">
        <w:t xml:space="preserve">inclusive employment </w:t>
      </w:r>
      <w:r w:rsidR="75BD3709">
        <w:t>servicing and opportunities</w:t>
      </w:r>
      <w:r w:rsidR="159C6A5A">
        <w:t xml:space="preserve">. </w:t>
      </w:r>
    </w:p>
    <w:p w14:paraId="6D06FB26" w14:textId="51001961" w:rsidR="00743557" w:rsidRPr="00743557" w:rsidRDefault="00743557" w:rsidP="00445D52">
      <w:pPr>
        <w:pStyle w:val="ListBullet"/>
      </w:pPr>
      <w:r w:rsidRPr="38E7F9CF">
        <w:t>The Independent Review into the National Disability Insurance Scheme (NDIS Review):</w:t>
      </w:r>
      <w:r>
        <w:t xml:space="preserve"> which examined the design, </w:t>
      </w:r>
      <w:bookmarkStart w:id="3" w:name="_Int_pf1UGsaB"/>
      <w:r>
        <w:t>operations</w:t>
      </w:r>
      <w:bookmarkEnd w:id="3"/>
      <w:r>
        <w:t xml:space="preserve"> and sustainability of the NDIS, plus ways to build a more responsive, </w:t>
      </w:r>
      <w:bookmarkStart w:id="4" w:name="_Int_YRYZGQc6"/>
      <w:r>
        <w:t>supportive</w:t>
      </w:r>
      <w:bookmarkEnd w:id="4"/>
      <w:r>
        <w:t xml:space="preserve"> and sustainable market and workforce.</w:t>
      </w:r>
    </w:p>
    <w:p w14:paraId="3FDDCD14" w14:textId="45CC7948" w:rsidR="00743557" w:rsidRPr="00743557" w:rsidRDefault="00743557" w:rsidP="00445D52">
      <w:pPr>
        <w:pStyle w:val="ListBullet"/>
      </w:pPr>
      <w:r w:rsidRPr="0FBCB883">
        <w:t>The House Select Committee on Workforce Australia Employment Services (Select Committee on Workforce Australia):</w:t>
      </w:r>
      <w:r>
        <w:t xml:space="preserve"> which inquired on matters related to Workforce Australia and the employmen</w:t>
      </w:r>
      <w:r w:rsidR="00222E83">
        <w:t>t services system more broadly.</w:t>
      </w:r>
    </w:p>
    <w:p w14:paraId="34A36229" w14:textId="6D0DCD2E" w:rsidR="00222E83" w:rsidRDefault="00222E83">
      <w:r>
        <w:t xml:space="preserve">The </w:t>
      </w:r>
      <w:r w:rsidR="00445D52">
        <w:t>Department</w:t>
      </w:r>
      <w:r>
        <w:t xml:space="preserve"> would like to thank everyone who participated in this round of consultation, </w:t>
      </w:r>
      <w:r w:rsidR="00487690">
        <w:t>and those who have</w:t>
      </w:r>
      <w:r>
        <w:t xml:space="preserve"> contributed to previous consultations. </w:t>
      </w:r>
      <w:r w:rsidR="11901AAA">
        <w:t xml:space="preserve">Their </w:t>
      </w:r>
      <w:r>
        <w:t>input will help to ensure the new model achieves meaningful outcomes for people with disability.</w:t>
      </w:r>
    </w:p>
    <w:p w14:paraId="7D916713" w14:textId="154EC1FE" w:rsidR="00743557" w:rsidRDefault="00743557" w:rsidP="00743557">
      <w:pPr>
        <w:pStyle w:val="Heading2"/>
      </w:pPr>
      <w:bookmarkStart w:id="5" w:name="_Toc160715912"/>
      <w:r>
        <w:lastRenderedPageBreak/>
        <w:t>Consultation process</w:t>
      </w:r>
      <w:bookmarkEnd w:id="5"/>
    </w:p>
    <w:p w14:paraId="754F5D6C" w14:textId="1456800B" w:rsidR="006F2768" w:rsidRDefault="003044BE" w:rsidP="000476D3">
      <w:pPr>
        <w:keepNext/>
      </w:pPr>
      <w:r>
        <w:t xml:space="preserve">The </w:t>
      </w:r>
      <w:r w:rsidR="00445D52">
        <w:t>Department</w:t>
      </w:r>
      <w:r>
        <w:t xml:space="preserve"> undertook a public consultation seeking</w:t>
      </w:r>
      <w:r w:rsidR="00575325">
        <w:t xml:space="preserve"> ideas and feedback</w:t>
      </w:r>
      <w:r>
        <w:t xml:space="preserve"> between </w:t>
      </w:r>
      <w:r w:rsidR="2B81B97C">
        <w:t xml:space="preserve">16 </w:t>
      </w:r>
      <w:r w:rsidR="2F2AE9E5">
        <w:t xml:space="preserve">February 2024 </w:t>
      </w:r>
      <w:r>
        <w:t>and 27 February 2024.</w:t>
      </w:r>
    </w:p>
    <w:p w14:paraId="01CB10AF" w14:textId="7D146866" w:rsidR="006F2768" w:rsidRDefault="006F2768" w:rsidP="006F2768">
      <w:r>
        <w:t>Invitations notifying stakeholders of the consultation were sent to 265</w:t>
      </w:r>
      <w:r w:rsidR="003044BE">
        <w:t xml:space="preserve"> </w:t>
      </w:r>
      <w:r w:rsidR="00222E83">
        <w:t xml:space="preserve">organisations and </w:t>
      </w:r>
      <w:r w:rsidR="003044BE">
        <w:t>individuals</w:t>
      </w:r>
      <w:r w:rsidR="00222E83">
        <w:t xml:space="preserve"> </w:t>
      </w:r>
      <w:r w:rsidR="003044BE">
        <w:t>—</w:t>
      </w:r>
      <w:r>
        <w:t xml:space="preserve"> encouraging employment and disability service providers; people with disability, their </w:t>
      </w:r>
      <w:bookmarkStart w:id="6" w:name="_Int_p330gFpH"/>
      <w:r>
        <w:t>families</w:t>
      </w:r>
      <w:bookmarkEnd w:id="6"/>
      <w:r>
        <w:t xml:space="preserve"> and carers; disability advocates; and other interested stakeholders to have their say on specific ideas arising from previous consultation and the recent reviews.</w:t>
      </w:r>
    </w:p>
    <w:p w14:paraId="7199390A" w14:textId="0A8353BF" w:rsidR="00743557" w:rsidRPr="00743557" w:rsidRDefault="00743557" w:rsidP="00713FCE">
      <w:r>
        <w:t xml:space="preserve">The Department facilitated </w:t>
      </w:r>
      <w:r w:rsidR="4CD849A2">
        <w:t xml:space="preserve">2 </w:t>
      </w:r>
      <w:r>
        <w:t>online forums (webinars</w:t>
      </w:r>
      <w:r w:rsidR="00222E83">
        <w:t>) on:</w:t>
      </w:r>
    </w:p>
    <w:p w14:paraId="6B9CDF48" w14:textId="2616FD58" w:rsidR="00743557" w:rsidRPr="00222E83" w:rsidRDefault="19E335E1" w:rsidP="00445D52">
      <w:pPr>
        <w:pStyle w:val="ListBullet"/>
      </w:pPr>
      <w:r>
        <w:t xml:space="preserve">21 February 2024 at 10:30am </w:t>
      </w:r>
      <w:r w:rsidR="6D2D9403">
        <w:t>(AEDT)</w:t>
      </w:r>
    </w:p>
    <w:p w14:paraId="0974EC24" w14:textId="3A1DD725" w:rsidR="00743557" w:rsidRPr="00222E83" w:rsidRDefault="19E335E1" w:rsidP="00445D52">
      <w:pPr>
        <w:pStyle w:val="ListBullet"/>
      </w:pPr>
      <w:r>
        <w:t>22 February 2024 at 1:30pm</w:t>
      </w:r>
      <w:r w:rsidR="185F9402">
        <w:t xml:space="preserve"> (AEDT)</w:t>
      </w:r>
      <w:r>
        <w:t>.</w:t>
      </w:r>
    </w:p>
    <w:p w14:paraId="0D5F6DF6" w14:textId="7F218EA2" w:rsidR="006F2768" w:rsidRDefault="6FC751D3" w:rsidP="006F2768">
      <w:r>
        <w:t xml:space="preserve">A registration form was published on </w:t>
      </w:r>
      <w:r w:rsidR="72C9FEB0">
        <w:t xml:space="preserve">the </w:t>
      </w:r>
      <w:r>
        <w:t>DSS Engage</w:t>
      </w:r>
      <w:r w:rsidR="5754A173">
        <w:t xml:space="preserve"> website</w:t>
      </w:r>
      <w:r>
        <w:t xml:space="preserve"> to </w:t>
      </w:r>
      <w:r w:rsidR="19DF135B">
        <w:t xml:space="preserve">collect personal information </w:t>
      </w:r>
      <w:r w:rsidR="006802AC">
        <w:t xml:space="preserve">about </w:t>
      </w:r>
      <w:r w:rsidR="19DF135B">
        <w:t xml:space="preserve">those who were interested in attending </w:t>
      </w:r>
      <w:r w:rsidR="006802AC">
        <w:t xml:space="preserve">a </w:t>
      </w:r>
      <w:r w:rsidR="19DF135B">
        <w:t xml:space="preserve">webinar. </w:t>
      </w:r>
      <w:r w:rsidR="005737E2">
        <w:t>The form</w:t>
      </w:r>
      <w:r w:rsidR="3196E3DF">
        <w:t xml:space="preserve"> was completed 382</w:t>
      </w:r>
      <w:r w:rsidR="005737E2">
        <w:t> times</w:t>
      </w:r>
      <w:r w:rsidR="3196E3DF">
        <w:t xml:space="preserve">, capturing 339 unique email addresses. </w:t>
      </w:r>
      <w:r w:rsidR="688C4652">
        <w:t>Amongst those who registered, 8</w:t>
      </w:r>
      <w:r w:rsidR="00FF7493">
        <w:t>%</w:t>
      </w:r>
      <w:r w:rsidR="688C4652">
        <w:t xml:space="preserve"> identified as a person with disability. Table 1</w:t>
      </w:r>
      <w:r w:rsidR="19DF135B">
        <w:t xml:space="preserve"> outlines the profile of those who registered for the webinars.</w:t>
      </w:r>
    </w:p>
    <w:p w14:paraId="777795B5" w14:textId="42D1D79A" w:rsidR="009F3BA1" w:rsidRPr="009F3BA1" w:rsidRDefault="009F3BA1" w:rsidP="00967CA2">
      <w:pPr>
        <w:pStyle w:val="Caption"/>
      </w:pPr>
      <w:r w:rsidRPr="009F3BA1">
        <w:t xml:space="preserve">Table </w:t>
      </w:r>
      <w:r>
        <w:fldChar w:fldCharType="begin"/>
      </w:r>
      <w:r>
        <w:instrText>SEQ Table \* ARABIC</w:instrText>
      </w:r>
      <w:r>
        <w:fldChar w:fldCharType="separate"/>
      </w:r>
      <w:r w:rsidR="0044778C">
        <w:rPr>
          <w:noProof/>
        </w:rPr>
        <w:t>1</w:t>
      </w:r>
      <w:r>
        <w:fldChar w:fldCharType="end"/>
      </w:r>
      <w:r>
        <w:t>:</w:t>
      </w:r>
      <w:r w:rsidRPr="009F3BA1">
        <w:t xml:space="preserve"> Registration for webinars by stakeholder type</w:t>
      </w:r>
    </w:p>
    <w:tbl>
      <w:tblPr>
        <w:tblStyle w:val="DSSDatatablestyle"/>
        <w:tblpPr w:leftFromText="180" w:rightFromText="180" w:vertAnchor="text" w:horzAnchor="page" w:tblpX="1283" w:tblpY="243"/>
        <w:tblW w:w="9356" w:type="dxa"/>
        <w:tblInd w:w="0" w:type="dxa"/>
        <w:tblLook w:val="04E0" w:firstRow="1" w:lastRow="1" w:firstColumn="1" w:lastColumn="0" w:noHBand="0" w:noVBand="1"/>
        <w:tblCaption w:val="DSS Data table style"/>
      </w:tblPr>
      <w:tblGrid>
        <w:gridCol w:w="7371"/>
        <w:gridCol w:w="1985"/>
      </w:tblGrid>
      <w:tr w:rsidR="009F3BA1" w14:paraId="6A422D98" w14:textId="77777777" w:rsidTr="00A427F4">
        <w:trPr>
          <w:cnfStyle w:val="100000000000" w:firstRow="1" w:lastRow="0" w:firstColumn="0" w:lastColumn="0" w:oddVBand="0" w:evenVBand="0" w:oddHBand="0" w:evenHBand="0" w:firstRowFirstColumn="0" w:firstRowLastColumn="0" w:lastRowFirstColumn="0" w:lastRowLastColumn="0"/>
          <w:tblHeader/>
        </w:trPr>
        <w:tc>
          <w:tcPr>
            <w:tcW w:w="7371" w:type="dxa"/>
          </w:tcPr>
          <w:p w14:paraId="41B72B61" w14:textId="77777777" w:rsidR="009F3BA1" w:rsidRDefault="009F3BA1" w:rsidP="00A427F4"/>
        </w:tc>
        <w:tc>
          <w:tcPr>
            <w:tcW w:w="1985" w:type="dxa"/>
          </w:tcPr>
          <w:p w14:paraId="2B07EE00" w14:textId="77777777" w:rsidR="009F3BA1" w:rsidRDefault="009F3BA1" w:rsidP="00A427F4">
            <w:r>
              <w:t>Count</w:t>
            </w:r>
          </w:p>
        </w:tc>
      </w:tr>
      <w:tr w:rsidR="009F3BA1" w14:paraId="36D29623" w14:textId="77777777" w:rsidTr="00A427F4">
        <w:trPr>
          <w:trHeight w:val="454"/>
        </w:trPr>
        <w:tc>
          <w:tcPr>
            <w:tcW w:w="7371" w:type="dxa"/>
          </w:tcPr>
          <w:p w14:paraId="07DC17E2" w14:textId="756D740D" w:rsidR="009F3BA1" w:rsidRPr="00227E1B" w:rsidRDefault="009F3BA1" w:rsidP="00A427F4">
            <w:r>
              <w:t>Employment services participant</w:t>
            </w:r>
          </w:p>
        </w:tc>
        <w:tc>
          <w:tcPr>
            <w:tcW w:w="1985" w:type="dxa"/>
          </w:tcPr>
          <w:p w14:paraId="218CEFA7" w14:textId="0ED0D1C5" w:rsidR="009F3BA1" w:rsidRDefault="009F3BA1" w:rsidP="00A427F4">
            <w:r>
              <w:t>34</w:t>
            </w:r>
          </w:p>
        </w:tc>
      </w:tr>
      <w:tr w:rsidR="009F3BA1" w14:paraId="03D37DA9" w14:textId="77777777" w:rsidTr="00A427F4">
        <w:trPr>
          <w:cnfStyle w:val="000000010000" w:firstRow="0" w:lastRow="0" w:firstColumn="0" w:lastColumn="0" w:oddVBand="0" w:evenVBand="0" w:oddHBand="0" w:evenHBand="1" w:firstRowFirstColumn="0" w:firstRowLastColumn="0" w:lastRowFirstColumn="0" w:lastRowLastColumn="0"/>
          <w:trHeight w:val="454"/>
        </w:trPr>
        <w:tc>
          <w:tcPr>
            <w:tcW w:w="7371" w:type="dxa"/>
          </w:tcPr>
          <w:p w14:paraId="47D68698" w14:textId="0F974C80" w:rsidR="009F3BA1" w:rsidRDefault="009F3BA1" w:rsidP="009F3BA1">
            <w:r>
              <w:t>Disability service provider, employment service provider or community organisation</w:t>
            </w:r>
          </w:p>
        </w:tc>
        <w:tc>
          <w:tcPr>
            <w:tcW w:w="1985" w:type="dxa"/>
          </w:tcPr>
          <w:p w14:paraId="0BF652CF" w14:textId="78A46BDA" w:rsidR="009F3BA1" w:rsidRDefault="009F3BA1" w:rsidP="00A427F4">
            <w:r>
              <w:t>246</w:t>
            </w:r>
          </w:p>
        </w:tc>
      </w:tr>
      <w:tr w:rsidR="009F3BA1" w14:paraId="723BA7B7" w14:textId="77777777" w:rsidTr="00A427F4">
        <w:trPr>
          <w:trHeight w:val="454"/>
        </w:trPr>
        <w:tc>
          <w:tcPr>
            <w:tcW w:w="7371" w:type="dxa"/>
          </w:tcPr>
          <w:p w14:paraId="5E5CA116" w14:textId="1716D66B" w:rsidR="009F3BA1" w:rsidRDefault="009F3BA1" w:rsidP="009F3BA1">
            <w:r>
              <w:t>Peak body or disability advocate</w:t>
            </w:r>
          </w:p>
        </w:tc>
        <w:tc>
          <w:tcPr>
            <w:tcW w:w="1985" w:type="dxa"/>
          </w:tcPr>
          <w:p w14:paraId="229CBE42" w14:textId="31D6F003" w:rsidR="009F3BA1" w:rsidRDefault="009F3BA1" w:rsidP="00A427F4">
            <w:r>
              <w:t>25</w:t>
            </w:r>
          </w:p>
        </w:tc>
      </w:tr>
      <w:tr w:rsidR="009F3BA1" w14:paraId="58BF4A8D" w14:textId="77777777" w:rsidTr="00A427F4">
        <w:trPr>
          <w:cnfStyle w:val="000000010000" w:firstRow="0" w:lastRow="0" w:firstColumn="0" w:lastColumn="0" w:oddVBand="0" w:evenVBand="0" w:oddHBand="0" w:evenHBand="1" w:firstRowFirstColumn="0" w:firstRowLastColumn="0" w:lastRowFirstColumn="0" w:lastRowLastColumn="0"/>
          <w:trHeight w:val="454"/>
        </w:trPr>
        <w:tc>
          <w:tcPr>
            <w:tcW w:w="7371" w:type="dxa"/>
          </w:tcPr>
          <w:p w14:paraId="2B60F9B6" w14:textId="05FE0C81" w:rsidR="009F3BA1" w:rsidRDefault="009F3BA1" w:rsidP="00A427F4">
            <w:r>
              <w:t>Other</w:t>
            </w:r>
          </w:p>
        </w:tc>
        <w:tc>
          <w:tcPr>
            <w:tcW w:w="1985" w:type="dxa"/>
          </w:tcPr>
          <w:p w14:paraId="425883A6" w14:textId="6A946DCC" w:rsidR="009F3BA1" w:rsidRDefault="009F3BA1" w:rsidP="00A427F4">
            <w:r>
              <w:t>32</w:t>
            </w:r>
          </w:p>
        </w:tc>
      </w:tr>
      <w:tr w:rsidR="009F3BA1" w14:paraId="1B03F365" w14:textId="77777777" w:rsidTr="00A427F4">
        <w:trPr>
          <w:cnfStyle w:val="010000000000" w:firstRow="0" w:lastRow="1" w:firstColumn="0" w:lastColumn="0" w:oddVBand="0" w:evenVBand="0" w:oddHBand="0" w:evenHBand="0" w:firstRowFirstColumn="0" w:firstRowLastColumn="0" w:lastRowFirstColumn="0" w:lastRowLastColumn="0"/>
          <w:trHeight w:val="454"/>
        </w:trPr>
        <w:tc>
          <w:tcPr>
            <w:tcW w:w="7371" w:type="dxa"/>
          </w:tcPr>
          <w:p w14:paraId="6388612F" w14:textId="77777777" w:rsidR="009F3BA1" w:rsidRDefault="009F3BA1" w:rsidP="00A427F4">
            <w:r>
              <w:t>Total</w:t>
            </w:r>
          </w:p>
        </w:tc>
        <w:tc>
          <w:tcPr>
            <w:tcW w:w="1985" w:type="dxa"/>
          </w:tcPr>
          <w:p w14:paraId="02052909" w14:textId="35A8EBED" w:rsidR="009F3BA1" w:rsidRDefault="009F3BA1" w:rsidP="00A427F4">
            <w:r>
              <w:t>339</w:t>
            </w:r>
          </w:p>
        </w:tc>
      </w:tr>
    </w:tbl>
    <w:p w14:paraId="5793A1AA" w14:textId="4D1164F0" w:rsidR="009F3BA1" w:rsidRDefault="009F3BA1" w:rsidP="00967CA2">
      <w:pPr>
        <w:pStyle w:val="Tablenote"/>
      </w:pPr>
      <w:r>
        <w:t>Note: Those registering were able to select more than one stakeholder type.</w:t>
      </w:r>
    </w:p>
    <w:p w14:paraId="75C0D66E" w14:textId="518C1EBB" w:rsidR="006F2768" w:rsidRDefault="006F2768" w:rsidP="006F2768">
      <w:r>
        <w:t xml:space="preserve">There were </w:t>
      </w:r>
      <w:r w:rsidR="001669A3">
        <w:t>274</w:t>
      </w:r>
      <w:r>
        <w:t xml:space="preserve"> </w:t>
      </w:r>
      <w:r w:rsidR="00CE746A">
        <w:t>attendees</w:t>
      </w:r>
      <w:r w:rsidR="009F3BA1">
        <w:t xml:space="preserve"> at the webinars</w:t>
      </w:r>
      <w:r w:rsidR="00575325">
        <w:t xml:space="preserve"> (not including </w:t>
      </w:r>
      <w:r w:rsidR="006802AC">
        <w:t xml:space="preserve">Departmental </w:t>
      </w:r>
      <w:r w:rsidR="00575325">
        <w:t>staff)</w:t>
      </w:r>
      <w:r w:rsidR="009F3BA1">
        <w:t>. Attendance at the two sessions is captured in Table 2.</w:t>
      </w:r>
    </w:p>
    <w:p w14:paraId="19791001" w14:textId="56E4C850" w:rsidR="00222E83" w:rsidRDefault="002E01FE" w:rsidP="006F2768">
      <w:r>
        <w:t xml:space="preserve">Each webinar included an identical presentation and the opportunity for attendees to post questions. </w:t>
      </w:r>
      <w:r w:rsidR="00DE09C9">
        <w:t>The presentation component went for approximately 20 minutes</w:t>
      </w:r>
      <w:r w:rsidR="008C213D">
        <w:t>. A recording and copy of the slides and transcript is available on DSS Engage</w:t>
      </w:r>
      <w:r w:rsidR="00DE09C9">
        <w:t xml:space="preserve">. </w:t>
      </w:r>
      <w:r w:rsidR="00D078CB">
        <w:t>A</w:t>
      </w:r>
      <w:r w:rsidR="00180BAE">
        <w:t> </w:t>
      </w:r>
      <w:r w:rsidR="00D078CB">
        <w:t xml:space="preserve">copy of questions and answers </w:t>
      </w:r>
      <w:r w:rsidR="3AC06C81">
        <w:t xml:space="preserve">is </w:t>
      </w:r>
      <w:r w:rsidR="008C213D">
        <w:t xml:space="preserve">also </w:t>
      </w:r>
      <w:r w:rsidR="3AC06C81">
        <w:t>available on</w:t>
      </w:r>
      <w:r w:rsidR="00D078CB">
        <w:t xml:space="preserve"> DSS Engage.</w:t>
      </w:r>
    </w:p>
    <w:p w14:paraId="669BFACB" w14:textId="0F4C1735" w:rsidR="00B9567A" w:rsidRPr="00743557" w:rsidRDefault="00B9567A" w:rsidP="006F2768">
      <w:r>
        <w:t xml:space="preserve">Some stakeholders </w:t>
      </w:r>
      <w:r w:rsidR="00EB4046">
        <w:t>raised</w:t>
      </w:r>
      <w:r>
        <w:t xml:space="preserve"> concern regarding</w:t>
      </w:r>
      <w:r w:rsidR="001C401D">
        <w:t xml:space="preserve"> </w:t>
      </w:r>
      <w:r w:rsidR="004F56FF">
        <w:t xml:space="preserve">the short notice for the webinars and submitted </w:t>
      </w:r>
      <w:r w:rsidR="00EB4046">
        <w:t>feedback</w:t>
      </w:r>
      <w:r w:rsidR="004F56FF">
        <w:t xml:space="preserve"> that this hindered full </w:t>
      </w:r>
      <w:r w:rsidR="00A210BA">
        <w:t xml:space="preserve">participation by </w:t>
      </w:r>
      <w:r w:rsidR="00EB4046">
        <w:t xml:space="preserve">people with disability and </w:t>
      </w:r>
      <w:r w:rsidR="00A210BA">
        <w:t xml:space="preserve">some stakeholder groups, particularly </w:t>
      </w:r>
      <w:r w:rsidR="00EB4046">
        <w:t>amongst</w:t>
      </w:r>
      <w:r w:rsidR="00A210BA">
        <w:t xml:space="preserve"> </w:t>
      </w:r>
      <w:r w:rsidR="00EB4046">
        <w:t>disability</w:t>
      </w:r>
      <w:r w:rsidR="00A210BA">
        <w:t xml:space="preserve"> and job seeker </w:t>
      </w:r>
      <w:r w:rsidR="00EB4046">
        <w:t>advocate</w:t>
      </w:r>
      <w:r w:rsidR="00A210BA">
        <w:t xml:space="preserve"> groups.</w:t>
      </w:r>
    </w:p>
    <w:p w14:paraId="7F32D382" w14:textId="3141C7CE" w:rsidR="00AA7226" w:rsidRPr="009F3BA1" w:rsidRDefault="00AA7226" w:rsidP="00967CA2">
      <w:pPr>
        <w:pStyle w:val="Caption"/>
      </w:pPr>
      <w:r w:rsidRPr="009F3BA1">
        <w:lastRenderedPageBreak/>
        <w:t xml:space="preserve">Table </w:t>
      </w:r>
      <w:r>
        <w:fldChar w:fldCharType="begin"/>
      </w:r>
      <w:r>
        <w:instrText>SEQ Table \* ARABIC</w:instrText>
      </w:r>
      <w:r>
        <w:fldChar w:fldCharType="separate"/>
      </w:r>
      <w:r w:rsidR="0044778C">
        <w:rPr>
          <w:noProof/>
        </w:rPr>
        <w:t>2</w:t>
      </w:r>
      <w:r>
        <w:fldChar w:fldCharType="end"/>
      </w:r>
      <w:r w:rsidR="009F3BA1">
        <w:t>:</w:t>
      </w:r>
      <w:r w:rsidR="00D71C54" w:rsidRPr="009F3BA1">
        <w:t xml:space="preserve"> </w:t>
      </w:r>
      <w:r w:rsidR="00F71B12" w:rsidRPr="009F3BA1">
        <w:t xml:space="preserve">Attendance at the </w:t>
      </w:r>
      <w:r w:rsidR="00F71B12" w:rsidRPr="00967CA2">
        <w:t>webinars</w:t>
      </w:r>
    </w:p>
    <w:tbl>
      <w:tblPr>
        <w:tblStyle w:val="DSSDatatablestyle"/>
        <w:tblpPr w:leftFromText="180" w:rightFromText="180" w:vertAnchor="text" w:horzAnchor="page" w:tblpX="1283" w:tblpY="243"/>
        <w:tblW w:w="9356" w:type="dxa"/>
        <w:tblInd w:w="0" w:type="dxa"/>
        <w:tblLook w:val="04E0" w:firstRow="1" w:lastRow="1" w:firstColumn="1" w:lastColumn="0" w:noHBand="0" w:noVBand="1"/>
        <w:tblCaption w:val="DSS Data table style"/>
      </w:tblPr>
      <w:tblGrid>
        <w:gridCol w:w="7371"/>
        <w:gridCol w:w="1985"/>
      </w:tblGrid>
      <w:tr w:rsidR="00F71B12" w14:paraId="2B6F02A0" w14:textId="77777777" w:rsidTr="38E7F9CF">
        <w:trPr>
          <w:cnfStyle w:val="100000000000" w:firstRow="1" w:lastRow="0" w:firstColumn="0" w:lastColumn="0" w:oddVBand="0" w:evenVBand="0" w:oddHBand="0" w:evenHBand="0" w:firstRowFirstColumn="0" w:firstRowLastColumn="0" w:lastRowFirstColumn="0" w:lastRowLastColumn="0"/>
          <w:tblHeader/>
        </w:trPr>
        <w:tc>
          <w:tcPr>
            <w:tcW w:w="7371" w:type="dxa"/>
          </w:tcPr>
          <w:p w14:paraId="5BE92367" w14:textId="77777777" w:rsidR="00F71B12" w:rsidRDefault="00F71B12" w:rsidP="000F75FC"/>
        </w:tc>
        <w:tc>
          <w:tcPr>
            <w:tcW w:w="1985" w:type="dxa"/>
          </w:tcPr>
          <w:p w14:paraId="1A0005F4" w14:textId="6B8023F8" w:rsidR="00F71B12" w:rsidRDefault="00F71B12" w:rsidP="000F75FC">
            <w:r>
              <w:t>Count</w:t>
            </w:r>
          </w:p>
        </w:tc>
      </w:tr>
      <w:tr w:rsidR="00F71B12" w14:paraId="7F53583E" w14:textId="77777777" w:rsidTr="38E7F9CF">
        <w:trPr>
          <w:trHeight w:val="454"/>
        </w:trPr>
        <w:tc>
          <w:tcPr>
            <w:tcW w:w="7371" w:type="dxa"/>
          </w:tcPr>
          <w:p w14:paraId="5CC486FF" w14:textId="64D269D9" w:rsidR="00F71B12" w:rsidRPr="00227E1B" w:rsidRDefault="00F71B12" w:rsidP="000F75FC">
            <w:bookmarkStart w:id="7" w:name="_Int_PSbRxtqC"/>
            <w:r>
              <w:t>Webinar</w:t>
            </w:r>
            <w:bookmarkEnd w:id="7"/>
            <w:r>
              <w:t xml:space="preserve"> 1</w:t>
            </w:r>
          </w:p>
        </w:tc>
        <w:tc>
          <w:tcPr>
            <w:tcW w:w="1985" w:type="dxa"/>
          </w:tcPr>
          <w:p w14:paraId="7A7BBA6D" w14:textId="07ECBC3B" w:rsidR="00F71B12" w:rsidRDefault="00CE746A" w:rsidP="000F75FC">
            <w:r>
              <w:t>1</w:t>
            </w:r>
            <w:r w:rsidR="001669A3">
              <w:t>29</w:t>
            </w:r>
          </w:p>
        </w:tc>
      </w:tr>
      <w:tr w:rsidR="00F71B12" w14:paraId="7B4A7CA5" w14:textId="77777777" w:rsidTr="38E7F9CF">
        <w:trPr>
          <w:cnfStyle w:val="000000010000" w:firstRow="0" w:lastRow="0" w:firstColumn="0" w:lastColumn="0" w:oddVBand="0" w:evenVBand="0" w:oddHBand="0" w:evenHBand="1" w:firstRowFirstColumn="0" w:firstRowLastColumn="0" w:lastRowFirstColumn="0" w:lastRowLastColumn="0"/>
          <w:trHeight w:val="454"/>
        </w:trPr>
        <w:tc>
          <w:tcPr>
            <w:tcW w:w="7371" w:type="dxa"/>
          </w:tcPr>
          <w:p w14:paraId="3B6D310B" w14:textId="29E8C1A5" w:rsidR="00F71B12" w:rsidRDefault="00F71B12" w:rsidP="000F75FC">
            <w:bookmarkStart w:id="8" w:name="_Int_zyljydZO"/>
            <w:r>
              <w:t>Webinar</w:t>
            </w:r>
            <w:bookmarkEnd w:id="8"/>
            <w:r>
              <w:t xml:space="preserve"> 2</w:t>
            </w:r>
          </w:p>
        </w:tc>
        <w:tc>
          <w:tcPr>
            <w:tcW w:w="1985" w:type="dxa"/>
          </w:tcPr>
          <w:p w14:paraId="66FF49D6" w14:textId="69F32B8C" w:rsidR="00F71B12" w:rsidRDefault="00CE746A" w:rsidP="000F75FC">
            <w:r>
              <w:t>1</w:t>
            </w:r>
            <w:r w:rsidR="001669A3">
              <w:t>47</w:t>
            </w:r>
          </w:p>
        </w:tc>
      </w:tr>
      <w:tr w:rsidR="00F71B12" w14:paraId="0829CDB1" w14:textId="77777777" w:rsidTr="38E7F9CF">
        <w:trPr>
          <w:cnfStyle w:val="010000000000" w:firstRow="0" w:lastRow="1" w:firstColumn="0" w:lastColumn="0" w:oddVBand="0" w:evenVBand="0" w:oddHBand="0" w:evenHBand="0" w:firstRowFirstColumn="0" w:firstRowLastColumn="0" w:lastRowFirstColumn="0" w:lastRowLastColumn="0"/>
          <w:trHeight w:val="454"/>
        </w:trPr>
        <w:tc>
          <w:tcPr>
            <w:tcW w:w="7371" w:type="dxa"/>
          </w:tcPr>
          <w:p w14:paraId="4F5F945E" w14:textId="5D19D2D7" w:rsidR="00F71B12" w:rsidRDefault="00F71B12" w:rsidP="00F71B12">
            <w:r>
              <w:t>Total</w:t>
            </w:r>
          </w:p>
        </w:tc>
        <w:tc>
          <w:tcPr>
            <w:tcW w:w="1985" w:type="dxa"/>
          </w:tcPr>
          <w:p w14:paraId="20CBA84D" w14:textId="4239BB0C" w:rsidR="00F71B12" w:rsidRDefault="001669A3" w:rsidP="000F75FC">
            <w:r>
              <w:t>274</w:t>
            </w:r>
          </w:p>
        </w:tc>
      </w:tr>
    </w:tbl>
    <w:p w14:paraId="7ED5EC2A" w14:textId="52C73F1A" w:rsidR="001669A3" w:rsidRDefault="001669A3" w:rsidP="00967CA2">
      <w:pPr>
        <w:pStyle w:val="Tablenote"/>
      </w:pPr>
      <w:r>
        <w:t>Note: Capture of attendees does not consider their in-meeting duration.</w:t>
      </w:r>
    </w:p>
    <w:p w14:paraId="464C0749" w14:textId="15AB4C6B" w:rsidR="001669A3" w:rsidRDefault="00D94FA6" w:rsidP="001669A3">
      <w:r>
        <w:t xml:space="preserve">The </w:t>
      </w:r>
      <w:r w:rsidR="00445D52">
        <w:t>Department</w:t>
      </w:r>
      <w:r>
        <w:t xml:space="preserve"> received 3</w:t>
      </w:r>
      <w:r w:rsidR="00445D52">
        <w:t>3</w:t>
      </w:r>
      <w:r w:rsidR="00304A94">
        <w:t xml:space="preserve"> formal submissions</w:t>
      </w:r>
      <w:r w:rsidR="006B01A0">
        <w:t xml:space="preserve">, </w:t>
      </w:r>
      <w:r w:rsidR="00224AD4">
        <w:t>2</w:t>
      </w:r>
      <w:r w:rsidR="00445D52">
        <w:t>5</w:t>
      </w:r>
      <w:r w:rsidR="00224AD4">
        <w:t xml:space="preserve"> </w:t>
      </w:r>
      <w:r w:rsidR="00032C44">
        <w:t xml:space="preserve">of </w:t>
      </w:r>
      <w:r w:rsidR="00224AD4">
        <w:t xml:space="preserve">which the </w:t>
      </w:r>
      <w:r w:rsidR="00445D52">
        <w:t>Department</w:t>
      </w:r>
      <w:r w:rsidR="00224AD4">
        <w:t xml:space="preserve"> was granted permission to </w:t>
      </w:r>
      <w:r w:rsidR="00032C44">
        <w:t>make public</w:t>
      </w:r>
      <w:r w:rsidR="00224AD4">
        <w:t>.</w:t>
      </w:r>
      <w:r w:rsidR="00AE5C57">
        <w:t xml:space="preserve"> These were published on DSS Engage.</w:t>
      </w:r>
    </w:p>
    <w:p w14:paraId="3DB72A52" w14:textId="67DC158A" w:rsidR="00222E83" w:rsidRDefault="00222E83" w:rsidP="001669A3">
      <w:r>
        <w:t>Submissions provided valuable insights on</w:t>
      </w:r>
      <w:r w:rsidR="00843A6B">
        <w:t xml:space="preserve"> the high-level concepts</w:t>
      </w:r>
      <w:r w:rsidR="00606F3F">
        <w:t>, including practical consequences</w:t>
      </w:r>
      <w:r w:rsidR="008F5110">
        <w:t xml:space="preserve"> and </w:t>
      </w:r>
      <w:r w:rsidR="00DD0816">
        <w:t xml:space="preserve">possible issues and </w:t>
      </w:r>
      <w:r w:rsidR="008F5110">
        <w:t>risks.</w:t>
      </w:r>
    </w:p>
    <w:p w14:paraId="77CC9058" w14:textId="43F9E4E4" w:rsidR="00F71B12" w:rsidRPr="009F3BA1" w:rsidRDefault="00F71B12" w:rsidP="00967CA2">
      <w:pPr>
        <w:pStyle w:val="Caption"/>
      </w:pPr>
      <w:bookmarkStart w:id="9" w:name="_Hlk161843365"/>
      <w:r w:rsidRPr="009F3BA1">
        <w:t xml:space="preserve">Table </w:t>
      </w:r>
      <w:r>
        <w:fldChar w:fldCharType="begin"/>
      </w:r>
      <w:r>
        <w:instrText>SEQ Table \* ARABIC</w:instrText>
      </w:r>
      <w:r>
        <w:fldChar w:fldCharType="separate"/>
      </w:r>
      <w:r w:rsidR="0044778C">
        <w:rPr>
          <w:noProof/>
        </w:rPr>
        <w:t>3</w:t>
      </w:r>
      <w:r>
        <w:fldChar w:fldCharType="end"/>
      </w:r>
      <w:r w:rsidR="001669A3">
        <w:t>:</w:t>
      </w:r>
      <w:r w:rsidRPr="009F3BA1">
        <w:t xml:space="preserve"> Submissions received</w:t>
      </w:r>
    </w:p>
    <w:tbl>
      <w:tblPr>
        <w:tblStyle w:val="DSSDatatablestyle"/>
        <w:tblpPr w:leftFromText="180" w:rightFromText="180" w:vertAnchor="text" w:horzAnchor="page" w:tblpX="1283" w:tblpY="243"/>
        <w:tblW w:w="9356" w:type="dxa"/>
        <w:tblInd w:w="0" w:type="dxa"/>
        <w:tblLook w:val="04E0" w:firstRow="1" w:lastRow="1" w:firstColumn="1" w:lastColumn="0" w:noHBand="0" w:noVBand="1"/>
        <w:tblCaption w:val="DSS Data table style"/>
      </w:tblPr>
      <w:tblGrid>
        <w:gridCol w:w="7371"/>
        <w:gridCol w:w="1985"/>
      </w:tblGrid>
      <w:tr w:rsidR="00F71B12" w14:paraId="0FED3554" w14:textId="77777777" w:rsidTr="00A427F4">
        <w:trPr>
          <w:cnfStyle w:val="100000000000" w:firstRow="1" w:lastRow="0" w:firstColumn="0" w:lastColumn="0" w:oddVBand="0" w:evenVBand="0" w:oddHBand="0" w:evenHBand="0" w:firstRowFirstColumn="0" w:firstRowLastColumn="0" w:lastRowFirstColumn="0" w:lastRowLastColumn="0"/>
          <w:tblHeader/>
        </w:trPr>
        <w:tc>
          <w:tcPr>
            <w:tcW w:w="7371" w:type="dxa"/>
          </w:tcPr>
          <w:p w14:paraId="7DCA6BA3" w14:textId="77777777" w:rsidR="00F71B12" w:rsidRDefault="00F71B12" w:rsidP="00A427F4"/>
        </w:tc>
        <w:tc>
          <w:tcPr>
            <w:tcW w:w="1985" w:type="dxa"/>
          </w:tcPr>
          <w:p w14:paraId="59904D2A" w14:textId="77777777" w:rsidR="00F71B12" w:rsidRDefault="00F71B12" w:rsidP="00A427F4">
            <w:r>
              <w:t>Count</w:t>
            </w:r>
          </w:p>
        </w:tc>
      </w:tr>
      <w:tr w:rsidR="00F71B12" w14:paraId="5E5678F2" w14:textId="77777777" w:rsidTr="00A427F4">
        <w:trPr>
          <w:trHeight w:val="454"/>
        </w:trPr>
        <w:tc>
          <w:tcPr>
            <w:tcW w:w="7371" w:type="dxa"/>
          </w:tcPr>
          <w:p w14:paraId="1A238EAA" w14:textId="01581A4F" w:rsidR="00F71B12" w:rsidRPr="00227E1B" w:rsidRDefault="00F71B12" w:rsidP="00A427F4">
            <w:r>
              <w:t>Individuals</w:t>
            </w:r>
          </w:p>
        </w:tc>
        <w:tc>
          <w:tcPr>
            <w:tcW w:w="1985" w:type="dxa"/>
          </w:tcPr>
          <w:p w14:paraId="6124DD9B" w14:textId="566D8F41" w:rsidR="00F71B12" w:rsidRDefault="00E50A23" w:rsidP="00A427F4">
            <w:r>
              <w:t>3</w:t>
            </w:r>
          </w:p>
        </w:tc>
      </w:tr>
      <w:tr w:rsidR="00F71B12" w14:paraId="7C8CF891" w14:textId="77777777" w:rsidTr="00A427F4">
        <w:trPr>
          <w:cnfStyle w:val="000000010000" w:firstRow="0" w:lastRow="0" w:firstColumn="0" w:lastColumn="0" w:oddVBand="0" w:evenVBand="0" w:oddHBand="0" w:evenHBand="1" w:firstRowFirstColumn="0" w:firstRowLastColumn="0" w:lastRowFirstColumn="0" w:lastRowLastColumn="0"/>
          <w:trHeight w:val="454"/>
        </w:trPr>
        <w:tc>
          <w:tcPr>
            <w:tcW w:w="7371" w:type="dxa"/>
          </w:tcPr>
          <w:p w14:paraId="366ABC7F" w14:textId="66BA7407" w:rsidR="00F71B12" w:rsidRDefault="00F71B12" w:rsidP="00A427F4">
            <w:r>
              <w:t>Organisations</w:t>
            </w:r>
          </w:p>
        </w:tc>
        <w:tc>
          <w:tcPr>
            <w:tcW w:w="1985" w:type="dxa"/>
          </w:tcPr>
          <w:p w14:paraId="37CE3326" w14:textId="5DA2173D" w:rsidR="00F71B12" w:rsidRDefault="00491B92" w:rsidP="00A427F4">
            <w:r>
              <w:t>30</w:t>
            </w:r>
          </w:p>
        </w:tc>
      </w:tr>
      <w:tr w:rsidR="00F71B12" w14:paraId="19C73A01" w14:textId="77777777" w:rsidTr="00A427F4">
        <w:trPr>
          <w:cnfStyle w:val="010000000000" w:firstRow="0" w:lastRow="1" w:firstColumn="0" w:lastColumn="0" w:oddVBand="0" w:evenVBand="0" w:oddHBand="0" w:evenHBand="0" w:firstRowFirstColumn="0" w:firstRowLastColumn="0" w:lastRowFirstColumn="0" w:lastRowLastColumn="0"/>
          <w:trHeight w:val="454"/>
        </w:trPr>
        <w:tc>
          <w:tcPr>
            <w:tcW w:w="7371" w:type="dxa"/>
          </w:tcPr>
          <w:p w14:paraId="4728C29E" w14:textId="77777777" w:rsidR="00F71B12" w:rsidRDefault="00F71B12" w:rsidP="00A427F4">
            <w:r>
              <w:t>Total</w:t>
            </w:r>
          </w:p>
        </w:tc>
        <w:tc>
          <w:tcPr>
            <w:tcW w:w="1985" w:type="dxa"/>
          </w:tcPr>
          <w:p w14:paraId="01BF0FA1" w14:textId="11B77BBD" w:rsidR="00F71B12" w:rsidRDefault="007C3085" w:rsidP="00A427F4">
            <w:r>
              <w:t>3</w:t>
            </w:r>
            <w:r w:rsidR="00491B92">
              <w:t>3</w:t>
            </w:r>
          </w:p>
        </w:tc>
      </w:tr>
    </w:tbl>
    <w:p w14:paraId="0D8C333B" w14:textId="3521F2FA" w:rsidR="00AA7226" w:rsidRDefault="007C3085" w:rsidP="00713FCE">
      <w:pPr>
        <w:pStyle w:val="Heading1"/>
        <w:pageBreakBefore/>
      </w:pPr>
      <w:bookmarkStart w:id="10" w:name="_Toc160715913"/>
      <w:bookmarkEnd w:id="9"/>
      <w:r>
        <w:lastRenderedPageBreak/>
        <w:t>K</w:t>
      </w:r>
      <w:r w:rsidR="00713FCE">
        <w:t>ey F</w:t>
      </w:r>
      <w:r>
        <w:t>indings</w:t>
      </w:r>
      <w:bookmarkEnd w:id="10"/>
    </w:p>
    <w:p w14:paraId="101A964C" w14:textId="6455DF0C" w:rsidR="00222E83" w:rsidRDefault="007C3085" w:rsidP="00222E83">
      <w:r>
        <w:t>Overall, feedback received during the public consultation was positive. There</w:t>
      </w:r>
      <w:r w:rsidR="00F2486F" w:rsidRPr="00F2486F">
        <w:t xml:space="preserve"> </w:t>
      </w:r>
      <w:r>
        <w:t>was</w:t>
      </w:r>
      <w:r w:rsidR="00F2486F" w:rsidRPr="00F2486F">
        <w:t xml:space="preserve"> broad support for the high-level concepts </w:t>
      </w:r>
      <w:r w:rsidR="00DB7A76">
        <w:t>discussed</w:t>
      </w:r>
      <w:r w:rsidR="00107F36">
        <w:t>. S</w:t>
      </w:r>
      <w:r>
        <w:t xml:space="preserve">takeholders also </w:t>
      </w:r>
      <w:r w:rsidR="00601D87" w:rsidRPr="00601D87">
        <w:t xml:space="preserve">highlighted the </w:t>
      </w:r>
      <w:r w:rsidR="00107F36">
        <w:t>potential for</w:t>
      </w:r>
      <w:r w:rsidR="00601D87" w:rsidRPr="00601D87">
        <w:t xml:space="preserve"> unintended consequences</w:t>
      </w:r>
      <w:r w:rsidR="00107F36">
        <w:t xml:space="preserve">, </w:t>
      </w:r>
      <w:r w:rsidR="00601D87" w:rsidRPr="00601D87">
        <w:t>and encouraged consultation throughout the design</w:t>
      </w:r>
      <w:r w:rsidR="00DD0816">
        <w:t xml:space="preserve"> process</w:t>
      </w:r>
      <w:r w:rsidR="00601D87">
        <w:t>.</w:t>
      </w:r>
    </w:p>
    <w:p w14:paraId="75DA1A74" w14:textId="286511BE" w:rsidR="00713FCE" w:rsidRDefault="7DC8F907" w:rsidP="007C3085">
      <w:r>
        <w:t>Most</w:t>
      </w:r>
      <w:r w:rsidR="00713FCE">
        <w:t xml:space="preserve"> stakeholders:</w:t>
      </w:r>
    </w:p>
    <w:p w14:paraId="410FEB09" w14:textId="4D5AC2E6" w:rsidR="007C3085" w:rsidRDefault="00713FCE" w:rsidP="00445D52">
      <w:pPr>
        <w:pStyle w:val="ListBullet"/>
      </w:pPr>
      <w:r>
        <w:t xml:space="preserve">Recognised </w:t>
      </w:r>
      <w:r w:rsidR="00660A31">
        <w:t>value in</w:t>
      </w:r>
      <w:r w:rsidR="6919782B">
        <w:t xml:space="preserve"> extending </w:t>
      </w:r>
      <w:r w:rsidR="00ED29C7">
        <w:t xml:space="preserve">eligibility </w:t>
      </w:r>
      <w:r w:rsidR="7E7B3422">
        <w:t>to those with a work capacity</w:t>
      </w:r>
      <w:r w:rsidR="565A4805">
        <w:t>,</w:t>
      </w:r>
      <w:r w:rsidR="7E7B3422">
        <w:t xml:space="preserve"> with </w:t>
      </w:r>
      <w:r w:rsidR="373A5912">
        <w:t>intervention</w:t>
      </w:r>
      <w:r w:rsidR="631239DD">
        <w:t>,</w:t>
      </w:r>
      <w:r w:rsidR="373A5912">
        <w:t xml:space="preserve"> </w:t>
      </w:r>
      <w:r w:rsidR="00ED29C7">
        <w:t xml:space="preserve">of less than </w:t>
      </w:r>
      <w:r w:rsidR="7E7B3422">
        <w:t xml:space="preserve">8 hours </w:t>
      </w:r>
      <w:r w:rsidR="00ED29C7">
        <w:t>a week</w:t>
      </w:r>
      <w:r w:rsidR="004C2461">
        <w:t xml:space="preserve">, </w:t>
      </w:r>
      <w:r w:rsidR="7E7B3422">
        <w:t>and to volunteers not on income support —</w:t>
      </w:r>
      <w:r w:rsidR="6919782B">
        <w:t xml:space="preserve">some </w:t>
      </w:r>
      <w:r w:rsidR="00D344E5">
        <w:t>stakeholders</w:t>
      </w:r>
      <w:r w:rsidR="6919782B">
        <w:t xml:space="preserve"> </w:t>
      </w:r>
      <w:r w:rsidR="007C61EC">
        <w:t xml:space="preserve">proposed </w:t>
      </w:r>
      <w:r w:rsidR="6919782B">
        <w:t>the need to open the new program to all people with disability.</w:t>
      </w:r>
    </w:p>
    <w:p w14:paraId="370D8498" w14:textId="0C7F8358" w:rsidR="007D775B" w:rsidRDefault="7CE74E55" w:rsidP="00445D52">
      <w:pPr>
        <w:pStyle w:val="ListBullet"/>
      </w:pPr>
      <w:r>
        <w:t xml:space="preserve">Identified </w:t>
      </w:r>
      <w:r w:rsidR="7E7B3422">
        <w:t xml:space="preserve">benefits </w:t>
      </w:r>
      <w:r w:rsidR="002C7B3E">
        <w:t xml:space="preserve">associated with </w:t>
      </w:r>
      <w:r>
        <w:t xml:space="preserve">removing the </w:t>
      </w:r>
      <w:r w:rsidR="008A41FC">
        <w:t xml:space="preserve">2-year </w:t>
      </w:r>
      <w:r w:rsidR="1F77DCD3">
        <w:t xml:space="preserve">participation </w:t>
      </w:r>
      <w:r>
        <w:t xml:space="preserve">time </w:t>
      </w:r>
      <w:r w:rsidR="008A41FC">
        <w:t>limit in DES</w:t>
      </w:r>
      <w:r>
        <w:t xml:space="preserve"> </w:t>
      </w:r>
      <w:r w:rsidR="7E7B3422">
        <w:t>—</w:t>
      </w:r>
      <w:r w:rsidR="00371E1A">
        <w:t xml:space="preserve"> such as,</w:t>
      </w:r>
      <w:r>
        <w:t xml:space="preserve"> being able </w:t>
      </w:r>
      <w:r w:rsidR="76C20FE1">
        <w:t xml:space="preserve">to </w:t>
      </w:r>
      <w:r>
        <w:t>offer long-term assistance</w:t>
      </w:r>
      <w:r w:rsidR="7E7B3422">
        <w:t xml:space="preserve"> throughout the participant’s pathway to employment</w:t>
      </w:r>
      <w:r>
        <w:t>, reduc</w:t>
      </w:r>
      <w:r w:rsidR="00A06F07">
        <w:t>ing</w:t>
      </w:r>
      <w:r w:rsidR="00E279B0">
        <w:t xml:space="preserve"> the risk of</w:t>
      </w:r>
      <w:r>
        <w:t xml:space="preserve"> disengagement</w:t>
      </w:r>
      <w:r w:rsidR="00546395">
        <w:t xml:space="preserve"> amongst participants</w:t>
      </w:r>
      <w:r w:rsidR="008A41FC">
        <w:t>,</w:t>
      </w:r>
      <w:r>
        <w:t xml:space="preserve"> and limi</w:t>
      </w:r>
      <w:r w:rsidR="00F5195C">
        <w:t>t</w:t>
      </w:r>
      <w:r w:rsidR="00A06F07">
        <w:t>ing</w:t>
      </w:r>
      <w:r>
        <w:t xml:space="preserve"> </w:t>
      </w:r>
      <w:r w:rsidR="39330F7A">
        <w:t>servi</w:t>
      </w:r>
      <w:r w:rsidR="190EBEDE">
        <w:t>ci</w:t>
      </w:r>
      <w:r w:rsidR="39330F7A">
        <w:t>ng</w:t>
      </w:r>
      <w:r>
        <w:t xml:space="preserve"> breaks.</w:t>
      </w:r>
    </w:p>
    <w:p w14:paraId="7D6A4B5D" w14:textId="512D9FBE" w:rsidR="007D775B" w:rsidRDefault="007D775B" w:rsidP="00445D52">
      <w:pPr>
        <w:pStyle w:val="ListBullet"/>
      </w:pPr>
      <w:r>
        <w:t>Highlighted the importance of tailored and flexible servicing</w:t>
      </w:r>
      <w:r w:rsidR="004A1B10">
        <w:t xml:space="preserve"> — but </w:t>
      </w:r>
      <w:r>
        <w:t xml:space="preserve">that the program structure, service offer, </w:t>
      </w:r>
      <w:r w:rsidR="004A1B10" w:rsidRPr="00F2486F">
        <w:t xml:space="preserve">minimum service standards, </w:t>
      </w:r>
      <w:r w:rsidR="004A1B10">
        <w:t>performance framework and payment model all needed to enable providers to cater for participant’s individual needs and circumstances.</w:t>
      </w:r>
    </w:p>
    <w:p w14:paraId="5E562213" w14:textId="19492A7A" w:rsidR="000D32A4" w:rsidRDefault="000D32A4" w:rsidP="00445D52">
      <w:pPr>
        <w:pStyle w:val="ListBullet"/>
      </w:pPr>
      <w:r>
        <w:t xml:space="preserve">Suggested that </w:t>
      </w:r>
      <w:r w:rsidR="22EB28A8">
        <w:t>a</w:t>
      </w:r>
      <w:r>
        <w:t xml:space="preserve"> flexible service </w:t>
      </w:r>
      <w:r w:rsidR="00E47953">
        <w:t>option</w:t>
      </w:r>
      <w:r>
        <w:t xml:space="preserve"> would be of benefit </w:t>
      </w:r>
      <w:r w:rsidR="009268A1">
        <w:t xml:space="preserve">to </w:t>
      </w:r>
      <w:r>
        <w:t xml:space="preserve">those who are </w:t>
      </w:r>
      <w:bookmarkStart w:id="11" w:name="_Int_1x3iDaN7"/>
      <w:r>
        <w:t>largely meeting</w:t>
      </w:r>
      <w:bookmarkEnd w:id="11"/>
      <w:r>
        <w:t xml:space="preserve"> their </w:t>
      </w:r>
      <w:r w:rsidR="462B640B">
        <w:t xml:space="preserve">mutual obligation or participation </w:t>
      </w:r>
      <w:r>
        <w:t xml:space="preserve">requirements through paid work, </w:t>
      </w:r>
      <w:bookmarkStart w:id="12" w:name="_Int_X26cYMKU"/>
      <w:r>
        <w:t>volunteering</w:t>
      </w:r>
      <w:bookmarkEnd w:id="12"/>
      <w:r>
        <w:t xml:space="preserve"> or study.</w:t>
      </w:r>
    </w:p>
    <w:p w14:paraId="0750C8BA" w14:textId="1F57AD4A" w:rsidR="004A1B10" w:rsidRDefault="004A1B10" w:rsidP="00445D52">
      <w:pPr>
        <w:pStyle w:val="ListBullet"/>
      </w:pPr>
      <w:r>
        <w:t xml:space="preserve">Recognised the </w:t>
      </w:r>
      <w:r w:rsidRPr="00F2486F">
        <w:t>benefits</w:t>
      </w:r>
      <w:r>
        <w:t xml:space="preserve"> of moving towards a mutual obligation framework focused on meaningful engagement.</w:t>
      </w:r>
    </w:p>
    <w:p w14:paraId="2DA1BA75" w14:textId="2E44D9CC" w:rsidR="004A1B10" w:rsidRDefault="000D32A4" w:rsidP="00445D52">
      <w:pPr>
        <w:pStyle w:val="ListBullet"/>
      </w:pPr>
      <w:r>
        <w:t>Reaffirmed that Ongoing S</w:t>
      </w:r>
      <w:r w:rsidRPr="000D32A4">
        <w:t>upport and the supports under Work Assist should continue to be a feature in the new program</w:t>
      </w:r>
      <w:r w:rsidR="00E76618">
        <w:t>.</w:t>
      </w:r>
    </w:p>
    <w:p w14:paraId="2264247A" w14:textId="62736FA5" w:rsidR="00E76618" w:rsidRDefault="00DD0816" w:rsidP="00445D52">
      <w:pPr>
        <w:pStyle w:val="ListBullet"/>
      </w:pPr>
      <w:r>
        <w:t>Noted a</w:t>
      </w:r>
      <w:r w:rsidR="00E76618">
        <w:t>ny administrat</w:t>
      </w:r>
      <w:r w:rsidR="00FD4ACC">
        <w:t>ive</w:t>
      </w:r>
      <w:r w:rsidR="00E76618">
        <w:t xml:space="preserve"> reductions </w:t>
      </w:r>
      <w:r w:rsidR="00FD4ACC">
        <w:t xml:space="preserve">and </w:t>
      </w:r>
      <w:r w:rsidR="00B875C9">
        <w:t xml:space="preserve">efficiencies </w:t>
      </w:r>
      <w:r w:rsidR="00DE6FBF">
        <w:t>in the new model</w:t>
      </w:r>
      <w:r w:rsidR="00E76618">
        <w:t xml:space="preserve"> would be welcomed.</w:t>
      </w:r>
    </w:p>
    <w:p w14:paraId="3199B7BC" w14:textId="2A6AA7AC" w:rsidR="007C3085" w:rsidRDefault="007C3085" w:rsidP="007C3085">
      <w:r>
        <w:t xml:space="preserve">There </w:t>
      </w:r>
      <w:r w:rsidR="00F1122F">
        <w:t>were</w:t>
      </w:r>
      <w:r>
        <w:t xml:space="preserve"> </w:t>
      </w:r>
      <w:r w:rsidR="17B1B081">
        <w:t xml:space="preserve">divergent </w:t>
      </w:r>
      <w:r>
        <w:t>views regarding</w:t>
      </w:r>
      <w:r w:rsidR="007D775B">
        <w:t xml:space="preserve"> the concept of merging the two existing programs — Disability Management Services (DMS) and Employment Service Support (ESS)</w:t>
      </w:r>
      <w:r w:rsidR="0041371A">
        <w:t>.</w:t>
      </w:r>
    </w:p>
    <w:p w14:paraId="7D25D4D6" w14:textId="1A9556FC" w:rsidR="000D32A4" w:rsidRDefault="000D32A4" w:rsidP="007C3085">
      <w:r>
        <w:t>The responses indicated there was confusion about the proposed service offer</w:t>
      </w:r>
      <w:r w:rsidR="00E47953">
        <w:t>ings</w:t>
      </w:r>
      <w:r>
        <w:t xml:space="preserve"> and </w:t>
      </w:r>
      <w:r w:rsidR="77042319">
        <w:t xml:space="preserve">proposed </w:t>
      </w:r>
      <w:r>
        <w:t>changes to mutual obligations</w:t>
      </w:r>
      <w:r w:rsidR="006508EC">
        <w:t xml:space="preserve"> — with some noting that more detail was needed on these concepts to be able to provide advice on </w:t>
      </w:r>
      <w:r w:rsidR="3580D559">
        <w:t>potential</w:t>
      </w:r>
      <w:r w:rsidR="00155893">
        <w:t xml:space="preserve"> benefits and risks</w:t>
      </w:r>
      <w:r>
        <w:t>.</w:t>
      </w:r>
    </w:p>
    <w:p w14:paraId="47CB038D" w14:textId="7067D0DC" w:rsidR="00713FCE" w:rsidRDefault="00713FCE" w:rsidP="00713FCE">
      <w:pPr>
        <w:pStyle w:val="Heading2"/>
      </w:pPr>
      <w:r>
        <w:t>Issues for further consideration</w:t>
      </w:r>
    </w:p>
    <w:p w14:paraId="219380F0" w14:textId="26F8F889" w:rsidR="007C3085" w:rsidRDefault="00257AB4" w:rsidP="00155893">
      <w:pPr>
        <w:keepNext/>
      </w:pPr>
      <w:r>
        <w:t xml:space="preserve">Some stakeholders raised </w:t>
      </w:r>
      <w:r w:rsidR="001823AE">
        <w:t>c</w:t>
      </w:r>
      <w:r w:rsidR="2E631BEC">
        <w:t>oncerns</w:t>
      </w:r>
      <w:r w:rsidR="001704F2">
        <w:t xml:space="preserve"> they suggested would need to be</w:t>
      </w:r>
      <w:r w:rsidR="2E631BEC">
        <w:t xml:space="preserve"> </w:t>
      </w:r>
      <w:r w:rsidR="00C40FBF">
        <w:t>address</w:t>
      </w:r>
      <w:r w:rsidR="001704F2">
        <w:t>ed</w:t>
      </w:r>
      <w:r w:rsidR="00C40FBF">
        <w:t xml:space="preserve"> </w:t>
      </w:r>
      <w:r w:rsidR="001E4C1F">
        <w:t>in order to successfully implement the con</w:t>
      </w:r>
      <w:r w:rsidR="0058123E">
        <w:t xml:space="preserve">cepts </w:t>
      </w:r>
      <w:r w:rsidR="00661A0B">
        <w:t>discussed</w:t>
      </w:r>
      <w:r w:rsidR="004276B2">
        <w:t>,</w:t>
      </w:r>
      <w:r>
        <w:t xml:space="preserve"> including</w:t>
      </w:r>
      <w:r w:rsidR="007D775B">
        <w:t>:</w:t>
      </w:r>
    </w:p>
    <w:p w14:paraId="705E81C8" w14:textId="26B7F432" w:rsidR="00F2486F" w:rsidRDefault="00E40785" w:rsidP="00445D52">
      <w:pPr>
        <w:pStyle w:val="ListBullet"/>
      </w:pPr>
      <w:r>
        <w:t>Processes must be in place to ensure that the</w:t>
      </w:r>
      <w:r w:rsidR="00B865BC">
        <w:t xml:space="preserve"> removal of the</w:t>
      </w:r>
      <w:r w:rsidR="00F2486F">
        <w:t xml:space="preserve"> time limit for </w:t>
      </w:r>
      <w:r w:rsidR="00A1540C">
        <w:t xml:space="preserve">participation in </w:t>
      </w:r>
      <w:r w:rsidR="00F2486F">
        <w:t xml:space="preserve">DES </w:t>
      </w:r>
      <w:r w:rsidR="00250F5F">
        <w:t>does</w:t>
      </w:r>
      <w:r w:rsidR="00363572">
        <w:t xml:space="preserve"> not</w:t>
      </w:r>
      <w:r w:rsidR="00F2486F">
        <w:t xml:space="preserve"> result in participants remaining in the new program </w:t>
      </w:r>
      <w:r w:rsidR="00250F5F">
        <w:t>when it is</w:t>
      </w:r>
      <w:r w:rsidR="00F2486F">
        <w:t xml:space="preserve"> no longer the most appropriate service for them.</w:t>
      </w:r>
    </w:p>
    <w:p w14:paraId="3DFF4F84" w14:textId="5EC1BF8B" w:rsidR="000D32A4" w:rsidRDefault="07F086F7" w:rsidP="00445D52">
      <w:pPr>
        <w:pStyle w:val="ListBullet"/>
      </w:pPr>
      <w:r>
        <w:t>C</w:t>
      </w:r>
      <w:r w:rsidR="35EFFEF1">
        <w:t xml:space="preserve">learer information </w:t>
      </w:r>
      <w:r>
        <w:t xml:space="preserve">would be needed </w:t>
      </w:r>
      <w:r w:rsidR="0624CA4C">
        <w:t xml:space="preserve">regarding </w:t>
      </w:r>
      <w:r>
        <w:t>the various employment</w:t>
      </w:r>
      <w:r w:rsidR="35EFFEF1">
        <w:t xml:space="preserve"> supports available t</w:t>
      </w:r>
      <w:r>
        <w:t>o people with disabilit</w:t>
      </w:r>
      <w:r w:rsidR="004720EB">
        <w:t>y</w:t>
      </w:r>
      <w:r w:rsidR="00E4612B">
        <w:t xml:space="preserve"> across the employment services ecosystem</w:t>
      </w:r>
      <w:r>
        <w:t>.</w:t>
      </w:r>
    </w:p>
    <w:p w14:paraId="1F24C05B" w14:textId="74DB87EB" w:rsidR="00222E83" w:rsidRDefault="00556B11" w:rsidP="00445D52">
      <w:pPr>
        <w:pStyle w:val="ListBullet"/>
      </w:pPr>
      <w:r>
        <w:lastRenderedPageBreak/>
        <w:t>B</w:t>
      </w:r>
      <w:r w:rsidR="35EFFEF1">
        <w:t xml:space="preserve">etter </w:t>
      </w:r>
      <w:r w:rsidR="1ABD4CDC">
        <w:t>connections</w:t>
      </w:r>
      <w:r w:rsidR="35EFFEF1">
        <w:t xml:space="preserve"> between </w:t>
      </w:r>
      <w:r w:rsidR="0075681E">
        <w:t xml:space="preserve">employment </w:t>
      </w:r>
      <w:r w:rsidR="1ABD4CDC">
        <w:t>services/programs</w:t>
      </w:r>
      <w:r>
        <w:t xml:space="preserve"> </w:t>
      </w:r>
      <w:r w:rsidR="00375335">
        <w:t>were</w:t>
      </w:r>
      <w:r>
        <w:t xml:space="preserve"> needed</w:t>
      </w:r>
      <w:r w:rsidR="0075681E">
        <w:t xml:space="preserve"> (i.e.</w:t>
      </w:r>
      <w:r w:rsidR="00E4612B">
        <w:t> </w:t>
      </w:r>
      <w:r w:rsidR="0075681E">
        <w:t xml:space="preserve">Workforce Australia and </w:t>
      </w:r>
      <w:r w:rsidR="00A05AF0">
        <w:t>Self-Employment Assistance)</w:t>
      </w:r>
      <w:r w:rsidR="35EFFEF1">
        <w:t>.</w:t>
      </w:r>
    </w:p>
    <w:p w14:paraId="25303661" w14:textId="76904B7C" w:rsidR="00F2486F" w:rsidRPr="000D32A4" w:rsidRDefault="000D32A4" w:rsidP="00445D52">
      <w:pPr>
        <w:pStyle w:val="ListBullet"/>
      </w:pPr>
      <w:r w:rsidRPr="000D32A4">
        <w:t>S</w:t>
      </w:r>
      <w:r w:rsidR="00F2486F" w:rsidRPr="000D32A4">
        <w:t xml:space="preserve">killed providers must deliver supports to those with lower work capacity, and that there would need to be strong linkages between providers and other </w:t>
      </w:r>
      <w:r w:rsidR="0075681E">
        <w:t xml:space="preserve">disability </w:t>
      </w:r>
      <w:r w:rsidR="00F2486F" w:rsidRPr="000D32A4">
        <w:t>services</w:t>
      </w:r>
      <w:r w:rsidR="005C13CA">
        <w:t xml:space="preserve"> for this cohort</w:t>
      </w:r>
      <w:r w:rsidR="00F2486F" w:rsidRPr="000D32A4">
        <w:t xml:space="preserve"> (i.e. the NDIS and Supported Employment Services).</w:t>
      </w:r>
    </w:p>
    <w:p w14:paraId="2712D9B6" w14:textId="6A757010" w:rsidR="00F2486F" w:rsidRPr="000D32A4" w:rsidRDefault="00BC6498" w:rsidP="00445D52">
      <w:pPr>
        <w:pStyle w:val="ListBullet"/>
      </w:pPr>
      <w:r>
        <w:t>A</w:t>
      </w:r>
      <w:r w:rsidR="00F2486F" w:rsidRPr="000D32A4">
        <w:t xml:space="preserve">ppropriate </w:t>
      </w:r>
      <w:r w:rsidR="000D32A4" w:rsidRPr="000D32A4">
        <w:t>guidelines</w:t>
      </w:r>
      <w:r>
        <w:t xml:space="preserve"> for </w:t>
      </w:r>
      <w:r w:rsidR="00297620">
        <w:t>transfe</w:t>
      </w:r>
      <w:r w:rsidR="59620F77">
        <w:t>r</w:t>
      </w:r>
      <w:r w:rsidR="00297620">
        <w:t>ring</w:t>
      </w:r>
      <w:r w:rsidR="00C62F1F">
        <w:t xml:space="preserve"> between the servicing offers would be needed, otherwise</w:t>
      </w:r>
      <w:r w:rsidR="00F2486F" w:rsidRPr="000D32A4">
        <w:t xml:space="preserve"> there </w:t>
      </w:r>
      <w:r w:rsidR="00607F9E">
        <w:t>may</w:t>
      </w:r>
      <w:r w:rsidR="00607F9E" w:rsidRPr="000D32A4">
        <w:t xml:space="preserve"> </w:t>
      </w:r>
      <w:r w:rsidR="00F2486F" w:rsidRPr="000D32A4">
        <w:t xml:space="preserve">be a risk </w:t>
      </w:r>
      <w:r w:rsidR="0004421F">
        <w:t xml:space="preserve">that </w:t>
      </w:r>
      <w:r w:rsidR="00D24956">
        <w:t>“</w:t>
      </w:r>
      <w:r w:rsidR="00F2486F" w:rsidRPr="000D32A4">
        <w:t>difficult</w:t>
      </w:r>
      <w:r w:rsidR="00D24956">
        <w:t>”</w:t>
      </w:r>
      <w:r w:rsidR="00F2486F" w:rsidRPr="000D32A4">
        <w:t xml:space="preserve"> or </w:t>
      </w:r>
      <w:r w:rsidR="00D24956">
        <w:t>“</w:t>
      </w:r>
      <w:r w:rsidR="00F2486F" w:rsidRPr="000D32A4">
        <w:t>high need</w:t>
      </w:r>
      <w:r w:rsidR="00607F9E">
        <w:t>s</w:t>
      </w:r>
      <w:r w:rsidR="00D24956">
        <w:t>”</w:t>
      </w:r>
      <w:r w:rsidR="00F2486F" w:rsidRPr="000D32A4">
        <w:t xml:space="preserve"> participants </w:t>
      </w:r>
      <w:r w:rsidR="00607F9E">
        <w:t xml:space="preserve">could be </w:t>
      </w:r>
      <w:r w:rsidR="00676C18">
        <w:t>“</w:t>
      </w:r>
      <w:r w:rsidR="00607F9E">
        <w:t>parked</w:t>
      </w:r>
      <w:r w:rsidR="00676C18">
        <w:t>”</w:t>
      </w:r>
      <w:r w:rsidR="00642B64">
        <w:t xml:space="preserve"> in </w:t>
      </w:r>
      <w:r w:rsidR="1144FA75">
        <w:t>a</w:t>
      </w:r>
      <w:r w:rsidR="10A8BB7A">
        <w:t xml:space="preserve"> </w:t>
      </w:r>
      <w:r w:rsidR="00642B64">
        <w:t>flexible servic</w:t>
      </w:r>
      <w:r w:rsidR="00A05AF0">
        <w:t xml:space="preserve">e </w:t>
      </w:r>
      <w:r w:rsidR="000155CE">
        <w:t>option</w:t>
      </w:r>
      <w:r w:rsidR="00F2486F" w:rsidRPr="000D32A4">
        <w:t>.</w:t>
      </w:r>
    </w:p>
    <w:p w14:paraId="15066A67" w14:textId="4C314BE2" w:rsidR="00601D87" w:rsidRPr="000D32A4" w:rsidRDefault="000D32A4" w:rsidP="00445D52">
      <w:pPr>
        <w:pStyle w:val="ListBullet"/>
      </w:pPr>
      <w:r>
        <w:t>T</w:t>
      </w:r>
      <w:r w:rsidR="00601D87" w:rsidRPr="000D32A4">
        <w:t xml:space="preserve">he new program </w:t>
      </w:r>
      <w:r w:rsidR="005C13CA">
        <w:t>sh</w:t>
      </w:r>
      <w:r w:rsidR="0004421F">
        <w:t xml:space="preserve">ould </w:t>
      </w:r>
      <w:r>
        <w:t xml:space="preserve">recognise that </w:t>
      </w:r>
      <w:r w:rsidRPr="000D32A4">
        <w:t xml:space="preserve">support with work preparation </w:t>
      </w:r>
      <w:r>
        <w:t xml:space="preserve">— </w:t>
      </w:r>
      <w:r w:rsidRPr="000D32A4">
        <w:t>prior to undertaking job search</w:t>
      </w:r>
      <w:r>
        <w:t xml:space="preserve"> — </w:t>
      </w:r>
      <w:r w:rsidR="0004421F">
        <w:t xml:space="preserve">is </w:t>
      </w:r>
      <w:r>
        <w:t xml:space="preserve">more </w:t>
      </w:r>
      <w:r w:rsidR="00601D87" w:rsidRPr="000D32A4">
        <w:t xml:space="preserve">appropriate for </w:t>
      </w:r>
      <w:r>
        <w:t>many</w:t>
      </w:r>
      <w:r w:rsidR="00601D87" w:rsidRPr="000D32A4">
        <w:t xml:space="preserve"> DES </w:t>
      </w:r>
      <w:r>
        <w:t>participants.</w:t>
      </w:r>
    </w:p>
    <w:p w14:paraId="230A1B5B" w14:textId="6DE46FEA" w:rsidR="0080220C" w:rsidRDefault="0080220C" w:rsidP="00445D52">
      <w:pPr>
        <w:pStyle w:val="ListBullet"/>
      </w:pPr>
      <w:r>
        <w:t>F</w:t>
      </w:r>
      <w:r w:rsidR="00601D87" w:rsidRPr="000D32A4">
        <w:t xml:space="preserve">unding </w:t>
      </w:r>
      <w:r>
        <w:t xml:space="preserve">for </w:t>
      </w:r>
      <w:r w:rsidR="00567149">
        <w:t>O</w:t>
      </w:r>
      <w:r>
        <w:t xml:space="preserve">ngoing </w:t>
      </w:r>
      <w:r w:rsidR="00567149">
        <w:t>S</w:t>
      </w:r>
      <w:r>
        <w:t xml:space="preserve">upport </w:t>
      </w:r>
      <w:r w:rsidR="007A538A">
        <w:t>should</w:t>
      </w:r>
      <w:r w:rsidR="00601D87" w:rsidRPr="000D32A4">
        <w:t xml:space="preserve"> move away from minimum contacts </w:t>
      </w:r>
      <w:r>
        <w:t xml:space="preserve">— </w:t>
      </w:r>
      <w:r w:rsidR="00601D87" w:rsidRPr="000D32A4">
        <w:t>as this leads to either over</w:t>
      </w:r>
      <w:r w:rsidR="005F5C29">
        <w:t>-</w:t>
      </w:r>
      <w:r w:rsidR="00601D87" w:rsidRPr="000D32A4">
        <w:t xml:space="preserve"> or under</w:t>
      </w:r>
      <w:r w:rsidR="0004421F">
        <w:t>-</w:t>
      </w:r>
      <w:r w:rsidR="00601D87" w:rsidRPr="000D32A4">
        <w:t xml:space="preserve">servicing. </w:t>
      </w:r>
    </w:p>
    <w:p w14:paraId="2EAD1A49" w14:textId="1F45BCAF" w:rsidR="00601D87" w:rsidRDefault="0080220C" w:rsidP="00445D52">
      <w:pPr>
        <w:pStyle w:val="ListBullet"/>
      </w:pPr>
      <w:r>
        <w:t>G</w:t>
      </w:r>
      <w:r w:rsidR="00601D87" w:rsidRPr="000D32A4">
        <w:t>reater awareness of the Work Assist program was needed</w:t>
      </w:r>
      <w:r>
        <w:t>.</w:t>
      </w:r>
    </w:p>
    <w:p w14:paraId="51FF5BA4" w14:textId="0106B071" w:rsidR="00645A95" w:rsidRPr="000D32A4" w:rsidRDefault="00645A95" w:rsidP="00445D52">
      <w:pPr>
        <w:pStyle w:val="ListBullet"/>
      </w:pPr>
      <w:r>
        <w:t>A model of Ongoing Support that absorbs Work Assist could be expanded to include provider’s offering assistance for career progression, including supporting former DES participants who are looking for a new job — rather than being limited to those at risk of losing their jobs</w:t>
      </w:r>
      <w:r w:rsidR="00EF753D">
        <w:t>.</w:t>
      </w:r>
    </w:p>
    <w:p w14:paraId="5E8A58BA" w14:textId="79FDACBB" w:rsidR="00601D87" w:rsidRDefault="00D37234" w:rsidP="00601D87">
      <w:r>
        <w:t xml:space="preserve">Some key themes </w:t>
      </w:r>
      <w:r w:rsidR="00CD14E4">
        <w:t xml:space="preserve">raised by stakeholders </w:t>
      </w:r>
      <w:r w:rsidR="6BAB2EDD">
        <w:t xml:space="preserve">were out-of-scope or </w:t>
      </w:r>
      <w:r>
        <w:t xml:space="preserve">related to a level of detail beyond the scope of the current </w:t>
      </w:r>
      <w:r w:rsidR="2334E77B">
        <w:t>consultation but</w:t>
      </w:r>
      <w:r>
        <w:t xml:space="preserve"> </w:t>
      </w:r>
      <w:r w:rsidR="0047096D">
        <w:t xml:space="preserve">are </w:t>
      </w:r>
      <w:r w:rsidR="6BAB2EDD">
        <w:t>important to recognise</w:t>
      </w:r>
      <w:r w:rsidR="00445D52">
        <w:t>. These</w:t>
      </w:r>
      <w:r w:rsidR="3BB68FB9">
        <w:t xml:space="preserve"> </w:t>
      </w:r>
      <w:r>
        <w:t xml:space="preserve">included: </w:t>
      </w:r>
    </w:p>
    <w:p w14:paraId="0DDA4DF2" w14:textId="316FD480" w:rsidR="00601D87" w:rsidRDefault="0050532E" w:rsidP="00445D52">
      <w:pPr>
        <w:pStyle w:val="ListBullet"/>
      </w:pPr>
      <w:r>
        <w:t>The i</w:t>
      </w:r>
      <w:r w:rsidR="00D37234">
        <w:t>nteraction</w:t>
      </w:r>
      <w:r>
        <w:t xml:space="preserve"> of DES</w:t>
      </w:r>
      <w:r w:rsidR="00D37234">
        <w:t xml:space="preserve"> with other programs and services </w:t>
      </w:r>
      <w:r w:rsidR="006C75A6">
        <w:t>including</w:t>
      </w:r>
      <w:r w:rsidR="00D37234">
        <w:t xml:space="preserve"> </w:t>
      </w:r>
      <w:r w:rsidR="2DE986C1">
        <w:t xml:space="preserve">mainstream employment services (Workforce Australia and Transition to Work), </w:t>
      </w:r>
      <w:r w:rsidR="00D37234">
        <w:t xml:space="preserve">NDIS, Supported Employment, </w:t>
      </w:r>
      <w:r w:rsidR="2DE986C1">
        <w:t>the sector support</w:t>
      </w:r>
      <w:r w:rsidR="32CE8A41">
        <w:t>ing</w:t>
      </w:r>
      <w:r w:rsidR="2DE986C1">
        <w:t xml:space="preserve"> those with injury and accident compensation claims to return to work, philanthropic programs (like social enterprises), </w:t>
      </w:r>
      <w:r w:rsidR="00D37234">
        <w:t>and education and training</w:t>
      </w:r>
      <w:r w:rsidR="1EAF1B25">
        <w:t>.</w:t>
      </w:r>
    </w:p>
    <w:p w14:paraId="3D2B50E2" w14:textId="571182B8" w:rsidR="00601D87" w:rsidRDefault="008A3A1F" w:rsidP="00445D52">
      <w:pPr>
        <w:pStyle w:val="ListBullet"/>
      </w:pPr>
      <w:r>
        <w:t xml:space="preserve">Reforms should draw on aspects </w:t>
      </w:r>
      <w:r w:rsidR="00601D87">
        <w:t>of other successful programs — domestic or international — that could be adopted as part of the service structure.</w:t>
      </w:r>
    </w:p>
    <w:p w14:paraId="19824FF4" w14:textId="4171CF6B" w:rsidR="00601D87" w:rsidRDefault="00D37234" w:rsidP="00A978EE">
      <w:pPr>
        <w:pStyle w:val="ListBullet"/>
        <w:ind w:left="714" w:hanging="357"/>
      </w:pPr>
      <w:r>
        <w:t>Additional changes could be considered for the assessment and referral process</w:t>
      </w:r>
      <w:r w:rsidR="3EB7DDA0">
        <w:t>,</w:t>
      </w:r>
      <w:r>
        <w:t xml:space="preserve"> </w:t>
      </w:r>
      <w:bookmarkStart w:id="13" w:name="_Int_vtTuZPpW"/>
      <w:r>
        <w:t>as a result of</w:t>
      </w:r>
      <w:bookmarkEnd w:id="13"/>
      <w:r>
        <w:t xml:space="preserve"> changing eligibility criteria — including transferring participants currently in Workforce Australia and reconnection of suspended </w:t>
      </w:r>
      <w:r w:rsidR="0047096D">
        <w:t>participants</w:t>
      </w:r>
      <w:r>
        <w:t xml:space="preserve">. </w:t>
      </w:r>
    </w:p>
    <w:p w14:paraId="4429439E" w14:textId="13D5B7C4" w:rsidR="00B6223D" w:rsidRDefault="00297F8B" w:rsidP="00297F8B">
      <w:pPr>
        <w:pStyle w:val="ListBullet"/>
      </w:pPr>
      <w:r>
        <w:t>Calls to remove</w:t>
      </w:r>
      <w:r w:rsidR="00B6223D">
        <w:t xml:space="preserve"> benchmark hours and simply recognise that an individual has a partial capacity to work, </w:t>
      </w:r>
      <w:r w:rsidR="00FF5A7B">
        <w:t>as well as</w:t>
      </w:r>
      <w:r w:rsidR="00B6223D">
        <w:t xml:space="preserve"> move towards a social model of capacity (rather than the current medical model).</w:t>
      </w:r>
    </w:p>
    <w:p w14:paraId="449E22E9" w14:textId="1ED14FDA" w:rsidR="00601D87" w:rsidRDefault="00601D87" w:rsidP="00445D52">
      <w:pPr>
        <w:pStyle w:val="ListBullet"/>
      </w:pPr>
      <w:r>
        <w:t xml:space="preserve">Being aware of the broader recommendations that </w:t>
      </w:r>
      <w:r w:rsidR="00F53AF5">
        <w:t>relate</w:t>
      </w:r>
      <w:r w:rsidR="00226749">
        <w:t>d</w:t>
      </w:r>
      <w:r w:rsidR="00F53AF5">
        <w:t xml:space="preserve"> to mutual</w:t>
      </w:r>
      <w:r>
        <w:t xml:space="preserve"> obligations and compliance </w:t>
      </w:r>
      <w:r w:rsidR="00FA1D86">
        <w:t xml:space="preserve">— for example, </w:t>
      </w:r>
      <w:r w:rsidR="00E76DBE">
        <w:t xml:space="preserve">the Select Committee on Workforce </w:t>
      </w:r>
      <w:r w:rsidR="0049342B">
        <w:t>Australia’s recommendation that there should be</w:t>
      </w:r>
      <w:r w:rsidR="00E76DBE">
        <w:t xml:space="preserve"> </w:t>
      </w:r>
      <w:r w:rsidR="00FA1D86">
        <w:t xml:space="preserve">a </w:t>
      </w:r>
      <w:r w:rsidR="005B0662">
        <w:t>“</w:t>
      </w:r>
      <w:r w:rsidR="00FA1D86">
        <w:t>shared accountability framework</w:t>
      </w:r>
      <w:r w:rsidR="005B0662">
        <w:t>”</w:t>
      </w:r>
      <w:r w:rsidR="00FA1D86">
        <w:t xml:space="preserve"> and the introduction of </w:t>
      </w:r>
      <w:r w:rsidR="005918F1">
        <w:t>“</w:t>
      </w:r>
      <w:r w:rsidR="01E89C71">
        <w:t>Participation</w:t>
      </w:r>
      <w:r w:rsidR="00FA1D86">
        <w:t xml:space="preserve"> and Job Plans</w:t>
      </w:r>
      <w:r w:rsidR="005918F1">
        <w:t>”</w:t>
      </w:r>
      <w:r w:rsidR="00B9141A">
        <w:t>.</w:t>
      </w:r>
    </w:p>
    <w:p w14:paraId="05A97477" w14:textId="16440F83" w:rsidR="00222E83" w:rsidRDefault="00601D87" w:rsidP="00445D52">
      <w:pPr>
        <w:pStyle w:val="ListBullet"/>
      </w:pPr>
      <w:r>
        <w:t xml:space="preserve">Further steps </w:t>
      </w:r>
      <w:r w:rsidR="00B854D5">
        <w:t xml:space="preserve">that </w:t>
      </w:r>
      <w:r w:rsidR="006C57ED">
        <w:t>could be taken to</w:t>
      </w:r>
      <w:r>
        <w:t xml:space="preserve"> help embed participant choice and control in the service, particularly </w:t>
      </w:r>
      <w:r w:rsidR="67BC30EE">
        <w:t>regarding</w:t>
      </w:r>
      <w:r>
        <w:t xml:space="preserve"> mutual obligations.</w:t>
      </w:r>
    </w:p>
    <w:p w14:paraId="48321A22" w14:textId="42EABC84" w:rsidR="00F632CF" w:rsidRDefault="00F632CF" w:rsidP="00445D52">
      <w:pPr>
        <w:pStyle w:val="ListBullet"/>
      </w:pPr>
      <w:r>
        <w:lastRenderedPageBreak/>
        <w:t xml:space="preserve">Support for employers and </w:t>
      </w:r>
      <w:r w:rsidR="00944019">
        <w:t>a large-scale, long-term government awareness campaign around disability employment</w:t>
      </w:r>
      <w:r w:rsidR="00E82A40">
        <w:t xml:space="preserve"> are needed</w:t>
      </w:r>
      <w:r w:rsidR="00944019">
        <w:t>.</w:t>
      </w:r>
    </w:p>
    <w:p w14:paraId="0F33BB08" w14:textId="402CDCE7" w:rsidR="00944019" w:rsidRDefault="00944019" w:rsidP="00445D52">
      <w:pPr>
        <w:pStyle w:val="ListBullet"/>
      </w:pPr>
      <w:r>
        <w:t>Calls to increase the rates of income support payments, such as the Disability Support Pension (DSP) and the JobSeeker Payment.</w:t>
      </w:r>
    </w:p>
    <w:p w14:paraId="04841572" w14:textId="5D68ACA9" w:rsidR="00B2486C" w:rsidRDefault="1ABD4CDC" w:rsidP="00445D52">
      <w:pPr>
        <w:pStyle w:val="ListBullet"/>
      </w:pPr>
      <w:r>
        <w:t xml:space="preserve">The need to share evidence </w:t>
      </w:r>
      <w:r w:rsidR="6919782B">
        <w:t>and</w:t>
      </w:r>
      <w:r>
        <w:t xml:space="preserve"> information about </w:t>
      </w:r>
      <w:r w:rsidR="00445D52">
        <w:t>successful</w:t>
      </w:r>
      <w:r>
        <w:t xml:space="preserve"> employment interventions for people with disability.</w:t>
      </w:r>
    </w:p>
    <w:p w14:paraId="70FA4A45" w14:textId="1915B2DC" w:rsidR="00222E83" w:rsidRDefault="00713FCE" w:rsidP="00777851">
      <w:pPr>
        <w:pStyle w:val="Heading1"/>
        <w:pageBreakBefore/>
      </w:pPr>
      <w:bookmarkStart w:id="14" w:name="_Toc160715914"/>
      <w:r>
        <w:lastRenderedPageBreak/>
        <w:t>D</w:t>
      </w:r>
      <w:r w:rsidR="00222E83">
        <w:t>iscussion topic 1 – Eligibility</w:t>
      </w:r>
      <w:bookmarkEnd w:id="14"/>
    </w:p>
    <w:p w14:paraId="584BD196" w14:textId="2C62468F" w:rsidR="004E2552" w:rsidRDefault="00FC1E3B" w:rsidP="004E2552">
      <w:r>
        <w:t xml:space="preserve">There was general support for all </w:t>
      </w:r>
      <w:r w:rsidR="00963BEF">
        <w:t>concepts being tested that</w:t>
      </w:r>
      <w:r>
        <w:t xml:space="preserve"> related to</w:t>
      </w:r>
      <w:r w:rsidR="00614555">
        <w:t xml:space="preserve"> </w:t>
      </w:r>
      <w:r>
        <w:t xml:space="preserve">eligibility criteria and the </w:t>
      </w:r>
      <w:r w:rsidR="00AF291A">
        <w:t xml:space="preserve">removal of the </w:t>
      </w:r>
      <w:r>
        <w:t xml:space="preserve">time limit for </w:t>
      </w:r>
      <w:r w:rsidR="00AF291A">
        <w:t xml:space="preserve">participation in </w:t>
      </w:r>
      <w:r>
        <w:t>DES</w:t>
      </w:r>
      <w:r w:rsidR="004E2552">
        <w:t xml:space="preserve">. </w:t>
      </w:r>
    </w:p>
    <w:p w14:paraId="57F85B7D" w14:textId="780A169F" w:rsidR="00047D8E" w:rsidRDefault="004E2552" w:rsidP="00011BF1">
      <w:r>
        <w:t>T</w:t>
      </w:r>
      <w:r w:rsidR="00047D8E">
        <w:t xml:space="preserve">he feedback </w:t>
      </w:r>
      <w:r w:rsidR="00CC0176">
        <w:t xml:space="preserve">received during this consultation </w:t>
      </w:r>
      <w:r w:rsidR="00047D8E">
        <w:t>reinf</w:t>
      </w:r>
      <w:r>
        <w:t>orced</w:t>
      </w:r>
      <w:r w:rsidR="00047D8E">
        <w:t xml:space="preserve"> </w:t>
      </w:r>
      <w:r w:rsidR="00E23C39">
        <w:t xml:space="preserve">earlier feedback </w:t>
      </w:r>
      <w:r w:rsidR="00047D8E">
        <w:t>that</w:t>
      </w:r>
      <w:r>
        <w:t xml:space="preserve"> </w:t>
      </w:r>
      <w:r w:rsidR="00047D8E">
        <w:t>all people with disability who need or want employment assistance should be eligible fo</w:t>
      </w:r>
      <w:r>
        <w:t>r support under the new program. The proposed changes were viewed as consistent with this principle.</w:t>
      </w:r>
    </w:p>
    <w:p w14:paraId="0ABAA7A3" w14:textId="1A11574A" w:rsidR="004E2552" w:rsidRDefault="001C5904" w:rsidP="00011BF1">
      <w:r>
        <w:t xml:space="preserve">Stakeholders noted </w:t>
      </w:r>
      <w:r w:rsidR="004E2552">
        <w:t xml:space="preserve">practical considerations </w:t>
      </w:r>
      <w:r w:rsidR="003C61C6">
        <w:t xml:space="preserve">that </w:t>
      </w:r>
      <w:r w:rsidR="005D0250">
        <w:t xml:space="preserve">may be needed </w:t>
      </w:r>
      <w:r w:rsidR="00BF5E32">
        <w:t>to accommodate</w:t>
      </w:r>
      <w:r w:rsidR="00DF161A">
        <w:t xml:space="preserve"> the </w:t>
      </w:r>
      <w:r w:rsidR="004E2552">
        <w:t xml:space="preserve">opening </w:t>
      </w:r>
      <w:r w:rsidR="00DF161A">
        <w:t xml:space="preserve">up of </w:t>
      </w:r>
      <w:r w:rsidR="00390AB8">
        <w:t>eligibility</w:t>
      </w:r>
      <w:r w:rsidR="004E2552">
        <w:t xml:space="preserve"> to a more diverse group of participants</w:t>
      </w:r>
      <w:r w:rsidR="00A02669">
        <w:t xml:space="preserve"> and removing the service time-limit</w:t>
      </w:r>
      <w:r w:rsidR="004E2552">
        <w:t>.</w:t>
      </w:r>
      <w:r w:rsidR="004B79C1">
        <w:t xml:space="preserve"> These </w:t>
      </w:r>
      <w:r w:rsidR="00F73EA5">
        <w:t>considerations generally related to the</w:t>
      </w:r>
      <w:r w:rsidR="004B79C1">
        <w:t xml:space="preserve"> </w:t>
      </w:r>
      <w:r w:rsidR="00A02669">
        <w:t xml:space="preserve">assessment process, </w:t>
      </w:r>
      <w:r w:rsidR="004B79C1">
        <w:t>service offer</w:t>
      </w:r>
      <w:r w:rsidR="00B6223D">
        <w:t xml:space="preserve"> and</w:t>
      </w:r>
      <w:r w:rsidR="004B79C1">
        <w:t xml:space="preserve"> payment model</w:t>
      </w:r>
      <w:r w:rsidR="00B6223D">
        <w:t>.</w:t>
      </w:r>
    </w:p>
    <w:p w14:paraId="1DE4F4CB" w14:textId="183DCBBE" w:rsidR="00944019" w:rsidRPr="00944019" w:rsidRDefault="00944019" w:rsidP="00944019">
      <w:pPr>
        <w:rPr>
          <w:rStyle w:val="Emphasis"/>
        </w:rPr>
      </w:pPr>
      <w:r>
        <w:rPr>
          <w:rStyle w:val="Emphasis"/>
        </w:rPr>
        <w:t>Expanding</w:t>
      </w:r>
      <w:r w:rsidRPr="00944019">
        <w:rPr>
          <w:rStyle w:val="Emphasis"/>
        </w:rPr>
        <w:t xml:space="preserve"> eligibility</w:t>
      </w:r>
      <w:r>
        <w:rPr>
          <w:rStyle w:val="Emphasis"/>
        </w:rPr>
        <w:t xml:space="preserve"> </w:t>
      </w:r>
      <w:r w:rsidR="005A57BC">
        <w:rPr>
          <w:rStyle w:val="Emphasis"/>
        </w:rPr>
        <w:t>by opening</w:t>
      </w:r>
      <w:r>
        <w:rPr>
          <w:rStyle w:val="Emphasis"/>
        </w:rPr>
        <w:t xml:space="preserve"> the program to more people with disability</w:t>
      </w:r>
    </w:p>
    <w:p w14:paraId="7C38232C" w14:textId="35DE8FAD" w:rsidR="003F0693" w:rsidRDefault="000C3679" w:rsidP="00222E83">
      <w:r>
        <w:t>The idea to e</w:t>
      </w:r>
      <w:r w:rsidR="001F35D6">
        <w:t>xtend the eligibility criteria to include those with a wor</w:t>
      </w:r>
      <w:r w:rsidR="002C2779">
        <w:t>k capacity of less than 8 hours</w:t>
      </w:r>
      <w:r w:rsidR="003F0693">
        <w:t xml:space="preserve"> </w:t>
      </w:r>
      <w:r w:rsidR="00DF161A">
        <w:t xml:space="preserve">a week </w:t>
      </w:r>
      <w:r w:rsidR="003F0693">
        <w:t>was welcomed, with a number of stakeholders not</w:t>
      </w:r>
      <w:r w:rsidR="001732F4">
        <w:t>ing</w:t>
      </w:r>
      <w:r w:rsidR="003F0693">
        <w:t xml:space="preserve"> that they had </w:t>
      </w:r>
      <w:r w:rsidR="00CE191E">
        <w:t>previously advocated</w:t>
      </w:r>
      <w:r w:rsidR="003F0693">
        <w:t xml:space="preserve"> for access to DES</w:t>
      </w:r>
      <w:r w:rsidR="00CE191E">
        <w:t xml:space="preserve"> for this cohort.</w:t>
      </w:r>
      <w:r w:rsidR="00E76618">
        <w:t xml:space="preserve"> </w:t>
      </w:r>
    </w:p>
    <w:p w14:paraId="369D8833" w14:textId="06798B4E" w:rsidR="001F35D6" w:rsidRDefault="003F0693" w:rsidP="00222E83">
      <w:r>
        <w:t>The Centre for Social Impact, for example, stated that this cohort has received very little employment support in the past and the current eligibility criteria discriminate against those with more substantial disabilities.</w:t>
      </w:r>
    </w:p>
    <w:p w14:paraId="788D5863" w14:textId="3C073118" w:rsidR="00CD2BE0" w:rsidRDefault="00D11C68" w:rsidP="00660A31">
      <w:r>
        <w:t>The idea to e</w:t>
      </w:r>
      <w:r w:rsidR="00660A31">
        <w:t xml:space="preserve">xtend the eligibility criteria to include </w:t>
      </w:r>
      <w:r w:rsidR="5E97EB6A">
        <w:t>people</w:t>
      </w:r>
      <w:r w:rsidR="00660A31">
        <w:t xml:space="preserve"> </w:t>
      </w:r>
      <w:r w:rsidR="00330C26">
        <w:t xml:space="preserve">who would meet </w:t>
      </w:r>
      <w:r w:rsidR="00515D3A">
        <w:t xml:space="preserve">the </w:t>
      </w:r>
      <w:r w:rsidR="00330C26">
        <w:t>general DES-</w:t>
      </w:r>
      <w:r w:rsidR="00B8435E">
        <w:t>eligibility</w:t>
      </w:r>
      <w:r w:rsidR="00515D3A">
        <w:t xml:space="preserve"> criteria </w:t>
      </w:r>
      <w:r w:rsidR="00BC777A">
        <w:t xml:space="preserve">(as outlined on </w:t>
      </w:r>
      <w:hyperlink r:id="rId14" w:history="1">
        <w:r w:rsidR="00BC777A" w:rsidRPr="002B5A58">
          <w:rPr>
            <w:rStyle w:val="Hyperlink"/>
            <w:sz w:val="24"/>
          </w:rPr>
          <w:t>JobAccess</w:t>
        </w:r>
      </w:hyperlink>
      <w:r w:rsidR="00BC777A">
        <w:t xml:space="preserve">) </w:t>
      </w:r>
      <w:r w:rsidR="00515D3A">
        <w:t xml:space="preserve">but are </w:t>
      </w:r>
      <w:r w:rsidR="00660A31">
        <w:t xml:space="preserve">not on income support was </w:t>
      </w:r>
      <w:r w:rsidR="00532804">
        <w:t xml:space="preserve">also </w:t>
      </w:r>
      <w:r w:rsidR="00660A31">
        <w:t>recognised as being consistent with broader goals for social inclusion and addressing workforce shortages.</w:t>
      </w:r>
      <w:r w:rsidR="003D06E5">
        <w:t xml:space="preserve"> </w:t>
      </w:r>
    </w:p>
    <w:p w14:paraId="4D729D0E" w14:textId="1D667D80" w:rsidR="00660A31" w:rsidRDefault="00660A31" w:rsidP="00660A31">
      <w:r>
        <w:t xml:space="preserve">A key benefit </w:t>
      </w:r>
      <w:r w:rsidR="00E378FA">
        <w:t xml:space="preserve">identified </w:t>
      </w:r>
      <w:r w:rsidR="003726E4">
        <w:t xml:space="preserve">in relation to </w:t>
      </w:r>
      <w:r w:rsidR="00350180">
        <w:t xml:space="preserve">opening eligibility </w:t>
      </w:r>
      <w:r w:rsidR="00E378FA">
        <w:t xml:space="preserve">to </w:t>
      </w:r>
      <w:r w:rsidR="11987017">
        <w:t>people not on income support</w:t>
      </w:r>
      <w:r w:rsidR="00E378FA">
        <w:t xml:space="preserve"> </w:t>
      </w:r>
      <w:r>
        <w:t xml:space="preserve">was that it would reduce red-tape for providers </w:t>
      </w:r>
      <w:r w:rsidR="00DA1F12">
        <w:t xml:space="preserve">if they could </w:t>
      </w:r>
      <w:r>
        <w:t xml:space="preserve">directly register individuals genuinely interested in getting help under DES to seek and maintain open employment. </w:t>
      </w:r>
    </w:p>
    <w:p w14:paraId="410007FD" w14:textId="26D6FBB9" w:rsidR="00660A31" w:rsidRDefault="008C072C" w:rsidP="00E615AD">
      <w:pPr>
        <w:keepNext/>
      </w:pPr>
      <w:r>
        <w:t>S</w:t>
      </w:r>
      <w:r w:rsidR="00660A31">
        <w:t xml:space="preserve">takeholders identified </w:t>
      </w:r>
      <w:r w:rsidR="00DF5431">
        <w:t xml:space="preserve">several </w:t>
      </w:r>
      <w:r>
        <w:t xml:space="preserve">groups that </w:t>
      </w:r>
      <w:r w:rsidR="001E2CCF">
        <w:t xml:space="preserve">they thought </w:t>
      </w:r>
      <w:r w:rsidR="00660A31">
        <w:t xml:space="preserve">may benefit </w:t>
      </w:r>
      <w:r>
        <w:t xml:space="preserve">from </w:t>
      </w:r>
      <w:r w:rsidR="00660A31">
        <w:t>access</w:t>
      </w:r>
      <w:r>
        <w:t xml:space="preserve"> to DES</w:t>
      </w:r>
      <w:r w:rsidR="00660A31">
        <w:t xml:space="preserve"> but would not be eligible under current criteria</w:t>
      </w:r>
      <w:r w:rsidR="00DF5431">
        <w:t>, in particular</w:t>
      </w:r>
      <w:r w:rsidR="000434CE">
        <w:t>:</w:t>
      </w:r>
    </w:p>
    <w:p w14:paraId="393F4FF3" w14:textId="500175BB" w:rsidR="00660A31" w:rsidRDefault="000434CE" w:rsidP="00445D52">
      <w:pPr>
        <w:pStyle w:val="ListBullet"/>
      </w:pPr>
      <w:r>
        <w:t>y</w:t>
      </w:r>
      <w:r w:rsidR="00511E6E">
        <w:t>oung job seekers (under the age of 25)</w:t>
      </w:r>
      <w:r w:rsidR="00660A31">
        <w:t xml:space="preserve"> </w:t>
      </w:r>
      <w:r w:rsidR="00CD512C">
        <w:t xml:space="preserve">who precluded from receiving </w:t>
      </w:r>
      <w:r w:rsidR="000E6FA5">
        <w:t>income support a</w:t>
      </w:r>
      <w:r w:rsidR="00CD512C">
        <w:t>s</w:t>
      </w:r>
      <w:r w:rsidR="00660A31">
        <w:t xml:space="preserve"> their parents are earning above the income threshold</w:t>
      </w:r>
    </w:p>
    <w:p w14:paraId="551DAC74" w14:textId="77777777" w:rsidR="00775B8B" w:rsidRDefault="00775B8B" w:rsidP="00445D52">
      <w:pPr>
        <w:pStyle w:val="ListBullet"/>
      </w:pPr>
      <w:r>
        <w:t xml:space="preserve">individuals precluded from receiving benefits as their partner is earning over the threshold or their liquid assets are over the threshold </w:t>
      </w:r>
    </w:p>
    <w:p w14:paraId="4CEAEB5A" w14:textId="3B7E3BD4" w:rsidR="00660A31" w:rsidRDefault="00B71711" w:rsidP="00445D52">
      <w:pPr>
        <w:pStyle w:val="ListBullet"/>
      </w:pPr>
      <w:r>
        <w:t>f</w:t>
      </w:r>
      <w:r w:rsidR="00660A31">
        <w:t>ull-time students at university or TAFE</w:t>
      </w:r>
      <w:r w:rsidR="00557595">
        <w:t>, particularly those in their final year</w:t>
      </w:r>
      <w:r w:rsidR="000E6FA5">
        <w:t xml:space="preserve"> — noting that this would require a change in the general eligibility criteria; and</w:t>
      </w:r>
    </w:p>
    <w:p w14:paraId="1CB49A03" w14:textId="37F3B5C8" w:rsidR="000E6FA5" w:rsidRDefault="00B71711" w:rsidP="000E6FA5">
      <w:pPr>
        <w:pStyle w:val="ListBullet"/>
      </w:pPr>
      <w:r>
        <w:t>a</w:t>
      </w:r>
      <w:r w:rsidR="00AE5C45">
        <w:t xml:space="preserve">nyone with </w:t>
      </w:r>
      <w:r w:rsidR="008F4F9B">
        <w:t>a</w:t>
      </w:r>
      <w:r w:rsidR="00AE5C45">
        <w:t xml:space="preserve"> NDIS plan</w:t>
      </w:r>
      <w:r w:rsidR="000E6FA5">
        <w:t xml:space="preserve"> </w:t>
      </w:r>
      <w:r w:rsidR="00353EC3">
        <w:t xml:space="preserve">— who may not be aware that they </w:t>
      </w:r>
      <w:r w:rsidR="006E626B">
        <w:t>could</w:t>
      </w:r>
      <w:r w:rsidR="00353EC3">
        <w:t xml:space="preserve"> </w:t>
      </w:r>
      <w:r w:rsidR="00737F1A">
        <w:t>already be</w:t>
      </w:r>
      <w:r w:rsidR="004B78E4">
        <w:t xml:space="preserve"> </w:t>
      </w:r>
      <w:r w:rsidR="00353EC3">
        <w:t>eligible</w:t>
      </w:r>
      <w:r w:rsidR="004B78E4">
        <w:t>.</w:t>
      </w:r>
    </w:p>
    <w:p w14:paraId="07099125" w14:textId="6B83071B" w:rsidR="00390AB8" w:rsidRDefault="00390AB8" w:rsidP="00124418">
      <w:pPr>
        <w:keepNext/>
      </w:pPr>
      <w:r>
        <w:lastRenderedPageBreak/>
        <w:t xml:space="preserve">A theme </w:t>
      </w:r>
      <w:r w:rsidR="00F30687">
        <w:t>in</w:t>
      </w:r>
      <w:r>
        <w:t xml:space="preserve"> the feedback </w:t>
      </w:r>
      <w:r w:rsidR="00F30687">
        <w:t>related</w:t>
      </w:r>
      <w:r>
        <w:t xml:space="preserve"> to </w:t>
      </w:r>
      <w:r w:rsidR="000A7197">
        <w:t xml:space="preserve">expanding </w:t>
      </w:r>
      <w:r>
        <w:t>eligibility</w:t>
      </w:r>
      <w:r w:rsidR="000A7197">
        <w:t xml:space="preserve"> </w:t>
      </w:r>
      <w:r>
        <w:t xml:space="preserve">was </w:t>
      </w:r>
      <w:r w:rsidR="00B37EB9">
        <w:t>the need for</w:t>
      </w:r>
      <w:r>
        <w:t xml:space="preserve"> clear objectives for the service </w:t>
      </w:r>
      <w:r w:rsidR="7B5A8FCF">
        <w:t xml:space="preserve">— </w:t>
      </w:r>
      <w:r w:rsidR="00541101">
        <w:t xml:space="preserve">as </w:t>
      </w:r>
      <w:r w:rsidR="134C00A0">
        <w:t xml:space="preserve">this </w:t>
      </w:r>
      <w:r w:rsidR="5EEB744F">
        <w:t xml:space="preserve">would help </w:t>
      </w:r>
      <w:r w:rsidR="00B37EB9">
        <w:t xml:space="preserve">to </w:t>
      </w:r>
      <w:r w:rsidR="7B5A8FCF">
        <w:t>encourag</w:t>
      </w:r>
      <w:r w:rsidR="00B37EB9">
        <w:t>e</w:t>
      </w:r>
      <w:r w:rsidR="7B5A8FCF">
        <w:t xml:space="preserve"> </w:t>
      </w:r>
      <w:r w:rsidR="0CB6419B">
        <w:t>self-referral</w:t>
      </w:r>
      <w:r w:rsidR="06D725C3">
        <w:t>/ direct registration</w:t>
      </w:r>
      <w:r w:rsidR="0CB6419B">
        <w:t xml:space="preserve"> </w:t>
      </w:r>
      <w:r w:rsidR="007D61E6">
        <w:t>by</w:t>
      </w:r>
      <w:r w:rsidR="000C4C9B">
        <w:t xml:space="preserve"> a broader cohort</w:t>
      </w:r>
      <w:r w:rsidR="7ABAAB48">
        <w:t>.</w:t>
      </w:r>
      <w:r w:rsidR="7B5A8FCF">
        <w:t xml:space="preserve"> </w:t>
      </w:r>
      <w:r w:rsidR="00214394">
        <w:t>The</w:t>
      </w:r>
      <w:r w:rsidR="006F22C8">
        <w:t xml:space="preserve"> support</w:t>
      </w:r>
      <w:r w:rsidR="00F30687">
        <w:t xml:space="preserve"> </w:t>
      </w:r>
      <w:r w:rsidR="00E36856">
        <w:t xml:space="preserve">sought </w:t>
      </w:r>
      <w:r w:rsidR="00340482">
        <w:t>might</w:t>
      </w:r>
      <w:r w:rsidR="00E36856">
        <w:t xml:space="preserve"> be less about finding a job</w:t>
      </w:r>
      <w:r w:rsidR="00541101">
        <w:t xml:space="preserve"> </w:t>
      </w:r>
      <w:r w:rsidR="00214394">
        <w:t xml:space="preserve">but about building skills and </w:t>
      </w:r>
      <w:r w:rsidR="004D03F2">
        <w:t xml:space="preserve">work </w:t>
      </w:r>
      <w:r w:rsidR="15A75551">
        <w:t>cap</w:t>
      </w:r>
      <w:r w:rsidR="23C6EAC3">
        <w:t>a</w:t>
      </w:r>
      <w:r w:rsidR="15A75551">
        <w:t>city</w:t>
      </w:r>
      <w:r w:rsidR="00037636">
        <w:t xml:space="preserve">, </w:t>
      </w:r>
      <w:r w:rsidR="00D8298E">
        <w:t xml:space="preserve">and </w:t>
      </w:r>
      <w:r w:rsidR="003074F5">
        <w:t>the goal</w:t>
      </w:r>
      <w:r w:rsidR="00D8298E">
        <w:t xml:space="preserve"> could be to</w:t>
      </w:r>
      <w:r w:rsidR="00541101">
        <w:t>:</w:t>
      </w:r>
    </w:p>
    <w:p w14:paraId="216681E6" w14:textId="0EC127FD" w:rsidR="00541101" w:rsidRPr="000E053E" w:rsidRDefault="00390AB8" w:rsidP="00124418">
      <w:pPr>
        <w:pStyle w:val="ListBullet"/>
        <w:keepNext/>
      </w:pPr>
      <w:r>
        <w:t xml:space="preserve">address a </w:t>
      </w:r>
      <w:r w:rsidR="5BB2A948">
        <w:t>non-vocational</w:t>
      </w:r>
      <w:r>
        <w:t xml:space="preserve"> barrier</w:t>
      </w:r>
    </w:p>
    <w:p w14:paraId="11752328" w14:textId="2327D4FA" w:rsidR="00874AA7" w:rsidRDefault="00390AB8" w:rsidP="00445D52">
      <w:pPr>
        <w:pStyle w:val="ListBullet"/>
      </w:pPr>
      <w:r w:rsidRPr="000E053E">
        <w:t>engag</w:t>
      </w:r>
      <w:r w:rsidR="00EC6D5D">
        <w:t>e</w:t>
      </w:r>
      <w:r w:rsidRPr="000E053E">
        <w:t xml:space="preserve"> in an activity to upskill</w:t>
      </w:r>
      <w:r w:rsidR="00213238" w:rsidRPr="00213238">
        <w:t xml:space="preserve"> </w:t>
      </w:r>
      <w:r w:rsidR="00213238" w:rsidRPr="000E053E">
        <w:t xml:space="preserve">or </w:t>
      </w:r>
      <w:r w:rsidR="00213238">
        <w:t xml:space="preserve">build </w:t>
      </w:r>
      <w:r w:rsidR="00213238" w:rsidRPr="000E053E">
        <w:t>work-related skill set</w:t>
      </w:r>
      <w:r w:rsidR="00213238">
        <w:t>s</w:t>
      </w:r>
    </w:p>
    <w:p w14:paraId="4E806032" w14:textId="4A2239E9" w:rsidR="00541101" w:rsidRPr="000E053E" w:rsidRDefault="00390AB8" w:rsidP="00445D52">
      <w:pPr>
        <w:pStyle w:val="ListBullet"/>
      </w:pPr>
      <w:r w:rsidRPr="000E053E">
        <w:t>improve literacy</w:t>
      </w:r>
    </w:p>
    <w:p w14:paraId="4B0EF304" w14:textId="00D34B48" w:rsidR="00541101" w:rsidRPr="000E053E" w:rsidRDefault="00390AB8" w:rsidP="00445D52">
      <w:pPr>
        <w:pStyle w:val="ListBullet"/>
      </w:pPr>
      <w:r w:rsidRPr="000E053E">
        <w:t>voluntee</w:t>
      </w:r>
      <w:r w:rsidR="00EC6D5D">
        <w:t>r</w:t>
      </w:r>
      <w:r w:rsidR="000B63E0">
        <w:t xml:space="preserve">; </w:t>
      </w:r>
      <w:r w:rsidR="00EC6D5D">
        <w:t>or</w:t>
      </w:r>
    </w:p>
    <w:p w14:paraId="1511FA28" w14:textId="4CE45D9D" w:rsidR="00390AB8" w:rsidRPr="000E053E" w:rsidRDefault="00AE5C45" w:rsidP="00445D52">
      <w:pPr>
        <w:pStyle w:val="ListBullet"/>
      </w:pPr>
      <w:r w:rsidRPr="000E053E">
        <w:t>mov</w:t>
      </w:r>
      <w:r w:rsidR="00EC6D5D">
        <w:t>e</w:t>
      </w:r>
      <w:r w:rsidRPr="000E053E">
        <w:t xml:space="preserve"> into open employment</w:t>
      </w:r>
      <w:r w:rsidR="00D46740" w:rsidRPr="000E053E">
        <w:t>.</w:t>
      </w:r>
    </w:p>
    <w:p w14:paraId="122EBDF7" w14:textId="2B3DFF7F" w:rsidR="00915C7D" w:rsidRPr="006D1D81" w:rsidRDefault="00915C7D" w:rsidP="00900044">
      <w:pPr>
        <w:pStyle w:val="ListBullet"/>
        <w:numPr>
          <w:ilvl w:val="0"/>
          <w:numId w:val="0"/>
        </w:numPr>
      </w:pPr>
      <w:r>
        <w:t xml:space="preserve">Stakeholders </w:t>
      </w:r>
      <w:r w:rsidR="003A6194">
        <w:t xml:space="preserve">also </w:t>
      </w:r>
      <w:r>
        <w:t>suggested that more flexible outcome definition</w:t>
      </w:r>
      <w:r w:rsidR="003A6194">
        <w:t>s</w:t>
      </w:r>
      <w:r>
        <w:t xml:space="preserve"> may be required</w:t>
      </w:r>
      <w:r w:rsidR="00544EFA">
        <w:t xml:space="preserve"> as current DES outcome payments </w:t>
      </w:r>
      <w:r w:rsidR="00425B38">
        <w:t>(</w:t>
      </w:r>
      <w:r w:rsidR="00544EFA">
        <w:t>based on</w:t>
      </w:r>
      <w:r w:rsidR="00EF503A">
        <w:t xml:space="preserve"> </w:t>
      </w:r>
      <w:r w:rsidR="00B60DC9">
        <w:t xml:space="preserve">meeting </w:t>
      </w:r>
      <w:r w:rsidR="00EF503A">
        <w:t>employment</w:t>
      </w:r>
      <w:r w:rsidR="00544EFA">
        <w:t xml:space="preserve"> benchmark</w:t>
      </w:r>
      <w:r w:rsidR="00575FD9">
        <w:t>s</w:t>
      </w:r>
      <w:r w:rsidR="000065A5">
        <w:t xml:space="preserve"> or reduction in income support</w:t>
      </w:r>
      <w:r w:rsidR="00425B38">
        <w:t>)</w:t>
      </w:r>
      <w:r w:rsidR="00544EFA">
        <w:t xml:space="preserve"> may be inappropriate or more difficult to enact for these cohorts.</w:t>
      </w:r>
      <w:r w:rsidR="00AA19E5">
        <w:t xml:space="preserve"> One idea was that outcomes could also be based on progress towards employment or goals achieved on the pathway to employment. </w:t>
      </w:r>
      <w:r w:rsidR="001A6AA5">
        <w:t>Other</w:t>
      </w:r>
      <w:r w:rsidR="00A4680E">
        <w:t xml:space="preserve"> ideas </w:t>
      </w:r>
      <w:r w:rsidR="00EA5F37">
        <w:t>w</w:t>
      </w:r>
      <w:r w:rsidR="001A6AA5">
        <w:t>ere</w:t>
      </w:r>
      <w:r w:rsidR="00EA5F37">
        <w:t xml:space="preserve"> </w:t>
      </w:r>
      <w:r w:rsidR="00C53B48">
        <w:t xml:space="preserve">employment outcomes that </w:t>
      </w:r>
      <w:r w:rsidR="006F0C23">
        <w:t>better recognise the hours a participant wants to work</w:t>
      </w:r>
      <w:r w:rsidR="00A6551A">
        <w:t>;</w:t>
      </w:r>
      <w:r w:rsidR="006F0C23">
        <w:t xml:space="preserve"> acknowledge</w:t>
      </w:r>
      <w:r w:rsidR="008F3E97">
        <w:t xml:space="preserve"> </w:t>
      </w:r>
      <w:r w:rsidR="1C731527">
        <w:t>sustainability</w:t>
      </w:r>
      <w:r w:rsidR="008F3E97">
        <w:t xml:space="preserve"> of </w:t>
      </w:r>
      <w:r w:rsidR="000C1785">
        <w:t xml:space="preserve">partial </w:t>
      </w:r>
      <w:r w:rsidR="008F3E97">
        <w:t xml:space="preserve">employment while </w:t>
      </w:r>
      <w:r w:rsidR="26B95936">
        <w:t>bui</w:t>
      </w:r>
      <w:r w:rsidR="299491F8">
        <w:t>l</w:t>
      </w:r>
      <w:r w:rsidR="26B95936">
        <w:t>ding</w:t>
      </w:r>
      <w:r w:rsidR="008F3E97">
        <w:t xml:space="preserve"> capacity</w:t>
      </w:r>
      <w:r w:rsidR="000C1785">
        <w:t>;</w:t>
      </w:r>
      <w:r w:rsidR="008F3E97">
        <w:t xml:space="preserve"> or allow for </w:t>
      </w:r>
      <w:r w:rsidR="00C53B48">
        <w:t>a</w:t>
      </w:r>
      <w:r w:rsidR="002776DE">
        <w:t xml:space="preserve"> mix of hours in supported and open employment</w:t>
      </w:r>
      <w:r w:rsidR="001A6AA5">
        <w:t>.</w:t>
      </w:r>
    </w:p>
    <w:p w14:paraId="69C6471B" w14:textId="6A9DF1A7" w:rsidR="002C2779" w:rsidRDefault="00CC0176" w:rsidP="007C3085">
      <w:pPr>
        <w:keepNext/>
      </w:pPr>
      <w:bookmarkStart w:id="15" w:name="_Int_mKjJQE2d"/>
      <w:r>
        <w:t>A number of</w:t>
      </w:r>
      <w:bookmarkEnd w:id="15"/>
      <w:r>
        <w:t xml:space="preserve"> </w:t>
      </w:r>
      <w:r w:rsidR="000B2F0E">
        <w:t xml:space="preserve">practical </w:t>
      </w:r>
      <w:r>
        <w:t xml:space="preserve">considerations were posed </w:t>
      </w:r>
      <w:r w:rsidR="54406BAA">
        <w:t>to</w:t>
      </w:r>
      <w:r w:rsidR="002F6166">
        <w:t xml:space="preserve"> ensure this</w:t>
      </w:r>
      <w:r w:rsidR="0078617B">
        <w:t xml:space="preserve"> </w:t>
      </w:r>
      <w:r w:rsidR="002F6166">
        <w:t xml:space="preserve">was a positive change </w:t>
      </w:r>
      <w:r w:rsidR="006C021A">
        <w:t xml:space="preserve">for the </w:t>
      </w:r>
      <w:r w:rsidR="00294670">
        <w:t xml:space="preserve">cohort able to work less than 8 hours a week (particularly those with a NDIS plan) — </w:t>
      </w:r>
      <w:r w:rsidR="000A3027">
        <w:t>to</w:t>
      </w:r>
      <w:r w:rsidR="002F6166">
        <w:t xml:space="preserve"> limit any negative unintended consequences</w:t>
      </w:r>
      <w:r w:rsidR="002C2779">
        <w:t>.</w:t>
      </w:r>
      <w:r>
        <w:t xml:space="preserve"> </w:t>
      </w:r>
      <w:r w:rsidR="002F6166">
        <w:t>For</w:t>
      </w:r>
      <w:r w:rsidR="0078617B">
        <w:t xml:space="preserve"> </w:t>
      </w:r>
      <w:r w:rsidR="002F6166">
        <w:t>example</w:t>
      </w:r>
      <w:r>
        <w:t>:</w:t>
      </w:r>
    </w:p>
    <w:p w14:paraId="60FD1603" w14:textId="45CC9A9E" w:rsidR="00025E68" w:rsidRDefault="00EA5CDC" w:rsidP="00445D52">
      <w:pPr>
        <w:pStyle w:val="ListBullet"/>
      </w:pPr>
      <w:r>
        <w:t xml:space="preserve">Participants </w:t>
      </w:r>
      <w:r w:rsidR="00BD4331">
        <w:t xml:space="preserve">in this cohort would </w:t>
      </w:r>
      <w:bookmarkStart w:id="16" w:name="_Int_rxi2uega"/>
      <w:r w:rsidR="00BD4331">
        <w:t xml:space="preserve">likely </w:t>
      </w:r>
      <w:r w:rsidR="00025E68">
        <w:t>require</w:t>
      </w:r>
      <w:bookmarkEnd w:id="16"/>
      <w:r w:rsidR="00025E68">
        <w:t xml:space="preserve"> </w:t>
      </w:r>
      <w:r>
        <w:t xml:space="preserve">more resource-intensive </w:t>
      </w:r>
      <w:r w:rsidR="00025E68">
        <w:t xml:space="preserve">support and </w:t>
      </w:r>
      <w:r>
        <w:t>access to</w:t>
      </w:r>
      <w:r w:rsidR="00025E68">
        <w:t xml:space="preserve"> </w:t>
      </w:r>
      <w:r w:rsidR="003F0693">
        <w:t xml:space="preserve">a </w:t>
      </w:r>
      <w:r w:rsidR="00CC0176">
        <w:t>wide</w:t>
      </w:r>
      <w:r w:rsidR="00C57CE1">
        <w:t>r</w:t>
      </w:r>
      <w:r w:rsidR="00CC0176">
        <w:t xml:space="preserve"> </w:t>
      </w:r>
      <w:r w:rsidR="003F0693">
        <w:t xml:space="preserve">range of activities </w:t>
      </w:r>
      <w:r w:rsidR="00C57CE1">
        <w:t xml:space="preserve">to </w:t>
      </w:r>
      <w:r w:rsidR="003F0693">
        <w:t xml:space="preserve">address barriers to employment — such as, </w:t>
      </w:r>
      <w:r w:rsidR="00025E68">
        <w:t>mentoring</w:t>
      </w:r>
      <w:r w:rsidR="003F0693">
        <w:t>, access to training,</w:t>
      </w:r>
      <w:r w:rsidR="00CC0176">
        <w:t xml:space="preserve"> </w:t>
      </w:r>
      <w:r w:rsidR="009A64DC">
        <w:t xml:space="preserve">and </w:t>
      </w:r>
      <w:r w:rsidR="00A23CE9">
        <w:t xml:space="preserve">access to </w:t>
      </w:r>
      <w:r w:rsidR="00CC0176">
        <w:t>paid and unpaid work experience.</w:t>
      </w:r>
    </w:p>
    <w:p w14:paraId="1384832C" w14:textId="74C81E5A" w:rsidR="00241EA2" w:rsidRDefault="000E221A" w:rsidP="00445D52">
      <w:pPr>
        <w:pStyle w:val="ListBullet"/>
      </w:pPr>
      <w:r>
        <w:t xml:space="preserve">Instead of focusing on employment assistance, this cohort may initially need to be in a “job readiness phase” </w:t>
      </w:r>
      <w:r w:rsidR="00F65E62">
        <w:t>linked to activities that help</w:t>
      </w:r>
      <w:r>
        <w:t xml:space="preserve"> prepare for the workforce.</w:t>
      </w:r>
    </w:p>
    <w:p w14:paraId="0C5AFA7C" w14:textId="5DA8FE08" w:rsidR="000E221A" w:rsidRDefault="000E221A" w:rsidP="00445D52">
      <w:pPr>
        <w:pStyle w:val="ListBullet"/>
      </w:pPr>
      <w:r>
        <w:t>There may be unintended consequences if providers unduly focus on ensuring these participants are capable of working the minimum hours required by each applicable award per shift/week.</w:t>
      </w:r>
    </w:p>
    <w:p w14:paraId="555A545D" w14:textId="23D3154F" w:rsidR="000E221A" w:rsidRDefault="000E221A" w:rsidP="00445D52">
      <w:pPr>
        <w:pStyle w:val="ListBullet"/>
      </w:pPr>
      <w:r>
        <w:t xml:space="preserve">Ongoing support may need to </w:t>
      </w:r>
      <w:r w:rsidR="009E16D6">
        <w:t>allow for</w:t>
      </w:r>
      <w:r>
        <w:t xml:space="preserve"> permissible break periods </w:t>
      </w:r>
      <w:r w:rsidR="009E16D6">
        <w:t>that are</w:t>
      </w:r>
      <w:r>
        <w:t xml:space="preserve"> greater than the current 28 days.</w:t>
      </w:r>
      <w:r w:rsidR="006F22C8">
        <w:t xml:space="preserve"> </w:t>
      </w:r>
      <w:r w:rsidR="00945C45">
        <w:t xml:space="preserve">The cohort would also likely need more intensive post-placement support </w:t>
      </w:r>
      <w:r w:rsidR="009B003D">
        <w:t xml:space="preserve">and </w:t>
      </w:r>
      <w:r w:rsidR="009A4546">
        <w:t>unlimited</w:t>
      </w:r>
      <w:r w:rsidR="00E37E6F">
        <w:t xml:space="preserve"> </w:t>
      </w:r>
      <w:r w:rsidR="009B003D">
        <w:t xml:space="preserve">ongoing support </w:t>
      </w:r>
      <w:r w:rsidR="00945C45">
        <w:t>i</w:t>
      </w:r>
      <w:r w:rsidR="00E4657A">
        <w:t>f i</w:t>
      </w:r>
      <w:r w:rsidR="00945C45">
        <w:t>n open employment</w:t>
      </w:r>
      <w:r w:rsidR="00953974">
        <w:t xml:space="preserve"> </w:t>
      </w:r>
      <w:r w:rsidR="00CD13AA">
        <w:t>and/</w:t>
      </w:r>
      <w:r w:rsidR="00953974">
        <w:t>or seeking to increase their hours.</w:t>
      </w:r>
    </w:p>
    <w:p w14:paraId="26EA8F0C" w14:textId="77777777" w:rsidR="004535AE" w:rsidRDefault="00334030" w:rsidP="00445D52">
      <w:pPr>
        <w:pStyle w:val="ListBullet"/>
      </w:pPr>
      <w:r>
        <w:t>Services</w:t>
      </w:r>
      <w:r w:rsidR="00025E68">
        <w:t xml:space="preserve"> would need to be </w:t>
      </w:r>
      <w:r w:rsidR="00BD4331">
        <w:t>delivered by appropriately skilled providers</w:t>
      </w:r>
      <w:r w:rsidR="00025E68">
        <w:t>/ staff</w:t>
      </w:r>
      <w:r w:rsidR="00BD4331">
        <w:t xml:space="preserve"> that have connections to other human services (for example, health, </w:t>
      </w:r>
      <w:bookmarkStart w:id="17" w:name="_Int_GzkAYj0F"/>
      <w:r w:rsidR="00BD4331">
        <w:t>housing</w:t>
      </w:r>
      <w:bookmarkEnd w:id="17"/>
      <w:r w:rsidR="00BD4331">
        <w:t xml:space="preserve"> and social services) and </w:t>
      </w:r>
      <w:r w:rsidR="00C13A8B">
        <w:t>expertise in supported employment</w:t>
      </w:r>
      <w:r w:rsidR="004535AE">
        <w:t xml:space="preserve"> and NDIS services</w:t>
      </w:r>
      <w:r w:rsidR="00C13A8B">
        <w:t>.</w:t>
      </w:r>
      <w:r w:rsidR="00A427F4">
        <w:t xml:space="preserve"> </w:t>
      </w:r>
    </w:p>
    <w:p w14:paraId="6579FA29" w14:textId="0ACAF375" w:rsidR="00BD4331" w:rsidRDefault="00A427F4" w:rsidP="00445D52">
      <w:pPr>
        <w:pStyle w:val="ListBullet"/>
      </w:pPr>
      <w:r>
        <w:t>There may need to be smaller caseload to staff ratios and/or more staff specially trained to support this cohort.</w:t>
      </w:r>
    </w:p>
    <w:p w14:paraId="56A5863E" w14:textId="77777777" w:rsidR="008D0FDF" w:rsidRDefault="00C13A8B" w:rsidP="00445D52">
      <w:pPr>
        <w:pStyle w:val="ListBullet"/>
      </w:pPr>
      <w:r>
        <w:lastRenderedPageBreak/>
        <w:t>A comprehensive information campaign would be needed to ensure that this cohort — and NDIS providers and support workers —</w:t>
      </w:r>
      <w:r w:rsidR="005E1FA9">
        <w:t xml:space="preserve">understand </w:t>
      </w:r>
      <w:r>
        <w:t xml:space="preserve">how the new program will support their employment goals, what their </w:t>
      </w:r>
      <w:r w:rsidR="0085343E">
        <w:t xml:space="preserve">participation </w:t>
      </w:r>
      <w:r>
        <w:t xml:space="preserve">requirements would be, and </w:t>
      </w:r>
      <w:r w:rsidR="00025E68">
        <w:t>interactions with NDIS plans and packages</w:t>
      </w:r>
      <w:r w:rsidR="008D0FDF">
        <w:t xml:space="preserve"> (including distinctions between DES and NDIS supports)</w:t>
      </w:r>
      <w:r w:rsidR="00025E68">
        <w:t>.</w:t>
      </w:r>
      <w:r w:rsidR="001F542C">
        <w:t xml:space="preserve"> </w:t>
      </w:r>
    </w:p>
    <w:p w14:paraId="4F8BB37B" w14:textId="66633F5D" w:rsidR="00C13A8B" w:rsidRDefault="00CF1526" w:rsidP="00445D52">
      <w:pPr>
        <w:pStyle w:val="ListBullet"/>
      </w:pPr>
      <w:r>
        <w:t xml:space="preserve">Communication products should include </w:t>
      </w:r>
      <w:r w:rsidR="001F542C">
        <w:t>Easy Read</w:t>
      </w:r>
      <w:r w:rsidR="008570F7">
        <w:t xml:space="preserve"> information and videos with </w:t>
      </w:r>
      <w:r w:rsidR="00CE5098">
        <w:t>Auslan interpreters.</w:t>
      </w:r>
    </w:p>
    <w:p w14:paraId="1209EBEB" w14:textId="28E6977B" w:rsidR="000E221A" w:rsidRDefault="0005482F" w:rsidP="00445D52">
      <w:pPr>
        <w:pStyle w:val="ListBullet"/>
      </w:pPr>
      <w:r>
        <w:t xml:space="preserve">Education and extra support for employers </w:t>
      </w:r>
      <w:r w:rsidR="005861BB">
        <w:t xml:space="preserve">would </w:t>
      </w:r>
      <w:r>
        <w:t xml:space="preserve">be essential to </w:t>
      </w:r>
      <w:r w:rsidR="005861BB">
        <w:t xml:space="preserve">participants </w:t>
      </w:r>
      <w:r>
        <w:t xml:space="preserve">being able to find </w:t>
      </w:r>
      <w:r w:rsidR="00076DAF">
        <w:t xml:space="preserve">job </w:t>
      </w:r>
      <w:r>
        <w:t>opportunities</w:t>
      </w:r>
      <w:r w:rsidR="000E221A">
        <w:t>.</w:t>
      </w:r>
      <w:r w:rsidR="003849B6">
        <w:t xml:space="preserve"> There may be a role for </w:t>
      </w:r>
      <w:r w:rsidR="00945AFD">
        <w:t>“e</w:t>
      </w:r>
      <w:r w:rsidR="00C9246A">
        <w:t xml:space="preserve">mployment </w:t>
      </w:r>
      <w:r w:rsidR="00945AFD">
        <w:t>brokers</w:t>
      </w:r>
      <w:r w:rsidR="00C9246A">
        <w:t xml:space="preserve">” that </w:t>
      </w:r>
      <w:r w:rsidR="00945AFD">
        <w:t>are</w:t>
      </w:r>
      <w:r w:rsidR="00C9246A">
        <w:t xml:space="preserve"> focused on </w:t>
      </w:r>
      <w:r w:rsidR="00B25332">
        <w:t>engagement with employers</w:t>
      </w:r>
      <w:r w:rsidR="007C78BC">
        <w:t>, targeted wage subsidies, and</w:t>
      </w:r>
      <w:r w:rsidR="00061B8B">
        <w:t xml:space="preserve"> other financial</w:t>
      </w:r>
      <w:r w:rsidR="007C78BC">
        <w:t xml:space="preserve"> </w:t>
      </w:r>
      <w:r w:rsidR="005E3508">
        <w:t xml:space="preserve">incentives </w:t>
      </w:r>
      <w:r w:rsidR="005861BB">
        <w:t xml:space="preserve">to </w:t>
      </w:r>
      <w:r w:rsidR="005E3508">
        <w:t xml:space="preserve">offer </w:t>
      </w:r>
      <w:r w:rsidR="00DC11BF">
        <w:t>work-</w:t>
      </w:r>
      <w:r w:rsidR="005E3508">
        <w:t>experience or work-trials</w:t>
      </w:r>
      <w:r w:rsidR="00DC11BF">
        <w:t>.</w:t>
      </w:r>
    </w:p>
    <w:p w14:paraId="50C10BB1" w14:textId="71EB3898" w:rsidR="00E76618" w:rsidRDefault="00CF0B53" w:rsidP="00445D52">
      <w:pPr>
        <w:pStyle w:val="ListBullet"/>
      </w:pPr>
      <w:r>
        <w:t>Formalised p</w:t>
      </w:r>
      <w:r w:rsidR="003C74C3">
        <w:t xml:space="preserve">artnerships </w:t>
      </w:r>
      <w:r w:rsidR="00445D52">
        <w:t xml:space="preserve">should be created </w:t>
      </w:r>
      <w:r>
        <w:t xml:space="preserve">between the </w:t>
      </w:r>
      <w:r w:rsidR="00445D52">
        <w:t>Department</w:t>
      </w:r>
      <w:r>
        <w:t xml:space="preserve"> and </w:t>
      </w:r>
      <w:r w:rsidR="003C74C3">
        <w:t>trusted advocacy organisations with specialist expertise in representing the rights of people with disability</w:t>
      </w:r>
      <w:r>
        <w:t>.</w:t>
      </w:r>
    </w:p>
    <w:p w14:paraId="4A2DB734" w14:textId="45FB3CB3" w:rsidR="00541101" w:rsidRDefault="00053A52" w:rsidP="00292E18">
      <w:r>
        <w:t xml:space="preserve">A number of submissions recognised that an unintended consequence of </w:t>
      </w:r>
      <w:r w:rsidR="007E0515">
        <w:t>the eligibility</w:t>
      </w:r>
      <w:r w:rsidR="00A23380">
        <w:t xml:space="preserve"> </w:t>
      </w:r>
      <w:r w:rsidR="007E0515">
        <w:t>changes</w:t>
      </w:r>
      <w:r>
        <w:t xml:space="preserve"> may be a significant increase in the caseload, which could lead to higher costs for the new program.</w:t>
      </w:r>
      <w:r w:rsidR="00651650">
        <w:t xml:space="preserve"> In particular, concerns were raised about volunteers being signed up (for service fees) with the provider having no intention of finding them employment.</w:t>
      </w:r>
      <w:r w:rsidR="72021834">
        <w:t xml:space="preserve"> </w:t>
      </w:r>
      <w:r>
        <w:t>However, some advocated that there would be much greater social costs in not providing employment support.</w:t>
      </w:r>
      <w:r w:rsidR="00A23380">
        <w:t xml:space="preserve"> </w:t>
      </w:r>
    </w:p>
    <w:p w14:paraId="38F1F04D" w14:textId="5AF58274" w:rsidR="000A3027" w:rsidRDefault="001F35D6" w:rsidP="00292E18">
      <w:r>
        <w:t>There</w:t>
      </w:r>
      <w:r w:rsidR="00FC1E3B" w:rsidRPr="001F35D6">
        <w:t xml:space="preserve"> were calls to extend eligibility to all job</w:t>
      </w:r>
      <w:r w:rsidR="00445D52">
        <w:t xml:space="preserve"> </w:t>
      </w:r>
      <w:r w:rsidR="00FC1E3B" w:rsidRPr="001F35D6">
        <w:t xml:space="preserve">seekers with disability and to transfer </w:t>
      </w:r>
      <w:r w:rsidR="00445D52">
        <w:t xml:space="preserve">existing </w:t>
      </w:r>
      <w:r w:rsidR="00FC1E3B" w:rsidRPr="001F35D6">
        <w:t xml:space="preserve">participants </w:t>
      </w:r>
      <w:r w:rsidR="00B23839" w:rsidRPr="001F35D6">
        <w:t xml:space="preserve">with disability </w:t>
      </w:r>
      <w:r w:rsidR="00FC1E3B" w:rsidRPr="001F35D6">
        <w:t xml:space="preserve">in Workforce Australia </w:t>
      </w:r>
      <w:r w:rsidR="00B23839">
        <w:t xml:space="preserve">Online and Workforce Australia Services </w:t>
      </w:r>
      <w:r w:rsidR="00FC1E3B" w:rsidRPr="001F35D6">
        <w:t>to DES</w:t>
      </w:r>
      <w:r w:rsidR="000A3027">
        <w:t>.</w:t>
      </w:r>
    </w:p>
    <w:p w14:paraId="414F2FE7" w14:textId="48BF1F1B" w:rsidR="00477050" w:rsidRDefault="00B66A50" w:rsidP="00292E18">
      <w:r>
        <w:t>S</w:t>
      </w:r>
      <w:r w:rsidR="00445D52">
        <w:t xml:space="preserve">everal </w:t>
      </w:r>
      <w:r>
        <w:t>stakeholders noted</w:t>
      </w:r>
      <w:r w:rsidR="00B23839">
        <w:t xml:space="preserve"> that there are more people with disability in mainstream services than in DES</w:t>
      </w:r>
      <w:r w:rsidR="001369C3">
        <w:t xml:space="preserve"> and that the discussed options were still exclusionary</w:t>
      </w:r>
      <w:r w:rsidR="00FC1E3B" w:rsidRPr="001F35D6">
        <w:t>.</w:t>
      </w:r>
      <w:r w:rsidR="006A2E9F" w:rsidRPr="001F35D6">
        <w:t xml:space="preserve"> </w:t>
      </w:r>
      <w:r w:rsidR="00177889">
        <w:t xml:space="preserve">Jobs Australia, however, was one stakeholder that </w:t>
      </w:r>
      <w:r w:rsidR="0053565E">
        <w:t>noted</w:t>
      </w:r>
      <w:r w:rsidR="00971B76">
        <w:t xml:space="preserve"> in </w:t>
      </w:r>
      <w:r w:rsidR="2CE2BB15">
        <w:t>its</w:t>
      </w:r>
      <w:r w:rsidR="00D57134">
        <w:t xml:space="preserve"> submission</w:t>
      </w:r>
      <w:r w:rsidR="00177889">
        <w:t xml:space="preserve"> that if eligibility </w:t>
      </w:r>
      <w:r w:rsidR="00B23839">
        <w:t xml:space="preserve">for DES </w:t>
      </w:r>
      <w:r w:rsidR="00177889">
        <w:t>had to be restricted, then those with more significant disability and/or a greater need for employment support should be prioritised.</w:t>
      </w:r>
    </w:p>
    <w:p w14:paraId="22AF7CD5" w14:textId="61D9CFE7" w:rsidR="00CE191E" w:rsidRDefault="00477050" w:rsidP="00292E18">
      <w:r>
        <w:t xml:space="preserve">There were also queries about whether those that are currently eligible would become ineligible or receive </w:t>
      </w:r>
      <w:r w:rsidR="00CE191E">
        <w:t xml:space="preserve">a </w:t>
      </w:r>
      <w:r w:rsidR="00B44ABE">
        <w:t>poorer quality service</w:t>
      </w:r>
      <w:r>
        <w:t xml:space="preserve"> if eligibility </w:t>
      </w:r>
      <w:bookmarkStart w:id="18" w:name="_Int_Zgug9uoR"/>
      <w:r>
        <w:t>was</w:t>
      </w:r>
      <w:bookmarkEnd w:id="18"/>
      <w:r>
        <w:t xml:space="preserve"> expanded</w:t>
      </w:r>
      <w:r w:rsidR="00610588">
        <w:t xml:space="preserve"> if, f</w:t>
      </w:r>
      <w:r w:rsidR="00CB58C5">
        <w:t>or</w:t>
      </w:r>
      <w:r w:rsidR="0054141E">
        <w:t> </w:t>
      </w:r>
      <w:r w:rsidR="00CB58C5">
        <w:t xml:space="preserve">example, </w:t>
      </w:r>
      <w:r w:rsidR="004D5E84">
        <w:t>the funding model didn’t ensure providers were resourced to meet the demand and increase workload</w:t>
      </w:r>
      <w:r w:rsidR="006061EC">
        <w:t>.</w:t>
      </w:r>
    </w:p>
    <w:p w14:paraId="4AB0D1F7" w14:textId="78148723" w:rsidR="00944019" w:rsidRPr="00944019" w:rsidRDefault="00CE191E" w:rsidP="00944019">
      <w:pPr>
        <w:rPr>
          <w:rStyle w:val="Emphasis"/>
        </w:rPr>
      </w:pPr>
      <w:r>
        <w:rPr>
          <w:rStyle w:val="Emphasis"/>
        </w:rPr>
        <w:t>No time limit on access to disability employment services</w:t>
      </w:r>
    </w:p>
    <w:p w14:paraId="166E8419" w14:textId="4A2DD958" w:rsidR="00E7213D" w:rsidRDefault="00541101" w:rsidP="00222E83">
      <w:r>
        <w:t xml:space="preserve">There was </w:t>
      </w:r>
      <w:r w:rsidR="00A2521C">
        <w:t xml:space="preserve">general </w:t>
      </w:r>
      <w:r>
        <w:t>consensus that r</w:t>
      </w:r>
      <w:r w:rsidR="00F2486F">
        <w:t xml:space="preserve">emoving the 2-year time limit on </w:t>
      </w:r>
      <w:r w:rsidR="00660A31">
        <w:t xml:space="preserve">participation in DES </w:t>
      </w:r>
      <w:r w:rsidR="007C3085">
        <w:t xml:space="preserve">would result in </w:t>
      </w:r>
      <w:r w:rsidR="00436CCA">
        <w:t>improvements</w:t>
      </w:r>
      <w:r w:rsidR="007C3085">
        <w:t xml:space="preserve"> </w:t>
      </w:r>
      <w:r w:rsidR="007745EE">
        <w:t>for both</w:t>
      </w:r>
      <w:r w:rsidR="007C3085">
        <w:t xml:space="preserve"> participants and providers</w:t>
      </w:r>
      <w:r w:rsidR="00EB58C9">
        <w:t xml:space="preserve"> as</w:t>
      </w:r>
      <w:r w:rsidR="00F00320" w:rsidRPr="00F2486F">
        <w:t xml:space="preserve"> most who reach this limit reapply and re-enter DES</w:t>
      </w:r>
      <w:r w:rsidR="00EB58C9">
        <w:t>. However,</w:t>
      </w:r>
      <w:r w:rsidR="00F00320">
        <w:t xml:space="preserve"> </w:t>
      </w:r>
      <w:r w:rsidR="00A427F4">
        <w:t xml:space="preserve">some </w:t>
      </w:r>
      <w:r w:rsidR="00A2521C">
        <w:t xml:space="preserve">stakeholders suggested </w:t>
      </w:r>
      <w:r w:rsidR="007C3085">
        <w:t xml:space="preserve">that </w:t>
      </w:r>
      <w:r w:rsidR="00A427F4">
        <w:t xml:space="preserve">parameters </w:t>
      </w:r>
      <w:r w:rsidR="00E7213D">
        <w:t xml:space="preserve">around suitable checks on progress </w:t>
      </w:r>
      <w:r w:rsidR="00DC0F8C">
        <w:t xml:space="preserve">and/or appropriateness of </w:t>
      </w:r>
      <w:r w:rsidR="00425BA8">
        <w:t>the service need</w:t>
      </w:r>
      <w:r w:rsidR="00A2521C">
        <w:t>ed</w:t>
      </w:r>
      <w:r w:rsidR="00425BA8">
        <w:t xml:space="preserve"> to be considered.</w:t>
      </w:r>
    </w:p>
    <w:p w14:paraId="36125A93" w14:textId="6028B211" w:rsidR="00FA304C" w:rsidRDefault="004E2552" w:rsidP="00124418">
      <w:pPr>
        <w:keepNext/>
        <w:keepLines w:val="0"/>
      </w:pPr>
      <w:r>
        <w:lastRenderedPageBreak/>
        <w:t xml:space="preserve">Some of the benefits identified </w:t>
      </w:r>
      <w:r w:rsidR="00185B20">
        <w:t xml:space="preserve">by stakeholders </w:t>
      </w:r>
      <w:r>
        <w:t>included:</w:t>
      </w:r>
    </w:p>
    <w:p w14:paraId="422F5696" w14:textId="3FA1AB3F" w:rsidR="006F7CF3" w:rsidRDefault="00252C6D" w:rsidP="00124418">
      <w:pPr>
        <w:pStyle w:val="ListBullet"/>
        <w:keepNext/>
        <w:keepLines w:val="0"/>
      </w:pPr>
      <w:r>
        <w:t xml:space="preserve">Extending the support period, so that </w:t>
      </w:r>
      <w:r w:rsidR="00A5651B">
        <w:t>there</w:t>
      </w:r>
      <w:r>
        <w:t xml:space="preserve"> is</w:t>
      </w:r>
      <w:r w:rsidR="00B55ED9">
        <w:t xml:space="preserve"> l</w:t>
      </w:r>
      <w:r w:rsidR="006F7CF3">
        <w:t>ong</w:t>
      </w:r>
      <w:r w:rsidR="00670063">
        <w:t>er</w:t>
      </w:r>
      <w:r w:rsidR="006F7CF3">
        <w:t>-term, continuous support</w:t>
      </w:r>
      <w:r w:rsidR="00A5651B">
        <w:t>,</w:t>
      </w:r>
      <w:r w:rsidR="006F7CF3">
        <w:t xml:space="preserve"> </w:t>
      </w:r>
      <w:r w:rsidR="009678DA">
        <w:t>which</w:t>
      </w:r>
      <w:r w:rsidR="006F7CF3">
        <w:t xml:space="preserve"> would:</w:t>
      </w:r>
    </w:p>
    <w:p w14:paraId="282EC75C" w14:textId="1D162934" w:rsidR="004E2552" w:rsidRDefault="009678DA" w:rsidP="00124418">
      <w:pPr>
        <w:pStyle w:val="ListBullet"/>
        <w:keepNext/>
        <w:numPr>
          <w:ilvl w:val="1"/>
          <w:numId w:val="8"/>
        </w:numPr>
      </w:pPr>
      <w:r>
        <w:t xml:space="preserve">help </w:t>
      </w:r>
      <w:r w:rsidR="004E2552">
        <w:t xml:space="preserve">build effective relationships </w:t>
      </w:r>
      <w:r>
        <w:t xml:space="preserve">between </w:t>
      </w:r>
      <w:r w:rsidR="004E2552">
        <w:t>participants and providers</w:t>
      </w:r>
    </w:p>
    <w:p w14:paraId="62D71D88" w14:textId="43414613" w:rsidR="00EF1775" w:rsidRDefault="00EF1775" w:rsidP="00EB7BF9">
      <w:pPr>
        <w:pStyle w:val="ListBullet"/>
        <w:numPr>
          <w:ilvl w:val="1"/>
          <w:numId w:val="8"/>
        </w:numPr>
      </w:pPr>
      <w:r>
        <w:t>allow for those close to being job</w:t>
      </w:r>
      <w:r w:rsidR="42DAB1B3">
        <w:t>-</w:t>
      </w:r>
      <w:r>
        <w:t>ready more time to achieve a successful outcome</w:t>
      </w:r>
    </w:p>
    <w:p w14:paraId="644BA4E5" w14:textId="47812C96" w:rsidR="00AE0A82" w:rsidRDefault="00EF1775" w:rsidP="00EB7BF9">
      <w:pPr>
        <w:pStyle w:val="ListBullet"/>
        <w:numPr>
          <w:ilvl w:val="1"/>
          <w:numId w:val="8"/>
        </w:numPr>
      </w:pPr>
      <w:r>
        <w:t xml:space="preserve">allow </w:t>
      </w:r>
      <w:r w:rsidR="00AE0A82">
        <w:t xml:space="preserve">providers to support </w:t>
      </w:r>
      <w:r>
        <w:t>participants with complex needs</w:t>
      </w:r>
      <w:r w:rsidR="008E50C4">
        <w:t xml:space="preserve"> to address non-vocational barriers</w:t>
      </w:r>
      <w:r>
        <w:t>,</w:t>
      </w:r>
      <w:r w:rsidR="00C7011E">
        <w:t xml:space="preserve"> including those</w:t>
      </w:r>
      <w:r>
        <w:t xml:space="preserve"> waiting on medical interventions</w:t>
      </w:r>
      <w:r w:rsidR="00AE0A82">
        <w:t xml:space="preserve"> and/or</w:t>
      </w:r>
      <w:r>
        <w:t xml:space="preserve"> undertaking rehabilitation</w:t>
      </w:r>
    </w:p>
    <w:p w14:paraId="7C84EDF9" w14:textId="41984A56" w:rsidR="00EF1775" w:rsidRDefault="00AE0A82" w:rsidP="00EB7BF9">
      <w:pPr>
        <w:pStyle w:val="ListBullet"/>
        <w:numPr>
          <w:ilvl w:val="1"/>
          <w:numId w:val="8"/>
        </w:numPr>
      </w:pPr>
      <w:r>
        <w:t>allow for</w:t>
      </w:r>
      <w:r w:rsidR="00EF1775">
        <w:t xml:space="preserve"> those who require longer-term support to </w:t>
      </w:r>
      <w:r w:rsidR="005C3059">
        <w:t xml:space="preserve">build capacity and </w:t>
      </w:r>
      <w:r w:rsidR="00EF1775">
        <w:t xml:space="preserve">progress </w:t>
      </w:r>
      <w:r w:rsidR="00E758E6">
        <w:t>on</w:t>
      </w:r>
      <w:r w:rsidR="00EF1775">
        <w:t xml:space="preserve"> their pathway to employment</w:t>
      </w:r>
      <w:r w:rsidR="00E97B98">
        <w:t>,</w:t>
      </w:r>
      <w:r w:rsidR="000B63E0">
        <w:t xml:space="preserve"> and</w:t>
      </w:r>
    </w:p>
    <w:p w14:paraId="110D8A12" w14:textId="19DAA25C" w:rsidR="00614B8A" w:rsidRDefault="00614B8A" w:rsidP="00EB7BF9">
      <w:pPr>
        <w:pStyle w:val="ListBullet"/>
        <w:numPr>
          <w:ilvl w:val="1"/>
          <w:numId w:val="8"/>
        </w:numPr>
      </w:pPr>
      <w:r>
        <w:t>improve engagement with employers, who know that supports</w:t>
      </w:r>
      <w:r w:rsidR="00754356">
        <w:t xml:space="preserve"> will be provided for as long as needed</w:t>
      </w:r>
      <w:r w:rsidR="00457D4C">
        <w:t>.</w:t>
      </w:r>
    </w:p>
    <w:p w14:paraId="2D3321FD" w14:textId="5EACA830" w:rsidR="00477564" w:rsidRDefault="009C33B6" w:rsidP="00445D52">
      <w:pPr>
        <w:pStyle w:val="ListBullet"/>
      </w:pPr>
      <w:r>
        <w:t>R</w:t>
      </w:r>
      <w:r w:rsidR="00477564">
        <w:t>educ</w:t>
      </w:r>
      <w:r w:rsidR="00E97B98">
        <w:t>ing</w:t>
      </w:r>
      <w:r w:rsidR="00477564">
        <w:t xml:space="preserve"> the risk of participants </w:t>
      </w:r>
      <w:r w:rsidR="003C1A27">
        <w:t>being transferred to a new provider</w:t>
      </w:r>
      <w:r w:rsidR="00405267">
        <w:t xml:space="preserve"> — which can lead to disengagement and participants starting over </w:t>
      </w:r>
      <w:r w:rsidR="006F3B8D">
        <w:t>in their job</w:t>
      </w:r>
      <w:r w:rsidR="00332B3C">
        <w:t> </w:t>
      </w:r>
      <w:r w:rsidR="006F3B8D">
        <w:t>search</w:t>
      </w:r>
      <w:r w:rsidR="00332B3C">
        <w:t>.</w:t>
      </w:r>
    </w:p>
    <w:p w14:paraId="7F4C061C" w14:textId="11B1320F" w:rsidR="0005482F" w:rsidRDefault="009C33B6" w:rsidP="00445D52">
      <w:pPr>
        <w:pStyle w:val="ListBullet"/>
      </w:pPr>
      <w:r>
        <w:t>R</w:t>
      </w:r>
      <w:r w:rsidR="0005482F">
        <w:t>educ</w:t>
      </w:r>
      <w:r w:rsidR="00E97B98">
        <w:t>ing</w:t>
      </w:r>
      <w:r w:rsidR="0005482F">
        <w:t xml:space="preserve"> administration </w:t>
      </w:r>
      <w:r w:rsidR="004E5F1F">
        <w:t xml:space="preserve">associated with the current regularity of </w:t>
      </w:r>
      <w:r w:rsidR="000253AB">
        <w:t xml:space="preserve">exit reviews and </w:t>
      </w:r>
      <w:r w:rsidR="00463CC1">
        <w:t xml:space="preserve">Employment </w:t>
      </w:r>
      <w:r w:rsidR="4B38F103">
        <w:t>Service</w:t>
      </w:r>
      <w:r w:rsidR="58DF7FB4">
        <w:t>s</w:t>
      </w:r>
      <w:r w:rsidR="00463CC1">
        <w:t xml:space="preserve"> Assessments (</w:t>
      </w:r>
      <w:r w:rsidR="004E5F1F">
        <w:t>ESAts</w:t>
      </w:r>
      <w:r w:rsidR="00463CC1">
        <w:t>)</w:t>
      </w:r>
      <w:r w:rsidR="004E5F1F">
        <w:t>.</w:t>
      </w:r>
    </w:p>
    <w:p w14:paraId="11895BA7" w14:textId="7CE43B0A" w:rsidR="003B70E7" w:rsidRDefault="004E2552" w:rsidP="00445D52">
      <w:pPr>
        <w:pStyle w:val="ListBullet"/>
        <w:numPr>
          <w:ilvl w:val="0"/>
          <w:numId w:val="0"/>
        </w:numPr>
      </w:pPr>
      <w:r>
        <w:t xml:space="preserve">The key concern raised was that </w:t>
      </w:r>
      <w:r w:rsidR="00541101">
        <w:t xml:space="preserve">there would still need to be reassessment to determine if another program (or management by Services Australia) would be more </w:t>
      </w:r>
      <w:r w:rsidR="00660A31">
        <w:t>beneficial</w:t>
      </w:r>
      <w:r w:rsidR="00541101">
        <w:t>.</w:t>
      </w:r>
      <w:r w:rsidR="004E5F1F">
        <w:t xml:space="preserve"> </w:t>
      </w:r>
      <w:r w:rsidR="00005975">
        <w:t>Stakeholders though</w:t>
      </w:r>
      <w:r w:rsidR="0267C7A3">
        <w:t>t</w:t>
      </w:r>
      <w:r w:rsidR="00005975">
        <w:t xml:space="preserve"> that w</w:t>
      </w:r>
      <w:r w:rsidR="004E5F1F">
        <w:t xml:space="preserve">ithout any reassessment process, </w:t>
      </w:r>
      <w:r w:rsidR="00005975">
        <w:t>some</w:t>
      </w:r>
      <w:r w:rsidR="004E5F1F">
        <w:t xml:space="preserve"> participants could </w:t>
      </w:r>
      <w:r w:rsidR="007A3765">
        <w:t>“get stuck” with</w:t>
      </w:r>
      <w:r w:rsidR="00705769">
        <w:t xml:space="preserve"> a provider that is not best placed to meet their needs. </w:t>
      </w:r>
      <w:r w:rsidR="00FA304C">
        <w:t xml:space="preserve">An option put forward was </w:t>
      </w:r>
      <w:r w:rsidR="009E1263">
        <w:t xml:space="preserve">that </w:t>
      </w:r>
      <w:r w:rsidR="00FA304C">
        <w:t>the initial ESAt</w:t>
      </w:r>
      <w:r w:rsidR="00F540B9">
        <w:t xml:space="preserve"> recommend the timeframe for the next assessment.</w:t>
      </w:r>
    </w:p>
    <w:p w14:paraId="745EBABD" w14:textId="506EF428" w:rsidR="004E2552" w:rsidRDefault="00821529" w:rsidP="00445D52">
      <w:pPr>
        <w:pStyle w:val="ListBullet"/>
        <w:numPr>
          <w:ilvl w:val="0"/>
          <w:numId w:val="0"/>
        </w:numPr>
      </w:pPr>
      <w:r>
        <w:t xml:space="preserve">The feedback also </w:t>
      </w:r>
      <w:r w:rsidR="008B2CF1">
        <w:t>suggested</w:t>
      </w:r>
      <w:r>
        <w:t xml:space="preserve"> that p</w:t>
      </w:r>
      <w:r w:rsidR="00E63E3F">
        <w:t>rocesses allow</w:t>
      </w:r>
      <w:r>
        <w:t>ing</w:t>
      </w:r>
      <w:r w:rsidR="00E63E3F">
        <w:t xml:space="preserve"> participants to </w:t>
      </w:r>
      <w:r w:rsidR="000C45E4">
        <w:t>change</w:t>
      </w:r>
      <w:r w:rsidR="00E63E3F">
        <w:t xml:space="preserve"> providers should be maintained</w:t>
      </w:r>
      <w:r w:rsidR="003B70E7">
        <w:t xml:space="preserve">. However, </w:t>
      </w:r>
      <w:r w:rsidR="008B2CF1">
        <w:t>stakeholders</w:t>
      </w:r>
      <w:r w:rsidR="003B70E7">
        <w:t xml:space="preserve"> noted </w:t>
      </w:r>
      <w:r w:rsidR="008B2CF1">
        <w:t xml:space="preserve">the need for </w:t>
      </w:r>
      <w:r w:rsidR="0044009F">
        <w:t>sharp practices to be monitored — pa</w:t>
      </w:r>
      <w:r w:rsidR="0040604A">
        <w:t xml:space="preserve">rticularly </w:t>
      </w:r>
      <w:r w:rsidR="00075E0B">
        <w:t xml:space="preserve">movement </w:t>
      </w:r>
      <w:r w:rsidR="0040604A">
        <w:t>of “</w:t>
      </w:r>
      <w:r w:rsidR="00AE13D4">
        <w:t>extremely hard to place participants</w:t>
      </w:r>
      <w:r w:rsidR="0040604A">
        <w:t xml:space="preserve">” </w:t>
      </w:r>
      <w:r w:rsidR="00075E0B">
        <w:t>between Workforce Australia and DES</w:t>
      </w:r>
      <w:r w:rsidR="0040604A">
        <w:t>.</w:t>
      </w:r>
    </w:p>
    <w:p w14:paraId="6DF7059B" w14:textId="7FD6768E" w:rsidR="00222E83" w:rsidRDefault="00222E83" w:rsidP="00222E83">
      <w:pPr>
        <w:pStyle w:val="Heading1"/>
      </w:pPr>
      <w:bookmarkStart w:id="19" w:name="_Toc160715915"/>
      <w:r>
        <w:t>Discussion topic 2 – Service structure</w:t>
      </w:r>
      <w:bookmarkEnd w:id="19"/>
    </w:p>
    <w:p w14:paraId="7AF3970A" w14:textId="06B9E463" w:rsidR="00047D8E" w:rsidRDefault="00331A2E" w:rsidP="00222E83">
      <w:r>
        <w:t>Stakeholders recognised the value in trying to</w:t>
      </w:r>
      <w:r w:rsidR="00CA0B24">
        <w:t xml:space="preserve"> streamline the program, </w:t>
      </w:r>
      <w:r w:rsidR="00135466">
        <w:t xml:space="preserve">reduce </w:t>
      </w:r>
      <w:r w:rsidR="00CA0B24">
        <w:t xml:space="preserve">administrative </w:t>
      </w:r>
      <w:r w:rsidR="00135466">
        <w:t xml:space="preserve">burden </w:t>
      </w:r>
      <w:r w:rsidR="00CA0B24">
        <w:t xml:space="preserve">and allow providers to deliver a person-centred </w:t>
      </w:r>
      <w:r w:rsidR="49986BD9">
        <w:t>service</w:t>
      </w:r>
      <w:r w:rsidR="4731270F">
        <w:t>.</w:t>
      </w:r>
      <w:r w:rsidR="006F0BA1">
        <w:t xml:space="preserve"> </w:t>
      </w:r>
      <w:r>
        <w:t xml:space="preserve">However, </w:t>
      </w:r>
      <w:r w:rsidR="001E31C1">
        <w:t>t</w:t>
      </w:r>
      <w:r w:rsidR="00F20DBD">
        <w:t>here were mixed views on whether the proposed changes to service structure were warranted</w:t>
      </w:r>
      <w:r w:rsidR="00991992">
        <w:t>, and if implemented would come at the expense of service quality</w:t>
      </w:r>
      <w:r w:rsidR="002C65F0">
        <w:t>.</w:t>
      </w:r>
      <w:r w:rsidR="00EA0670">
        <w:t xml:space="preserve"> </w:t>
      </w:r>
      <w:r w:rsidR="00CF2EDF">
        <w:t xml:space="preserve">Those </w:t>
      </w:r>
      <w:r w:rsidR="006E4AB6">
        <w:t xml:space="preserve">who </w:t>
      </w:r>
      <w:r w:rsidR="00EA0670">
        <w:t xml:space="preserve">supported </w:t>
      </w:r>
      <w:r w:rsidR="007A6C1C">
        <w:t xml:space="preserve">the changes </w:t>
      </w:r>
      <w:r w:rsidR="00CF2EDF">
        <w:t xml:space="preserve">generally </w:t>
      </w:r>
      <w:r w:rsidR="006E4AB6">
        <w:t xml:space="preserve">noted </w:t>
      </w:r>
      <w:r w:rsidR="00CF2EDF">
        <w:t>that</w:t>
      </w:r>
      <w:r w:rsidR="00D81DB5">
        <w:t xml:space="preserve"> </w:t>
      </w:r>
      <w:r w:rsidR="007D32A7">
        <w:t xml:space="preserve">any changes </w:t>
      </w:r>
      <w:r w:rsidR="00CF2EDF">
        <w:t>would need to be</w:t>
      </w:r>
      <w:r w:rsidR="00D81DB5">
        <w:t xml:space="preserve"> underpinned by changes to the performance fra</w:t>
      </w:r>
      <w:r w:rsidR="00E330F6">
        <w:t>mework and funding model.</w:t>
      </w:r>
    </w:p>
    <w:p w14:paraId="6EE4D6AC" w14:textId="0B3E7144" w:rsidR="0002602D" w:rsidRDefault="007D32A7" w:rsidP="00222E83">
      <w:r>
        <w:t xml:space="preserve">Almost </w:t>
      </w:r>
      <w:r w:rsidR="00092482">
        <w:t xml:space="preserve">all </w:t>
      </w:r>
      <w:r w:rsidR="002109EB">
        <w:t xml:space="preserve">stakeholders noted </w:t>
      </w:r>
      <w:r w:rsidR="00092482">
        <w:t xml:space="preserve">the importance of tailored and flexible approaches to servicing, with </w:t>
      </w:r>
      <w:r w:rsidR="004F207B">
        <w:t>some pointing out how this is already a feature of the current model.</w:t>
      </w:r>
      <w:r w:rsidR="00092482">
        <w:t xml:space="preserve"> </w:t>
      </w:r>
      <w:r w:rsidR="0077641E">
        <w:t xml:space="preserve">Some were keen to engage further on </w:t>
      </w:r>
      <w:r w:rsidR="00073F74">
        <w:t>the concept of a</w:t>
      </w:r>
      <w:r w:rsidR="77DDECD6">
        <w:t xml:space="preserve"> </w:t>
      </w:r>
      <w:r w:rsidR="00E703E1">
        <w:t xml:space="preserve">flexible service </w:t>
      </w:r>
      <w:r w:rsidR="000155CE">
        <w:t>option</w:t>
      </w:r>
      <w:r w:rsidR="00C97FA6">
        <w:t xml:space="preserve">, as </w:t>
      </w:r>
      <w:r w:rsidR="0055394D">
        <w:t xml:space="preserve">they </w:t>
      </w:r>
      <w:r w:rsidR="00855E09">
        <w:t xml:space="preserve">thought having </w:t>
      </w:r>
      <w:r w:rsidR="00C97FA6">
        <w:t>more detail would help</w:t>
      </w:r>
      <w:r w:rsidR="0055394D">
        <w:t xml:space="preserve"> </w:t>
      </w:r>
      <w:r w:rsidR="00855E09">
        <w:t xml:space="preserve">them to identify </w:t>
      </w:r>
      <w:r w:rsidR="0055394D">
        <w:t>possible benefits and risks.</w:t>
      </w:r>
    </w:p>
    <w:p w14:paraId="212A6446" w14:textId="027FEF9C" w:rsidR="002A36B9" w:rsidRDefault="00925F4F" w:rsidP="00222E83">
      <w:r>
        <w:lastRenderedPageBreak/>
        <w:t>Other</w:t>
      </w:r>
      <w:r w:rsidR="00E5205C">
        <w:t xml:space="preserve"> </w:t>
      </w:r>
      <w:r>
        <w:t xml:space="preserve">feedback </w:t>
      </w:r>
      <w:r w:rsidR="006A5A4B">
        <w:t xml:space="preserve">focused on </w:t>
      </w:r>
      <w:r w:rsidR="00D44B3A">
        <w:t xml:space="preserve">ways that servicing requirements could be </w:t>
      </w:r>
      <w:r w:rsidR="003865C2">
        <w:t>less prescriptive</w:t>
      </w:r>
      <w:r w:rsidR="007D0128">
        <w:t xml:space="preserve"> and </w:t>
      </w:r>
      <w:r w:rsidR="00F44DFD">
        <w:t>allow fo</w:t>
      </w:r>
      <w:r w:rsidR="00121DEF">
        <w:t>r innovative practices.</w:t>
      </w:r>
      <w:r w:rsidR="004A78F1">
        <w:t xml:space="preserve"> </w:t>
      </w:r>
      <w:r w:rsidR="00555572">
        <w:t>For example,</w:t>
      </w:r>
      <w:r w:rsidR="00D60358">
        <w:t xml:space="preserve"> providers</w:t>
      </w:r>
      <w:r w:rsidR="00555572">
        <w:t xml:space="preserve"> </w:t>
      </w:r>
      <w:r w:rsidR="005B1857">
        <w:t xml:space="preserve">could </w:t>
      </w:r>
      <w:r w:rsidR="00577BC6">
        <w:t>offer</w:t>
      </w:r>
      <w:r w:rsidR="002D3838">
        <w:t xml:space="preserve"> a more flexible </w:t>
      </w:r>
      <w:r>
        <w:t xml:space="preserve">service </w:t>
      </w:r>
      <w:r w:rsidR="002D3838">
        <w:t xml:space="preserve">to participants </w:t>
      </w:r>
      <w:r w:rsidR="005B1857">
        <w:t xml:space="preserve">if they were </w:t>
      </w:r>
      <w:r w:rsidR="00367405">
        <w:t xml:space="preserve">able to offer mixed modes of delivery </w:t>
      </w:r>
      <w:r w:rsidR="001477B4">
        <w:t>(i.e.</w:t>
      </w:r>
      <w:r w:rsidR="00D60358">
        <w:t> </w:t>
      </w:r>
      <w:r w:rsidR="001477B4">
        <w:t>teleconferencing or videoconferencing)</w:t>
      </w:r>
      <w:r w:rsidR="00472D1B">
        <w:t xml:space="preserve"> and </w:t>
      </w:r>
      <w:r w:rsidR="00D60358">
        <w:t>hav</w:t>
      </w:r>
      <w:r w:rsidR="005B1857">
        <w:t>e</w:t>
      </w:r>
      <w:r w:rsidR="002946D8">
        <w:t xml:space="preserve"> </w:t>
      </w:r>
      <w:r w:rsidR="002871EE">
        <w:t>outreach</w:t>
      </w:r>
      <w:r w:rsidR="00841C2A">
        <w:t xml:space="preserve"> sites</w:t>
      </w:r>
      <w:r w:rsidR="00A71E4B">
        <w:t>/ mobile</w:t>
      </w:r>
      <w:r w:rsidR="00337E47">
        <w:t xml:space="preserve"> </w:t>
      </w:r>
      <w:r w:rsidR="00841C2A">
        <w:t>consultants</w:t>
      </w:r>
      <w:r w:rsidR="00607EEB">
        <w:t>.</w:t>
      </w:r>
    </w:p>
    <w:p w14:paraId="3A152FD7" w14:textId="1ECEC12C" w:rsidR="004A1B10" w:rsidRPr="00944019" w:rsidRDefault="00BD1DD2" w:rsidP="002A36B9">
      <w:pPr>
        <w:keepNext/>
        <w:rPr>
          <w:rStyle w:val="Emphasis"/>
        </w:rPr>
      </w:pPr>
      <w:r>
        <w:rPr>
          <w:rStyle w:val="Emphasis"/>
        </w:rPr>
        <w:t>Simplified program design</w:t>
      </w:r>
    </w:p>
    <w:p w14:paraId="01EE7035" w14:textId="53D8CC8F" w:rsidR="009E1A39" w:rsidRDefault="009E1A39" w:rsidP="00504CB2">
      <w:r>
        <w:t xml:space="preserve">Consistent with previous consultations, there were mixed views </w:t>
      </w:r>
      <w:r w:rsidR="00925F4F">
        <w:t xml:space="preserve">about </w:t>
      </w:r>
      <w:r>
        <w:t>whether the</w:t>
      </w:r>
      <w:r w:rsidR="00786A6B">
        <w:t xml:space="preserve"> two existing </w:t>
      </w:r>
      <w:r w:rsidR="53B57432">
        <w:t>sub-</w:t>
      </w:r>
      <w:r w:rsidR="00786A6B">
        <w:t>programs —</w:t>
      </w:r>
      <w:r w:rsidR="00613D26">
        <w:t xml:space="preserve"> </w:t>
      </w:r>
      <w:r w:rsidR="00786A6B">
        <w:t xml:space="preserve">DMS and ESS — should be retained or </w:t>
      </w:r>
      <w:r w:rsidR="007F563F">
        <w:t xml:space="preserve">be </w:t>
      </w:r>
      <w:r w:rsidR="3BB03EF9">
        <w:t>consolidated in</w:t>
      </w:r>
      <w:r w:rsidR="00613D26">
        <w:t>to a single program under the</w:t>
      </w:r>
      <w:r w:rsidR="007F563F">
        <w:t xml:space="preserve"> new model.</w:t>
      </w:r>
    </w:p>
    <w:p w14:paraId="0A730524" w14:textId="75ED6443" w:rsidR="004E5F1F" w:rsidRDefault="004A4C14" w:rsidP="00222E83">
      <w:r>
        <w:t xml:space="preserve">One </w:t>
      </w:r>
      <w:r w:rsidR="009C3087">
        <w:t>theme</w:t>
      </w:r>
      <w:r>
        <w:t xml:space="preserve"> that underpinned the discussion was </w:t>
      </w:r>
      <w:r w:rsidR="004E5F1F">
        <w:t xml:space="preserve">whether the two programs were delivering a similar service or </w:t>
      </w:r>
      <w:r w:rsidR="008B1683">
        <w:t>had unique elements that needed to be retained.</w:t>
      </w:r>
      <w:r w:rsidR="00687018">
        <w:t xml:space="preserve"> </w:t>
      </w:r>
      <w:r w:rsidR="006C0F49">
        <w:t>A</w:t>
      </w:r>
      <w:r w:rsidR="6B255A9B">
        <w:t xml:space="preserve"> concern</w:t>
      </w:r>
      <w:r w:rsidR="006C0F49">
        <w:t xml:space="preserve"> was </w:t>
      </w:r>
      <w:r w:rsidR="00D866B6">
        <w:t>whether</w:t>
      </w:r>
      <w:r w:rsidR="006C0F49">
        <w:t xml:space="preserve"> </w:t>
      </w:r>
      <w:r w:rsidR="009C3087">
        <w:t xml:space="preserve">the service structure </w:t>
      </w:r>
      <w:r w:rsidR="00D866B6">
        <w:t>would</w:t>
      </w:r>
      <w:r w:rsidR="009C3087">
        <w:t xml:space="preserve"> </w:t>
      </w:r>
      <w:r w:rsidR="00E71623">
        <w:t>become “one size fits all” if</w:t>
      </w:r>
      <w:r w:rsidR="00EB7BF9">
        <w:t xml:space="preserve"> t</w:t>
      </w:r>
      <w:r w:rsidR="00E71623">
        <w:t xml:space="preserve">he programs </w:t>
      </w:r>
      <w:r w:rsidR="00A8370D">
        <w:t>we</w:t>
      </w:r>
      <w:r w:rsidR="00E71623">
        <w:t>re merged</w:t>
      </w:r>
      <w:r w:rsidR="006C0F49">
        <w:t>.</w:t>
      </w:r>
    </w:p>
    <w:p w14:paraId="58D379DC" w14:textId="3A599F83" w:rsidR="00601D87" w:rsidRDefault="00683402" w:rsidP="00613D26">
      <w:pPr>
        <w:keepNext/>
      </w:pPr>
      <w:r>
        <w:t>Stakeholder views on the b</w:t>
      </w:r>
      <w:r w:rsidR="00D37234">
        <w:t xml:space="preserve">enefits of merging </w:t>
      </w:r>
      <w:r w:rsidR="007F563F">
        <w:t>DMS and ESS</w:t>
      </w:r>
      <w:r w:rsidR="00D37234">
        <w:t xml:space="preserve"> into a single program included:</w:t>
      </w:r>
    </w:p>
    <w:p w14:paraId="7EAEE065" w14:textId="67B7456F" w:rsidR="00FC1E3B" w:rsidRDefault="00B6119B" w:rsidP="00445D52">
      <w:pPr>
        <w:pStyle w:val="ListBullet"/>
      </w:pPr>
      <w:r>
        <w:t>Offering a</w:t>
      </w:r>
      <w:r w:rsidR="00105062">
        <w:t xml:space="preserve"> </w:t>
      </w:r>
      <w:r w:rsidR="00B27053">
        <w:t>“</w:t>
      </w:r>
      <w:r w:rsidR="009367E6">
        <w:t>universal</w:t>
      </w:r>
      <w:r w:rsidR="00B27053">
        <w:t>”</w:t>
      </w:r>
      <w:r w:rsidR="009367E6">
        <w:t xml:space="preserve"> service to people with disability</w:t>
      </w:r>
      <w:r w:rsidR="008B1683">
        <w:t xml:space="preserve">, </w:t>
      </w:r>
      <w:r w:rsidR="00A9489C">
        <w:t xml:space="preserve">as </w:t>
      </w:r>
      <w:r w:rsidR="006A2E9F">
        <w:t xml:space="preserve">opposed to </w:t>
      </w:r>
      <w:r w:rsidR="00A9489C">
        <w:t xml:space="preserve">one that offers different supports </w:t>
      </w:r>
      <w:r w:rsidR="00DC3C29">
        <w:t xml:space="preserve">depending on </w:t>
      </w:r>
      <w:r w:rsidR="00481895">
        <w:t xml:space="preserve">whether </w:t>
      </w:r>
      <w:r w:rsidR="00DC3C29">
        <w:t>the</w:t>
      </w:r>
      <w:r w:rsidR="006A2E9F">
        <w:t xml:space="preserve"> disability is permanent or </w:t>
      </w:r>
      <w:r w:rsidR="00B53406">
        <w:t xml:space="preserve">temporary/ </w:t>
      </w:r>
      <w:r w:rsidR="006A2E9F">
        <w:t>episodic in nature.</w:t>
      </w:r>
    </w:p>
    <w:p w14:paraId="485DE11D" w14:textId="0AFD21BF" w:rsidR="004E5F1F" w:rsidRDefault="004E5F1F" w:rsidP="00445D52">
      <w:pPr>
        <w:pStyle w:val="ListBullet"/>
      </w:pPr>
      <w:r>
        <w:t>Greater continuity of support</w:t>
      </w:r>
      <w:r w:rsidR="00B91DF1">
        <w:t>, as p</w:t>
      </w:r>
      <w:r w:rsidR="00A427F4">
        <w:t>articipants would no longer be at risk of shifting from one DES program to the other following re-assessment</w:t>
      </w:r>
      <w:r>
        <w:t>.</w:t>
      </w:r>
    </w:p>
    <w:p w14:paraId="58132222" w14:textId="610FD49C" w:rsidR="00DC3C29" w:rsidRDefault="00DC3C29" w:rsidP="00445D52">
      <w:pPr>
        <w:pStyle w:val="ListBullet"/>
      </w:pPr>
      <w:r>
        <w:t>Increas</w:t>
      </w:r>
      <w:r w:rsidR="00B6119B">
        <w:t>ing</w:t>
      </w:r>
      <w:r>
        <w:t xml:space="preserve"> access to ongoing support</w:t>
      </w:r>
      <w:r w:rsidR="003671B0">
        <w:t>, as DMS participants are not afforded the same level</w:t>
      </w:r>
      <w:r w:rsidR="00481895">
        <w:t xml:space="preserve"> of ongoing support</w:t>
      </w:r>
      <w:r w:rsidR="003671B0">
        <w:t xml:space="preserve"> as ESS participants.</w:t>
      </w:r>
    </w:p>
    <w:p w14:paraId="5D164A31" w14:textId="375C4D1F" w:rsidR="00A427F4" w:rsidRDefault="00B6119B" w:rsidP="00445D52">
      <w:pPr>
        <w:pStyle w:val="ListBullet"/>
      </w:pPr>
      <w:r>
        <w:t xml:space="preserve">Simplifying </w:t>
      </w:r>
      <w:r w:rsidR="00F17BD2">
        <w:t xml:space="preserve">the </w:t>
      </w:r>
      <w:r w:rsidR="00A427F4">
        <w:t xml:space="preserve">assessment </w:t>
      </w:r>
      <w:r>
        <w:t xml:space="preserve">processes </w:t>
      </w:r>
      <w:r w:rsidR="00F17BD2">
        <w:t>for</w:t>
      </w:r>
      <w:r w:rsidR="00A427F4">
        <w:t xml:space="preserve"> </w:t>
      </w:r>
      <w:r w:rsidR="00635482">
        <w:t xml:space="preserve">National Panel of Assessors </w:t>
      </w:r>
      <w:r w:rsidR="00A427F4">
        <w:t>provider</w:t>
      </w:r>
      <w:r w:rsidR="00F17BD2">
        <w:t>s</w:t>
      </w:r>
      <w:r w:rsidR="00CC6195">
        <w:t xml:space="preserve">, for both referral to </w:t>
      </w:r>
      <w:r w:rsidR="005A44EA">
        <w:t xml:space="preserve">the program and </w:t>
      </w:r>
      <w:r w:rsidR="009F235E">
        <w:t>ongoing support</w:t>
      </w:r>
      <w:r w:rsidR="00FC0995">
        <w:t xml:space="preserve">, and reducing </w:t>
      </w:r>
      <w:bookmarkStart w:id="20" w:name="_Int_XB9L4dYy"/>
      <w:r w:rsidR="00FC0995">
        <w:t>possible inconsistencies</w:t>
      </w:r>
      <w:bookmarkEnd w:id="20"/>
      <w:r w:rsidR="00FC0995">
        <w:t xml:space="preserve"> in the referral process (in terms of recommendations for DMS or ESS)</w:t>
      </w:r>
      <w:r w:rsidR="008F72AA">
        <w:t>.</w:t>
      </w:r>
    </w:p>
    <w:p w14:paraId="722E933B" w14:textId="7BF20CD4" w:rsidR="00801B5D" w:rsidRDefault="004E5F1F" w:rsidP="00445D52">
      <w:pPr>
        <w:pStyle w:val="ListBullet"/>
      </w:pPr>
      <w:r>
        <w:t>Decreas</w:t>
      </w:r>
      <w:r w:rsidR="008F72AA">
        <w:t>ing</w:t>
      </w:r>
      <w:r>
        <w:t xml:space="preserve"> the complexity </w:t>
      </w:r>
      <w:r w:rsidR="0020568F">
        <w:t xml:space="preserve">(and associated administrative burden) </w:t>
      </w:r>
      <w:r>
        <w:t>involved in the management of two separate contracts</w:t>
      </w:r>
      <w:r w:rsidR="008F72AA">
        <w:t>.</w:t>
      </w:r>
    </w:p>
    <w:p w14:paraId="1F44F3CB" w14:textId="16E46E34" w:rsidR="00601D87" w:rsidRDefault="006A2E9F" w:rsidP="00222E83">
      <w:r>
        <w:t>Risk</w:t>
      </w:r>
      <w:r w:rsidR="00601D87">
        <w:t xml:space="preserve">s and </w:t>
      </w:r>
      <w:r w:rsidR="00660A31">
        <w:t>concerns</w:t>
      </w:r>
      <w:r w:rsidR="00601D87">
        <w:t xml:space="preserve"> raised </w:t>
      </w:r>
      <w:r w:rsidR="00597BF1">
        <w:t xml:space="preserve">by stakeholders </w:t>
      </w:r>
      <w:r w:rsidR="00601D87">
        <w:t>included:</w:t>
      </w:r>
    </w:p>
    <w:p w14:paraId="2F5CF101" w14:textId="7CEC26D2" w:rsidR="00477050" w:rsidRDefault="001133B7" w:rsidP="00445D52">
      <w:pPr>
        <w:pStyle w:val="ListBullet"/>
      </w:pPr>
      <w:r>
        <w:t>P</w:t>
      </w:r>
      <w:r w:rsidR="007A50F4">
        <w:t xml:space="preserve">otential for reduced </w:t>
      </w:r>
      <w:r w:rsidR="00477050">
        <w:t>choice and control for participants.</w:t>
      </w:r>
    </w:p>
    <w:p w14:paraId="0A88833D" w14:textId="27110A8A" w:rsidR="00660A31" w:rsidRDefault="00660A31" w:rsidP="00445D52">
      <w:pPr>
        <w:pStyle w:val="ListBullet"/>
      </w:pPr>
      <w:bookmarkStart w:id="21" w:name="_Int_aaIPHt4z"/>
      <w:r>
        <w:t>Possible referral</w:t>
      </w:r>
      <w:bookmarkEnd w:id="21"/>
      <w:r>
        <w:t xml:space="preserve"> of current DMS participants</w:t>
      </w:r>
      <w:r w:rsidR="00013704">
        <w:t>, or participants who would have been eligible for DMS,</w:t>
      </w:r>
      <w:r>
        <w:t xml:space="preserve"> into Workforce Australia.</w:t>
      </w:r>
    </w:p>
    <w:p w14:paraId="6C0F86D9" w14:textId="118BA505" w:rsidR="006A2E9F" w:rsidRDefault="00BD4331" w:rsidP="00445D52">
      <w:pPr>
        <w:pStyle w:val="ListBullet"/>
      </w:pPr>
      <w:r>
        <w:t>Loss of customised, cohort specific services</w:t>
      </w:r>
      <w:r w:rsidR="00C13F83">
        <w:t xml:space="preserve"> — for example, the</w:t>
      </w:r>
      <w:r w:rsidR="00E8021F">
        <w:t xml:space="preserve"> </w:t>
      </w:r>
      <w:r w:rsidR="00C13F83">
        <w:t xml:space="preserve">expertise in vocational rehabilitation found amongst </w:t>
      </w:r>
      <w:r w:rsidR="00E4317D">
        <w:t xml:space="preserve">DMS </w:t>
      </w:r>
      <w:r w:rsidR="00C13F83">
        <w:t>providers</w:t>
      </w:r>
      <w:r w:rsidR="00070E6F">
        <w:t>.</w:t>
      </w:r>
    </w:p>
    <w:p w14:paraId="7DEEC401" w14:textId="33F0C6F9" w:rsidR="00BD4331" w:rsidRDefault="00477050" w:rsidP="00445D52">
      <w:pPr>
        <w:pStyle w:val="ListBullet"/>
      </w:pPr>
      <w:r>
        <w:t xml:space="preserve">Loss of </w:t>
      </w:r>
      <w:r w:rsidR="00934DE6">
        <w:t>high-</w:t>
      </w:r>
      <w:r w:rsidR="00A055ED">
        <w:t>performing</w:t>
      </w:r>
      <w:r>
        <w:t xml:space="preserve"> staff who may have</w:t>
      </w:r>
      <w:r w:rsidR="00047D8E">
        <w:t xml:space="preserve"> concerns over job insecurity and i</w:t>
      </w:r>
      <w:r>
        <w:t>nstability as a result of this change.</w:t>
      </w:r>
    </w:p>
    <w:p w14:paraId="493CFDAD" w14:textId="174A9F45" w:rsidR="00420B9E" w:rsidRDefault="00363FB7" w:rsidP="00445D52">
      <w:pPr>
        <w:pStyle w:val="ListBullet"/>
      </w:pPr>
      <w:r>
        <w:t>Temporary disruptions to services during transition.</w:t>
      </w:r>
    </w:p>
    <w:p w14:paraId="6DE94664" w14:textId="5BD41E6A" w:rsidR="004E5F1F" w:rsidRDefault="004E5F1F" w:rsidP="00445D52">
      <w:pPr>
        <w:pStyle w:val="ListBullet"/>
      </w:pPr>
      <w:r>
        <w:t xml:space="preserve">Not getting the balance of funding right to support those with different levels </w:t>
      </w:r>
      <w:r w:rsidR="007A50F4">
        <w:t xml:space="preserve">of </w:t>
      </w:r>
      <w:r>
        <w:t>service and support needs.</w:t>
      </w:r>
    </w:p>
    <w:p w14:paraId="6E3504EE" w14:textId="2F8C3BAB" w:rsidR="00944019" w:rsidRPr="00944019" w:rsidRDefault="00EB7BF9" w:rsidP="00EB7BF9">
      <w:pPr>
        <w:keepNext/>
        <w:rPr>
          <w:rStyle w:val="Emphasis"/>
        </w:rPr>
      </w:pPr>
      <w:r>
        <w:rPr>
          <w:rStyle w:val="Emphasis"/>
        </w:rPr>
        <w:lastRenderedPageBreak/>
        <w:t>Service offers that embed flexibility and recognise capacity to engage</w:t>
      </w:r>
    </w:p>
    <w:p w14:paraId="5FEF4E42" w14:textId="5BD6435C" w:rsidR="00601D87" w:rsidRDefault="00601D87" w:rsidP="00EB7BF9">
      <w:r>
        <w:t>There was in</w:t>
      </w:r>
      <w:r w:rsidR="007A50F4">
        <w:t>-</w:t>
      </w:r>
      <w:r>
        <w:t>principle support for having two streams of service offering —</w:t>
      </w:r>
      <w:r w:rsidR="04785745">
        <w:t xml:space="preserve"> </w:t>
      </w:r>
      <w:r>
        <w:t>more flexible servic</w:t>
      </w:r>
      <w:r w:rsidR="000462F5">
        <w:t>ing</w:t>
      </w:r>
      <w:r>
        <w:t xml:space="preserve"> for those already engaging in other activities or with circumstances that limited their engagement</w:t>
      </w:r>
      <w:r w:rsidR="000462F5">
        <w:t>,</w:t>
      </w:r>
      <w:r>
        <w:t xml:space="preserve"> and </w:t>
      </w:r>
      <w:r w:rsidR="000462F5">
        <w:t xml:space="preserve">more </w:t>
      </w:r>
      <w:r>
        <w:t>intensive servic</w:t>
      </w:r>
      <w:r w:rsidR="000462F5">
        <w:t>ing</w:t>
      </w:r>
      <w:r>
        <w:t xml:space="preserve"> for those who </w:t>
      </w:r>
      <w:r w:rsidR="3F2413D6">
        <w:t>can</w:t>
      </w:r>
      <w:r>
        <w:t xml:space="preserve"> engage intensively with the provider. That said, </w:t>
      </w:r>
      <w:r w:rsidR="00EB7BF9">
        <w:t xml:space="preserve">some </w:t>
      </w:r>
      <w:r w:rsidR="000462F5">
        <w:t xml:space="preserve">stakeholders </w:t>
      </w:r>
      <w:r w:rsidR="00EB7BF9">
        <w:t>were unwilling to endorse this concept</w:t>
      </w:r>
      <w:r>
        <w:t xml:space="preserve"> without</w:t>
      </w:r>
      <w:r w:rsidR="00EB7BF9">
        <w:t xml:space="preserve"> further</w:t>
      </w:r>
      <w:r>
        <w:t xml:space="preserve"> details</w:t>
      </w:r>
      <w:r w:rsidR="00EB7BF9">
        <w:t xml:space="preserve"> on </w:t>
      </w:r>
      <w:r>
        <w:t xml:space="preserve">the </w:t>
      </w:r>
      <w:r w:rsidR="00EB7BF9">
        <w:t>flexible servic</w:t>
      </w:r>
      <w:r>
        <w:t xml:space="preserve">e </w:t>
      </w:r>
      <w:r w:rsidR="007B0448">
        <w:t>option</w:t>
      </w:r>
      <w:r w:rsidR="005F5AC3">
        <w:t xml:space="preserve">, </w:t>
      </w:r>
      <w:r w:rsidR="000462F5">
        <w:t xml:space="preserve">in particular </w:t>
      </w:r>
      <w:r w:rsidR="005F5AC3">
        <w:t xml:space="preserve">details </w:t>
      </w:r>
      <w:r w:rsidR="000462F5">
        <w:t xml:space="preserve">about </w:t>
      </w:r>
      <w:r w:rsidR="005F5AC3">
        <w:t>who would determine eligibility</w:t>
      </w:r>
      <w:r w:rsidR="000462F5">
        <w:t>,</w:t>
      </w:r>
      <w:r w:rsidR="005F5AC3">
        <w:t xml:space="preserve"> and how </w:t>
      </w:r>
      <w:r w:rsidR="00CB7B3A">
        <w:t>the service offer</w:t>
      </w:r>
      <w:r w:rsidR="007B6F03">
        <w:t>s</w:t>
      </w:r>
      <w:r w:rsidR="000462F5">
        <w:t xml:space="preserve"> </w:t>
      </w:r>
      <w:r w:rsidR="005F5AC3">
        <w:t xml:space="preserve">would interact with </w:t>
      </w:r>
      <w:r w:rsidR="00225437">
        <w:t xml:space="preserve">job search </w:t>
      </w:r>
      <w:r w:rsidR="005D0A60">
        <w:t xml:space="preserve">requirements </w:t>
      </w:r>
      <w:r w:rsidR="00225437">
        <w:t xml:space="preserve">and </w:t>
      </w:r>
      <w:r w:rsidR="005F5AC3">
        <w:t>mutual obligation requirements</w:t>
      </w:r>
      <w:r w:rsidR="005D0A60">
        <w:t xml:space="preserve"> more generally</w:t>
      </w:r>
      <w:r w:rsidR="005F5AC3">
        <w:t>.</w:t>
      </w:r>
    </w:p>
    <w:p w14:paraId="73FC9C79" w14:textId="4E9AC027" w:rsidR="005F5AC3" w:rsidRDefault="000462F5" w:rsidP="00EB7BF9">
      <w:r>
        <w:t xml:space="preserve">Stakeholders identified </w:t>
      </w:r>
      <w:r w:rsidR="00DF5431">
        <w:t xml:space="preserve">several groups </w:t>
      </w:r>
      <w:r w:rsidR="00225437">
        <w:t xml:space="preserve">who </w:t>
      </w:r>
      <w:r w:rsidR="009C06D0">
        <w:t xml:space="preserve">they </w:t>
      </w:r>
      <w:r w:rsidR="0C81E61B">
        <w:t>thought</w:t>
      </w:r>
      <w:r w:rsidR="009C06D0">
        <w:t xml:space="preserve"> </w:t>
      </w:r>
      <w:r w:rsidR="00225437">
        <w:t xml:space="preserve">could benefit from the flexible service </w:t>
      </w:r>
      <w:r w:rsidR="007B0448">
        <w:t>option</w:t>
      </w:r>
      <w:r w:rsidR="00805C3B">
        <w:t>, such as</w:t>
      </w:r>
      <w:r w:rsidR="00225437">
        <w:t>:</w:t>
      </w:r>
    </w:p>
    <w:p w14:paraId="2E9465B7" w14:textId="3CFABCCD" w:rsidR="005D0A60" w:rsidRDefault="00885993" w:rsidP="00225437">
      <w:pPr>
        <w:pStyle w:val="ListBullet"/>
      </w:pPr>
      <w:r>
        <w:t>p</w:t>
      </w:r>
      <w:r w:rsidR="00225437" w:rsidRPr="00225437">
        <w:t>eople who are not on income support</w:t>
      </w:r>
    </w:p>
    <w:p w14:paraId="4912DE71" w14:textId="7A29E3A1" w:rsidR="005D0A60" w:rsidRDefault="005D0A60" w:rsidP="005D0A60">
      <w:pPr>
        <w:pStyle w:val="ListBullet"/>
      </w:pPr>
      <w:r>
        <w:t xml:space="preserve">NDIS participants who </w:t>
      </w:r>
      <w:r w:rsidR="0051467C">
        <w:t>are</w:t>
      </w:r>
      <w:r>
        <w:t xml:space="preserve"> receiving assistance from multiple disability services</w:t>
      </w:r>
    </w:p>
    <w:p w14:paraId="53269DA2" w14:textId="2D0C8800" w:rsidR="00225437" w:rsidRDefault="00885993" w:rsidP="00225437">
      <w:pPr>
        <w:pStyle w:val="ListBullet"/>
      </w:pPr>
      <w:r>
        <w:t>p</w:t>
      </w:r>
      <w:r w:rsidR="00225437">
        <w:t xml:space="preserve">articipants who </w:t>
      </w:r>
      <w:r w:rsidR="00225437" w:rsidRPr="00225437">
        <w:t>have temporary exemptions</w:t>
      </w:r>
      <w:r w:rsidR="00236284">
        <w:t xml:space="preserve"> due to </w:t>
      </w:r>
      <w:r w:rsidR="00CF5C2A">
        <w:t xml:space="preserve">their </w:t>
      </w:r>
      <w:r w:rsidR="00236284">
        <w:t>health</w:t>
      </w:r>
    </w:p>
    <w:p w14:paraId="1935E22E" w14:textId="6BD72319" w:rsidR="00225437" w:rsidRDefault="00885993" w:rsidP="00225437">
      <w:pPr>
        <w:pStyle w:val="ListBullet"/>
      </w:pPr>
      <w:r>
        <w:t>p</w:t>
      </w:r>
      <w:r w:rsidR="00225437">
        <w:t xml:space="preserve">articipants who </w:t>
      </w:r>
      <w:r w:rsidR="00225437" w:rsidRPr="00225437">
        <w:t xml:space="preserve">are engaged in partial work, </w:t>
      </w:r>
      <w:r w:rsidR="00225437">
        <w:t xml:space="preserve">particularly if </w:t>
      </w:r>
      <w:r w:rsidR="007061A8">
        <w:t xml:space="preserve">they want to increase </w:t>
      </w:r>
      <w:r w:rsidR="0087118E">
        <w:t>their hours and/or income</w:t>
      </w:r>
    </w:p>
    <w:p w14:paraId="2BC024C2" w14:textId="077CE08C" w:rsidR="00225437" w:rsidRDefault="00885993" w:rsidP="00225437">
      <w:pPr>
        <w:pStyle w:val="ListBullet"/>
      </w:pPr>
      <w:r>
        <w:t>p</w:t>
      </w:r>
      <w:r w:rsidR="007061A8">
        <w:t xml:space="preserve">articipants who are engaged in </w:t>
      </w:r>
      <w:r w:rsidR="00225437" w:rsidRPr="00225437">
        <w:t>non-vocational activities</w:t>
      </w:r>
      <w:r w:rsidR="00225437">
        <w:t xml:space="preserve"> or</w:t>
      </w:r>
      <w:r w:rsidR="00225437" w:rsidRPr="00225437">
        <w:t xml:space="preserve"> education</w:t>
      </w:r>
      <w:r w:rsidR="00225437">
        <w:t xml:space="preserve"> and training, particularly if they </w:t>
      </w:r>
      <w:r w:rsidR="00121EB0">
        <w:t>are</w:t>
      </w:r>
      <w:r w:rsidR="00225437">
        <w:t xml:space="preserve"> still looking for work</w:t>
      </w:r>
      <w:r>
        <w:t>, and</w:t>
      </w:r>
    </w:p>
    <w:p w14:paraId="54347026" w14:textId="5CBF1228" w:rsidR="00225437" w:rsidRDefault="00885993" w:rsidP="00225437">
      <w:pPr>
        <w:pStyle w:val="ListBullet"/>
      </w:pPr>
      <w:r>
        <w:t>a</w:t>
      </w:r>
      <w:r w:rsidR="00971969">
        <w:t>ny p</w:t>
      </w:r>
      <w:r w:rsidR="00225437" w:rsidRPr="00225437">
        <w:t xml:space="preserve">articipant </w:t>
      </w:r>
      <w:r w:rsidR="00F32C5B">
        <w:t>whose</w:t>
      </w:r>
      <w:r w:rsidR="00225437" w:rsidRPr="00225437">
        <w:t xml:space="preserve"> current circumstances limit</w:t>
      </w:r>
      <w:r w:rsidR="00F32C5B">
        <w:t>s</w:t>
      </w:r>
      <w:r w:rsidR="00225437" w:rsidRPr="00225437">
        <w:t xml:space="preserve"> their capacity</w:t>
      </w:r>
      <w:r w:rsidR="00225437">
        <w:t xml:space="preserve"> to engage with employment services</w:t>
      </w:r>
      <w:r w:rsidR="00971969">
        <w:t xml:space="preserve"> but who would struggle to get a mutual obligation exemption</w:t>
      </w:r>
      <w:r w:rsidR="00225437">
        <w:t>.</w:t>
      </w:r>
    </w:p>
    <w:p w14:paraId="3E2CA42E" w14:textId="7FEFE43F" w:rsidR="005F5AC3" w:rsidRDefault="005F5AC3" w:rsidP="00EB7BF9">
      <w:r>
        <w:t xml:space="preserve">Benefits of the flexible service </w:t>
      </w:r>
      <w:r w:rsidR="007B0448">
        <w:t>option</w:t>
      </w:r>
      <w:r>
        <w:t xml:space="preserve"> identified </w:t>
      </w:r>
      <w:r w:rsidR="00885993">
        <w:t xml:space="preserve">by stakeholders </w:t>
      </w:r>
      <w:r>
        <w:t>included:</w:t>
      </w:r>
    </w:p>
    <w:p w14:paraId="682AA84D" w14:textId="0055F468" w:rsidR="00832565" w:rsidRDefault="005F5AC3" w:rsidP="005F5AC3">
      <w:pPr>
        <w:pStyle w:val="ListBullet"/>
      </w:pPr>
      <w:r>
        <w:t>A way to maintain connection</w:t>
      </w:r>
      <w:r w:rsidR="007C4353">
        <w:t xml:space="preserve"> with the provider</w:t>
      </w:r>
      <w:r>
        <w:t xml:space="preserve">, with some noting that for </w:t>
      </w:r>
      <w:bookmarkStart w:id="22" w:name="_Int_H9IiHFng"/>
      <w:r w:rsidR="00832565">
        <w:t>a number of</w:t>
      </w:r>
      <w:bookmarkEnd w:id="22"/>
      <w:r w:rsidR="00832565">
        <w:t xml:space="preserve"> </w:t>
      </w:r>
      <w:r w:rsidR="007B1465">
        <w:t xml:space="preserve">DES </w:t>
      </w:r>
      <w:r w:rsidR="00832565">
        <w:t>participants</w:t>
      </w:r>
      <w:r w:rsidR="00D173B7">
        <w:t xml:space="preserve"> their</w:t>
      </w:r>
      <w:r w:rsidR="00832565">
        <w:t xml:space="preserve"> </w:t>
      </w:r>
      <w:r w:rsidR="00003EE8">
        <w:t>appointments</w:t>
      </w:r>
      <w:r w:rsidR="00832565">
        <w:t xml:space="preserve"> can be their only contact with people on a regular basis</w:t>
      </w:r>
      <w:r>
        <w:t>.</w:t>
      </w:r>
    </w:p>
    <w:p w14:paraId="6AE53962" w14:textId="57494EA2" w:rsidR="007C4353" w:rsidRDefault="007C4353" w:rsidP="005F5AC3">
      <w:pPr>
        <w:pStyle w:val="ListBullet"/>
      </w:pPr>
      <w:r>
        <w:t xml:space="preserve">A way to </w:t>
      </w:r>
      <w:r w:rsidR="006F3E73">
        <w:t>encourage</w:t>
      </w:r>
      <w:r w:rsidR="00EA1B31">
        <w:t>/ increase</w:t>
      </w:r>
      <w:r w:rsidR="006F3E73">
        <w:t xml:space="preserve"> workforce participation</w:t>
      </w:r>
      <w:r w:rsidR="00C62510">
        <w:t xml:space="preserve"> for more people with </w:t>
      </w:r>
      <w:r w:rsidR="00BA4B41">
        <w:t>disability</w:t>
      </w:r>
      <w:r w:rsidR="00B00968">
        <w:t>.</w:t>
      </w:r>
    </w:p>
    <w:p w14:paraId="5DB85E7C" w14:textId="77777777" w:rsidR="009A1B57" w:rsidRPr="00222E83" w:rsidRDefault="009A1B57" w:rsidP="009A1B57">
      <w:pPr>
        <w:pStyle w:val="ListBullet"/>
      </w:pPr>
      <w:r>
        <w:t>Opportunities to re-engage suspended participants.</w:t>
      </w:r>
    </w:p>
    <w:p w14:paraId="659663EE" w14:textId="0D9D64D3" w:rsidR="004E5F1F" w:rsidRDefault="002152A7" w:rsidP="005F5AC3">
      <w:pPr>
        <w:pStyle w:val="ListBullet"/>
        <w:ind w:hanging="436"/>
      </w:pPr>
      <w:r>
        <w:t xml:space="preserve">Making it </w:t>
      </w:r>
      <w:r w:rsidR="00D11108">
        <w:t>a smoother</w:t>
      </w:r>
      <w:r w:rsidR="004E5F1F" w:rsidRPr="005F5AC3">
        <w:t xml:space="preserve"> </w:t>
      </w:r>
      <w:r w:rsidR="00D11108">
        <w:t xml:space="preserve">transition </w:t>
      </w:r>
      <w:r w:rsidR="00461CE6">
        <w:t>between access to the service when</w:t>
      </w:r>
      <w:r w:rsidR="005F5AC3">
        <w:t xml:space="preserve"> participants </w:t>
      </w:r>
      <w:r w:rsidR="004A28E1">
        <w:t xml:space="preserve">need to </w:t>
      </w:r>
      <w:r w:rsidR="004E5F1F" w:rsidRPr="005F5AC3">
        <w:t xml:space="preserve">temporarily disengage and </w:t>
      </w:r>
      <w:r w:rsidR="00461CE6">
        <w:t xml:space="preserve">then </w:t>
      </w:r>
      <w:r w:rsidR="004E5F1F" w:rsidRPr="005F5AC3">
        <w:t>re-engage</w:t>
      </w:r>
      <w:r w:rsidR="00CB42EF">
        <w:t xml:space="preserve">, </w:t>
      </w:r>
      <w:r w:rsidR="004E5F1F" w:rsidRPr="005F5AC3">
        <w:t>without Services Australia intervention</w:t>
      </w:r>
      <w:r w:rsidR="0096466C">
        <w:t xml:space="preserve"> — in particular for those who have </w:t>
      </w:r>
      <w:r w:rsidR="00BA4B41">
        <w:t>episodic</w:t>
      </w:r>
      <w:r w:rsidR="0096466C">
        <w:t xml:space="preserve"> mental health problems.</w:t>
      </w:r>
    </w:p>
    <w:p w14:paraId="5C72F348" w14:textId="0A44F2B7" w:rsidR="005F5AC3" w:rsidRDefault="005F5AC3" w:rsidP="005F5AC3">
      <w:pPr>
        <w:pStyle w:val="ListBullet"/>
        <w:ind w:hanging="436"/>
      </w:pPr>
      <w:r>
        <w:t xml:space="preserve">Reducing interruptions to servicing, with some noting that temporary exemptions can be in place for up to </w:t>
      </w:r>
      <w:r w:rsidR="00B00968">
        <w:t>several</w:t>
      </w:r>
      <w:r>
        <w:t xml:space="preserve"> months. </w:t>
      </w:r>
    </w:p>
    <w:p w14:paraId="34963F9E" w14:textId="0366152A" w:rsidR="005F5AC3" w:rsidRDefault="005F5AC3" w:rsidP="005F5AC3">
      <w:pPr>
        <w:pStyle w:val="ListBullet"/>
        <w:ind w:hanging="436"/>
      </w:pPr>
      <w:r>
        <w:t xml:space="preserve">Assisting providers to gain </w:t>
      </w:r>
      <w:r w:rsidR="00AB264B">
        <w:t xml:space="preserve">the </w:t>
      </w:r>
      <w:r>
        <w:t xml:space="preserve">trust </w:t>
      </w:r>
      <w:r w:rsidR="00AB264B">
        <w:t>of</w:t>
      </w:r>
      <w:r>
        <w:t xml:space="preserve"> participant</w:t>
      </w:r>
      <w:r w:rsidR="00AB264B">
        <w:t>s</w:t>
      </w:r>
      <w:r>
        <w:t xml:space="preserve"> </w:t>
      </w:r>
      <w:r w:rsidR="0018233B">
        <w:t xml:space="preserve">— </w:t>
      </w:r>
      <w:r w:rsidR="005064FA">
        <w:t xml:space="preserve">particularly </w:t>
      </w:r>
      <w:r w:rsidR="0018233B">
        <w:t xml:space="preserve">if participation in </w:t>
      </w:r>
      <w:r w:rsidR="54CE1AFD">
        <w:t>a</w:t>
      </w:r>
      <w:r w:rsidR="0018233B">
        <w:t xml:space="preserve"> flexible </w:t>
      </w:r>
      <w:r w:rsidR="600E25EA">
        <w:t>servic</w:t>
      </w:r>
      <w:r w:rsidR="67A87C48">
        <w:t>e</w:t>
      </w:r>
      <w:r w:rsidR="0018233B">
        <w:t xml:space="preserve"> is on a voluntary basis</w:t>
      </w:r>
      <w:r w:rsidR="00307640">
        <w:t>.</w:t>
      </w:r>
    </w:p>
    <w:p w14:paraId="0B90B0C9" w14:textId="6543B08A" w:rsidR="00C87DEB" w:rsidRDefault="00C87DEB" w:rsidP="005F5AC3">
      <w:pPr>
        <w:pStyle w:val="ListBullet"/>
        <w:ind w:hanging="436"/>
      </w:pPr>
      <w:r>
        <w:t>Enabling a Participation Plan</w:t>
      </w:r>
      <w:r w:rsidR="7AAEB639">
        <w:t xml:space="preserve"> </w:t>
      </w:r>
      <w:r>
        <w:t xml:space="preserve">/ Job Plan that suits the individual’s circumstances rather than </w:t>
      </w:r>
      <w:r w:rsidR="00722D02">
        <w:t>having to meet minimum requirement</w:t>
      </w:r>
      <w:r w:rsidR="00AB264B">
        <w:t>s</w:t>
      </w:r>
      <w:r w:rsidR="00722D02">
        <w:t xml:space="preserve"> per reporting period.</w:t>
      </w:r>
    </w:p>
    <w:p w14:paraId="4070F731" w14:textId="53BDC55B" w:rsidR="005F5AC3" w:rsidRDefault="005F5AC3" w:rsidP="005F5AC3">
      <w:pPr>
        <w:pStyle w:val="ListBullet"/>
        <w:ind w:hanging="436"/>
      </w:pPr>
      <w:r>
        <w:t xml:space="preserve">Allowing </w:t>
      </w:r>
      <w:r w:rsidR="005064FA">
        <w:t>participants</w:t>
      </w:r>
      <w:r>
        <w:t xml:space="preserve"> the choice to opt-in and access DES </w:t>
      </w:r>
      <w:r w:rsidR="005064FA">
        <w:t xml:space="preserve">services on a less intensive basis </w:t>
      </w:r>
      <w:r>
        <w:t xml:space="preserve">rather than having to opt-out </w:t>
      </w:r>
      <w:r w:rsidR="00AB264B">
        <w:t xml:space="preserve">by </w:t>
      </w:r>
      <w:r>
        <w:t>seek</w:t>
      </w:r>
      <w:r w:rsidR="00AB264B">
        <w:t>ing</w:t>
      </w:r>
      <w:r>
        <w:t xml:space="preserve"> a temporary exemption.</w:t>
      </w:r>
    </w:p>
    <w:p w14:paraId="36AE1AD2" w14:textId="3E3CDC53" w:rsidR="005F5AC3" w:rsidRDefault="005F5AC3" w:rsidP="005F5AC3">
      <w:pPr>
        <w:pStyle w:val="ListBullet"/>
        <w:ind w:hanging="436"/>
      </w:pPr>
      <w:r>
        <w:lastRenderedPageBreak/>
        <w:t>Formalis</w:t>
      </w:r>
      <w:r w:rsidR="001862BC">
        <w:t>ing</w:t>
      </w:r>
      <w:r>
        <w:t xml:space="preserve"> providers</w:t>
      </w:r>
      <w:r w:rsidR="00AB264B">
        <w:t>’</w:t>
      </w:r>
      <w:r>
        <w:t xml:space="preserve"> ability to individualise a participant’s job plan according</w:t>
      </w:r>
      <w:r w:rsidR="001862BC">
        <w:t xml:space="preserve"> to their current capacity to engage.</w:t>
      </w:r>
    </w:p>
    <w:p w14:paraId="70A1DA59" w14:textId="387381F2" w:rsidR="00225437" w:rsidRDefault="00225437" w:rsidP="00225437">
      <w:pPr>
        <w:pStyle w:val="ListBullet"/>
      </w:pPr>
      <w:r>
        <w:t>Greater support for many in partial work who want to be working at or above their assessed capacity level.</w:t>
      </w:r>
    </w:p>
    <w:p w14:paraId="4B4BE0DF" w14:textId="7753ECAB" w:rsidR="005F5AC3" w:rsidRPr="005F5AC3" w:rsidRDefault="00225437" w:rsidP="005F5AC3">
      <w:pPr>
        <w:pStyle w:val="ListBullet"/>
        <w:ind w:hanging="436"/>
      </w:pPr>
      <w:r>
        <w:t xml:space="preserve">Improved recognition and support for those pursuing non-traditional employment pathways, for example, entrepreneurship and self-employment or those in the casual, </w:t>
      </w:r>
      <w:bookmarkStart w:id="23" w:name="_Int_WS9n3IPO"/>
      <w:r>
        <w:t>part-time</w:t>
      </w:r>
      <w:bookmarkEnd w:id="23"/>
      <w:r>
        <w:t xml:space="preserve"> and gig-economy labour market</w:t>
      </w:r>
      <w:r w:rsidR="00026694">
        <w:t>s</w:t>
      </w:r>
      <w:r>
        <w:t>.</w:t>
      </w:r>
    </w:p>
    <w:p w14:paraId="5F2B4612" w14:textId="35AB7C99" w:rsidR="005D0A60" w:rsidRDefault="00026694" w:rsidP="00124418">
      <w:pPr>
        <w:keepNext/>
      </w:pPr>
      <w:r>
        <w:t xml:space="preserve">Stakeholders noted </w:t>
      </w:r>
      <w:r w:rsidR="00ED0479">
        <w:t>a range of</w:t>
      </w:r>
      <w:r>
        <w:t xml:space="preserve"> </w:t>
      </w:r>
      <w:r w:rsidR="006D5F25">
        <w:t xml:space="preserve">possible </w:t>
      </w:r>
      <w:r>
        <w:t>r</w:t>
      </w:r>
      <w:r w:rsidR="005D0A60">
        <w:t>isks and concerns</w:t>
      </w:r>
      <w:r w:rsidR="006D5F25">
        <w:t xml:space="preserve"> with having two levels of servic</w:t>
      </w:r>
      <w:r w:rsidR="0013716E">
        <w:t>ing</w:t>
      </w:r>
      <w:r w:rsidR="009C06D0">
        <w:t>, which included</w:t>
      </w:r>
      <w:r w:rsidR="005D0A60">
        <w:t>:</w:t>
      </w:r>
    </w:p>
    <w:p w14:paraId="28D0693D" w14:textId="459EFE6D" w:rsidR="00EA1B31" w:rsidRDefault="00EA1B31" w:rsidP="005D0A60">
      <w:pPr>
        <w:pStyle w:val="ListBullet"/>
      </w:pPr>
      <w:r>
        <w:t xml:space="preserve">Denying access to </w:t>
      </w:r>
      <w:r w:rsidR="00026694">
        <w:t>intensi</w:t>
      </w:r>
      <w:r w:rsidR="00C51E09">
        <w:t>ve</w:t>
      </w:r>
      <w:r w:rsidR="26D24DCA">
        <w:t xml:space="preserve"> </w:t>
      </w:r>
      <w:r>
        <w:t>servic</w:t>
      </w:r>
      <w:r w:rsidR="00C51E09">
        <w:t>ing</w:t>
      </w:r>
      <w:r>
        <w:t xml:space="preserve"> amongst those </w:t>
      </w:r>
      <w:r w:rsidR="007216C7">
        <w:t xml:space="preserve">partially meeting their </w:t>
      </w:r>
      <w:r w:rsidR="0CCB585E">
        <w:t>requirements if</w:t>
      </w:r>
      <w:r w:rsidR="007216C7">
        <w:t xml:space="preserve"> they want that level of service.</w:t>
      </w:r>
    </w:p>
    <w:p w14:paraId="36C1F119" w14:textId="56FD66AF" w:rsidR="005D0A60" w:rsidRDefault="000A6595" w:rsidP="005D0A60">
      <w:pPr>
        <w:pStyle w:val="ListBullet"/>
      </w:pPr>
      <w:r>
        <w:t>Whether</w:t>
      </w:r>
      <w:r w:rsidR="005D0A60">
        <w:t xml:space="preserve"> DES was the right program for those who </w:t>
      </w:r>
      <w:r w:rsidR="00271885">
        <w:t>c</w:t>
      </w:r>
      <w:r w:rsidR="005D0A60">
        <w:t xml:space="preserve">ould be </w:t>
      </w:r>
      <w:r w:rsidR="00D24956">
        <w:t xml:space="preserve">in </w:t>
      </w:r>
      <w:r w:rsidR="27E4D7E7">
        <w:t>a</w:t>
      </w:r>
      <w:r w:rsidR="00D24956">
        <w:t xml:space="preserve"> </w:t>
      </w:r>
      <w:r w:rsidR="005D0A60">
        <w:t>flexible servic</w:t>
      </w:r>
      <w:r w:rsidR="00D24956">
        <w:t xml:space="preserve">e </w:t>
      </w:r>
      <w:r w:rsidR="0013716E">
        <w:t>option</w:t>
      </w:r>
      <w:r w:rsidR="005D0A60">
        <w:t xml:space="preserve"> for an extended </w:t>
      </w:r>
      <w:r w:rsidR="5388A697">
        <w:t>period</w:t>
      </w:r>
      <w:r w:rsidR="00271885">
        <w:t xml:space="preserve"> (as well as for those with </w:t>
      </w:r>
      <w:r w:rsidR="2DC35406">
        <w:t>long-term</w:t>
      </w:r>
      <w:r w:rsidR="00271885">
        <w:t xml:space="preserve"> </w:t>
      </w:r>
      <w:r w:rsidR="004D500E">
        <w:t>exemptions from mutual obligations</w:t>
      </w:r>
      <w:r w:rsidR="00271885">
        <w:t>)</w:t>
      </w:r>
      <w:r w:rsidR="007216C7">
        <w:t>.</w:t>
      </w:r>
    </w:p>
    <w:p w14:paraId="4AA4B6C6" w14:textId="1C1012BE" w:rsidR="005D0A60" w:rsidRDefault="005D0A60" w:rsidP="005D0A60">
      <w:pPr>
        <w:pStyle w:val="ListBullet"/>
      </w:pPr>
      <w:r>
        <w:t xml:space="preserve">Providers using </w:t>
      </w:r>
      <w:r w:rsidR="41000B81">
        <w:t>a</w:t>
      </w:r>
      <w:r>
        <w:t xml:space="preserve"> flexible service </w:t>
      </w:r>
      <w:r w:rsidR="0013716E">
        <w:t>option</w:t>
      </w:r>
      <w:r>
        <w:t xml:space="preserve"> to </w:t>
      </w:r>
      <w:r w:rsidR="004D500E">
        <w:t>“</w:t>
      </w:r>
      <w:r>
        <w:t>park</w:t>
      </w:r>
      <w:r w:rsidR="004D500E">
        <w:t>”</w:t>
      </w:r>
      <w:r>
        <w:t xml:space="preserve"> participants with more complex barriers to employment</w:t>
      </w:r>
      <w:r w:rsidR="002F0041">
        <w:t>, including those who are very long-term unemployed.</w:t>
      </w:r>
    </w:p>
    <w:p w14:paraId="61E31B76" w14:textId="77777777" w:rsidR="00A64A02" w:rsidRDefault="00A64A02" w:rsidP="00A64A02">
      <w:pPr>
        <w:pStyle w:val="ListBullet"/>
      </w:pPr>
      <w:r>
        <w:t>Participants would still need to be able to access mutual obligation exemptions (as an approval tool) to not engage with services.</w:t>
      </w:r>
    </w:p>
    <w:p w14:paraId="6988C114" w14:textId="7C63EA91" w:rsidR="005D0A60" w:rsidRDefault="004D500E" w:rsidP="005D0A60">
      <w:pPr>
        <w:pStyle w:val="ListBullet"/>
      </w:pPr>
      <w:r>
        <w:t>The a</w:t>
      </w:r>
      <w:r w:rsidR="005D0A60">
        <w:t xml:space="preserve">dministrative burden </w:t>
      </w:r>
      <w:r>
        <w:t xml:space="preserve">associated with </w:t>
      </w:r>
      <w:r w:rsidR="005D0A60">
        <w:t>managing those wanting to stay connected, as depending on their circumstances providers may need to frequently reschedule appointments and complete additional file notes as evidence of what service was provided/ actioned.</w:t>
      </w:r>
    </w:p>
    <w:p w14:paraId="61B7697A" w14:textId="202ABB15" w:rsidR="005D0A60" w:rsidRDefault="007061A8" w:rsidP="005D0A60">
      <w:pPr>
        <w:pStyle w:val="ListBullet"/>
      </w:pPr>
      <w:r>
        <w:t>Impacts o</w:t>
      </w:r>
      <w:r w:rsidR="3981DED4">
        <w:t>n</w:t>
      </w:r>
      <w:r>
        <w:t xml:space="preserve"> providers</w:t>
      </w:r>
      <w:r w:rsidR="00512D2D">
        <w:t>’</w:t>
      </w:r>
      <w:r>
        <w:t xml:space="preserve"> financial viability if there </w:t>
      </w:r>
      <w:r w:rsidR="00512D2D">
        <w:t xml:space="preserve">are </w:t>
      </w:r>
      <w:r>
        <w:t>a high proportion of participants only sporadically accessing services.</w:t>
      </w:r>
    </w:p>
    <w:p w14:paraId="46E920ED" w14:textId="764268DD" w:rsidR="007061A8" w:rsidRDefault="00A64A02" w:rsidP="005D0A60">
      <w:pPr>
        <w:pStyle w:val="ListBullet"/>
      </w:pPr>
      <w:r>
        <w:t>The a</w:t>
      </w:r>
      <w:r w:rsidR="007061A8">
        <w:t>ppropriateness of mutual obligations and expectation</w:t>
      </w:r>
      <w:r w:rsidR="003911A4">
        <w:t>s</w:t>
      </w:r>
      <w:r w:rsidR="007061A8">
        <w:t xml:space="preserve"> to find a job</w:t>
      </w:r>
      <w:r w:rsidR="003911A4">
        <w:t xml:space="preserve"> while in </w:t>
      </w:r>
      <w:r w:rsidR="667CCE4F">
        <w:t>a</w:t>
      </w:r>
      <w:r w:rsidR="003911A4">
        <w:t xml:space="preserve"> flexible service </w:t>
      </w:r>
      <w:r w:rsidR="0013716E">
        <w:t>option</w:t>
      </w:r>
      <w:r w:rsidR="007061A8">
        <w:t xml:space="preserve">, given that </w:t>
      </w:r>
      <w:r w:rsidR="008F4F9B">
        <w:t>these requirements</w:t>
      </w:r>
      <w:r w:rsidR="007061A8">
        <w:t xml:space="preserve"> may have </w:t>
      </w:r>
      <w:r w:rsidR="00F01A46">
        <w:t xml:space="preserve">not applied </w:t>
      </w:r>
      <w:r w:rsidR="007061A8">
        <w:t>if they had sought a temporary exemption.</w:t>
      </w:r>
    </w:p>
    <w:p w14:paraId="1E4C62CC" w14:textId="43DA3333" w:rsidR="00222E83" w:rsidRDefault="00222E83" w:rsidP="00222E83">
      <w:pPr>
        <w:pStyle w:val="Heading1"/>
      </w:pPr>
      <w:bookmarkStart w:id="24" w:name="_Toc160715916"/>
      <w:r>
        <w:t xml:space="preserve">Discussion topic 3 – </w:t>
      </w:r>
      <w:r w:rsidR="00F632CF">
        <w:t>Mutual obligations</w:t>
      </w:r>
      <w:bookmarkEnd w:id="24"/>
    </w:p>
    <w:p w14:paraId="1E0AD569" w14:textId="46D1DC69" w:rsidR="00375D8C" w:rsidRDefault="002E3763" w:rsidP="00C42934">
      <w:r>
        <w:t xml:space="preserve">Stakeholders </w:t>
      </w:r>
      <w:bookmarkStart w:id="25" w:name="_Int_sBh84FmI"/>
      <w:r>
        <w:t>generally recognised</w:t>
      </w:r>
      <w:bookmarkEnd w:id="25"/>
      <w:r>
        <w:t xml:space="preserve"> </w:t>
      </w:r>
      <w:r w:rsidR="00C43700">
        <w:t xml:space="preserve">that a </w:t>
      </w:r>
      <w:r>
        <w:t xml:space="preserve">move towards meaningful engagement </w:t>
      </w:r>
      <w:r w:rsidR="00C43700">
        <w:t xml:space="preserve">would be </w:t>
      </w:r>
      <w:r>
        <w:t>consistent with the recommendations of the Select Committee</w:t>
      </w:r>
      <w:r w:rsidR="0049342B">
        <w:t xml:space="preserve"> on Workforce Australia</w:t>
      </w:r>
      <w:r w:rsidR="00C43700">
        <w:t>,</w:t>
      </w:r>
      <w:r>
        <w:t xml:space="preserve"> and </w:t>
      </w:r>
      <w:r w:rsidR="006E0C62">
        <w:t xml:space="preserve">the feedback </w:t>
      </w:r>
      <w:r w:rsidR="10E6E6FD">
        <w:t>reflect</w:t>
      </w:r>
      <w:r w:rsidR="7DD47E85">
        <w:t>ed</w:t>
      </w:r>
      <w:r w:rsidR="006E0C62">
        <w:t xml:space="preserve"> that this would be </w:t>
      </w:r>
      <w:r>
        <w:t>a step in the right direction in ensuring a system that build</w:t>
      </w:r>
      <w:r w:rsidR="00557EE0">
        <w:t xml:space="preserve">s relationships </w:t>
      </w:r>
      <w:r w:rsidR="002E4BD0">
        <w:t xml:space="preserve">between providers </w:t>
      </w:r>
      <w:r w:rsidR="00557EE0">
        <w:t xml:space="preserve">and </w:t>
      </w:r>
      <w:r w:rsidR="002E4BD0">
        <w:t>participants</w:t>
      </w:r>
      <w:r w:rsidR="00C55216">
        <w:t xml:space="preserve">. </w:t>
      </w:r>
    </w:p>
    <w:p w14:paraId="03E4C404" w14:textId="486E4739" w:rsidR="00E537DF" w:rsidRDefault="00AE2897" w:rsidP="00222E83">
      <w:r>
        <w:t>S</w:t>
      </w:r>
      <w:r w:rsidR="0014593F">
        <w:t>ome</w:t>
      </w:r>
      <w:r w:rsidR="00252906">
        <w:t xml:space="preserve"> </w:t>
      </w:r>
      <w:r w:rsidR="00EB3612">
        <w:t xml:space="preserve">stakeholders </w:t>
      </w:r>
      <w:r w:rsidR="003F355D">
        <w:t xml:space="preserve">withheld judgement </w:t>
      </w:r>
      <w:r w:rsidR="00BC43F0">
        <w:t>as they felt unable to comment without more</w:t>
      </w:r>
      <w:r w:rsidR="00066EB3">
        <w:t xml:space="preserve"> detail</w:t>
      </w:r>
      <w:r w:rsidR="00BC43F0">
        <w:t>.</w:t>
      </w:r>
      <w:r w:rsidR="00066EB3">
        <w:t xml:space="preserve"> </w:t>
      </w:r>
    </w:p>
    <w:p w14:paraId="4DACBC5B" w14:textId="5E2405F0" w:rsidR="00D711B8" w:rsidRDefault="00070549" w:rsidP="00222E83">
      <w:r>
        <w:t>Stakeholders made</w:t>
      </w:r>
      <w:r w:rsidR="003D1886">
        <w:t xml:space="preserve"> suggestions that were outside of the current mutual obligation framework</w:t>
      </w:r>
      <w:r w:rsidR="005D5C82">
        <w:t xml:space="preserve"> —</w:t>
      </w:r>
      <w:r w:rsidR="00806029">
        <w:t xml:space="preserve"> </w:t>
      </w:r>
      <w:r w:rsidR="005D5C82">
        <w:t>which may</w:t>
      </w:r>
      <w:r w:rsidR="00806029">
        <w:t xml:space="preserve"> need to be part of a broader consideration of requirements as applied to all employment services.</w:t>
      </w:r>
    </w:p>
    <w:p w14:paraId="464FF37B" w14:textId="16696FAA" w:rsidR="00A76D6A" w:rsidRDefault="00A76D6A" w:rsidP="00124418">
      <w:pPr>
        <w:keepNext/>
      </w:pPr>
      <w:r>
        <w:lastRenderedPageBreak/>
        <w:t>A</w:t>
      </w:r>
      <w:r w:rsidR="00E93CFE">
        <w:t>rea</w:t>
      </w:r>
      <w:r w:rsidR="000E5320">
        <w:t>s</w:t>
      </w:r>
      <w:r w:rsidR="00E93CFE">
        <w:t xml:space="preserve"> of concern </w:t>
      </w:r>
      <w:r w:rsidR="000E5320">
        <w:t xml:space="preserve">raised </w:t>
      </w:r>
      <w:r w:rsidR="00F10530">
        <w:t xml:space="preserve">in </w:t>
      </w:r>
      <w:r w:rsidR="000E5320">
        <w:t>relation</w:t>
      </w:r>
      <w:r w:rsidR="00F10530">
        <w:t xml:space="preserve"> to</w:t>
      </w:r>
      <w:r w:rsidR="00D56BCB">
        <w:t xml:space="preserve"> the discussed changes to</w:t>
      </w:r>
      <w:r w:rsidR="00F10530">
        <w:t xml:space="preserve"> mutual obligations </w:t>
      </w:r>
      <w:r>
        <w:t>included:</w:t>
      </w:r>
    </w:p>
    <w:p w14:paraId="08039C3D" w14:textId="6DA848CA" w:rsidR="00A76D6A" w:rsidRDefault="00A76D6A" w:rsidP="00124418">
      <w:pPr>
        <w:pStyle w:val="ListBullet"/>
        <w:keepNext/>
      </w:pPr>
      <w:r>
        <w:t>R</w:t>
      </w:r>
      <w:r w:rsidR="00E93CFE" w:rsidRPr="004F1D73">
        <w:t xml:space="preserve">isks of misinterpretation by providers </w:t>
      </w:r>
      <w:r w:rsidR="00E93CFE">
        <w:t xml:space="preserve">that </w:t>
      </w:r>
      <w:r w:rsidR="0032671C">
        <w:t>could create</w:t>
      </w:r>
      <w:r w:rsidR="0032671C" w:rsidRPr="004F1D73">
        <w:t xml:space="preserve"> </w:t>
      </w:r>
      <w:r w:rsidR="00E93CFE" w:rsidRPr="004F1D73">
        <w:t>inequities amongst participants</w:t>
      </w:r>
      <w:r>
        <w:t>.</w:t>
      </w:r>
    </w:p>
    <w:p w14:paraId="458A2BBE" w14:textId="398B650F" w:rsidR="00A76D6A" w:rsidRDefault="00A76D6A" w:rsidP="00A76D6A">
      <w:pPr>
        <w:pStyle w:val="ListBullet"/>
      </w:pPr>
      <w:r>
        <w:t>S</w:t>
      </w:r>
      <w:r w:rsidR="0058505E">
        <w:t xml:space="preserve">pecified requirements </w:t>
      </w:r>
      <w:r>
        <w:t>being</w:t>
      </w:r>
      <w:r w:rsidR="0058505E">
        <w:t xml:space="preserve"> used </w:t>
      </w:r>
      <w:r w:rsidR="00C82A5D">
        <w:t>regardless</w:t>
      </w:r>
      <w:r w:rsidR="00E93CFE">
        <w:t xml:space="preserve"> </w:t>
      </w:r>
      <w:r w:rsidR="00C82A5D">
        <w:t xml:space="preserve">of whether it would be a </w:t>
      </w:r>
      <w:r w:rsidR="00B27053">
        <w:t>“</w:t>
      </w:r>
      <w:r w:rsidR="00C82A5D">
        <w:t>justified</w:t>
      </w:r>
      <w:r w:rsidR="00B27053">
        <w:t>”</w:t>
      </w:r>
      <w:r w:rsidR="00C82A5D">
        <w:t xml:space="preserve"> response</w:t>
      </w:r>
      <w:r w:rsidR="00C5264E">
        <w:t>.</w:t>
      </w:r>
    </w:p>
    <w:p w14:paraId="587C3E6E" w14:textId="6BFD4EA3" w:rsidR="00461220" w:rsidRDefault="00B27053" w:rsidP="00A76D6A">
      <w:pPr>
        <w:pStyle w:val="ListBullet"/>
      </w:pPr>
      <w:r>
        <w:t>“</w:t>
      </w:r>
      <w:r w:rsidR="00461220">
        <w:t>R</w:t>
      </w:r>
      <w:r w:rsidR="00E93CFE">
        <w:t>ules</w:t>
      </w:r>
      <w:r>
        <w:t>”</w:t>
      </w:r>
      <w:r w:rsidR="00E93CFE">
        <w:t xml:space="preserve"> </w:t>
      </w:r>
      <w:r w:rsidR="00461220">
        <w:t>b</w:t>
      </w:r>
      <w:r w:rsidR="00E93CFE">
        <w:t>e</w:t>
      </w:r>
      <w:r w:rsidR="00461220">
        <w:t>ing</w:t>
      </w:r>
      <w:r w:rsidR="00E93CFE">
        <w:t xml:space="preserve"> created (either in departmental or provider guidelines and assurance processes) that result</w:t>
      </w:r>
      <w:r w:rsidR="00552C28">
        <w:t>ed</w:t>
      </w:r>
      <w:r w:rsidR="00E93CFE">
        <w:t xml:space="preserve"> in ‘arbitrary’ application of the approach or standardisation</w:t>
      </w:r>
      <w:r w:rsidR="00593DC8">
        <w:t xml:space="preserve"> of Job Plans</w:t>
      </w:r>
      <w:r w:rsidR="00E93CFE">
        <w:t>.</w:t>
      </w:r>
      <w:r w:rsidR="00085B0A">
        <w:t xml:space="preserve"> </w:t>
      </w:r>
    </w:p>
    <w:p w14:paraId="2DDC1793" w14:textId="6FBEBAB9" w:rsidR="00E93CFE" w:rsidRDefault="00873AE2" w:rsidP="00A76D6A">
      <w:pPr>
        <w:pStyle w:val="ListBullet"/>
      </w:pPr>
      <w:r>
        <w:t>P</w:t>
      </w:r>
      <w:r w:rsidR="00085B0A">
        <w:t xml:space="preserve">articipants </w:t>
      </w:r>
      <w:r w:rsidR="000702BD">
        <w:t>could</w:t>
      </w:r>
      <w:r w:rsidR="00085B0A">
        <w:t xml:space="preserve"> be at greater risk of disengagement and/or there </w:t>
      </w:r>
      <w:r w:rsidR="000702BD">
        <w:t>might be</w:t>
      </w:r>
      <w:r w:rsidR="00085B0A">
        <w:t xml:space="preserve"> implications </w:t>
      </w:r>
      <w:r w:rsidR="009E6E69">
        <w:t xml:space="preserve">for </w:t>
      </w:r>
      <w:r w:rsidR="00085B0A">
        <w:t>employment outcomes</w:t>
      </w:r>
      <w:r w:rsidR="000702BD">
        <w:t>.</w:t>
      </w:r>
    </w:p>
    <w:p w14:paraId="06456CB2" w14:textId="423048A3" w:rsidR="006733CB" w:rsidRDefault="009E6E69" w:rsidP="006733CB">
      <w:r>
        <w:t>A</w:t>
      </w:r>
      <w:r w:rsidR="006A2E9F">
        <w:t xml:space="preserve"> number of submissions called for </w:t>
      </w:r>
      <w:r w:rsidR="00DB100A">
        <w:t xml:space="preserve">the </w:t>
      </w:r>
      <w:r>
        <w:t xml:space="preserve">abolition </w:t>
      </w:r>
      <w:r w:rsidR="00CF0283">
        <w:t xml:space="preserve">of mutual obligations requirements and/or the Targeted Compliance Framework (TCF), noting </w:t>
      </w:r>
      <w:r w:rsidR="0044358C">
        <w:t>these</w:t>
      </w:r>
      <w:r w:rsidR="00CF0283">
        <w:t xml:space="preserve"> were particularly unsuited to the DES cohort</w:t>
      </w:r>
      <w:r w:rsidR="00C75BA6">
        <w:t>.</w:t>
      </w:r>
      <w:r w:rsidR="00A51257">
        <w:t xml:space="preserve"> </w:t>
      </w:r>
      <w:r w:rsidR="5CA57298">
        <w:t>Other</w:t>
      </w:r>
      <w:r w:rsidR="00AC4757">
        <w:t xml:space="preserve"> </w:t>
      </w:r>
      <w:r w:rsidR="00F34586">
        <w:t xml:space="preserve">stakeholders </w:t>
      </w:r>
      <w:r w:rsidR="00AC4757">
        <w:t>noted that total removal of mutual obligations would be problematic.</w:t>
      </w:r>
      <w:r w:rsidR="006733CB">
        <w:t xml:space="preserve"> Alternatives were also put forward, for example, the idea that all DES participants could have an initial period without mutual obligation</w:t>
      </w:r>
      <w:r w:rsidR="00EA13E1">
        <w:t xml:space="preserve"> requirements</w:t>
      </w:r>
      <w:r w:rsidR="006733CB">
        <w:t>.</w:t>
      </w:r>
    </w:p>
    <w:p w14:paraId="6FEE549B" w14:textId="3C9DB079" w:rsidR="0068340A" w:rsidRPr="00AC4757" w:rsidRDefault="0068340A" w:rsidP="00C75BA6">
      <w:r>
        <w:t xml:space="preserve">Stakeholders also raised concerns about introducing </w:t>
      </w:r>
      <w:r w:rsidR="334DCE81">
        <w:t>PBAS (Points Based Activation System)</w:t>
      </w:r>
      <w:r w:rsidR="38A5E350">
        <w:t>,</w:t>
      </w:r>
      <w:r>
        <w:t xml:space="preserve"> something that had been previously suggested, based on the experiences of people in Workforce Australia finding it overly complex and difficult to understand.</w:t>
      </w:r>
    </w:p>
    <w:p w14:paraId="2AC6566F" w14:textId="1B631008" w:rsidR="00EB7BF9" w:rsidRPr="00EB7BF9" w:rsidRDefault="00EB7BF9" w:rsidP="00222E83">
      <w:pPr>
        <w:rPr>
          <w:rStyle w:val="Emphasis"/>
        </w:rPr>
      </w:pPr>
      <w:r>
        <w:rPr>
          <w:rStyle w:val="Emphasis"/>
        </w:rPr>
        <w:t>Broadening mutual obligation</w:t>
      </w:r>
      <w:r w:rsidR="00F34586">
        <w:rPr>
          <w:rStyle w:val="Emphasis"/>
        </w:rPr>
        <w:t>s</w:t>
      </w:r>
      <w:r>
        <w:rPr>
          <w:rStyle w:val="Emphasis"/>
        </w:rPr>
        <w:t xml:space="preserve"> </w:t>
      </w:r>
      <w:r w:rsidR="00F34586">
        <w:rPr>
          <w:rStyle w:val="Emphasis"/>
        </w:rPr>
        <w:t xml:space="preserve">to </w:t>
      </w:r>
      <w:r>
        <w:rPr>
          <w:rStyle w:val="Emphasis"/>
        </w:rPr>
        <w:t>focus on engagement</w:t>
      </w:r>
      <w:r w:rsidR="00836945">
        <w:rPr>
          <w:rStyle w:val="Emphasis"/>
        </w:rPr>
        <w:t xml:space="preserve"> in the program</w:t>
      </w:r>
    </w:p>
    <w:p w14:paraId="3B0C2D84" w14:textId="44F22A5A" w:rsidR="00EB7BF9" w:rsidRDefault="00836945" w:rsidP="006D2326">
      <w:r>
        <w:t xml:space="preserve">Stakeholder </w:t>
      </w:r>
      <w:r w:rsidR="00EC0F1E">
        <w:t>reaction</w:t>
      </w:r>
      <w:r>
        <w:t>s</w:t>
      </w:r>
      <w:r w:rsidR="00EC0F1E">
        <w:t xml:space="preserve"> to </w:t>
      </w:r>
      <w:r w:rsidR="00EF3E88">
        <w:t xml:space="preserve">the </w:t>
      </w:r>
      <w:r w:rsidR="00EE00FA">
        <w:t xml:space="preserve">discussion about </w:t>
      </w:r>
      <w:r w:rsidR="00830B3B">
        <w:t>broadening</w:t>
      </w:r>
      <w:r w:rsidR="0060297D">
        <w:t xml:space="preserve"> </w:t>
      </w:r>
      <w:r w:rsidR="00292A0E">
        <w:t xml:space="preserve">mutual obligations </w:t>
      </w:r>
      <w:r w:rsidR="00A8764F">
        <w:t>included</w:t>
      </w:r>
      <w:r w:rsidR="00E33A84">
        <w:t>:</w:t>
      </w:r>
    </w:p>
    <w:p w14:paraId="0F42722E" w14:textId="7CDFE25E" w:rsidR="006D2326" w:rsidRDefault="00830B3B" w:rsidP="006D2326">
      <w:pPr>
        <w:pStyle w:val="ListBullet"/>
      </w:pPr>
      <w:r>
        <w:t xml:space="preserve">such an approach would be </w:t>
      </w:r>
      <w:bookmarkStart w:id="26" w:name="_Int_oD4Upetd"/>
      <w:r w:rsidR="006D2326">
        <w:t>relatively e</w:t>
      </w:r>
      <w:r w:rsidR="006D164B">
        <w:t>asy</w:t>
      </w:r>
      <w:bookmarkEnd w:id="26"/>
      <w:r w:rsidR="006D164B">
        <w:t xml:space="preserve"> </w:t>
      </w:r>
      <w:r w:rsidR="00250E53">
        <w:t>for participants to</w:t>
      </w:r>
      <w:r w:rsidR="006D164B">
        <w:t xml:space="preserve"> understand</w:t>
      </w:r>
    </w:p>
    <w:p w14:paraId="299FB50D" w14:textId="3CC7BD64" w:rsidR="006D164B" w:rsidRDefault="000629EA" w:rsidP="006D2326">
      <w:pPr>
        <w:pStyle w:val="ListBullet"/>
      </w:pPr>
      <w:r>
        <w:t xml:space="preserve">conveys a focus on </w:t>
      </w:r>
      <w:r w:rsidR="00F53F9B">
        <w:t xml:space="preserve">the individual and their </w:t>
      </w:r>
      <w:r w:rsidR="00D540CB">
        <w:t>social</w:t>
      </w:r>
      <w:r w:rsidR="00F53F9B">
        <w:t xml:space="preserve"> and </w:t>
      </w:r>
      <w:r w:rsidR="00D540CB">
        <w:t xml:space="preserve">economic </w:t>
      </w:r>
      <w:r w:rsidR="00F53F9B">
        <w:t>goals</w:t>
      </w:r>
    </w:p>
    <w:p w14:paraId="5B86325F" w14:textId="53F99B67" w:rsidR="004D2976" w:rsidRDefault="004D2976" w:rsidP="004D2976">
      <w:pPr>
        <w:pStyle w:val="ListBullet"/>
      </w:pPr>
      <w:r>
        <w:t>supports flexible servicing for participants</w:t>
      </w:r>
    </w:p>
    <w:p w14:paraId="5D3AF89E" w14:textId="29CBAEF6" w:rsidR="00EB7BF9" w:rsidRDefault="004D2976" w:rsidP="006D2326">
      <w:pPr>
        <w:pStyle w:val="ListBullet"/>
      </w:pPr>
      <w:r>
        <w:t>support</w:t>
      </w:r>
      <w:r w:rsidR="009B176D">
        <w:t xml:space="preserve">s a greater </w:t>
      </w:r>
      <w:r w:rsidR="00ED073E">
        <w:t>variety</w:t>
      </w:r>
      <w:r w:rsidR="009B176D">
        <w:t xml:space="preserve"> of activities</w:t>
      </w:r>
      <w:r w:rsidR="00F26FF8">
        <w:t xml:space="preserve"> and/or wrap</w:t>
      </w:r>
      <w:r w:rsidR="1BC7598E">
        <w:t>-</w:t>
      </w:r>
      <w:r w:rsidR="00F26FF8">
        <w:t>around supports</w:t>
      </w:r>
      <w:r w:rsidR="009B176D">
        <w:t xml:space="preserve"> being </w:t>
      </w:r>
      <w:r w:rsidR="002602AA">
        <w:t>offered to participants</w:t>
      </w:r>
      <w:r w:rsidR="00A8764F">
        <w:t xml:space="preserve"> </w:t>
      </w:r>
    </w:p>
    <w:p w14:paraId="2B8C3D69" w14:textId="0603E677" w:rsidR="00393C5D" w:rsidRDefault="001C4335" w:rsidP="006D2326">
      <w:pPr>
        <w:pStyle w:val="ListBullet"/>
      </w:pPr>
      <w:r>
        <w:t>reduces administrative bu</w:t>
      </w:r>
      <w:r w:rsidR="002F0041">
        <w:t>r</w:t>
      </w:r>
      <w:r>
        <w:t>den for providers</w:t>
      </w:r>
      <w:r w:rsidR="002F0041">
        <w:t xml:space="preserve"> and </w:t>
      </w:r>
      <w:r w:rsidR="00BA4B41">
        <w:t>participants</w:t>
      </w:r>
      <w:r w:rsidR="00AF5495">
        <w:t xml:space="preserve"> </w:t>
      </w:r>
    </w:p>
    <w:p w14:paraId="58056A5D" w14:textId="028D92C3" w:rsidR="00AF5495" w:rsidRDefault="00AF5495" w:rsidP="006D2326">
      <w:pPr>
        <w:pStyle w:val="ListBullet"/>
      </w:pPr>
      <w:r>
        <w:t>could create</w:t>
      </w:r>
      <w:r w:rsidR="0066486D">
        <w:t xml:space="preserve"> a safer </w:t>
      </w:r>
      <w:r w:rsidR="00BA4B41">
        <w:t>environment</w:t>
      </w:r>
      <w:r w:rsidR="0066486D">
        <w:t xml:space="preserve"> for frontline staff</w:t>
      </w:r>
      <w:r w:rsidR="00B844BD">
        <w:t>;</w:t>
      </w:r>
      <w:r w:rsidR="00C11DE6">
        <w:t xml:space="preserve"> and</w:t>
      </w:r>
    </w:p>
    <w:p w14:paraId="1B10B847" w14:textId="68EBE241" w:rsidR="00C11DE6" w:rsidRDefault="00C11DE6" w:rsidP="006D2326">
      <w:pPr>
        <w:pStyle w:val="ListBullet"/>
      </w:pPr>
      <w:r>
        <w:t>could reduce the number of payment suspensions</w:t>
      </w:r>
      <w:r w:rsidR="005D2E4E">
        <w:t xml:space="preserve"> under the TCF</w:t>
      </w:r>
      <w:r w:rsidR="00F763DE">
        <w:t>.</w:t>
      </w:r>
    </w:p>
    <w:p w14:paraId="5ACE5961" w14:textId="6581DF2C" w:rsidR="00375D8C" w:rsidRDefault="00375D8C" w:rsidP="00900091">
      <w:r>
        <w:t>A key theme</w:t>
      </w:r>
      <w:r w:rsidR="00830B3B">
        <w:t xml:space="preserve"> of feedback</w:t>
      </w:r>
      <w:r>
        <w:t xml:space="preserve"> was that participants should have choice and control in terms of agreed tasks </w:t>
      </w:r>
      <w:r w:rsidR="00797A41">
        <w:t>to be included</w:t>
      </w:r>
      <w:r>
        <w:t xml:space="preserve"> in their Job Plan</w:t>
      </w:r>
      <w:r w:rsidR="004C7219">
        <w:t>, with greater emphasis placed on building employability and work capacity</w:t>
      </w:r>
      <w:r w:rsidR="00DA57E2">
        <w:t>.</w:t>
      </w:r>
    </w:p>
    <w:p w14:paraId="6757276E" w14:textId="4E468D0A" w:rsidR="001F1B7C" w:rsidRDefault="001F1B7C" w:rsidP="00900091">
      <w:r>
        <w:t xml:space="preserve">Some </w:t>
      </w:r>
      <w:r w:rsidR="00797A41">
        <w:t xml:space="preserve">stakeholders </w:t>
      </w:r>
      <w:r>
        <w:t xml:space="preserve">queried </w:t>
      </w:r>
      <w:r w:rsidR="00797A41">
        <w:t xml:space="preserve">whether </w:t>
      </w:r>
      <w:r>
        <w:t>mandatory appointments and job search requirements would still form part of mutual obligations</w:t>
      </w:r>
      <w:r w:rsidR="00E53D85">
        <w:t xml:space="preserve"> – particularly if there would be the option of minimising ongoing job search for those in work (including self-employment</w:t>
      </w:r>
      <w:r w:rsidR="00233D15">
        <w:t>) or for those who</w:t>
      </w:r>
      <w:r w:rsidR="00C85C3D">
        <w:t xml:space="preserve"> </w:t>
      </w:r>
      <w:r w:rsidR="008626B9">
        <w:t xml:space="preserve">first needed </w:t>
      </w:r>
      <w:r w:rsidR="00C85C3D">
        <w:t xml:space="preserve">job preparation </w:t>
      </w:r>
      <w:r w:rsidR="008626B9">
        <w:t>support.</w:t>
      </w:r>
    </w:p>
    <w:p w14:paraId="07E996FF" w14:textId="227D466E" w:rsidR="00900091" w:rsidRDefault="00F53F9B" w:rsidP="00900091">
      <w:r>
        <w:lastRenderedPageBreak/>
        <w:t xml:space="preserve">One </w:t>
      </w:r>
      <w:r w:rsidR="00890E8B">
        <w:t>alternative</w:t>
      </w:r>
      <w:r w:rsidR="0016262E">
        <w:t xml:space="preserve"> proposed </w:t>
      </w:r>
      <w:r>
        <w:t>having a m</w:t>
      </w:r>
      <w:r w:rsidR="00900091">
        <w:t xml:space="preserve">ix of </w:t>
      </w:r>
      <w:r w:rsidR="00E74767">
        <w:t>‘</w:t>
      </w:r>
      <w:r w:rsidR="00900091">
        <w:t>core</w:t>
      </w:r>
      <w:r w:rsidR="00E74767">
        <w:t>’</w:t>
      </w:r>
      <w:r w:rsidR="00900091">
        <w:t xml:space="preserve"> mandatory </w:t>
      </w:r>
      <w:r w:rsidR="00E74767">
        <w:t>requirements</w:t>
      </w:r>
      <w:r w:rsidR="00900091">
        <w:t xml:space="preserve"> which all individuals </w:t>
      </w:r>
      <w:r w:rsidR="0016262E">
        <w:t xml:space="preserve">would </w:t>
      </w:r>
      <w:r w:rsidR="00900091">
        <w:t>need to undertake to support progression, confidence and skill</w:t>
      </w:r>
      <w:r w:rsidR="0016262E">
        <w:t xml:space="preserve">s </w:t>
      </w:r>
      <w:r w:rsidR="00900091">
        <w:t>building or step</w:t>
      </w:r>
      <w:r w:rsidR="00AF6FC5">
        <w:t>ping</w:t>
      </w:r>
      <w:r w:rsidR="00900091">
        <w:t xml:space="preserve"> into employment</w:t>
      </w:r>
      <w:r w:rsidR="00E92A1C">
        <w:t xml:space="preserve"> — and then have</w:t>
      </w:r>
      <w:r w:rsidR="00900091">
        <w:t xml:space="preserve"> tailored flexible engagement options on top of those core </w:t>
      </w:r>
      <w:r w:rsidR="00AF6FC5">
        <w:t xml:space="preserve">requirements </w:t>
      </w:r>
      <w:r w:rsidR="00900091">
        <w:t xml:space="preserve">which </w:t>
      </w:r>
      <w:r w:rsidR="00AF6FC5">
        <w:t xml:space="preserve">would </w:t>
      </w:r>
      <w:r w:rsidR="00900091">
        <w:t>not have mutual obligation</w:t>
      </w:r>
      <w:r w:rsidR="00AF6FC5">
        <w:t>s</w:t>
      </w:r>
      <w:r w:rsidR="00900091">
        <w:t xml:space="preserve"> attached.</w:t>
      </w:r>
    </w:p>
    <w:p w14:paraId="2C8D7869" w14:textId="41E8E92F" w:rsidR="006D164B" w:rsidRPr="006D164B" w:rsidRDefault="006D164B" w:rsidP="00DA57E2">
      <w:pPr>
        <w:keepNext/>
        <w:rPr>
          <w:rStyle w:val="Emphasis"/>
        </w:rPr>
      </w:pPr>
      <w:r w:rsidRPr="38E7F9CF">
        <w:rPr>
          <w:rStyle w:val="Emphasis"/>
        </w:rPr>
        <w:t xml:space="preserve">Appropriate responses if a participant </w:t>
      </w:r>
      <w:r w:rsidR="007F2EA5" w:rsidRPr="38E7F9CF">
        <w:rPr>
          <w:rStyle w:val="Emphasis"/>
        </w:rPr>
        <w:t>is not</w:t>
      </w:r>
      <w:r w:rsidRPr="38E7F9CF">
        <w:rPr>
          <w:rStyle w:val="Emphasis"/>
        </w:rPr>
        <w:t xml:space="preserve"> engaging in the program</w:t>
      </w:r>
    </w:p>
    <w:p w14:paraId="57005266" w14:textId="79305B8A" w:rsidR="008441EA" w:rsidRDefault="00AF6FC5" w:rsidP="008441EA">
      <w:r>
        <w:t>Stakeholders</w:t>
      </w:r>
      <w:r w:rsidR="008441EA">
        <w:t xml:space="preserve"> noted that creating a service people want to use — that supports </w:t>
      </w:r>
      <w:r w:rsidR="3722310D">
        <w:t>most of</w:t>
      </w:r>
      <w:r w:rsidR="008441EA">
        <w:t xml:space="preserve"> DES participants who want to find and maintain employment — could make more </w:t>
      </w:r>
      <w:r w:rsidR="00F81F84">
        <w:t>“</w:t>
      </w:r>
      <w:r w:rsidR="008441EA">
        <w:t>specific</w:t>
      </w:r>
      <w:r w:rsidR="00F81F84">
        <w:t>”</w:t>
      </w:r>
      <w:r w:rsidR="008441EA">
        <w:t xml:space="preserve"> mutual obligations redundant.</w:t>
      </w:r>
    </w:p>
    <w:p w14:paraId="6E81772C" w14:textId="675F6E16" w:rsidR="00A32341" w:rsidRDefault="00A32341" w:rsidP="008441EA">
      <w:r>
        <w:t xml:space="preserve">A theme was that the </w:t>
      </w:r>
      <w:r w:rsidR="00230C53">
        <w:t>decision</w:t>
      </w:r>
      <w:r>
        <w:t xml:space="preserve"> to apply more mandatory/ specified requirements needed to be independent </w:t>
      </w:r>
      <w:r w:rsidR="00F91E69">
        <w:t xml:space="preserve">(i.e. not made by the provider) </w:t>
      </w:r>
      <w:r>
        <w:t xml:space="preserve">and/or something that could be challenged by participants. </w:t>
      </w:r>
      <w:r w:rsidR="00F91E69">
        <w:t xml:space="preserve">This concords with </w:t>
      </w:r>
      <w:r w:rsidR="00BF0015">
        <w:t>views made by the Select Committee on Workforce Australia.</w:t>
      </w:r>
    </w:p>
    <w:p w14:paraId="1C815246" w14:textId="2ADF6F37" w:rsidR="00F81F84" w:rsidRDefault="00F81F84" w:rsidP="008441EA">
      <w:r>
        <w:t>Stakeholders</w:t>
      </w:r>
      <w:r w:rsidR="00CB7A4A">
        <w:t xml:space="preserve"> who</w:t>
      </w:r>
      <w:r>
        <w:t xml:space="preserve"> reflected on what the appropriate response should be </w:t>
      </w:r>
      <w:r w:rsidR="003D4363">
        <w:t>when a participant is not engaging</w:t>
      </w:r>
      <w:r w:rsidR="00CB7A4A">
        <w:t xml:space="preserve"> generally outlined </w:t>
      </w:r>
      <w:r w:rsidR="00BB4E56">
        <w:t>several steps</w:t>
      </w:r>
      <w:r w:rsidR="00282E93">
        <w:t xml:space="preserve"> as part of this process</w:t>
      </w:r>
      <w:r w:rsidR="00BB4E56">
        <w:t>. For example:</w:t>
      </w:r>
      <w:r w:rsidR="00F310E0">
        <w:t xml:space="preserve"> </w:t>
      </w:r>
    </w:p>
    <w:p w14:paraId="5964BBDB" w14:textId="5FB451A2" w:rsidR="002774AE" w:rsidRDefault="00447BA4" w:rsidP="00BB4E56">
      <w:pPr>
        <w:pStyle w:val="ListBullet"/>
      </w:pPr>
      <w:r>
        <w:t xml:space="preserve">The first </w:t>
      </w:r>
      <w:r w:rsidR="00BB4E56">
        <w:t>step</w:t>
      </w:r>
      <w:r w:rsidR="00586F1A">
        <w:t xml:space="preserve"> </w:t>
      </w:r>
      <w:r w:rsidR="00EB109E">
        <w:t>would be</w:t>
      </w:r>
      <w:r w:rsidR="00CB7A83">
        <w:t xml:space="preserve"> </w:t>
      </w:r>
      <w:r w:rsidR="008441EA">
        <w:t>a</w:t>
      </w:r>
      <w:r w:rsidR="00390AB8">
        <w:t>ttempt</w:t>
      </w:r>
      <w:r w:rsidR="005E4E12">
        <w:t>ing</w:t>
      </w:r>
      <w:r w:rsidR="00390AB8">
        <w:t xml:space="preserve"> to understand why a participant is failing to </w:t>
      </w:r>
      <w:r w:rsidR="6ED0D180">
        <w:t>engage and</w:t>
      </w:r>
      <w:r w:rsidR="0049067A">
        <w:t xml:space="preserve"> working out the most appropriate response. </w:t>
      </w:r>
    </w:p>
    <w:p w14:paraId="5AD21B4D" w14:textId="350E62DB" w:rsidR="00EB109E" w:rsidRDefault="00A33D01">
      <w:pPr>
        <w:pStyle w:val="ListBullet"/>
      </w:pPr>
      <w:r>
        <w:t xml:space="preserve">A </w:t>
      </w:r>
      <w:r w:rsidR="00BA4B41">
        <w:t>Capability</w:t>
      </w:r>
      <w:r>
        <w:t xml:space="preserve"> Assessment could be warranted to ensure specific requirements are implemented </w:t>
      </w:r>
      <w:r w:rsidR="00BA4B41">
        <w:t>appropriately</w:t>
      </w:r>
      <w:r>
        <w:t xml:space="preserve"> (and without relying on provider </w:t>
      </w:r>
      <w:r w:rsidR="00BA4B41">
        <w:t>discretion</w:t>
      </w:r>
      <w:r>
        <w:t>).</w:t>
      </w:r>
      <w:r w:rsidR="00190A4E">
        <w:t xml:space="preserve"> Alternatively, ESAt reassessments could determine if there had been a change in circumstances impacting a participant’s engagement.</w:t>
      </w:r>
    </w:p>
    <w:p w14:paraId="7B76E4CD" w14:textId="6AFABF29" w:rsidR="00CA6B83" w:rsidRDefault="00EB109E">
      <w:pPr>
        <w:pStyle w:val="ListBullet"/>
      </w:pPr>
      <w:r>
        <w:t>As a next step, there</w:t>
      </w:r>
      <w:r w:rsidR="00AB6AA7">
        <w:t xml:space="preserve"> may need to be some form of </w:t>
      </w:r>
      <w:r w:rsidR="007812F0">
        <w:t>‘</w:t>
      </w:r>
      <w:r w:rsidR="00AB6AA7">
        <w:t>engagement tool</w:t>
      </w:r>
      <w:r w:rsidR="007812F0">
        <w:t>’</w:t>
      </w:r>
      <w:r w:rsidR="00AB6AA7">
        <w:t xml:space="preserve"> </w:t>
      </w:r>
      <w:r w:rsidR="007812F0">
        <w:t xml:space="preserve">(not the TCF) </w:t>
      </w:r>
      <w:r w:rsidR="00AB6AA7">
        <w:t>that could be used by providers whe</w:t>
      </w:r>
      <w:r w:rsidR="002738BD">
        <w:t xml:space="preserve">re </w:t>
      </w:r>
      <w:r w:rsidR="002E202E">
        <w:t xml:space="preserve">participant </w:t>
      </w:r>
      <w:r w:rsidR="00BA4B41">
        <w:t>activation</w:t>
      </w:r>
      <w:r w:rsidR="002738BD">
        <w:t xml:space="preserve"> is not working. For example, </w:t>
      </w:r>
      <w:r w:rsidR="00CA6B83">
        <w:t xml:space="preserve">providers </w:t>
      </w:r>
      <w:r w:rsidR="002738BD">
        <w:t>could</w:t>
      </w:r>
      <w:r w:rsidR="00CA6B83">
        <w:t xml:space="preserve"> offer more targeted intervention</w:t>
      </w:r>
      <w:r w:rsidR="002738BD">
        <w:t>(</w:t>
      </w:r>
      <w:r w:rsidR="00CA6B83">
        <w:t>s</w:t>
      </w:r>
      <w:r w:rsidR="002738BD">
        <w:t>)</w:t>
      </w:r>
      <w:r w:rsidR="00CA6B83">
        <w:t xml:space="preserve"> to address non-</w:t>
      </w:r>
      <w:r w:rsidR="00BA4B41">
        <w:t>engagement</w:t>
      </w:r>
      <w:r w:rsidR="00F317D6">
        <w:t xml:space="preserve">. </w:t>
      </w:r>
      <w:r w:rsidR="007C75B4">
        <w:t>Transfers to a new provider would need to be carefully considered.</w:t>
      </w:r>
    </w:p>
    <w:p w14:paraId="70FAA6AD" w14:textId="5EBC523B" w:rsidR="00846659" w:rsidRDefault="00846659">
      <w:pPr>
        <w:pStyle w:val="ListBullet"/>
      </w:pPr>
      <w:r>
        <w:t xml:space="preserve">Use of </w:t>
      </w:r>
      <w:r w:rsidR="00782303">
        <w:t>specified requirements should be the last resort.</w:t>
      </w:r>
    </w:p>
    <w:p w14:paraId="6B54CCDD" w14:textId="5AC44AF5" w:rsidR="00F632CF" w:rsidRDefault="00971E0A" w:rsidP="00C96C19">
      <w:r>
        <w:t>S</w:t>
      </w:r>
      <w:r w:rsidR="00F632CF">
        <w:t xml:space="preserve">ome </w:t>
      </w:r>
      <w:r w:rsidR="002E202E">
        <w:t xml:space="preserve">stakeholders </w:t>
      </w:r>
      <w:r w:rsidR="00F632CF">
        <w:t xml:space="preserve">felt those that </w:t>
      </w:r>
      <w:r w:rsidR="002E202E">
        <w:t>participants who do not engage</w:t>
      </w:r>
      <w:r w:rsidR="00F632CF">
        <w:t xml:space="preserve"> should be referred</w:t>
      </w:r>
      <w:r w:rsidR="00E84CA0">
        <w:t>/ transferred</w:t>
      </w:r>
      <w:r w:rsidR="00F632CF">
        <w:t xml:space="preserve"> to another service</w:t>
      </w:r>
      <w:r w:rsidR="1343DC7E">
        <w:t>,</w:t>
      </w:r>
      <w:r w:rsidR="00C96C19">
        <w:t xml:space="preserve"> or that </w:t>
      </w:r>
      <w:r w:rsidR="00B2486C">
        <w:t xml:space="preserve">responsibility for enforcing mutual obligations </w:t>
      </w:r>
      <w:r w:rsidR="00E84CA0">
        <w:t xml:space="preserve">should </w:t>
      </w:r>
      <w:r w:rsidR="00B2486C">
        <w:t xml:space="preserve">be </w:t>
      </w:r>
      <w:r w:rsidR="00E84CA0">
        <w:t xml:space="preserve">the role of </w:t>
      </w:r>
      <w:r w:rsidR="00B2486C">
        <w:t>Services Australia.</w:t>
      </w:r>
    </w:p>
    <w:p w14:paraId="5DB7A0A2" w14:textId="12727B9B" w:rsidR="00F632CF" w:rsidRDefault="40E14438" w:rsidP="00F632CF">
      <w:pPr>
        <w:pStyle w:val="Heading1"/>
      </w:pPr>
      <w:bookmarkStart w:id="27" w:name="_Toc160715917"/>
      <w:r>
        <w:t xml:space="preserve">Discussion topic 4 – Ongoing </w:t>
      </w:r>
      <w:r w:rsidR="21292E68">
        <w:t>S</w:t>
      </w:r>
      <w:r>
        <w:t>upport</w:t>
      </w:r>
      <w:bookmarkEnd w:id="27"/>
    </w:p>
    <w:p w14:paraId="25758550" w14:textId="357845A5" w:rsidR="00697A11" w:rsidRDefault="00BF16C5" w:rsidP="00BA0CAE">
      <w:pPr>
        <w:keepNext/>
      </w:pPr>
      <w:r>
        <w:t xml:space="preserve">Stakeholder </w:t>
      </w:r>
      <w:r w:rsidR="369278FF">
        <w:t xml:space="preserve">feedback reaffirmed that </w:t>
      </w:r>
      <w:r w:rsidR="7DFF68DC">
        <w:t xml:space="preserve">support for people with disability in employment should </w:t>
      </w:r>
      <w:r w:rsidR="50881AE1">
        <w:t>continue to be a core</w:t>
      </w:r>
      <w:r w:rsidR="7DFF68DC">
        <w:t xml:space="preserve"> </w:t>
      </w:r>
      <w:r w:rsidR="50881AE1">
        <w:t>feature in</w:t>
      </w:r>
      <w:r w:rsidR="7DFF68DC">
        <w:t xml:space="preserve"> the new model.</w:t>
      </w:r>
    </w:p>
    <w:p w14:paraId="3DC52B12" w14:textId="2E968D5B" w:rsidR="006664D1" w:rsidRDefault="7C897547" w:rsidP="006664D1">
      <w:r>
        <w:t>Merging Ongoing Support</w:t>
      </w:r>
      <w:r w:rsidR="798083D0">
        <w:t xml:space="preserve"> and Work Assist</w:t>
      </w:r>
      <w:r w:rsidR="00BF16C5">
        <w:t xml:space="preserve"> to </w:t>
      </w:r>
      <w:r>
        <w:t>offer a single stream of support for people in employment</w:t>
      </w:r>
      <w:r w:rsidR="67082DDA">
        <w:t xml:space="preserve"> was </w:t>
      </w:r>
      <w:r w:rsidR="612A0FC5">
        <w:t xml:space="preserve">noted by stakeholders </w:t>
      </w:r>
      <w:r w:rsidR="5BD6B4D1">
        <w:t xml:space="preserve">as </w:t>
      </w:r>
      <w:r w:rsidR="0535096B">
        <w:t xml:space="preserve">being </w:t>
      </w:r>
      <w:r w:rsidR="2D348B9D">
        <w:t xml:space="preserve">a </w:t>
      </w:r>
      <w:r w:rsidR="3A5765FE">
        <w:t xml:space="preserve">good </w:t>
      </w:r>
      <w:r w:rsidR="2D348B9D">
        <w:t xml:space="preserve">step to </w:t>
      </w:r>
      <w:r w:rsidR="5F973F6C">
        <w:t xml:space="preserve">simplifying arrangements for providers and </w:t>
      </w:r>
      <w:r w:rsidR="23A4AF24">
        <w:t xml:space="preserve">ensuring that more participants and employers </w:t>
      </w:r>
      <w:r w:rsidR="6C95A38E">
        <w:t>can</w:t>
      </w:r>
      <w:r w:rsidR="23A4AF24">
        <w:t xml:space="preserve"> get </w:t>
      </w:r>
      <w:r w:rsidR="2D12B507">
        <w:t xml:space="preserve">immediate </w:t>
      </w:r>
      <w:r w:rsidR="23A4AF24">
        <w:t>support</w:t>
      </w:r>
      <w:r w:rsidR="69EFE6C9">
        <w:t>.</w:t>
      </w:r>
    </w:p>
    <w:p w14:paraId="6202D3B0" w14:textId="0A12CF88" w:rsidR="004B3DFF" w:rsidRDefault="24B2D1E3" w:rsidP="006664D1">
      <w:r>
        <w:t xml:space="preserve">Immediate access to </w:t>
      </w:r>
      <w:r w:rsidR="00817177">
        <w:t xml:space="preserve">ongoing </w:t>
      </w:r>
      <w:r>
        <w:t xml:space="preserve">support fees </w:t>
      </w:r>
      <w:r w:rsidR="27B389D3">
        <w:t xml:space="preserve">was </w:t>
      </w:r>
      <w:bookmarkStart w:id="28" w:name="_Int_ZDrFH0Hu"/>
      <w:r w:rsidR="1AA6952D">
        <w:t>generally supported</w:t>
      </w:r>
      <w:bookmarkEnd w:id="28"/>
      <w:r w:rsidR="1AA6952D">
        <w:t>.</w:t>
      </w:r>
      <w:r>
        <w:t xml:space="preserve"> </w:t>
      </w:r>
      <w:r w:rsidR="2DDD2EAF">
        <w:t xml:space="preserve">Alternative payment models put forward included fee-for-service arrangements </w:t>
      </w:r>
      <w:r w:rsidR="49DC096A">
        <w:t>or</w:t>
      </w:r>
      <w:r w:rsidR="2DDD2EAF">
        <w:t xml:space="preserve"> </w:t>
      </w:r>
      <w:r w:rsidR="495B3774">
        <w:t>service/outcome payments that</w:t>
      </w:r>
      <w:r w:rsidR="49DC096A">
        <w:t xml:space="preserve"> </w:t>
      </w:r>
      <w:r w:rsidR="2AF7BCED">
        <w:t>are</w:t>
      </w:r>
      <w:r w:rsidR="092D158E">
        <w:t xml:space="preserve"> </w:t>
      </w:r>
      <w:r w:rsidR="49DC096A">
        <w:t xml:space="preserve">paid </w:t>
      </w:r>
      <w:r w:rsidR="4670E568">
        <w:t>if</w:t>
      </w:r>
      <w:r w:rsidR="49DC096A">
        <w:t xml:space="preserve"> </w:t>
      </w:r>
      <w:r w:rsidR="1FEBFA04">
        <w:t>the participant continue</w:t>
      </w:r>
      <w:r w:rsidR="57EE44FA">
        <w:t>s</w:t>
      </w:r>
      <w:r w:rsidR="1FEBFA04">
        <w:t xml:space="preserve"> </w:t>
      </w:r>
      <w:r w:rsidR="1CCF4118">
        <w:t xml:space="preserve">in </w:t>
      </w:r>
      <w:r w:rsidR="1FEBFA04">
        <w:t>employment</w:t>
      </w:r>
      <w:r w:rsidR="279C65F7">
        <w:t xml:space="preserve"> — with a</w:t>
      </w:r>
      <w:r w:rsidR="26AF2D5F">
        <w:t xml:space="preserve">ssurance and audit processes </w:t>
      </w:r>
      <w:r w:rsidR="279C65F7">
        <w:t>confirming</w:t>
      </w:r>
      <w:r w:rsidR="26AF2D5F">
        <w:t xml:space="preserve"> that the support provided and claimed has been justified and necessary.</w:t>
      </w:r>
    </w:p>
    <w:p w14:paraId="6E96835F" w14:textId="1D89EC61" w:rsidR="00243A88" w:rsidRDefault="00DD6431" w:rsidP="00F763DE">
      <w:pPr>
        <w:keepNext/>
      </w:pPr>
      <w:r>
        <w:lastRenderedPageBreak/>
        <w:t>Possible u</w:t>
      </w:r>
      <w:r w:rsidR="26AF2D5F">
        <w:t xml:space="preserve">nintended consequences </w:t>
      </w:r>
      <w:r w:rsidR="00CC7394">
        <w:t>identified by stakeholders</w:t>
      </w:r>
      <w:r w:rsidR="00765B0C">
        <w:t xml:space="preserve"> included:</w:t>
      </w:r>
    </w:p>
    <w:p w14:paraId="535BB6AD" w14:textId="2B8DEDF2" w:rsidR="00243A88" w:rsidRDefault="00CC7394" w:rsidP="00243A88">
      <w:pPr>
        <w:pStyle w:val="ListBullet"/>
      </w:pPr>
      <w:r>
        <w:t>The</w:t>
      </w:r>
      <w:r w:rsidR="3FA789C1">
        <w:t xml:space="preserve"> risk </w:t>
      </w:r>
      <w:r w:rsidR="4B6C5245">
        <w:t>of</w:t>
      </w:r>
      <w:r w:rsidR="4688E70D">
        <w:t xml:space="preserve"> underutilisation</w:t>
      </w:r>
      <w:r w:rsidR="00645192">
        <w:t xml:space="preserve"> i</w:t>
      </w:r>
      <w:r w:rsidR="435C6CEE">
        <w:t>f</w:t>
      </w:r>
      <w:r w:rsidR="303F8A23">
        <w:t xml:space="preserve"> the two </w:t>
      </w:r>
      <w:r w:rsidR="5068E568">
        <w:t>services</w:t>
      </w:r>
      <w:r w:rsidR="303F8A23">
        <w:t xml:space="preserve"> are merged </w:t>
      </w:r>
      <w:r w:rsidR="00645192">
        <w:t xml:space="preserve">— </w:t>
      </w:r>
      <w:r w:rsidR="00B0386C">
        <w:t xml:space="preserve">the concern being </w:t>
      </w:r>
      <w:r w:rsidR="303F8A23">
        <w:t xml:space="preserve">it could lead to a reduction in access </w:t>
      </w:r>
      <w:r w:rsidR="51CE3AE2">
        <w:t>by</w:t>
      </w:r>
      <w:r w:rsidR="303F8A23">
        <w:t xml:space="preserve"> </w:t>
      </w:r>
      <w:r w:rsidR="1B56C540">
        <w:t>participants</w:t>
      </w:r>
      <w:r w:rsidR="00B0386C">
        <w:t xml:space="preserve"> as</w:t>
      </w:r>
      <w:r w:rsidR="6E28F773">
        <w:t xml:space="preserve"> Work Assist </w:t>
      </w:r>
      <w:r w:rsidR="303F8A23">
        <w:t xml:space="preserve">supports people who </w:t>
      </w:r>
      <w:r w:rsidR="3951F77F">
        <w:t>are not currently connected to provider</w:t>
      </w:r>
      <w:r w:rsidR="303F8A23">
        <w:t>.</w:t>
      </w:r>
    </w:p>
    <w:p w14:paraId="099AE26C" w14:textId="5BB7EF28" w:rsidR="003D25C8" w:rsidRDefault="719E7F66" w:rsidP="00243A88">
      <w:pPr>
        <w:pStyle w:val="ListBullet"/>
      </w:pPr>
      <w:r>
        <w:t>Merging the services could lead to</w:t>
      </w:r>
      <w:r w:rsidR="0FDDF0A3">
        <w:t xml:space="preserve"> </w:t>
      </w:r>
      <w:r w:rsidR="26AF2D5F">
        <w:t xml:space="preserve">longer duration in </w:t>
      </w:r>
      <w:r w:rsidR="727807D0">
        <w:t>O</w:t>
      </w:r>
      <w:r w:rsidR="26AF2D5F">
        <w:t xml:space="preserve">ngoing </w:t>
      </w:r>
      <w:r w:rsidR="5B84B0E9">
        <w:t>S</w:t>
      </w:r>
      <w:r w:rsidR="26AF2D5F">
        <w:t xml:space="preserve">upport, but this could be a positive </w:t>
      </w:r>
      <w:r w:rsidR="6FAC132E">
        <w:t xml:space="preserve">outcome </w:t>
      </w:r>
      <w:r w:rsidR="26AF2D5F">
        <w:t>with better employer engagement and career progression over time.</w:t>
      </w:r>
      <w:r w:rsidR="2B42F700">
        <w:t xml:space="preserve"> </w:t>
      </w:r>
    </w:p>
    <w:p w14:paraId="3147FB27" w14:textId="08F80AE1" w:rsidR="00A95B5B" w:rsidRDefault="009A28C7" w:rsidP="00243A88">
      <w:pPr>
        <w:pStyle w:val="ListBullet"/>
      </w:pPr>
      <w:r>
        <w:t>The</w:t>
      </w:r>
      <w:r w:rsidR="60A618FE">
        <w:t xml:space="preserve"> risk of sharp practices by some providers</w:t>
      </w:r>
      <w:r w:rsidR="22262AFF">
        <w:t>;</w:t>
      </w:r>
      <w:r w:rsidR="01789D98">
        <w:t xml:space="preserve"> however</w:t>
      </w:r>
      <w:r w:rsidR="28088F41">
        <w:t>,</w:t>
      </w:r>
      <w:r w:rsidR="01789D98">
        <w:t xml:space="preserve"> </w:t>
      </w:r>
      <w:r w:rsidR="00A306B5">
        <w:t xml:space="preserve">at least one </w:t>
      </w:r>
      <w:r w:rsidR="00BA2806">
        <w:t>stakeholder</w:t>
      </w:r>
      <w:r w:rsidR="00A306B5">
        <w:t xml:space="preserve"> noted </w:t>
      </w:r>
      <w:r w:rsidR="01789D98">
        <w:t>this could be managed through a robust assurance process</w:t>
      </w:r>
      <w:r w:rsidR="60A618FE">
        <w:t>.</w:t>
      </w:r>
    </w:p>
    <w:p w14:paraId="0B751364" w14:textId="76EF74F3" w:rsidR="00E2467F" w:rsidRDefault="009A28C7" w:rsidP="4795D40A">
      <w:r>
        <w:t>A separate theme was that</w:t>
      </w:r>
      <w:r w:rsidR="008B5BBC">
        <w:t xml:space="preserve"> stakeholders thought </w:t>
      </w:r>
      <w:r w:rsidR="00BC450E">
        <w:t>reforms may</w:t>
      </w:r>
      <w:r w:rsidR="3A7E6962">
        <w:t xml:space="preserve"> not go far enough to address issues with Ongoing Support and Work Assist</w:t>
      </w:r>
      <w:r w:rsidR="788866F4">
        <w:t>.</w:t>
      </w:r>
      <w:r w:rsidR="0A0C89B0">
        <w:t xml:space="preserve"> </w:t>
      </w:r>
      <w:r w:rsidR="5A78B308">
        <w:t>The consensus was that</w:t>
      </w:r>
      <w:r w:rsidR="6F619006">
        <w:t xml:space="preserve"> support to progress long-term employment outcomes need</w:t>
      </w:r>
      <w:r w:rsidR="6E47A6F9">
        <w:t>s</w:t>
      </w:r>
      <w:r w:rsidR="6F619006">
        <w:t xml:space="preserve"> to be </w:t>
      </w:r>
      <w:r w:rsidR="12BB2C94">
        <w:t>strengthened</w:t>
      </w:r>
      <w:r w:rsidR="3A7E6962">
        <w:t xml:space="preserve">. </w:t>
      </w:r>
      <w:r w:rsidR="6EDD45C9">
        <w:t>Additionally</w:t>
      </w:r>
      <w:r w:rsidR="00BC450E">
        <w:t>,</w:t>
      </w:r>
      <w:r w:rsidR="3A7E6962">
        <w:t xml:space="preserve"> more need</w:t>
      </w:r>
      <w:r w:rsidR="60748469">
        <w:t>s</w:t>
      </w:r>
      <w:r w:rsidR="3A7E6962">
        <w:t xml:space="preserve"> to be done to enable flexibility in the support that can be provided to participants and employers. </w:t>
      </w:r>
      <w:r w:rsidR="29DB6E03">
        <w:t>T</w:t>
      </w:r>
      <w:r w:rsidR="1484F163">
        <w:t xml:space="preserve">his could be achieved </w:t>
      </w:r>
      <w:r w:rsidR="0B449BB7">
        <w:t>by</w:t>
      </w:r>
      <w:r w:rsidR="54FFF42B">
        <w:t xml:space="preserve"> allowing</w:t>
      </w:r>
      <w:r w:rsidR="0FEAB516">
        <w:t xml:space="preserve"> </w:t>
      </w:r>
      <w:r w:rsidR="6E8BE3BC">
        <w:t>support to be demand driven</w:t>
      </w:r>
      <w:r w:rsidR="67BEDBB1">
        <w:t xml:space="preserve"> — that is</w:t>
      </w:r>
      <w:r w:rsidR="6E8BE3BC">
        <w:t xml:space="preserve">, </w:t>
      </w:r>
      <w:r w:rsidR="02D024AE">
        <w:t xml:space="preserve">provided whenever it is required at an intensity level </w:t>
      </w:r>
      <w:r w:rsidR="67BEDBB1">
        <w:t>that matches the support need</w:t>
      </w:r>
      <w:r w:rsidR="00BC450E">
        <w:t>ed</w:t>
      </w:r>
      <w:r w:rsidR="67BEDBB1">
        <w:t xml:space="preserve"> at</w:t>
      </w:r>
      <w:r w:rsidR="22D64A80">
        <w:t xml:space="preserve"> that point in time</w:t>
      </w:r>
      <w:r w:rsidR="6B56F7CF">
        <w:t xml:space="preserve"> (rather than </w:t>
      </w:r>
      <w:r w:rsidR="7EBE9B2B">
        <w:t>following a</w:t>
      </w:r>
      <w:r w:rsidR="288A673A">
        <w:t xml:space="preserve"> prescribed contact schedule)</w:t>
      </w:r>
      <w:r w:rsidR="22D64A80">
        <w:t>.</w:t>
      </w:r>
      <w:r w:rsidR="178CBF91">
        <w:t xml:space="preserve"> </w:t>
      </w:r>
      <w:r w:rsidR="32F31C82">
        <w:t>In addition,</w:t>
      </w:r>
      <w:r w:rsidR="56341611">
        <w:t xml:space="preserve"> Work Assist participants should be able to reconnect with</w:t>
      </w:r>
      <w:r w:rsidR="4A2FB2B2">
        <w:t xml:space="preserve"> their previous DES provider, as they have an established relationship.</w:t>
      </w:r>
    </w:p>
    <w:p w14:paraId="3EE12722" w14:textId="557B3DD4" w:rsidR="00CF50B2" w:rsidRDefault="3A33FBCF" w:rsidP="00222E83">
      <w:r>
        <w:t xml:space="preserve">There were also calls for </w:t>
      </w:r>
      <w:r w:rsidR="41BA60FC">
        <w:t xml:space="preserve">continued consultation specifically around </w:t>
      </w:r>
      <w:r w:rsidR="00314C07">
        <w:t xml:space="preserve">ongoing support focused on </w:t>
      </w:r>
      <w:r w:rsidR="41BA60FC">
        <w:t>how to reduce administrati</w:t>
      </w:r>
      <w:r w:rsidR="00BC450E">
        <w:t>ve</w:t>
      </w:r>
      <w:r w:rsidR="41BA60FC">
        <w:t xml:space="preserve"> burdens</w:t>
      </w:r>
      <w:r w:rsidR="00314C07">
        <w:t>;</w:t>
      </w:r>
      <w:r w:rsidR="41BA60FC">
        <w:t xml:space="preserve"> </w:t>
      </w:r>
      <w:r w:rsidR="4E468799">
        <w:t>improve</w:t>
      </w:r>
      <w:r w:rsidR="41BA60FC">
        <w:t xml:space="preserve"> </w:t>
      </w:r>
      <w:r w:rsidR="7F792067">
        <w:t xml:space="preserve">the service quality </w:t>
      </w:r>
      <w:r w:rsidR="4E468799">
        <w:t>for</w:t>
      </w:r>
      <w:r w:rsidR="41BA60FC">
        <w:t xml:space="preserve"> participants and employer</w:t>
      </w:r>
      <w:r w:rsidR="00314C07">
        <w:t>s;</w:t>
      </w:r>
      <w:r w:rsidR="4E468799">
        <w:t xml:space="preserve"> and increase awareness of the </w:t>
      </w:r>
      <w:r w:rsidR="389BEA9C">
        <w:t xml:space="preserve">in-employment </w:t>
      </w:r>
      <w:r w:rsidR="4E468799">
        <w:t>assistance</w:t>
      </w:r>
      <w:r w:rsidR="389BEA9C">
        <w:t xml:space="preserve"> available</w:t>
      </w:r>
      <w:r w:rsidR="614A30E8">
        <w:t>.</w:t>
      </w:r>
    </w:p>
    <w:sectPr w:rsidR="00CF50B2" w:rsidSect="00106F4B">
      <w:headerReference w:type="default" r:id="rId15"/>
      <w:headerReference w:type="first" r:id="rId16"/>
      <w:footerReference w:type="first" r:id="rId17"/>
      <w:pgSz w:w="11906" w:h="16838"/>
      <w:pgMar w:top="1134" w:right="851" w:bottom="1134" w:left="1134" w:header="851"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BB7D" w14:textId="77777777" w:rsidR="00106F4B" w:rsidRDefault="00106F4B" w:rsidP="008F3023">
      <w:pPr>
        <w:spacing w:before="0" w:after="0" w:line="240" w:lineRule="auto"/>
      </w:pPr>
      <w:r>
        <w:separator/>
      </w:r>
    </w:p>
    <w:p w14:paraId="10F16349" w14:textId="77777777" w:rsidR="00106F4B" w:rsidRDefault="00106F4B"/>
  </w:endnote>
  <w:endnote w:type="continuationSeparator" w:id="0">
    <w:p w14:paraId="54D2A33B" w14:textId="77777777" w:rsidR="00106F4B" w:rsidRDefault="00106F4B" w:rsidP="008F3023">
      <w:pPr>
        <w:spacing w:before="0" w:after="0" w:line="240" w:lineRule="auto"/>
      </w:pPr>
      <w:r>
        <w:continuationSeparator/>
      </w:r>
    </w:p>
    <w:p w14:paraId="2FCCF7A2" w14:textId="77777777" w:rsidR="00106F4B" w:rsidRDefault="00106F4B"/>
  </w:endnote>
  <w:endnote w:type="continuationNotice" w:id="1">
    <w:p w14:paraId="1DCF656C" w14:textId="77777777" w:rsidR="00106F4B" w:rsidRDefault="00106F4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44914"/>
      <w:docPartObj>
        <w:docPartGallery w:val="Page Numbers (Bottom of Page)"/>
        <w:docPartUnique/>
      </w:docPartObj>
    </w:sdtPr>
    <w:sdtEndPr>
      <w:rPr>
        <w:noProof/>
      </w:rPr>
    </w:sdtEndPr>
    <w:sdtContent>
      <w:p w14:paraId="5EEEB209" w14:textId="003DC271" w:rsidR="00A427F4" w:rsidRDefault="00A427F4" w:rsidP="00D86E50">
        <w:pPr>
          <w:pStyle w:val="Footer"/>
          <w:jc w:val="center"/>
        </w:pPr>
        <w:r>
          <w:fldChar w:fldCharType="begin"/>
        </w:r>
        <w:r>
          <w:instrText xml:space="preserve"> PAGE   \* MERGEFORMAT </w:instrText>
        </w:r>
        <w:r>
          <w:fldChar w:fldCharType="separate"/>
        </w:r>
        <w:r w:rsidR="009840E1">
          <w:rPr>
            <w:noProof/>
          </w:rPr>
          <w:t>6</w:t>
        </w:r>
        <w:r>
          <w:rPr>
            <w:noProof/>
          </w:rPr>
          <w:fldChar w:fldCharType="end"/>
        </w:r>
      </w:p>
    </w:sdtContent>
  </w:sdt>
  <w:p w14:paraId="0630E102" w14:textId="77777777" w:rsidR="00A427F4" w:rsidRDefault="00A42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D5C0" w14:textId="77777777" w:rsidR="00A427F4" w:rsidRDefault="00A427F4" w:rsidP="00B10EB1">
    <w:pPr>
      <w:pStyle w:val="Footer"/>
      <w:ind w:left="-1417"/>
    </w:pPr>
    <w:r>
      <w:rPr>
        <w:noProof/>
      </w:rPr>
      <w:drawing>
        <wp:inline distT="0" distB="0" distL="0" distR="0" wp14:anchorId="45F868E6" wp14:editId="65DD10C6">
          <wp:extent cx="7518400" cy="5095499"/>
          <wp:effectExtent l="0" t="0" r="6350" b="0"/>
          <wp:docPr id="2" name="Picture 2"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8652" b="-1"/>
                  <a:stretch/>
                </pic:blipFill>
                <pic:spPr bwMode="auto">
                  <a:xfrm>
                    <a:off x="0" y="0"/>
                    <a:ext cx="7519594" cy="509630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2AB3" w14:textId="5CF4209E" w:rsidR="00A427F4" w:rsidRDefault="00E612F4" w:rsidP="00D86E50">
    <w:pPr>
      <w:pStyle w:val="Footer"/>
      <w:tabs>
        <w:tab w:val="clear" w:pos="4513"/>
        <w:tab w:val="clear" w:pos="9026"/>
        <w:tab w:val="left" w:pos="3040"/>
      </w:tabs>
      <w:jc w:val="center"/>
    </w:pPr>
    <w:sdt>
      <w:sdtPr>
        <w:id w:val="95303039"/>
        <w:docPartObj>
          <w:docPartGallery w:val="Page Numbers (Bottom of Page)"/>
          <w:docPartUnique/>
        </w:docPartObj>
      </w:sdtPr>
      <w:sdtEndPr>
        <w:rPr>
          <w:noProof/>
        </w:rPr>
      </w:sdtEndPr>
      <w:sdtContent>
        <w:r w:rsidR="00A427F4">
          <w:fldChar w:fldCharType="begin"/>
        </w:r>
        <w:r w:rsidR="00A427F4">
          <w:instrText xml:space="preserve"> PAGE   \* MERGEFORMAT </w:instrText>
        </w:r>
        <w:r w:rsidR="00A427F4">
          <w:fldChar w:fldCharType="separate"/>
        </w:r>
        <w:r w:rsidR="009840E1">
          <w:rPr>
            <w:noProof/>
          </w:rPr>
          <w:t>2</w:t>
        </w:r>
        <w:r w:rsidR="00A427F4">
          <w:rPr>
            <w:noProof/>
          </w:rPr>
          <w:fldChar w:fldCharType="end"/>
        </w:r>
      </w:sdtContent>
    </w:sdt>
  </w:p>
  <w:p w14:paraId="6A2FF8FB" w14:textId="77777777" w:rsidR="00A427F4" w:rsidRDefault="00A427F4" w:rsidP="00B10EB1">
    <w:pPr>
      <w:pStyle w:val="Footer"/>
      <w:ind w:left="-1417"/>
    </w:pPr>
  </w:p>
  <w:p w14:paraId="716CB1C4" w14:textId="77777777" w:rsidR="00A427F4" w:rsidRDefault="00A427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C1EA9" w14:textId="77777777" w:rsidR="00106F4B" w:rsidRDefault="00106F4B" w:rsidP="008F3023">
      <w:pPr>
        <w:spacing w:before="0" w:after="0" w:line="240" w:lineRule="auto"/>
      </w:pPr>
      <w:r>
        <w:separator/>
      </w:r>
    </w:p>
    <w:p w14:paraId="09B11CD4" w14:textId="77777777" w:rsidR="00106F4B" w:rsidRDefault="00106F4B"/>
  </w:footnote>
  <w:footnote w:type="continuationSeparator" w:id="0">
    <w:p w14:paraId="5608E4FD" w14:textId="77777777" w:rsidR="00106F4B" w:rsidRDefault="00106F4B" w:rsidP="008F3023">
      <w:pPr>
        <w:spacing w:before="0" w:after="0" w:line="240" w:lineRule="auto"/>
      </w:pPr>
      <w:r>
        <w:continuationSeparator/>
      </w:r>
    </w:p>
    <w:p w14:paraId="2E4595BA" w14:textId="77777777" w:rsidR="00106F4B" w:rsidRDefault="00106F4B"/>
  </w:footnote>
  <w:footnote w:type="continuationNotice" w:id="1">
    <w:p w14:paraId="62544793" w14:textId="77777777" w:rsidR="00106F4B" w:rsidRDefault="00106F4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562D" w14:textId="280B9C69" w:rsidR="00A427F4" w:rsidRDefault="00D677E0" w:rsidP="00F30908">
    <w:pPr>
      <w:ind w:left="-964"/>
    </w:pPr>
    <w:r>
      <w:rPr>
        <w:noProof/>
      </w:rPr>
      <w:drawing>
        <wp:anchor distT="0" distB="0" distL="114300" distR="114300" simplePos="0" relativeHeight="251659264" behindDoc="1" locked="0" layoutInCell="1" allowOverlap="1" wp14:anchorId="607C3EAF" wp14:editId="627C8C2C">
          <wp:simplePos x="0" y="0"/>
          <wp:positionH relativeFrom="page">
            <wp:align>right</wp:align>
          </wp:positionH>
          <wp:positionV relativeFrom="paragraph">
            <wp:posOffset>-170756</wp:posOffset>
          </wp:positionV>
          <wp:extent cx="7553325" cy="932180"/>
          <wp:effectExtent l="0" t="0" r="9525" b="1270"/>
          <wp:wrapNone/>
          <wp:docPr id="1749926764" name="Picture 1" descr="Chest for Department of Social Services and logo for  a disability employmen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hest for Department of Social Services and logo for  a disability employment services"/>
                  <pic:cNvPicPr/>
                </pic:nvPicPr>
                <pic:blipFill>
                  <a:blip r:embed="rId1" cstate="print">
                    <a:extLst>
                      <a:ext uri="{28A0092B-C50C-407E-A947-70E740481C1C}">
                        <a14:useLocalDpi xmlns:a14="http://schemas.microsoft.com/office/drawing/2010/main" val="0"/>
                      </a:ext>
                    </a:extLst>
                  </a:blip>
                  <a:srcRect b="48816"/>
                  <a:stretch>
                    <a:fillRect/>
                  </a:stretch>
                </pic:blipFill>
                <pic:spPr bwMode="auto">
                  <a:xfrm>
                    <a:off x="0" y="0"/>
                    <a:ext cx="7553325" cy="932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FF66" w14:textId="77777777" w:rsidR="00A427F4" w:rsidRDefault="00A427F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5CAB" w14:textId="77777777" w:rsidR="00A427F4" w:rsidRDefault="00A427F4" w:rsidP="00F30908">
    <w:pPr>
      <w:ind w:left="-964"/>
    </w:pPr>
  </w:p>
  <w:p w14:paraId="165E6A43" w14:textId="77777777" w:rsidR="00A427F4" w:rsidRDefault="00A427F4"/>
</w:hdr>
</file>

<file path=word/intelligence2.xml><?xml version="1.0" encoding="utf-8"?>
<int2:intelligence xmlns:int2="http://schemas.microsoft.com/office/intelligence/2020/intelligence" xmlns:oel="http://schemas.microsoft.com/office/2019/extlst">
  <int2:observations>
    <int2:textHash int2:hashCode="AQPYHDJSaild/F" int2:id="BnvogyDL">
      <int2:state int2:value="Rejected" int2:type="AugLoop_Text_Critique"/>
    </int2:textHash>
    <int2:textHash int2:hashCode="P4Gmn5bYe9n1FA" int2:id="WFArexcV">
      <int2:state int2:value="Rejected" int2:type="AugLoop_Text_Critique"/>
    </int2:textHash>
    <int2:bookmark int2:bookmarkName="_Int_pf1UGsaB" int2:invalidationBookmarkName="" int2:hashCode="6MOcTX5vd/yG9b" int2:id="FmyWvH0t">
      <int2:state int2:value="Rejected" int2:type="AugLoop_Text_Critique"/>
    </int2:bookmark>
    <int2:bookmark int2:bookmarkName="_Int_H9IiHFng" int2:invalidationBookmarkName="" int2:hashCode="0lXQ0GySJQ8tJA" int2:id="JB6VIY5U">
      <int2:state int2:value="Rejected" int2:type="AugLoop_Text_Critique"/>
    </int2:bookmark>
    <int2:bookmark int2:bookmarkName="_Int_oD4Upetd" int2:invalidationBookmarkName="" int2:hashCode="2agXSgEE9RJ/mJ" int2:id="SFFH6IH8">
      <int2:state int2:value="Rejected" int2:type="AugLoop_Text_Critique"/>
    </int2:bookmark>
    <int2:bookmark int2:bookmarkName="_Int_vtTuZPpW" int2:invalidationBookmarkName="" int2:hashCode="VRd/LyDcPFdCnc" int2:id="SQE2ikcc">
      <int2:state int2:value="Rejected" int2:type="AugLoop_Text_Critique"/>
    </int2:bookmark>
    <int2:bookmark int2:bookmarkName="_Int_sBh84FmI" int2:invalidationBookmarkName="" int2:hashCode="jUGcM1jQZMPkWw" int2:id="SrT0e8nN">
      <int2:state int2:value="Rejected" int2:type="AugLoop_Text_Critique"/>
    </int2:bookmark>
    <int2:bookmark int2:bookmarkName="_Int_XB9L4dYy" int2:invalidationBookmarkName="" int2:hashCode="8UJnAU7XWHXm9y" int2:id="V7FaPmEj">
      <int2:state int2:value="Rejected" int2:type="AugLoop_Text_Critique"/>
    </int2:bookmark>
    <int2:bookmark int2:bookmarkName="_Int_WS9n3IPO" int2:invalidationBookmarkName="" int2:hashCode="ITyOgw1qsMgyg0" int2:id="Wmrq2B9q">
      <int2:state int2:value="Rejected" int2:type="AugLoop_Text_Critique"/>
    </int2:bookmark>
    <int2:bookmark int2:bookmarkName="_Int_GzkAYj0F" int2:invalidationBookmarkName="" int2:hashCode="H0xk+8e73dKY0v" int2:id="XCLmTtA3">
      <int2:state int2:value="Rejected" int2:type="AugLoop_Text_Critique"/>
    </int2:bookmark>
    <int2:bookmark int2:bookmarkName="_Int_ZDrFH0Hu" int2:invalidationBookmarkName="" int2:hashCode="Ny/MvNzWTVWXQ9" int2:id="khVfS6Sw">
      <int2:state int2:value="Rejected" int2:type="AugLoop_Text_Critique"/>
    </int2:bookmark>
    <int2:bookmark int2:bookmarkName="_Int_aaIPHt4z" int2:invalidationBookmarkName="" int2:hashCode="8gM8EWv7ce1MyV" int2:id="l3bUtjuQ">
      <int2:state int2:value="Rejected" int2:type="AugLoop_Text_Critique"/>
    </int2:bookmark>
    <int2:bookmark int2:bookmarkName="_Int_PSbRxtqC" int2:invalidationBookmarkName="" int2:hashCode="K2zCvNxt3oYM2v" int2:id="mZRcw2dc">
      <int2:state int2:value="Rejected" int2:type="AugLoop_Text_Critique"/>
    </int2:bookmark>
    <int2:bookmark int2:bookmarkName="_Int_YRYZGQc6" int2:invalidationBookmarkName="" int2:hashCode="TOr7xOe9bt/UWA" int2:id="nCC2rxhX">
      <int2:state int2:value="Rejected" int2:type="AugLoop_Text_Critique"/>
    </int2:bookmark>
    <int2:bookmark int2:bookmarkName="_Int_zyljydZO" int2:invalidationBookmarkName="" int2:hashCode="K2zCvNxt3oYM2v" int2:id="nKaa83te">
      <int2:state int2:value="Rejected" int2:type="AugLoop_Text_Critique"/>
    </int2:bookmark>
    <int2:bookmark int2:bookmarkName="_Int_rxi2uega" int2:invalidationBookmarkName="" int2:hashCode="oKAsazIldsJ7z+" int2:id="zSXFT4Lk">
      <int2:state int2:value="Rejected" int2:type="AugLoop_Text_Critique"/>
    </int2:bookmark>
    <int2:bookmark int2:bookmarkName="_Int_mKjJQE2d" int2:invalidationBookmarkName="" int2:hashCode="WnZTP6IPvFw6Ut" int2:id="pGEXpFF9">
      <int2:state int2:value="Rejected" int2:type="AugLoop_Text_Critique"/>
    </int2:bookmark>
    <int2:bookmark int2:bookmarkName="_Int_1x3iDaN7" int2:invalidationBookmarkName="" int2:hashCode="q1jOpPuQ93XaEH" int2:id="ulW7YVAf">
      <int2:state int2:value="Rejected" int2:type="AugLoop_Text_Critique"/>
    </int2:bookmark>
    <int2:bookmark int2:bookmarkName="_Int_X26cYMKU" int2:invalidationBookmarkName="" int2:hashCode="74j46wDU26lS5H" int2:id="v89GbOur">
      <int2:state int2:value="Rejected" int2:type="AugLoop_Text_Critique"/>
    </int2:bookmark>
    <int2:bookmark int2:bookmarkName="_Int_p330gFpH" int2:invalidationBookmarkName="" int2:hashCode="8axyUcKGf5LmHc" int2:id="vbcYGqhC">
      <int2:state int2:value="Rejected" int2:type="AugLoop_Text_Critique"/>
    </int2:bookmark>
    <int2:bookmark int2:bookmarkName="_Int_Zgug9uoR" int2:invalidationBookmarkName="" int2:hashCode="PeUh02GRVekij4" int2:id="y1cSNbJ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BAB0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B34D7"/>
    <w:multiLevelType w:val="hybridMultilevel"/>
    <w:tmpl w:val="D486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56537F"/>
    <w:multiLevelType w:val="hybridMultilevel"/>
    <w:tmpl w:val="820CA8E0"/>
    <w:lvl w:ilvl="0" w:tplc="2B28FCEE">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3406A7"/>
    <w:multiLevelType w:val="hybridMultilevel"/>
    <w:tmpl w:val="A72CD1A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4" w15:restartNumberingAfterBreak="0">
    <w:nsid w:val="372003B4"/>
    <w:multiLevelType w:val="hybridMultilevel"/>
    <w:tmpl w:val="A16E9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FD2D02"/>
    <w:multiLevelType w:val="hybridMultilevel"/>
    <w:tmpl w:val="9FF06992"/>
    <w:lvl w:ilvl="0" w:tplc="243EDABA">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4957414">
    <w:abstractNumId w:val="2"/>
  </w:num>
  <w:num w:numId="2" w16cid:durableId="1015882270">
    <w:abstractNumId w:val="5"/>
  </w:num>
  <w:num w:numId="3" w16cid:durableId="917401226">
    <w:abstractNumId w:val="1"/>
  </w:num>
  <w:num w:numId="4" w16cid:durableId="90858276">
    <w:abstractNumId w:val="0"/>
  </w:num>
  <w:num w:numId="5" w16cid:durableId="1491944645">
    <w:abstractNumId w:val="2"/>
  </w:num>
  <w:num w:numId="6" w16cid:durableId="272826957">
    <w:abstractNumId w:val="3"/>
  </w:num>
  <w:num w:numId="7" w16cid:durableId="193271234">
    <w:abstractNumId w:val="4"/>
  </w:num>
  <w:num w:numId="8" w16cid:durableId="1445418623">
    <w:abstractNumId w:val="6"/>
  </w:num>
  <w:num w:numId="9" w16cid:durableId="839855263">
    <w:abstractNumId w:val="6"/>
  </w:num>
  <w:num w:numId="10" w16cid:durableId="523327325">
    <w:abstractNumId w:val="6"/>
  </w:num>
  <w:num w:numId="11" w16cid:durableId="2090954013">
    <w:abstractNumId w:val="6"/>
  </w:num>
  <w:num w:numId="12" w16cid:durableId="10381212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30C"/>
    <w:rsid w:val="000036E8"/>
    <w:rsid w:val="00003EAF"/>
    <w:rsid w:val="00003EE8"/>
    <w:rsid w:val="00005918"/>
    <w:rsid w:val="00005975"/>
    <w:rsid w:val="000065A5"/>
    <w:rsid w:val="00011BF1"/>
    <w:rsid w:val="0001246E"/>
    <w:rsid w:val="00013704"/>
    <w:rsid w:val="000140B8"/>
    <w:rsid w:val="000155CE"/>
    <w:rsid w:val="00021BCD"/>
    <w:rsid w:val="00022FCB"/>
    <w:rsid w:val="00024706"/>
    <w:rsid w:val="00024B92"/>
    <w:rsid w:val="000253AB"/>
    <w:rsid w:val="00025DEC"/>
    <w:rsid w:val="00025E68"/>
    <w:rsid w:val="0002602D"/>
    <w:rsid w:val="00026694"/>
    <w:rsid w:val="00032C44"/>
    <w:rsid w:val="00032D93"/>
    <w:rsid w:val="000341CC"/>
    <w:rsid w:val="00037636"/>
    <w:rsid w:val="00040389"/>
    <w:rsid w:val="000434CE"/>
    <w:rsid w:val="0004421F"/>
    <w:rsid w:val="000451D0"/>
    <w:rsid w:val="000462F5"/>
    <w:rsid w:val="00046DA0"/>
    <w:rsid w:val="000476D3"/>
    <w:rsid w:val="00047D8E"/>
    <w:rsid w:val="00051B8A"/>
    <w:rsid w:val="00053A52"/>
    <w:rsid w:val="0005482F"/>
    <w:rsid w:val="000555FC"/>
    <w:rsid w:val="00061B8B"/>
    <w:rsid w:val="000629EA"/>
    <w:rsid w:val="00066EB3"/>
    <w:rsid w:val="000702BD"/>
    <w:rsid w:val="00070549"/>
    <w:rsid w:val="00070E6F"/>
    <w:rsid w:val="000717C8"/>
    <w:rsid w:val="00072600"/>
    <w:rsid w:val="00073137"/>
    <w:rsid w:val="00073F74"/>
    <w:rsid w:val="00075E0B"/>
    <w:rsid w:val="0007662B"/>
    <w:rsid w:val="00076DAF"/>
    <w:rsid w:val="0008066F"/>
    <w:rsid w:val="00081610"/>
    <w:rsid w:val="000836C2"/>
    <w:rsid w:val="000847AF"/>
    <w:rsid w:val="00085B0A"/>
    <w:rsid w:val="00086643"/>
    <w:rsid w:val="0009028F"/>
    <w:rsid w:val="00092482"/>
    <w:rsid w:val="000978B1"/>
    <w:rsid w:val="000A3027"/>
    <w:rsid w:val="000A3CBB"/>
    <w:rsid w:val="000A6595"/>
    <w:rsid w:val="000A68E7"/>
    <w:rsid w:val="000A7197"/>
    <w:rsid w:val="000B1758"/>
    <w:rsid w:val="000B1A73"/>
    <w:rsid w:val="000B2F0E"/>
    <w:rsid w:val="000B31BC"/>
    <w:rsid w:val="000B456B"/>
    <w:rsid w:val="000B4B8D"/>
    <w:rsid w:val="000B63E0"/>
    <w:rsid w:val="000B6A5F"/>
    <w:rsid w:val="000C1785"/>
    <w:rsid w:val="000C1E41"/>
    <w:rsid w:val="000C3679"/>
    <w:rsid w:val="000C45E4"/>
    <w:rsid w:val="000C4C9B"/>
    <w:rsid w:val="000C5946"/>
    <w:rsid w:val="000C6696"/>
    <w:rsid w:val="000D32A4"/>
    <w:rsid w:val="000D54D4"/>
    <w:rsid w:val="000E053E"/>
    <w:rsid w:val="000E1C9B"/>
    <w:rsid w:val="000E221A"/>
    <w:rsid w:val="000E3FDF"/>
    <w:rsid w:val="000E5320"/>
    <w:rsid w:val="000E6FA5"/>
    <w:rsid w:val="000F4142"/>
    <w:rsid w:val="000F63C9"/>
    <w:rsid w:val="000F75FC"/>
    <w:rsid w:val="0010234A"/>
    <w:rsid w:val="00105062"/>
    <w:rsid w:val="00106F4B"/>
    <w:rsid w:val="00107F36"/>
    <w:rsid w:val="001122F2"/>
    <w:rsid w:val="001133B7"/>
    <w:rsid w:val="001156E3"/>
    <w:rsid w:val="00121DEF"/>
    <w:rsid w:val="00121EB0"/>
    <w:rsid w:val="00123FB0"/>
    <w:rsid w:val="00124418"/>
    <w:rsid w:val="00127BEA"/>
    <w:rsid w:val="00133590"/>
    <w:rsid w:val="00133F47"/>
    <w:rsid w:val="00135466"/>
    <w:rsid w:val="001369C3"/>
    <w:rsid w:val="0013716E"/>
    <w:rsid w:val="001373B8"/>
    <w:rsid w:val="00141CDE"/>
    <w:rsid w:val="00145466"/>
    <w:rsid w:val="0014593F"/>
    <w:rsid w:val="00146005"/>
    <w:rsid w:val="0014749A"/>
    <w:rsid w:val="001477B4"/>
    <w:rsid w:val="00150A92"/>
    <w:rsid w:val="001510D7"/>
    <w:rsid w:val="00152659"/>
    <w:rsid w:val="0015391D"/>
    <w:rsid w:val="00155893"/>
    <w:rsid w:val="00161026"/>
    <w:rsid w:val="0016262E"/>
    <w:rsid w:val="00162EB2"/>
    <w:rsid w:val="0016356E"/>
    <w:rsid w:val="001669A3"/>
    <w:rsid w:val="0016BB2E"/>
    <w:rsid w:val="001704F2"/>
    <w:rsid w:val="0017284B"/>
    <w:rsid w:val="001732F4"/>
    <w:rsid w:val="00177889"/>
    <w:rsid w:val="00180BAE"/>
    <w:rsid w:val="0018233B"/>
    <w:rsid w:val="001823AE"/>
    <w:rsid w:val="00185B20"/>
    <w:rsid w:val="001862BC"/>
    <w:rsid w:val="00190A4E"/>
    <w:rsid w:val="00191689"/>
    <w:rsid w:val="001A2705"/>
    <w:rsid w:val="001A465B"/>
    <w:rsid w:val="001A6AA5"/>
    <w:rsid w:val="001A7461"/>
    <w:rsid w:val="001B4715"/>
    <w:rsid w:val="001B4858"/>
    <w:rsid w:val="001C1ACB"/>
    <w:rsid w:val="001C401D"/>
    <w:rsid w:val="001C4335"/>
    <w:rsid w:val="001C523D"/>
    <w:rsid w:val="001C5904"/>
    <w:rsid w:val="001C6B8B"/>
    <w:rsid w:val="001D2FC9"/>
    <w:rsid w:val="001D78B1"/>
    <w:rsid w:val="001E18F7"/>
    <w:rsid w:val="001E2CCF"/>
    <w:rsid w:val="001E31C1"/>
    <w:rsid w:val="001E44ED"/>
    <w:rsid w:val="001E4C1F"/>
    <w:rsid w:val="001E630D"/>
    <w:rsid w:val="001F1B7C"/>
    <w:rsid w:val="001F35D6"/>
    <w:rsid w:val="001F48C6"/>
    <w:rsid w:val="001F542C"/>
    <w:rsid w:val="001F5748"/>
    <w:rsid w:val="001F6D2D"/>
    <w:rsid w:val="002010AA"/>
    <w:rsid w:val="00204F4F"/>
    <w:rsid w:val="00204FE8"/>
    <w:rsid w:val="00205563"/>
    <w:rsid w:val="0020568F"/>
    <w:rsid w:val="00206EAE"/>
    <w:rsid w:val="00207117"/>
    <w:rsid w:val="002109EB"/>
    <w:rsid w:val="00213238"/>
    <w:rsid w:val="00214394"/>
    <w:rsid w:val="00214D10"/>
    <w:rsid w:val="002152A7"/>
    <w:rsid w:val="0021718B"/>
    <w:rsid w:val="00220089"/>
    <w:rsid w:val="00222E83"/>
    <w:rsid w:val="00224AD4"/>
    <w:rsid w:val="00225437"/>
    <w:rsid w:val="00226749"/>
    <w:rsid w:val="00230C53"/>
    <w:rsid w:val="00231679"/>
    <w:rsid w:val="00233D15"/>
    <w:rsid w:val="002346B5"/>
    <w:rsid w:val="00236284"/>
    <w:rsid w:val="00237126"/>
    <w:rsid w:val="00241EA2"/>
    <w:rsid w:val="002423D1"/>
    <w:rsid w:val="00243A88"/>
    <w:rsid w:val="00250C6E"/>
    <w:rsid w:val="00250E53"/>
    <w:rsid w:val="00250F5F"/>
    <w:rsid w:val="00252906"/>
    <w:rsid w:val="00252C6D"/>
    <w:rsid w:val="00254DA9"/>
    <w:rsid w:val="002578DE"/>
    <w:rsid w:val="00257AB4"/>
    <w:rsid w:val="002602AA"/>
    <w:rsid w:val="00262D35"/>
    <w:rsid w:val="00271885"/>
    <w:rsid w:val="002738BD"/>
    <w:rsid w:val="002753B8"/>
    <w:rsid w:val="00276927"/>
    <w:rsid w:val="002769DC"/>
    <w:rsid w:val="002774AE"/>
    <w:rsid w:val="002776DE"/>
    <w:rsid w:val="002812B6"/>
    <w:rsid w:val="00281DFB"/>
    <w:rsid w:val="00282E93"/>
    <w:rsid w:val="002871EE"/>
    <w:rsid w:val="00292A0E"/>
    <w:rsid w:val="00292E18"/>
    <w:rsid w:val="002943F1"/>
    <w:rsid w:val="00294670"/>
    <w:rsid w:val="002946D8"/>
    <w:rsid w:val="00297620"/>
    <w:rsid w:val="002978A9"/>
    <w:rsid w:val="00297F8B"/>
    <w:rsid w:val="002A36B9"/>
    <w:rsid w:val="002A48AE"/>
    <w:rsid w:val="002B05E5"/>
    <w:rsid w:val="002B2957"/>
    <w:rsid w:val="002B3CC6"/>
    <w:rsid w:val="002B460F"/>
    <w:rsid w:val="002B518B"/>
    <w:rsid w:val="002B5A58"/>
    <w:rsid w:val="002C0FBB"/>
    <w:rsid w:val="002C2779"/>
    <w:rsid w:val="002C2DDE"/>
    <w:rsid w:val="002C4274"/>
    <w:rsid w:val="002C4C93"/>
    <w:rsid w:val="002C5BC7"/>
    <w:rsid w:val="002C61D3"/>
    <w:rsid w:val="002C65F0"/>
    <w:rsid w:val="002C66FF"/>
    <w:rsid w:val="002C7B3E"/>
    <w:rsid w:val="002D3838"/>
    <w:rsid w:val="002D4162"/>
    <w:rsid w:val="002D539F"/>
    <w:rsid w:val="002D573B"/>
    <w:rsid w:val="002D6B20"/>
    <w:rsid w:val="002E01FE"/>
    <w:rsid w:val="002E1B25"/>
    <w:rsid w:val="002E1E21"/>
    <w:rsid w:val="002E202E"/>
    <w:rsid w:val="002E3763"/>
    <w:rsid w:val="002E4BD0"/>
    <w:rsid w:val="002F0041"/>
    <w:rsid w:val="002F22EE"/>
    <w:rsid w:val="002F5EB3"/>
    <w:rsid w:val="002F6166"/>
    <w:rsid w:val="003037AF"/>
    <w:rsid w:val="003044BE"/>
    <w:rsid w:val="00304A94"/>
    <w:rsid w:val="00304B27"/>
    <w:rsid w:val="00305498"/>
    <w:rsid w:val="003074F5"/>
    <w:rsid w:val="00307640"/>
    <w:rsid w:val="0031149C"/>
    <w:rsid w:val="00311FC7"/>
    <w:rsid w:val="00313E77"/>
    <w:rsid w:val="00314C07"/>
    <w:rsid w:val="00315704"/>
    <w:rsid w:val="0032671C"/>
    <w:rsid w:val="00330C26"/>
    <w:rsid w:val="00331A2E"/>
    <w:rsid w:val="00332B3C"/>
    <w:rsid w:val="00334030"/>
    <w:rsid w:val="00334611"/>
    <w:rsid w:val="00335A14"/>
    <w:rsid w:val="00337926"/>
    <w:rsid w:val="00337E47"/>
    <w:rsid w:val="00337EAB"/>
    <w:rsid w:val="00340482"/>
    <w:rsid w:val="00343C8F"/>
    <w:rsid w:val="00343EAC"/>
    <w:rsid w:val="00344816"/>
    <w:rsid w:val="00350180"/>
    <w:rsid w:val="00350CC9"/>
    <w:rsid w:val="00352418"/>
    <w:rsid w:val="00353EC3"/>
    <w:rsid w:val="00363572"/>
    <w:rsid w:val="00363FB7"/>
    <w:rsid w:val="003640D2"/>
    <w:rsid w:val="003671B0"/>
    <w:rsid w:val="00367405"/>
    <w:rsid w:val="00371E1A"/>
    <w:rsid w:val="003726E4"/>
    <w:rsid w:val="00373391"/>
    <w:rsid w:val="00373937"/>
    <w:rsid w:val="0037404F"/>
    <w:rsid w:val="00375335"/>
    <w:rsid w:val="00375D8C"/>
    <w:rsid w:val="0038044C"/>
    <w:rsid w:val="003808E1"/>
    <w:rsid w:val="00382257"/>
    <w:rsid w:val="0038290B"/>
    <w:rsid w:val="003849B6"/>
    <w:rsid w:val="003865C2"/>
    <w:rsid w:val="0038DAB3"/>
    <w:rsid w:val="00390AB8"/>
    <w:rsid w:val="003911A4"/>
    <w:rsid w:val="003912C4"/>
    <w:rsid w:val="00391A19"/>
    <w:rsid w:val="003932EA"/>
    <w:rsid w:val="00393C5D"/>
    <w:rsid w:val="00395B10"/>
    <w:rsid w:val="003A236D"/>
    <w:rsid w:val="003A2B14"/>
    <w:rsid w:val="003A2E8D"/>
    <w:rsid w:val="003A6194"/>
    <w:rsid w:val="003A6F3B"/>
    <w:rsid w:val="003A70C3"/>
    <w:rsid w:val="003B097F"/>
    <w:rsid w:val="003B0D19"/>
    <w:rsid w:val="003B2BB8"/>
    <w:rsid w:val="003B6B2D"/>
    <w:rsid w:val="003B70E7"/>
    <w:rsid w:val="003BF8C9"/>
    <w:rsid w:val="003C1A27"/>
    <w:rsid w:val="003C432C"/>
    <w:rsid w:val="003C5F15"/>
    <w:rsid w:val="003C61C6"/>
    <w:rsid w:val="003C74C3"/>
    <w:rsid w:val="003D00C4"/>
    <w:rsid w:val="003D06E5"/>
    <w:rsid w:val="003D1886"/>
    <w:rsid w:val="003D25C8"/>
    <w:rsid w:val="003D34FF"/>
    <w:rsid w:val="003D4363"/>
    <w:rsid w:val="003E0CDA"/>
    <w:rsid w:val="003E2B62"/>
    <w:rsid w:val="003E5D7F"/>
    <w:rsid w:val="003F0693"/>
    <w:rsid w:val="003F22E0"/>
    <w:rsid w:val="003F355D"/>
    <w:rsid w:val="003F3DC0"/>
    <w:rsid w:val="003F7393"/>
    <w:rsid w:val="00403055"/>
    <w:rsid w:val="00404037"/>
    <w:rsid w:val="00405267"/>
    <w:rsid w:val="0040604A"/>
    <w:rsid w:val="0041371A"/>
    <w:rsid w:val="00413CB9"/>
    <w:rsid w:val="00413D8D"/>
    <w:rsid w:val="004150A8"/>
    <w:rsid w:val="00415B6C"/>
    <w:rsid w:val="00415BA2"/>
    <w:rsid w:val="00415F76"/>
    <w:rsid w:val="004160C0"/>
    <w:rsid w:val="00417D83"/>
    <w:rsid w:val="00420B9E"/>
    <w:rsid w:val="00422846"/>
    <w:rsid w:val="004243F2"/>
    <w:rsid w:val="0042487C"/>
    <w:rsid w:val="00425B38"/>
    <w:rsid w:val="00425BA8"/>
    <w:rsid w:val="004276B2"/>
    <w:rsid w:val="00430B77"/>
    <w:rsid w:val="004316F5"/>
    <w:rsid w:val="0043483F"/>
    <w:rsid w:val="0043495D"/>
    <w:rsid w:val="004354E6"/>
    <w:rsid w:val="00435CB9"/>
    <w:rsid w:val="00435FDB"/>
    <w:rsid w:val="00436CCA"/>
    <w:rsid w:val="00437EAC"/>
    <w:rsid w:val="0044009F"/>
    <w:rsid w:val="00440CB8"/>
    <w:rsid w:val="0044358C"/>
    <w:rsid w:val="00445D52"/>
    <w:rsid w:val="0044778C"/>
    <w:rsid w:val="00447BA4"/>
    <w:rsid w:val="00452387"/>
    <w:rsid w:val="004535AE"/>
    <w:rsid w:val="00457D4C"/>
    <w:rsid w:val="00461220"/>
    <w:rsid w:val="00461CE6"/>
    <w:rsid w:val="00462B38"/>
    <w:rsid w:val="00463C55"/>
    <w:rsid w:val="00463CC1"/>
    <w:rsid w:val="00463F49"/>
    <w:rsid w:val="00465D10"/>
    <w:rsid w:val="00466D77"/>
    <w:rsid w:val="0047096D"/>
    <w:rsid w:val="00471456"/>
    <w:rsid w:val="004720EB"/>
    <w:rsid w:val="004724A1"/>
    <w:rsid w:val="00472C53"/>
    <w:rsid w:val="00472D1B"/>
    <w:rsid w:val="00473AF8"/>
    <w:rsid w:val="00476252"/>
    <w:rsid w:val="00476EED"/>
    <w:rsid w:val="00477050"/>
    <w:rsid w:val="00477564"/>
    <w:rsid w:val="00477627"/>
    <w:rsid w:val="00481895"/>
    <w:rsid w:val="00483B8D"/>
    <w:rsid w:val="00487690"/>
    <w:rsid w:val="00487BDD"/>
    <w:rsid w:val="0049067A"/>
    <w:rsid w:val="00491B92"/>
    <w:rsid w:val="0049342B"/>
    <w:rsid w:val="004934DA"/>
    <w:rsid w:val="004965E1"/>
    <w:rsid w:val="0049749D"/>
    <w:rsid w:val="004A1B10"/>
    <w:rsid w:val="004A28E1"/>
    <w:rsid w:val="004A4C14"/>
    <w:rsid w:val="004A7858"/>
    <w:rsid w:val="004A78F1"/>
    <w:rsid w:val="004B1B70"/>
    <w:rsid w:val="004B3086"/>
    <w:rsid w:val="004B3DFF"/>
    <w:rsid w:val="004B54CA"/>
    <w:rsid w:val="004B78E4"/>
    <w:rsid w:val="004B79C1"/>
    <w:rsid w:val="004C2461"/>
    <w:rsid w:val="004C47E5"/>
    <w:rsid w:val="004C5D09"/>
    <w:rsid w:val="004C69CC"/>
    <w:rsid w:val="004C7219"/>
    <w:rsid w:val="004D03F2"/>
    <w:rsid w:val="004D2976"/>
    <w:rsid w:val="004D47B1"/>
    <w:rsid w:val="004D500E"/>
    <w:rsid w:val="004D5E84"/>
    <w:rsid w:val="004E2552"/>
    <w:rsid w:val="004E2EBC"/>
    <w:rsid w:val="004E3449"/>
    <w:rsid w:val="004E443E"/>
    <w:rsid w:val="004E5CBF"/>
    <w:rsid w:val="004E5F1F"/>
    <w:rsid w:val="004F131E"/>
    <w:rsid w:val="004F1D73"/>
    <w:rsid w:val="004F207B"/>
    <w:rsid w:val="004F26FA"/>
    <w:rsid w:val="004F3ABA"/>
    <w:rsid w:val="004F56FF"/>
    <w:rsid w:val="004F77F4"/>
    <w:rsid w:val="004F7ACA"/>
    <w:rsid w:val="0050151D"/>
    <w:rsid w:val="0050361A"/>
    <w:rsid w:val="0050472C"/>
    <w:rsid w:val="00504CB2"/>
    <w:rsid w:val="0050532E"/>
    <w:rsid w:val="005064FA"/>
    <w:rsid w:val="0050660C"/>
    <w:rsid w:val="00511E6E"/>
    <w:rsid w:val="00512403"/>
    <w:rsid w:val="00512D2D"/>
    <w:rsid w:val="0051467C"/>
    <w:rsid w:val="00515D3A"/>
    <w:rsid w:val="005173B2"/>
    <w:rsid w:val="00517AE4"/>
    <w:rsid w:val="0052171C"/>
    <w:rsid w:val="00526EB5"/>
    <w:rsid w:val="005312DA"/>
    <w:rsid w:val="00532804"/>
    <w:rsid w:val="0053565E"/>
    <w:rsid w:val="00535F5D"/>
    <w:rsid w:val="005375D5"/>
    <w:rsid w:val="00537B58"/>
    <w:rsid w:val="00541101"/>
    <w:rsid w:val="0054141E"/>
    <w:rsid w:val="00542805"/>
    <w:rsid w:val="00543F4D"/>
    <w:rsid w:val="00544EFA"/>
    <w:rsid w:val="00546395"/>
    <w:rsid w:val="0054713E"/>
    <w:rsid w:val="00552C28"/>
    <w:rsid w:val="0055394D"/>
    <w:rsid w:val="005543A8"/>
    <w:rsid w:val="00555403"/>
    <w:rsid w:val="00555572"/>
    <w:rsid w:val="00555B7E"/>
    <w:rsid w:val="00556B11"/>
    <w:rsid w:val="00557595"/>
    <w:rsid w:val="00557ACE"/>
    <w:rsid w:val="00557EE0"/>
    <w:rsid w:val="00560B77"/>
    <w:rsid w:val="005630AF"/>
    <w:rsid w:val="00564847"/>
    <w:rsid w:val="00567053"/>
    <w:rsid w:val="00567149"/>
    <w:rsid w:val="005706E8"/>
    <w:rsid w:val="00572B75"/>
    <w:rsid w:val="005737E2"/>
    <w:rsid w:val="00573A90"/>
    <w:rsid w:val="00575325"/>
    <w:rsid w:val="00575FD9"/>
    <w:rsid w:val="00577BC6"/>
    <w:rsid w:val="0058123E"/>
    <w:rsid w:val="00583883"/>
    <w:rsid w:val="00584870"/>
    <w:rsid w:val="00584FC1"/>
    <w:rsid w:val="0058505E"/>
    <w:rsid w:val="005861BB"/>
    <w:rsid w:val="00586246"/>
    <w:rsid w:val="0058624C"/>
    <w:rsid w:val="00586F1A"/>
    <w:rsid w:val="005877DC"/>
    <w:rsid w:val="005918F1"/>
    <w:rsid w:val="0059389C"/>
    <w:rsid w:val="00593DC8"/>
    <w:rsid w:val="00593F06"/>
    <w:rsid w:val="00594AC6"/>
    <w:rsid w:val="00596548"/>
    <w:rsid w:val="00596953"/>
    <w:rsid w:val="00597852"/>
    <w:rsid w:val="00597BF1"/>
    <w:rsid w:val="005A1733"/>
    <w:rsid w:val="005A3169"/>
    <w:rsid w:val="005A44EA"/>
    <w:rsid w:val="005A57BC"/>
    <w:rsid w:val="005A5B5D"/>
    <w:rsid w:val="005A60D9"/>
    <w:rsid w:val="005A6C77"/>
    <w:rsid w:val="005A6D67"/>
    <w:rsid w:val="005B0662"/>
    <w:rsid w:val="005B0E65"/>
    <w:rsid w:val="005B1857"/>
    <w:rsid w:val="005B2A8B"/>
    <w:rsid w:val="005B4275"/>
    <w:rsid w:val="005C13CA"/>
    <w:rsid w:val="005C2205"/>
    <w:rsid w:val="005C286F"/>
    <w:rsid w:val="005C3059"/>
    <w:rsid w:val="005C3AA9"/>
    <w:rsid w:val="005C4C99"/>
    <w:rsid w:val="005C6911"/>
    <w:rsid w:val="005D0250"/>
    <w:rsid w:val="005D0A60"/>
    <w:rsid w:val="005D2E4E"/>
    <w:rsid w:val="005D3DA7"/>
    <w:rsid w:val="005D5C82"/>
    <w:rsid w:val="005D71D5"/>
    <w:rsid w:val="005E1824"/>
    <w:rsid w:val="005E1FA9"/>
    <w:rsid w:val="005E3508"/>
    <w:rsid w:val="005E4E12"/>
    <w:rsid w:val="005E53AC"/>
    <w:rsid w:val="005E716A"/>
    <w:rsid w:val="005E764C"/>
    <w:rsid w:val="005E7C25"/>
    <w:rsid w:val="005F5AC3"/>
    <w:rsid w:val="005F5C29"/>
    <w:rsid w:val="006005C6"/>
    <w:rsid w:val="00601D87"/>
    <w:rsid w:val="0060297D"/>
    <w:rsid w:val="00603065"/>
    <w:rsid w:val="006061EC"/>
    <w:rsid w:val="00606F3F"/>
    <w:rsid w:val="00607EEB"/>
    <w:rsid w:val="00607F9E"/>
    <w:rsid w:val="00610588"/>
    <w:rsid w:val="006123D4"/>
    <w:rsid w:val="00613D26"/>
    <w:rsid w:val="00614021"/>
    <w:rsid w:val="00614311"/>
    <w:rsid w:val="00614555"/>
    <w:rsid w:val="00614B8A"/>
    <w:rsid w:val="00616CAA"/>
    <w:rsid w:val="006204DE"/>
    <w:rsid w:val="00623043"/>
    <w:rsid w:val="006235E5"/>
    <w:rsid w:val="00631B89"/>
    <w:rsid w:val="00634ADD"/>
    <w:rsid w:val="00635482"/>
    <w:rsid w:val="00640DFF"/>
    <w:rsid w:val="00642872"/>
    <w:rsid w:val="00642B64"/>
    <w:rsid w:val="00642C2A"/>
    <w:rsid w:val="006437E9"/>
    <w:rsid w:val="00644474"/>
    <w:rsid w:val="00645192"/>
    <w:rsid w:val="00645A95"/>
    <w:rsid w:val="006508EC"/>
    <w:rsid w:val="00651650"/>
    <w:rsid w:val="00651797"/>
    <w:rsid w:val="0066015E"/>
    <w:rsid w:val="00660A31"/>
    <w:rsid w:val="00661A0B"/>
    <w:rsid w:val="006633CA"/>
    <w:rsid w:val="0066486D"/>
    <w:rsid w:val="0066584A"/>
    <w:rsid w:val="006664D1"/>
    <w:rsid w:val="00670063"/>
    <w:rsid w:val="006728D4"/>
    <w:rsid w:val="006733CB"/>
    <w:rsid w:val="006734CC"/>
    <w:rsid w:val="00676C18"/>
    <w:rsid w:val="006802AC"/>
    <w:rsid w:val="00683402"/>
    <w:rsid w:val="0068340A"/>
    <w:rsid w:val="00687018"/>
    <w:rsid w:val="00690568"/>
    <w:rsid w:val="006909B9"/>
    <w:rsid w:val="00697A11"/>
    <w:rsid w:val="006A0F2A"/>
    <w:rsid w:val="006A203A"/>
    <w:rsid w:val="006A2E9F"/>
    <w:rsid w:val="006A3AE8"/>
    <w:rsid w:val="006A4904"/>
    <w:rsid w:val="006A4CE7"/>
    <w:rsid w:val="006A5A4B"/>
    <w:rsid w:val="006B01A0"/>
    <w:rsid w:val="006B0781"/>
    <w:rsid w:val="006B0A77"/>
    <w:rsid w:val="006B2D84"/>
    <w:rsid w:val="006B4D74"/>
    <w:rsid w:val="006C021A"/>
    <w:rsid w:val="006C0F49"/>
    <w:rsid w:val="006C320D"/>
    <w:rsid w:val="006C347D"/>
    <w:rsid w:val="006C57ED"/>
    <w:rsid w:val="006C5F73"/>
    <w:rsid w:val="006C626C"/>
    <w:rsid w:val="006C75A6"/>
    <w:rsid w:val="006D164B"/>
    <w:rsid w:val="006D1D81"/>
    <w:rsid w:val="006D2326"/>
    <w:rsid w:val="006D2DA3"/>
    <w:rsid w:val="006D4FA3"/>
    <w:rsid w:val="006D5F25"/>
    <w:rsid w:val="006E0C62"/>
    <w:rsid w:val="006E15A7"/>
    <w:rsid w:val="006E2FE4"/>
    <w:rsid w:val="006E4AB6"/>
    <w:rsid w:val="006E626B"/>
    <w:rsid w:val="006F0B71"/>
    <w:rsid w:val="006F0BA1"/>
    <w:rsid w:val="006F0C23"/>
    <w:rsid w:val="006F1613"/>
    <w:rsid w:val="006F22C8"/>
    <w:rsid w:val="006F2768"/>
    <w:rsid w:val="006F3162"/>
    <w:rsid w:val="006F3B8D"/>
    <w:rsid w:val="006F3E73"/>
    <w:rsid w:val="006F7CF3"/>
    <w:rsid w:val="00703FAC"/>
    <w:rsid w:val="00705769"/>
    <w:rsid w:val="00705FB4"/>
    <w:rsid w:val="007061A8"/>
    <w:rsid w:val="007065F3"/>
    <w:rsid w:val="00713DF0"/>
    <w:rsid w:val="00713FCE"/>
    <w:rsid w:val="00714BE5"/>
    <w:rsid w:val="00714F80"/>
    <w:rsid w:val="00715C0E"/>
    <w:rsid w:val="00716776"/>
    <w:rsid w:val="007216C7"/>
    <w:rsid w:val="0072221C"/>
    <w:rsid w:val="0072269E"/>
    <w:rsid w:val="00722732"/>
    <w:rsid w:val="00722D02"/>
    <w:rsid w:val="00724C29"/>
    <w:rsid w:val="007265B8"/>
    <w:rsid w:val="00730CDE"/>
    <w:rsid w:val="00731900"/>
    <w:rsid w:val="0073309A"/>
    <w:rsid w:val="0073320E"/>
    <w:rsid w:val="007376F6"/>
    <w:rsid w:val="00737C24"/>
    <w:rsid w:val="00737F1A"/>
    <w:rsid w:val="00743557"/>
    <w:rsid w:val="00746E2D"/>
    <w:rsid w:val="00754356"/>
    <w:rsid w:val="0075681E"/>
    <w:rsid w:val="007579B8"/>
    <w:rsid w:val="007613A1"/>
    <w:rsid w:val="00763567"/>
    <w:rsid w:val="0076551A"/>
    <w:rsid w:val="00765B0C"/>
    <w:rsid w:val="007666C3"/>
    <w:rsid w:val="00767507"/>
    <w:rsid w:val="00770059"/>
    <w:rsid w:val="007717A9"/>
    <w:rsid w:val="00773C1F"/>
    <w:rsid w:val="00774488"/>
    <w:rsid w:val="007745EE"/>
    <w:rsid w:val="00775B8B"/>
    <w:rsid w:val="0077641E"/>
    <w:rsid w:val="0077690D"/>
    <w:rsid w:val="00776E47"/>
    <w:rsid w:val="00777851"/>
    <w:rsid w:val="00777EF6"/>
    <w:rsid w:val="007812F0"/>
    <w:rsid w:val="00782303"/>
    <w:rsid w:val="007849BF"/>
    <w:rsid w:val="00784AAF"/>
    <w:rsid w:val="00785261"/>
    <w:rsid w:val="0078617B"/>
    <w:rsid w:val="00786A6B"/>
    <w:rsid w:val="00797A41"/>
    <w:rsid w:val="00797C0D"/>
    <w:rsid w:val="007A0ED8"/>
    <w:rsid w:val="007A3765"/>
    <w:rsid w:val="007A50F4"/>
    <w:rsid w:val="007A538A"/>
    <w:rsid w:val="007A6C1C"/>
    <w:rsid w:val="007B0256"/>
    <w:rsid w:val="007B0448"/>
    <w:rsid w:val="007B0F2C"/>
    <w:rsid w:val="007B1465"/>
    <w:rsid w:val="007B6A57"/>
    <w:rsid w:val="007B6F03"/>
    <w:rsid w:val="007C05AB"/>
    <w:rsid w:val="007C3085"/>
    <w:rsid w:val="007C4353"/>
    <w:rsid w:val="007C61EC"/>
    <w:rsid w:val="007C75B4"/>
    <w:rsid w:val="007C78BC"/>
    <w:rsid w:val="007D0128"/>
    <w:rsid w:val="007D32A7"/>
    <w:rsid w:val="007D50EB"/>
    <w:rsid w:val="007D61E6"/>
    <w:rsid w:val="007D775B"/>
    <w:rsid w:val="007E0515"/>
    <w:rsid w:val="007E1A05"/>
    <w:rsid w:val="007E2C58"/>
    <w:rsid w:val="007E3938"/>
    <w:rsid w:val="007E3959"/>
    <w:rsid w:val="007E3B8B"/>
    <w:rsid w:val="007E78ED"/>
    <w:rsid w:val="007E7FB9"/>
    <w:rsid w:val="007F0A3B"/>
    <w:rsid w:val="007F2EA5"/>
    <w:rsid w:val="007F4BFC"/>
    <w:rsid w:val="007F563F"/>
    <w:rsid w:val="007F57C9"/>
    <w:rsid w:val="007F604C"/>
    <w:rsid w:val="008006FB"/>
    <w:rsid w:val="00801B5D"/>
    <w:rsid w:val="0080220C"/>
    <w:rsid w:val="00802F4A"/>
    <w:rsid w:val="00805C3B"/>
    <w:rsid w:val="00806029"/>
    <w:rsid w:val="00806572"/>
    <w:rsid w:val="0081048A"/>
    <w:rsid w:val="00810D74"/>
    <w:rsid w:val="00812513"/>
    <w:rsid w:val="00813FDB"/>
    <w:rsid w:val="00816133"/>
    <w:rsid w:val="00816421"/>
    <w:rsid w:val="00816858"/>
    <w:rsid w:val="00817177"/>
    <w:rsid w:val="00821529"/>
    <w:rsid w:val="0082344A"/>
    <w:rsid w:val="008237EE"/>
    <w:rsid w:val="00826760"/>
    <w:rsid w:val="00826BB1"/>
    <w:rsid w:val="0082702B"/>
    <w:rsid w:val="0082748A"/>
    <w:rsid w:val="00830B3B"/>
    <w:rsid w:val="00832565"/>
    <w:rsid w:val="00836945"/>
    <w:rsid w:val="00836CD3"/>
    <w:rsid w:val="00841C2A"/>
    <w:rsid w:val="0084227C"/>
    <w:rsid w:val="008426CF"/>
    <w:rsid w:val="008435DB"/>
    <w:rsid w:val="00843A6B"/>
    <w:rsid w:val="008441EA"/>
    <w:rsid w:val="00846659"/>
    <w:rsid w:val="0085343E"/>
    <w:rsid w:val="00855E09"/>
    <w:rsid w:val="008565DF"/>
    <w:rsid w:val="008570F7"/>
    <w:rsid w:val="0085710F"/>
    <w:rsid w:val="00861813"/>
    <w:rsid w:val="008626B9"/>
    <w:rsid w:val="00864C3F"/>
    <w:rsid w:val="00867732"/>
    <w:rsid w:val="0087118E"/>
    <w:rsid w:val="00873406"/>
    <w:rsid w:val="00873998"/>
    <w:rsid w:val="00873AE2"/>
    <w:rsid w:val="00874AA7"/>
    <w:rsid w:val="00876CA6"/>
    <w:rsid w:val="00877018"/>
    <w:rsid w:val="00880438"/>
    <w:rsid w:val="008812A2"/>
    <w:rsid w:val="00882400"/>
    <w:rsid w:val="00885993"/>
    <w:rsid w:val="0089015A"/>
    <w:rsid w:val="008904D1"/>
    <w:rsid w:val="00890E8B"/>
    <w:rsid w:val="008916D6"/>
    <w:rsid w:val="00892FB5"/>
    <w:rsid w:val="008A1356"/>
    <w:rsid w:val="008A1E53"/>
    <w:rsid w:val="008A3205"/>
    <w:rsid w:val="008A3A1F"/>
    <w:rsid w:val="008A41FC"/>
    <w:rsid w:val="008A6C31"/>
    <w:rsid w:val="008B1683"/>
    <w:rsid w:val="008B25F2"/>
    <w:rsid w:val="008B2A92"/>
    <w:rsid w:val="008B2CF1"/>
    <w:rsid w:val="008B4E59"/>
    <w:rsid w:val="008B5BBC"/>
    <w:rsid w:val="008B7721"/>
    <w:rsid w:val="008C072C"/>
    <w:rsid w:val="008C213D"/>
    <w:rsid w:val="008C3FBC"/>
    <w:rsid w:val="008C52F8"/>
    <w:rsid w:val="008C7110"/>
    <w:rsid w:val="008C7A9D"/>
    <w:rsid w:val="008D0FDF"/>
    <w:rsid w:val="008D193D"/>
    <w:rsid w:val="008D230C"/>
    <w:rsid w:val="008D42BE"/>
    <w:rsid w:val="008D4760"/>
    <w:rsid w:val="008D5558"/>
    <w:rsid w:val="008D61A1"/>
    <w:rsid w:val="008D754D"/>
    <w:rsid w:val="008D79E8"/>
    <w:rsid w:val="008E337D"/>
    <w:rsid w:val="008E50C4"/>
    <w:rsid w:val="008E53CB"/>
    <w:rsid w:val="008F04CE"/>
    <w:rsid w:val="008F1226"/>
    <w:rsid w:val="008F3023"/>
    <w:rsid w:val="008F3CE0"/>
    <w:rsid w:val="008F3E97"/>
    <w:rsid w:val="008F4F9B"/>
    <w:rsid w:val="008F5110"/>
    <w:rsid w:val="008F54D0"/>
    <w:rsid w:val="008F72AA"/>
    <w:rsid w:val="00900044"/>
    <w:rsid w:val="00900091"/>
    <w:rsid w:val="009012B1"/>
    <w:rsid w:val="00903088"/>
    <w:rsid w:val="0090308C"/>
    <w:rsid w:val="0091311E"/>
    <w:rsid w:val="00913729"/>
    <w:rsid w:val="00915C7D"/>
    <w:rsid w:val="009225F0"/>
    <w:rsid w:val="00922C65"/>
    <w:rsid w:val="00924B52"/>
    <w:rsid w:val="00925F4F"/>
    <w:rsid w:val="009268A1"/>
    <w:rsid w:val="00927F23"/>
    <w:rsid w:val="00931BAB"/>
    <w:rsid w:val="009339F8"/>
    <w:rsid w:val="00934DE6"/>
    <w:rsid w:val="0093507B"/>
    <w:rsid w:val="009367E6"/>
    <w:rsid w:val="00944019"/>
    <w:rsid w:val="0094563F"/>
    <w:rsid w:val="00945AFD"/>
    <w:rsid w:val="00945C45"/>
    <w:rsid w:val="00947F54"/>
    <w:rsid w:val="00953974"/>
    <w:rsid w:val="0096105E"/>
    <w:rsid w:val="00963BEF"/>
    <w:rsid w:val="0096466C"/>
    <w:rsid w:val="009678DA"/>
    <w:rsid w:val="00967CA2"/>
    <w:rsid w:val="009710C9"/>
    <w:rsid w:val="00971969"/>
    <w:rsid w:val="00971B76"/>
    <w:rsid w:val="00971E0A"/>
    <w:rsid w:val="009734EA"/>
    <w:rsid w:val="00976A94"/>
    <w:rsid w:val="009840E1"/>
    <w:rsid w:val="00987362"/>
    <w:rsid w:val="00991992"/>
    <w:rsid w:val="00992BC2"/>
    <w:rsid w:val="009938B3"/>
    <w:rsid w:val="00995C1D"/>
    <w:rsid w:val="0099703D"/>
    <w:rsid w:val="009A0579"/>
    <w:rsid w:val="009A1B57"/>
    <w:rsid w:val="009A237E"/>
    <w:rsid w:val="009A28C7"/>
    <w:rsid w:val="009A4546"/>
    <w:rsid w:val="009A64DC"/>
    <w:rsid w:val="009B003D"/>
    <w:rsid w:val="009B014A"/>
    <w:rsid w:val="009B1346"/>
    <w:rsid w:val="009B176D"/>
    <w:rsid w:val="009B181E"/>
    <w:rsid w:val="009B19D2"/>
    <w:rsid w:val="009C06D0"/>
    <w:rsid w:val="009C10C4"/>
    <w:rsid w:val="009C1E8F"/>
    <w:rsid w:val="009C3087"/>
    <w:rsid w:val="009C33B6"/>
    <w:rsid w:val="009D3CCB"/>
    <w:rsid w:val="009D58EE"/>
    <w:rsid w:val="009D6C54"/>
    <w:rsid w:val="009E0203"/>
    <w:rsid w:val="009E1263"/>
    <w:rsid w:val="009E16D6"/>
    <w:rsid w:val="009E1A39"/>
    <w:rsid w:val="009E3240"/>
    <w:rsid w:val="009E600C"/>
    <w:rsid w:val="009E6E69"/>
    <w:rsid w:val="009F235E"/>
    <w:rsid w:val="009F3BA1"/>
    <w:rsid w:val="009F5FBB"/>
    <w:rsid w:val="00A0114B"/>
    <w:rsid w:val="00A01982"/>
    <w:rsid w:val="00A02669"/>
    <w:rsid w:val="00A02F8A"/>
    <w:rsid w:val="00A034A5"/>
    <w:rsid w:val="00A055ED"/>
    <w:rsid w:val="00A05AF0"/>
    <w:rsid w:val="00A06F07"/>
    <w:rsid w:val="00A07388"/>
    <w:rsid w:val="00A13549"/>
    <w:rsid w:val="00A1540C"/>
    <w:rsid w:val="00A210BA"/>
    <w:rsid w:val="00A21BFA"/>
    <w:rsid w:val="00A223BC"/>
    <w:rsid w:val="00A23380"/>
    <w:rsid w:val="00A23CE9"/>
    <w:rsid w:val="00A2521C"/>
    <w:rsid w:val="00A253FC"/>
    <w:rsid w:val="00A306B5"/>
    <w:rsid w:val="00A32341"/>
    <w:rsid w:val="00A33D01"/>
    <w:rsid w:val="00A427F4"/>
    <w:rsid w:val="00A43E66"/>
    <w:rsid w:val="00A4462B"/>
    <w:rsid w:val="00A4680E"/>
    <w:rsid w:val="00A51257"/>
    <w:rsid w:val="00A51B62"/>
    <w:rsid w:val="00A5326E"/>
    <w:rsid w:val="00A54961"/>
    <w:rsid w:val="00A55F49"/>
    <w:rsid w:val="00A5651B"/>
    <w:rsid w:val="00A633E9"/>
    <w:rsid w:val="00A649BA"/>
    <w:rsid w:val="00A64A02"/>
    <w:rsid w:val="00A6551A"/>
    <w:rsid w:val="00A704BF"/>
    <w:rsid w:val="00A707CB"/>
    <w:rsid w:val="00A71E4B"/>
    <w:rsid w:val="00A74769"/>
    <w:rsid w:val="00A76D5E"/>
    <w:rsid w:val="00A76D6A"/>
    <w:rsid w:val="00A81311"/>
    <w:rsid w:val="00A8370D"/>
    <w:rsid w:val="00A8764F"/>
    <w:rsid w:val="00A92148"/>
    <w:rsid w:val="00A92868"/>
    <w:rsid w:val="00A92DD2"/>
    <w:rsid w:val="00A932B0"/>
    <w:rsid w:val="00A9336A"/>
    <w:rsid w:val="00A9489C"/>
    <w:rsid w:val="00A95B5B"/>
    <w:rsid w:val="00A96679"/>
    <w:rsid w:val="00A968F5"/>
    <w:rsid w:val="00A978EE"/>
    <w:rsid w:val="00AA19E5"/>
    <w:rsid w:val="00AA1BDC"/>
    <w:rsid w:val="00AA3C9E"/>
    <w:rsid w:val="00AA7226"/>
    <w:rsid w:val="00AB264B"/>
    <w:rsid w:val="00AB31B6"/>
    <w:rsid w:val="00AB567E"/>
    <w:rsid w:val="00AB6AA7"/>
    <w:rsid w:val="00AB6DED"/>
    <w:rsid w:val="00AC1074"/>
    <w:rsid w:val="00AC4591"/>
    <w:rsid w:val="00AC4757"/>
    <w:rsid w:val="00AD131E"/>
    <w:rsid w:val="00AD3F2A"/>
    <w:rsid w:val="00AD5272"/>
    <w:rsid w:val="00AE0A82"/>
    <w:rsid w:val="00AE13D4"/>
    <w:rsid w:val="00AE2897"/>
    <w:rsid w:val="00AE2E98"/>
    <w:rsid w:val="00AE5B7A"/>
    <w:rsid w:val="00AE5C45"/>
    <w:rsid w:val="00AE5C57"/>
    <w:rsid w:val="00AE60D3"/>
    <w:rsid w:val="00AE6868"/>
    <w:rsid w:val="00AE6885"/>
    <w:rsid w:val="00AF081D"/>
    <w:rsid w:val="00AF291A"/>
    <w:rsid w:val="00AF4B88"/>
    <w:rsid w:val="00AF5495"/>
    <w:rsid w:val="00AF583A"/>
    <w:rsid w:val="00AF69E4"/>
    <w:rsid w:val="00AF6FC5"/>
    <w:rsid w:val="00AF7285"/>
    <w:rsid w:val="00B00968"/>
    <w:rsid w:val="00B01A7C"/>
    <w:rsid w:val="00B0210E"/>
    <w:rsid w:val="00B03039"/>
    <w:rsid w:val="00B0386C"/>
    <w:rsid w:val="00B06A7B"/>
    <w:rsid w:val="00B07263"/>
    <w:rsid w:val="00B10EB1"/>
    <w:rsid w:val="00B11AE7"/>
    <w:rsid w:val="00B12E91"/>
    <w:rsid w:val="00B14246"/>
    <w:rsid w:val="00B20850"/>
    <w:rsid w:val="00B23839"/>
    <w:rsid w:val="00B2486C"/>
    <w:rsid w:val="00B25125"/>
    <w:rsid w:val="00B25332"/>
    <w:rsid w:val="00B256A1"/>
    <w:rsid w:val="00B27053"/>
    <w:rsid w:val="00B27681"/>
    <w:rsid w:val="00B3207F"/>
    <w:rsid w:val="00B35AA3"/>
    <w:rsid w:val="00B3754D"/>
    <w:rsid w:val="00B37EB9"/>
    <w:rsid w:val="00B4224B"/>
    <w:rsid w:val="00B4246B"/>
    <w:rsid w:val="00B43ED8"/>
    <w:rsid w:val="00B44ABE"/>
    <w:rsid w:val="00B46F0C"/>
    <w:rsid w:val="00B47CDA"/>
    <w:rsid w:val="00B51BD8"/>
    <w:rsid w:val="00B53406"/>
    <w:rsid w:val="00B54268"/>
    <w:rsid w:val="00B55ED9"/>
    <w:rsid w:val="00B60442"/>
    <w:rsid w:val="00B60DC9"/>
    <w:rsid w:val="00B6119B"/>
    <w:rsid w:val="00B6223D"/>
    <w:rsid w:val="00B62407"/>
    <w:rsid w:val="00B661DA"/>
    <w:rsid w:val="00B66A50"/>
    <w:rsid w:val="00B71711"/>
    <w:rsid w:val="00B744A0"/>
    <w:rsid w:val="00B7590F"/>
    <w:rsid w:val="00B768E1"/>
    <w:rsid w:val="00B8435E"/>
    <w:rsid w:val="00B844BD"/>
    <w:rsid w:val="00B854D5"/>
    <w:rsid w:val="00B865BC"/>
    <w:rsid w:val="00B87093"/>
    <w:rsid w:val="00B875C9"/>
    <w:rsid w:val="00B9141A"/>
    <w:rsid w:val="00B91DF1"/>
    <w:rsid w:val="00B9567A"/>
    <w:rsid w:val="00B96203"/>
    <w:rsid w:val="00B9783C"/>
    <w:rsid w:val="00BA0969"/>
    <w:rsid w:val="00BA0CAE"/>
    <w:rsid w:val="00BA2806"/>
    <w:rsid w:val="00BA2DB9"/>
    <w:rsid w:val="00BA327D"/>
    <w:rsid w:val="00BA4B41"/>
    <w:rsid w:val="00BA6A09"/>
    <w:rsid w:val="00BA6A4E"/>
    <w:rsid w:val="00BB03A8"/>
    <w:rsid w:val="00BB0880"/>
    <w:rsid w:val="00BB1A41"/>
    <w:rsid w:val="00BB4E56"/>
    <w:rsid w:val="00BB62A1"/>
    <w:rsid w:val="00BC02BF"/>
    <w:rsid w:val="00BC2DA0"/>
    <w:rsid w:val="00BC33A7"/>
    <w:rsid w:val="00BC43F0"/>
    <w:rsid w:val="00BC450E"/>
    <w:rsid w:val="00BC491E"/>
    <w:rsid w:val="00BC6498"/>
    <w:rsid w:val="00BC777A"/>
    <w:rsid w:val="00BD1DD2"/>
    <w:rsid w:val="00BD2467"/>
    <w:rsid w:val="00BD4331"/>
    <w:rsid w:val="00BD5A6B"/>
    <w:rsid w:val="00BD7196"/>
    <w:rsid w:val="00BE0346"/>
    <w:rsid w:val="00BE4945"/>
    <w:rsid w:val="00BE7148"/>
    <w:rsid w:val="00BE71EF"/>
    <w:rsid w:val="00BF0015"/>
    <w:rsid w:val="00BF16C5"/>
    <w:rsid w:val="00BF1D8B"/>
    <w:rsid w:val="00BF5E32"/>
    <w:rsid w:val="00C02444"/>
    <w:rsid w:val="00C02512"/>
    <w:rsid w:val="00C027B8"/>
    <w:rsid w:val="00C11DE6"/>
    <w:rsid w:val="00C13A8B"/>
    <w:rsid w:val="00C13F83"/>
    <w:rsid w:val="00C160AD"/>
    <w:rsid w:val="00C210A2"/>
    <w:rsid w:val="00C21D2D"/>
    <w:rsid w:val="00C37F92"/>
    <w:rsid w:val="00C409BD"/>
    <w:rsid w:val="00C40E98"/>
    <w:rsid w:val="00C40FBF"/>
    <w:rsid w:val="00C42934"/>
    <w:rsid w:val="00C43700"/>
    <w:rsid w:val="00C51E09"/>
    <w:rsid w:val="00C5264E"/>
    <w:rsid w:val="00C53B48"/>
    <w:rsid w:val="00C55216"/>
    <w:rsid w:val="00C55643"/>
    <w:rsid w:val="00C57001"/>
    <w:rsid w:val="00C57CE1"/>
    <w:rsid w:val="00C62510"/>
    <w:rsid w:val="00C62F1F"/>
    <w:rsid w:val="00C6691B"/>
    <w:rsid w:val="00C7011E"/>
    <w:rsid w:val="00C75BA6"/>
    <w:rsid w:val="00C769DB"/>
    <w:rsid w:val="00C76B3D"/>
    <w:rsid w:val="00C77D6D"/>
    <w:rsid w:val="00C809BB"/>
    <w:rsid w:val="00C82A5D"/>
    <w:rsid w:val="00C85C3D"/>
    <w:rsid w:val="00C87DEB"/>
    <w:rsid w:val="00C9246A"/>
    <w:rsid w:val="00C929BB"/>
    <w:rsid w:val="00C956E2"/>
    <w:rsid w:val="00C95C99"/>
    <w:rsid w:val="00C96C19"/>
    <w:rsid w:val="00C97FA6"/>
    <w:rsid w:val="00CA0B24"/>
    <w:rsid w:val="00CA1FDA"/>
    <w:rsid w:val="00CA5D88"/>
    <w:rsid w:val="00CA6289"/>
    <w:rsid w:val="00CA6B83"/>
    <w:rsid w:val="00CB0753"/>
    <w:rsid w:val="00CB1ADA"/>
    <w:rsid w:val="00CB2F20"/>
    <w:rsid w:val="00CB3056"/>
    <w:rsid w:val="00CB42EF"/>
    <w:rsid w:val="00CB58C5"/>
    <w:rsid w:val="00CB6FB3"/>
    <w:rsid w:val="00CB718C"/>
    <w:rsid w:val="00CB7A4A"/>
    <w:rsid w:val="00CB7A83"/>
    <w:rsid w:val="00CB7B3A"/>
    <w:rsid w:val="00CC0176"/>
    <w:rsid w:val="00CC0400"/>
    <w:rsid w:val="00CC2A27"/>
    <w:rsid w:val="00CC50F3"/>
    <w:rsid w:val="00CC6195"/>
    <w:rsid w:val="00CC6361"/>
    <w:rsid w:val="00CC7394"/>
    <w:rsid w:val="00CD13AA"/>
    <w:rsid w:val="00CD14E4"/>
    <w:rsid w:val="00CD29E7"/>
    <w:rsid w:val="00CD2BE0"/>
    <w:rsid w:val="00CD3840"/>
    <w:rsid w:val="00CD512C"/>
    <w:rsid w:val="00CD5C1E"/>
    <w:rsid w:val="00CE191E"/>
    <w:rsid w:val="00CE1CB4"/>
    <w:rsid w:val="00CE263A"/>
    <w:rsid w:val="00CE5098"/>
    <w:rsid w:val="00CE5323"/>
    <w:rsid w:val="00CE746A"/>
    <w:rsid w:val="00CF0283"/>
    <w:rsid w:val="00CF0B53"/>
    <w:rsid w:val="00CF1526"/>
    <w:rsid w:val="00CF1DC7"/>
    <w:rsid w:val="00CF2EDF"/>
    <w:rsid w:val="00CF50B2"/>
    <w:rsid w:val="00CF59E0"/>
    <w:rsid w:val="00CF5C2A"/>
    <w:rsid w:val="00CF675D"/>
    <w:rsid w:val="00D03728"/>
    <w:rsid w:val="00D06BD9"/>
    <w:rsid w:val="00D073B5"/>
    <w:rsid w:val="00D078CB"/>
    <w:rsid w:val="00D07916"/>
    <w:rsid w:val="00D11108"/>
    <w:rsid w:val="00D11C68"/>
    <w:rsid w:val="00D11DFB"/>
    <w:rsid w:val="00D129B5"/>
    <w:rsid w:val="00D15B7F"/>
    <w:rsid w:val="00D16000"/>
    <w:rsid w:val="00D172F4"/>
    <w:rsid w:val="00D173B7"/>
    <w:rsid w:val="00D208B0"/>
    <w:rsid w:val="00D21360"/>
    <w:rsid w:val="00D22A8A"/>
    <w:rsid w:val="00D23BF6"/>
    <w:rsid w:val="00D24956"/>
    <w:rsid w:val="00D255A6"/>
    <w:rsid w:val="00D2622A"/>
    <w:rsid w:val="00D300D1"/>
    <w:rsid w:val="00D344E5"/>
    <w:rsid w:val="00D37234"/>
    <w:rsid w:val="00D402D2"/>
    <w:rsid w:val="00D407B4"/>
    <w:rsid w:val="00D430A9"/>
    <w:rsid w:val="00D44B3A"/>
    <w:rsid w:val="00D46740"/>
    <w:rsid w:val="00D47516"/>
    <w:rsid w:val="00D479C2"/>
    <w:rsid w:val="00D50450"/>
    <w:rsid w:val="00D51F28"/>
    <w:rsid w:val="00D540CB"/>
    <w:rsid w:val="00D56BCB"/>
    <w:rsid w:val="00D57134"/>
    <w:rsid w:val="00D57560"/>
    <w:rsid w:val="00D60358"/>
    <w:rsid w:val="00D677E0"/>
    <w:rsid w:val="00D711B8"/>
    <w:rsid w:val="00D71802"/>
    <w:rsid w:val="00D71C54"/>
    <w:rsid w:val="00D74978"/>
    <w:rsid w:val="00D755FB"/>
    <w:rsid w:val="00D773AE"/>
    <w:rsid w:val="00D81B97"/>
    <w:rsid w:val="00D81DB5"/>
    <w:rsid w:val="00D8298E"/>
    <w:rsid w:val="00D866B6"/>
    <w:rsid w:val="00D86E50"/>
    <w:rsid w:val="00D90D3C"/>
    <w:rsid w:val="00D91DB1"/>
    <w:rsid w:val="00D93530"/>
    <w:rsid w:val="00D94FA6"/>
    <w:rsid w:val="00DA05FF"/>
    <w:rsid w:val="00DA1F12"/>
    <w:rsid w:val="00DA57E2"/>
    <w:rsid w:val="00DB100A"/>
    <w:rsid w:val="00DB158E"/>
    <w:rsid w:val="00DB2B03"/>
    <w:rsid w:val="00DB33E4"/>
    <w:rsid w:val="00DB6CDE"/>
    <w:rsid w:val="00DB767D"/>
    <w:rsid w:val="00DB7A76"/>
    <w:rsid w:val="00DC00FB"/>
    <w:rsid w:val="00DC0F8C"/>
    <w:rsid w:val="00DC10D2"/>
    <w:rsid w:val="00DC11BF"/>
    <w:rsid w:val="00DC3C29"/>
    <w:rsid w:val="00DC3D30"/>
    <w:rsid w:val="00DD07CE"/>
    <w:rsid w:val="00DD0816"/>
    <w:rsid w:val="00DD0F70"/>
    <w:rsid w:val="00DD11D5"/>
    <w:rsid w:val="00DD4C95"/>
    <w:rsid w:val="00DD6431"/>
    <w:rsid w:val="00DE09C9"/>
    <w:rsid w:val="00DE0E7E"/>
    <w:rsid w:val="00DE6946"/>
    <w:rsid w:val="00DE6FBF"/>
    <w:rsid w:val="00DE76F1"/>
    <w:rsid w:val="00DF161A"/>
    <w:rsid w:val="00DF2D65"/>
    <w:rsid w:val="00DF353A"/>
    <w:rsid w:val="00DF390B"/>
    <w:rsid w:val="00DF5431"/>
    <w:rsid w:val="00E04789"/>
    <w:rsid w:val="00E06F5A"/>
    <w:rsid w:val="00E10241"/>
    <w:rsid w:val="00E10DC3"/>
    <w:rsid w:val="00E11A5C"/>
    <w:rsid w:val="00E13864"/>
    <w:rsid w:val="00E13B27"/>
    <w:rsid w:val="00E21EAE"/>
    <w:rsid w:val="00E22EC9"/>
    <w:rsid w:val="00E23C1B"/>
    <w:rsid w:val="00E23C39"/>
    <w:rsid w:val="00E2467F"/>
    <w:rsid w:val="00E25FCC"/>
    <w:rsid w:val="00E26FFC"/>
    <w:rsid w:val="00E279B0"/>
    <w:rsid w:val="00E30C3C"/>
    <w:rsid w:val="00E324EA"/>
    <w:rsid w:val="00E330F6"/>
    <w:rsid w:val="00E33A84"/>
    <w:rsid w:val="00E344CF"/>
    <w:rsid w:val="00E36856"/>
    <w:rsid w:val="00E378FA"/>
    <w:rsid w:val="00E37E6F"/>
    <w:rsid w:val="00E40785"/>
    <w:rsid w:val="00E4317D"/>
    <w:rsid w:val="00E44D2E"/>
    <w:rsid w:val="00E45AA1"/>
    <w:rsid w:val="00E4612B"/>
    <w:rsid w:val="00E46356"/>
    <w:rsid w:val="00E4657A"/>
    <w:rsid w:val="00E47953"/>
    <w:rsid w:val="00E509FD"/>
    <w:rsid w:val="00E50A23"/>
    <w:rsid w:val="00E5205C"/>
    <w:rsid w:val="00E537DF"/>
    <w:rsid w:val="00E53D85"/>
    <w:rsid w:val="00E56E51"/>
    <w:rsid w:val="00E615AD"/>
    <w:rsid w:val="00E62098"/>
    <w:rsid w:val="00E6370E"/>
    <w:rsid w:val="00E63E3F"/>
    <w:rsid w:val="00E703E1"/>
    <w:rsid w:val="00E708BB"/>
    <w:rsid w:val="00E71623"/>
    <w:rsid w:val="00E7213D"/>
    <w:rsid w:val="00E74323"/>
    <w:rsid w:val="00E74767"/>
    <w:rsid w:val="00E74F24"/>
    <w:rsid w:val="00E758E6"/>
    <w:rsid w:val="00E76618"/>
    <w:rsid w:val="00E76DBE"/>
    <w:rsid w:val="00E7786F"/>
    <w:rsid w:val="00E8021F"/>
    <w:rsid w:val="00E82A40"/>
    <w:rsid w:val="00E836C3"/>
    <w:rsid w:val="00E8387B"/>
    <w:rsid w:val="00E84CA0"/>
    <w:rsid w:val="00E8561E"/>
    <w:rsid w:val="00E91613"/>
    <w:rsid w:val="00E92A1C"/>
    <w:rsid w:val="00E93CFE"/>
    <w:rsid w:val="00E9623C"/>
    <w:rsid w:val="00E9692A"/>
    <w:rsid w:val="00E97B98"/>
    <w:rsid w:val="00EA0670"/>
    <w:rsid w:val="00EA13E1"/>
    <w:rsid w:val="00EA1953"/>
    <w:rsid w:val="00EA1B31"/>
    <w:rsid w:val="00EA387C"/>
    <w:rsid w:val="00EA4A31"/>
    <w:rsid w:val="00EA5CDC"/>
    <w:rsid w:val="00EA5F37"/>
    <w:rsid w:val="00EA66F0"/>
    <w:rsid w:val="00EA7870"/>
    <w:rsid w:val="00EB109E"/>
    <w:rsid w:val="00EB2D9A"/>
    <w:rsid w:val="00EB2F7C"/>
    <w:rsid w:val="00EB3612"/>
    <w:rsid w:val="00EB4046"/>
    <w:rsid w:val="00EB4F4E"/>
    <w:rsid w:val="00EB58C9"/>
    <w:rsid w:val="00EB5F36"/>
    <w:rsid w:val="00EB7BF9"/>
    <w:rsid w:val="00EC0F1E"/>
    <w:rsid w:val="00EC34CF"/>
    <w:rsid w:val="00EC3BA8"/>
    <w:rsid w:val="00EC4EC6"/>
    <w:rsid w:val="00EC64FF"/>
    <w:rsid w:val="00EC6D5D"/>
    <w:rsid w:val="00EC75CC"/>
    <w:rsid w:val="00ED0479"/>
    <w:rsid w:val="00ED073E"/>
    <w:rsid w:val="00ED29C7"/>
    <w:rsid w:val="00EE00FA"/>
    <w:rsid w:val="00EE09FE"/>
    <w:rsid w:val="00EE3834"/>
    <w:rsid w:val="00EE4708"/>
    <w:rsid w:val="00EF09C7"/>
    <w:rsid w:val="00EF1775"/>
    <w:rsid w:val="00EF3308"/>
    <w:rsid w:val="00EF3E3F"/>
    <w:rsid w:val="00EF3E88"/>
    <w:rsid w:val="00EF4710"/>
    <w:rsid w:val="00EF503A"/>
    <w:rsid w:val="00EF753D"/>
    <w:rsid w:val="00F00320"/>
    <w:rsid w:val="00F01A46"/>
    <w:rsid w:val="00F043D0"/>
    <w:rsid w:val="00F05EA6"/>
    <w:rsid w:val="00F06DC2"/>
    <w:rsid w:val="00F07922"/>
    <w:rsid w:val="00F10530"/>
    <w:rsid w:val="00F1122F"/>
    <w:rsid w:val="00F12780"/>
    <w:rsid w:val="00F14399"/>
    <w:rsid w:val="00F15BFF"/>
    <w:rsid w:val="00F17BD2"/>
    <w:rsid w:val="00F20DBD"/>
    <w:rsid w:val="00F210F3"/>
    <w:rsid w:val="00F2486F"/>
    <w:rsid w:val="00F26C9D"/>
    <w:rsid w:val="00F26FF8"/>
    <w:rsid w:val="00F2772A"/>
    <w:rsid w:val="00F27AA2"/>
    <w:rsid w:val="00F30687"/>
    <w:rsid w:val="00F30908"/>
    <w:rsid w:val="00F310E0"/>
    <w:rsid w:val="00F317D6"/>
    <w:rsid w:val="00F31C41"/>
    <w:rsid w:val="00F32C5B"/>
    <w:rsid w:val="00F339E0"/>
    <w:rsid w:val="00F34586"/>
    <w:rsid w:val="00F362E0"/>
    <w:rsid w:val="00F41CF6"/>
    <w:rsid w:val="00F44DFD"/>
    <w:rsid w:val="00F504E1"/>
    <w:rsid w:val="00F51059"/>
    <w:rsid w:val="00F5195C"/>
    <w:rsid w:val="00F53AF5"/>
    <w:rsid w:val="00F53F9B"/>
    <w:rsid w:val="00F540B9"/>
    <w:rsid w:val="00F54FB6"/>
    <w:rsid w:val="00F628BA"/>
    <w:rsid w:val="00F632CF"/>
    <w:rsid w:val="00F642DB"/>
    <w:rsid w:val="00F65E62"/>
    <w:rsid w:val="00F71B12"/>
    <w:rsid w:val="00F73EA5"/>
    <w:rsid w:val="00F74494"/>
    <w:rsid w:val="00F74E78"/>
    <w:rsid w:val="00F763DE"/>
    <w:rsid w:val="00F77ED3"/>
    <w:rsid w:val="00F81F84"/>
    <w:rsid w:val="00F85669"/>
    <w:rsid w:val="00F86DD7"/>
    <w:rsid w:val="00F91E69"/>
    <w:rsid w:val="00F94F58"/>
    <w:rsid w:val="00FA1B2B"/>
    <w:rsid w:val="00FA1D86"/>
    <w:rsid w:val="00FA304C"/>
    <w:rsid w:val="00FA6A1F"/>
    <w:rsid w:val="00FB053A"/>
    <w:rsid w:val="00FC0202"/>
    <w:rsid w:val="00FC0995"/>
    <w:rsid w:val="00FC143A"/>
    <w:rsid w:val="00FC1E3B"/>
    <w:rsid w:val="00FC39C3"/>
    <w:rsid w:val="00FD27E6"/>
    <w:rsid w:val="00FD3A67"/>
    <w:rsid w:val="00FD4ACC"/>
    <w:rsid w:val="00FE0E1E"/>
    <w:rsid w:val="00FF0C8A"/>
    <w:rsid w:val="00FF19C7"/>
    <w:rsid w:val="00FF4925"/>
    <w:rsid w:val="00FF4AB8"/>
    <w:rsid w:val="00FF5A7B"/>
    <w:rsid w:val="00FF7493"/>
    <w:rsid w:val="00FF79A9"/>
    <w:rsid w:val="00FF7BC7"/>
    <w:rsid w:val="0107A396"/>
    <w:rsid w:val="01789D98"/>
    <w:rsid w:val="017B7FAF"/>
    <w:rsid w:val="01BDE8F1"/>
    <w:rsid w:val="01E89C71"/>
    <w:rsid w:val="0200E6C6"/>
    <w:rsid w:val="0231EC9A"/>
    <w:rsid w:val="0267C7A3"/>
    <w:rsid w:val="02D024AE"/>
    <w:rsid w:val="038A539A"/>
    <w:rsid w:val="03A681D3"/>
    <w:rsid w:val="03D1C48B"/>
    <w:rsid w:val="03DE96BB"/>
    <w:rsid w:val="04785745"/>
    <w:rsid w:val="04BD37B7"/>
    <w:rsid w:val="04C142D2"/>
    <w:rsid w:val="050C1352"/>
    <w:rsid w:val="0535096B"/>
    <w:rsid w:val="057F2886"/>
    <w:rsid w:val="05BDF63F"/>
    <w:rsid w:val="05C3B033"/>
    <w:rsid w:val="05E905F6"/>
    <w:rsid w:val="060E963F"/>
    <w:rsid w:val="06215247"/>
    <w:rsid w:val="0624CA4C"/>
    <w:rsid w:val="066F85C7"/>
    <w:rsid w:val="06BDAC68"/>
    <w:rsid w:val="06D725C3"/>
    <w:rsid w:val="072A7040"/>
    <w:rsid w:val="073A0898"/>
    <w:rsid w:val="073A5F90"/>
    <w:rsid w:val="075916C5"/>
    <w:rsid w:val="07CCCB6F"/>
    <w:rsid w:val="07F086F7"/>
    <w:rsid w:val="07FB8E5E"/>
    <w:rsid w:val="092D158E"/>
    <w:rsid w:val="0964685C"/>
    <w:rsid w:val="0980608E"/>
    <w:rsid w:val="09A36351"/>
    <w:rsid w:val="09BBFAC0"/>
    <w:rsid w:val="0A0C89B0"/>
    <w:rsid w:val="0A1F355B"/>
    <w:rsid w:val="0A289B4A"/>
    <w:rsid w:val="0A44B9FD"/>
    <w:rsid w:val="0A8FD171"/>
    <w:rsid w:val="0B1DCE03"/>
    <w:rsid w:val="0B2C1E9D"/>
    <w:rsid w:val="0B34AE2B"/>
    <w:rsid w:val="0B449BB7"/>
    <w:rsid w:val="0BC485AE"/>
    <w:rsid w:val="0BD2E424"/>
    <w:rsid w:val="0C417E05"/>
    <w:rsid w:val="0C81E61B"/>
    <w:rsid w:val="0C85F8E2"/>
    <w:rsid w:val="0CB6419B"/>
    <w:rsid w:val="0CCB585E"/>
    <w:rsid w:val="0CE2388D"/>
    <w:rsid w:val="0CF57381"/>
    <w:rsid w:val="0CFA897F"/>
    <w:rsid w:val="0D54F3D6"/>
    <w:rsid w:val="0DF7322B"/>
    <w:rsid w:val="0F305C4B"/>
    <w:rsid w:val="0F79571D"/>
    <w:rsid w:val="0FBCB883"/>
    <w:rsid w:val="0FD605C0"/>
    <w:rsid w:val="0FDDF0A3"/>
    <w:rsid w:val="0FE7EFD6"/>
    <w:rsid w:val="0FEAB516"/>
    <w:rsid w:val="10A8BB7A"/>
    <w:rsid w:val="10BAB2C3"/>
    <w:rsid w:val="10E6E6FD"/>
    <w:rsid w:val="10FF1DFB"/>
    <w:rsid w:val="11373B42"/>
    <w:rsid w:val="1144FA75"/>
    <w:rsid w:val="1152C96F"/>
    <w:rsid w:val="11901AAA"/>
    <w:rsid w:val="11987017"/>
    <w:rsid w:val="11C3FAC2"/>
    <w:rsid w:val="121A5B90"/>
    <w:rsid w:val="12BB2C94"/>
    <w:rsid w:val="12EED5DF"/>
    <w:rsid w:val="1343DC7E"/>
    <w:rsid w:val="134C00A0"/>
    <w:rsid w:val="13574A2E"/>
    <w:rsid w:val="135C9942"/>
    <w:rsid w:val="1399A443"/>
    <w:rsid w:val="13E9156A"/>
    <w:rsid w:val="13EFD255"/>
    <w:rsid w:val="1484F163"/>
    <w:rsid w:val="148EE154"/>
    <w:rsid w:val="1566C749"/>
    <w:rsid w:val="1568CAE5"/>
    <w:rsid w:val="159C6A5A"/>
    <w:rsid w:val="15A75551"/>
    <w:rsid w:val="15C2BA0C"/>
    <w:rsid w:val="167B2483"/>
    <w:rsid w:val="16845A60"/>
    <w:rsid w:val="16B5ED05"/>
    <w:rsid w:val="175A7E1E"/>
    <w:rsid w:val="178CBF91"/>
    <w:rsid w:val="17A49AD1"/>
    <w:rsid w:val="17B1B081"/>
    <w:rsid w:val="17CD68C9"/>
    <w:rsid w:val="1816F4E4"/>
    <w:rsid w:val="185F9402"/>
    <w:rsid w:val="18D9087D"/>
    <w:rsid w:val="18DB7F93"/>
    <w:rsid w:val="18EE26C3"/>
    <w:rsid w:val="190EBEDE"/>
    <w:rsid w:val="1927FFFE"/>
    <w:rsid w:val="195D5031"/>
    <w:rsid w:val="1968D7B9"/>
    <w:rsid w:val="198822AD"/>
    <w:rsid w:val="1996F316"/>
    <w:rsid w:val="19DF135B"/>
    <w:rsid w:val="19E335E1"/>
    <w:rsid w:val="19FC6AA1"/>
    <w:rsid w:val="1A10C6F0"/>
    <w:rsid w:val="1A28E37B"/>
    <w:rsid w:val="1A301D90"/>
    <w:rsid w:val="1A4A3EA4"/>
    <w:rsid w:val="1AA6952D"/>
    <w:rsid w:val="1AAE7B3B"/>
    <w:rsid w:val="1ABD4CDC"/>
    <w:rsid w:val="1ACEF7BA"/>
    <w:rsid w:val="1B56C540"/>
    <w:rsid w:val="1B876840"/>
    <w:rsid w:val="1BA1DB26"/>
    <w:rsid w:val="1BBC5C82"/>
    <w:rsid w:val="1BC7598E"/>
    <w:rsid w:val="1C25C785"/>
    <w:rsid w:val="1C2FCB82"/>
    <w:rsid w:val="1C4E9B75"/>
    <w:rsid w:val="1C731527"/>
    <w:rsid w:val="1C746CAB"/>
    <w:rsid w:val="1C8A294C"/>
    <w:rsid w:val="1CB8A0E7"/>
    <w:rsid w:val="1CCF4118"/>
    <w:rsid w:val="1D18E169"/>
    <w:rsid w:val="1D1E3623"/>
    <w:rsid w:val="1D2DA554"/>
    <w:rsid w:val="1DA8EDC8"/>
    <w:rsid w:val="1DF1EF67"/>
    <w:rsid w:val="1E0FA3F1"/>
    <w:rsid w:val="1E93FEDA"/>
    <w:rsid w:val="1EAF1B25"/>
    <w:rsid w:val="1EC52DE3"/>
    <w:rsid w:val="1F1A37C0"/>
    <w:rsid w:val="1F5C91FB"/>
    <w:rsid w:val="1F6905D7"/>
    <w:rsid w:val="1F721FC7"/>
    <w:rsid w:val="1F77DCD3"/>
    <w:rsid w:val="1FEBFA04"/>
    <w:rsid w:val="20966D64"/>
    <w:rsid w:val="20A37A10"/>
    <w:rsid w:val="21292E68"/>
    <w:rsid w:val="218CAEEB"/>
    <w:rsid w:val="21A2A67E"/>
    <w:rsid w:val="21E29D93"/>
    <w:rsid w:val="21EDFEA4"/>
    <w:rsid w:val="21F7D8C2"/>
    <w:rsid w:val="22038140"/>
    <w:rsid w:val="22262AFF"/>
    <w:rsid w:val="225B6F80"/>
    <w:rsid w:val="2279F177"/>
    <w:rsid w:val="22D64A80"/>
    <w:rsid w:val="22EB28A8"/>
    <w:rsid w:val="23168053"/>
    <w:rsid w:val="2334E77B"/>
    <w:rsid w:val="2388CBFC"/>
    <w:rsid w:val="23A4AF24"/>
    <w:rsid w:val="23C6EAC3"/>
    <w:rsid w:val="23F09D40"/>
    <w:rsid w:val="23FF8F2F"/>
    <w:rsid w:val="24003C76"/>
    <w:rsid w:val="242F841F"/>
    <w:rsid w:val="24B2D1E3"/>
    <w:rsid w:val="2515999F"/>
    <w:rsid w:val="256092BE"/>
    <w:rsid w:val="25FD014C"/>
    <w:rsid w:val="262B2938"/>
    <w:rsid w:val="26AF2D5F"/>
    <w:rsid w:val="26B95936"/>
    <w:rsid w:val="26D24DCA"/>
    <w:rsid w:val="271D9988"/>
    <w:rsid w:val="277C2FFB"/>
    <w:rsid w:val="279C65F7"/>
    <w:rsid w:val="27ACE3A7"/>
    <w:rsid w:val="27AFB333"/>
    <w:rsid w:val="27B389D3"/>
    <w:rsid w:val="27E4D7E7"/>
    <w:rsid w:val="28088F41"/>
    <w:rsid w:val="283B1548"/>
    <w:rsid w:val="288A673A"/>
    <w:rsid w:val="28CEA43C"/>
    <w:rsid w:val="28D00A84"/>
    <w:rsid w:val="28E8CE4A"/>
    <w:rsid w:val="28EB2230"/>
    <w:rsid w:val="28F01C1E"/>
    <w:rsid w:val="2925932E"/>
    <w:rsid w:val="2993FACE"/>
    <w:rsid w:val="299491F8"/>
    <w:rsid w:val="29DB6E03"/>
    <w:rsid w:val="2A6DA666"/>
    <w:rsid w:val="2ABC7FA9"/>
    <w:rsid w:val="2AC695BA"/>
    <w:rsid w:val="2ACCD4D4"/>
    <w:rsid w:val="2AD7C6D0"/>
    <w:rsid w:val="2AE25F3A"/>
    <w:rsid w:val="2AF7BCED"/>
    <w:rsid w:val="2B05353E"/>
    <w:rsid w:val="2B1848BA"/>
    <w:rsid w:val="2B42F700"/>
    <w:rsid w:val="2B603A66"/>
    <w:rsid w:val="2B81B97C"/>
    <w:rsid w:val="2CB52BBC"/>
    <w:rsid w:val="2CE2BB15"/>
    <w:rsid w:val="2CE2E810"/>
    <w:rsid w:val="2CF17F9C"/>
    <w:rsid w:val="2D12B507"/>
    <w:rsid w:val="2D2FAE42"/>
    <w:rsid w:val="2D348B9D"/>
    <w:rsid w:val="2D8DF65F"/>
    <w:rsid w:val="2D9DCF01"/>
    <w:rsid w:val="2DB4544E"/>
    <w:rsid w:val="2DC35406"/>
    <w:rsid w:val="2DDD2EAF"/>
    <w:rsid w:val="2DE986C1"/>
    <w:rsid w:val="2DEEEAD4"/>
    <w:rsid w:val="2E631BEC"/>
    <w:rsid w:val="2EA47887"/>
    <w:rsid w:val="2F17332D"/>
    <w:rsid w:val="2F2AE9E5"/>
    <w:rsid w:val="303F8A23"/>
    <w:rsid w:val="305259C3"/>
    <w:rsid w:val="30DCE7EA"/>
    <w:rsid w:val="3196E3DF"/>
    <w:rsid w:val="31B1D230"/>
    <w:rsid w:val="31C8D788"/>
    <w:rsid w:val="327E711A"/>
    <w:rsid w:val="32AF7450"/>
    <w:rsid w:val="32CE8A41"/>
    <w:rsid w:val="32F170A2"/>
    <w:rsid w:val="32F31C82"/>
    <w:rsid w:val="32F8919B"/>
    <w:rsid w:val="3325CBAE"/>
    <w:rsid w:val="333069B0"/>
    <w:rsid w:val="334DCE81"/>
    <w:rsid w:val="3385C769"/>
    <w:rsid w:val="348ED122"/>
    <w:rsid w:val="35461BE1"/>
    <w:rsid w:val="355D72E8"/>
    <w:rsid w:val="356430D9"/>
    <w:rsid w:val="356C7197"/>
    <w:rsid w:val="3580D559"/>
    <w:rsid w:val="358A0E55"/>
    <w:rsid w:val="35B0590D"/>
    <w:rsid w:val="35EFFEF1"/>
    <w:rsid w:val="35FD339A"/>
    <w:rsid w:val="3607981E"/>
    <w:rsid w:val="3607A3B1"/>
    <w:rsid w:val="3681A3FF"/>
    <w:rsid w:val="369278FF"/>
    <w:rsid w:val="37213556"/>
    <w:rsid w:val="3722310D"/>
    <w:rsid w:val="373A5912"/>
    <w:rsid w:val="3779E97D"/>
    <w:rsid w:val="37D60E56"/>
    <w:rsid w:val="382AB7FD"/>
    <w:rsid w:val="384E3812"/>
    <w:rsid w:val="38542CC1"/>
    <w:rsid w:val="38841054"/>
    <w:rsid w:val="389BEA9C"/>
    <w:rsid w:val="38A5E350"/>
    <w:rsid w:val="38CBA59E"/>
    <w:rsid w:val="38CC92DE"/>
    <w:rsid w:val="38E7F9CF"/>
    <w:rsid w:val="38EAC7A8"/>
    <w:rsid w:val="39330F7A"/>
    <w:rsid w:val="3951F77F"/>
    <w:rsid w:val="395384B0"/>
    <w:rsid w:val="3981DED4"/>
    <w:rsid w:val="3986C484"/>
    <w:rsid w:val="39E32008"/>
    <w:rsid w:val="3A33FBCF"/>
    <w:rsid w:val="3A5765FE"/>
    <w:rsid w:val="3A7E6962"/>
    <w:rsid w:val="3A9CC8F0"/>
    <w:rsid w:val="3AC06C81"/>
    <w:rsid w:val="3B4DA8C7"/>
    <w:rsid w:val="3B56456A"/>
    <w:rsid w:val="3B8F1BC7"/>
    <w:rsid w:val="3B9B924A"/>
    <w:rsid w:val="3BA2EC73"/>
    <w:rsid w:val="3BB03EF9"/>
    <w:rsid w:val="3BB68FB9"/>
    <w:rsid w:val="3BF0E951"/>
    <w:rsid w:val="3BF6EFBD"/>
    <w:rsid w:val="3CCD05CF"/>
    <w:rsid w:val="3D3CDB15"/>
    <w:rsid w:val="3D3EBCD4"/>
    <w:rsid w:val="3D75E21F"/>
    <w:rsid w:val="3DA5C2BC"/>
    <w:rsid w:val="3DBF56D3"/>
    <w:rsid w:val="3DD16AB3"/>
    <w:rsid w:val="3E15E0F0"/>
    <w:rsid w:val="3E5750E3"/>
    <w:rsid w:val="3E881149"/>
    <w:rsid w:val="3EB7DDA0"/>
    <w:rsid w:val="3EE92AEE"/>
    <w:rsid w:val="3F2413D6"/>
    <w:rsid w:val="3F595058"/>
    <w:rsid w:val="3FA789C1"/>
    <w:rsid w:val="3FC71A2A"/>
    <w:rsid w:val="3FCD1D4F"/>
    <w:rsid w:val="3FE4B503"/>
    <w:rsid w:val="40E14438"/>
    <w:rsid w:val="40E19BB4"/>
    <w:rsid w:val="41000B81"/>
    <w:rsid w:val="4161BC82"/>
    <w:rsid w:val="41A934C3"/>
    <w:rsid w:val="41BA60FC"/>
    <w:rsid w:val="42255A6F"/>
    <w:rsid w:val="4245B7EF"/>
    <w:rsid w:val="4252EFAC"/>
    <w:rsid w:val="4296C99B"/>
    <w:rsid w:val="4298AFF9"/>
    <w:rsid w:val="42ABFB16"/>
    <w:rsid w:val="42DAB1B3"/>
    <w:rsid w:val="42E20439"/>
    <w:rsid w:val="435C6CEE"/>
    <w:rsid w:val="43B31A57"/>
    <w:rsid w:val="4410B763"/>
    <w:rsid w:val="446EEB43"/>
    <w:rsid w:val="448FFEF4"/>
    <w:rsid w:val="44968D36"/>
    <w:rsid w:val="44E7517D"/>
    <w:rsid w:val="455EF81D"/>
    <w:rsid w:val="4576D42F"/>
    <w:rsid w:val="461E8B2D"/>
    <w:rsid w:val="462B640B"/>
    <w:rsid w:val="46574281"/>
    <w:rsid w:val="465B1BBB"/>
    <w:rsid w:val="4670E568"/>
    <w:rsid w:val="4688E70D"/>
    <w:rsid w:val="46CC070B"/>
    <w:rsid w:val="46DBB5E9"/>
    <w:rsid w:val="471AEEF5"/>
    <w:rsid w:val="4731270F"/>
    <w:rsid w:val="4782D638"/>
    <w:rsid w:val="47935CEE"/>
    <w:rsid w:val="4795D40A"/>
    <w:rsid w:val="47E517D6"/>
    <w:rsid w:val="47FBF382"/>
    <w:rsid w:val="48325721"/>
    <w:rsid w:val="48B421AC"/>
    <w:rsid w:val="491F1727"/>
    <w:rsid w:val="4949F6EC"/>
    <w:rsid w:val="495B3774"/>
    <w:rsid w:val="49986BD9"/>
    <w:rsid w:val="49C7E2E2"/>
    <w:rsid w:val="49DC096A"/>
    <w:rsid w:val="4A2FB2B2"/>
    <w:rsid w:val="4A34E7CC"/>
    <w:rsid w:val="4AE7FDEB"/>
    <w:rsid w:val="4B38F103"/>
    <w:rsid w:val="4B6C5245"/>
    <w:rsid w:val="4B796017"/>
    <w:rsid w:val="4B8DE6F4"/>
    <w:rsid w:val="4BBE4A62"/>
    <w:rsid w:val="4C406901"/>
    <w:rsid w:val="4C44EDE8"/>
    <w:rsid w:val="4CD849A2"/>
    <w:rsid w:val="4D008B37"/>
    <w:rsid w:val="4D820312"/>
    <w:rsid w:val="4D8455C5"/>
    <w:rsid w:val="4D9A995E"/>
    <w:rsid w:val="4DAE882A"/>
    <w:rsid w:val="4DEDC19E"/>
    <w:rsid w:val="4DF63124"/>
    <w:rsid w:val="4E005DE4"/>
    <w:rsid w:val="4E468799"/>
    <w:rsid w:val="4E9275ED"/>
    <w:rsid w:val="4EABF77C"/>
    <w:rsid w:val="4F347724"/>
    <w:rsid w:val="4F534B34"/>
    <w:rsid w:val="4F75ADDA"/>
    <w:rsid w:val="5068E568"/>
    <w:rsid w:val="506C84E1"/>
    <w:rsid w:val="508081BC"/>
    <w:rsid w:val="50881AE1"/>
    <w:rsid w:val="51752421"/>
    <w:rsid w:val="51A20259"/>
    <w:rsid w:val="51CE3AE2"/>
    <w:rsid w:val="51FF3BAD"/>
    <w:rsid w:val="520CFFF2"/>
    <w:rsid w:val="521C521D"/>
    <w:rsid w:val="521CE3F9"/>
    <w:rsid w:val="5235EFCE"/>
    <w:rsid w:val="52A428B9"/>
    <w:rsid w:val="52D96F33"/>
    <w:rsid w:val="52E52264"/>
    <w:rsid w:val="53057084"/>
    <w:rsid w:val="5388A697"/>
    <w:rsid w:val="539288F0"/>
    <w:rsid w:val="53B182DB"/>
    <w:rsid w:val="53B57432"/>
    <w:rsid w:val="53B8227E"/>
    <w:rsid w:val="54406BAA"/>
    <w:rsid w:val="547E8348"/>
    <w:rsid w:val="547F1688"/>
    <w:rsid w:val="54A3112C"/>
    <w:rsid w:val="54CE1AFD"/>
    <w:rsid w:val="54FFF42B"/>
    <w:rsid w:val="550FA9A2"/>
    <w:rsid w:val="552E259E"/>
    <w:rsid w:val="553CD038"/>
    <w:rsid w:val="55767DC2"/>
    <w:rsid w:val="55AF0BA4"/>
    <w:rsid w:val="55C534AD"/>
    <w:rsid w:val="56341611"/>
    <w:rsid w:val="565A4805"/>
    <w:rsid w:val="567947C5"/>
    <w:rsid w:val="567C7ECE"/>
    <w:rsid w:val="5683B051"/>
    <w:rsid w:val="568E9063"/>
    <w:rsid w:val="56BB97BE"/>
    <w:rsid w:val="56F7D515"/>
    <w:rsid w:val="5754A173"/>
    <w:rsid w:val="57BB70F1"/>
    <w:rsid w:val="57EE44FA"/>
    <w:rsid w:val="58041EAC"/>
    <w:rsid w:val="582549E2"/>
    <w:rsid w:val="586B2D3B"/>
    <w:rsid w:val="58720E7F"/>
    <w:rsid w:val="58DF7FB4"/>
    <w:rsid w:val="59034137"/>
    <w:rsid w:val="59620F77"/>
    <w:rsid w:val="598277BB"/>
    <w:rsid w:val="59F6C97F"/>
    <w:rsid w:val="5A1C5DAD"/>
    <w:rsid w:val="5A28FDE4"/>
    <w:rsid w:val="5A78B308"/>
    <w:rsid w:val="5AD78098"/>
    <w:rsid w:val="5AD81EF1"/>
    <w:rsid w:val="5B84B0E9"/>
    <w:rsid w:val="5BB2A948"/>
    <w:rsid w:val="5BD6B4D1"/>
    <w:rsid w:val="5C5DCC60"/>
    <w:rsid w:val="5C655872"/>
    <w:rsid w:val="5C76AC23"/>
    <w:rsid w:val="5C839116"/>
    <w:rsid w:val="5C93988D"/>
    <w:rsid w:val="5CA57298"/>
    <w:rsid w:val="5CAB5121"/>
    <w:rsid w:val="5D17990D"/>
    <w:rsid w:val="5D2E6A41"/>
    <w:rsid w:val="5D39ECA5"/>
    <w:rsid w:val="5D56DB9D"/>
    <w:rsid w:val="5D9E16CE"/>
    <w:rsid w:val="5E465686"/>
    <w:rsid w:val="5E8DEC7B"/>
    <w:rsid w:val="5E97EB6A"/>
    <w:rsid w:val="5EA15FB5"/>
    <w:rsid w:val="5EDFEC2F"/>
    <w:rsid w:val="5EEB744F"/>
    <w:rsid w:val="5F2CCE79"/>
    <w:rsid w:val="5F2E261C"/>
    <w:rsid w:val="5F4674E1"/>
    <w:rsid w:val="5F4DF442"/>
    <w:rsid w:val="5F8ADBFD"/>
    <w:rsid w:val="5F973F6C"/>
    <w:rsid w:val="5FC6A566"/>
    <w:rsid w:val="600E25EA"/>
    <w:rsid w:val="60660B03"/>
    <w:rsid w:val="60748469"/>
    <w:rsid w:val="607A8330"/>
    <w:rsid w:val="608288F4"/>
    <w:rsid w:val="60A618FE"/>
    <w:rsid w:val="60AFAEAF"/>
    <w:rsid w:val="60BDAF80"/>
    <w:rsid w:val="6122C33B"/>
    <w:rsid w:val="612A0FC5"/>
    <w:rsid w:val="614931D6"/>
    <w:rsid w:val="614A30E8"/>
    <w:rsid w:val="616A4FB0"/>
    <w:rsid w:val="622D74B0"/>
    <w:rsid w:val="6240EE93"/>
    <w:rsid w:val="6243893C"/>
    <w:rsid w:val="624B7F10"/>
    <w:rsid w:val="62DC0C63"/>
    <w:rsid w:val="62E4E446"/>
    <w:rsid w:val="631239DD"/>
    <w:rsid w:val="635AEA69"/>
    <w:rsid w:val="63F8F0C7"/>
    <w:rsid w:val="642FE231"/>
    <w:rsid w:val="6483FA49"/>
    <w:rsid w:val="6485E2D6"/>
    <w:rsid w:val="6488E745"/>
    <w:rsid w:val="64CF3EFA"/>
    <w:rsid w:val="64ED53F2"/>
    <w:rsid w:val="65397C26"/>
    <w:rsid w:val="667CCE4F"/>
    <w:rsid w:val="6689B0D7"/>
    <w:rsid w:val="66C94515"/>
    <w:rsid w:val="66E2C754"/>
    <w:rsid w:val="67082DDA"/>
    <w:rsid w:val="67A87C48"/>
    <w:rsid w:val="67BC30EE"/>
    <w:rsid w:val="67BEDBB1"/>
    <w:rsid w:val="683182C4"/>
    <w:rsid w:val="688C4652"/>
    <w:rsid w:val="688E8354"/>
    <w:rsid w:val="68A0D5C0"/>
    <w:rsid w:val="68A19837"/>
    <w:rsid w:val="6919782B"/>
    <w:rsid w:val="69279CD3"/>
    <w:rsid w:val="6962DA8A"/>
    <w:rsid w:val="69EFE6C9"/>
    <w:rsid w:val="6A5EBE56"/>
    <w:rsid w:val="6B255A9B"/>
    <w:rsid w:val="6B39E3E5"/>
    <w:rsid w:val="6B56F7CF"/>
    <w:rsid w:val="6B6A0C14"/>
    <w:rsid w:val="6B8E091E"/>
    <w:rsid w:val="6BAB2EDD"/>
    <w:rsid w:val="6C95A38E"/>
    <w:rsid w:val="6CA319A2"/>
    <w:rsid w:val="6D2D9403"/>
    <w:rsid w:val="6D82A4BF"/>
    <w:rsid w:val="6DBA0E73"/>
    <w:rsid w:val="6DEB2E2D"/>
    <w:rsid w:val="6E1F28A1"/>
    <w:rsid w:val="6E28F773"/>
    <w:rsid w:val="6E330086"/>
    <w:rsid w:val="6E47A6F9"/>
    <w:rsid w:val="6E68CC4D"/>
    <w:rsid w:val="6E8BE3BC"/>
    <w:rsid w:val="6ED0D180"/>
    <w:rsid w:val="6EDD45C9"/>
    <w:rsid w:val="6EF730EF"/>
    <w:rsid w:val="6F619006"/>
    <w:rsid w:val="6FAC132E"/>
    <w:rsid w:val="6FC751D3"/>
    <w:rsid w:val="70090065"/>
    <w:rsid w:val="70DED994"/>
    <w:rsid w:val="713F789A"/>
    <w:rsid w:val="717FB2D3"/>
    <w:rsid w:val="719E7F66"/>
    <w:rsid w:val="71F32560"/>
    <w:rsid w:val="72021834"/>
    <w:rsid w:val="727807D0"/>
    <w:rsid w:val="72C9FEB0"/>
    <w:rsid w:val="73271A87"/>
    <w:rsid w:val="73287837"/>
    <w:rsid w:val="736BF5F2"/>
    <w:rsid w:val="744686F6"/>
    <w:rsid w:val="746916A1"/>
    <w:rsid w:val="74904C51"/>
    <w:rsid w:val="74CC1DB0"/>
    <w:rsid w:val="750BE798"/>
    <w:rsid w:val="75911B3B"/>
    <w:rsid w:val="75A2CAD2"/>
    <w:rsid w:val="75BD3709"/>
    <w:rsid w:val="760EBD1F"/>
    <w:rsid w:val="762C1CB2"/>
    <w:rsid w:val="76670C11"/>
    <w:rsid w:val="768D3CAE"/>
    <w:rsid w:val="76C20FE1"/>
    <w:rsid w:val="76D0A3B8"/>
    <w:rsid w:val="76D8610A"/>
    <w:rsid w:val="77042319"/>
    <w:rsid w:val="77080D76"/>
    <w:rsid w:val="77162A24"/>
    <w:rsid w:val="77835033"/>
    <w:rsid w:val="77AD11B2"/>
    <w:rsid w:val="77DDECD6"/>
    <w:rsid w:val="77F57EFE"/>
    <w:rsid w:val="782DC656"/>
    <w:rsid w:val="785A75E9"/>
    <w:rsid w:val="788866F4"/>
    <w:rsid w:val="78D2E571"/>
    <w:rsid w:val="7968B74D"/>
    <w:rsid w:val="798083D0"/>
    <w:rsid w:val="79BA3BD2"/>
    <w:rsid w:val="79D68439"/>
    <w:rsid w:val="79EAB36C"/>
    <w:rsid w:val="7A3F43F5"/>
    <w:rsid w:val="7A9BCA72"/>
    <w:rsid w:val="7AAEB639"/>
    <w:rsid w:val="7ABAAB48"/>
    <w:rsid w:val="7AFDABA9"/>
    <w:rsid w:val="7B5A8FCF"/>
    <w:rsid w:val="7B7F9BC5"/>
    <w:rsid w:val="7B8C89E1"/>
    <w:rsid w:val="7BB98437"/>
    <w:rsid w:val="7BCCF22A"/>
    <w:rsid w:val="7BD94601"/>
    <w:rsid w:val="7BFAF1B5"/>
    <w:rsid w:val="7BFC6F91"/>
    <w:rsid w:val="7C897547"/>
    <w:rsid w:val="7CE74E55"/>
    <w:rsid w:val="7D0B59C7"/>
    <w:rsid w:val="7D983FF2"/>
    <w:rsid w:val="7DC8F907"/>
    <w:rsid w:val="7DD47E85"/>
    <w:rsid w:val="7DE2B58A"/>
    <w:rsid w:val="7DEA6B51"/>
    <w:rsid w:val="7DFF68DC"/>
    <w:rsid w:val="7E7B3422"/>
    <w:rsid w:val="7E8F2C20"/>
    <w:rsid w:val="7EBE9B2B"/>
    <w:rsid w:val="7F792067"/>
    <w:rsid w:val="7F9142D4"/>
    <w:rsid w:val="7FCAB8BD"/>
    <w:rsid w:val="7FDEFE9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67CBF"/>
  <w15:docId w15:val="{94F50194-815E-4243-ACDF-357B07AC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EE"/>
    <w:pPr>
      <w:keepLines/>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F71B12"/>
    <w:pPr>
      <w:keepNext/>
      <w:spacing w:before="240" w:line="240" w:lineRule="auto"/>
      <w:outlineLvl w:val="0"/>
    </w:pPr>
    <w:rPr>
      <w:rFonts w:cs="Arial"/>
      <w:b/>
      <w:bCs/>
      <w:color w:val="005A70"/>
      <w:kern w:val="32"/>
      <w:sz w:val="36"/>
      <w:szCs w:val="32"/>
    </w:rPr>
  </w:style>
  <w:style w:type="paragraph" w:styleId="Heading2">
    <w:name w:val="heading 2"/>
    <w:basedOn w:val="Normal"/>
    <w:next w:val="Normal"/>
    <w:link w:val="Heading2Char"/>
    <w:uiPriority w:val="2"/>
    <w:unhideWhenUsed/>
    <w:qFormat/>
    <w:rsid w:val="00AE5C45"/>
    <w:pPr>
      <w:keepNext/>
      <w:spacing w:before="240" w:after="120" w:line="240" w:lineRule="auto"/>
      <w:outlineLvl w:val="1"/>
    </w:pPr>
    <w:rPr>
      <w:rFonts w:eastAsiaTheme="majorEastAs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71B12"/>
    <w:rPr>
      <w:rFonts w:ascii="Arial" w:eastAsia="Times New Roman" w:hAnsi="Arial" w:cs="Arial"/>
      <w:b/>
      <w:bCs/>
      <w:color w:val="005A70"/>
      <w:spacing w:val="4"/>
      <w:kern w:val="32"/>
      <w:sz w:val="36"/>
      <w:szCs w:val="32"/>
      <w:lang w:eastAsia="en-AU"/>
    </w:rPr>
  </w:style>
  <w:style w:type="character" w:customStyle="1" w:styleId="Heading2Char">
    <w:name w:val="Heading 2 Char"/>
    <w:basedOn w:val="DefaultParagraphFont"/>
    <w:link w:val="Heading2"/>
    <w:uiPriority w:val="2"/>
    <w:rsid w:val="00AE5C45"/>
    <w:rPr>
      <w:rFonts w:ascii="Arial" w:eastAsiaTheme="majorEastAsia" w:hAnsi="Arial" w:cstheme="majorBidi"/>
      <w:bCs/>
      <w:color w:val="005A70"/>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99"/>
    <w:qFormat/>
    <w:rsid w:val="00A978EE"/>
    <w:pPr>
      <w:spacing w:before="240" w:line="240" w:lineRule="auto"/>
      <w:contextualSpacing/>
      <w:outlineLvl w:val="0"/>
    </w:pPr>
    <w:rPr>
      <w:rFonts w:cs="Arial"/>
      <w:bCs/>
      <w:color w:val="005A70"/>
      <w:spacing w:val="0"/>
      <w:kern w:val="28"/>
      <w:sz w:val="56"/>
      <w:szCs w:val="32"/>
    </w:rPr>
  </w:style>
  <w:style w:type="character" w:customStyle="1" w:styleId="TitleChar">
    <w:name w:val="Title Char"/>
    <w:basedOn w:val="DefaultParagraphFont"/>
    <w:link w:val="Title"/>
    <w:uiPriority w:val="99"/>
    <w:rsid w:val="00A978EE"/>
    <w:rPr>
      <w:rFonts w:ascii="Arial" w:eastAsia="Times New Roman" w:hAnsi="Arial" w:cs="Arial"/>
      <w:bCs/>
      <w:color w:val="005A70"/>
      <w:kern w:val="28"/>
      <w:sz w:val="56"/>
      <w:szCs w:val="32"/>
      <w:lang w:eastAsia="en-AU"/>
    </w:rPr>
  </w:style>
  <w:style w:type="paragraph" w:styleId="Subtitle">
    <w:name w:val="Subtitle"/>
    <w:basedOn w:val="Normal"/>
    <w:next w:val="Normal"/>
    <w:link w:val="SubtitleChar"/>
    <w:uiPriority w:val="99"/>
    <w:qFormat/>
    <w:rsid w:val="00A978EE"/>
    <w:pPr>
      <w:spacing w:before="600" w:after="600" w:line="240" w:lineRule="auto"/>
    </w:pPr>
    <w:rPr>
      <w:rFonts w:eastAsiaTheme="majorEastAsia" w:cstheme="majorBidi"/>
      <w:b/>
      <w:iCs/>
      <w:color w:val="005A70"/>
      <w:sz w:val="44"/>
    </w:rPr>
  </w:style>
  <w:style w:type="character" w:customStyle="1" w:styleId="SubtitleChar">
    <w:name w:val="Subtitle Char"/>
    <w:basedOn w:val="DefaultParagraphFont"/>
    <w:link w:val="Subtitle"/>
    <w:uiPriority w:val="99"/>
    <w:rsid w:val="00A978EE"/>
    <w:rPr>
      <w:rFonts w:ascii="Arial" w:eastAsiaTheme="majorEastAsia" w:hAnsi="Arial" w:cstheme="majorBidi"/>
      <w:b/>
      <w:iCs/>
      <w:color w:val="005A70"/>
      <w:spacing w:val="4"/>
      <w:sz w:val="44"/>
      <w:szCs w:val="24"/>
      <w:lang w:eastAsia="en-AU"/>
    </w:rPr>
  </w:style>
  <w:style w:type="character" w:styleId="SubtleEmphasis">
    <w:name w:val="Subtle Emphasis"/>
    <w:uiPriority w:val="19"/>
    <w:qFormat/>
    <w:rsid w:val="004B54CA"/>
    <w:rPr>
      <w:i/>
      <w:iCs/>
    </w:rPr>
  </w:style>
  <w:style w:type="paragraph" w:styleId="ListParagraph">
    <w:name w:val="List Paragraph"/>
    <w:basedOn w:val="Normal"/>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ablenote">
    <w:name w:val="Table note"/>
    <w:basedOn w:val="Normal"/>
    <w:qFormat/>
    <w:rsid w:val="00967CA2"/>
    <w:pPr>
      <w:ind w:firstLine="142"/>
    </w:pPr>
    <w:rPr>
      <w:sz w:val="20"/>
    </w:rPr>
  </w:style>
  <w:style w:type="paragraph" w:styleId="Caption">
    <w:name w:val="caption"/>
    <w:aliases w:val="Table title"/>
    <w:basedOn w:val="Normal"/>
    <w:next w:val="Normal"/>
    <w:uiPriority w:val="35"/>
    <w:unhideWhenUsed/>
    <w:rsid w:val="00967CA2"/>
    <w:pPr>
      <w:keepNext/>
      <w:spacing w:before="360" w:after="120" w:line="240" w:lineRule="atLeast"/>
      <w:ind w:firstLine="142"/>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445D52"/>
    <w:pPr>
      <w:numPr>
        <w:numId w:val="8"/>
      </w:numPr>
      <w:tabs>
        <w:tab w:val="left" w:pos="709"/>
      </w:tabs>
      <w:ind w:right="284"/>
    </w:pPr>
    <w:rPr>
      <w:rFonts w:eastAsiaTheme="majorEastAsia"/>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paragraph" w:styleId="EndnoteText">
    <w:name w:val="endnote text"/>
    <w:basedOn w:val="Normal"/>
    <w:link w:val="EndnoteTextChar"/>
    <w:uiPriority w:val="99"/>
    <w:semiHidden/>
    <w:unhideWhenUsed/>
    <w:rsid w:val="005E182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E1824"/>
    <w:rPr>
      <w:rFonts w:ascii="Arial" w:eastAsia="Times New Roman" w:hAnsi="Arial" w:cs="Times New Roman"/>
      <w:spacing w:val="4"/>
      <w:sz w:val="20"/>
      <w:szCs w:val="20"/>
      <w:lang w:eastAsia="en-AU"/>
    </w:rPr>
  </w:style>
  <w:style w:type="character" w:styleId="EndnoteReference">
    <w:name w:val="endnote reference"/>
    <w:basedOn w:val="DefaultParagraphFont"/>
    <w:uiPriority w:val="99"/>
    <w:semiHidden/>
    <w:unhideWhenUsed/>
    <w:rsid w:val="005E1824"/>
    <w:rPr>
      <w:vertAlign w:val="superscript"/>
    </w:rPr>
  </w:style>
  <w:style w:type="paragraph" w:styleId="FootnoteText">
    <w:name w:val="footnote text"/>
    <w:basedOn w:val="Normal"/>
    <w:link w:val="FootnoteTextChar"/>
    <w:uiPriority w:val="99"/>
    <w:semiHidden/>
    <w:unhideWhenUsed/>
    <w:rsid w:val="00025E6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25E68"/>
    <w:rPr>
      <w:rFonts w:ascii="Arial" w:eastAsia="Times New Roman" w:hAnsi="Arial" w:cs="Times New Roman"/>
      <w:spacing w:val="4"/>
      <w:sz w:val="20"/>
      <w:szCs w:val="20"/>
      <w:lang w:eastAsia="en-AU"/>
    </w:rPr>
  </w:style>
  <w:style w:type="character" w:styleId="FootnoteReference">
    <w:name w:val="footnote reference"/>
    <w:basedOn w:val="DefaultParagraphFont"/>
    <w:uiPriority w:val="99"/>
    <w:semiHidden/>
    <w:unhideWhenUsed/>
    <w:rsid w:val="00025E68"/>
    <w:rPr>
      <w:vertAlign w:val="superscript"/>
    </w:rPr>
  </w:style>
  <w:style w:type="paragraph" w:customStyle="1" w:styleId="Default">
    <w:name w:val="Default"/>
    <w:rsid w:val="00AE5C45"/>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eastAsia="Times New Roman" w:hAnsi="Arial" w:cs="Times New Roman"/>
      <w:spacing w:val="4"/>
      <w:sz w:val="20"/>
      <w:szCs w:val="20"/>
      <w:lang w:eastAsia="en-AU"/>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A68E7"/>
    <w:rPr>
      <w:b/>
      <w:bCs/>
    </w:rPr>
  </w:style>
  <w:style w:type="character" w:customStyle="1" w:styleId="CommentSubjectChar">
    <w:name w:val="Comment Subject Char"/>
    <w:basedOn w:val="CommentTextChar"/>
    <w:link w:val="CommentSubject"/>
    <w:uiPriority w:val="99"/>
    <w:semiHidden/>
    <w:rsid w:val="000A68E7"/>
    <w:rPr>
      <w:rFonts w:ascii="Arial" w:eastAsia="Times New Roman" w:hAnsi="Arial" w:cs="Times New Roman"/>
      <w:b/>
      <w:bCs/>
      <w:spacing w:val="4"/>
      <w:sz w:val="20"/>
      <w:szCs w:val="20"/>
      <w:lang w:eastAsia="en-AU"/>
    </w:rPr>
  </w:style>
  <w:style w:type="paragraph" w:styleId="Revision">
    <w:name w:val="Revision"/>
    <w:hidden/>
    <w:uiPriority w:val="99"/>
    <w:semiHidden/>
    <w:rsid w:val="00594AC6"/>
    <w:pPr>
      <w:spacing w:after="0" w:line="240" w:lineRule="auto"/>
    </w:pPr>
    <w:rPr>
      <w:rFonts w:ascii="Arial" w:eastAsia="Times New Roman" w:hAnsi="Arial" w:cs="Times New Roman"/>
      <w:spacing w:val="4"/>
      <w:sz w:val="24"/>
      <w:szCs w:val="24"/>
      <w:lang w:eastAsia="en-AU"/>
    </w:rPr>
  </w:style>
  <w:style w:type="character" w:styleId="UnresolvedMention">
    <w:name w:val="Unresolved Mention"/>
    <w:basedOn w:val="DefaultParagraphFont"/>
    <w:uiPriority w:val="99"/>
    <w:semiHidden/>
    <w:unhideWhenUsed/>
    <w:rsid w:val="002B5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95508">
      <w:bodyDiv w:val="1"/>
      <w:marLeft w:val="0"/>
      <w:marRight w:val="0"/>
      <w:marTop w:val="0"/>
      <w:marBottom w:val="0"/>
      <w:divBdr>
        <w:top w:val="none" w:sz="0" w:space="0" w:color="auto"/>
        <w:left w:val="none" w:sz="0" w:space="0" w:color="auto"/>
        <w:bottom w:val="none" w:sz="0" w:space="0" w:color="auto"/>
        <w:right w:val="none" w:sz="0" w:space="0" w:color="auto"/>
      </w:divBdr>
      <w:divsChild>
        <w:div w:id="880480627">
          <w:marLeft w:val="0"/>
          <w:marRight w:val="0"/>
          <w:marTop w:val="0"/>
          <w:marBottom w:val="0"/>
          <w:divBdr>
            <w:top w:val="none" w:sz="0" w:space="0" w:color="auto"/>
            <w:left w:val="none" w:sz="0" w:space="0" w:color="auto"/>
            <w:bottom w:val="none" w:sz="0" w:space="0" w:color="auto"/>
            <w:right w:val="none" w:sz="0" w:space="0" w:color="auto"/>
          </w:divBdr>
        </w:div>
        <w:div w:id="1709530320">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93989584">
      <w:bodyDiv w:val="1"/>
      <w:marLeft w:val="0"/>
      <w:marRight w:val="0"/>
      <w:marTop w:val="0"/>
      <w:marBottom w:val="0"/>
      <w:divBdr>
        <w:top w:val="none" w:sz="0" w:space="0" w:color="auto"/>
        <w:left w:val="none" w:sz="0" w:space="0" w:color="auto"/>
        <w:bottom w:val="none" w:sz="0" w:space="0" w:color="auto"/>
        <w:right w:val="none" w:sz="0" w:space="0" w:color="auto"/>
      </w:divBdr>
    </w:div>
    <w:div w:id="1344042820">
      <w:bodyDiv w:val="1"/>
      <w:marLeft w:val="0"/>
      <w:marRight w:val="0"/>
      <w:marTop w:val="0"/>
      <w:marBottom w:val="0"/>
      <w:divBdr>
        <w:top w:val="none" w:sz="0" w:space="0" w:color="auto"/>
        <w:left w:val="none" w:sz="0" w:space="0" w:color="auto"/>
        <w:bottom w:val="none" w:sz="0" w:space="0" w:color="auto"/>
        <w:right w:val="none" w:sz="0" w:space="0" w:color="auto"/>
      </w:divBdr>
    </w:div>
    <w:div w:id="1451169704">
      <w:bodyDiv w:val="1"/>
      <w:marLeft w:val="0"/>
      <w:marRight w:val="0"/>
      <w:marTop w:val="0"/>
      <w:marBottom w:val="0"/>
      <w:divBdr>
        <w:top w:val="none" w:sz="0" w:space="0" w:color="auto"/>
        <w:left w:val="none" w:sz="0" w:space="0" w:color="auto"/>
        <w:bottom w:val="none" w:sz="0" w:space="0" w:color="auto"/>
        <w:right w:val="none" w:sz="0" w:space="0" w:color="auto"/>
      </w:divBdr>
    </w:div>
    <w:div w:id="1609191426">
      <w:bodyDiv w:val="1"/>
      <w:marLeft w:val="0"/>
      <w:marRight w:val="0"/>
      <w:marTop w:val="0"/>
      <w:marBottom w:val="0"/>
      <w:divBdr>
        <w:top w:val="none" w:sz="0" w:space="0" w:color="auto"/>
        <w:left w:val="none" w:sz="0" w:space="0" w:color="auto"/>
        <w:bottom w:val="none" w:sz="0" w:space="0" w:color="auto"/>
        <w:right w:val="none" w:sz="0" w:space="0" w:color="auto"/>
      </w:divBdr>
      <w:divsChild>
        <w:div w:id="1715542310">
          <w:marLeft w:val="0"/>
          <w:marRight w:val="0"/>
          <w:marTop w:val="0"/>
          <w:marBottom w:val="0"/>
          <w:divBdr>
            <w:top w:val="none" w:sz="0" w:space="0" w:color="auto"/>
            <w:left w:val="none" w:sz="0" w:space="0" w:color="auto"/>
            <w:bottom w:val="none" w:sz="0" w:space="0" w:color="auto"/>
            <w:right w:val="none" w:sz="0" w:space="0" w:color="auto"/>
          </w:divBdr>
        </w:div>
        <w:div w:id="1962371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obaccess.gov.au/people-with-disability/eligibilit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Short%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e77425-cf64-429b-a608-e892995b24a3">
      <Terms xmlns="http://schemas.microsoft.com/office/infopath/2007/PartnerControls"/>
    </lcf76f155ced4ddcb4097134ff3c332f>
    <TaxCatchAll xmlns="f75323c8-cf38-4988-9521-6875cc846583" xsi:nil="true"/>
    <SharedWithUsers xmlns="f75323c8-cf38-4988-9521-6875cc846583">
      <UserInfo>
        <DisplayName>PETTEIT, Meagan</DisplayName>
        <AccountId>32</AccountId>
        <AccountType/>
      </UserInfo>
      <UserInfo>
        <DisplayName>RAE, Katie</DisplayName>
        <AccountId>28</AccountId>
        <AccountType/>
      </UserInfo>
      <UserInfo>
        <DisplayName>GALKE, Justin</DisplayName>
        <AccountId>29</AccountId>
        <AccountType/>
      </UserInfo>
      <UserInfo>
        <DisplayName>SCOTT, Adam</DisplayName>
        <AccountId>58</AccountId>
        <AccountType/>
      </UserInfo>
      <UserInfo>
        <DisplayName>MITCHELL, Adam</DisplayName>
        <AccountId>33</AccountId>
        <AccountType/>
      </UserInfo>
      <UserInfo>
        <DisplayName>MARTIN, Elizabeth</DisplayName>
        <AccountId>20</AccountId>
        <AccountType/>
      </UserInfo>
      <UserInfo>
        <DisplayName>KOEHLER, Luke</DisplayName>
        <AccountId>34</AccountId>
        <AccountType/>
      </UserInfo>
      <UserInfo>
        <DisplayName>NEWEY, Louise</DisplayName>
        <AccountId>22</AccountId>
        <AccountType/>
      </UserInfo>
      <UserInfo>
        <DisplayName>VOS, Aidan</DisplayName>
        <AccountId>35</AccountId>
        <AccountType/>
      </UserInfo>
      <UserInfo>
        <DisplayName>HEMSLEY, Matt</DisplayName>
        <AccountId>59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120AC43CBCB14685C7308527FB8940" ma:contentTypeVersion="12" ma:contentTypeDescription="Create a new document." ma:contentTypeScope="" ma:versionID="823bca877d5f22e4c7fe36014c68c842">
  <xsd:schema xmlns:xsd="http://www.w3.org/2001/XMLSchema" xmlns:xs="http://www.w3.org/2001/XMLSchema" xmlns:p="http://schemas.microsoft.com/office/2006/metadata/properties" xmlns:ns2="b9e77425-cf64-429b-a608-e892995b24a3" xmlns:ns3="f75323c8-cf38-4988-9521-6875cc846583" targetNamespace="http://schemas.microsoft.com/office/2006/metadata/properties" ma:root="true" ma:fieldsID="df931077e78d0ab2a0852e8ac2bea86e" ns2:_="" ns3:_="">
    <xsd:import namespace="b9e77425-cf64-429b-a608-e892995b24a3"/>
    <xsd:import namespace="f75323c8-cf38-4988-9521-6875cc84658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77425-cf64-429b-a608-e892995b2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645b856-4cdd-4a87-aa29-9b4c24b6dbf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323c8-cf38-4988-9521-6875cc8465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d363d6b-5fee-49d0-b269-559de3b60eb0}" ma:internalName="TaxCatchAll" ma:showField="CatchAllData" ma:web="f75323c8-cf38-4988-9521-6875cc8465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3E7A4-0E7A-4267-8D24-86199F2D256F}">
  <ds:schemaRefs>
    <ds:schemaRef ds:uri="http://schemas.microsoft.com/office/2006/metadata/properties"/>
    <ds:schemaRef ds:uri="http://schemas.microsoft.com/office/infopath/2007/PartnerControls"/>
    <ds:schemaRef ds:uri="b9e77425-cf64-429b-a608-e892995b24a3"/>
    <ds:schemaRef ds:uri="f75323c8-cf38-4988-9521-6875cc846583"/>
  </ds:schemaRefs>
</ds:datastoreItem>
</file>

<file path=customXml/itemProps2.xml><?xml version="1.0" encoding="utf-8"?>
<ds:datastoreItem xmlns:ds="http://schemas.openxmlformats.org/officeDocument/2006/customXml" ds:itemID="{ABE22FC1-34A9-485F-834D-24D7A27CD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77425-cf64-429b-a608-e892995b24a3"/>
    <ds:schemaRef ds:uri="f75323c8-cf38-4988-9521-6875cc846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97C1D7-9BF8-4459-81BF-F5E5534A2B04}">
  <ds:schemaRefs>
    <ds:schemaRef ds:uri="http://schemas.microsoft.com/sharepoint/v3/contenttype/forms"/>
  </ds:schemaRefs>
</ds:datastoreItem>
</file>

<file path=customXml/itemProps4.xml><?xml version="1.0" encoding="utf-8"?>
<ds:datastoreItem xmlns:ds="http://schemas.openxmlformats.org/officeDocument/2006/customXml" ds:itemID="{DCDFBA63-5A88-4A31-98CB-48ACCA27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Blue</Template>
  <TotalTime>0</TotalTime>
  <Pages>18</Pages>
  <Words>5295</Words>
  <Characters>30767</Characters>
  <Application>Microsoft Office Word</Application>
  <DocSecurity>0</DocSecurity>
  <Lines>580</Lines>
  <Paragraphs>288</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35774</CharactersWithSpaces>
  <SharedDoc>false</SharedDoc>
  <HLinks>
    <vt:vector size="54" baseType="variant">
      <vt:variant>
        <vt:i4>2097192</vt:i4>
      </vt:variant>
      <vt:variant>
        <vt:i4>60</vt:i4>
      </vt:variant>
      <vt:variant>
        <vt:i4>0</vt:i4>
      </vt:variant>
      <vt:variant>
        <vt:i4>5</vt:i4>
      </vt:variant>
      <vt:variant>
        <vt:lpwstr>https://www.jobaccess.gov.au/people-with-disability/eligibility</vt:lpwstr>
      </vt:variant>
      <vt:variant>
        <vt:lpwstr/>
      </vt:variant>
      <vt:variant>
        <vt:i4>1179705</vt:i4>
      </vt:variant>
      <vt:variant>
        <vt:i4>44</vt:i4>
      </vt:variant>
      <vt:variant>
        <vt:i4>0</vt:i4>
      </vt:variant>
      <vt:variant>
        <vt:i4>5</vt:i4>
      </vt:variant>
      <vt:variant>
        <vt:lpwstr/>
      </vt:variant>
      <vt:variant>
        <vt:lpwstr>_Toc160715917</vt:lpwstr>
      </vt:variant>
      <vt:variant>
        <vt:i4>1179705</vt:i4>
      </vt:variant>
      <vt:variant>
        <vt:i4>38</vt:i4>
      </vt:variant>
      <vt:variant>
        <vt:i4>0</vt:i4>
      </vt:variant>
      <vt:variant>
        <vt:i4>5</vt:i4>
      </vt:variant>
      <vt:variant>
        <vt:lpwstr/>
      </vt:variant>
      <vt:variant>
        <vt:lpwstr>_Toc160715916</vt:lpwstr>
      </vt:variant>
      <vt:variant>
        <vt:i4>1179705</vt:i4>
      </vt:variant>
      <vt:variant>
        <vt:i4>32</vt:i4>
      </vt:variant>
      <vt:variant>
        <vt:i4>0</vt:i4>
      </vt:variant>
      <vt:variant>
        <vt:i4>5</vt:i4>
      </vt:variant>
      <vt:variant>
        <vt:lpwstr/>
      </vt:variant>
      <vt:variant>
        <vt:lpwstr>_Toc160715915</vt:lpwstr>
      </vt:variant>
      <vt:variant>
        <vt:i4>1179705</vt:i4>
      </vt:variant>
      <vt:variant>
        <vt:i4>26</vt:i4>
      </vt:variant>
      <vt:variant>
        <vt:i4>0</vt:i4>
      </vt:variant>
      <vt:variant>
        <vt:i4>5</vt:i4>
      </vt:variant>
      <vt:variant>
        <vt:lpwstr/>
      </vt:variant>
      <vt:variant>
        <vt:lpwstr>_Toc160715914</vt:lpwstr>
      </vt:variant>
      <vt:variant>
        <vt:i4>1179705</vt:i4>
      </vt:variant>
      <vt:variant>
        <vt:i4>20</vt:i4>
      </vt:variant>
      <vt:variant>
        <vt:i4>0</vt:i4>
      </vt:variant>
      <vt:variant>
        <vt:i4>5</vt:i4>
      </vt:variant>
      <vt:variant>
        <vt:lpwstr/>
      </vt:variant>
      <vt:variant>
        <vt:lpwstr>_Toc160715913</vt:lpwstr>
      </vt:variant>
      <vt:variant>
        <vt:i4>1179705</vt:i4>
      </vt:variant>
      <vt:variant>
        <vt:i4>14</vt:i4>
      </vt:variant>
      <vt:variant>
        <vt:i4>0</vt:i4>
      </vt:variant>
      <vt:variant>
        <vt:i4>5</vt:i4>
      </vt:variant>
      <vt:variant>
        <vt:lpwstr/>
      </vt:variant>
      <vt:variant>
        <vt:lpwstr>_Toc160715912</vt:lpwstr>
      </vt:variant>
      <vt:variant>
        <vt:i4>1179705</vt:i4>
      </vt:variant>
      <vt:variant>
        <vt:i4>8</vt:i4>
      </vt:variant>
      <vt:variant>
        <vt:i4>0</vt:i4>
      </vt:variant>
      <vt:variant>
        <vt:i4>5</vt:i4>
      </vt:variant>
      <vt:variant>
        <vt:lpwstr/>
      </vt:variant>
      <vt:variant>
        <vt:lpwstr>_Toc160715911</vt:lpwstr>
      </vt:variant>
      <vt:variant>
        <vt:i4>1179705</vt:i4>
      </vt:variant>
      <vt:variant>
        <vt:i4>2</vt:i4>
      </vt:variant>
      <vt:variant>
        <vt:i4>0</vt:i4>
      </vt:variant>
      <vt:variant>
        <vt:i4>5</vt:i4>
      </vt:variant>
      <vt:variant>
        <vt:lpwstr/>
      </vt:variant>
      <vt:variant>
        <vt:lpwstr>_Toc160715910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Reform - Consultation Report May 2024</dc:title>
  <dc:subject/>
  <cp:keywords>[SEC=OFFICIAL]</cp:keywords>
  <cp:lastPrinted>2024-05-07T01:16:00Z</cp:lastPrinted>
  <dcterms:created xsi:type="dcterms:W3CDTF">2024-05-15T23:58:00Z</dcterms:created>
  <dcterms:modified xsi:type="dcterms:W3CDTF">2024-05-15T23:58:00Z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B35541FC083F4CC0B1EE47A99CFA65D2</vt:lpwstr>
  </property>
  <property fmtid="{D5CDD505-2E9C-101B-9397-08002B2CF9AE}" pid="9" name="PM_ProtectiveMarkingValue_Footer">
    <vt:lpwstr>OFFICIAL</vt:lpwstr>
  </property>
  <property fmtid="{D5CDD505-2E9C-101B-9397-08002B2CF9AE}" pid="10" name="PM_Originator_Hash_SHA1">
    <vt:lpwstr>88F723D6B509C17400F30730940E9F59F064223F</vt:lpwstr>
  </property>
  <property fmtid="{D5CDD505-2E9C-101B-9397-08002B2CF9AE}" pid="11" name="PM_OriginationTimeStamp">
    <vt:lpwstr>2024-03-08T07:47:45Z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2022.1</vt:lpwstr>
  </property>
  <property fmtid="{D5CDD505-2E9C-101B-9397-08002B2CF9AE}" pid="20" name="PM_Hash_Salt_Prev">
    <vt:lpwstr>E6B8EBA0FAE0EDE4CAB674584139AA64</vt:lpwstr>
  </property>
  <property fmtid="{D5CDD505-2E9C-101B-9397-08002B2CF9AE}" pid="21" name="PM_Hash_Salt">
    <vt:lpwstr>B6E69928D484516FC5DB54C8894E2933</vt:lpwstr>
  </property>
  <property fmtid="{D5CDD505-2E9C-101B-9397-08002B2CF9AE}" pid="22" name="PM_Hash_SHA1">
    <vt:lpwstr>300DEA0AB0063ED70E87AB69807DCD3FD7A21F35</vt:lpwstr>
  </property>
  <property fmtid="{D5CDD505-2E9C-101B-9397-08002B2CF9AE}" pid="23" name="PM_OriginatorUserAccountName_SHA256">
    <vt:lpwstr>98AFB3836A39207EADDBCE419388C2D8DF90EB0549A90E6614F70F1F87DD1813</vt:lpwstr>
  </property>
  <property fmtid="{D5CDD505-2E9C-101B-9397-08002B2CF9AE}" pid="24" name="PM_OriginatorDomainName_SHA256">
    <vt:lpwstr>E83A2A66C4061446A7E3732E8D44762184B6B377D962B96C83DC624302585857</vt:lpwstr>
  </property>
  <property fmtid="{D5CDD505-2E9C-101B-9397-08002B2CF9AE}" pid="25" name="ContentTypeId">
    <vt:lpwstr>0x010100CC120AC43CBCB14685C7308527FB8940</vt:lpwstr>
  </property>
  <property fmtid="{D5CDD505-2E9C-101B-9397-08002B2CF9AE}" pid="26" name="MediaServiceImageTags">
    <vt:lpwstr/>
  </property>
  <property fmtid="{D5CDD505-2E9C-101B-9397-08002B2CF9AE}" pid="27" name="PM_SecurityClassification_Prev">
    <vt:lpwstr>OFFICIAL</vt:lpwstr>
  </property>
  <property fmtid="{D5CDD505-2E9C-101B-9397-08002B2CF9AE}" pid="28" name="PM_Qualifier_Prev">
    <vt:lpwstr/>
  </property>
  <property fmtid="{D5CDD505-2E9C-101B-9397-08002B2CF9AE}" pid="29" name="MSIP_Label_eb34d90b-fc41-464d-af60-f74d721d0790_Enabled">
    <vt:lpwstr>true</vt:lpwstr>
  </property>
  <property fmtid="{D5CDD505-2E9C-101B-9397-08002B2CF9AE}" pid="30" name="MSIP_Label_eb34d90b-fc41-464d-af60-f74d721d0790_SetDate">
    <vt:lpwstr>2024-03-08T07:47:45Z</vt:lpwstr>
  </property>
  <property fmtid="{D5CDD505-2E9C-101B-9397-08002B2CF9AE}" pid="31" name="MSIP_Label_eb34d90b-fc41-464d-af60-f74d721d0790_Method">
    <vt:lpwstr>Privileged</vt:lpwstr>
  </property>
  <property fmtid="{D5CDD505-2E9C-101B-9397-08002B2CF9AE}" pid="32" name="MSIP_Label_eb34d90b-fc41-464d-af60-f74d721d0790_Name">
    <vt:lpwstr>OFFICIAL</vt:lpwstr>
  </property>
  <property fmtid="{D5CDD505-2E9C-101B-9397-08002B2CF9AE}" pid="33" name="MSIP_Label_eb34d90b-fc41-464d-af60-f74d721d0790_SiteId">
    <vt:lpwstr>61e36dd1-ca6e-4d61-aa0a-2b4eb88317a3</vt:lpwstr>
  </property>
  <property fmtid="{D5CDD505-2E9C-101B-9397-08002B2CF9AE}" pid="34" name="MSIP_Label_eb34d90b-fc41-464d-af60-f74d721d0790_ActionId">
    <vt:lpwstr>2115334bb7c1434b8b63b4a126d26aaf</vt:lpwstr>
  </property>
  <property fmtid="{D5CDD505-2E9C-101B-9397-08002B2CF9AE}" pid="35" name="MSIP_Label_eb34d90b-fc41-464d-af60-f74d721d0790_ContentBits">
    <vt:lpwstr>0</vt:lpwstr>
  </property>
  <property fmtid="{D5CDD505-2E9C-101B-9397-08002B2CF9AE}" pid="36" name="PMHMAC">
    <vt:lpwstr>v=2022.1;a=SHA256;h=FA74076C1038143922A2712189C96612463978A3449E50D9A08AB25FD6E030C4</vt:lpwstr>
  </property>
  <property fmtid="{D5CDD505-2E9C-101B-9397-08002B2CF9AE}" pid="37" name="PMUuid">
    <vt:lpwstr>v=2022.2;d=gov.au;g=46DD6D7C-8107-577B-BC6E-F348953B2E44</vt:lpwstr>
  </property>
</Properties>
</file>