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85C7D" w14:textId="77777777" w:rsidR="009917EB" w:rsidRDefault="00096434" w:rsidP="00E250A5">
      <w:pPr>
        <w:pStyle w:val="Title"/>
        <w:rPr>
          <w:rFonts w:asciiTheme="minorHAnsi" w:hAnsiTheme="minorHAnsi"/>
        </w:rPr>
      </w:pPr>
      <w:bookmarkStart w:id="0" w:name="_Toc142718988"/>
      <w:r w:rsidRPr="00C96D9B">
        <w:rPr>
          <w:rFonts w:asciiTheme="minorHAnsi" w:hAnsiTheme="minorHAnsi"/>
        </w:rPr>
        <w:t xml:space="preserve">Centrepay </w:t>
      </w:r>
      <w:r w:rsidR="009917EB">
        <w:rPr>
          <w:rFonts w:asciiTheme="minorHAnsi" w:hAnsiTheme="minorHAnsi"/>
        </w:rPr>
        <w:t>Reform</w:t>
      </w:r>
    </w:p>
    <w:p w14:paraId="6493458C" w14:textId="289BE9B6" w:rsidR="00B228FD" w:rsidRPr="00C96D9B" w:rsidRDefault="00096434" w:rsidP="00E250A5">
      <w:pPr>
        <w:pStyle w:val="Title"/>
        <w:rPr>
          <w:rFonts w:asciiTheme="minorHAnsi" w:hAnsiTheme="minorHAnsi"/>
        </w:rPr>
      </w:pPr>
      <w:r w:rsidRPr="00C96D9B">
        <w:rPr>
          <w:rFonts w:asciiTheme="minorHAnsi" w:hAnsiTheme="minorHAnsi"/>
        </w:rPr>
        <w:t>Discussion Paper</w:t>
      </w:r>
    </w:p>
    <w:p w14:paraId="2C97F1D5" w14:textId="6932D84D" w:rsidR="00311B9F" w:rsidRPr="00C96D9B" w:rsidRDefault="001B5591" w:rsidP="00E250A5">
      <w:pPr>
        <w:pStyle w:val="Date"/>
        <w:rPr>
          <w:rFonts w:asciiTheme="minorHAnsi" w:hAnsiTheme="minorHAnsi"/>
        </w:rPr>
      </w:pPr>
      <w:r>
        <w:rPr>
          <w:rFonts w:asciiTheme="minorHAnsi" w:hAnsiTheme="minorHAnsi"/>
        </w:rPr>
        <w:t>May</w:t>
      </w:r>
      <w:r w:rsidR="00B6657B">
        <w:rPr>
          <w:rFonts w:asciiTheme="minorHAnsi" w:hAnsiTheme="minorHAnsi"/>
        </w:rPr>
        <w:t xml:space="preserve"> 2024</w:t>
      </w:r>
    </w:p>
    <w:p w14:paraId="5C253D9D" w14:textId="77777777" w:rsidR="00071D2C" w:rsidRPr="00C96D9B" w:rsidRDefault="00071D2C" w:rsidP="00E250A5">
      <w:pPr>
        <w:pStyle w:val="BodyText"/>
      </w:pPr>
    </w:p>
    <w:p w14:paraId="1BB98F16" w14:textId="77777777" w:rsidR="00D54BDA" w:rsidRPr="00C96D9B" w:rsidRDefault="00D54BDA" w:rsidP="00E250A5">
      <w:pPr>
        <w:pStyle w:val="BodyText"/>
      </w:pPr>
    </w:p>
    <w:p w14:paraId="38B2EF19" w14:textId="7953E9F2" w:rsidR="00D54BDA" w:rsidRPr="00C96D9B" w:rsidRDefault="003D6FA5" w:rsidP="00E250A5">
      <w:pPr>
        <w:pStyle w:val="BodyText"/>
        <w:sectPr w:rsidR="00D54BDA" w:rsidRPr="00C96D9B" w:rsidSect="00460B3E">
          <w:headerReference w:type="default" r:id="rId11"/>
          <w:footerReference w:type="default" r:id="rId12"/>
          <w:headerReference w:type="first" r:id="rId13"/>
          <w:footerReference w:type="first" r:id="rId14"/>
          <w:pgSz w:w="11906" w:h="16838" w:code="9"/>
          <w:pgMar w:top="1321" w:right="964" w:bottom="1134" w:left="964" w:header="284" w:footer="510" w:gutter="0"/>
          <w:cols w:space="708"/>
          <w:titlePg/>
          <w:docGrid w:linePitch="360"/>
        </w:sectPr>
      </w:pPr>
      <w:r w:rsidRPr="00C96D9B">
        <w:rPr>
          <w:noProof/>
          <w:color w:val="2B579A"/>
          <w:shd w:val="clear" w:color="auto" w:fill="E6E6E6"/>
        </w:rPr>
        <mc:AlternateContent>
          <mc:Choice Requires="wps">
            <w:drawing>
              <wp:anchor distT="45720" distB="45720" distL="114300" distR="114300" simplePos="0" relativeHeight="251659264" behindDoc="0" locked="0" layoutInCell="1" allowOverlap="1" wp14:anchorId="5D7B09FB" wp14:editId="2342D7F6">
                <wp:simplePos x="0" y="0"/>
                <wp:positionH relativeFrom="page">
                  <wp:posOffset>0</wp:posOffset>
                </wp:positionH>
                <wp:positionV relativeFrom="paragraph">
                  <wp:posOffset>4728210</wp:posOffset>
                </wp:positionV>
                <wp:extent cx="3283585" cy="371475"/>
                <wp:effectExtent l="0" t="0" r="6350" b="952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371475"/>
                        </a:xfrm>
                        <a:prstGeom prst="rect">
                          <a:avLst/>
                        </a:prstGeom>
                        <a:solidFill>
                          <a:schemeClr val="accent3"/>
                        </a:solidFill>
                        <a:ln w="9525">
                          <a:noFill/>
                          <a:miter lim="800000"/>
                          <a:headEnd/>
                          <a:tailEnd/>
                        </a:ln>
                      </wps:spPr>
                      <wps:txbx>
                        <w:txbxContent>
                          <w:p w14:paraId="182D8A22" w14:textId="4A02D9A4" w:rsidR="00D54BDA" w:rsidRDefault="00096434" w:rsidP="00E250A5">
                            <w:r>
                              <w:t xml:space="preserve">CENTREPAY </w:t>
                            </w:r>
                            <w:r w:rsidR="00582458">
                              <w:t xml:space="preserve">PROGRAM &amp; </w:t>
                            </w:r>
                            <w:r w:rsidR="00B6657B">
                              <w:t xml:space="preserve">MDT </w:t>
                            </w:r>
                            <w:r>
                              <w:t>BRANCH | WORKING AGE AND PENSION PROGRAMS DIVISION</w:t>
                            </w:r>
                          </w:p>
                        </w:txbxContent>
                      </wps:txbx>
                      <wps:bodyPr rot="0" vert="horz" wrap="none" lIns="720000" tIns="36000" rIns="21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7B09FB" id="_x0000_t202" coordsize="21600,21600" o:spt="202" path="m,l,21600r21600,l21600,xe">
                <v:stroke joinstyle="miter"/>
                <v:path gradientshapeok="t" o:connecttype="rect"/>
              </v:shapetype>
              <v:shape id="Text Box 2" o:spid="_x0000_s1026" type="#_x0000_t202" alt="&quot;&quot;" style="position:absolute;margin-left:0;margin-top:372.3pt;width:258.55pt;height:29.25pt;z-index:251659264;visibility:visible;mso-wrap-style:non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" fillcolor="#ff8674 [3206]" stroked="f">
                <v:textbox inset="20mm,1mm,6mm,1mm">
                  <w:txbxContent>
                    <w:p w14:paraId="182D8A22" w14:textId="4A02D9A4" w:rsidR="00D54BDA" w:rsidRDefault="00096434" w:rsidP="00E250A5">
                      <w:r>
                        <w:t xml:space="preserve">CENTREPAY </w:t>
                      </w:r>
                      <w:r w:rsidR="00582458">
                        <w:t xml:space="preserve">PROGRAM &amp; </w:t>
                      </w:r>
                      <w:r w:rsidR="00B6657B">
                        <w:t xml:space="preserve">MDT </w:t>
                      </w:r>
                      <w:r>
                        <w:t>BRANCH | WORKING AGE AND PENSION PROGRAMS DIVISION</w:t>
                      </w:r>
                    </w:p>
                  </w:txbxContent>
                </v:textbox>
                <w10:wrap type="square" anchorx="page"/>
              </v:shape>
            </w:pict>
          </mc:Fallback>
        </mc:AlternateContent>
      </w:r>
    </w:p>
    <w:bookmarkEnd w:id="0" w:displacedByCustomXml="next"/>
    <w:sdt>
      <w:sdtPr>
        <w:rPr>
          <w:rFonts w:asciiTheme="minorHAnsi" w:eastAsia="Times New Roman" w:hAnsiTheme="minorHAnsi" w:cs="Times New Roman"/>
          <w:b w:val="0"/>
          <w:caps/>
          <w:color w:val="auto"/>
          <w:sz w:val="24"/>
          <w:szCs w:val="24"/>
          <w:shd w:val="clear" w:color="auto" w:fill="E6E6E6"/>
          <w:lang w:val="en-AU" w:eastAsia="en-AU"/>
        </w:rPr>
        <w:id w:val="-192460845"/>
        <w:docPartObj>
          <w:docPartGallery w:val="Table of Contents"/>
          <w:docPartUnique/>
        </w:docPartObj>
      </w:sdtPr>
      <w:sdtEndPr>
        <w:rPr>
          <w:rFonts w:cs="Arial"/>
          <w:caps w:val="0"/>
          <w:noProof/>
          <w:sz w:val="20"/>
          <w:szCs w:val="20"/>
          <w:lang w:eastAsia="en-US"/>
        </w:rPr>
      </w:sdtEndPr>
      <w:sdtContent>
        <w:p w14:paraId="438B5D16" w14:textId="77777777" w:rsidR="00437E65" w:rsidRPr="00C96D9B" w:rsidRDefault="00437E65" w:rsidP="00E250A5">
          <w:pPr>
            <w:pStyle w:val="TOCHeading"/>
            <w:rPr>
              <w:rFonts w:asciiTheme="minorHAnsi" w:hAnsiTheme="minorHAnsi"/>
            </w:rPr>
          </w:pPr>
          <w:r w:rsidRPr="00C96D9B">
            <w:rPr>
              <w:rFonts w:asciiTheme="minorHAnsi" w:hAnsiTheme="minorHAnsi"/>
            </w:rPr>
            <w:t>C</w:t>
          </w:r>
          <w:r w:rsidR="00216A32" w:rsidRPr="00C96D9B">
            <w:rPr>
              <w:rFonts w:asciiTheme="minorHAnsi" w:hAnsiTheme="minorHAnsi"/>
            </w:rPr>
            <w:t>ontents</w:t>
          </w:r>
        </w:p>
        <w:p w14:paraId="1CD41F0D" w14:textId="2B9BC68D" w:rsidR="00513C13" w:rsidRDefault="00A27C47">
          <w:pPr>
            <w:pStyle w:val="TOC1"/>
            <w:rPr>
              <w:rFonts w:eastAsiaTheme="minorEastAsia" w:cstheme="minorBidi"/>
              <w:b w:val="0"/>
              <w:kern w:val="2"/>
              <w:lang w:eastAsia="en-AU"/>
              <w14:ligatures w14:val="standardContextual"/>
            </w:rPr>
          </w:pPr>
          <w:r>
            <w:rPr>
              <w:rFonts w:ascii="Arial" w:hAnsi="Arial"/>
              <w:color w:val="2B579A"/>
              <w:shd w:val="clear" w:color="auto" w:fill="E6E6E6"/>
            </w:rPr>
            <w:fldChar w:fldCharType="begin"/>
          </w:r>
          <w:r>
            <w:rPr>
              <w:rFonts w:ascii="Arial" w:hAnsi="Arial"/>
            </w:rPr>
            <w:instrText xml:space="preserve"> TOC \o "1-2" \h \z \u </w:instrText>
          </w:r>
          <w:r>
            <w:rPr>
              <w:rFonts w:ascii="Arial" w:hAnsi="Arial"/>
              <w:color w:val="2B579A"/>
              <w:shd w:val="clear" w:color="auto" w:fill="E6E6E6"/>
            </w:rPr>
            <w:fldChar w:fldCharType="separate"/>
          </w:r>
          <w:hyperlink w:anchor="_Toc164256431" w:history="1">
            <w:r w:rsidR="00513C13" w:rsidRPr="00FF3656">
              <w:rPr>
                <w:rStyle w:val="Hyperlink"/>
              </w:rPr>
              <w:t>1. Introduction</w:t>
            </w:r>
            <w:r w:rsidR="00513C13">
              <w:rPr>
                <w:webHidden/>
              </w:rPr>
              <w:tab/>
            </w:r>
            <w:r w:rsidR="00513C13">
              <w:rPr>
                <w:webHidden/>
              </w:rPr>
              <w:fldChar w:fldCharType="begin"/>
            </w:r>
            <w:r w:rsidR="00513C13">
              <w:rPr>
                <w:webHidden/>
              </w:rPr>
              <w:instrText xml:space="preserve"> PAGEREF _Toc164256431 \h </w:instrText>
            </w:r>
            <w:r w:rsidR="00513C13">
              <w:rPr>
                <w:webHidden/>
              </w:rPr>
            </w:r>
            <w:r w:rsidR="00513C13">
              <w:rPr>
                <w:webHidden/>
              </w:rPr>
              <w:fldChar w:fldCharType="separate"/>
            </w:r>
            <w:r w:rsidR="000F1920">
              <w:rPr>
                <w:webHidden/>
              </w:rPr>
              <w:t>3</w:t>
            </w:r>
            <w:r w:rsidR="00513C13">
              <w:rPr>
                <w:webHidden/>
              </w:rPr>
              <w:fldChar w:fldCharType="end"/>
            </w:r>
          </w:hyperlink>
        </w:p>
        <w:p w14:paraId="10B808F9" w14:textId="6F540236" w:rsidR="00513C13" w:rsidRDefault="00571E2E">
          <w:pPr>
            <w:pStyle w:val="TOC2"/>
            <w:rPr>
              <w:rFonts w:asciiTheme="minorHAnsi" w:eastAsiaTheme="minorEastAsia" w:hAnsiTheme="minorHAnsi" w:cstheme="minorBidi"/>
              <w:kern w:val="2"/>
              <w:lang w:eastAsia="en-AU"/>
              <w14:ligatures w14:val="standardContextual"/>
            </w:rPr>
          </w:pPr>
          <w:hyperlink w:anchor="_Toc164256432" w:history="1">
            <w:r w:rsidR="00513C13" w:rsidRPr="00FF3656">
              <w:rPr>
                <w:rStyle w:val="Hyperlink"/>
              </w:rPr>
              <w:t>1.1 What is Centrepay?</w:t>
            </w:r>
            <w:r w:rsidR="00513C13">
              <w:rPr>
                <w:webHidden/>
              </w:rPr>
              <w:tab/>
            </w:r>
            <w:r w:rsidR="00513C13">
              <w:rPr>
                <w:webHidden/>
              </w:rPr>
              <w:fldChar w:fldCharType="begin"/>
            </w:r>
            <w:r w:rsidR="00513C13">
              <w:rPr>
                <w:webHidden/>
              </w:rPr>
              <w:instrText xml:space="preserve"> PAGEREF _Toc164256432 \h </w:instrText>
            </w:r>
            <w:r w:rsidR="00513C13">
              <w:rPr>
                <w:webHidden/>
              </w:rPr>
            </w:r>
            <w:r w:rsidR="00513C13">
              <w:rPr>
                <w:webHidden/>
              </w:rPr>
              <w:fldChar w:fldCharType="separate"/>
            </w:r>
            <w:r w:rsidR="000F1920">
              <w:rPr>
                <w:webHidden/>
              </w:rPr>
              <w:t>3</w:t>
            </w:r>
            <w:r w:rsidR="00513C13">
              <w:rPr>
                <w:webHidden/>
              </w:rPr>
              <w:fldChar w:fldCharType="end"/>
            </w:r>
          </w:hyperlink>
        </w:p>
        <w:p w14:paraId="7F3CE45D" w14:textId="7E2E085D" w:rsidR="00513C13" w:rsidRDefault="00571E2E">
          <w:pPr>
            <w:pStyle w:val="TOC2"/>
            <w:rPr>
              <w:rFonts w:asciiTheme="minorHAnsi" w:eastAsiaTheme="minorEastAsia" w:hAnsiTheme="minorHAnsi" w:cstheme="minorBidi"/>
              <w:kern w:val="2"/>
              <w:lang w:eastAsia="en-AU"/>
              <w14:ligatures w14:val="standardContextual"/>
            </w:rPr>
          </w:pPr>
          <w:hyperlink w:anchor="_Toc164256433" w:history="1">
            <w:r w:rsidR="00513C13" w:rsidRPr="00FF3656">
              <w:rPr>
                <w:rStyle w:val="Hyperlink"/>
              </w:rPr>
              <w:t>1.2 Centrepay Reform</w:t>
            </w:r>
            <w:r w:rsidR="00513C13">
              <w:rPr>
                <w:webHidden/>
              </w:rPr>
              <w:tab/>
            </w:r>
            <w:r w:rsidR="00513C13">
              <w:rPr>
                <w:webHidden/>
              </w:rPr>
              <w:fldChar w:fldCharType="begin"/>
            </w:r>
            <w:r w:rsidR="00513C13">
              <w:rPr>
                <w:webHidden/>
              </w:rPr>
              <w:instrText xml:space="preserve"> PAGEREF _Toc164256433 \h </w:instrText>
            </w:r>
            <w:r w:rsidR="00513C13">
              <w:rPr>
                <w:webHidden/>
              </w:rPr>
            </w:r>
            <w:r w:rsidR="00513C13">
              <w:rPr>
                <w:webHidden/>
              </w:rPr>
              <w:fldChar w:fldCharType="separate"/>
            </w:r>
            <w:r w:rsidR="000F1920">
              <w:rPr>
                <w:webHidden/>
              </w:rPr>
              <w:t>3</w:t>
            </w:r>
            <w:r w:rsidR="00513C13">
              <w:rPr>
                <w:webHidden/>
              </w:rPr>
              <w:fldChar w:fldCharType="end"/>
            </w:r>
          </w:hyperlink>
        </w:p>
        <w:p w14:paraId="5E11AE8E" w14:textId="7700D36B" w:rsidR="00513C13" w:rsidRDefault="00571E2E">
          <w:pPr>
            <w:pStyle w:val="TOC2"/>
            <w:rPr>
              <w:rFonts w:asciiTheme="minorHAnsi" w:eastAsiaTheme="minorEastAsia" w:hAnsiTheme="minorHAnsi" w:cstheme="minorBidi"/>
              <w:kern w:val="2"/>
              <w:lang w:eastAsia="en-AU"/>
              <w14:ligatures w14:val="standardContextual"/>
            </w:rPr>
          </w:pPr>
          <w:hyperlink w:anchor="_Toc164256434" w:history="1">
            <w:r w:rsidR="00513C13" w:rsidRPr="00FF3656">
              <w:rPr>
                <w:rStyle w:val="Hyperlink"/>
              </w:rPr>
              <w:t>1.3 Discussion Paper</w:t>
            </w:r>
            <w:r w:rsidR="00513C13">
              <w:rPr>
                <w:webHidden/>
              </w:rPr>
              <w:tab/>
            </w:r>
            <w:r w:rsidR="00513C13">
              <w:rPr>
                <w:webHidden/>
              </w:rPr>
              <w:fldChar w:fldCharType="begin"/>
            </w:r>
            <w:r w:rsidR="00513C13">
              <w:rPr>
                <w:webHidden/>
              </w:rPr>
              <w:instrText xml:space="preserve"> PAGEREF _Toc164256434 \h </w:instrText>
            </w:r>
            <w:r w:rsidR="00513C13">
              <w:rPr>
                <w:webHidden/>
              </w:rPr>
            </w:r>
            <w:r w:rsidR="00513C13">
              <w:rPr>
                <w:webHidden/>
              </w:rPr>
              <w:fldChar w:fldCharType="separate"/>
            </w:r>
            <w:r w:rsidR="000F1920">
              <w:rPr>
                <w:webHidden/>
              </w:rPr>
              <w:t>3</w:t>
            </w:r>
            <w:r w:rsidR="00513C13">
              <w:rPr>
                <w:webHidden/>
              </w:rPr>
              <w:fldChar w:fldCharType="end"/>
            </w:r>
          </w:hyperlink>
        </w:p>
        <w:p w14:paraId="676277A4" w14:textId="3C0B3E7A" w:rsidR="00513C13" w:rsidRDefault="00571E2E">
          <w:pPr>
            <w:pStyle w:val="TOC2"/>
            <w:rPr>
              <w:rFonts w:asciiTheme="minorHAnsi" w:eastAsiaTheme="minorEastAsia" w:hAnsiTheme="minorHAnsi" w:cstheme="minorBidi"/>
              <w:kern w:val="2"/>
              <w:lang w:eastAsia="en-AU"/>
              <w14:ligatures w14:val="standardContextual"/>
            </w:rPr>
          </w:pPr>
          <w:hyperlink w:anchor="_Toc164256435" w:history="1">
            <w:r w:rsidR="00513C13" w:rsidRPr="00FF3656">
              <w:rPr>
                <w:rStyle w:val="Hyperlink"/>
              </w:rPr>
              <w:t>1.4 Your feedback</w:t>
            </w:r>
            <w:r w:rsidR="00513C13">
              <w:rPr>
                <w:webHidden/>
              </w:rPr>
              <w:tab/>
            </w:r>
            <w:r w:rsidR="00513C13">
              <w:rPr>
                <w:webHidden/>
              </w:rPr>
              <w:fldChar w:fldCharType="begin"/>
            </w:r>
            <w:r w:rsidR="00513C13">
              <w:rPr>
                <w:webHidden/>
              </w:rPr>
              <w:instrText xml:space="preserve"> PAGEREF _Toc164256435 \h </w:instrText>
            </w:r>
            <w:r w:rsidR="00513C13">
              <w:rPr>
                <w:webHidden/>
              </w:rPr>
            </w:r>
            <w:r w:rsidR="00513C13">
              <w:rPr>
                <w:webHidden/>
              </w:rPr>
              <w:fldChar w:fldCharType="separate"/>
            </w:r>
            <w:r w:rsidR="000F1920">
              <w:rPr>
                <w:webHidden/>
              </w:rPr>
              <w:t>4</w:t>
            </w:r>
            <w:r w:rsidR="00513C13">
              <w:rPr>
                <w:webHidden/>
              </w:rPr>
              <w:fldChar w:fldCharType="end"/>
            </w:r>
          </w:hyperlink>
        </w:p>
        <w:p w14:paraId="4794CAA9" w14:textId="44FA21BE" w:rsidR="00513C13" w:rsidRDefault="00571E2E">
          <w:pPr>
            <w:pStyle w:val="TOC1"/>
            <w:rPr>
              <w:rFonts w:eastAsiaTheme="minorEastAsia" w:cstheme="minorBidi"/>
              <w:b w:val="0"/>
              <w:kern w:val="2"/>
              <w:lang w:eastAsia="en-AU"/>
              <w14:ligatures w14:val="standardContextual"/>
            </w:rPr>
          </w:pPr>
          <w:hyperlink w:anchor="_Toc164256436" w:history="1">
            <w:r w:rsidR="00513C13" w:rsidRPr="00FF3656">
              <w:rPr>
                <w:rStyle w:val="Hyperlink"/>
              </w:rPr>
              <w:t>2. Policy Intent</w:t>
            </w:r>
            <w:r w:rsidR="00513C13">
              <w:rPr>
                <w:webHidden/>
              </w:rPr>
              <w:tab/>
            </w:r>
            <w:r w:rsidR="00513C13">
              <w:rPr>
                <w:webHidden/>
              </w:rPr>
              <w:fldChar w:fldCharType="begin"/>
            </w:r>
            <w:r w:rsidR="00513C13">
              <w:rPr>
                <w:webHidden/>
              </w:rPr>
              <w:instrText xml:space="preserve"> PAGEREF _Toc164256436 \h </w:instrText>
            </w:r>
            <w:r w:rsidR="00513C13">
              <w:rPr>
                <w:webHidden/>
              </w:rPr>
            </w:r>
            <w:r w:rsidR="00513C13">
              <w:rPr>
                <w:webHidden/>
              </w:rPr>
              <w:fldChar w:fldCharType="separate"/>
            </w:r>
            <w:r w:rsidR="000F1920">
              <w:rPr>
                <w:webHidden/>
              </w:rPr>
              <w:t>5</w:t>
            </w:r>
            <w:r w:rsidR="00513C13">
              <w:rPr>
                <w:webHidden/>
              </w:rPr>
              <w:fldChar w:fldCharType="end"/>
            </w:r>
          </w:hyperlink>
        </w:p>
        <w:p w14:paraId="322F8771" w14:textId="0E4E5540" w:rsidR="00513C13" w:rsidRDefault="00571E2E">
          <w:pPr>
            <w:pStyle w:val="TOC2"/>
            <w:rPr>
              <w:rFonts w:asciiTheme="minorHAnsi" w:eastAsiaTheme="minorEastAsia" w:hAnsiTheme="minorHAnsi" w:cstheme="minorBidi"/>
              <w:kern w:val="2"/>
              <w:lang w:eastAsia="en-AU"/>
              <w14:ligatures w14:val="standardContextual"/>
            </w:rPr>
          </w:pPr>
          <w:hyperlink w:anchor="_Toc164256437" w:history="1">
            <w:r w:rsidR="00513C13" w:rsidRPr="00FF3656">
              <w:rPr>
                <w:rStyle w:val="Hyperlink"/>
                <w:rFonts w:eastAsia="Calibri"/>
              </w:rPr>
              <w:t>2.1 Centrepay Objective</w:t>
            </w:r>
            <w:r w:rsidR="00513C13">
              <w:rPr>
                <w:webHidden/>
              </w:rPr>
              <w:tab/>
            </w:r>
            <w:r w:rsidR="00513C13">
              <w:rPr>
                <w:webHidden/>
              </w:rPr>
              <w:fldChar w:fldCharType="begin"/>
            </w:r>
            <w:r w:rsidR="00513C13">
              <w:rPr>
                <w:webHidden/>
              </w:rPr>
              <w:instrText xml:space="preserve"> PAGEREF _Toc164256437 \h </w:instrText>
            </w:r>
            <w:r w:rsidR="00513C13">
              <w:rPr>
                <w:webHidden/>
              </w:rPr>
            </w:r>
            <w:r w:rsidR="00513C13">
              <w:rPr>
                <w:webHidden/>
              </w:rPr>
              <w:fldChar w:fldCharType="separate"/>
            </w:r>
            <w:r w:rsidR="000F1920">
              <w:rPr>
                <w:webHidden/>
              </w:rPr>
              <w:t>5</w:t>
            </w:r>
            <w:r w:rsidR="00513C13">
              <w:rPr>
                <w:webHidden/>
              </w:rPr>
              <w:fldChar w:fldCharType="end"/>
            </w:r>
          </w:hyperlink>
        </w:p>
        <w:p w14:paraId="646BCFEB" w14:textId="3FF4A869" w:rsidR="00513C13" w:rsidRDefault="00571E2E">
          <w:pPr>
            <w:pStyle w:val="TOC2"/>
            <w:rPr>
              <w:rFonts w:asciiTheme="minorHAnsi" w:eastAsiaTheme="minorEastAsia" w:hAnsiTheme="minorHAnsi" w:cstheme="minorBidi"/>
              <w:kern w:val="2"/>
              <w:lang w:eastAsia="en-AU"/>
              <w14:ligatures w14:val="standardContextual"/>
            </w:rPr>
          </w:pPr>
          <w:hyperlink w:anchor="_Toc164256438" w:history="1">
            <w:r w:rsidR="00513C13" w:rsidRPr="00FF3656">
              <w:rPr>
                <w:rStyle w:val="Hyperlink"/>
              </w:rPr>
              <w:t>2.2 Approved Goods and Services</w:t>
            </w:r>
            <w:r w:rsidR="00513C13">
              <w:rPr>
                <w:webHidden/>
              </w:rPr>
              <w:tab/>
            </w:r>
            <w:r w:rsidR="00513C13">
              <w:rPr>
                <w:webHidden/>
              </w:rPr>
              <w:fldChar w:fldCharType="begin"/>
            </w:r>
            <w:r w:rsidR="00513C13">
              <w:rPr>
                <w:webHidden/>
              </w:rPr>
              <w:instrText xml:space="preserve"> PAGEREF _Toc164256438 \h </w:instrText>
            </w:r>
            <w:r w:rsidR="00513C13">
              <w:rPr>
                <w:webHidden/>
              </w:rPr>
            </w:r>
            <w:r w:rsidR="00513C13">
              <w:rPr>
                <w:webHidden/>
              </w:rPr>
              <w:fldChar w:fldCharType="separate"/>
            </w:r>
            <w:r w:rsidR="000F1920">
              <w:rPr>
                <w:webHidden/>
              </w:rPr>
              <w:t>6</w:t>
            </w:r>
            <w:r w:rsidR="00513C13">
              <w:rPr>
                <w:webHidden/>
              </w:rPr>
              <w:fldChar w:fldCharType="end"/>
            </w:r>
          </w:hyperlink>
        </w:p>
        <w:p w14:paraId="17144A5B" w14:textId="6148A46D" w:rsidR="00513C13" w:rsidRDefault="00571E2E">
          <w:pPr>
            <w:pStyle w:val="TOC2"/>
            <w:rPr>
              <w:rFonts w:asciiTheme="minorHAnsi" w:eastAsiaTheme="minorEastAsia" w:hAnsiTheme="minorHAnsi" w:cstheme="minorBidi"/>
              <w:kern w:val="2"/>
              <w:lang w:eastAsia="en-AU"/>
              <w14:ligatures w14:val="standardContextual"/>
            </w:rPr>
          </w:pPr>
          <w:hyperlink w:anchor="_Toc164256439" w:history="1">
            <w:r w:rsidR="00513C13" w:rsidRPr="00FF3656">
              <w:rPr>
                <w:rStyle w:val="Hyperlink"/>
                <w:rFonts w:eastAsia="Calibri"/>
              </w:rPr>
              <w:t>2.3 Deduction Arrangements</w:t>
            </w:r>
            <w:r w:rsidR="00513C13">
              <w:rPr>
                <w:webHidden/>
              </w:rPr>
              <w:tab/>
            </w:r>
            <w:r w:rsidR="00513C13">
              <w:rPr>
                <w:webHidden/>
              </w:rPr>
              <w:fldChar w:fldCharType="begin"/>
            </w:r>
            <w:r w:rsidR="00513C13">
              <w:rPr>
                <w:webHidden/>
              </w:rPr>
              <w:instrText xml:space="preserve"> PAGEREF _Toc164256439 \h </w:instrText>
            </w:r>
            <w:r w:rsidR="00513C13">
              <w:rPr>
                <w:webHidden/>
              </w:rPr>
            </w:r>
            <w:r w:rsidR="00513C13">
              <w:rPr>
                <w:webHidden/>
              </w:rPr>
              <w:fldChar w:fldCharType="separate"/>
            </w:r>
            <w:r w:rsidR="000F1920">
              <w:rPr>
                <w:webHidden/>
              </w:rPr>
              <w:t>7</w:t>
            </w:r>
            <w:r w:rsidR="00513C13">
              <w:rPr>
                <w:webHidden/>
              </w:rPr>
              <w:fldChar w:fldCharType="end"/>
            </w:r>
          </w:hyperlink>
        </w:p>
        <w:p w14:paraId="007552B0" w14:textId="29A327CA" w:rsidR="00513C13" w:rsidRDefault="00571E2E">
          <w:pPr>
            <w:pStyle w:val="TOC1"/>
            <w:rPr>
              <w:rFonts w:eastAsiaTheme="minorEastAsia" w:cstheme="minorBidi"/>
              <w:b w:val="0"/>
              <w:kern w:val="2"/>
              <w:lang w:eastAsia="en-AU"/>
              <w14:ligatures w14:val="standardContextual"/>
            </w:rPr>
          </w:pPr>
          <w:hyperlink w:anchor="_Toc164256440" w:history="1">
            <w:r w:rsidR="00513C13" w:rsidRPr="00FF3656">
              <w:rPr>
                <w:rStyle w:val="Hyperlink"/>
              </w:rPr>
              <w:t>3. Customer Experience</w:t>
            </w:r>
            <w:r w:rsidR="00513C13">
              <w:rPr>
                <w:webHidden/>
              </w:rPr>
              <w:tab/>
            </w:r>
            <w:r w:rsidR="00513C13">
              <w:rPr>
                <w:webHidden/>
              </w:rPr>
              <w:fldChar w:fldCharType="begin"/>
            </w:r>
            <w:r w:rsidR="00513C13">
              <w:rPr>
                <w:webHidden/>
              </w:rPr>
              <w:instrText xml:space="preserve"> PAGEREF _Toc164256440 \h </w:instrText>
            </w:r>
            <w:r w:rsidR="00513C13">
              <w:rPr>
                <w:webHidden/>
              </w:rPr>
            </w:r>
            <w:r w:rsidR="00513C13">
              <w:rPr>
                <w:webHidden/>
              </w:rPr>
              <w:fldChar w:fldCharType="separate"/>
            </w:r>
            <w:r w:rsidR="000F1920">
              <w:rPr>
                <w:webHidden/>
              </w:rPr>
              <w:t>8</w:t>
            </w:r>
            <w:r w:rsidR="00513C13">
              <w:rPr>
                <w:webHidden/>
              </w:rPr>
              <w:fldChar w:fldCharType="end"/>
            </w:r>
          </w:hyperlink>
        </w:p>
        <w:p w14:paraId="2FF1E44F" w14:textId="1E77BBCB" w:rsidR="00513C13" w:rsidRDefault="00571E2E">
          <w:pPr>
            <w:pStyle w:val="TOC2"/>
            <w:rPr>
              <w:rFonts w:asciiTheme="minorHAnsi" w:eastAsiaTheme="minorEastAsia" w:hAnsiTheme="minorHAnsi" w:cstheme="minorBidi"/>
              <w:kern w:val="2"/>
              <w:lang w:eastAsia="en-AU"/>
              <w14:ligatures w14:val="standardContextual"/>
            </w:rPr>
          </w:pPr>
          <w:hyperlink w:anchor="_Toc164256441" w:history="1">
            <w:r w:rsidR="00513C13" w:rsidRPr="00FF3656">
              <w:rPr>
                <w:rStyle w:val="Hyperlink"/>
                <w:rFonts w:eastAsia="Calibri"/>
              </w:rPr>
              <w:t>3.1 Access to Centrepay</w:t>
            </w:r>
            <w:r w:rsidR="00513C13">
              <w:rPr>
                <w:webHidden/>
              </w:rPr>
              <w:tab/>
            </w:r>
            <w:r w:rsidR="00513C13">
              <w:rPr>
                <w:webHidden/>
              </w:rPr>
              <w:fldChar w:fldCharType="begin"/>
            </w:r>
            <w:r w:rsidR="00513C13">
              <w:rPr>
                <w:webHidden/>
              </w:rPr>
              <w:instrText xml:space="preserve"> PAGEREF _Toc164256441 \h </w:instrText>
            </w:r>
            <w:r w:rsidR="00513C13">
              <w:rPr>
                <w:webHidden/>
              </w:rPr>
            </w:r>
            <w:r w:rsidR="00513C13">
              <w:rPr>
                <w:webHidden/>
              </w:rPr>
              <w:fldChar w:fldCharType="separate"/>
            </w:r>
            <w:r w:rsidR="000F1920">
              <w:rPr>
                <w:webHidden/>
              </w:rPr>
              <w:t>8</w:t>
            </w:r>
            <w:r w:rsidR="00513C13">
              <w:rPr>
                <w:webHidden/>
              </w:rPr>
              <w:fldChar w:fldCharType="end"/>
            </w:r>
          </w:hyperlink>
        </w:p>
        <w:p w14:paraId="6DD07148" w14:textId="3B443A83" w:rsidR="00513C13" w:rsidRDefault="00571E2E">
          <w:pPr>
            <w:pStyle w:val="TOC2"/>
            <w:rPr>
              <w:rFonts w:asciiTheme="minorHAnsi" w:eastAsiaTheme="minorEastAsia" w:hAnsiTheme="minorHAnsi" w:cstheme="minorBidi"/>
              <w:kern w:val="2"/>
              <w:lang w:eastAsia="en-AU"/>
              <w14:ligatures w14:val="standardContextual"/>
            </w:rPr>
          </w:pPr>
          <w:hyperlink w:anchor="_Toc164256442" w:history="1">
            <w:r w:rsidR="00513C13" w:rsidRPr="00FF3656">
              <w:rPr>
                <w:rStyle w:val="Hyperlink"/>
                <w:rFonts w:eastAsia="Calibri"/>
              </w:rPr>
              <w:t>3.2 Complaints</w:t>
            </w:r>
            <w:r w:rsidR="00513C13">
              <w:rPr>
                <w:webHidden/>
              </w:rPr>
              <w:tab/>
            </w:r>
            <w:r w:rsidR="00513C13">
              <w:rPr>
                <w:webHidden/>
              </w:rPr>
              <w:fldChar w:fldCharType="begin"/>
            </w:r>
            <w:r w:rsidR="00513C13">
              <w:rPr>
                <w:webHidden/>
              </w:rPr>
              <w:instrText xml:space="preserve"> PAGEREF _Toc164256442 \h </w:instrText>
            </w:r>
            <w:r w:rsidR="00513C13">
              <w:rPr>
                <w:webHidden/>
              </w:rPr>
            </w:r>
            <w:r w:rsidR="00513C13">
              <w:rPr>
                <w:webHidden/>
              </w:rPr>
              <w:fldChar w:fldCharType="separate"/>
            </w:r>
            <w:r w:rsidR="000F1920">
              <w:rPr>
                <w:webHidden/>
              </w:rPr>
              <w:t>8</w:t>
            </w:r>
            <w:r w:rsidR="00513C13">
              <w:rPr>
                <w:webHidden/>
              </w:rPr>
              <w:fldChar w:fldCharType="end"/>
            </w:r>
          </w:hyperlink>
        </w:p>
        <w:p w14:paraId="7096C08A" w14:textId="732E220C" w:rsidR="00513C13" w:rsidRDefault="00571E2E">
          <w:pPr>
            <w:pStyle w:val="TOC1"/>
            <w:rPr>
              <w:rFonts w:eastAsiaTheme="minorEastAsia" w:cstheme="minorBidi"/>
              <w:b w:val="0"/>
              <w:kern w:val="2"/>
              <w:lang w:eastAsia="en-AU"/>
              <w14:ligatures w14:val="standardContextual"/>
            </w:rPr>
          </w:pPr>
          <w:hyperlink w:anchor="_Toc164256443" w:history="1">
            <w:r w:rsidR="00513C13" w:rsidRPr="00FF3656">
              <w:rPr>
                <w:rStyle w:val="Hyperlink"/>
              </w:rPr>
              <w:t>4. Business</w:t>
            </w:r>
            <w:r w:rsidR="00513C13">
              <w:rPr>
                <w:webHidden/>
              </w:rPr>
              <w:tab/>
            </w:r>
            <w:r w:rsidR="00513C13">
              <w:rPr>
                <w:webHidden/>
              </w:rPr>
              <w:fldChar w:fldCharType="begin"/>
            </w:r>
            <w:r w:rsidR="00513C13">
              <w:rPr>
                <w:webHidden/>
              </w:rPr>
              <w:instrText xml:space="preserve"> PAGEREF _Toc164256443 \h </w:instrText>
            </w:r>
            <w:r w:rsidR="00513C13">
              <w:rPr>
                <w:webHidden/>
              </w:rPr>
            </w:r>
            <w:r w:rsidR="00513C13">
              <w:rPr>
                <w:webHidden/>
              </w:rPr>
              <w:fldChar w:fldCharType="separate"/>
            </w:r>
            <w:r w:rsidR="000F1920">
              <w:rPr>
                <w:webHidden/>
              </w:rPr>
              <w:t>9</w:t>
            </w:r>
            <w:r w:rsidR="00513C13">
              <w:rPr>
                <w:webHidden/>
              </w:rPr>
              <w:fldChar w:fldCharType="end"/>
            </w:r>
          </w:hyperlink>
        </w:p>
        <w:p w14:paraId="62656D96" w14:textId="7CBE83D5" w:rsidR="00513C13" w:rsidRDefault="00571E2E">
          <w:pPr>
            <w:pStyle w:val="TOC2"/>
            <w:rPr>
              <w:rFonts w:asciiTheme="minorHAnsi" w:eastAsiaTheme="minorEastAsia" w:hAnsiTheme="minorHAnsi" w:cstheme="minorBidi"/>
              <w:kern w:val="2"/>
              <w:lang w:eastAsia="en-AU"/>
              <w14:ligatures w14:val="standardContextual"/>
            </w:rPr>
          </w:pPr>
          <w:hyperlink w:anchor="_Toc164256444" w:history="1">
            <w:r w:rsidR="00513C13" w:rsidRPr="00FF3656">
              <w:rPr>
                <w:rStyle w:val="Hyperlink"/>
                <w:rFonts w:eastAsia="Calibri"/>
              </w:rPr>
              <w:t>4.1 Becoming a Centrepay Registered Business</w:t>
            </w:r>
            <w:r w:rsidR="00513C13">
              <w:rPr>
                <w:webHidden/>
              </w:rPr>
              <w:tab/>
            </w:r>
            <w:r w:rsidR="00513C13">
              <w:rPr>
                <w:webHidden/>
              </w:rPr>
              <w:fldChar w:fldCharType="begin"/>
            </w:r>
            <w:r w:rsidR="00513C13">
              <w:rPr>
                <w:webHidden/>
              </w:rPr>
              <w:instrText xml:space="preserve"> PAGEREF _Toc164256444 \h </w:instrText>
            </w:r>
            <w:r w:rsidR="00513C13">
              <w:rPr>
                <w:webHidden/>
              </w:rPr>
            </w:r>
            <w:r w:rsidR="00513C13">
              <w:rPr>
                <w:webHidden/>
              </w:rPr>
              <w:fldChar w:fldCharType="separate"/>
            </w:r>
            <w:r w:rsidR="000F1920">
              <w:rPr>
                <w:webHidden/>
              </w:rPr>
              <w:t>9</w:t>
            </w:r>
            <w:r w:rsidR="00513C13">
              <w:rPr>
                <w:webHidden/>
              </w:rPr>
              <w:fldChar w:fldCharType="end"/>
            </w:r>
          </w:hyperlink>
        </w:p>
        <w:p w14:paraId="6829EC48" w14:textId="7C37AD90" w:rsidR="00513C13" w:rsidRDefault="00571E2E">
          <w:pPr>
            <w:pStyle w:val="TOC2"/>
            <w:rPr>
              <w:rFonts w:asciiTheme="minorHAnsi" w:eastAsiaTheme="minorEastAsia" w:hAnsiTheme="minorHAnsi" w:cstheme="minorBidi"/>
              <w:kern w:val="2"/>
              <w:lang w:eastAsia="en-AU"/>
              <w14:ligatures w14:val="standardContextual"/>
            </w:rPr>
          </w:pPr>
          <w:hyperlink w:anchor="_Toc164256445" w:history="1">
            <w:r w:rsidR="00513C13" w:rsidRPr="00FF3656">
              <w:rPr>
                <w:rStyle w:val="Hyperlink"/>
                <w:rFonts w:eastAsia="Calibri"/>
              </w:rPr>
              <w:t>4.2 Business models</w:t>
            </w:r>
            <w:r w:rsidR="00513C13">
              <w:rPr>
                <w:webHidden/>
              </w:rPr>
              <w:tab/>
            </w:r>
            <w:r w:rsidR="00513C13">
              <w:rPr>
                <w:webHidden/>
              </w:rPr>
              <w:fldChar w:fldCharType="begin"/>
            </w:r>
            <w:r w:rsidR="00513C13">
              <w:rPr>
                <w:webHidden/>
              </w:rPr>
              <w:instrText xml:space="preserve"> PAGEREF _Toc164256445 \h </w:instrText>
            </w:r>
            <w:r w:rsidR="00513C13">
              <w:rPr>
                <w:webHidden/>
              </w:rPr>
            </w:r>
            <w:r w:rsidR="00513C13">
              <w:rPr>
                <w:webHidden/>
              </w:rPr>
              <w:fldChar w:fldCharType="separate"/>
            </w:r>
            <w:r w:rsidR="000F1920">
              <w:rPr>
                <w:webHidden/>
              </w:rPr>
              <w:t>9</w:t>
            </w:r>
            <w:r w:rsidR="00513C13">
              <w:rPr>
                <w:webHidden/>
              </w:rPr>
              <w:fldChar w:fldCharType="end"/>
            </w:r>
          </w:hyperlink>
        </w:p>
        <w:p w14:paraId="2B5A695D" w14:textId="4D2F5D40" w:rsidR="00513C13" w:rsidRDefault="00571E2E">
          <w:pPr>
            <w:pStyle w:val="TOC1"/>
            <w:rPr>
              <w:rFonts w:eastAsiaTheme="minorEastAsia" w:cstheme="minorBidi"/>
              <w:b w:val="0"/>
              <w:kern w:val="2"/>
              <w:lang w:eastAsia="en-AU"/>
              <w14:ligatures w14:val="standardContextual"/>
            </w:rPr>
          </w:pPr>
          <w:hyperlink w:anchor="_Toc164256446" w:history="1">
            <w:r w:rsidR="00513C13" w:rsidRPr="00FF3656">
              <w:rPr>
                <w:rStyle w:val="Hyperlink"/>
              </w:rPr>
              <w:t>5. Compliance</w:t>
            </w:r>
            <w:r w:rsidR="00513C13">
              <w:rPr>
                <w:webHidden/>
              </w:rPr>
              <w:tab/>
            </w:r>
            <w:r w:rsidR="00513C13">
              <w:rPr>
                <w:webHidden/>
              </w:rPr>
              <w:fldChar w:fldCharType="begin"/>
            </w:r>
            <w:r w:rsidR="00513C13">
              <w:rPr>
                <w:webHidden/>
              </w:rPr>
              <w:instrText xml:space="preserve"> PAGEREF _Toc164256446 \h </w:instrText>
            </w:r>
            <w:r w:rsidR="00513C13">
              <w:rPr>
                <w:webHidden/>
              </w:rPr>
            </w:r>
            <w:r w:rsidR="00513C13">
              <w:rPr>
                <w:webHidden/>
              </w:rPr>
              <w:fldChar w:fldCharType="separate"/>
            </w:r>
            <w:r w:rsidR="000F1920">
              <w:rPr>
                <w:webHidden/>
              </w:rPr>
              <w:t>11</w:t>
            </w:r>
            <w:r w:rsidR="00513C13">
              <w:rPr>
                <w:webHidden/>
              </w:rPr>
              <w:fldChar w:fldCharType="end"/>
            </w:r>
          </w:hyperlink>
        </w:p>
        <w:p w14:paraId="4688DB25" w14:textId="3C26D268" w:rsidR="00513C13" w:rsidRDefault="00571E2E">
          <w:pPr>
            <w:pStyle w:val="TOC2"/>
            <w:rPr>
              <w:rFonts w:asciiTheme="minorHAnsi" w:eastAsiaTheme="minorEastAsia" w:hAnsiTheme="minorHAnsi" w:cstheme="minorBidi"/>
              <w:kern w:val="2"/>
              <w:lang w:eastAsia="en-AU"/>
              <w14:ligatures w14:val="standardContextual"/>
            </w:rPr>
          </w:pPr>
          <w:hyperlink w:anchor="_Toc164256447" w:history="1">
            <w:r w:rsidR="00513C13" w:rsidRPr="00FF3656">
              <w:rPr>
                <w:rStyle w:val="Hyperlink"/>
                <w:rFonts w:eastAsia="Calibri"/>
              </w:rPr>
              <w:t>5.1 Current Compliance Processes</w:t>
            </w:r>
            <w:r w:rsidR="00513C13">
              <w:rPr>
                <w:webHidden/>
              </w:rPr>
              <w:tab/>
            </w:r>
            <w:r w:rsidR="00513C13">
              <w:rPr>
                <w:webHidden/>
              </w:rPr>
              <w:fldChar w:fldCharType="begin"/>
            </w:r>
            <w:r w:rsidR="00513C13">
              <w:rPr>
                <w:webHidden/>
              </w:rPr>
              <w:instrText xml:space="preserve"> PAGEREF _Toc164256447 \h </w:instrText>
            </w:r>
            <w:r w:rsidR="00513C13">
              <w:rPr>
                <w:webHidden/>
              </w:rPr>
            </w:r>
            <w:r w:rsidR="00513C13">
              <w:rPr>
                <w:webHidden/>
              </w:rPr>
              <w:fldChar w:fldCharType="separate"/>
            </w:r>
            <w:r w:rsidR="000F1920">
              <w:rPr>
                <w:webHidden/>
              </w:rPr>
              <w:t>11</w:t>
            </w:r>
            <w:r w:rsidR="00513C13">
              <w:rPr>
                <w:webHidden/>
              </w:rPr>
              <w:fldChar w:fldCharType="end"/>
            </w:r>
          </w:hyperlink>
        </w:p>
        <w:p w14:paraId="0B4BE36D" w14:textId="3E5B1BBA" w:rsidR="00513C13" w:rsidRDefault="00571E2E">
          <w:pPr>
            <w:pStyle w:val="TOC1"/>
            <w:rPr>
              <w:rFonts w:eastAsiaTheme="minorEastAsia" w:cstheme="minorBidi"/>
              <w:b w:val="0"/>
              <w:kern w:val="2"/>
              <w:lang w:eastAsia="en-AU"/>
              <w14:ligatures w14:val="standardContextual"/>
            </w:rPr>
          </w:pPr>
          <w:hyperlink w:anchor="_Toc164256448" w:history="1">
            <w:r w:rsidR="00513C13" w:rsidRPr="00FF3656">
              <w:rPr>
                <w:rStyle w:val="Hyperlink"/>
              </w:rPr>
              <w:t>6. Overpayments</w:t>
            </w:r>
            <w:r w:rsidR="00513C13">
              <w:rPr>
                <w:webHidden/>
              </w:rPr>
              <w:tab/>
            </w:r>
            <w:r w:rsidR="00513C13">
              <w:rPr>
                <w:webHidden/>
              </w:rPr>
              <w:fldChar w:fldCharType="begin"/>
            </w:r>
            <w:r w:rsidR="00513C13">
              <w:rPr>
                <w:webHidden/>
              </w:rPr>
              <w:instrText xml:space="preserve"> PAGEREF _Toc164256448 \h </w:instrText>
            </w:r>
            <w:r w:rsidR="00513C13">
              <w:rPr>
                <w:webHidden/>
              </w:rPr>
            </w:r>
            <w:r w:rsidR="00513C13">
              <w:rPr>
                <w:webHidden/>
              </w:rPr>
              <w:fldChar w:fldCharType="separate"/>
            </w:r>
            <w:r w:rsidR="000F1920">
              <w:rPr>
                <w:webHidden/>
              </w:rPr>
              <w:t>12</w:t>
            </w:r>
            <w:r w:rsidR="00513C13">
              <w:rPr>
                <w:webHidden/>
              </w:rPr>
              <w:fldChar w:fldCharType="end"/>
            </w:r>
          </w:hyperlink>
        </w:p>
        <w:p w14:paraId="79607CEC" w14:textId="6230F1AD" w:rsidR="00513C13" w:rsidRDefault="00571E2E">
          <w:pPr>
            <w:pStyle w:val="TOC1"/>
            <w:rPr>
              <w:rFonts w:eastAsiaTheme="minorEastAsia" w:cstheme="minorBidi"/>
              <w:b w:val="0"/>
              <w:kern w:val="2"/>
              <w:lang w:eastAsia="en-AU"/>
              <w14:ligatures w14:val="standardContextual"/>
            </w:rPr>
          </w:pPr>
          <w:hyperlink w:anchor="_Toc164256449" w:history="1">
            <w:r w:rsidR="00513C13" w:rsidRPr="00FF3656">
              <w:rPr>
                <w:rStyle w:val="Hyperlink"/>
              </w:rPr>
              <w:t>7. Consultation and Engagement</w:t>
            </w:r>
            <w:r w:rsidR="00513C13">
              <w:rPr>
                <w:webHidden/>
              </w:rPr>
              <w:tab/>
            </w:r>
            <w:r w:rsidR="00513C13">
              <w:rPr>
                <w:webHidden/>
              </w:rPr>
              <w:fldChar w:fldCharType="begin"/>
            </w:r>
            <w:r w:rsidR="00513C13">
              <w:rPr>
                <w:webHidden/>
              </w:rPr>
              <w:instrText xml:space="preserve"> PAGEREF _Toc164256449 \h </w:instrText>
            </w:r>
            <w:r w:rsidR="00513C13">
              <w:rPr>
                <w:webHidden/>
              </w:rPr>
            </w:r>
            <w:r w:rsidR="00513C13">
              <w:rPr>
                <w:webHidden/>
              </w:rPr>
              <w:fldChar w:fldCharType="separate"/>
            </w:r>
            <w:r w:rsidR="000F1920">
              <w:rPr>
                <w:webHidden/>
              </w:rPr>
              <w:t>13</w:t>
            </w:r>
            <w:r w:rsidR="00513C13">
              <w:rPr>
                <w:webHidden/>
              </w:rPr>
              <w:fldChar w:fldCharType="end"/>
            </w:r>
          </w:hyperlink>
        </w:p>
        <w:p w14:paraId="05A57002" w14:textId="4625F424" w:rsidR="00513C13" w:rsidRDefault="00571E2E">
          <w:pPr>
            <w:pStyle w:val="TOC1"/>
            <w:rPr>
              <w:rFonts w:eastAsiaTheme="minorEastAsia" w:cstheme="minorBidi"/>
              <w:b w:val="0"/>
              <w:kern w:val="2"/>
              <w:lang w:eastAsia="en-AU"/>
              <w14:ligatures w14:val="standardContextual"/>
            </w:rPr>
          </w:pPr>
          <w:hyperlink w:anchor="_Toc164256450" w:history="1">
            <w:r w:rsidR="00513C13" w:rsidRPr="00FF3656">
              <w:rPr>
                <w:rStyle w:val="Hyperlink"/>
              </w:rPr>
              <w:t>8. Attachments</w:t>
            </w:r>
            <w:r w:rsidR="00513C13">
              <w:rPr>
                <w:webHidden/>
              </w:rPr>
              <w:tab/>
            </w:r>
            <w:r w:rsidR="00513C13">
              <w:rPr>
                <w:webHidden/>
              </w:rPr>
              <w:fldChar w:fldCharType="begin"/>
            </w:r>
            <w:r w:rsidR="00513C13">
              <w:rPr>
                <w:webHidden/>
              </w:rPr>
              <w:instrText xml:space="preserve"> PAGEREF _Toc164256450 \h </w:instrText>
            </w:r>
            <w:r w:rsidR="00513C13">
              <w:rPr>
                <w:webHidden/>
              </w:rPr>
            </w:r>
            <w:r w:rsidR="00513C13">
              <w:rPr>
                <w:webHidden/>
              </w:rPr>
              <w:fldChar w:fldCharType="separate"/>
            </w:r>
            <w:r w:rsidR="000F1920">
              <w:rPr>
                <w:webHidden/>
              </w:rPr>
              <w:t>14</w:t>
            </w:r>
            <w:r w:rsidR="00513C13">
              <w:rPr>
                <w:webHidden/>
              </w:rPr>
              <w:fldChar w:fldCharType="end"/>
            </w:r>
          </w:hyperlink>
        </w:p>
        <w:p w14:paraId="10006F04" w14:textId="36C6C363" w:rsidR="00E976E9" w:rsidRPr="00C96D9B" w:rsidRDefault="00A27C47" w:rsidP="005A4DF5">
          <w:pPr>
            <w:pStyle w:val="BodyText"/>
          </w:pPr>
          <w:r>
            <w:rPr>
              <w:rFonts w:ascii="Arial" w:hAnsi="Arial"/>
              <w:noProof/>
              <w:color w:val="2B579A"/>
              <w:sz w:val="22"/>
              <w:shd w:val="clear" w:color="auto" w:fill="E6E6E6"/>
            </w:rPr>
            <w:fldChar w:fldCharType="end"/>
          </w:r>
        </w:p>
      </w:sdtContent>
    </w:sdt>
    <w:p w14:paraId="7BAFB3B5" w14:textId="77777777" w:rsidR="00CA7C89" w:rsidRPr="00C96D9B" w:rsidRDefault="00CA7C89" w:rsidP="005A4DF5">
      <w:pPr>
        <w:pStyle w:val="BodyText"/>
        <w:rPr>
          <w:rFonts w:cstheme="minorHAnsi"/>
          <w:sz w:val="22"/>
        </w:rPr>
      </w:pPr>
      <w:r w:rsidRPr="00C96D9B">
        <w:br w:type="page"/>
      </w:r>
    </w:p>
    <w:p w14:paraId="151B22F3" w14:textId="1B4AFC17" w:rsidR="00B62C0D" w:rsidRPr="00C96D9B" w:rsidRDefault="00A27C47" w:rsidP="00A27C47">
      <w:pPr>
        <w:pStyle w:val="Heading1"/>
      </w:pPr>
      <w:bookmarkStart w:id="1" w:name="_Toc164256431"/>
      <w:r>
        <w:lastRenderedPageBreak/>
        <w:t xml:space="preserve">1. </w:t>
      </w:r>
      <w:r w:rsidR="00B62C0D" w:rsidRPr="00C96D9B">
        <w:t>Introduction</w:t>
      </w:r>
      <w:bookmarkEnd w:id="1"/>
      <w:r w:rsidR="00B62C0D" w:rsidRPr="00C96D9B">
        <w:t xml:space="preserve"> </w:t>
      </w:r>
    </w:p>
    <w:p w14:paraId="4D187FB2" w14:textId="77777777" w:rsidR="00B62C0D" w:rsidRPr="00C96D9B" w:rsidRDefault="00B62C0D" w:rsidP="00B62C0D">
      <w:pPr>
        <w:pStyle w:val="Heading2"/>
        <w:rPr>
          <w:rFonts w:asciiTheme="minorHAnsi" w:hAnsiTheme="minorHAnsi"/>
        </w:rPr>
      </w:pPr>
      <w:bookmarkStart w:id="2" w:name="_Toc164256432"/>
      <w:r w:rsidRPr="00C96D9B">
        <w:rPr>
          <w:rFonts w:asciiTheme="minorHAnsi" w:hAnsiTheme="minorHAnsi"/>
        </w:rPr>
        <w:t>1.1 What is Centrepay?</w:t>
      </w:r>
      <w:bookmarkEnd w:id="2"/>
    </w:p>
    <w:p w14:paraId="3FE7AB14" w14:textId="1B8FC650" w:rsidR="00B62C0D" w:rsidRPr="00B6657B" w:rsidRDefault="00B62C0D" w:rsidP="00B6657B">
      <w:pPr>
        <w:pStyle w:val="BodyText"/>
        <w:rPr>
          <w:rFonts w:eastAsia="Calibri"/>
        </w:rPr>
      </w:pPr>
      <w:r w:rsidRPr="00B6657B">
        <w:rPr>
          <w:rFonts w:eastAsia="Calibri"/>
        </w:rPr>
        <w:t xml:space="preserve">First established in 1998, Centrepay is a voluntary </w:t>
      </w:r>
      <w:r w:rsidR="00937BCD" w:rsidRPr="00B6657B">
        <w:rPr>
          <w:rFonts w:eastAsia="Calibri"/>
        </w:rPr>
        <w:t xml:space="preserve">free </w:t>
      </w:r>
      <w:r w:rsidRPr="00B6657B">
        <w:rPr>
          <w:rFonts w:eastAsia="Calibri"/>
        </w:rPr>
        <w:t xml:space="preserve">bill paying service offered by Services Australia (the </w:t>
      </w:r>
      <w:r w:rsidRPr="007E5011">
        <w:rPr>
          <w:rFonts w:eastAsia="Calibri"/>
          <w:b/>
          <w:bCs/>
        </w:rPr>
        <w:t>agency</w:t>
      </w:r>
      <w:r w:rsidRPr="00B6657B">
        <w:rPr>
          <w:rFonts w:eastAsia="Calibri"/>
        </w:rPr>
        <w:t xml:space="preserve">) for Centrelink customers. </w:t>
      </w:r>
    </w:p>
    <w:p w14:paraId="359AE8D2" w14:textId="68208DDC" w:rsidR="00B62C0D" w:rsidRPr="00B6657B" w:rsidRDefault="00B62C0D" w:rsidP="00B6657B">
      <w:pPr>
        <w:pStyle w:val="BodyText"/>
        <w:rPr>
          <w:rFonts w:eastAsia="Calibri"/>
        </w:rPr>
      </w:pPr>
      <w:r w:rsidRPr="00B6657B">
        <w:rPr>
          <w:rFonts w:eastAsia="Calibri"/>
        </w:rPr>
        <w:t xml:space="preserve">Through Centrepay, a customer can authorise the agency </w:t>
      </w:r>
      <w:r w:rsidR="007E5011">
        <w:rPr>
          <w:rFonts w:eastAsia="Calibri"/>
        </w:rPr>
        <w:t xml:space="preserve">to arrange deductions </w:t>
      </w:r>
      <w:r w:rsidRPr="00B6657B">
        <w:rPr>
          <w:rFonts w:eastAsia="Calibri"/>
        </w:rPr>
        <w:t xml:space="preserve">from their welfare payments to </w:t>
      </w:r>
      <w:r w:rsidR="00937BCD" w:rsidRPr="00B6657B">
        <w:rPr>
          <w:rFonts w:eastAsia="Calibri"/>
        </w:rPr>
        <w:t xml:space="preserve">account for expenses authorised with </w:t>
      </w:r>
      <w:r w:rsidR="007E5011">
        <w:rPr>
          <w:rFonts w:eastAsia="Calibri"/>
        </w:rPr>
        <w:t>a registered</w:t>
      </w:r>
      <w:r w:rsidRPr="00B6657B">
        <w:rPr>
          <w:rFonts w:eastAsia="Calibri"/>
        </w:rPr>
        <w:t xml:space="preserve"> Centrepay business. Deductions occur </w:t>
      </w:r>
      <w:r w:rsidR="00F965C3">
        <w:rPr>
          <w:rFonts w:eastAsia="Calibri"/>
        </w:rPr>
        <w:t>prior</w:t>
      </w:r>
      <w:r w:rsidRPr="00B6657B">
        <w:rPr>
          <w:rFonts w:eastAsia="Calibri"/>
        </w:rPr>
        <w:t xml:space="preserve"> </w:t>
      </w:r>
      <w:r w:rsidR="00F965C3">
        <w:rPr>
          <w:rFonts w:eastAsia="Calibri"/>
        </w:rPr>
        <w:t xml:space="preserve">to </w:t>
      </w:r>
      <w:r w:rsidRPr="00B6657B">
        <w:rPr>
          <w:rFonts w:eastAsia="Calibri"/>
        </w:rPr>
        <w:t xml:space="preserve">the Centrelink payment </w:t>
      </w:r>
      <w:r w:rsidR="00F965C3">
        <w:rPr>
          <w:rFonts w:eastAsia="Calibri"/>
        </w:rPr>
        <w:t>being</w:t>
      </w:r>
      <w:r w:rsidRPr="00B6657B">
        <w:rPr>
          <w:rFonts w:eastAsia="Calibri"/>
        </w:rPr>
        <w:t xml:space="preserve"> deposited into a customer's nominated bank account.</w:t>
      </w:r>
      <w:r w:rsidR="00937BCD" w:rsidRPr="00B6657B">
        <w:rPr>
          <w:rFonts w:eastAsia="Calibri"/>
        </w:rPr>
        <w:t xml:space="preserve"> </w:t>
      </w:r>
    </w:p>
    <w:p w14:paraId="12E28FDE" w14:textId="691DFD8F" w:rsidR="00B62C0D" w:rsidRPr="00B6657B" w:rsidRDefault="00B62C0D" w:rsidP="00B6657B">
      <w:pPr>
        <w:pStyle w:val="BodyText"/>
        <w:rPr>
          <w:rFonts w:eastAsia="Calibri"/>
        </w:rPr>
      </w:pPr>
      <w:r w:rsidRPr="00B6657B">
        <w:rPr>
          <w:rFonts w:eastAsia="Calibri"/>
        </w:rPr>
        <w:t xml:space="preserve">If customers are </w:t>
      </w:r>
      <w:r w:rsidR="00ED0570">
        <w:rPr>
          <w:rFonts w:eastAsia="Calibri"/>
        </w:rPr>
        <w:t xml:space="preserve">currently </w:t>
      </w:r>
      <w:r w:rsidRPr="00B6657B">
        <w:rPr>
          <w:rFonts w:eastAsia="Calibri"/>
        </w:rPr>
        <w:t>receiving an eligible Centrelink payment</w:t>
      </w:r>
      <w:r w:rsidR="00F965C3">
        <w:rPr>
          <w:rFonts w:eastAsia="Calibri"/>
        </w:rPr>
        <w:t>,</w:t>
      </w:r>
      <w:r w:rsidRPr="00B6657B">
        <w:rPr>
          <w:rFonts w:eastAsia="Calibri"/>
        </w:rPr>
        <w:t xml:space="preserve"> they can use Centrepay for a range of goods and services, including:</w:t>
      </w:r>
    </w:p>
    <w:p w14:paraId="18B5E761" w14:textId="6763D180" w:rsidR="00B62C0D" w:rsidRPr="00B6657B" w:rsidRDefault="00184355" w:rsidP="00B6657B">
      <w:pPr>
        <w:pStyle w:val="BodyText"/>
        <w:numPr>
          <w:ilvl w:val="0"/>
          <w:numId w:val="16"/>
        </w:numPr>
        <w:rPr>
          <w:rFonts w:eastAsia="Calibri"/>
        </w:rPr>
      </w:pPr>
      <w:r>
        <w:rPr>
          <w:rFonts w:eastAsia="Calibri"/>
        </w:rPr>
        <w:t>a</w:t>
      </w:r>
      <w:r w:rsidR="00B62C0D" w:rsidRPr="00B6657B">
        <w:rPr>
          <w:rFonts w:eastAsia="Calibri"/>
        </w:rPr>
        <w:t>ccommodation</w:t>
      </w:r>
      <w:r>
        <w:rPr>
          <w:rFonts w:eastAsia="Calibri"/>
        </w:rPr>
        <w:t>,</w:t>
      </w:r>
    </w:p>
    <w:p w14:paraId="157A42C4" w14:textId="09FF7E13" w:rsidR="00B62C0D" w:rsidRPr="00B6657B" w:rsidRDefault="00B62C0D" w:rsidP="00B6657B">
      <w:pPr>
        <w:pStyle w:val="BodyText"/>
        <w:numPr>
          <w:ilvl w:val="0"/>
          <w:numId w:val="16"/>
        </w:numPr>
        <w:rPr>
          <w:rFonts w:eastAsia="Calibri"/>
        </w:rPr>
      </w:pPr>
      <w:r w:rsidRPr="00B6657B">
        <w:rPr>
          <w:rFonts w:eastAsia="Calibri"/>
        </w:rPr>
        <w:t>education and employment</w:t>
      </w:r>
      <w:r w:rsidR="00184355">
        <w:rPr>
          <w:rFonts w:eastAsia="Calibri"/>
        </w:rPr>
        <w:t>,</w:t>
      </w:r>
    </w:p>
    <w:p w14:paraId="0E601A78" w14:textId="3C008FB4" w:rsidR="00B62C0D" w:rsidRPr="00B6657B" w:rsidRDefault="00B62C0D" w:rsidP="00B6657B">
      <w:pPr>
        <w:pStyle w:val="BodyText"/>
        <w:numPr>
          <w:ilvl w:val="0"/>
          <w:numId w:val="16"/>
        </w:numPr>
        <w:rPr>
          <w:rFonts w:eastAsia="Calibri"/>
        </w:rPr>
      </w:pPr>
      <w:r w:rsidRPr="00B6657B">
        <w:rPr>
          <w:rFonts w:eastAsia="Calibri"/>
        </w:rPr>
        <w:t>financial products</w:t>
      </w:r>
      <w:r w:rsidR="00184355">
        <w:rPr>
          <w:rFonts w:eastAsia="Calibri"/>
        </w:rPr>
        <w:t>,</w:t>
      </w:r>
    </w:p>
    <w:p w14:paraId="17E42917" w14:textId="154500C0" w:rsidR="00B62C0D" w:rsidRPr="00B6657B" w:rsidRDefault="00B62C0D" w:rsidP="00B6657B">
      <w:pPr>
        <w:pStyle w:val="BodyText"/>
        <w:numPr>
          <w:ilvl w:val="0"/>
          <w:numId w:val="16"/>
        </w:numPr>
        <w:rPr>
          <w:rFonts w:eastAsia="Calibri"/>
        </w:rPr>
      </w:pPr>
      <w:r w:rsidRPr="00B6657B">
        <w:rPr>
          <w:rFonts w:eastAsia="Calibri"/>
        </w:rPr>
        <w:t>health</w:t>
      </w:r>
      <w:r w:rsidR="00184355">
        <w:rPr>
          <w:rFonts w:eastAsia="Calibri"/>
        </w:rPr>
        <w:t>,</w:t>
      </w:r>
    </w:p>
    <w:p w14:paraId="27091360" w14:textId="489C5176" w:rsidR="00B62C0D" w:rsidRPr="00B6657B" w:rsidRDefault="00B62C0D" w:rsidP="00B6657B">
      <w:pPr>
        <w:pStyle w:val="BodyText"/>
        <w:numPr>
          <w:ilvl w:val="0"/>
          <w:numId w:val="16"/>
        </w:numPr>
        <w:rPr>
          <w:rFonts w:eastAsia="Calibri"/>
        </w:rPr>
      </w:pPr>
      <w:r w:rsidRPr="00B6657B">
        <w:rPr>
          <w:rFonts w:eastAsia="Calibri"/>
        </w:rPr>
        <w:t>household</w:t>
      </w:r>
      <w:r w:rsidR="00737472">
        <w:rPr>
          <w:rFonts w:eastAsia="Calibri"/>
        </w:rPr>
        <w:t>-</w:t>
      </w:r>
      <w:r w:rsidRPr="00B6657B">
        <w:rPr>
          <w:rFonts w:eastAsia="Calibri"/>
        </w:rPr>
        <w:t>related costs</w:t>
      </w:r>
      <w:r w:rsidR="00184355">
        <w:rPr>
          <w:rFonts w:eastAsia="Calibri"/>
        </w:rPr>
        <w:t>,</w:t>
      </w:r>
    </w:p>
    <w:p w14:paraId="2239104F" w14:textId="5811A5C0" w:rsidR="00B62C0D" w:rsidRPr="00B6657B" w:rsidRDefault="00B62C0D" w:rsidP="00B6657B">
      <w:pPr>
        <w:pStyle w:val="BodyText"/>
        <w:numPr>
          <w:ilvl w:val="0"/>
          <w:numId w:val="16"/>
        </w:numPr>
        <w:rPr>
          <w:rFonts w:eastAsia="Calibri"/>
        </w:rPr>
      </w:pPr>
      <w:r w:rsidRPr="00B6657B">
        <w:rPr>
          <w:rFonts w:eastAsia="Calibri"/>
        </w:rPr>
        <w:t>legal and professional services</w:t>
      </w:r>
      <w:r w:rsidR="00184355">
        <w:rPr>
          <w:rFonts w:eastAsia="Calibri"/>
        </w:rPr>
        <w:t>,</w:t>
      </w:r>
    </w:p>
    <w:p w14:paraId="023376A7" w14:textId="712E2401" w:rsidR="00B62C0D" w:rsidRPr="00B6657B" w:rsidRDefault="00B62C0D" w:rsidP="00B6657B">
      <w:pPr>
        <w:pStyle w:val="BodyText"/>
        <w:numPr>
          <w:ilvl w:val="0"/>
          <w:numId w:val="16"/>
        </w:numPr>
        <w:rPr>
          <w:rFonts w:eastAsia="Calibri"/>
        </w:rPr>
      </w:pPr>
      <w:r w:rsidRPr="00B6657B">
        <w:rPr>
          <w:rFonts w:eastAsia="Calibri"/>
        </w:rPr>
        <w:t>travel and transport</w:t>
      </w:r>
      <w:r w:rsidR="00184355">
        <w:rPr>
          <w:rFonts w:eastAsia="Calibri"/>
        </w:rPr>
        <w:t>,</w:t>
      </w:r>
      <w:r w:rsidRPr="00B6657B">
        <w:rPr>
          <w:rFonts w:eastAsia="Calibri"/>
        </w:rPr>
        <w:t xml:space="preserve"> and</w:t>
      </w:r>
    </w:p>
    <w:p w14:paraId="0B5B90E1" w14:textId="4E16D600" w:rsidR="00B62C0D" w:rsidRPr="00B6657B" w:rsidRDefault="00B62C0D" w:rsidP="00B6657B">
      <w:pPr>
        <w:pStyle w:val="BodyText"/>
        <w:numPr>
          <w:ilvl w:val="0"/>
          <w:numId w:val="16"/>
        </w:numPr>
        <w:rPr>
          <w:rFonts w:eastAsia="Calibri"/>
        </w:rPr>
      </w:pPr>
      <w:r w:rsidRPr="00B6657B">
        <w:rPr>
          <w:rFonts w:eastAsia="Calibri"/>
        </w:rPr>
        <w:t>utilities.</w:t>
      </w:r>
    </w:p>
    <w:p w14:paraId="280EBCC5" w14:textId="530B5009" w:rsidR="009A1CF8" w:rsidRPr="00B6657B" w:rsidRDefault="00B62C0D" w:rsidP="00B6657B">
      <w:pPr>
        <w:pStyle w:val="BodyText"/>
        <w:rPr>
          <w:rFonts w:eastAsia="Calibri"/>
        </w:rPr>
      </w:pPr>
      <w:r w:rsidRPr="00B6657B">
        <w:rPr>
          <w:rFonts w:eastAsia="Calibri"/>
        </w:rPr>
        <w:t xml:space="preserve">Currently, Centrepay supports more than 600,000 customers to pay for goods and services across more than 15,000 businesses. </w:t>
      </w:r>
    </w:p>
    <w:p w14:paraId="03DAD4F2" w14:textId="4FA1DDD7" w:rsidR="00B62C0D" w:rsidRPr="00C96D9B" w:rsidRDefault="00B62C0D" w:rsidP="00B62C0D">
      <w:pPr>
        <w:pStyle w:val="Heading2"/>
        <w:rPr>
          <w:rFonts w:asciiTheme="minorHAnsi" w:hAnsiTheme="minorHAnsi"/>
        </w:rPr>
      </w:pPr>
      <w:bookmarkStart w:id="3" w:name="_Toc164256433"/>
      <w:r w:rsidRPr="00C96D9B">
        <w:rPr>
          <w:rFonts w:asciiTheme="minorHAnsi" w:hAnsiTheme="minorHAnsi"/>
        </w:rPr>
        <w:t>1.2 Centrepay Reform</w:t>
      </w:r>
      <w:bookmarkStart w:id="4" w:name="_Hlk158811330"/>
      <w:bookmarkEnd w:id="3"/>
    </w:p>
    <w:p w14:paraId="7F09DDD8" w14:textId="6D9CE914" w:rsidR="00B62C0D" w:rsidRDefault="00B62C0D" w:rsidP="00760441">
      <w:pPr>
        <w:pStyle w:val="BodyText"/>
        <w:rPr>
          <w:rFonts w:eastAsia="Calibri"/>
        </w:rPr>
      </w:pPr>
      <w:r w:rsidRPr="00B6657B">
        <w:rPr>
          <w:rFonts w:eastAsia="Calibri"/>
        </w:rPr>
        <w:t>Centrepay</w:t>
      </w:r>
      <w:r w:rsidR="00937BCD" w:rsidRPr="00B6657B">
        <w:rPr>
          <w:rFonts w:eastAsia="Calibri"/>
        </w:rPr>
        <w:t xml:space="preserve"> </w:t>
      </w:r>
      <w:r w:rsidR="00772135">
        <w:rPr>
          <w:rFonts w:eastAsia="Calibri"/>
        </w:rPr>
        <w:t xml:space="preserve">has aimed to provide </w:t>
      </w:r>
      <w:r w:rsidRPr="00B6657B">
        <w:rPr>
          <w:rFonts w:eastAsia="Calibri"/>
        </w:rPr>
        <w:t xml:space="preserve">a seamless and supportive process </w:t>
      </w:r>
      <w:r w:rsidR="00937BCD" w:rsidRPr="00B6657B">
        <w:rPr>
          <w:rFonts w:eastAsia="Calibri"/>
        </w:rPr>
        <w:t>for customers to self-manage</w:t>
      </w:r>
      <w:r w:rsidRPr="00B6657B">
        <w:rPr>
          <w:rFonts w:eastAsia="Calibri"/>
        </w:rPr>
        <w:t xml:space="preserve"> their </w:t>
      </w:r>
      <w:r w:rsidR="00ED77C4">
        <w:rPr>
          <w:rFonts w:eastAsia="Calibri"/>
        </w:rPr>
        <w:t>approved</w:t>
      </w:r>
      <w:r w:rsidRPr="00B6657B">
        <w:rPr>
          <w:rFonts w:eastAsia="Calibri"/>
        </w:rPr>
        <w:t xml:space="preserve"> goods and service</w:t>
      </w:r>
      <w:r w:rsidR="007E5011">
        <w:rPr>
          <w:rFonts w:eastAsia="Calibri"/>
        </w:rPr>
        <w:t xml:space="preserve"> </w:t>
      </w:r>
      <w:r w:rsidRPr="00B6657B">
        <w:rPr>
          <w:rFonts w:eastAsia="Calibri"/>
        </w:rPr>
        <w:t>expenses</w:t>
      </w:r>
      <w:r w:rsidR="007B7A92" w:rsidRPr="00B6657B">
        <w:rPr>
          <w:rFonts w:eastAsia="Calibri"/>
        </w:rPr>
        <w:t>.</w:t>
      </w:r>
      <w:r w:rsidR="00232396">
        <w:rPr>
          <w:rFonts w:eastAsia="Calibri"/>
        </w:rPr>
        <w:t xml:space="preserve"> </w:t>
      </w:r>
      <w:r w:rsidR="00772135">
        <w:rPr>
          <w:rFonts w:eastAsia="Calibri"/>
        </w:rPr>
        <w:t>The</w:t>
      </w:r>
      <w:r w:rsidR="00232396">
        <w:rPr>
          <w:rFonts w:eastAsia="Calibri"/>
        </w:rPr>
        <w:t xml:space="preserve"> </w:t>
      </w:r>
      <w:r w:rsidRPr="00B6657B">
        <w:rPr>
          <w:rFonts w:eastAsia="Calibri"/>
        </w:rPr>
        <w:t>agency</w:t>
      </w:r>
      <w:r w:rsidR="00772135">
        <w:rPr>
          <w:rFonts w:eastAsia="Calibri"/>
        </w:rPr>
        <w:t>,</w:t>
      </w:r>
      <w:r w:rsidRPr="00B6657B">
        <w:rPr>
          <w:rFonts w:eastAsia="Calibri"/>
        </w:rPr>
        <w:t xml:space="preserve"> </w:t>
      </w:r>
      <w:r w:rsidR="00772135">
        <w:rPr>
          <w:rFonts w:eastAsia="Calibri"/>
        </w:rPr>
        <w:t xml:space="preserve">however, </w:t>
      </w:r>
      <w:r w:rsidRPr="00B6657B">
        <w:rPr>
          <w:rFonts w:eastAsia="Calibri"/>
        </w:rPr>
        <w:t xml:space="preserve">recognises that for some customers Centrepay is not </w:t>
      </w:r>
      <w:r w:rsidR="00F965C3" w:rsidRPr="00B6657B">
        <w:rPr>
          <w:rFonts w:eastAsia="Calibri"/>
        </w:rPr>
        <w:t xml:space="preserve">operating in line </w:t>
      </w:r>
      <w:r w:rsidR="00F965C3">
        <w:rPr>
          <w:rFonts w:eastAsia="Calibri"/>
        </w:rPr>
        <w:t>with its</w:t>
      </w:r>
      <w:r w:rsidR="00F965C3" w:rsidRPr="00B6657B">
        <w:rPr>
          <w:rFonts w:eastAsia="Calibri"/>
        </w:rPr>
        <w:t xml:space="preserve"> objective</w:t>
      </w:r>
      <w:r w:rsidR="00F965C3">
        <w:rPr>
          <w:rFonts w:eastAsia="Calibri"/>
        </w:rPr>
        <w:t xml:space="preserve">, and that </w:t>
      </w:r>
      <w:r w:rsidR="00F965C3" w:rsidRPr="00B6657B">
        <w:rPr>
          <w:rFonts w:eastAsia="Calibri"/>
        </w:rPr>
        <w:t xml:space="preserve">the service </w:t>
      </w:r>
      <w:r w:rsidR="00F965C3">
        <w:rPr>
          <w:rFonts w:eastAsia="Calibri"/>
        </w:rPr>
        <w:t>requires further</w:t>
      </w:r>
      <w:r w:rsidRPr="00B6657B">
        <w:rPr>
          <w:rFonts w:eastAsia="Calibri"/>
        </w:rPr>
        <w:t xml:space="preserve"> level</w:t>
      </w:r>
      <w:r w:rsidR="00F965C3">
        <w:rPr>
          <w:rFonts w:eastAsia="Calibri"/>
        </w:rPr>
        <w:t>s</w:t>
      </w:r>
      <w:r w:rsidRPr="00B6657B">
        <w:rPr>
          <w:rFonts w:eastAsia="Calibri"/>
        </w:rPr>
        <w:t xml:space="preserve"> of support </w:t>
      </w:r>
      <w:r w:rsidR="00F965C3">
        <w:rPr>
          <w:rFonts w:eastAsia="Calibri"/>
        </w:rPr>
        <w:t>and</w:t>
      </w:r>
      <w:r w:rsidRPr="00B6657B">
        <w:rPr>
          <w:rFonts w:eastAsia="Calibri"/>
        </w:rPr>
        <w:t xml:space="preserve"> protections</w:t>
      </w:r>
      <w:r w:rsidR="00937BCD" w:rsidRPr="00B6657B">
        <w:rPr>
          <w:rFonts w:eastAsia="Calibri"/>
        </w:rPr>
        <w:t xml:space="preserve"> </w:t>
      </w:r>
      <w:r w:rsidR="00F965C3">
        <w:rPr>
          <w:rFonts w:eastAsia="Calibri"/>
        </w:rPr>
        <w:t>for customers</w:t>
      </w:r>
      <w:r w:rsidR="009A1CF8" w:rsidRPr="00B6657B">
        <w:rPr>
          <w:rFonts w:eastAsia="Calibri"/>
        </w:rPr>
        <w:t xml:space="preserve">. </w:t>
      </w:r>
    </w:p>
    <w:p w14:paraId="3890B229" w14:textId="2A51398F" w:rsidR="00B62C0D" w:rsidRDefault="00B62C0D" w:rsidP="00760441">
      <w:pPr>
        <w:pStyle w:val="BodyText"/>
        <w:rPr>
          <w:rFonts w:eastAsia="Calibri"/>
        </w:rPr>
      </w:pPr>
      <w:r w:rsidRPr="00B6657B">
        <w:rPr>
          <w:rFonts w:eastAsia="Calibri"/>
        </w:rPr>
        <w:t xml:space="preserve">The agency is committed to working closely with customers, peak </w:t>
      </w:r>
      <w:r w:rsidR="007B7A92" w:rsidRPr="00B6657B">
        <w:rPr>
          <w:rFonts w:eastAsia="Calibri"/>
        </w:rPr>
        <w:t xml:space="preserve">community </w:t>
      </w:r>
      <w:r w:rsidRPr="00B6657B">
        <w:rPr>
          <w:rFonts w:eastAsia="Calibri"/>
        </w:rPr>
        <w:t xml:space="preserve">advisory </w:t>
      </w:r>
      <w:r w:rsidR="007B7A92" w:rsidRPr="00B6657B">
        <w:rPr>
          <w:rFonts w:eastAsia="Calibri"/>
        </w:rPr>
        <w:t>groups</w:t>
      </w:r>
      <w:r w:rsidR="00ED0570">
        <w:rPr>
          <w:rFonts w:eastAsia="Calibri"/>
        </w:rPr>
        <w:t>, business</w:t>
      </w:r>
      <w:r w:rsidR="007B7A92" w:rsidRPr="00B6657B">
        <w:rPr>
          <w:rFonts w:eastAsia="Calibri"/>
        </w:rPr>
        <w:t xml:space="preserve"> </w:t>
      </w:r>
      <w:r w:rsidRPr="00B6657B">
        <w:rPr>
          <w:rFonts w:eastAsia="Calibri"/>
        </w:rPr>
        <w:t>and Government to strengthen and innovate</w:t>
      </w:r>
      <w:r w:rsidR="007B7A92" w:rsidRPr="00B6657B">
        <w:rPr>
          <w:rFonts w:eastAsia="Calibri"/>
        </w:rPr>
        <w:t xml:space="preserve"> the</w:t>
      </w:r>
      <w:r w:rsidRPr="00B6657B">
        <w:rPr>
          <w:rFonts w:eastAsia="Calibri"/>
        </w:rPr>
        <w:t xml:space="preserve"> Centrepay </w:t>
      </w:r>
      <w:r w:rsidR="007B7A92" w:rsidRPr="00B6657B">
        <w:rPr>
          <w:rFonts w:eastAsia="Calibri"/>
        </w:rPr>
        <w:t>service</w:t>
      </w:r>
      <w:r w:rsidR="00F965C3">
        <w:rPr>
          <w:rFonts w:eastAsia="Calibri"/>
        </w:rPr>
        <w:t>,</w:t>
      </w:r>
      <w:r w:rsidRPr="00B6657B">
        <w:rPr>
          <w:rFonts w:eastAsia="Calibri"/>
        </w:rPr>
        <w:t xml:space="preserve"> to ensure it meets the ongoing needs and expectations of customers and the broader community.</w:t>
      </w:r>
      <w:r w:rsidR="00FE1BCA">
        <w:rPr>
          <w:rFonts w:eastAsia="Calibri"/>
        </w:rPr>
        <w:t xml:space="preserve"> </w:t>
      </w:r>
    </w:p>
    <w:p w14:paraId="57F65FB4" w14:textId="3EF9B6A7" w:rsidR="00A816C4" w:rsidRDefault="00A816C4" w:rsidP="00A816C4">
      <w:pPr>
        <w:pStyle w:val="BodyText"/>
        <w:rPr>
          <w:rFonts w:eastAsia="Calibri"/>
        </w:rPr>
      </w:pPr>
      <w:r>
        <w:rPr>
          <w:rFonts w:eastAsia="Calibri"/>
        </w:rPr>
        <w:t>In undertaking this work, t</w:t>
      </w:r>
      <w:r w:rsidRPr="00EE348B">
        <w:rPr>
          <w:rFonts w:eastAsia="Calibri"/>
        </w:rPr>
        <w:t xml:space="preserve">he agency </w:t>
      </w:r>
      <w:r>
        <w:rPr>
          <w:rFonts w:eastAsia="Calibri"/>
        </w:rPr>
        <w:t>will also draw upon</w:t>
      </w:r>
      <w:r w:rsidRPr="00EE348B">
        <w:rPr>
          <w:rFonts w:eastAsia="Calibri"/>
        </w:rPr>
        <w:t xml:space="preserve"> </w:t>
      </w:r>
      <w:r>
        <w:rPr>
          <w:rFonts w:eastAsia="Calibri"/>
        </w:rPr>
        <w:t>insights and learnings from previous engagements</w:t>
      </w:r>
      <w:r w:rsidR="005D69B8">
        <w:rPr>
          <w:rFonts w:eastAsia="Calibri"/>
        </w:rPr>
        <w:t xml:space="preserve"> and reviews.</w:t>
      </w:r>
      <w:r w:rsidRPr="00EE348B">
        <w:rPr>
          <w:rFonts w:eastAsia="Calibri"/>
        </w:rPr>
        <w:t xml:space="preserve"> </w:t>
      </w:r>
    </w:p>
    <w:p w14:paraId="72C5283C" w14:textId="30248B8E" w:rsidR="00B62C0D" w:rsidRPr="00B6657B" w:rsidRDefault="00B62C0D" w:rsidP="00B6657B">
      <w:pPr>
        <w:pStyle w:val="Heading2"/>
        <w:rPr>
          <w:rFonts w:asciiTheme="minorHAnsi" w:hAnsiTheme="minorHAnsi"/>
        </w:rPr>
      </w:pPr>
      <w:bookmarkStart w:id="5" w:name="_Toc164256434"/>
      <w:r w:rsidRPr="00B6657B">
        <w:rPr>
          <w:rFonts w:asciiTheme="minorHAnsi" w:hAnsiTheme="minorHAnsi"/>
        </w:rPr>
        <w:t>1.3 Discussion Paper</w:t>
      </w:r>
      <w:bookmarkEnd w:id="5"/>
    </w:p>
    <w:p w14:paraId="37DEED83" w14:textId="45824D9F" w:rsidR="00B62C0D" w:rsidRPr="00B6657B" w:rsidRDefault="00B62C0D" w:rsidP="00B6657B">
      <w:pPr>
        <w:pStyle w:val="BodyText"/>
        <w:rPr>
          <w:rFonts w:eastAsia="Calibri"/>
        </w:rPr>
      </w:pPr>
      <w:r w:rsidRPr="00B6657B">
        <w:rPr>
          <w:rFonts w:eastAsia="Calibri"/>
        </w:rPr>
        <w:t xml:space="preserve">The purpose of this </w:t>
      </w:r>
      <w:r w:rsidR="009F0DDB" w:rsidRPr="00B6657B">
        <w:rPr>
          <w:rFonts w:eastAsia="Calibri"/>
        </w:rPr>
        <w:t>p</w:t>
      </w:r>
      <w:r w:rsidRPr="00B6657B">
        <w:rPr>
          <w:rFonts w:eastAsia="Calibri"/>
        </w:rPr>
        <w:t xml:space="preserve">aper is to seek feedback and insights from </w:t>
      </w:r>
      <w:r w:rsidR="00F965C3">
        <w:rPr>
          <w:rFonts w:eastAsia="Calibri"/>
        </w:rPr>
        <w:t>key stakeholders and the</w:t>
      </w:r>
      <w:r w:rsidRPr="00B6657B">
        <w:rPr>
          <w:rFonts w:eastAsia="Calibri"/>
        </w:rPr>
        <w:t xml:space="preserve"> community to support (and inform) the agency’s work </w:t>
      </w:r>
      <w:r w:rsidR="00B554AA">
        <w:rPr>
          <w:rFonts w:eastAsia="Calibri"/>
        </w:rPr>
        <w:t>i</w:t>
      </w:r>
      <w:r w:rsidRPr="00B6657B">
        <w:rPr>
          <w:rFonts w:eastAsia="Calibri"/>
        </w:rPr>
        <w:t xml:space="preserve">n reforming the Centrepay </w:t>
      </w:r>
      <w:r w:rsidR="007B7A92" w:rsidRPr="00B6657B">
        <w:rPr>
          <w:rFonts w:eastAsia="Calibri"/>
        </w:rPr>
        <w:t>service</w:t>
      </w:r>
      <w:r w:rsidRPr="00B6657B">
        <w:rPr>
          <w:rFonts w:eastAsia="Calibri"/>
        </w:rPr>
        <w:t xml:space="preserve">. </w:t>
      </w:r>
    </w:p>
    <w:p w14:paraId="7E4A8092" w14:textId="32E8A674" w:rsidR="00B62C0D" w:rsidRPr="00B6657B" w:rsidRDefault="007B7A92" w:rsidP="00B6657B">
      <w:pPr>
        <w:pStyle w:val="BodyText"/>
        <w:rPr>
          <w:rFonts w:eastAsia="Calibri"/>
        </w:rPr>
      </w:pPr>
      <w:r w:rsidRPr="00B6657B">
        <w:rPr>
          <w:rFonts w:eastAsia="Calibri"/>
        </w:rPr>
        <w:t xml:space="preserve">In </w:t>
      </w:r>
      <w:r w:rsidR="00B62C0D" w:rsidRPr="00B6657B">
        <w:rPr>
          <w:rFonts w:eastAsia="Calibri"/>
        </w:rPr>
        <w:t>January 2024</w:t>
      </w:r>
      <w:r w:rsidRPr="00B6657B">
        <w:rPr>
          <w:rFonts w:eastAsia="Calibri"/>
        </w:rPr>
        <w:t>, the agency convened a</w:t>
      </w:r>
      <w:r w:rsidR="00B62C0D" w:rsidRPr="00B6657B">
        <w:rPr>
          <w:rFonts w:eastAsia="Calibri"/>
        </w:rPr>
        <w:t xml:space="preserve"> Centrepay Reform Design Workshop,</w:t>
      </w:r>
      <w:r w:rsidRPr="00B6657B">
        <w:rPr>
          <w:rFonts w:eastAsia="Calibri"/>
        </w:rPr>
        <w:t xml:space="preserve"> where</w:t>
      </w:r>
      <w:r w:rsidR="00B62C0D" w:rsidRPr="00B6657B">
        <w:rPr>
          <w:rFonts w:eastAsia="Calibri"/>
        </w:rPr>
        <w:t xml:space="preserve"> representatives from</w:t>
      </w:r>
      <w:r w:rsidRPr="00B6657B">
        <w:rPr>
          <w:rFonts w:eastAsia="Calibri"/>
        </w:rPr>
        <w:t xml:space="preserve"> advocacy groups</w:t>
      </w:r>
      <w:r w:rsidR="00B62C0D" w:rsidRPr="00B6657B">
        <w:rPr>
          <w:rFonts w:eastAsia="Calibri"/>
        </w:rPr>
        <w:t xml:space="preserve"> assisted the agency to identify the following key priority areas for reform:</w:t>
      </w:r>
    </w:p>
    <w:p w14:paraId="0B3353E8" w14:textId="386CFBDB" w:rsidR="00B62C0D" w:rsidRPr="00B6657B" w:rsidRDefault="00F354DA" w:rsidP="00B6657B">
      <w:pPr>
        <w:pStyle w:val="BodyText"/>
        <w:numPr>
          <w:ilvl w:val="0"/>
          <w:numId w:val="16"/>
        </w:numPr>
        <w:rPr>
          <w:rFonts w:eastAsia="Calibri"/>
        </w:rPr>
      </w:pPr>
      <w:r>
        <w:rPr>
          <w:rFonts w:eastAsia="Calibri"/>
        </w:rPr>
        <w:t>p</w:t>
      </w:r>
      <w:r w:rsidR="00B62C0D" w:rsidRPr="00B6657B">
        <w:rPr>
          <w:rFonts w:eastAsia="Calibri"/>
        </w:rPr>
        <w:t xml:space="preserve">olicy </w:t>
      </w:r>
      <w:r>
        <w:rPr>
          <w:rFonts w:eastAsia="Calibri"/>
        </w:rPr>
        <w:t>i</w:t>
      </w:r>
      <w:r w:rsidR="00B62C0D" w:rsidRPr="00B6657B">
        <w:rPr>
          <w:rFonts w:eastAsia="Calibri"/>
        </w:rPr>
        <w:t>ntent</w:t>
      </w:r>
      <w:r w:rsidR="00A816C4">
        <w:rPr>
          <w:rFonts w:eastAsia="Calibri"/>
        </w:rPr>
        <w:t>,</w:t>
      </w:r>
    </w:p>
    <w:p w14:paraId="4B26B04A" w14:textId="47E74465" w:rsidR="00B62C0D" w:rsidRPr="00B6657B" w:rsidRDefault="00B554AA" w:rsidP="00B6657B">
      <w:pPr>
        <w:pStyle w:val="BodyText"/>
        <w:numPr>
          <w:ilvl w:val="0"/>
          <w:numId w:val="16"/>
        </w:numPr>
        <w:rPr>
          <w:rFonts w:eastAsia="Calibri"/>
        </w:rPr>
      </w:pPr>
      <w:r>
        <w:rPr>
          <w:rFonts w:eastAsia="Calibri"/>
        </w:rPr>
        <w:t>c</w:t>
      </w:r>
      <w:r w:rsidR="00B62C0D" w:rsidRPr="00B6657B">
        <w:rPr>
          <w:rFonts w:eastAsia="Calibri"/>
        </w:rPr>
        <w:t xml:space="preserve">ustomer </w:t>
      </w:r>
      <w:r w:rsidR="00F354DA">
        <w:rPr>
          <w:rFonts w:eastAsia="Calibri"/>
        </w:rPr>
        <w:t>e</w:t>
      </w:r>
      <w:r w:rsidR="00B62C0D" w:rsidRPr="00B6657B">
        <w:rPr>
          <w:rFonts w:eastAsia="Calibri"/>
        </w:rPr>
        <w:t>xperience</w:t>
      </w:r>
      <w:r w:rsidR="00A816C4">
        <w:rPr>
          <w:rFonts w:eastAsia="Calibri"/>
        </w:rPr>
        <w:t>,</w:t>
      </w:r>
    </w:p>
    <w:p w14:paraId="2645EBE3" w14:textId="0773DA7D" w:rsidR="00B62C0D" w:rsidRPr="00B6657B" w:rsidRDefault="00B554AA" w:rsidP="00B6657B">
      <w:pPr>
        <w:pStyle w:val="BodyText"/>
        <w:numPr>
          <w:ilvl w:val="0"/>
          <w:numId w:val="16"/>
        </w:numPr>
        <w:rPr>
          <w:rFonts w:eastAsia="Calibri"/>
        </w:rPr>
      </w:pPr>
      <w:r>
        <w:rPr>
          <w:rFonts w:eastAsia="Calibri"/>
        </w:rPr>
        <w:t>c</w:t>
      </w:r>
      <w:r w:rsidR="00B62C0D" w:rsidRPr="00B6657B">
        <w:rPr>
          <w:rFonts w:eastAsia="Calibri"/>
        </w:rPr>
        <w:t xml:space="preserve">ommunication and </w:t>
      </w:r>
      <w:r w:rsidR="00F354DA">
        <w:rPr>
          <w:rFonts w:eastAsia="Calibri"/>
        </w:rPr>
        <w:t>e</w:t>
      </w:r>
      <w:r w:rsidR="00B62C0D" w:rsidRPr="00B6657B">
        <w:rPr>
          <w:rFonts w:eastAsia="Calibri"/>
        </w:rPr>
        <w:t>ducation</w:t>
      </w:r>
      <w:r w:rsidR="00A816C4">
        <w:rPr>
          <w:rFonts w:eastAsia="Calibri"/>
        </w:rPr>
        <w:t>,</w:t>
      </w:r>
      <w:r w:rsidR="00B62C0D" w:rsidRPr="00B6657B">
        <w:rPr>
          <w:rFonts w:eastAsia="Calibri"/>
        </w:rPr>
        <w:t xml:space="preserve"> and</w:t>
      </w:r>
    </w:p>
    <w:p w14:paraId="6377379C" w14:textId="252C25BB" w:rsidR="00B62C0D" w:rsidRPr="00B6657B" w:rsidRDefault="00B554AA" w:rsidP="00B6657B">
      <w:pPr>
        <w:pStyle w:val="BodyText"/>
        <w:numPr>
          <w:ilvl w:val="0"/>
          <w:numId w:val="16"/>
        </w:numPr>
        <w:rPr>
          <w:rFonts w:eastAsia="Calibri"/>
        </w:rPr>
      </w:pPr>
      <w:r>
        <w:rPr>
          <w:rFonts w:eastAsia="Calibri"/>
        </w:rPr>
        <w:t>c</w:t>
      </w:r>
      <w:r w:rsidR="00B62C0D" w:rsidRPr="00B6657B">
        <w:rPr>
          <w:rFonts w:eastAsia="Calibri"/>
        </w:rPr>
        <w:t>ompliance</w:t>
      </w:r>
      <w:r w:rsidR="003346F7">
        <w:rPr>
          <w:rFonts w:eastAsia="Calibri"/>
        </w:rPr>
        <w:t>.</w:t>
      </w:r>
    </w:p>
    <w:p w14:paraId="6F9D34D5" w14:textId="23C9EFC6" w:rsidR="00B62C0D" w:rsidRPr="00B6657B" w:rsidRDefault="00B62C0D" w:rsidP="00B6657B">
      <w:pPr>
        <w:pStyle w:val="BodyText"/>
        <w:rPr>
          <w:rFonts w:eastAsia="Calibri"/>
        </w:rPr>
      </w:pPr>
      <w:r w:rsidRPr="00B6657B">
        <w:rPr>
          <w:rFonts w:eastAsia="Calibri"/>
        </w:rPr>
        <w:t>While this paper focuses on the</w:t>
      </w:r>
      <w:r w:rsidR="00B554AA">
        <w:rPr>
          <w:rFonts w:eastAsia="Calibri"/>
        </w:rPr>
        <w:t>se</w:t>
      </w:r>
      <w:r w:rsidRPr="00B6657B">
        <w:rPr>
          <w:rFonts w:eastAsia="Calibri"/>
        </w:rPr>
        <w:t xml:space="preserve"> reform elements, these are not exhaustive, and the agency encourages you to address any further areas for improvement as part of your response</w:t>
      </w:r>
      <w:r w:rsidR="00B554AA">
        <w:rPr>
          <w:rFonts w:eastAsia="Calibri"/>
        </w:rPr>
        <w:t>s</w:t>
      </w:r>
      <w:r w:rsidRPr="00B6657B">
        <w:rPr>
          <w:rFonts w:eastAsia="Calibri"/>
        </w:rPr>
        <w:t xml:space="preserve">. </w:t>
      </w:r>
    </w:p>
    <w:p w14:paraId="7D00D56C" w14:textId="33D7F029" w:rsidR="00B62C0D" w:rsidRPr="00C96D9B" w:rsidRDefault="00B62C0D" w:rsidP="00232396">
      <w:pPr>
        <w:pStyle w:val="Heading2"/>
      </w:pPr>
      <w:bookmarkStart w:id="6" w:name="_Toc164256435"/>
      <w:bookmarkEnd w:id="4"/>
      <w:r w:rsidRPr="00C96D9B">
        <w:lastRenderedPageBreak/>
        <w:t>1.4 Your feedback</w:t>
      </w:r>
      <w:bookmarkEnd w:id="6"/>
    </w:p>
    <w:p w14:paraId="24088ECA" w14:textId="2C808330" w:rsidR="00B62C0D" w:rsidRPr="00B6657B" w:rsidRDefault="00B62C0D" w:rsidP="00B62C0D">
      <w:pPr>
        <w:spacing w:before="0" w:after="160" w:line="259" w:lineRule="auto"/>
        <w:rPr>
          <w:rFonts w:eastAsia="Calibri"/>
        </w:rPr>
      </w:pPr>
      <w:r w:rsidRPr="00B6657B">
        <w:rPr>
          <w:rFonts w:eastAsia="Calibri"/>
        </w:rPr>
        <w:t xml:space="preserve">To assist the feedback process, the agency has posed a series of questions throughout this </w:t>
      </w:r>
      <w:r w:rsidR="009F0DDB" w:rsidRPr="00B6657B">
        <w:rPr>
          <w:rFonts w:eastAsia="Calibri"/>
        </w:rPr>
        <w:t>consultation</w:t>
      </w:r>
      <w:r w:rsidRPr="00B6657B">
        <w:rPr>
          <w:rFonts w:eastAsia="Calibri"/>
        </w:rPr>
        <w:t xml:space="preserve"> paper for your consideration and contribution. </w:t>
      </w:r>
    </w:p>
    <w:p w14:paraId="775AAD47" w14:textId="0BFE48B8" w:rsidR="00B62C0D" w:rsidRPr="00B6657B" w:rsidRDefault="00B554AA" w:rsidP="00B62C0D">
      <w:pPr>
        <w:spacing w:before="0" w:after="160" w:line="259" w:lineRule="auto"/>
        <w:rPr>
          <w:rFonts w:eastAsia="Calibri"/>
        </w:rPr>
      </w:pPr>
      <w:r w:rsidRPr="00B6657B">
        <w:rPr>
          <w:rFonts w:eastAsia="Calibri"/>
        </w:rPr>
        <w:t>Similarly,</w:t>
      </w:r>
      <w:r w:rsidR="007B7A92" w:rsidRPr="00B6657B">
        <w:rPr>
          <w:rFonts w:eastAsia="Calibri"/>
        </w:rPr>
        <w:t xml:space="preserve"> to </w:t>
      </w:r>
      <w:r w:rsidR="00B62C0D" w:rsidRPr="00B6657B">
        <w:rPr>
          <w:rFonts w:eastAsia="Calibri"/>
        </w:rPr>
        <w:t xml:space="preserve">the key </w:t>
      </w:r>
      <w:r w:rsidRPr="00B6657B">
        <w:rPr>
          <w:rFonts w:eastAsia="Calibri"/>
        </w:rPr>
        <w:t>areas</w:t>
      </w:r>
      <w:r w:rsidR="00B62C0D" w:rsidRPr="00B6657B">
        <w:rPr>
          <w:rFonts w:eastAsia="Calibri"/>
        </w:rPr>
        <w:t xml:space="preserve"> </w:t>
      </w:r>
      <w:r w:rsidR="007B7A92" w:rsidRPr="00B6657B">
        <w:rPr>
          <w:rFonts w:eastAsia="Calibri"/>
        </w:rPr>
        <w:t>for</w:t>
      </w:r>
      <w:r w:rsidR="00B62C0D" w:rsidRPr="00B6657B">
        <w:rPr>
          <w:rFonts w:eastAsia="Calibri"/>
        </w:rPr>
        <w:t xml:space="preserve"> reform, these questions are </w:t>
      </w:r>
      <w:r>
        <w:rPr>
          <w:rFonts w:eastAsia="Calibri"/>
        </w:rPr>
        <w:t xml:space="preserve">designed as a guide only to seek your views on </w:t>
      </w:r>
      <w:r w:rsidR="00B62C0D" w:rsidRPr="00B6657B">
        <w:rPr>
          <w:rFonts w:eastAsia="Calibri"/>
        </w:rPr>
        <w:t>critical reform elements.</w:t>
      </w:r>
    </w:p>
    <w:p w14:paraId="6CB66B16" w14:textId="46373CD8" w:rsidR="00B62C0D" w:rsidRPr="00B6657B" w:rsidRDefault="00B62C0D" w:rsidP="00B62C0D">
      <w:pPr>
        <w:spacing w:before="0" w:after="160" w:line="259" w:lineRule="auto"/>
        <w:rPr>
          <w:rFonts w:eastAsia="Calibri"/>
        </w:rPr>
      </w:pPr>
      <w:r w:rsidRPr="00B6657B">
        <w:rPr>
          <w:rFonts w:eastAsia="Calibri"/>
        </w:rPr>
        <w:t xml:space="preserve">Your feedback will assist the agency in building a stronger </w:t>
      </w:r>
      <w:r w:rsidR="007B7A92" w:rsidRPr="00B6657B">
        <w:rPr>
          <w:rFonts w:eastAsia="Calibri"/>
        </w:rPr>
        <w:t>service</w:t>
      </w:r>
      <w:r w:rsidRPr="00B6657B">
        <w:rPr>
          <w:rFonts w:eastAsia="Calibri"/>
        </w:rPr>
        <w:t xml:space="preserve"> that meets the needs and expectations of the community.</w:t>
      </w:r>
    </w:p>
    <w:p w14:paraId="34E9184C" w14:textId="12627908" w:rsidR="00B62C0D" w:rsidRPr="00B6657B" w:rsidRDefault="00B62C0D" w:rsidP="00B62C0D">
      <w:pPr>
        <w:spacing w:before="0" w:after="160" w:line="259" w:lineRule="auto"/>
        <w:rPr>
          <w:rFonts w:eastAsia="Calibri" w:cs="Times New Roman"/>
          <w:kern w:val="2"/>
          <w:szCs w:val="20"/>
          <w14:ligatures w14:val="standardContextual"/>
        </w:rPr>
      </w:pPr>
      <w:r w:rsidRPr="00B6657B">
        <w:rPr>
          <w:rFonts w:eastAsia="Calibri"/>
        </w:rPr>
        <w:t>Submissions</w:t>
      </w:r>
      <w:r w:rsidRPr="00B6657B">
        <w:rPr>
          <w:rFonts w:eastAsia="Calibri" w:cs="Times New Roman"/>
          <w:kern w:val="2"/>
          <w:szCs w:val="20"/>
          <w14:ligatures w14:val="standardContextual"/>
        </w:rPr>
        <w:t xml:space="preserve"> can be made </w:t>
      </w:r>
      <w:r w:rsidR="00772135">
        <w:rPr>
          <w:szCs w:val="20"/>
        </w:rPr>
        <w:t>via the DSS Engage platform.</w:t>
      </w:r>
    </w:p>
    <w:p w14:paraId="6D55E3FD" w14:textId="64482B53" w:rsidR="00B62C0D" w:rsidRPr="00B6657B" w:rsidRDefault="00B62C0D" w:rsidP="00B62C0D">
      <w:pPr>
        <w:spacing w:before="0" w:after="160" w:line="259" w:lineRule="auto"/>
        <w:rPr>
          <w:rFonts w:eastAsia="Calibri" w:cs="Times New Roman"/>
          <w:kern w:val="2"/>
          <w:szCs w:val="20"/>
          <w14:ligatures w14:val="standardContextual"/>
        </w:rPr>
      </w:pPr>
      <w:r w:rsidRPr="00B6657B">
        <w:rPr>
          <w:rFonts w:eastAsia="Calibri" w:cs="Times New Roman"/>
          <w:kern w:val="2"/>
          <w:szCs w:val="20"/>
          <w14:ligatures w14:val="standardContextual"/>
        </w:rPr>
        <w:t xml:space="preserve">Submissions will close </w:t>
      </w:r>
      <w:r w:rsidR="008E4EB5">
        <w:rPr>
          <w:rFonts w:eastAsia="Calibri" w:cs="Times New Roman"/>
          <w:kern w:val="2"/>
          <w:szCs w:val="20"/>
          <w14:ligatures w14:val="standardContextual"/>
        </w:rPr>
        <w:t xml:space="preserve">at </w:t>
      </w:r>
      <w:r w:rsidR="000F1920">
        <w:rPr>
          <w:rFonts w:eastAsia="Calibri" w:cs="Times New Roman"/>
          <w:kern w:val="2"/>
          <w:szCs w:val="20"/>
          <w14:ligatures w14:val="standardContextual"/>
        </w:rPr>
        <w:t>11.59pm AEST</w:t>
      </w:r>
      <w:r w:rsidR="008E4EB5">
        <w:rPr>
          <w:rFonts w:eastAsia="Calibri" w:cs="Times New Roman"/>
          <w:kern w:val="2"/>
          <w:szCs w:val="20"/>
          <w14:ligatures w14:val="standardContextual"/>
        </w:rPr>
        <w:t xml:space="preserve"> on </w:t>
      </w:r>
      <w:r w:rsidR="00571E2E">
        <w:rPr>
          <w:rFonts w:eastAsia="Calibri" w:cs="Times New Roman"/>
          <w:kern w:val="2"/>
          <w:szCs w:val="20"/>
          <w14:ligatures w14:val="standardContextual"/>
        </w:rPr>
        <w:t>Wednesday</w:t>
      </w:r>
      <w:r w:rsidR="008E4EB5">
        <w:rPr>
          <w:rFonts w:eastAsia="Calibri" w:cs="Times New Roman"/>
          <w:kern w:val="2"/>
          <w:szCs w:val="20"/>
          <w14:ligatures w14:val="standardContextual"/>
        </w:rPr>
        <w:t xml:space="preserve"> </w:t>
      </w:r>
      <w:r w:rsidR="00297231">
        <w:rPr>
          <w:rFonts w:eastAsia="Calibri" w:cs="Times New Roman"/>
          <w:kern w:val="2"/>
          <w:szCs w:val="20"/>
          <w14:ligatures w14:val="standardContextual"/>
        </w:rPr>
        <w:t>10</w:t>
      </w:r>
      <w:r w:rsidR="008E4EB5">
        <w:rPr>
          <w:rFonts w:eastAsia="Calibri" w:cs="Times New Roman"/>
          <w:kern w:val="2"/>
          <w:szCs w:val="20"/>
          <w14:ligatures w14:val="standardContextual"/>
        </w:rPr>
        <w:t xml:space="preserve"> July</w:t>
      </w:r>
      <w:r w:rsidR="00E05ED2">
        <w:rPr>
          <w:rFonts w:eastAsia="Calibri" w:cs="Times New Roman"/>
          <w:kern w:val="2"/>
          <w:szCs w:val="20"/>
          <w14:ligatures w14:val="standardContextual"/>
        </w:rPr>
        <w:t xml:space="preserve"> 2024.</w:t>
      </w:r>
    </w:p>
    <w:p w14:paraId="0DB54DD7" w14:textId="77777777" w:rsidR="00B6657B" w:rsidRDefault="00B6657B" w:rsidP="00B6657B">
      <w:pPr>
        <w:spacing w:before="0" w:after="160" w:line="259" w:lineRule="auto"/>
        <w:rPr>
          <w:rFonts w:asciiTheme="majorHAnsi" w:hAnsiTheme="majorHAnsi"/>
          <w:b/>
          <w:bCs/>
          <w:color w:val="1B365D" w:themeColor="accent2"/>
          <w:kern w:val="32"/>
          <w:sz w:val="48"/>
          <w:szCs w:val="40"/>
        </w:rPr>
      </w:pPr>
    </w:p>
    <w:p w14:paraId="369CED63" w14:textId="77777777" w:rsidR="00B6657B" w:rsidRDefault="00B6657B" w:rsidP="00B6657B">
      <w:pPr>
        <w:spacing w:before="0" w:after="160" w:line="259" w:lineRule="auto"/>
        <w:rPr>
          <w:rFonts w:asciiTheme="majorHAnsi" w:hAnsiTheme="majorHAnsi"/>
          <w:b/>
          <w:bCs/>
          <w:color w:val="1B365D" w:themeColor="accent2"/>
          <w:kern w:val="32"/>
          <w:sz w:val="48"/>
          <w:szCs w:val="40"/>
        </w:rPr>
      </w:pPr>
    </w:p>
    <w:p w14:paraId="1D8BEDB8" w14:textId="77777777" w:rsidR="00B6657B" w:rsidRDefault="00B6657B" w:rsidP="00B6657B">
      <w:pPr>
        <w:spacing w:before="0" w:after="160" w:line="259" w:lineRule="auto"/>
        <w:rPr>
          <w:rFonts w:asciiTheme="majorHAnsi" w:hAnsiTheme="majorHAnsi"/>
          <w:b/>
          <w:bCs/>
          <w:color w:val="1B365D" w:themeColor="accent2"/>
          <w:kern w:val="32"/>
          <w:sz w:val="48"/>
          <w:szCs w:val="40"/>
        </w:rPr>
      </w:pPr>
    </w:p>
    <w:p w14:paraId="4A6FB65F" w14:textId="77777777" w:rsidR="00B6657B" w:rsidRDefault="00B6657B" w:rsidP="00B6657B">
      <w:pPr>
        <w:spacing w:before="0" w:after="160" w:line="259" w:lineRule="auto"/>
        <w:rPr>
          <w:rFonts w:asciiTheme="majorHAnsi" w:hAnsiTheme="majorHAnsi"/>
          <w:b/>
          <w:bCs/>
          <w:color w:val="1B365D" w:themeColor="accent2"/>
          <w:kern w:val="32"/>
          <w:sz w:val="48"/>
          <w:szCs w:val="40"/>
        </w:rPr>
      </w:pPr>
    </w:p>
    <w:p w14:paraId="2C7D4710" w14:textId="77777777" w:rsidR="00B6657B" w:rsidRDefault="00B6657B" w:rsidP="00B6657B">
      <w:pPr>
        <w:spacing w:before="0" w:after="160" w:line="259" w:lineRule="auto"/>
        <w:rPr>
          <w:rFonts w:asciiTheme="majorHAnsi" w:hAnsiTheme="majorHAnsi"/>
          <w:b/>
          <w:bCs/>
          <w:color w:val="1B365D" w:themeColor="accent2"/>
          <w:kern w:val="32"/>
          <w:sz w:val="48"/>
          <w:szCs w:val="40"/>
        </w:rPr>
      </w:pPr>
    </w:p>
    <w:p w14:paraId="060E5CB5" w14:textId="77777777" w:rsidR="00232396" w:rsidRDefault="00232396">
      <w:pPr>
        <w:spacing w:before="0" w:after="0"/>
        <w:rPr>
          <w:rFonts w:asciiTheme="majorHAnsi" w:hAnsiTheme="majorHAnsi"/>
          <w:b/>
          <w:bCs/>
          <w:color w:val="1B365D" w:themeColor="accent2"/>
          <w:kern w:val="32"/>
          <w:sz w:val="48"/>
          <w:szCs w:val="48"/>
        </w:rPr>
      </w:pPr>
      <w:r>
        <w:rPr>
          <w:szCs w:val="48"/>
        </w:rPr>
        <w:br w:type="page"/>
      </w:r>
    </w:p>
    <w:p w14:paraId="11E340C3" w14:textId="3B820534" w:rsidR="000E735D" w:rsidRPr="00C96D9B" w:rsidRDefault="000E735D" w:rsidP="000E735D">
      <w:pPr>
        <w:pStyle w:val="Heading1"/>
      </w:pPr>
      <w:bookmarkStart w:id="7" w:name="_Toc164256436"/>
      <w:r>
        <w:lastRenderedPageBreak/>
        <w:t>2. Policy Intent</w:t>
      </w:r>
      <w:bookmarkEnd w:id="7"/>
    </w:p>
    <w:p w14:paraId="48B5C302" w14:textId="10F53D53" w:rsidR="00B62C0D" w:rsidRPr="00C96D9B" w:rsidRDefault="00C96D9B" w:rsidP="2C7069E1">
      <w:pPr>
        <w:pStyle w:val="Heading2"/>
        <w:rPr>
          <w:rFonts w:asciiTheme="minorHAnsi" w:eastAsia="Calibri" w:hAnsiTheme="minorHAnsi"/>
        </w:rPr>
      </w:pPr>
      <w:bookmarkStart w:id="8" w:name="_Toc164256437"/>
      <w:r w:rsidRPr="2C7069E1">
        <w:rPr>
          <w:rFonts w:asciiTheme="minorHAnsi" w:eastAsia="Calibri" w:hAnsiTheme="minorHAnsi"/>
        </w:rPr>
        <w:t>2</w:t>
      </w:r>
      <w:r w:rsidR="00B62C0D" w:rsidRPr="2C7069E1">
        <w:rPr>
          <w:rFonts w:asciiTheme="minorHAnsi" w:eastAsia="Calibri" w:hAnsiTheme="minorHAnsi"/>
        </w:rPr>
        <w:t>.1 Centrepay Objective</w:t>
      </w:r>
      <w:bookmarkEnd w:id="8"/>
    </w:p>
    <w:p w14:paraId="28CCE33E" w14:textId="37F05FB3" w:rsidR="00B62C0D" w:rsidRPr="00640E41" w:rsidRDefault="00B62C0D" w:rsidP="00B6657B">
      <w:pPr>
        <w:spacing w:before="0" w:after="0"/>
        <w:rPr>
          <w:rFonts w:cs="Times New Roman"/>
          <w:kern w:val="2"/>
          <w:szCs w:val="20"/>
          <w14:ligatures w14:val="standardContextual"/>
        </w:rPr>
      </w:pPr>
      <w:r w:rsidRPr="00640E41">
        <w:rPr>
          <w:rFonts w:cs="Times New Roman"/>
          <w:kern w:val="2"/>
          <w:szCs w:val="20"/>
          <w14:ligatures w14:val="standardContextual"/>
        </w:rPr>
        <w:t xml:space="preserve">The current </w:t>
      </w:r>
      <w:r w:rsidRPr="00640E41">
        <w:rPr>
          <w:rFonts w:cs="Times New Roman"/>
          <w:i/>
          <w:iCs/>
          <w:kern w:val="2"/>
          <w:szCs w:val="20"/>
          <w14:ligatures w14:val="standardContextual"/>
        </w:rPr>
        <w:t>Centrepay Policy and Terms</w:t>
      </w:r>
      <w:r w:rsidR="00734E47" w:rsidRPr="00640E41">
        <w:rPr>
          <w:rFonts w:cs="Times New Roman"/>
          <w:i/>
          <w:iCs/>
          <w:kern w:val="2"/>
          <w:szCs w:val="20"/>
          <w14:ligatures w14:val="standardContextual"/>
        </w:rPr>
        <w:t xml:space="preserve"> </w:t>
      </w:r>
      <w:r w:rsidR="00734E47" w:rsidRPr="00640E41">
        <w:rPr>
          <w:rFonts w:cs="Times New Roman"/>
          <w:kern w:val="2"/>
          <w:szCs w:val="20"/>
          <w14:ligatures w14:val="standardContextual"/>
        </w:rPr>
        <w:t>outline the</w:t>
      </w:r>
      <w:r w:rsidRPr="00640E41">
        <w:rPr>
          <w:rFonts w:cs="Times New Roman"/>
          <w:kern w:val="2"/>
          <w:szCs w:val="20"/>
          <w14:ligatures w14:val="standardContextual"/>
        </w:rPr>
        <w:t xml:space="preserve"> </w:t>
      </w:r>
      <w:r w:rsidR="00734E47" w:rsidRPr="00640E41">
        <w:rPr>
          <w:rFonts w:cs="Times New Roman"/>
          <w:kern w:val="2"/>
          <w:szCs w:val="20"/>
          <w14:ligatures w14:val="standardContextual"/>
        </w:rPr>
        <w:t xml:space="preserve">Centrepay service </w:t>
      </w:r>
      <w:r w:rsidRPr="00640E41">
        <w:rPr>
          <w:rFonts w:cs="Times New Roman"/>
          <w:kern w:val="2"/>
          <w:szCs w:val="20"/>
          <w14:ligatures w14:val="standardContextual"/>
        </w:rPr>
        <w:t>objective:</w:t>
      </w:r>
    </w:p>
    <w:p w14:paraId="4B456605" w14:textId="72A00384" w:rsidR="00B6657B" w:rsidRDefault="00B62C0D" w:rsidP="00B6657B">
      <w:pPr>
        <w:ind w:left="720"/>
        <w:rPr>
          <w:rFonts w:cs="Times New Roman"/>
          <w:i/>
          <w:iCs/>
          <w:kern w:val="2"/>
          <w:szCs w:val="20"/>
          <w14:ligatures w14:val="standardContextual"/>
        </w:rPr>
      </w:pPr>
      <w:r w:rsidRPr="2C7069E1">
        <w:rPr>
          <w:rFonts w:cs="Times New Roman"/>
          <w:i/>
          <w:iCs/>
          <w:kern w:val="2"/>
          <w14:ligatures w14:val="standardContextual"/>
        </w:rPr>
        <w:t xml:space="preserve">‘The objective of Centrepay is to assist </w:t>
      </w:r>
      <w:r w:rsidR="000E1BED" w:rsidRPr="2C7069E1">
        <w:rPr>
          <w:rFonts w:cs="Times New Roman"/>
          <w:i/>
          <w:iCs/>
          <w:kern w:val="2"/>
          <w14:ligatures w14:val="standardContextual"/>
        </w:rPr>
        <w:t>c</w:t>
      </w:r>
      <w:r w:rsidRPr="2C7069E1">
        <w:rPr>
          <w:rFonts w:cs="Times New Roman"/>
          <w:i/>
          <w:iCs/>
          <w:kern w:val="2"/>
          <w14:ligatures w14:val="standardContextual"/>
        </w:rPr>
        <w:t xml:space="preserve">ustomers in managing expenses that are consistent with the purpose of welfare payments, and reducing financial risk, by providing a facility to have regular </w:t>
      </w:r>
      <w:r w:rsidR="000E1BED" w:rsidRPr="2C7069E1">
        <w:rPr>
          <w:rFonts w:cs="Times New Roman"/>
          <w:i/>
          <w:iCs/>
          <w:kern w:val="2"/>
          <w14:ligatures w14:val="standardContextual"/>
        </w:rPr>
        <w:t>d</w:t>
      </w:r>
      <w:r w:rsidRPr="2C7069E1">
        <w:rPr>
          <w:rFonts w:cs="Times New Roman"/>
          <w:i/>
          <w:iCs/>
          <w:kern w:val="2"/>
          <w14:ligatures w14:val="standardContextual"/>
        </w:rPr>
        <w:t>eductions made from their welfare payments.’</w:t>
      </w:r>
    </w:p>
    <w:p w14:paraId="493E8163" w14:textId="5E9E4725" w:rsidR="00DE00CC" w:rsidRDefault="00DE00CC" w:rsidP="00DE00CC">
      <w:pPr>
        <w:pStyle w:val="BodyText"/>
      </w:pPr>
      <w:r w:rsidRPr="0013146C">
        <w:rPr>
          <w:rFonts w:cs="Times New Roman"/>
          <w:kern w:val="2"/>
          <w:szCs w:val="20"/>
          <w14:ligatures w14:val="standardContextual"/>
        </w:rPr>
        <w:t xml:space="preserve">The agency recognises that since </w:t>
      </w:r>
      <w:r>
        <w:rPr>
          <w:rFonts w:cs="Times New Roman"/>
          <w:kern w:val="2"/>
          <w:szCs w:val="20"/>
          <w14:ligatures w14:val="standardContextual"/>
        </w:rPr>
        <w:t>its</w:t>
      </w:r>
      <w:r w:rsidRPr="0013146C">
        <w:rPr>
          <w:rFonts w:cs="Times New Roman"/>
          <w:kern w:val="2"/>
          <w:szCs w:val="20"/>
          <w14:ligatures w14:val="standardContextual"/>
        </w:rPr>
        <w:t xml:space="preserve"> establishment</w:t>
      </w:r>
      <w:r>
        <w:rPr>
          <w:rFonts w:cs="Times New Roman"/>
          <w:kern w:val="2"/>
          <w:szCs w:val="20"/>
          <w14:ligatures w14:val="standardContextual"/>
        </w:rPr>
        <w:t>,</w:t>
      </w:r>
      <w:r>
        <w:rPr>
          <w:rFonts w:cs="Times New Roman"/>
          <w:i/>
          <w:iCs/>
          <w:kern w:val="2"/>
          <w:szCs w:val="20"/>
          <w14:ligatures w14:val="standardContextual"/>
        </w:rPr>
        <w:t xml:space="preserve"> </w:t>
      </w:r>
      <w:r>
        <w:t xml:space="preserve">the needs of Centrepay customers and stakeholders may have changed. In addition to reviewing the Centrepay service objective, the agency has also commenced work </w:t>
      </w:r>
      <w:r w:rsidRPr="004D0BFA">
        <w:t xml:space="preserve">to </w:t>
      </w:r>
      <w:r>
        <w:t xml:space="preserve">further consider the policy intent of the service. </w:t>
      </w:r>
    </w:p>
    <w:p w14:paraId="7767A24A" w14:textId="77777777" w:rsidR="00DE00CC" w:rsidRPr="00073A19" w:rsidRDefault="00DE00CC" w:rsidP="00E464BB">
      <w:pPr>
        <w:pStyle w:val="Heading4"/>
      </w:pPr>
      <w:r w:rsidRPr="00073A19">
        <w:t>Services Australia is committed to reforming Centrepay policy to empower customers to self-manage expenses for essential goods and services to assist in building and supporting independence and financial empowerment.</w:t>
      </w:r>
    </w:p>
    <w:p w14:paraId="5DC9DE0D" w14:textId="77777777" w:rsidR="00DE00CC" w:rsidRPr="00073A19" w:rsidRDefault="00DE00CC" w:rsidP="00E464BB">
      <w:pPr>
        <w:pStyle w:val="Heading4"/>
      </w:pPr>
      <w:r w:rsidRPr="00073A19">
        <w:t>The Centrepay policy reform process will address several critical areas, including:</w:t>
      </w:r>
    </w:p>
    <w:p w14:paraId="24588B97" w14:textId="77777777" w:rsidR="00DE00CC" w:rsidRPr="00073A19" w:rsidRDefault="00DE00CC" w:rsidP="26FF090E">
      <w:pPr>
        <w:pStyle w:val="Heading4"/>
        <w:numPr>
          <w:ilvl w:val="0"/>
          <w:numId w:val="20"/>
        </w:numPr>
      </w:pPr>
      <w:r w:rsidRPr="00073A19">
        <w:t>Safeguards and protections for customers to reduce financial harm.</w:t>
      </w:r>
    </w:p>
    <w:p w14:paraId="73EFE4C9" w14:textId="77777777" w:rsidR="00DE00CC" w:rsidRPr="00073A19" w:rsidRDefault="00DE00CC" w:rsidP="26FF090E">
      <w:pPr>
        <w:pStyle w:val="Heading4"/>
        <w:numPr>
          <w:ilvl w:val="0"/>
          <w:numId w:val="20"/>
        </w:numPr>
      </w:pPr>
      <w:r w:rsidRPr="00073A19">
        <w:t xml:space="preserve">Ensuring the right products and services are available through Centrepay. </w:t>
      </w:r>
    </w:p>
    <w:p w14:paraId="5528F76B" w14:textId="7BCDDB3C" w:rsidR="00DE00CC" w:rsidRPr="00073A19" w:rsidRDefault="00DE00CC" w:rsidP="26FF090E">
      <w:pPr>
        <w:pStyle w:val="Heading4"/>
        <w:numPr>
          <w:ilvl w:val="0"/>
          <w:numId w:val="20"/>
        </w:numPr>
      </w:pPr>
      <w:r w:rsidRPr="00073A19">
        <w:t>Identifying high-risk products, services and business practices</w:t>
      </w:r>
      <w:r w:rsidR="00C0121B">
        <w:t xml:space="preserve"> that do not align with the intent of the program</w:t>
      </w:r>
      <w:r w:rsidRPr="00073A19">
        <w:t xml:space="preserve">. </w:t>
      </w:r>
    </w:p>
    <w:p w14:paraId="1FA89C37" w14:textId="77777777" w:rsidR="00DE00CC" w:rsidRPr="00073A19" w:rsidRDefault="00DE00CC" w:rsidP="26FF090E">
      <w:pPr>
        <w:pStyle w:val="Heading4"/>
        <w:numPr>
          <w:ilvl w:val="0"/>
          <w:numId w:val="20"/>
        </w:numPr>
      </w:pPr>
      <w:r w:rsidRPr="00073A19">
        <w:t>Centrepay as a tool for customer financial empowerment and self-management.</w:t>
      </w:r>
    </w:p>
    <w:p w14:paraId="227DA361" w14:textId="77777777" w:rsidR="00DE00CC" w:rsidRPr="00073A19" w:rsidRDefault="00DE00CC" w:rsidP="26FF090E">
      <w:pPr>
        <w:pStyle w:val="Heading4"/>
        <w:numPr>
          <w:ilvl w:val="0"/>
          <w:numId w:val="20"/>
        </w:numPr>
      </w:pPr>
      <w:r w:rsidRPr="00073A19">
        <w:t xml:space="preserve">Requirements and obligations for businesses using Centrepay. </w:t>
      </w:r>
    </w:p>
    <w:p w14:paraId="48F178F5" w14:textId="77777777" w:rsidR="00DE00CC" w:rsidRPr="00073A19" w:rsidRDefault="00DE00CC" w:rsidP="26FF090E">
      <w:pPr>
        <w:pStyle w:val="Heading4"/>
        <w:numPr>
          <w:ilvl w:val="0"/>
          <w:numId w:val="20"/>
        </w:numPr>
      </w:pPr>
      <w:r w:rsidRPr="00073A19">
        <w:t>Centrepay assurance framework.</w:t>
      </w:r>
    </w:p>
    <w:p w14:paraId="7B729173" w14:textId="7A786313" w:rsidR="005C6C51" w:rsidRPr="00073A19" w:rsidRDefault="6A085A2F" w:rsidP="26FF090E">
      <w:pPr>
        <w:pStyle w:val="Heading4"/>
        <w:numPr>
          <w:ilvl w:val="0"/>
          <w:numId w:val="20"/>
        </w:numPr>
      </w:pPr>
      <w:r w:rsidRPr="00073A19">
        <w:t>Complaint and escalation pathways for customers and third parties</w:t>
      </w:r>
      <w:r w:rsidR="003346F7">
        <w:t>.</w:t>
      </w:r>
      <w:r w:rsidRPr="00073A19">
        <w:t xml:space="preserve"> </w:t>
      </w:r>
    </w:p>
    <w:tbl>
      <w:tblPr>
        <w:tblStyle w:val="TableGrid1"/>
        <w:tblW w:w="0" w:type="auto"/>
        <w:jc w:val="center"/>
        <w:tblLook w:val="04A0" w:firstRow="1" w:lastRow="0" w:firstColumn="1" w:lastColumn="0" w:noHBand="0" w:noVBand="1"/>
      </w:tblPr>
      <w:tblGrid>
        <w:gridCol w:w="9016"/>
      </w:tblGrid>
      <w:tr w:rsidR="00DE00CC" w:rsidRPr="00C96D9B" w14:paraId="1659CCF8" w14:textId="77777777" w:rsidTr="2C7069E1">
        <w:trPr>
          <w:trHeight w:val="1090"/>
          <w:jc w:val="center"/>
        </w:trPr>
        <w:tc>
          <w:tcPr>
            <w:tcW w:w="9016" w:type="dxa"/>
            <w:shd w:val="clear" w:color="auto" w:fill="C6F3FF" w:themeFill="accent1" w:themeFillTint="33"/>
          </w:tcPr>
          <w:p w14:paraId="43A79EC2" w14:textId="06BD70B2" w:rsidR="00DE00CC" w:rsidRPr="00C96D9B" w:rsidRDefault="00DE00CC" w:rsidP="0092340A">
            <w:pPr>
              <w:pStyle w:val="Heading3"/>
              <w:spacing w:before="120" w:after="0"/>
              <w:rPr>
                <w:rFonts w:asciiTheme="minorHAnsi" w:eastAsia="Calibri" w:hAnsiTheme="minorHAnsi"/>
              </w:rPr>
            </w:pPr>
            <w:r w:rsidRPr="002E03FE">
              <w:rPr>
                <w:rFonts w:asciiTheme="minorHAnsi" w:eastAsia="Calibri" w:hAnsiTheme="minorHAnsi"/>
              </w:rPr>
              <w:t>Question:</w:t>
            </w:r>
          </w:p>
          <w:p w14:paraId="70D0D3C9" w14:textId="31F2EC38" w:rsidR="00DE00CC" w:rsidRPr="000F1036" w:rsidRDefault="00DE00CC" w:rsidP="00F96B62">
            <w:pPr>
              <w:numPr>
                <w:ilvl w:val="0"/>
                <w:numId w:val="8"/>
              </w:numPr>
              <w:spacing w:before="0" w:after="160" w:line="259" w:lineRule="auto"/>
              <w:contextualSpacing/>
            </w:pPr>
            <w:r w:rsidRPr="2C7069E1">
              <w:rPr>
                <w:rFonts w:eastAsia="Calibri" w:cs="Times New Roman"/>
                <w:kern w:val="2"/>
                <w14:ligatures w14:val="standardContextual"/>
              </w:rPr>
              <w:t>Do the critical areas for reform outlined</w:t>
            </w:r>
            <w:r w:rsidR="000F1172">
              <w:rPr>
                <w:rFonts w:eastAsia="Calibri" w:cs="Times New Roman"/>
                <w:kern w:val="2"/>
                <w14:ligatures w14:val="standardContextual"/>
              </w:rPr>
              <w:t xml:space="preserve"> above</w:t>
            </w:r>
            <w:r w:rsidRPr="2C7069E1">
              <w:rPr>
                <w:rFonts w:eastAsia="Calibri" w:cs="Times New Roman"/>
                <w:kern w:val="2"/>
                <w14:ligatures w14:val="standardContextual"/>
              </w:rPr>
              <w:t xml:space="preserve"> reflect the evolving needs of customers and stakeholders?</w:t>
            </w:r>
            <w:r>
              <w:t xml:space="preserve"> </w:t>
            </w:r>
          </w:p>
        </w:tc>
      </w:tr>
    </w:tbl>
    <w:p w14:paraId="4D8DDC3A" w14:textId="77777777" w:rsidR="000F1036" w:rsidRDefault="000F1036" w:rsidP="000F1036">
      <w:pPr>
        <w:pStyle w:val="BodyText"/>
      </w:pPr>
    </w:p>
    <w:p w14:paraId="67978276" w14:textId="77777777" w:rsidR="000F1036" w:rsidRDefault="000F1036" w:rsidP="000F1036">
      <w:pPr>
        <w:pStyle w:val="BodyText"/>
      </w:pPr>
    </w:p>
    <w:p w14:paraId="30B6D961" w14:textId="77777777" w:rsidR="000F1036" w:rsidRDefault="000F1036" w:rsidP="000F1036">
      <w:pPr>
        <w:pStyle w:val="BodyText"/>
      </w:pPr>
    </w:p>
    <w:p w14:paraId="261EAF9C" w14:textId="77777777" w:rsidR="000F1036" w:rsidRPr="000F1036" w:rsidRDefault="000F1036" w:rsidP="000F1036">
      <w:pPr>
        <w:pStyle w:val="BodyText"/>
      </w:pPr>
    </w:p>
    <w:p w14:paraId="0A46F6A5" w14:textId="77777777" w:rsidR="00DE00CC" w:rsidRDefault="00DE00CC">
      <w:pPr>
        <w:spacing w:before="0" w:after="0"/>
        <w:rPr>
          <w:b/>
          <w:bCs/>
          <w:iCs/>
          <w:color w:val="1B365D" w:themeColor="accent2"/>
          <w:sz w:val="36"/>
          <w:szCs w:val="28"/>
        </w:rPr>
      </w:pPr>
      <w:r>
        <w:br w:type="page"/>
      </w:r>
    </w:p>
    <w:p w14:paraId="457F03EE" w14:textId="4A4A37D4" w:rsidR="00B62C0D" w:rsidRPr="00C96D9B" w:rsidRDefault="00C96D9B" w:rsidP="005C6140">
      <w:pPr>
        <w:pStyle w:val="Heading2"/>
        <w:rPr>
          <w:rFonts w:asciiTheme="minorHAnsi" w:hAnsiTheme="minorHAnsi"/>
        </w:rPr>
      </w:pPr>
      <w:bookmarkStart w:id="9" w:name="_Toc164256438"/>
      <w:r w:rsidRPr="00B6657B">
        <w:rPr>
          <w:rFonts w:asciiTheme="minorHAnsi" w:hAnsiTheme="minorHAnsi"/>
        </w:rPr>
        <w:lastRenderedPageBreak/>
        <w:t>2</w:t>
      </w:r>
      <w:r w:rsidR="00B62C0D" w:rsidRPr="00B6657B">
        <w:rPr>
          <w:rFonts w:asciiTheme="minorHAnsi" w:hAnsiTheme="minorHAnsi"/>
        </w:rPr>
        <w:t xml:space="preserve">.2 </w:t>
      </w:r>
      <w:r w:rsidR="000E1888">
        <w:rPr>
          <w:rFonts w:asciiTheme="minorHAnsi" w:hAnsiTheme="minorHAnsi"/>
        </w:rPr>
        <w:t xml:space="preserve">Approved </w:t>
      </w:r>
      <w:r w:rsidR="00B554AA">
        <w:rPr>
          <w:rFonts w:asciiTheme="minorHAnsi" w:hAnsiTheme="minorHAnsi"/>
        </w:rPr>
        <w:t>G</w:t>
      </w:r>
      <w:r w:rsidR="00B62C0D" w:rsidRPr="00C96D9B">
        <w:rPr>
          <w:rFonts w:asciiTheme="minorHAnsi" w:hAnsiTheme="minorHAnsi"/>
        </w:rPr>
        <w:t xml:space="preserve">oods and </w:t>
      </w:r>
      <w:r w:rsidR="00B554AA">
        <w:rPr>
          <w:rFonts w:asciiTheme="minorHAnsi" w:hAnsiTheme="minorHAnsi"/>
        </w:rPr>
        <w:t>S</w:t>
      </w:r>
      <w:r w:rsidR="00B62C0D" w:rsidRPr="00C96D9B">
        <w:rPr>
          <w:rFonts w:asciiTheme="minorHAnsi" w:hAnsiTheme="minorHAnsi"/>
        </w:rPr>
        <w:t>ervices</w:t>
      </w:r>
      <w:bookmarkEnd w:id="9"/>
      <w:r w:rsidR="00B62C0D" w:rsidRPr="00C96D9B" w:rsidDel="001D2EF8">
        <w:rPr>
          <w:rFonts w:asciiTheme="minorHAnsi" w:hAnsiTheme="minorHAnsi"/>
        </w:rPr>
        <w:t xml:space="preserve"> </w:t>
      </w:r>
    </w:p>
    <w:p w14:paraId="34C69F59" w14:textId="7DD021BB" w:rsidR="00B62C0D" w:rsidRPr="00640E41" w:rsidRDefault="00B62C0D" w:rsidP="00BF3BD4">
      <w:pPr>
        <w:pStyle w:val="BodyText"/>
        <w:rPr>
          <w:rFonts w:eastAsia="Calibri"/>
          <w:szCs w:val="20"/>
        </w:rPr>
      </w:pPr>
      <w:r w:rsidRPr="00640E41">
        <w:rPr>
          <w:rFonts w:eastAsia="Calibri"/>
          <w:szCs w:val="20"/>
        </w:rPr>
        <w:t xml:space="preserve">In line with the current </w:t>
      </w:r>
      <w:r w:rsidRPr="006232FE">
        <w:rPr>
          <w:rFonts w:eastAsia="Calibri"/>
          <w:i/>
          <w:iCs/>
          <w:szCs w:val="20"/>
        </w:rPr>
        <w:t>Policy and Terms</w:t>
      </w:r>
      <w:r w:rsidRPr="00640E41">
        <w:rPr>
          <w:rFonts w:eastAsia="Calibri"/>
          <w:szCs w:val="20"/>
        </w:rPr>
        <w:t>, a customer may elect to establish a Centrepay deduction for goods or services from one or more of the following categories:</w:t>
      </w:r>
    </w:p>
    <w:tbl>
      <w:tblPr>
        <w:tblStyle w:val="TableGrid1"/>
        <w:tblW w:w="9039" w:type="dxa"/>
        <w:jc w:val="center"/>
        <w:tblLayout w:type="fixed"/>
        <w:tblLook w:val="04A0" w:firstRow="1" w:lastRow="0" w:firstColumn="1" w:lastColumn="0" w:noHBand="0" w:noVBand="1"/>
        <w:tblCaption w:val="Category and description of eligible goods and services "/>
      </w:tblPr>
      <w:tblGrid>
        <w:gridCol w:w="3231"/>
        <w:gridCol w:w="5808"/>
      </w:tblGrid>
      <w:tr w:rsidR="00B62C0D" w:rsidRPr="00FE603B" w14:paraId="55F2570D" w14:textId="77777777" w:rsidTr="00072069">
        <w:trPr>
          <w:trHeight w:val="397"/>
          <w:tblHeader/>
          <w:jc w:val="center"/>
        </w:trPr>
        <w:tc>
          <w:tcPr>
            <w:tcW w:w="3231" w:type="dxa"/>
            <w:shd w:val="clear" w:color="auto" w:fill="1F497D"/>
            <w:vAlign w:val="center"/>
          </w:tcPr>
          <w:p w14:paraId="42DBE3A9" w14:textId="77777777" w:rsidR="00B62C0D" w:rsidRPr="00FE603B" w:rsidRDefault="00B62C0D" w:rsidP="000C5AA1">
            <w:pPr>
              <w:pStyle w:val="TableHeading"/>
              <w:rPr>
                <w:rFonts w:eastAsia="Calibri" w:cs="Calibri"/>
                <w:color w:val="FFFFFF"/>
                <w:kern w:val="2"/>
                <w:sz w:val="20"/>
                <w:szCs w:val="20"/>
                <w14:ligatures w14:val="standardContextual"/>
              </w:rPr>
            </w:pPr>
            <w:r w:rsidRPr="00FE603B">
              <w:rPr>
                <w:b/>
                <w:sz w:val="20"/>
                <w:szCs w:val="20"/>
              </w:rPr>
              <w:t>Category</w:t>
            </w:r>
          </w:p>
        </w:tc>
        <w:tc>
          <w:tcPr>
            <w:tcW w:w="5808" w:type="dxa"/>
            <w:shd w:val="clear" w:color="auto" w:fill="1F497D"/>
            <w:vAlign w:val="center"/>
          </w:tcPr>
          <w:p w14:paraId="08B9AB6E" w14:textId="77777777" w:rsidR="00B62C0D" w:rsidRPr="00FE603B" w:rsidRDefault="00B62C0D" w:rsidP="00B62C0D">
            <w:pPr>
              <w:spacing w:before="60" w:after="60" w:line="252" w:lineRule="auto"/>
              <w:rPr>
                <w:rFonts w:eastAsia="Calibri" w:cs="Calibri"/>
                <w:color w:val="FFFFFF"/>
                <w:kern w:val="2"/>
                <w:szCs w:val="20"/>
                <w14:ligatures w14:val="standardContextual"/>
              </w:rPr>
            </w:pPr>
            <w:r w:rsidRPr="00FE603B">
              <w:rPr>
                <w:rFonts w:eastAsia="Calibri" w:cs="Calibri"/>
                <w:b/>
                <w:color w:val="FFFFFF"/>
                <w:kern w:val="2"/>
                <w:szCs w:val="20"/>
                <w14:ligatures w14:val="standardContextual"/>
              </w:rPr>
              <w:t>Description</w:t>
            </w:r>
          </w:p>
        </w:tc>
      </w:tr>
      <w:tr w:rsidR="00B62C0D" w:rsidRPr="00FE603B" w14:paraId="32C84B1B" w14:textId="77777777" w:rsidTr="00072069">
        <w:trPr>
          <w:trHeight w:val="510"/>
          <w:jc w:val="center"/>
        </w:trPr>
        <w:tc>
          <w:tcPr>
            <w:tcW w:w="3231" w:type="dxa"/>
            <w:shd w:val="clear" w:color="auto" w:fill="C6F3FF" w:themeFill="accent1" w:themeFillTint="33"/>
            <w:vAlign w:val="center"/>
          </w:tcPr>
          <w:p w14:paraId="4D02817D" w14:textId="218312F2"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Accommodation</w:t>
            </w:r>
            <w:r w:rsidR="006048C1" w:rsidRPr="00653F86">
              <w:rPr>
                <w:rStyle w:val="FootnoteReference"/>
                <w:i/>
                <w:iCs/>
                <w:sz w:val="16"/>
                <w:szCs w:val="18"/>
              </w:rPr>
              <w:footnoteRef/>
            </w:r>
          </w:p>
        </w:tc>
        <w:tc>
          <w:tcPr>
            <w:tcW w:w="5808" w:type="dxa"/>
            <w:vAlign w:val="center"/>
          </w:tcPr>
          <w:p w14:paraId="742E643C" w14:textId="77777777"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Residential accommodation including rent, board and bond</w:t>
            </w:r>
          </w:p>
        </w:tc>
      </w:tr>
      <w:tr w:rsidR="00B62C0D" w:rsidRPr="00FE603B" w14:paraId="29006CD7" w14:textId="77777777" w:rsidTr="00072069">
        <w:trPr>
          <w:trHeight w:val="737"/>
          <w:jc w:val="center"/>
        </w:trPr>
        <w:tc>
          <w:tcPr>
            <w:tcW w:w="3231" w:type="dxa"/>
            <w:shd w:val="clear" w:color="auto" w:fill="C6F3FF" w:themeFill="accent1" w:themeFillTint="33"/>
            <w:vAlign w:val="center"/>
          </w:tcPr>
          <w:p w14:paraId="48F627A5" w14:textId="77777777"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Education and Employment</w:t>
            </w:r>
          </w:p>
        </w:tc>
        <w:tc>
          <w:tcPr>
            <w:tcW w:w="5808" w:type="dxa"/>
            <w:vAlign w:val="center"/>
          </w:tcPr>
          <w:p w14:paraId="265BC0CE" w14:textId="77777777"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Education and childcare provided by registered providers and employment related expenses</w:t>
            </w:r>
          </w:p>
        </w:tc>
      </w:tr>
      <w:tr w:rsidR="00B62C0D" w:rsidRPr="00FE603B" w14:paraId="0AF43EF2" w14:textId="77777777" w:rsidTr="00072069">
        <w:trPr>
          <w:trHeight w:val="737"/>
          <w:jc w:val="center"/>
        </w:trPr>
        <w:tc>
          <w:tcPr>
            <w:tcW w:w="3231" w:type="dxa"/>
            <w:shd w:val="clear" w:color="auto" w:fill="C6F3FF" w:themeFill="accent1" w:themeFillTint="33"/>
            <w:vAlign w:val="center"/>
          </w:tcPr>
          <w:p w14:paraId="105C2AF5" w14:textId="77777777"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Financial Products</w:t>
            </w:r>
          </w:p>
        </w:tc>
        <w:tc>
          <w:tcPr>
            <w:tcW w:w="5808" w:type="dxa"/>
            <w:vAlign w:val="center"/>
          </w:tcPr>
          <w:p w14:paraId="3AE8AAFB" w14:textId="77777777"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Low or special interest loans, insurance premiums, deposits paid to savings programmes</w:t>
            </w:r>
          </w:p>
        </w:tc>
      </w:tr>
      <w:tr w:rsidR="00B62C0D" w:rsidRPr="00FE603B" w14:paraId="25FDC8BD" w14:textId="77777777" w:rsidTr="00072069">
        <w:trPr>
          <w:trHeight w:val="737"/>
          <w:jc w:val="center"/>
        </w:trPr>
        <w:tc>
          <w:tcPr>
            <w:tcW w:w="3231" w:type="dxa"/>
            <w:shd w:val="clear" w:color="auto" w:fill="C6F3FF" w:themeFill="accent1" w:themeFillTint="33"/>
            <w:vAlign w:val="center"/>
          </w:tcPr>
          <w:p w14:paraId="571F82A2" w14:textId="77777777"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Health</w:t>
            </w:r>
          </w:p>
        </w:tc>
        <w:tc>
          <w:tcPr>
            <w:tcW w:w="5808" w:type="dxa"/>
            <w:vAlign w:val="center"/>
          </w:tcPr>
          <w:p w14:paraId="6EE36DF2" w14:textId="77777777"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Costs and expenses associated with medical equipment and services</w:t>
            </w:r>
          </w:p>
        </w:tc>
      </w:tr>
      <w:tr w:rsidR="00B62C0D" w:rsidRPr="00FE603B" w14:paraId="7DCD2FEC" w14:textId="77777777" w:rsidTr="00072069">
        <w:trPr>
          <w:trHeight w:val="1077"/>
          <w:jc w:val="center"/>
        </w:trPr>
        <w:tc>
          <w:tcPr>
            <w:tcW w:w="3231" w:type="dxa"/>
            <w:shd w:val="clear" w:color="auto" w:fill="C6F3FF" w:themeFill="accent1" w:themeFillTint="33"/>
            <w:vAlign w:val="center"/>
          </w:tcPr>
          <w:p w14:paraId="140ABCD3" w14:textId="77777777"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Household</w:t>
            </w:r>
          </w:p>
        </w:tc>
        <w:tc>
          <w:tcPr>
            <w:tcW w:w="5808" w:type="dxa"/>
            <w:vAlign w:val="center"/>
          </w:tcPr>
          <w:p w14:paraId="7AFAAD09" w14:textId="515FFF10"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Purchase of basic household items</w:t>
            </w:r>
            <w:r w:rsidR="00083E12">
              <w:rPr>
                <w:rFonts w:eastAsia="Calibri" w:cs="Calibri"/>
                <w:kern w:val="2"/>
                <w:szCs w:val="20"/>
                <w14:ligatures w14:val="standardContextual"/>
              </w:rPr>
              <w:t xml:space="preserve"> including</w:t>
            </w:r>
            <w:r w:rsidRPr="00B6657B">
              <w:rPr>
                <w:rFonts w:eastAsia="Calibri" w:cs="Calibri"/>
                <w:kern w:val="2"/>
                <w:szCs w:val="20"/>
                <w14:ligatures w14:val="standardContextual"/>
              </w:rPr>
              <w:t xml:space="preserve"> food</w:t>
            </w:r>
            <w:r w:rsidR="00083E12">
              <w:rPr>
                <w:rFonts w:eastAsia="Calibri" w:cs="Calibri"/>
                <w:kern w:val="2"/>
                <w:szCs w:val="20"/>
                <w14:ligatures w14:val="standardContextual"/>
              </w:rPr>
              <w:t>, clothing and footwear</w:t>
            </w:r>
            <w:r w:rsidRPr="00B6657B">
              <w:rPr>
                <w:rFonts w:eastAsia="Calibri" w:cs="Calibri"/>
                <w:kern w:val="2"/>
                <w:szCs w:val="20"/>
                <w14:ligatures w14:val="standardContextual"/>
              </w:rPr>
              <w:t xml:space="preserve">. Lease/hire/rent-to-buy of household goods regulated under the </w:t>
            </w:r>
            <w:r w:rsidRPr="00B6657B">
              <w:rPr>
                <w:rFonts w:eastAsia="Calibri" w:cs="Calibri"/>
                <w:i/>
                <w:kern w:val="2"/>
                <w:szCs w:val="20"/>
                <w14:ligatures w14:val="standardContextual"/>
              </w:rPr>
              <w:t xml:space="preserve">National Consumer Credit Protection Act 2009 </w:t>
            </w:r>
            <w:r w:rsidRPr="00B6657B">
              <w:rPr>
                <w:rFonts w:eastAsia="Calibri" w:cs="Calibri"/>
                <w:kern w:val="2"/>
                <w:szCs w:val="20"/>
                <w14:ligatures w14:val="standardContextual"/>
              </w:rPr>
              <w:t>(Cth)</w:t>
            </w:r>
          </w:p>
        </w:tc>
      </w:tr>
      <w:tr w:rsidR="00B62C0D" w:rsidRPr="00FE603B" w14:paraId="5E7F62D4" w14:textId="77777777" w:rsidTr="00072069">
        <w:trPr>
          <w:trHeight w:val="510"/>
          <w:jc w:val="center"/>
        </w:trPr>
        <w:tc>
          <w:tcPr>
            <w:tcW w:w="3231" w:type="dxa"/>
            <w:shd w:val="clear" w:color="auto" w:fill="C6F3FF" w:themeFill="accent1" w:themeFillTint="33"/>
            <w:vAlign w:val="center"/>
          </w:tcPr>
          <w:p w14:paraId="43B4621A" w14:textId="77777777"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Legal and Professional Services</w:t>
            </w:r>
          </w:p>
        </w:tc>
        <w:tc>
          <w:tcPr>
            <w:tcW w:w="5808" w:type="dxa"/>
            <w:vAlign w:val="center"/>
          </w:tcPr>
          <w:p w14:paraId="7A24528A" w14:textId="77777777"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Expenses associated with legal and other professional matters</w:t>
            </w:r>
          </w:p>
        </w:tc>
      </w:tr>
      <w:tr w:rsidR="00B62C0D" w:rsidRPr="00FE603B" w14:paraId="4901DB16" w14:textId="77777777" w:rsidTr="00072069">
        <w:trPr>
          <w:trHeight w:val="737"/>
          <w:jc w:val="center"/>
        </w:trPr>
        <w:tc>
          <w:tcPr>
            <w:tcW w:w="3231" w:type="dxa"/>
            <w:shd w:val="clear" w:color="auto" w:fill="C6F3FF" w:themeFill="accent1" w:themeFillTint="33"/>
            <w:vAlign w:val="center"/>
          </w:tcPr>
          <w:p w14:paraId="57FF5208" w14:textId="77777777"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Social and Recreational</w:t>
            </w:r>
          </w:p>
        </w:tc>
        <w:tc>
          <w:tcPr>
            <w:tcW w:w="5808" w:type="dxa"/>
            <w:vAlign w:val="center"/>
          </w:tcPr>
          <w:p w14:paraId="78FACFC6" w14:textId="77777777"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Expenses related to community, social and recreational participation</w:t>
            </w:r>
          </w:p>
        </w:tc>
      </w:tr>
      <w:tr w:rsidR="00B62C0D" w:rsidRPr="00FE603B" w14:paraId="76BCA634" w14:textId="77777777" w:rsidTr="00072069">
        <w:trPr>
          <w:trHeight w:val="737"/>
          <w:jc w:val="center"/>
        </w:trPr>
        <w:tc>
          <w:tcPr>
            <w:tcW w:w="3231" w:type="dxa"/>
            <w:shd w:val="clear" w:color="auto" w:fill="C6F3FF" w:themeFill="accent1" w:themeFillTint="33"/>
            <w:vAlign w:val="center"/>
          </w:tcPr>
          <w:p w14:paraId="673EB414" w14:textId="77777777"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Travel and Transport</w:t>
            </w:r>
          </w:p>
        </w:tc>
        <w:tc>
          <w:tcPr>
            <w:tcW w:w="5808" w:type="dxa"/>
            <w:vAlign w:val="center"/>
          </w:tcPr>
          <w:p w14:paraId="6B8F6257" w14:textId="77777777"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On road vehicle expenses, general transportation and furniture removal and storage</w:t>
            </w:r>
          </w:p>
        </w:tc>
      </w:tr>
      <w:tr w:rsidR="00B62C0D" w:rsidRPr="00FE603B" w14:paraId="174676E5" w14:textId="77777777" w:rsidTr="00072069">
        <w:trPr>
          <w:trHeight w:val="737"/>
          <w:jc w:val="center"/>
        </w:trPr>
        <w:tc>
          <w:tcPr>
            <w:tcW w:w="3231" w:type="dxa"/>
            <w:shd w:val="clear" w:color="auto" w:fill="C6F3FF" w:themeFill="accent1" w:themeFillTint="33"/>
            <w:vAlign w:val="center"/>
          </w:tcPr>
          <w:p w14:paraId="3E4109CF" w14:textId="77777777" w:rsidR="00B62C0D" w:rsidRPr="00FE603B" w:rsidRDefault="00B62C0D" w:rsidP="00B554AA">
            <w:pPr>
              <w:pStyle w:val="BodyText"/>
              <w:spacing w:before="100" w:beforeAutospacing="1" w:after="100" w:afterAutospacing="1"/>
              <w:jc w:val="center"/>
              <w:rPr>
                <w:rFonts w:eastAsiaTheme="minorEastAsia"/>
                <w:b/>
                <w:bCs/>
                <w:szCs w:val="20"/>
              </w:rPr>
            </w:pPr>
            <w:r w:rsidRPr="00FE603B">
              <w:rPr>
                <w:rFonts w:eastAsiaTheme="minorEastAsia"/>
                <w:b/>
                <w:bCs/>
                <w:szCs w:val="20"/>
              </w:rPr>
              <w:t>Utilities</w:t>
            </w:r>
          </w:p>
        </w:tc>
        <w:tc>
          <w:tcPr>
            <w:tcW w:w="5808" w:type="dxa"/>
            <w:vAlign w:val="center"/>
          </w:tcPr>
          <w:p w14:paraId="602219D9" w14:textId="77777777" w:rsidR="00B62C0D" w:rsidRPr="00B6657B" w:rsidRDefault="00B62C0D" w:rsidP="00B554AA">
            <w:pPr>
              <w:spacing w:before="100" w:beforeAutospacing="1" w:after="100" w:afterAutospacing="1" w:line="252" w:lineRule="auto"/>
              <w:rPr>
                <w:rFonts w:eastAsia="Calibri" w:cs="Calibri"/>
                <w:kern w:val="2"/>
                <w:szCs w:val="20"/>
                <w14:ligatures w14:val="standardContextual"/>
              </w:rPr>
            </w:pPr>
            <w:r w:rsidRPr="00B6657B">
              <w:rPr>
                <w:rFonts w:eastAsia="Calibri" w:cs="Calibri"/>
                <w:kern w:val="2"/>
                <w:szCs w:val="20"/>
                <w14:ligatures w14:val="standardContextual"/>
              </w:rPr>
              <w:t>Private, State and Territory government utilities and local council services</w:t>
            </w:r>
          </w:p>
        </w:tc>
      </w:tr>
    </w:tbl>
    <w:p w14:paraId="3DAB5664" w14:textId="711E0CE5" w:rsidR="00072069" w:rsidRDefault="00072069" w:rsidP="00072069">
      <w:pPr>
        <w:pStyle w:val="BodyText"/>
        <w:ind w:left="284"/>
        <w:rPr>
          <w:rFonts w:eastAsiaTheme="majorEastAsia"/>
          <w:szCs w:val="20"/>
        </w:rPr>
      </w:pPr>
      <w:r w:rsidRPr="00653F86">
        <w:rPr>
          <w:rStyle w:val="FootnoteReference"/>
          <w:i/>
          <w:iCs/>
          <w:sz w:val="16"/>
          <w:szCs w:val="18"/>
        </w:rPr>
        <w:footnoteRef/>
      </w:r>
      <w:r w:rsidRPr="00072069">
        <w:rPr>
          <w:rFonts w:eastAsia="Calibri"/>
          <w:i/>
          <w:iCs/>
          <w:sz w:val="16"/>
          <w:szCs w:val="18"/>
        </w:rPr>
        <w:t>This category does not include public housing. For public housing refer to the Agency’s Rent Deduction Scheme.</w:t>
      </w:r>
    </w:p>
    <w:p w14:paraId="201EE777" w14:textId="1094FDD6" w:rsidR="003E05CB" w:rsidRPr="00B6657B" w:rsidRDefault="003E05CB" w:rsidP="1A537553">
      <w:pPr>
        <w:pStyle w:val="BodyText"/>
        <w:rPr>
          <w:rFonts w:eastAsiaTheme="majorEastAsia"/>
        </w:rPr>
      </w:pPr>
      <w:r w:rsidRPr="1A537553">
        <w:rPr>
          <w:rFonts w:eastAsiaTheme="majorEastAsia"/>
        </w:rPr>
        <w:t>Most recent data confirms that 79% of Centrepay deductions</w:t>
      </w:r>
      <w:r w:rsidR="00ED77C4" w:rsidRPr="1A537553">
        <w:rPr>
          <w:rFonts w:eastAsiaTheme="majorEastAsia"/>
        </w:rPr>
        <w:t xml:space="preserve"> </w:t>
      </w:r>
      <w:r w:rsidR="00CE335B">
        <w:rPr>
          <w:rFonts w:eastAsiaTheme="majorEastAsia"/>
        </w:rPr>
        <w:t>(</w:t>
      </w:r>
      <w:r w:rsidR="00ED77C4" w:rsidRPr="1A537553">
        <w:rPr>
          <w:rFonts w:eastAsiaTheme="majorEastAsia"/>
        </w:rPr>
        <w:t>by value</w:t>
      </w:r>
      <w:r w:rsidR="00CE335B">
        <w:rPr>
          <w:rFonts w:eastAsiaTheme="majorEastAsia"/>
        </w:rPr>
        <w:t>)</w:t>
      </w:r>
      <w:r w:rsidRPr="1A537553">
        <w:rPr>
          <w:rFonts w:eastAsiaTheme="majorEastAsia"/>
        </w:rPr>
        <w:t xml:space="preserve"> are made for accommodation and utility purposes. </w:t>
      </w:r>
    </w:p>
    <w:p w14:paraId="5CA28BC2" w14:textId="6779DF15" w:rsidR="003E05CB" w:rsidRPr="00B6657B" w:rsidRDefault="003E05CB" w:rsidP="26FF090E">
      <w:pPr>
        <w:pStyle w:val="BodyText"/>
        <w:rPr>
          <w:rFonts w:eastAsiaTheme="majorEastAsia"/>
        </w:rPr>
      </w:pPr>
      <w:r w:rsidRPr="26FF090E">
        <w:rPr>
          <w:rFonts w:eastAsiaTheme="majorEastAsia"/>
        </w:rPr>
        <w:t xml:space="preserve">The remaining 21% of deductions </w:t>
      </w:r>
      <w:r w:rsidR="00CE335B">
        <w:rPr>
          <w:rFonts w:eastAsiaTheme="majorEastAsia"/>
        </w:rPr>
        <w:t>(</w:t>
      </w:r>
      <w:r w:rsidR="00ED77C4" w:rsidRPr="26FF090E">
        <w:rPr>
          <w:rFonts w:eastAsiaTheme="majorEastAsia"/>
        </w:rPr>
        <w:t>by value</w:t>
      </w:r>
      <w:r w:rsidR="00CE335B">
        <w:rPr>
          <w:rFonts w:eastAsiaTheme="majorEastAsia"/>
        </w:rPr>
        <w:t>)</w:t>
      </w:r>
      <w:r w:rsidR="00ED77C4" w:rsidRPr="26FF090E">
        <w:rPr>
          <w:rFonts w:eastAsiaTheme="majorEastAsia"/>
        </w:rPr>
        <w:t xml:space="preserve"> </w:t>
      </w:r>
      <w:r w:rsidRPr="26FF090E">
        <w:rPr>
          <w:rFonts w:eastAsiaTheme="majorEastAsia"/>
        </w:rPr>
        <w:t>account for a broad range of approved goods and services, that in some cases may not be providing the best value for money or operating within the best interest of customers.</w:t>
      </w:r>
    </w:p>
    <w:p w14:paraId="4EB32438" w14:textId="287E6242" w:rsidR="00B62C0D" w:rsidRDefault="00AE4889" w:rsidP="26FF090E">
      <w:pPr>
        <w:pStyle w:val="BodyText"/>
        <w:spacing w:before="240"/>
        <w:rPr>
          <w:rFonts w:eastAsiaTheme="majorEastAsia"/>
        </w:rPr>
      </w:pPr>
      <w:r w:rsidRPr="00AE4889">
        <w:rPr>
          <w:rFonts w:eastAsiaTheme="majorEastAsia"/>
        </w:rPr>
        <w:t xml:space="preserve">Customer advocates have told us customers may be at risk of longer-term financial vulnerability and hardship through acquiring some of the goods and services accounted for within this 21% cohort. </w:t>
      </w:r>
    </w:p>
    <w:tbl>
      <w:tblPr>
        <w:tblStyle w:val="TableGrid1"/>
        <w:tblW w:w="0" w:type="auto"/>
        <w:jc w:val="center"/>
        <w:tblLook w:val="04A0" w:firstRow="1" w:lastRow="0" w:firstColumn="1" w:lastColumn="0" w:noHBand="0" w:noVBand="1"/>
      </w:tblPr>
      <w:tblGrid>
        <w:gridCol w:w="9016"/>
      </w:tblGrid>
      <w:tr w:rsidR="001549B8" w:rsidRPr="00C96D9B" w14:paraId="18592807" w14:textId="77777777" w:rsidTr="00E464BB">
        <w:trPr>
          <w:trHeight w:val="2192"/>
          <w:jc w:val="center"/>
        </w:trPr>
        <w:tc>
          <w:tcPr>
            <w:tcW w:w="9016" w:type="dxa"/>
            <w:shd w:val="clear" w:color="auto" w:fill="C6F3FF" w:themeFill="accent1" w:themeFillTint="33"/>
          </w:tcPr>
          <w:p w14:paraId="1FE3B234" w14:textId="56080474" w:rsidR="001549B8" w:rsidRPr="00C96D9B" w:rsidRDefault="001549B8" w:rsidP="26FF090E">
            <w:pPr>
              <w:pStyle w:val="Heading3"/>
              <w:rPr>
                <w:rFonts w:asciiTheme="minorHAnsi" w:eastAsia="Calibri" w:hAnsiTheme="minorHAnsi"/>
              </w:rPr>
            </w:pPr>
            <w:r w:rsidRPr="26FF090E">
              <w:rPr>
                <w:rFonts w:asciiTheme="minorHAnsi" w:eastAsia="Calibri" w:hAnsiTheme="minorHAnsi"/>
              </w:rPr>
              <w:t>Q</w:t>
            </w:r>
            <w:r w:rsidR="00B6657B" w:rsidRPr="26FF090E">
              <w:rPr>
                <w:rFonts w:asciiTheme="minorHAnsi" w:eastAsia="Calibri" w:hAnsiTheme="minorHAnsi"/>
              </w:rPr>
              <w:t>uestions</w:t>
            </w:r>
            <w:r w:rsidRPr="26FF090E">
              <w:rPr>
                <w:rFonts w:asciiTheme="minorHAnsi" w:eastAsia="Calibri" w:hAnsiTheme="minorHAnsi"/>
              </w:rPr>
              <w:t>:</w:t>
            </w:r>
            <w:bookmarkStart w:id="10" w:name="_Hlk160616928"/>
          </w:p>
          <w:p w14:paraId="7D384656" w14:textId="71AED28D" w:rsidR="001549B8" w:rsidRPr="00F96B62" w:rsidRDefault="481AD6D2"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 xml:space="preserve">Does the current list of authorised goods and </w:t>
            </w:r>
            <w:r w:rsidR="00486B0C" w:rsidRPr="00F96B62">
              <w:rPr>
                <w:rFonts w:eastAsia="Calibri" w:cs="Times New Roman"/>
                <w:kern w:val="2"/>
                <w14:ligatures w14:val="standardContextual"/>
              </w:rPr>
              <w:t>services include</w:t>
            </w:r>
            <w:r w:rsidRPr="00F96B62">
              <w:rPr>
                <w:rFonts w:eastAsia="Calibri" w:cs="Times New Roman"/>
                <w:kern w:val="2"/>
                <w14:ligatures w14:val="standardContextual"/>
              </w:rPr>
              <w:t xml:space="preserve"> what should</w:t>
            </w:r>
            <w:r w:rsidR="4DE17BD0" w:rsidRPr="00F96B62">
              <w:rPr>
                <w:rFonts w:eastAsia="Calibri" w:cs="Times New Roman"/>
                <w:kern w:val="2"/>
                <w14:ligatures w14:val="standardContextual"/>
              </w:rPr>
              <w:t xml:space="preserve"> be available through Centrepay?</w:t>
            </w:r>
          </w:p>
          <w:p w14:paraId="124EB00A" w14:textId="6AAC9374" w:rsidR="001549B8" w:rsidRPr="00F96B62" w:rsidRDefault="388E520A"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 xml:space="preserve">Are there </w:t>
            </w:r>
            <w:r w:rsidR="5C3C1F10" w:rsidRPr="00F96B62">
              <w:rPr>
                <w:rFonts w:eastAsia="Calibri" w:cs="Times New Roman"/>
                <w:kern w:val="2"/>
                <w14:ligatures w14:val="standardContextual"/>
              </w:rPr>
              <w:t xml:space="preserve">any </w:t>
            </w:r>
            <w:r w:rsidRPr="00F96B62">
              <w:rPr>
                <w:rFonts w:eastAsia="Calibri" w:cs="Times New Roman"/>
                <w:kern w:val="2"/>
                <w14:ligatures w14:val="standardContextual"/>
              </w:rPr>
              <w:t>specific goods and services</w:t>
            </w:r>
            <w:r w:rsidR="23973CB4" w:rsidRPr="00F96B62">
              <w:rPr>
                <w:rFonts w:eastAsia="Calibri" w:cs="Times New Roman"/>
                <w:kern w:val="2"/>
                <w14:ligatures w14:val="standardContextual"/>
              </w:rPr>
              <w:t xml:space="preserve">, including those already approved on the program as per the listing above, </w:t>
            </w:r>
            <w:r w:rsidRPr="00F96B62">
              <w:rPr>
                <w:rFonts w:eastAsia="Calibri" w:cs="Times New Roman"/>
                <w:kern w:val="2"/>
                <w14:ligatures w14:val="standardContextual"/>
              </w:rPr>
              <w:t>that should be excluded from Centrepay?</w:t>
            </w:r>
          </w:p>
          <w:p w14:paraId="5C49DABB" w14:textId="2ADB22FD" w:rsidR="00AE0B18" w:rsidRPr="00AE4889" w:rsidRDefault="56E9F209" w:rsidP="00F96B62">
            <w:pPr>
              <w:numPr>
                <w:ilvl w:val="0"/>
                <w:numId w:val="8"/>
              </w:numPr>
              <w:spacing w:before="0" w:after="160" w:line="259" w:lineRule="auto"/>
              <w:contextualSpacing/>
              <w:rPr>
                <w:rFonts w:eastAsia="Calibri" w:cs="Times New Roman"/>
              </w:rPr>
            </w:pPr>
            <w:r w:rsidRPr="00F96B62">
              <w:rPr>
                <w:rFonts w:eastAsia="Calibri" w:cs="Times New Roman"/>
                <w:kern w:val="2"/>
                <w14:ligatures w14:val="standardContextual"/>
              </w:rPr>
              <w:t>What criteria should be used to consider whether to include or exclude any goods or services?</w:t>
            </w:r>
          </w:p>
        </w:tc>
      </w:tr>
      <w:bookmarkEnd w:id="10"/>
    </w:tbl>
    <w:p w14:paraId="614BA47C" w14:textId="3040FC2E" w:rsidR="006048C1" w:rsidRDefault="006048C1" w:rsidP="2C7069E1">
      <w:pPr>
        <w:rPr>
          <w:rFonts w:eastAsia="Calibri"/>
        </w:rPr>
      </w:pPr>
    </w:p>
    <w:p w14:paraId="5FB4E35F" w14:textId="4DC03204" w:rsidR="00760441" w:rsidRPr="00A60D56" w:rsidRDefault="00A27C47" w:rsidP="26FF090E">
      <w:pPr>
        <w:pStyle w:val="Heading2"/>
        <w:rPr>
          <w:rFonts w:asciiTheme="minorHAnsi" w:eastAsia="Calibri" w:hAnsiTheme="minorHAnsi"/>
        </w:rPr>
      </w:pPr>
      <w:bookmarkStart w:id="11" w:name="_Toc164256439"/>
      <w:r w:rsidRPr="26FF090E">
        <w:rPr>
          <w:rFonts w:asciiTheme="minorHAnsi" w:eastAsia="Calibri" w:hAnsiTheme="minorHAnsi"/>
        </w:rPr>
        <w:lastRenderedPageBreak/>
        <w:t xml:space="preserve">2.3 </w:t>
      </w:r>
      <w:r w:rsidR="00760441" w:rsidRPr="26FF090E">
        <w:rPr>
          <w:rFonts w:asciiTheme="minorHAnsi" w:eastAsia="Calibri" w:hAnsiTheme="minorHAnsi"/>
        </w:rPr>
        <w:t xml:space="preserve">Deduction </w:t>
      </w:r>
      <w:r w:rsidR="00B4684D" w:rsidRPr="26FF090E">
        <w:rPr>
          <w:rFonts w:asciiTheme="minorHAnsi" w:eastAsia="Calibri" w:hAnsiTheme="minorHAnsi"/>
        </w:rPr>
        <w:t>A</w:t>
      </w:r>
      <w:r w:rsidR="00760441" w:rsidRPr="26FF090E">
        <w:rPr>
          <w:rFonts w:asciiTheme="minorHAnsi" w:eastAsia="Calibri" w:hAnsiTheme="minorHAnsi"/>
        </w:rPr>
        <w:t>rrangements</w:t>
      </w:r>
      <w:bookmarkEnd w:id="11"/>
    </w:p>
    <w:p w14:paraId="57363D44" w14:textId="43F4B6AB" w:rsidR="004B5CB4" w:rsidRDefault="0036592F" w:rsidP="26FF090E">
      <w:pPr>
        <w:pStyle w:val="BodyText"/>
        <w:rPr>
          <w:rFonts w:eastAsiaTheme="majorEastAsia"/>
        </w:rPr>
      </w:pPr>
      <w:r w:rsidRPr="26FF090E">
        <w:rPr>
          <w:rFonts w:eastAsiaTheme="majorEastAsia"/>
        </w:rPr>
        <w:t xml:space="preserve">The current </w:t>
      </w:r>
      <w:r w:rsidRPr="00CE335B">
        <w:rPr>
          <w:rFonts w:eastAsiaTheme="majorEastAsia"/>
          <w:i/>
          <w:iCs/>
        </w:rPr>
        <w:t>Policy and Terms</w:t>
      </w:r>
      <w:r w:rsidRPr="26FF090E">
        <w:rPr>
          <w:rFonts w:eastAsiaTheme="majorEastAsia"/>
        </w:rPr>
        <w:t xml:space="preserve"> outline that </w:t>
      </w:r>
      <w:r w:rsidR="00F354DA" w:rsidRPr="26FF090E">
        <w:rPr>
          <w:rFonts w:eastAsiaTheme="majorEastAsia"/>
        </w:rPr>
        <w:t>c</w:t>
      </w:r>
      <w:r w:rsidRPr="26FF090E">
        <w:rPr>
          <w:rFonts w:eastAsiaTheme="majorEastAsia"/>
        </w:rPr>
        <w:t>ustomers can e</w:t>
      </w:r>
      <w:r w:rsidR="00B4684D" w:rsidRPr="26FF090E">
        <w:rPr>
          <w:rFonts w:eastAsiaTheme="majorEastAsia"/>
        </w:rPr>
        <w:t>lect</w:t>
      </w:r>
      <w:r w:rsidRPr="26FF090E">
        <w:rPr>
          <w:rFonts w:eastAsiaTheme="majorEastAsia"/>
        </w:rPr>
        <w:t xml:space="preserve"> a variety of Centrepay deduction arrangement types, including:</w:t>
      </w:r>
    </w:p>
    <w:p w14:paraId="66B0EDB4" w14:textId="6A85B6F8" w:rsidR="0036592F" w:rsidRDefault="00F354DA" w:rsidP="0036592F">
      <w:pPr>
        <w:pStyle w:val="BodyText"/>
        <w:numPr>
          <w:ilvl w:val="0"/>
          <w:numId w:val="9"/>
        </w:numPr>
        <w:rPr>
          <w:rFonts w:eastAsiaTheme="majorEastAsia"/>
          <w:szCs w:val="20"/>
        </w:rPr>
      </w:pPr>
      <w:r w:rsidRPr="2C7069E1">
        <w:rPr>
          <w:rFonts w:eastAsiaTheme="majorEastAsia"/>
        </w:rPr>
        <w:t>o</w:t>
      </w:r>
      <w:r w:rsidR="0036592F" w:rsidRPr="2C7069E1">
        <w:rPr>
          <w:rFonts w:eastAsiaTheme="majorEastAsia"/>
        </w:rPr>
        <w:t>ngoing deductions</w:t>
      </w:r>
      <w:r w:rsidR="00CE335B">
        <w:rPr>
          <w:rFonts w:eastAsiaTheme="majorEastAsia"/>
        </w:rPr>
        <w:t>,</w:t>
      </w:r>
    </w:p>
    <w:p w14:paraId="45C46AD5" w14:textId="0FC2817F" w:rsidR="0036592F" w:rsidRDefault="00ED77C4" w:rsidP="0036592F">
      <w:pPr>
        <w:pStyle w:val="BodyText"/>
        <w:numPr>
          <w:ilvl w:val="0"/>
          <w:numId w:val="9"/>
        </w:numPr>
        <w:rPr>
          <w:rFonts w:eastAsiaTheme="majorEastAsia"/>
          <w:szCs w:val="20"/>
        </w:rPr>
      </w:pPr>
      <w:r w:rsidRPr="2C7069E1">
        <w:rPr>
          <w:rFonts w:eastAsiaTheme="majorEastAsia"/>
        </w:rPr>
        <w:t xml:space="preserve">deductions with </w:t>
      </w:r>
      <w:r w:rsidR="00821C8C" w:rsidRPr="2C7069E1">
        <w:rPr>
          <w:rFonts w:eastAsiaTheme="majorEastAsia"/>
        </w:rPr>
        <w:t>target</w:t>
      </w:r>
      <w:r w:rsidR="0036592F" w:rsidRPr="2C7069E1">
        <w:rPr>
          <w:rFonts w:eastAsiaTheme="majorEastAsia"/>
        </w:rPr>
        <w:t xml:space="preserve"> amount</w:t>
      </w:r>
      <w:r w:rsidR="00821C8C" w:rsidRPr="2C7069E1">
        <w:rPr>
          <w:rFonts w:eastAsiaTheme="majorEastAsia"/>
        </w:rPr>
        <w:t>s</w:t>
      </w:r>
      <w:r w:rsidR="00CE335B">
        <w:rPr>
          <w:rFonts w:eastAsiaTheme="majorEastAsia"/>
        </w:rPr>
        <w:t>,</w:t>
      </w:r>
      <w:r w:rsidR="00B4684D" w:rsidRPr="2C7069E1">
        <w:rPr>
          <w:rFonts w:eastAsiaTheme="majorEastAsia"/>
        </w:rPr>
        <w:t xml:space="preserve"> and</w:t>
      </w:r>
    </w:p>
    <w:p w14:paraId="397DFA9B" w14:textId="04B6B463" w:rsidR="0036592F" w:rsidRDefault="00ED77C4" w:rsidP="0036592F">
      <w:pPr>
        <w:pStyle w:val="BodyText"/>
        <w:numPr>
          <w:ilvl w:val="0"/>
          <w:numId w:val="9"/>
        </w:numPr>
        <w:rPr>
          <w:rFonts w:eastAsiaTheme="majorEastAsia"/>
          <w:szCs w:val="20"/>
        </w:rPr>
      </w:pPr>
      <w:r w:rsidRPr="2C7069E1">
        <w:rPr>
          <w:rFonts w:eastAsiaTheme="majorEastAsia"/>
        </w:rPr>
        <w:t xml:space="preserve">deductions with </w:t>
      </w:r>
      <w:r w:rsidR="00896AA2" w:rsidRPr="2C7069E1">
        <w:rPr>
          <w:rFonts w:eastAsiaTheme="majorEastAsia"/>
        </w:rPr>
        <w:t>e</w:t>
      </w:r>
      <w:r w:rsidR="00821C8C" w:rsidRPr="2C7069E1">
        <w:rPr>
          <w:rFonts w:eastAsiaTheme="majorEastAsia"/>
        </w:rPr>
        <w:t xml:space="preserve">nd dates (specified </w:t>
      </w:r>
      <w:r w:rsidR="00486B0C" w:rsidRPr="2C7069E1">
        <w:rPr>
          <w:rFonts w:eastAsiaTheme="majorEastAsia"/>
        </w:rPr>
        <w:t>timeframe</w:t>
      </w:r>
      <w:r w:rsidR="00821C8C" w:rsidRPr="2C7069E1">
        <w:rPr>
          <w:rFonts w:eastAsiaTheme="majorEastAsia"/>
        </w:rPr>
        <w:t>)</w:t>
      </w:r>
      <w:r w:rsidR="00B4684D" w:rsidRPr="2C7069E1">
        <w:rPr>
          <w:rFonts w:eastAsiaTheme="majorEastAsia"/>
        </w:rPr>
        <w:t>.</w:t>
      </w:r>
    </w:p>
    <w:p w14:paraId="1496118B" w14:textId="219BDBC9" w:rsidR="0036592F" w:rsidRPr="00B6657B" w:rsidRDefault="0036592F" w:rsidP="004B5CB4">
      <w:pPr>
        <w:pStyle w:val="BodyText"/>
        <w:rPr>
          <w:rFonts w:eastAsiaTheme="majorEastAsia"/>
          <w:szCs w:val="20"/>
        </w:rPr>
      </w:pPr>
      <w:r>
        <w:rPr>
          <w:rFonts w:eastAsiaTheme="majorEastAsia"/>
          <w:szCs w:val="20"/>
        </w:rPr>
        <w:t xml:space="preserve">In accordance with the current </w:t>
      </w:r>
      <w:r w:rsidRPr="00CE335B">
        <w:rPr>
          <w:rFonts w:eastAsiaTheme="majorEastAsia"/>
          <w:i/>
          <w:iCs/>
          <w:szCs w:val="20"/>
        </w:rPr>
        <w:t>Policy and Terms</w:t>
      </w:r>
      <w:r>
        <w:rPr>
          <w:rFonts w:eastAsiaTheme="majorEastAsia"/>
          <w:szCs w:val="20"/>
        </w:rPr>
        <w:t>, customer</w:t>
      </w:r>
      <w:r w:rsidR="00821C8C">
        <w:rPr>
          <w:rFonts w:eastAsiaTheme="majorEastAsia"/>
          <w:szCs w:val="20"/>
        </w:rPr>
        <w:t>s</w:t>
      </w:r>
      <w:r>
        <w:rPr>
          <w:rFonts w:eastAsiaTheme="majorEastAsia"/>
          <w:szCs w:val="20"/>
        </w:rPr>
        <w:t xml:space="preserve"> can elect to cease </w:t>
      </w:r>
      <w:r w:rsidR="00821C8C">
        <w:rPr>
          <w:rFonts w:eastAsiaTheme="majorEastAsia"/>
          <w:szCs w:val="20"/>
        </w:rPr>
        <w:t xml:space="preserve">or vary </w:t>
      </w:r>
      <w:r>
        <w:rPr>
          <w:rFonts w:eastAsiaTheme="majorEastAsia"/>
          <w:szCs w:val="20"/>
        </w:rPr>
        <w:t xml:space="preserve">their Centrepay deduction at any time. </w:t>
      </w:r>
    </w:p>
    <w:p w14:paraId="04BB5477" w14:textId="1F4C7401" w:rsidR="00B6657B" w:rsidRDefault="0036592F" w:rsidP="004B5CB4">
      <w:pPr>
        <w:pStyle w:val="BodyText"/>
        <w:rPr>
          <w:rFonts w:eastAsiaTheme="majorEastAsia"/>
          <w:szCs w:val="20"/>
        </w:rPr>
      </w:pPr>
      <w:r>
        <w:rPr>
          <w:rFonts w:eastAsiaTheme="majorEastAsia"/>
          <w:szCs w:val="20"/>
        </w:rPr>
        <w:t xml:space="preserve">While there is a </w:t>
      </w:r>
      <w:r w:rsidR="00ED77C4">
        <w:rPr>
          <w:rFonts w:eastAsiaTheme="majorEastAsia"/>
          <w:szCs w:val="20"/>
        </w:rPr>
        <w:t xml:space="preserve">$10 </w:t>
      </w:r>
      <w:r>
        <w:rPr>
          <w:rFonts w:eastAsiaTheme="majorEastAsia"/>
          <w:szCs w:val="20"/>
        </w:rPr>
        <w:t xml:space="preserve">minimum </w:t>
      </w:r>
      <w:r w:rsidR="00913EBD">
        <w:rPr>
          <w:rFonts w:eastAsiaTheme="majorEastAsia"/>
          <w:szCs w:val="20"/>
        </w:rPr>
        <w:t xml:space="preserve">per deduction </w:t>
      </w:r>
      <w:r>
        <w:rPr>
          <w:rFonts w:eastAsiaTheme="majorEastAsia"/>
          <w:szCs w:val="20"/>
        </w:rPr>
        <w:t>for Centrepay deductions</w:t>
      </w:r>
      <w:r w:rsidR="00ED77C4">
        <w:rPr>
          <w:rFonts w:eastAsiaTheme="majorEastAsia"/>
          <w:szCs w:val="20"/>
        </w:rPr>
        <w:t xml:space="preserve"> set by the agency</w:t>
      </w:r>
      <w:r>
        <w:rPr>
          <w:rFonts w:eastAsiaTheme="majorEastAsia"/>
          <w:szCs w:val="20"/>
        </w:rPr>
        <w:t>, t</w:t>
      </w:r>
      <w:r w:rsidR="00B6657B">
        <w:rPr>
          <w:rFonts w:eastAsiaTheme="majorEastAsia"/>
          <w:szCs w:val="20"/>
        </w:rPr>
        <w:t xml:space="preserve">here is no current </w:t>
      </w:r>
      <w:r>
        <w:rPr>
          <w:rFonts w:eastAsiaTheme="majorEastAsia"/>
          <w:szCs w:val="20"/>
        </w:rPr>
        <w:t xml:space="preserve">maximum </w:t>
      </w:r>
      <w:r w:rsidR="00B6657B">
        <w:rPr>
          <w:rFonts w:eastAsiaTheme="majorEastAsia"/>
          <w:szCs w:val="20"/>
        </w:rPr>
        <w:t>limit on the amount</w:t>
      </w:r>
      <w:r>
        <w:rPr>
          <w:rFonts w:eastAsiaTheme="majorEastAsia"/>
          <w:szCs w:val="20"/>
        </w:rPr>
        <w:t xml:space="preserve">/portion of a customer’s Centrelink payment that can be allocated to a Centrepay deduction. </w:t>
      </w:r>
    </w:p>
    <w:p w14:paraId="275D470B" w14:textId="191CE64A" w:rsidR="00864E24" w:rsidRDefault="00864E24" w:rsidP="00762986">
      <w:pPr>
        <w:pStyle w:val="BodyText"/>
        <w:rPr>
          <w:rFonts w:eastAsiaTheme="majorEastAsia"/>
        </w:rPr>
      </w:pPr>
      <w:r w:rsidRPr="26FF090E">
        <w:rPr>
          <w:rFonts w:eastAsiaTheme="majorEastAsia"/>
        </w:rPr>
        <w:t xml:space="preserve">Current data shows that less than 1% of Centrepay customers have authorised deductions greater than 80% of their </w:t>
      </w:r>
      <w:r w:rsidR="00B6657B" w:rsidRPr="26FF090E">
        <w:rPr>
          <w:rFonts w:eastAsiaTheme="majorEastAsia"/>
        </w:rPr>
        <w:t>Centrelink</w:t>
      </w:r>
      <w:r w:rsidRPr="26FF090E">
        <w:rPr>
          <w:rFonts w:eastAsiaTheme="majorEastAsia"/>
        </w:rPr>
        <w:t xml:space="preserve"> payment. </w:t>
      </w:r>
    </w:p>
    <w:p w14:paraId="7E5E70F5" w14:textId="5E9D6D2B" w:rsidR="1A537553" w:rsidRDefault="00762986" w:rsidP="00762986">
      <w:pPr>
        <w:pStyle w:val="BodyText"/>
        <w:rPr>
          <w:rFonts w:eastAsia="Calibri"/>
        </w:rPr>
      </w:pPr>
      <w:r w:rsidRPr="00EE348B">
        <w:rPr>
          <w:rFonts w:eastAsiaTheme="majorEastAsia"/>
          <w:szCs w:val="20"/>
        </w:rPr>
        <w:t>From 1 May 2024, t</w:t>
      </w:r>
      <w:r w:rsidR="1A537553" w:rsidRPr="00EE348B">
        <w:rPr>
          <w:rFonts w:eastAsiaTheme="majorEastAsia"/>
          <w:szCs w:val="20"/>
        </w:rPr>
        <w:t>he</w:t>
      </w:r>
      <w:r w:rsidR="1A537553" w:rsidRPr="1A537553">
        <w:rPr>
          <w:rFonts w:eastAsia="Calibri"/>
        </w:rPr>
        <w:t xml:space="preserve"> agency is implementing restrictions to mandate the inclusion of target amounts for all businesses using Centrepay for the Basic Household Item service reason</w:t>
      </w:r>
      <w:r w:rsidRPr="00EE348B">
        <w:rPr>
          <w:rFonts w:eastAsiaTheme="majorEastAsia"/>
          <w:szCs w:val="20"/>
        </w:rPr>
        <w:t>. T</w:t>
      </w:r>
      <w:r w:rsidR="1A537553" w:rsidRPr="00EE348B">
        <w:rPr>
          <w:rFonts w:eastAsiaTheme="majorEastAsia"/>
          <w:szCs w:val="20"/>
        </w:rPr>
        <w:t>hese</w:t>
      </w:r>
      <w:r w:rsidRPr="00EE348B">
        <w:rPr>
          <w:rFonts w:eastAsiaTheme="majorEastAsia"/>
          <w:szCs w:val="20"/>
        </w:rPr>
        <w:t xml:space="preserve"> restrictions</w:t>
      </w:r>
      <w:r w:rsidRPr="1A537553">
        <w:rPr>
          <w:rFonts w:eastAsia="Calibri"/>
        </w:rPr>
        <w:t xml:space="preserve"> </w:t>
      </w:r>
      <w:r w:rsidR="1A537553" w:rsidRPr="1A537553">
        <w:rPr>
          <w:rFonts w:eastAsia="Calibri"/>
        </w:rPr>
        <w:t xml:space="preserve">include a cap on the maximum target </w:t>
      </w:r>
      <w:r w:rsidR="00555119">
        <w:rPr>
          <w:rFonts w:eastAsia="Calibri"/>
        </w:rPr>
        <w:t xml:space="preserve">amount </w:t>
      </w:r>
      <w:r w:rsidR="1A537553" w:rsidRPr="1A537553">
        <w:rPr>
          <w:rFonts w:eastAsia="Calibri"/>
        </w:rPr>
        <w:t>that can be applied</w:t>
      </w:r>
      <w:r w:rsidRPr="00EE348B">
        <w:rPr>
          <w:rFonts w:eastAsiaTheme="majorEastAsia"/>
          <w:szCs w:val="20"/>
        </w:rPr>
        <w:t xml:space="preserve"> to any deduction within th</w:t>
      </w:r>
      <w:r w:rsidR="00CE335B">
        <w:rPr>
          <w:rFonts w:eastAsiaTheme="majorEastAsia"/>
          <w:szCs w:val="20"/>
        </w:rPr>
        <w:t xml:space="preserve">is </w:t>
      </w:r>
      <w:r w:rsidRPr="00EE348B">
        <w:rPr>
          <w:rFonts w:eastAsiaTheme="majorEastAsia"/>
          <w:szCs w:val="20"/>
        </w:rPr>
        <w:t>service category</w:t>
      </w:r>
      <w:r w:rsidR="1A537553" w:rsidRPr="1A537553">
        <w:rPr>
          <w:rFonts w:eastAsia="Calibri"/>
        </w:rPr>
        <w:t xml:space="preserve">. </w:t>
      </w:r>
    </w:p>
    <w:tbl>
      <w:tblPr>
        <w:tblStyle w:val="TableGrid1"/>
        <w:tblW w:w="0" w:type="auto"/>
        <w:jc w:val="center"/>
        <w:tblLook w:val="04A0" w:firstRow="1" w:lastRow="0" w:firstColumn="1" w:lastColumn="0" w:noHBand="0" w:noVBand="1"/>
      </w:tblPr>
      <w:tblGrid>
        <w:gridCol w:w="9016"/>
      </w:tblGrid>
      <w:tr w:rsidR="0036592F" w:rsidRPr="00C96D9B" w14:paraId="78662E81" w14:textId="77777777" w:rsidTr="00555119">
        <w:trPr>
          <w:trHeight w:val="2551"/>
          <w:jc w:val="center"/>
        </w:trPr>
        <w:tc>
          <w:tcPr>
            <w:tcW w:w="9016" w:type="dxa"/>
            <w:shd w:val="clear" w:color="auto" w:fill="C6F3FF" w:themeFill="accent1" w:themeFillTint="33"/>
          </w:tcPr>
          <w:p w14:paraId="2F2CFF54" w14:textId="25AA46C5" w:rsidR="0036592F" w:rsidRPr="00A60D56" w:rsidRDefault="0036592F" w:rsidP="26FF090E">
            <w:pPr>
              <w:pStyle w:val="Heading3"/>
              <w:rPr>
                <w:rFonts w:asciiTheme="minorHAnsi" w:eastAsia="Calibri" w:hAnsiTheme="minorHAnsi"/>
              </w:rPr>
            </w:pPr>
            <w:r w:rsidRPr="26FF090E">
              <w:rPr>
                <w:rFonts w:asciiTheme="minorHAnsi" w:eastAsia="Calibri" w:hAnsiTheme="minorHAnsi"/>
              </w:rPr>
              <w:t>Q</w:t>
            </w:r>
            <w:r w:rsidR="00821C8C" w:rsidRPr="26FF090E">
              <w:rPr>
                <w:rFonts w:asciiTheme="minorHAnsi" w:eastAsia="Calibri" w:hAnsiTheme="minorHAnsi"/>
              </w:rPr>
              <w:t>uestions</w:t>
            </w:r>
            <w:r w:rsidRPr="26FF090E">
              <w:rPr>
                <w:rFonts w:asciiTheme="minorHAnsi" w:eastAsia="Calibri" w:hAnsiTheme="minorHAnsi"/>
              </w:rPr>
              <w:t>:</w:t>
            </w:r>
          </w:p>
          <w:p w14:paraId="399E4A36" w14:textId="6CD3DA5E" w:rsidR="00821C8C" w:rsidRPr="00F96B62" w:rsidRDefault="00821C8C" w:rsidP="00F96B62">
            <w:pPr>
              <w:numPr>
                <w:ilvl w:val="0"/>
                <w:numId w:val="8"/>
              </w:numPr>
              <w:spacing w:before="0" w:after="160" w:line="259" w:lineRule="auto"/>
              <w:contextualSpacing/>
              <w:rPr>
                <w:rFonts w:eastAsia="Calibri" w:cs="Times New Roman"/>
                <w:kern w:val="2"/>
                <w14:ligatures w14:val="standardContextual"/>
              </w:rPr>
            </w:pPr>
            <w:r w:rsidRPr="1A537553">
              <w:rPr>
                <w:rFonts w:eastAsia="Calibri" w:cs="Times New Roman"/>
                <w:kern w:val="2"/>
                <w14:ligatures w14:val="standardContextual"/>
              </w:rPr>
              <w:t xml:space="preserve">Are the current Centrepay </w:t>
            </w:r>
            <w:r w:rsidR="66DF476D" w:rsidRPr="1A537553">
              <w:rPr>
                <w:rFonts w:eastAsia="Calibri" w:cs="Times New Roman"/>
                <w:kern w:val="2"/>
                <w14:ligatures w14:val="standardContextual"/>
              </w:rPr>
              <w:t xml:space="preserve">deduction </w:t>
            </w:r>
            <w:r w:rsidRPr="1A537553">
              <w:rPr>
                <w:rFonts w:eastAsia="Calibri" w:cs="Times New Roman"/>
                <w:kern w:val="2"/>
                <w14:ligatures w14:val="standardContextual"/>
              </w:rPr>
              <w:t>types sufficient</w:t>
            </w:r>
            <w:r w:rsidR="66DF476D" w:rsidRPr="1A537553">
              <w:rPr>
                <w:rFonts w:eastAsia="Calibri" w:cs="Times New Roman"/>
                <w:kern w:val="2"/>
                <w14:ligatures w14:val="standardContextual"/>
              </w:rPr>
              <w:t xml:space="preserve"> and provide the appropriate flexibility to support customers in managing their own finances</w:t>
            </w:r>
            <w:r w:rsidRPr="1A537553">
              <w:rPr>
                <w:rFonts w:eastAsia="Calibri" w:cs="Times New Roman"/>
                <w:kern w:val="2"/>
                <w14:ligatures w14:val="standardContextual"/>
              </w:rPr>
              <w:t>?</w:t>
            </w:r>
          </w:p>
          <w:p w14:paraId="6C4C05A4" w14:textId="68CC0089" w:rsidR="0036592F" w:rsidRPr="00821C8C" w:rsidRDefault="00821C8C" w:rsidP="00F96B62">
            <w:pPr>
              <w:numPr>
                <w:ilvl w:val="0"/>
                <w:numId w:val="8"/>
              </w:numPr>
              <w:spacing w:before="0" w:after="160" w:line="259" w:lineRule="auto"/>
              <w:contextualSpacing/>
              <w:rPr>
                <w:rFonts w:eastAsia="Calibri" w:cs="Times New Roman"/>
                <w:kern w:val="2"/>
                <w14:ligatures w14:val="standardContextual"/>
              </w:rPr>
            </w:pPr>
            <w:r w:rsidRPr="1A537553">
              <w:rPr>
                <w:rFonts w:eastAsia="Calibri" w:cs="Times New Roman"/>
                <w:kern w:val="2"/>
                <w14:ligatures w14:val="standardContextual"/>
              </w:rPr>
              <w:t xml:space="preserve">Should there be restrictions on the </w:t>
            </w:r>
            <w:r w:rsidR="0036592F" w:rsidRPr="1A537553">
              <w:rPr>
                <w:rFonts w:eastAsia="Calibri" w:cs="Times New Roman"/>
                <w:kern w:val="2"/>
                <w14:ligatures w14:val="standardContextual"/>
              </w:rPr>
              <w:t>type</w:t>
            </w:r>
            <w:r w:rsidR="00F41263" w:rsidRPr="1A537553">
              <w:rPr>
                <w:rFonts w:eastAsia="Calibri" w:cs="Times New Roman"/>
                <w:kern w:val="2"/>
                <w14:ligatures w14:val="standardContextual"/>
              </w:rPr>
              <w:t xml:space="preserve">s </w:t>
            </w:r>
            <w:r w:rsidR="0036592F" w:rsidRPr="1A537553">
              <w:rPr>
                <w:rFonts w:eastAsia="Calibri" w:cs="Times New Roman"/>
                <w:kern w:val="2"/>
                <w14:ligatures w14:val="standardContextual"/>
              </w:rPr>
              <w:t xml:space="preserve">of </w:t>
            </w:r>
            <w:r w:rsidR="00F41263" w:rsidRPr="1A537553">
              <w:rPr>
                <w:rFonts w:eastAsia="Calibri" w:cs="Times New Roman"/>
                <w:kern w:val="2"/>
                <w14:ligatures w14:val="standardContextual"/>
              </w:rPr>
              <w:t>deductions (</w:t>
            </w:r>
            <w:r w:rsidR="00B4684D" w:rsidRPr="1A537553">
              <w:rPr>
                <w:rFonts w:eastAsia="Calibri" w:cs="Times New Roman"/>
                <w:kern w:val="2"/>
                <w14:ligatures w14:val="standardContextual"/>
              </w:rPr>
              <w:t>i.e.</w:t>
            </w:r>
            <w:r w:rsidR="00F41263" w:rsidRPr="1A537553">
              <w:rPr>
                <w:rFonts w:eastAsia="Calibri" w:cs="Times New Roman"/>
                <w:kern w:val="2"/>
                <w14:ligatures w14:val="standardContextual"/>
              </w:rPr>
              <w:t xml:space="preserve"> </w:t>
            </w:r>
            <w:r w:rsidR="00F41263" w:rsidRPr="00F96B62">
              <w:rPr>
                <w:rFonts w:eastAsia="Calibri" w:cs="Times New Roman"/>
                <w:kern w:val="2"/>
                <w14:ligatures w14:val="standardContextual"/>
              </w:rPr>
              <w:t>ongoing</w:t>
            </w:r>
            <w:r w:rsidR="71E03894" w:rsidRPr="00F96B62">
              <w:rPr>
                <w:rFonts w:eastAsia="Calibri" w:cs="Times New Roman"/>
                <w:kern w:val="2"/>
                <w14:ligatures w14:val="standardContextual"/>
              </w:rPr>
              <w:t>, amounts</w:t>
            </w:r>
            <w:r w:rsidR="00F41263" w:rsidRPr="1A537553">
              <w:rPr>
                <w:rFonts w:eastAsia="Calibri" w:cs="Times New Roman"/>
                <w:kern w:val="2"/>
                <w14:ligatures w14:val="standardContextual"/>
              </w:rPr>
              <w:t xml:space="preserve">) that can be established for specific </w:t>
            </w:r>
            <w:r w:rsidR="0036592F" w:rsidRPr="1A537553">
              <w:rPr>
                <w:rFonts w:eastAsia="Calibri" w:cs="Times New Roman"/>
                <w:kern w:val="2"/>
                <w14:ligatures w14:val="standardContextual"/>
              </w:rPr>
              <w:t xml:space="preserve">goods and services? </w:t>
            </w:r>
          </w:p>
          <w:p w14:paraId="3F3F3F24" w14:textId="4FA50D6C" w:rsidR="0036592F" w:rsidRPr="00821C8C" w:rsidRDefault="0036592F" w:rsidP="00F96B62">
            <w:pPr>
              <w:numPr>
                <w:ilvl w:val="0"/>
                <w:numId w:val="8"/>
              </w:numPr>
              <w:spacing w:before="0" w:after="160" w:line="259" w:lineRule="auto"/>
              <w:contextualSpacing/>
              <w:rPr>
                <w:rFonts w:eastAsia="Calibri" w:cs="Times New Roman"/>
                <w:kern w:val="2"/>
                <w14:ligatures w14:val="standardContextual"/>
              </w:rPr>
            </w:pPr>
            <w:r w:rsidRPr="1A537553">
              <w:rPr>
                <w:rFonts w:eastAsia="Calibri" w:cs="Times New Roman"/>
                <w:kern w:val="2"/>
                <w14:ligatures w14:val="standardContextual"/>
              </w:rPr>
              <w:t xml:space="preserve">Should there be a maximum percentage limit </w:t>
            </w:r>
            <w:r w:rsidR="4DDFF198" w:rsidRPr="1A537553">
              <w:rPr>
                <w:rFonts w:eastAsia="Calibri" w:cs="Times New Roman"/>
                <w:kern w:val="2"/>
                <w14:ligatures w14:val="standardContextual"/>
              </w:rPr>
              <w:t xml:space="preserve">on the amount customers can allocate from their Centrelink payment to </w:t>
            </w:r>
            <w:r w:rsidR="00F41263" w:rsidRPr="1A537553">
              <w:rPr>
                <w:rFonts w:eastAsia="Calibri" w:cs="Times New Roman"/>
                <w:kern w:val="2"/>
                <w14:ligatures w14:val="standardContextual"/>
              </w:rPr>
              <w:t>their</w:t>
            </w:r>
            <w:r w:rsidRPr="1A537553">
              <w:rPr>
                <w:rFonts w:eastAsia="Calibri" w:cs="Times New Roman"/>
                <w:kern w:val="2"/>
                <w14:ligatures w14:val="standardContextual"/>
              </w:rPr>
              <w:t xml:space="preserve"> Centrepay</w:t>
            </w:r>
            <w:r w:rsidR="4DDFF198" w:rsidRPr="1A537553">
              <w:rPr>
                <w:rFonts w:eastAsia="Calibri" w:cs="Times New Roman"/>
                <w:kern w:val="2"/>
                <w14:ligatures w14:val="standardContextual"/>
              </w:rPr>
              <w:t xml:space="preserve"> deductions</w:t>
            </w:r>
            <w:r w:rsidRPr="1A537553">
              <w:rPr>
                <w:rFonts w:eastAsia="Calibri" w:cs="Times New Roman"/>
                <w:kern w:val="2"/>
                <w14:ligatures w14:val="standardContextual"/>
              </w:rPr>
              <w:t>?</w:t>
            </w:r>
            <w:r w:rsidR="3E955799" w:rsidRPr="1A537553">
              <w:rPr>
                <w:rFonts w:eastAsia="Calibri" w:cs="Times New Roman"/>
                <w:kern w:val="2"/>
                <w14:ligatures w14:val="standardContextual"/>
              </w:rPr>
              <w:t xml:space="preserve"> </w:t>
            </w:r>
            <w:r w:rsidR="00BE7A32" w:rsidRPr="00F96B62">
              <w:rPr>
                <w:rFonts w:eastAsia="Calibri" w:cs="Times New Roman"/>
                <w:kern w:val="2"/>
                <w14:ligatures w14:val="standardContextual"/>
              </w:rPr>
              <w:t>S</w:t>
            </w:r>
            <w:r w:rsidR="3E955799" w:rsidRPr="1A537553">
              <w:rPr>
                <w:rFonts w:eastAsia="Calibri" w:cs="Times New Roman"/>
                <w:kern w:val="2"/>
                <w14:ligatures w14:val="standardContextual"/>
              </w:rPr>
              <w:t>hould this percentage apply to all Centrepay service reasons or to a selection of service reasons?</w:t>
            </w:r>
            <w:r w:rsidRPr="1A537553">
              <w:rPr>
                <w:rFonts w:eastAsia="Calibri" w:cs="Times New Roman"/>
                <w:kern w:val="2"/>
                <w14:ligatures w14:val="standardContextual"/>
              </w:rPr>
              <w:t xml:space="preserve"> </w:t>
            </w:r>
          </w:p>
        </w:tc>
      </w:tr>
    </w:tbl>
    <w:p w14:paraId="75132EBB" w14:textId="587204D4" w:rsidR="004E6794" w:rsidRDefault="004548ED" w:rsidP="004548ED">
      <w:pPr>
        <w:pStyle w:val="BodyText"/>
        <w:rPr>
          <w:rFonts w:eastAsia="Calibri"/>
        </w:rPr>
      </w:pPr>
      <w:r w:rsidRPr="1A537553">
        <w:rPr>
          <w:rFonts w:eastAsia="Calibri"/>
        </w:rPr>
        <w:t>Where approved by the agency, a registered Centrepay business can establish a Centrepay deduction arrangement on behalf of a customer</w:t>
      </w:r>
      <w:r w:rsidR="00CE335B">
        <w:rPr>
          <w:rFonts w:eastAsia="Calibri"/>
        </w:rPr>
        <w:t>,</w:t>
      </w:r>
      <w:r w:rsidRPr="1A537553">
        <w:rPr>
          <w:rFonts w:eastAsia="Calibri"/>
        </w:rPr>
        <w:t xml:space="preserve"> where the relevant customer authority has been obtained. </w:t>
      </w:r>
    </w:p>
    <w:p w14:paraId="7CEB960E" w14:textId="4775AE9A" w:rsidR="004548ED" w:rsidRDefault="51C644BA" w:rsidP="00EF2C06">
      <w:pPr>
        <w:pStyle w:val="BodyText"/>
        <w:spacing w:before="0" w:after="240"/>
        <w:rPr>
          <w:rFonts w:eastAsia="Calibri"/>
        </w:rPr>
      </w:pPr>
      <w:r w:rsidRPr="1436714D">
        <w:rPr>
          <w:rFonts w:eastAsia="Calibri"/>
        </w:rPr>
        <w:t xml:space="preserve">As part of this arrangement and once established, a business may decrease, pause or cease a Centrepay deduction arrangement, </w:t>
      </w:r>
      <w:r w:rsidR="00486B0C" w:rsidRPr="1436714D">
        <w:rPr>
          <w:rFonts w:eastAsia="Calibri"/>
        </w:rPr>
        <w:t>however,</w:t>
      </w:r>
      <w:r w:rsidRPr="1436714D">
        <w:rPr>
          <w:rFonts w:eastAsia="Calibri"/>
        </w:rPr>
        <w:t xml:space="preserve"> cannot increase or create a new arrangement</w:t>
      </w:r>
      <w:r w:rsidR="2BC75411" w:rsidRPr="1436714D">
        <w:rPr>
          <w:rFonts w:eastAsia="Calibri"/>
        </w:rPr>
        <w:t xml:space="preserve"> or alter a </w:t>
      </w:r>
      <w:r w:rsidR="59F52FE3" w:rsidRPr="1436714D">
        <w:rPr>
          <w:rFonts w:eastAsia="Calibri"/>
        </w:rPr>
        <w:t>target amount</w:t>
      </w:r>
      <w:r w:rsidR="4DE792D5" w:rsidRPr="1436714D">
        <w:rPr>
          <w:rFonts w:eastAsia="Calibri"/>
        </w:rPr>
        <w:t>,</w:t>
      </w:r>
      <w:r w:rsidRPr="1436714D">
        <w:rPr>
          <w:rFonts w:eastAsia="Calibri"/>
        </w:rPr>
        <w:t xml:space="preserve"> without obtaining </w:t>
      </w:r>
      <w:r w:rsidR="52705CE2" w:rsidRPr="1436714D">
        <w:rPr>
          <w:rFonts w:eastAsia="Calibri"/>
        </w:rPr>
        <w:t xml:space="preserve">a new </w:t>
      </w:r>
      <w:r w:rsidRPr="1436714D">
        <w:rPr>
          <w:rFonts w:eastAsia="Calibri"/>
        </w:rPr>
        <w:t xml:space="preserve">authority from the customer to do so. </w:t>
      </w:r>
    </w:p>
    <w:tbl>
      <w:tblPr>
        <w:tblStyle w:val="TableGrid1"/>
        <w:tblW w:w="0" w:type="auto"/>
        <w:jc w:val="center"/>
        <w:tblLook w:val="04A0" w:firstRow="1" w:lastRow="0" w:firstColumn="1" w:lastColumn="0" w:noHBand="0" w:noVBand="1"/>
      </w:tblPr>
      <w:tblGrid>
        <w:gridCol w:w="9016"/>
      </w:tblGrid>
      <w:tr w:rsidR="004548ED" w:rsidRPr="00C96D9B" w14:paraId="0F77443E" w14:textId="77777777" w:rsidTr="00762986">
        <w:trPr>
          <w:trHeight w:val="2407"/>
          <w:jc w:val="center"/>
        </w:trPr>
        <w:tc>
          <w:tcPr>
            <w:tcW w:w="9016" w:type="dxa"/>
            <w:shd w:val="clear" w:color="auto" w:fill="C6F3FF" w:themeFill="accent1" w:themeFillTint="33"/>
          </w:tcPr>
          <w:p w14:paraId="77F87A14" w14:textId="1422E859" w:rsidR="004548ED" w:rsidRPr="00A60D56" w:rsidRDefault="004548ED" w:rsidP="00D96324">
            <w:pPr>
              <w:pStyle w:val="Heading3"/>
              <w:rPr>
                <w:rFonts w:asciiTheme="minorHAnsi" w:eastAsia="Calibri" w:hAnsiTheme="minorHAnsi"/>
              </w:rPr>
            </w:pPr>
            <w:r w:rsidRPr="00A60D56">
              <w:rPr>
                <w:rFonts w:asciiTheme="minorHAnsi" w:eastAsia="Calibri" w:hAnsiTheme="minorHAnsi"/>
              </w:rPr>
              <w:t>Q</w:t>
            </w:r>
            <w:r>
              <w:rPr>
                <w:rFonts w:asciiTheme="minorHAnsi" w:eastAsia="Calibri" w:hAnsiTheme="minorHAnsi"/>
              </w:rPr>
              <w:t>uestion</w:t>
            </w:r>
            <w:r w:rsidR="00EF2C06">
              <w:rPr>
                <w:rFonts w:asciiTheme="minorHAnsi" w:eastAsia="Calibri" w:hAnsiTheme="minorHAnsi"/>
              </w:rPr>
              <w:t>s</w:t>
            </w:r>
            <w:r w:rsidRPr="00A60D56">
              <w:rPr>
                <w:rFonts w:asciiTheme="minorHAnsi" w:eastAsia="Calibri" w:hAnsiTheme="minorHAnsi"/>
              </w:rPr>
              <w:t>:</w:t>
            </w:r>
          </w:p>
          <w:p w14:paraId="2B83F932" w14:textId="0EF170C9" w:rsidR="004548ED" w:rsidRPr="00F96B62" w:rsidRDefault="004548ED" w:rsidP="00F96B62">
            <w:pPr>
              <w:numPr>
                <w:ilvl w:val="0"/>
                <w:numId w:val="8"/>
              </w:numPr>
              <w:spacing w:before="0" w:after="160" w:line="259" w:lineRule="auto"/>
              <w:contextualSpacing/>
              <w:rPr>
                <w:rFonts w:eastAsia="Calibri" w:cs="Times New Roman"/>
                <w:kern w:val="2"/>
                <w14:ligatures w14:val="standardContextual"/>
              </w:rPr>
            </w:pPr>
            <w:r w:rsidRPr="1A537553">
              <w:rPr>
                <w:rFonts w:eastAsia="Calibri" w:cs="Times New Roman"/>
                <w:kern w:val="2"/>
                <w14:ligatures w14:val="standardContextual"/>
              </w:rPr>
              <w:t>Should businesses retain th</w:t>
            </w:r>
            <w:r w:rsidR="00F41263" w:rsidRPr="1A537553">
              <w:rPr>
                <w:rFonts w:eastAsia="Calibri" w:cs="Times New Roman"/>
                <w:kern w:val="2"/>
                <w14:ligatures w14:val="standardContextual"/>
              </w:rPr>
              <w:t>e</w:t>
            </w:r>
            <w:r w:rsidRPr="1A537553">
              <w:rPr>
                <w:rFonts w:eastAsia="Calibri" w:cs="Times New Roman"/>
                <w:kern w:val="2"/>
                <w14:ligatures w14:val="standardContextual"/>
              </w:rPr>
              <w:t xml:space="preserve"> ability to establish Centrepay deduction arrangements on behalf of customer</w:t>
            </w:r>
            <w:r w:rsidR="00F41263" w:rsidRPr="1A537553">
              <w:rPr>
                <w:rFonts w:eastAsia="Calibri" w:cs="Times New Roman"/>
                <w:kern w:val="2"/>
                <w14:ligatures w14:val="standardContextual"/>
              </w:rPr>
              <w:t>s</w:t>
            </w:r>
            <w:r w:rsidRPr="1A537553">
              <w:rPr>
                <w:rFonts w:eastAsia="Calibri" w:cs="Times New Roman"/>
                <w:kern w:val="2"/>
                <w14:ligatures w14:val="standardContextual"/>
              </w:rPr>
              <w:t xml:space="preserve">? </w:t>
            </w:r>
          </w:p>
          <w:p w14:paraId="2C3DDC5A" w14:textId="77777777" w:rsidR="003346F7" w:rsidRPr="00F96B62" w:rsidRDefault="003346F7"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Should certain businesses have conditions imposed limiting the access they have to manage deductions on behalf of customers?</w:t>
            </w:r>
          </w:p>
          <w:p w14:paraId="7E60B053" w14:textId="3FB97386" w:rsidR="004548ED" w:rsidRDefault="23864C3A"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W</w:t>
            </w:r>
            <w:r w:rsidR="11F578B2" w:rsidRPr="00F96B62">
              <w:rPr>
                <w:rFonts w:eastAsia="Calibri" w:cs="Times New Roman"/>
                <w:kern w:val="2"/>
                <w14:ligatures w14:val="standardContextual"/>
              </w:rPr>
              <w:t xml:space="preserve">hat are the </w:t>
            </w:r>
            <w:r w:rsidR="51C644BA" w:rsidRPr="1436714D">
              <w:rPr>
                <w:rFonts w:eastAsia="Calibri" w:cs="Times New Roman"/>
                <w:kern w:val="2"/>
                <w14:ligatures w14:val="standardContextual"/>
              </w:rPr>
              <w:t xml:space="preserve">further conditions that </w:t>
            </w:r>
            <w:r w:rsidR="11F578B2" w:rsidRPr="00F96B62">
              <w:rPr>
                <w:rFonts w:eastAsia="Calibri" w:cs="Times New Roman"/>
                <w:kern w:val="2"/>
                <w14:ligatures w14:val="standardContextual"/>
              </w:rPr>
              <w:t xml:space="preserve">should </w:t>
            </w:r>
            <w:r w:rsidR="51C644BA" w:rsidRPr="1436714D">
              <w:rPr>
                <w:rFonts w:eastAsia="Calibri" w:cs="Times New Roman"/>
                <w:kern w:val="2"/>
                <w14:ligatures w14:val="standardContextual"/>
              </w:rPr>
              <w:t xml:space="preserve">be </w:t>
            </w:r>
            <w:r w:rsidR="11F578B2" w:rsidRPr="00F96B62">
              <w:rPr>
                <w:rFonts w:eastAsia="Calibri" w:cs="Times New Roman"/>
                <w:kern w:val="2"/>
                <w14:ligatures w14:val="standardContextual"/>
              </w:rPr>
              <w:t xml:space="preserve">applied to deduction arrangements </w:t>
            </w:r>
            <w:r w:rsidR="51C644BA" w:rsidRPr="1436714D">
              <w:rPr>
                <w:rFonts w:eastAsia="Calibri" w:cs="Times New Roman"/>
                <w:kern w:val="2"/>
                <w14:ligatures w14:val="standardContextual"/>
              </w:rPr>
              <w:t>to further strengthen customer protections</w:t>
            </w:r>
            <w:r w:rsidR="30222E18" w:rsidRPr="1436714D">
              <w:rPr>
                <w:rFonts w:eastAsia="Calibri" w:cs="Times New Roman"/>
                <w:kern w:val="2"/>
                <w14:ligatures w14:val="standardContextual"/>
              </w:rPr>
              <w:t>?</w:t>
            </w:r>
          </w:p>
          <w:p w14:paraId="3FF157F6" w14:textId="77777777" w:rsidR="00DA655D" w:rsidRPr="00555119" w:rsidRDefault="5612A420" w:rsidP="00F96B62">
            <w:pPr>
              <w:numPr>
                <w:ilvl w:val="0"/>
                <w:numId w:val="8"/>
              </w:numPr>
              <w:spacing w:before="0" w:after="160" w:line="259" w:lineRule="auto"/>
              <w:contextualSpacing/>
              <w:rPr>
                <w:rFonts w:eastAsia="Calibri" w:cs="Times New Roman"/>
                <w:kern w:val="2"/>
                <w:szCs w:val="20"/>
                <w14:ligatures w14:val="standardContextual"/>
              </w:rPr>
            </w:pPr>
            <w:r w:rsidRPr="00F96B62">
              <w:rPr>
                <w:rFonts w:eastAsia="Calibri" w:cs="Times New Roman"/>
                <w:kern w:val="2"/>
                <w14:ligatures w14:val="standardContextual"/>
              </w:rPr>
              <w:t>Does the agency’s existing Centrepay resources and information available to customers clearly outline the customer authority process and customer’s ongoing requirements to manage their deductions?</w:t>
            </w:r>
          </w:p>
          <w:p w14:paraId="2BB66617" w14:textId="7EE1EC66" w:rsidR="00555119" w:rsidRPr="004548ED" w:rsidRDefault="00555119" w:rsidP="00555119">
            <w:pPr>
              <w:spacing w:before="0" w:after="160" w:line="259" w:lineRule="auto"/>
              <w:ind w:left="720"/>
              <w:contextualSpacing/>
              <w:rPr>
                <w:rFonts w:eastAsia="Calibri" w:cs="Times New Roman"/>
                <w:kern w:val="2"/>
                <w:szCs w:val="20"/>
                <w14:ligatures w14:val="standardContextual"/>
              </w:rPr>
            </w:pPr>
          </w:p>
        </w:tc>
      </w:tr>
    </w:tbl>
    <w:p w14:paraId="6D81C7BA" w14:textId="77777777" w:rsidR="004548ED" w:rsidRPr="00C96D9B" w:rsidRDefault="004548ED" w:rsidP="004548ED">
      <w:pPr>
        <w:pStyle w:val="Heading3"/>
        <w:rPr>
          <w:rFonts w:asciiTheme="minorHAnsi" w:eastAsia="Calibri" w:hAnsiTheme="minorHAnsi"/>
          <w:highlight w:val="lightGray"/>
        </w:rPr>
      </w:pPr>
    </w:p>
    <w:p w14:paraId="29F35B0B" w14:textId="77777777" w:rsidR="004548ED" w:rsidRPr="004548ED" w:rsidRDefault="004548ED" w:rsidP="004548ED">
      <w:pPr>
        <w:pStyle w:val="BodyText"/>
        <w:rPr>
          <w:rFonts w:eastAsia="Calibri"/>
        </w:rPr>
      </w:pPr>
    </w:p>
    <w:p w14:paraId="29F3449D" w14:textId="04033015" w:rsidR="00B62C0D" w:rsidRDefault="00C96D9B" w:rsidP="005C6140">
      <w:pPr>
        <w:pStyle w:val="Heading1"/>
      </w:pPr>
      <w:bookmarkStart w:id="12" w:name="_Toc164256440"/>
      <w:r>
        <w:rPr>
          <w:rFonts w:asciiTheme="minorHAnsi" w:hAnsiTheme="minorHAnsi"/>
        </w:rPr>
        <w:lastRenderedPageBreak/>
        <w:t>3</w:t>
      </w:r>
      <w:r w:rsidR="00B62C0D" w:rsidRPr="00C96D9B">
        <w:rPr>
          <w:rFonts w:asciiTheme="minorHAnsi" w:hAnsiTheme="minorHAnsi"/>
        </w:rPr>
        <w:t xml:space="preserve">. </w:t>
      </w:r>
      <w:r w:rsidR="00B62C0D" w:rsidRPr="00A60D56">
        <w:t>Customer</w:t>
      </w:r>
      <w:r w:rsidR="00760441" w:rsidRPr="00A60D56">
        <w:t xml:space="preserve"> Experience</w:t>
      </w:r>
      <w:bookmarkEnd w:id="12"/>
    </w:p>
    <w:p w14:paraId="1BFE54E1" w14:textId="6940C77D" w:rsidR="0002671A" w:rsidRPr="0002671A" w:rsidRDefault="0002671A" w:rsidP="0002671A">
      <w:pPr>
        <w:pStyle w:val="Heading2"/>
        <w:rPr>
          <w:rFonts w:eastAsia="Calibri"/>
        </w:rPr>
      </w:pPr>
      <w:bookmarkStart w:id="13" w:name="_Toc164256441"/>
      <w:r w:rsidRPr="301E25E4">
        <w:rPr>
          <w:rFonts w:eastAsia="Calibri"/>
        </w:rPr>
        <w:t>3.1 Ac</w:t>
      </w:r>
      <w:r w:rsidR="00D04D90" w:rsidRPr="301E25E4">
        <w:rPr>
          <w:rFonts w:eastAsia="Calibri"/>
        </w:rPr>
        <w:t>c</w:t>
      </w:r>
      <w:r w:rsidRPr="301E25E4">
        <w:rPr>
          <w:rFonts w:eastAsia="Calibri"/>
        </w:rPr>
        <w:t>ess to Centrepay</w:t>
      </w:r>
      <w:bookmarkEnd w:id="13"/>
      <w:r w:rsidRPr="301E25E4">
        <w:rPr>
          <w:rFonts w:eastAsia="Calibri"/>
        </w:rPr>
        <w:t xml:space="preserve"> </w:t>
      </w:r>
    </w:p>
    <w:p w14:paraId="10108249" w14:textId="79FAD4FD" w:rsidR="00F14035" w:rsidRPr="0002671A" w:rsidRDefault="00BB4D8B" w:rsidP="400281E4">
      <w:pPr>
        <w:spacing w:before="0" w:after="160" w:line="259" w:lineRule="auto"/>
        <w:rPr>
          <w:rFonts w:eastAsia="Calibri" w:cs="Times New Roman"/>
          <w:kern w:val="2"/>
          <w14:ligatures w14:val="standardContextual"/>
        </w:rPr>
      </w:pPr>
      <w:r w:rsidRPr="400281E4">
        <w:rPr>
          <w:rFonts w:eastAsia="Calibri" w:cs="Times New Roman"/>
          <w:kern w:val="2"/>
          <w14:ligatures w14:val="standardContextual"/>
        </w:rPr>
        <w:t>The agency understands that e</w:t>
      </w:r>
      <w:r w:rsidR="00F14035" w:rsidRPr="400281E4">
        <w:rPr>
          <w:rFonts w:eastAsia="Calibri" w:cs="Times New Roman"/>
          <w:kern w:val="2"/>
          <w14:ligatures w14:val="standardContextual"/>
        </w:rPr>
        <w:t>ach</w:t>
      </w:r>
      <w:r w:rsidRPr="400281E4">
        <w:rPr>
          <w:rFonts w:eastAsia="Calibri" w:cs="Times New Roman"/>
          <w:kern w:val="2"/>
          <w14:ligatures w14:val="standardContextual"/>
        </w:rPr>
        <w:t xml:space="preserve"> customer will interact with the agency differently</w:t>
      </w:r>
      <w:r w:rsidR="0002671A" w:rsidRPr="400281E4">
        <w:rPr>
          <w:rFonts w:eastAsia="Calibri" w:cs="Times New Roman"/>
          <w:kern w:val="2"/>
          <w14:ligatures w14:val="standardContextual"/>
        </w:rPr>
        <w:t xml:space="preserve"> and is committed to ensuring that Centrepay customers are informed and in control of their own Centrepay deductions</w:t>
      </w:r>
      <w:r w:rsidRPr="400281E4">
        <w:rPr>
          <w:rFonts w:eastAsia="Calibri" w:cs="Times New Roman"/>
          <w:kern w:val="2"/>
          <w14:ligatures w14:val="standardContextual"/>
        </w:rPr>
        <w:t>.</w:t>
      </w:r>
    </w:p>
    <w:p w14:paraId="1CEF9044" w14:textId="5C3B43CF" w:rsidR="0002671A" w:rsidRDefault="00F14035" w:rsidP="400281E4">
      <w:pPr>
        <w:spacing w:before="0" w:after="160" w:line="259" w:lineRule="auto"/>
        <w:rPr>
          <w:rFonts w:eastAsia="Calibri" w:cs="Times New Roman"/>
          <w:kern w:val="2"/>
          <w14:ligatures w14:val="standardContextual"/>
        </w:rPr>
      </w:pPr>
      <w:r w:rsidRPr="400281E4">
        <w:rPr>
          <w:rFonts w:eastAsia="Calibri" w:cs="Times New Roman"/>
          <w:kern w:val="2"/>
          <w14:ligatures w14:val="standardContextual"/>
        </w:rPr>
        <w:t xml:space="preserve">As part of Centrepay reform, the agency </w:t>
      </w:r>
      <w:r w:rsidR="00D9707B" w:rsidRPr="400281E4">
        <w:rPr>
          <w:rFonts w:eastAsia="Calibri" w:cs="Times New Roman"/>
          <w:kern w:val="2"/>
          <w14:ligatures w14:val="standardContextual"/>
        </w:rPr>
        <w:t>is focused on</w:t>
      </w:r>
      <w:r w:rsidRPr="400281E4">
        <w:rPr>
          <w:rFonts w:eastAsia="Calibri" w:cs="Times New Roman"/>
          <w:kern w:val="2"/>
          <w14:ligatures w14:val="standardContextual"/>
        </w:rPr>
        <w:t xml:space="preserve"> ensur</w:t>
      </w:r>
      <w:r w:rsidR="00D9707B" w:rsidRPr="400281E4">
        <w:rPr>
          <w:rFonts w:eastAsia="Calibri" w:cs="Times New Roman"/>
          <w:kern w:val="2"/>
          <w14:ligatures w14:val="standardContextual"/>
        </w:rPr>
        <w:t>ing</w:t>
      </w:r>
      <w:r w:rsidRPr="400281E4">
        <w:rPr>
          <w:rFonts w:eastAsia="Calibri" w:cs="Times New Roman"/>
          <w:kern w:val="2"/>
          <w14:ligatures w14:val="standardContextual"/>
        </w:rPr>
        <w:t xml:space="preserve"> that Centrepay customers </w:t>
      </w:r>
      <w:r w:rsidR="00D9707B" w:rsidRPr="400281E4">
        <w:rPr>
          <w:rFonts w:eastAsia="Calibri" w:cs="Times New Roman"/>
          <w:kern w:val="2"/>
          <w14:ligatures w14:val="standardContextual"/>
        </w:rPr>
        <w:t>can</w:t>
      </w:r>
      <w:r w:rsidRPr="400281E4">
        <w:rPr>
          <w:rFonts w:eastAsia="Calibri" w:cs="Times New Roman"/>
          <w:kern w:val="2"/>
          <w14:ligatures w14:val="standardContextual"/>
        </w:rPr>
        <w:t xml:space="preserve"> interact with </w:t>
      </w:r>
      <w:r w:rsidR="00D9707B" w:rsidRPr="400281E4">
        <w:rPr>
          <w:rFonts w:eastAsia="Calibri" w:cs="Times New Roman"/>
          <w:kern w:val="2"/>
          <w14:ligatures w14:val="standardContextual"/>
        </w:rPr>
        <w:t>the agency</w:t>
      </w:r>
      <w:r w:rsidRPr="400281E4">
        <w:rPr>
          <w:rFonts w:eastAsia="Calibri" w:cs="Times New Roman"/>
          <w:kern w:val="2"/>
          <w14:ligatures w14:val="standardContextual"/>
        </w:rPr>
        <w:t xml:space="preserve"> in a way that best suits their needs. This includes utilising the agency’s digital platform myGov, call centres and face-to-face service centres. </w:t>
      </w:r>
    </w:p>
    <w:p w14:paraId="5935302C" w14:textId="36AA3211" w:rsidR="000F1172" w:rsidRPr="0002671A" w:rsidRDefault="00F14035" w:rsidP="000F1172">
      <w:pPr>
        <w:spacing w:after="240" w:line="259" w:lineRule="auto"/>
        <w:rPr>
          <w:rFonts w:eastAsia="Calibri" w:cs="Times New Roman"/>
          <w:kern w:val="2"/>
          <w:szCs w:val="20"/>
          <w14:ligatures w14:val="standardContextual"/>
        </w:rPr>
      </w:pPr>
      <w:r w:rsidRPr="0002671A">
        <w:rPr>
          <w:rFonts w:eastAsia="Calibri" w:cs="Times New Roman"/>
          <w:kern w:val="2"/>
          <w:szCs w:val="20"/>
          <w14:ligatures w14:val="standardContextual"/>
        </w:rPr>
        <w:t xml:space="preserve">As part of this, the agency would also like to better understand the types of Centrepay information that would further support customers in self-managing their finances and payment </w:t>
      </w:r>
      <w:r w:rsidR="007278F8" w:rsidRPr="00D9707B">
        <w:rPr>
          <w:rFonts w:eastAsia="Calibri" w:cs="Times New Roman"/>
          <w:kern w:val="2"/>
          <w:szCs w:val="20"/>
          <w14:ligatures w14:val="standardContextual"/>
        </w:rPr>
        <w:t>arrangements. The</w:t>
      </w:r>
      <w:r w:rsidR="0002671A" w:rsidRPr="00D9707B">
        <w:rPr>
          <w:rFonts w:eastAsia="Calibri" w:cs="Times New Roman"/>
          <w:kern w:val="2"/>
          <w:szCs w:val="20"/>
          <w14:ligatures w14:val="standardContextual"/>
        </w:rPr>
        <w:t xml:space="preserve"> agency has heard from key stakeholders that initiatives such as text messaging, enhanced </w:t>
      </w:r>
      <w:r w:rsidR="00D9707B" w:rsidRPr="00D9707B">
        <w:rPr>
          <w:rFonts w:eastAsia="Calibri" w:cs="Times New Roman"/>
          <w:kern w:val="2"/>
          <w:szCs w:val="20"/>
          <w14:ligatures w14:val="standardContextual"/>
        </w:rPr>
        <w:t xml:space="preserve">myGov </w:t>
      </w:r>
      <w:r w:rsidR="0002671A" w:rsidRPr="00D9707B">
        <w:rPr>
          <w:rFonts w:eastAsia="Calibri" w:cs="Times New Roman"/>
          <w:kern w:val="2"/>
          <w:szCs w:val="20"/>
          <w14:ligatures w14:val="standardContextual"/>
        </w:rPr>
        <w:t xml:space="preserve">dashboard </w:t>
      </w:r>
      <w:r w:rsidR="00D9707B" w:rsidRPr="00D9707B">
        <w:rPr>
          <w:rFonts w:eastAsia="Calibri" w:cs="Times New Roman"/>
          <w:kern w:val="2"/>
          <w:szCs w:val="20"/>
          <w14:ligatures w14:val="standardContextual"/>
        </w:rPr>
        <w:t xml:space="preserve">capability </w:t>
      </w:r>
      <w:r w:rsidR="0002671A" w:rsidRPr="00D9707B">
        <w:rPr>
          <w:rFonts w:eastAsia="Calibri" w:cs="Times New Roman"/>
          <w:kern w:val="2"/>
          <w:szCs w:val="20"/>
          <w14:ligatures w14:val="standardContextual"/>
        </w:rPr>
        <w:t>or tailored letters may assist.</w:t>
      </w:r>
    </w:p>
    <w:tbl>
      <w:tblPr>
        <w:tblStyle w:val="TableGrid1"/>
        <w:tblpPr w:leftFromText="180" w:rightFromText="180" w:vertAnchor="text" w:horzAnchor="margin" w:tblpXSpec="center" w:tblpYSpec="outside"/>
        <w:tblW w:w="0" w:type="auto"/>
        <w:tblLook w:val="04A0" w:firstRow="1" w:lastRow="0" w:firstColumn="1" w:lastColumn="0" w:noHBand="0" w:noVBand="1"/>
      </w:tblPr>
      <w:tblGrid>
        <w:gridCol w:w="9016"/>
      </w:tblGrid>
      <w:tr w:rsidR="001549B8" w:rsidRPr="00C96D9B" w14:paraId="17C0EC81" w14:textId="77777777" w:rsidTr="007123AF">
        <w:trPr>
          <w:trHeight w:val="2258"/>
        </w:trPr>
        <w:tc>
          <w:tcPr>
            <w:tcW w:w="9016" w:type="dxa"/>
            <w:shd w:val="clear" w:color="auto" w:fill="C6F3FF" w:themeFill="accent1" w:themeFillTint="33"/>
          </w:tcPr>
          <w:p w14:paraId="0FDAF42B" w14:textId="683B0B05" w:rsidR="001549B8" w:rsidRPr="00A60D56" w:rsidRDefault="001549B8" w:rsidP="26FF090E">
            <w:pPr>
              <w:pStyle w:val="Heading3"/>
              <w:rPr>
                <w:rFonts w:asciiTheme="minorHAnsi" w:eastAsia="Calibri" w:hAnsiTheme="minorHAnsi"/>
              </w:rPr>
            </w:pPr>
            <w:r w:rsidRPr="26FF090E">
              <w:rPr>
                <w:rFonts w:asciiTheme="minorHAnsi" w:eastAsia="Calibri" w:hAnsiTheme="minorHAnsi"/>
              </w:rPr>
              <w:t>Q</w:t>
            </w:r>
            <w:r w:rsidR="0002671A" w:rsidRPr="26FF090E">
              <w:rPr>
                <w:rFonts w:asciiTheme="minorHAnsi" w:eastAsia="Calibri" w:hAnsiTheme="minorHAnsi"/>
              </w:rPr>
              <w:t>uestions</w:t>
            </w:r>
            <w:r w:rsidRPr="26FF090E">
              <w:rPr>
                <w:rFonts w:asciiTheme="minorHAnsi" w:eastAsia="Calibri" w:hAnsiTheme="minorHAnsi"/>
              </w:rPr>
              <w:t>:</w:t>
            </w:r>
          </w:p>
          <w:p w14:paraId="5DD5D323" w14:textId="1965AEFA" w:rsidR="001549B8" w:rsidRPr="00640E41" w:rsidRDefault="73464D57" w:rsidP="301E25E4">
            <w:pPr>
              <w:numPr>
                <w:ilvl w:val="0"/>
                <w:numId w:val="8"/>
              </w:numPr>
              <w:spacing w:before="0" w:after="160" w:line="259" w:lineRule="auto"/>
              <w:contextualSpacing/>
              <w:rPr>
                <w:rFonts w:eastAsia="Calibri" w:cs="Times New Roman"/>
                <w:kern w:val="2"/>
                <w14:ligatures w14:val="standardContextual"/>
              </w:rPr>
            </w:pPr>
            <w:r w:rsidRPr="301E25E4">
              <w:rPr>
                <w:rFonts w:eastAsia="Calibri" w:cs="Times New Roman"/>
                <w:kern w:val="2"/>
                <w14:ligatures w14:val="standardContextual"/>
              </w:rPr>
              <w:t>What</w:t>
            </w:r>
            <w:r w:rsidR="00D04D90" w:rsidRPr="301E25E4">
              <w:rPr>
                <w:rFonts w:eastAsia="Calibri" w:cs="Times New Roman"/>
                <w:kern w:val="2"/>
                <w14:ligatures w14:val="standardContextual"/>
              </w:rPr>
              <w:t xml:space="preserve"> types of </w:t>
            </w:r>
            <w:r w:rsidRPr="301E25E4">
              <w:rPr>
                <w:rFonts w:eastAsia="Calibri" w:cs="Times New Roman"/>
                <w:kern w:val="2"/>
                <w14:ligatures w14:val="standardContextual"/>
              </w:rPr>
              <w:t>information</w:t>
            </w:r>
            <w:r w:rsidR="00D04D90" w:rsidRPr="301E25E4">
              <w:rPr>
                <w:rFonts w:eastAsia="Calibri" w:cs="Times New Roman"/>
                <w:kern w:val="2"/>
                <w14:ligatures w14:val="standardContextual"/>
              </w:rPr>
              <w:t xml:space="preserve"> </w:t>
            </w:r>
            <w:r w:rsidR="0002671A" w:rsidRPr="301E25E4">
              <w:rPr>
                <w:rFonts w:eastAsia="Calibri" w:cs="Times New Roman"/>
                <w:kern w:val="2"/>
                <w14:ligatures w14:val="standardContextual"/>
              </w:rPr>
              <w:t xml:space="preserve">would better support customers </w:t>
            </w:r>
            <w:r w:rsidR="00D04D90" w:rsidRPr="301E25E4">
              <w:rPr>
                <w:rFonts w:eastAsia="Calibri" w:cs="Times New Roman"/>
                <w:kern w:val="2"/>
                <w14:ligatures w14:val="standardContextual"/>
              </w:rPr>
              <w:t>to</w:t>
            </w:r>
            <w:r w:rsidR="0002671A" w:rsidRPr="301E25E4">
              <w:rPr>
                <w:rFonts w:eastAsia="Calibri" w:cs="Times New Roman"/>
                <w:kern w:val="2"/>
                <w14:ligatures w14:val="standardContextual"/>
              </w:rPr>
              <w:t xml:space="preserve"> understand and manage their </w:t>
            </w:r>
            <w:r w:rsidR="00D04D90" w:rsidRPr="301E25E4">
              <w:rPr>
                <w:rFonts w:eastAsia="Calibri" w:cs="Times New Roman"/>
                <w:kern w:val="2"/>
                <w14:ligatures w14:val="standardContextual"/>
              </w:rPr>
              <w:t xml:space="preserve">own </w:t>
            </w:r>
            <w:r w:rsidR="534A0375" w:rsidRPr="301E25E4">
              <w:rPr>
                <w:rFonts w:eastAsia="Calibri" w:cs="Times New Roman"/>
                <w:kern w:val="2"/>
                <w14:ligatures w14:val="standardContextual"/>
              </w:rPr>
              <w:t xml:space="preserve">Centrepay </w:t>
            </w:r>
            <w:r w:rsidR="0002671A" w:rsidRPr="301E25E4">
              <w:rPr>
                <w:rFonts w:eastAsia="Calibri" w:cs="Times New Roman"/>
                <w:kern w:val="2"/>
                <w14:ligatures w14:val="standardContextual"/>
              </w:rPr>
              <w:t>arrangements</w:t>
            </w:r>
            <w:r w:rsidRPr="301E25E4">
              <w:rPr>
                <w:rFonts w:eastAsia="Calibri" w:cs="Times New Roman"/>
                <w:kern w:val="2"/>
                <w14:ligatures w14:val="standardContextual"/>
              </w:rPr>
              <w:t xml:space="preserve">? </w:t>
            </w:r>
          </w:p>
          <w:p w14:paraId="0B038317" w14:textId="77777777" w:rsidR="001549B8" w:rsidRDefault="00D04D90" w:rsidP="301E25E4">
            <w:pPr>
              <w:numPr>
                <w:ilvl w:val="0"/>
                <w:numId w:val="8"/>
              </w:numPr>
              <w:spacing w:before="0" w:after="160" w:line="259" w:lineRule="auto"/>
              <w:contextualSpacing/>
              <w:rPr>
                <w:rFonts w:eastAsia="Calibri" w:cs="Times New Roman"/>
                <w:kern w:val="2"/>
                <w14:ligatures w14:val="standardContextual"/>
              </w:rPr>
            </w:pPr>
            <w:r w:rsidRPr="301E25E4">
              <w:rPr>
                <w:rFonts w:eastAsia="Calibri" w:cs="Times New Roman"/>
                <w:kern w:val="2"/>
                <w14:ligatures w14:val="standardContextual"/>
              </w:rPr>
              <w:t>How can the agency</w:t>
            </w:r>
            <w:r w:rsidR="00F41263" w:rsidRPr="301E25E4">
              <w:rPr>
                <w:rFonts w:eastAsia="Calibri" w:cs="Times New Roman"/>
                <w:kern w:val="2"/>
                <w14:ligatures w14:val="standardContextual"/>
              </w:rPr>
              <w:t>,</w:t>
            </w:r>
            <w:r w:rsidRPr="301E25E4">
              <w:rPr>
                <w:rFonts w:eastAsia="Calibri" w:cs="Times New Roman"/>
                <w:kern w:val="2"/>
                <w14:ligatures w14:val="standardContextual"/>
              </w:rPr>
              <w:t xml:space="preserve"> and registered Centrepay businesses</w:t>
            </w:r>
            <w:r w:rsidR="00F41263" w:rsidRPr="301E25E4">
              <w:rPr>
                <w:rFonts w:eastAsia="Calibri" w:cs="Times New Roman"/>
                <w:kern w:val="2"/>
                <w14:ligatures w14:val="standardContextual"/>
              </w:rPr>
              <w:t>,</w:t>
            </w:r>
            <w:r w:rsidRPr="301E25E4">
              <w:rPr>
                <w:rFonts w:eastAsia="Calibri" w:cs="Times New Roman"/>
                <w:kern w:val="2"/>
                <w14:ligatures w14:val="standardContextual"/>
              </w:rPr>
              <w:t xml:space="preserve"> better support </w:t>
            </w:r>
            <w:r w:rsidR="73464D57" w:rsidRPr="301E25E4">
              <w:rPr>
                <w:rFonts w:eastAsia="Calibri" w:cs="Times New Roman"/>
                <w:kern w:val="2"/>
                <w14:ligatures w14:val="standardContextual"/>
              </w:rPr>
              <w:t xml:space="preserve">customers when things go wrong? </w:t>
            </w:r>
          </w:p>
          <w:p w14:paraId="3F9A266D" w14:textId="45630410" w:rsidR="006B69FA" w:rsidRPr="007123AF" w:rsidRDefault="006B69FA" w:rsidP="007123AF">
            <w:pPr>
              <w:numPr>
                <w:ilvl w:val="0"/>
                <w:numId w:val="8"/>
              </w:numPr>
              <w:spacing w:before="0" w:after="160" w:line="259" w:lineRule="auto"/>
              <w:contextualSpacing/>
              <w:rPr>
                <w:rFonts w:eastAsia="Calibri" w:cs="Times New Roman"/>
                <w:kern w:val="2"/>
                <w:szCs w:val="20"/>
                <w14:ligatures w14:val="standardContextual"/>
              </w:rPr>
            </w:pPr>
            <w:r w:rsidRPr="00F96B62">
              <w:rPr>
                <w:rFonts w:eastAsia="Calibri" w:cs="Times New Roman"/>
                <w:kern w:val="2"/>
                <w14:ligatures w14:val="standardContextual"/>
              </w:rPr>
              <w:t>What are the specific cultural, geographic and language barriers impact customers’ ability to use Centrepay?</w:t>
            </w:r>
            <w:r w:rsidR="000F1172" w:rsidRPr="000F1172">
              <w:rPr>
                <w:rFonts w:eastAsia="Calibri" w:cs="Times New Roman"/>
                <w:kern w:val="2"/>
                <w:szCs w:val="20"/>
                <w14:ligatures w14:val="standardContextual"/>
              </w:rPr>
              <w:t xml:space="preserve"> </w:t>
            </w:r>
          </w:p>
        </w:tc>
      </w:tr>
    </w:tbl>
    <w:p w14:paraId="63DDBE85" w14:textId="77777777" w:rsidR="001549B8" w:rsidRPr="00C96D9B" w:rsidRDefault="001549B8" w:rsidP="00B62C0D">
      <w:pPr>
        <w:spacing w:before="0" w:after="160" w:line="259" w:lineRule="auto"/>
        <w:rPr>
          <w:rFonts w:eastAsia="Calibri" w:cs="Times New Roman"/>
          <w:kern w:val="2"/>
          <w:sz w:val="22"/>
          <w14:ligatures w14:val="standardContextual"/>
        </w:rPr>
      </w:pPr>
    </w:p>
    <w:p w14:paraId="37028767" w14:textId="6EC15806" w:rsidR="00565054" w:rsidRPr="00A60D56" w:rsidRDefault="00A27C47" w:rsidP="00A60D56">
      <w:pPr>
        <w:pStyle w:val="Heading2"/>
        <w:rPr>
          <w:rFonts w:eastAsia="Calibri"/>
        </w:rPr>
      </w:pPr>
      <w:bookmarkStart w:id="14" w:name="_Toc164256442"/>
      <w:r>
        <w:rPr>
          <w:rFonts w:eastAsia="Calibri"/>
        </w:rPr>
        <w:t>3.</w:t>
      </w:r>
      <w:r w:rsidR="0002671A">
        <w:rPr>
          <w:rFonts w:eastAsia="Calibri"/>
        </w:rPr>
        <w:t>2</w:t>
      </w:r>
      <w:r>
        <w:rPr>
          <w:rFonts w:eastAsia="Calibri"/>
        </w:rPr>
        <w:t xml:space="preserve"> </w:t>
      </w:r>
      <w:r w:rsidR="00565054" w:rsidRPr="00A60D56">
        <w:rPr>
          <w:rFonts w:eastAsia="Calibri"/>
        </w:rPr>
        <w:t>Complaints</w:t>
      </w:r>
      <w:bookmarkEnd w:id="14"/>
      <w:r w:rsidR="00565054" w:rsidRPr="00A60D56">
        <w:rPr>
          <w:rFonts w:eastAsia="Calibri"/>
        </w:rPr>
        <w:t xml:space="preserve"> </w:t>
      </w:r>
    </w:p>
    <w:p w14:paraId="319A495C" w14:textId="78ED41F1" w:rsidR="002F71A5" w:rsidRDefault="218B906D" w:rsidP="1436714D">
      <w:pPr>
        <w:pStyle w:val="BodyText"/>
        <w:rPr>
          <w:rFonts w:eastAsia="Calibri"/>
        </w:rPr>
      </w:pPr>
      <w:r w:rsidRPr="1436714D">
        <w:rPr>
          <w:rFonts w:eastAsia="Calibri"/>
        </w:rPr>
        <w:t>The agency has in place an established customer complaint</w:t>
      </w:r>
      <w:r w:rsidR="44CBB51B" w:rsidRPr="1436714D">
        <w:rPr>
          <w:rFonts w:eastAsia="Calibri"/>
        </w:rPr>
        <w:t xml:space="preserve"> management</w:t>
      </w:r>
      <w:r w:rsidRPr="1436714D">
        <w:rPr>
          <w:rFonts w:eastAsia="Calibri"/>
        </w:rPr>
        <w:t xml:space="preserve"> </w:t>
      </w:r>
      <w:r w:rsidR="107A7309" w:rsidRPr="1436714D">
        <w:rPr>
          <w:rFonts w:eastAsia="Calibri"/>
        </w:rPr>
        <w:t>process</w:t>
      </w:r>
      <w:r w:rsidRPr="1436714D">
        <w:rPr>
          <w:rFonts w:eastAsia="Calibri"/>
        </w:rPr>
        <w:t xml:space="preserve">, </w:t>
      </w:r>
      <w:r w:rsidR="44CBB51B" w:rsidRPr="1436714D">
        <w:rPr>
          <w:rFonts w:eastAsia="Calibri"/>
        </w:rPr>
        <w:t xml:space="preserve">where customers </w:t>
      </w:r>
      <w:r w:rsidR="30222E18" w:rsidRPr="1436714D">
        <w:rPr>
          <w:rFonts w:eastAsia="Calibri"/>
        </w:rPr>
        <w:t>can</w:t>
      </w:r>
      <w:r w:rsidR="44CBB51B" w:rsidRPr="1436714D">
        <w:rPr>
          <w:rFonts w:eastAsia="Calibri"/>
        </w:rPr>
        <w:t xml:space="preserve"> lodge a complaint or provide feedback via an online platform, telephone call or in person at a service centre. </w:t>
      </w:r>
    </w:p>
    <w:p w14:paraId="343A12FD" w14:textId="0388F4D6" w:rsidR="00D04D90" w:rsidRDefault="002F71A5" w:rsidP="400281E4">
      <w:pPr>
        <w:pStyle w:val="BodyText"/>
        <w:rPr>
          <w:rFonts w:eastAsia="Calibri"/>
        </w:rPr>
      </w:pPr>
      <w:r w:rsidRPr="400281E4">
        <w:rPr>
          <w:rFonts w:eastAsia="Calibri"/>
        </w:rPr>
        <w:t xml:space="preserve">Customers </w:t>
      </w:r>
      <w:r w:rsidR="00D9707B" w:rsidRPr="400281E4">
        <w:rPr>
          <w:rFonts w:eastAsia="Calibri"/>
        </w:rPr>
        <w:t>can</w:t>
      </w:r>
      <w:r w:rsidRPr="400281E4">
        <w:rPr>
          <w:rFonts w:eastAsia="Calibri"/>
        </w:rPr>
        <w:t xml:space="preserve"> raise complaints in relation to the Centrepay service, including their deduction arrangements via this established service. </w:t>
      </w:r>
    </w:p>
    <w:p w14:paraId="4E47F538" w14:textId="02B9CDAF" w:rsidR="6C98380C" w:rsidRDefault="6C98380C" w:rsidP="400281E4">
      <w:pPr>
        <w:pStyle w:val="BodyText"/>
        <w:rPr>
          <w:rFonts w:eastAsia="Calibri"/>
        </w:rPr>
      </w:pPr>
      <w:r w:rsidRPr="400281E4">
        <w:rPr>
          <w:rFonts w:eastAsia="Calibri"/>
        </w:rPr>
        <w:t>It is the role of the agency to contact the customer directly when a complaint is received to understand the desired outcome of the customer and to take the necessary actions to address the complaint.</w:t>
      </w:r>
    </w:p>
    <w:p w14:paraId="6DE318DF" w14:textId="52A50E19" w:rsidR="002F71A5" w:rsidRDefault="002F71A5" w:rsidP="00565054">
      <w:pPr>
        <w:pStyle w:val="BodyText"/>
        <w:rPr>
          <w:rFonts w:eastAsia="Calibri"/>
          <w:szCs w:val="20"/>
        </w:rPr>
      </w:pPr>
      <w:r>
        <w:rPr>
          <w:rFonts w:eastAsia="Calibri"/>
          <w:szCs w:val="20"/>
        </w:rPr>
        <w:t>I</w:t>
      </w:r>
      <w:r w:rsidR="00565054" w:rsidRPr="00640E41">
        <w:rPr>
          <w:rFonts w:eastAsia="Calibri"/>
          <w:szCs w:val="20"/>
        </w:rPr>
        <w:t xml:space="preserve">nternal data </w:t>
      </w:r>
      <w:r>
        <w:rPr>
          <w:rFonts w:eastAsia="Calibri"/>
          <w:szCs w:val="20"/>
        </w:rPr>
        <w:t>indicates</w:t>
      </w:r>
      <w:r w:rsidR="00565054" w:rsidRPr="00640E41">
        <w:rPr>
          <w:rFonts w:eastAsia="Calibri"/>
          <w:szCs w:val="20"/>
        </w:rPr>
        <w:t xml:space="preserve"> that customer complaints </w:t>
      </w:r>
      <w:r>
        <w:rPr>
          <w:rFonts w:eastAsia="Calibri"/>
          <w:szCs w:val="20"/>
        </w:rPr>
        <w:t>relating to</w:t>
      </w:r>
      <w:r w:rsidR="00565054" w:rsidRPr="00640E41">
        <w:rPr>
          <w:rFonts w:eastAsia="Calibri"/>
          <w:szCs w:val="20"/>
        </w:rPr>
        <w:t xml:space="preserve"> Centrepay </w:t>
      </w:r>
      <w:r>
        <w:rPr>
          <w:rFonts w:eastAsia="Calibri"/>
          <w:szCs w:val="20"/>
        </w:rPr>
        <w:t xml:space="preserve">represent </w:t>
      </w:r>
      <w:r w:rsidR="00565054" w:rsidRPr="00640E41">
        <w:rPr>
          <w:rFonts w:eastAsia="Calibri"/>
          <w:szCs w:val="20"/>
        </w:rPr>
        <w:t xml:space="preserve">a small portion of </w:t>
      </w:r>
      <w:r>
        <w:rPr>
          <w:rFonts w:eastAsia="Calibri"/>
          <w:szCs w:val="20"/>
        </w:rPr>
        <w:t>th</w:t>
      </w:r>
      <w:r w:rsidR="00D9707B">
        <w:rPr>
          <w:rFonts w:eastAsia="Calibri"/>
          <w:szCs w:val="20"/>
        </w:rPr>
        <w:t>e total amount of</w:t>
      </w:r>
      <w:r>
        <w:rPr>
          <w:rFonts w:eastAsia="Calibri"/>
          <w:szCs w:val="20"/>
        </w:rPr>
        <w:t xml:space="preserve"> complaints received by the</w:t>
      </w:r>
      <w:r w:rsidR="00565054" w:rsidRPr="00640E41">
        <w:rPr>
          <w:rFonts w:eastAsia="Calibri"/>
          <w:szCs w:val="20"/>
        </w:rPr>
        <w:t xml:space="preserve"> agency</w:t>
      </w:r>
      <w:r>
        <w:rPr>
          <w:rFonts w:eastAsia="Calibri"/>
          <w:szCs w:val="20"/>
        </w:rPr>
        <w:t xml:space="preserve">. </w:t>
      </w:r>
    </w:p>
    <w:p w14:paraId="50689B37" w14:textId="7CB7F83F" w:rsidR="00F847E5" w:rsidRPr="00640E41" w:rsidRDefault="00D9707B" w:rsidP="400281E4">
      <w:pPr>
        <w:pStyle w:val="BodyText"/>
        <w:rPr>
          <w:rFonts w:eastAsia="Calibri"/>
        </w:rPr>
      </w:pPr>
      <w:r w:rsidRPr="400281E4">
        <w:rPr>
          <w:rFonts w:eastAsia="Calibri"/>
        </w:rPr>
        <w:t xml:space="preserve">The agency has heard that </w:t>
      </w:r>
      <w:r w:rsidR="00565054" w:rsidRPr="400281E4">
        <w:rPr>
          <w:rFonts w:eastAsia="Calibri"/>
        </w:rPr>
        <w:t xml:space="preserve">customers may be reluctant to make a complaint </w:t>
      </w:r>
      <w:r w:rsidRPr="400281E4">
        <w:rPr>
          <w:rFonts w:eastAsia="Calibri"/>
        </w:rPr>
        <w:t>in</w:t>
      </w:r>
      <w:r w:rsidR="00565054" w:rsidRPr="400281E4">
        <w:rPr>
          <w:rFonts w:eastAsia="Calibri"/>
        </w:rPr>
        <w:t xml:space="preserve"> fear of adverse impacts to their </w:t>
      </w:r>
      <w:r w:rsidR="0082364A" w:rsidRPr="400281E4">
        <w:rPr>
          <w:rFonts w:eastAsia="Calibri"/>
        </w:rPr>
        <w:t>deductions</w:t>
      </w:r>
      <w:r w:rsidR="00020BB0" w:rsidRPr="400281E4">
        <w:rPr>
          <w:rFonts w:eastAsia="Calibri"/>
        </w:rPr>
        <w:t>. Additionally,</w:t>
      </w:r>
      <w:r w:rsidR="0082364A" w:rsidRPr="400281E4">
        <w:rPr>
          <w:rFonts w:eastAsia="Calibri"/>
        </w:rPr>
        <w:t xml:space="preserve"> </w:t>
      </w:r>
      <w:r w:rsidR="00374281" w:rsidRPr="400281E4">
        <w:rPr>
          <w:rFonts w:eastAsia="Calibri"/>
        </w:rPr>
        <w:t xml:space="preserve">the agency also understands </w:t>
      </w:r>
      <w:r w:rsidR="00F615F9" w:rsidRPr="400281E4">
        <w:rPr>
          <w:rFonts w:eastAsia="Calibri"/>
        </w:rPr>
        <w:t xml:space="preserve">that its complaint management processes are not always easily understood or accessible to </w:t>
      </w:r>
      <w:r w:rsidR="00374281" w:rsidRPr="400281E4">
        <w:rPr>
          <w:rFonts w:eastAsia="Calibri"/>
        </w:rPr>
        <w:t xml:space="preserve">customers and </w:t>
      </w:r>
      <w:r w:rsidR="00F615F9" w:rsidRPr="400281E4">
        <w:rPr>
          <w:rFonts w:eastAsia="Calibri"/>
        </w:rPr>
        <w:t xml:space="preserve">or their </w:t>
      </w:r>
      <w:r w:rsidR="00374281" w:rsidRPr="400281E4">
        <w:rPr>
          <w:rFonts w:eastAsia="Calibri"/>
        </w:rPr>
        <w:t>advocates</w:t>
      </w:r>
      <w:r w:rsidR="00F615F9" w:rsidRPr="400281E4">
        <w:rPr>
          <w:rFonts w:eastAsia="Calibri"/>
        </w:rPr>
        <w:t>.</w:t>
      </w:r>
    </w:p>
    <w:tbl>
      <w:tblPr>
        <w:tblStyle w:val="TableGrid1"/>
        <w:tblpPr w:leftFromText="180" w:rightFromText="180" w:vertAnchor="text" w:horzAnchor="margin" w:tblpXSpec="center" w:tblpY="160"/>
        <w:tblW w:w="0" w:type="auto"/>
        <w:tblLook w:val="04A0" w:firstRow="1" w:lastRow="0" w:firstColumn="1" w:lastColumn="0" w:noHBand="0" w:noVBand="1"/>
      </w:tblPr>
      <w:tblGrid>
        <w:gridCol w:w="9016"/>
      </w:tblGrid>
      <w:tr w:rsidR="00565054" w:rsidRPr="00C96D9B" w14:paraId="61113CCE" w14:textId="77777777" w:rsidTr="0013099F">
        <w:trPr>
          <w:trHeight w:val="2547"/>
        </w:trPr>
        <w:tc>
          <w:tcPr>
            <w:tcW w:w="9016" w:type="dxa"/>
            <w:shd w:val="clear" w:color="auto" w:fill="C6F3FF" w:themeFill="accent1" w:themeFillTint="33"/>
          </w:tcPr>
          <w:p w14:paraId="334D6F98" w14:textId="3362E518" w:rsidR="002F71A5" w:rsidRPr="002F71A5" w:rsidRDefault="00565054" w:rsidP="400281E4">
            <w:pPr>
              <w:pStyle w:val="Heading3"/>
              <w:rPr>
                <w:rFonts w:asciiTheme="minorHAnsi" w:eastAsia="Calibri" w:hAnsiTheme="minorHAnsi"/>
              </w:rPr>
            </w:pPr>
            <w:r w:rsidRPr="400281E4">
              <w:rPr>
                <w:rFonts w:asciiTheme="minorHAnsi" w:eastAsia="Calibri" w:hAnsiTheme="minorHAnsi"/>
              </w:rPr>
              <w:t>Q</w:t>
            </w:r>
            <w:r w:rsidR="002F71A5" w:rsidRPr="400281E4">
              <w:rPr>
                <w:rFonts w:asciiTheme="minorHAnsi" w:eastAsia="Calibri" w:hAnsiTheme="minorHAnsi"/>
              </w:rPr>
              <w:t>uestions</w:t>
            </w:r>
            <w:r w:rsidRPr="400281E4">
              <w:rPr>
                <w:rFonts w:asciiTheme="minorHAnsi" w:eastAsia="Calibri" w:hAnsiTheme="minorHAnsi"/>
              </w:rPr>
              <w:t>:</w:t>
            </w:r>
          </w:p>
          <w:p w14:paraId="2B62A55C" w14:textId="0DD71425" w:rsidR="00565054" w:rsidRDefault="59BA158C" w:rsidP="400281E4">
            <w:pPr>
              <w:numPr>
                <w:ilvl w:val="0"/>
                <w:numId w:val="8"/>
              </w:numPr>
              <w:spacing w:before="0" w:after="160" w:line="259" w:lineRule="auto"/>
              <w:contextualSpacing/>
              <w:rPr>
                <w:rFonts w:eastAsia="Calibri" w:cs="Times New Roman"/>
                <w:kern w:val="2"/>
                <w14:ligatures w14:val="standardContextual"/>
              </w:rPr>
            </w:pPr>
            <w:r w:rsidRPr="1A537553">
              <w:rPr>
                <w:rFonts w:eastAsia="Calibri" w:cs="Times New Roman"/>
                <w:kern w:val="2"/>
                <w14:ligatures w14:val="standardContextual"/>
              </w:rPr>
              <w:t xml:space="preserve">What improvements could be made to the </w:t>
            </w:r>
            <w:r w:rsidR="00565054" w:rsidRPr="1A537553">
              <w:rPr>
                <w:rFonts w:eastAsia="Calibri" w:cs="Times New Roman"/>
                <w:kern w:val="2"/>
                <w14:ligatures w14:val="standardContextual"/>
              </w:rPr>
              <w:t xml:space="preserve">complaints </w:t>
            </w:r>
            <w:r w:rsidR="00F41263" w:rsidRPr="1A537553">
              <w:rPr>
                <w:rFonts w:eastAsia="Calibri" w:cs="Times New Roman"/>
                <w:kern w:val="2"/>
                <w14:ligatures w14:val="standardContextual"/>
              </w:rPr>
              <w:t xml:space="preserve">management </w:t>
            </w:r>
            <w:r w:rsidR="00565054" w:rsidRPr="1A537553">
              <w:rPr>
                <w:rFonts w:eastAsia="Calibri" w:cs="Times New Roman"/>
                <w:kern w:val="2"/>
                <w14:ligatures w14:val="standardContextual"/>
              </w:rPr>
              <w:t xml:space="preserve">process </w:t>
            </w:r>
            <w:r w:rsidRPr="1A537553">
              <w:rPr>
                <w:rFonts w:eastAsia="Calibri" w:cs="Times New Roman"/>
                <w:kern w:val="2"/>
                <w14:ligatures w14:val="standardContextual"/>
              </w:rPr>
              <w:t xml:space="preserve">for </w:t>
            </w:r>
            <w:r w:rsidR="002F71A5" w:rsidRPr="1A537553">
              <w:rPr>
                <w:rFonts w:eastAsia="Calibri" w:cs="Times New Roman"/>
                <w:kern w:val="2"/>
                <w14:ligatures w14:val="standardContextual"/>
              </w:rPr>
              <w:t xml:space="preserve">Centrepay </w:t>
            </w:r>
            <w:r w:rsidRPr="1A537553">
              <w:rPr>
                <w:rFonts w:eastAsia="Calibri" w:cs="Times New Roman"/>
                <w:kern w:val="2"/>
                <w14:ligatures w14:val="standardContextual"/>
              </w:rPr>
              <w:t>customers</w:t>
            </w:r>
            <w:r w:rsidR="00565054" w:rsidRPr="1A537553">
              <w:rPr>
                <w:rFonts w:eastAsia="Calibri" w:cs="Times New Roman"/>
                <w:kern w:val="2"/>
                <w14:ligatures w14:val="standardContextual"/>
              </w:rPr>
              <w:t>?</w:t>
            </w:r>
          </w:p>
          <w:p w14:paraId="40BBC44D" w14:textId="134921B8" w:rsidR="0A848DD7" w:rsidRDefault="628794CF" w:rsidP="400281E4">
            <w:pPr>
              <w:numPr>
                <w:ilvl w:val="0"/>
                <w:numId w:val="8"/>
              </w:numPr>
              <w:spacing w:before="0" w:after="160" w:line="259" w:lineRule="auto"/>
              <w:contextualSpacing/>
              <w:rPr>
                <w:rFonts w:eastAsia="Calibri" w:cs="Times New Roman"/>
              </w:rPr>
            </w:pPr>
            <w:r w:rsidRPr="26FF090E">
              <w:rPr>
                <w:rFonts w:eastAsia="Calibri" w:cs="Times New Roman"/>
              </w:rPr>
              <w:t>How can we better advertise and communicate</w:t>
            </w:r>
            <w:r w:rsidR="3B27C181" w:rsidRPr="26FF090E">
              <w:rPr>
                <w:rFonts w:eastAsia="Calibri" w:cs="Times New Roman"/>
              </w:rPr>
              <w:t xml:space="preserve"> the channels and avenues through which complaints can be made? </w:t>
            </w:r>
          </w:p>
          <w:p w14:paraId="65C210F4" w14:textId="06EDB773" w:rsidR="00565054" w:rsidRPr="00DF1F1D" w:rsidRDefault="002F71A5" w:rsidP="00DF1F1D">
            <w:pPr>
              <w:numPr>
                <w:ilvl w:val="0"/>
                <w:numId w:val="8"/>
              </w:numPr>
              <w:spacing w:before="0" w:after="160" w:line="259" w:lineRule="auto"/>
              <w:contextualSpacing/>
              <w:rPr>
                <w:rFonts w:eastAsia="Calibri" w:cs="Times New Roman"/>
                <w:kern w:val="2"/>
                <w:szCs w:val="20"/>
                <w14:ligatures w14:val="standardContextual"/>
              </w:rPr>
            </w:pPr>
            <w:r w:rsidRPr="1A537553">
              <w:rPr>
                <w:rFonts w:eastAsia="Calibri" w:cs="Times New Roman"/>
                <w:kern w:val="2"/>
                <w14:ligatures w14:val="standardContextual"/>
              </w:rPr>
              <w:t xml:space="preserve">Are </w:t>
            </w:r>
            <w:r w:rsidR="00F41263" w:rsidRPr="1A537553">
              <w:rPr>
                <w:rFonts w:eastAsia="Calibri" w:cs="Times New Roman"/>
                <w:kern w:val="2"/>
                <w14:ligatures w14:val="standardContextual"/>
              </w:rPr>
              <w:t>there</w:t>
            </w:r>
            <w:r w:rsidRPr="1A537553">
              <w:rPr>
                <w:rFonts w:eastAsia="Calibri" w:cs="Times New Roman"/>
                <w:kern w:val="2"/>
                <w14:ligatures w14:val="standardContextual"/>
              </w:rPr>
              <w:t xml:space="preserve"> </w:t>
            </w:r>
            <w:r w:rsidR="00DF1F1D" w:rsidRPr="1A537553">
              <w:rPr>
                <w:rFonts w:eastAsia="Calibri" w:cs="Times New Roman"/>
                <w:kern w:val="2"/>
                <w14:ligatures w14:val="standardContextual"/>
              </w:rPr>
              <w:t>any known</w:t>
            </w:r>
            <w:r w:rsidRPr="1A537553">
              <w:rPr>
                <w:rFonts w:eastAsia="Calibri" w:cs="Times New Roman"/>
                <w:kern w:val="2"/>
                <w14:ligatures w14:val="standardContextual"/>
              </w:rPr>
              <w:t xml:space="preserve"> barriers or perceived issues </w:t>
            </w:r>
            <w:r w:rsidR="00DF1F1D" w:rsidRPr="1A537553">
              <w:rPr>
                <w:rFonts w:eastAsia="Calibri" w:cs="Times New Roman"/>
                <w:kern w:val="2"/>
                <w14:ligatures w14:val="standardContextual"/>
              </w:rPr>
              <w:t>that are impacting on</w:t>
            </w:r>
            <w:r w:rsidR="00072069" w:rsidRPr="1A537553">
              <w:rPr>
                <w:rFonts w:eastAsia="Calibri" w:cs="Times New Roman"/>
                <w:kern w:val="2"/>
                <w14:ligatures w14:val="standardContextual"/>
              </w:rPr>
              <w:t xml:space="preserve"> a</w:t>
            </w:r>
            <w:r w:rsidR="00F41263" w:rsidRPr="1A537553">
              <w:rPr>
                <w:rFonts w:eastAsia="Calibri" w:cs="Times New Roman"/>
                <w:kern w:val="2"/>
                <w14:ligatures w14:val="standardContextual"/>
              </w:rPr>
              <w:t xml:space="preserve"> </w:t>
            </w:r>
            <w:r w:rsidRPr="1A537553">
              <w:rPr>
                <w:rFonts w:eastAsia="Calibri" w:cs="Times New Roman"/>
                <w:kern w:val="2"/>
                <w14:ligatures w14:val="standardContextual"/>
              </w:rPr>
              <w:t>customer</w:t>
            </w:r>
            <w:r w:rsidR="00F41263" w:rsidRPr="1A537553">
              <w:rPr>
                <w:rFonts w:eastAsia="Calibri" w:cs="Times New Roman"/>
                <w:kern w:val="2"/>
                <w14:ligatures w14:val="standardContextual"/>
              </w:rPr>
              <w:t>’</w:t>
            </w:r>
            <w:r w:rsidRPr="1A537553">
              <w:rPr>
                <w:rFonts w:eastAsia="Calibri" w:cs="Times New Roman"/>
                <w:kern w:val="2"/>
                <w14:ligatures w14:val="standardContextual"/>
              </w:rPr>
              <w:t>s</w:t>
            </w:r>
            <w:r w:rsidR="00DF1F1D" w:rsidRPr="1A537553">
              <w:rPr>
                <w:rFonts w:eastAsia="Calibri" w:cs="Times New Roman"/>
                <w:kern w:val="2"/>
                <w14:ligatures w14:val="standardContextual"/>
              </w:rPr>
              <w:t xml:space="preserve"> ability or willingness to </w:t>
            </w:r>
            <w:r w:rsidRPr="1A537553">
              <w:rPr>
                <w:rFonts w:eastAsia="Calibri" w:cs="Times New Roman"/>
                <w:kern w:val="2"/>
                <w14:ligatures w14:val="standardContextual"/>
              </w:rPr>
              <w:t>rais</w:t>
            </w:r>
            <w:r w:rsidR="00DF1F1D" w:rsidRPr="1A537553">
              <w:rPr>
                <w:rFonts w:eastAsia="Calibri" w:cs="Times New Roman"/>
                <w:kern w:val="2"/>
                <w14:ligatures w14:val="standardContextual"/>
              </w:rPr>
              <w:t>e</w:t>
            </w:r>
            <w:r w:rsidRPr="1A537553">
              <w:rPr>
                <w:rFonts w:eastAsia="Calibri" w:cs="Times New Roman"/>
                <w:kern w:val="2"/>
                <w14:ligatures w14:val="standardContextual"/>
              </w:rPr>
              <w:t xml:space="preserve"> concerns </w:t>
            </w:r>
            <w:r w:rsidR="00DF1F1D" w:rsidRPr="1A537553">
              <w:rPr>
                <w:rFonts w:eastAsia="Calibri" w:cs="Times New Roman"/>
                <w:kern w:val="2"/>
                <w14:ligatures w14:val="standardContextual"/>
              </w:rPr>
              <w:t xml:space="preserve">with the agency </w:t>
            </w:r>
            <w:r w:rsidRPr="1A537553">
              <w:rPr>
                <w:rFonts w:eastAsia="Calibri" w:cs="Times New Roman"/>
                <w:kern w:val="2"/>
                <w14:ligatures w14:val="standardContextual"/>
              </w:rPr>
              <w:t xml:space="preserve">in relation to </w:t>
            </w:r>
            <w:r w:rsidR="5AC738FB" w:rsidRPr="1A537553">
              <w:rPr>
                <w:rFonts w:eastAsia="Calibri" w:cs="Times New Roman"/>
                <w:kern w:val="2"/>
                <w14:ligatures w14:val="standardContextual"/>
              </w:rPr>
              <w:t xml:space="preserve">their </w:t>
            </w:r>
            <w:r w:rsidRPr="1A537553">
              <w:rPr>
                <w:rFonts w:eastAsia="Calibri" w:cs="Times New Roman"/>
                <w:kern w:val="2"/>
                <w14:ligatures w14:val="standardContextual"/>
              </w:rPr>
              <w:t>Centrepay</w:t>
            </w:r>
            <w:r w:rsidR="5AC738FB" w:rsidRPr="1A537553">
              <w:rPr>
                <w:rFonts w:eastAsia="Calibri" w:cs="Times New Roman"/>
                <w:kern w:val="2"/>
                <w14:ligatures w14:val="standardContextual"/>
              </w:rPr>
              <w:t xml:space="preserve"> arrangements</w:t>
            </w:r>
            <w:r w:rsidRPr="1A537553">
              <w:rPr>
                <w:rFonts w:eastAsia="Calibri" w:cs="Times New Roman"/>
                <w:kern w:val="2"/>
                <w14:ligatures w14:val="standardContextual"/>
              </w:rPr>
              <w:t>?</w:t>
            </w:r>
          </w:p>
        </w:tc>
      </w:tr>
    </w:tbl>
    <w:p w14:paraId="761B269D" w14:textId="180442DA" w:rsidR="00B62C0D" w:rsidRPr="00374281" w:rsidRDefault="004C53B1" w:rsidP="00374281">
      <w:pPr>
        <w:pStyle w:val="Heading1"/>
        <w:rPr>
          <w:rFonts w:asciiTheme="minorHAnsi" w:hAnsiTheme="minorHAnsi"/>
          <w:caps/>
        </w:rPr>
      </w:pPr>
      <w:r>
        <w:rPr>
          <w:caps/>
        </w:rPr>
        <w:br w:type="page"/>
      </w:r>
      <w:bookmarkStart w:id="15" w:name="_Toc164256443"/>
      <w:r w:rsidR="00C96D9B" w:rsidRPr="00374281">
        <w:rPr>
          <w:rFonts w:asciiTheme="minorHAnsi" w:hAnsiTheme="minorHAnsi"/>
        </w:rPr>
        <w:t>4</w:t>
      </w:r>
      <w:r w:rsidR="00B62C0D" w:rsidRPr="00374281">
        <w:rPr>
          <w:rFonts w:asciiTheme="minorHAnsi" w:hAnsiTheme="minorHAnsi"/>
        </w:rPr>
        <w:t xml:space="preserve">. </w:t>
      </w:r>
      <w:r w:rsidR="00B62C0D" w:rsidRPr="00C96D9B">
        <w:rPr>
          <w:rFonts w:asciiTheme="minorHAnsi" w:hAnsiTheme="minorHAnsi"/>
        </w:rPr>
        <w:t>Business</w:t>
      </w:r>
      <w:bookmarkEnd w:id="15"/>
    </w:p>
    <w:p w14:paraId="0AA55325" w14:textId="210B1343" w:rsidR="00B62C0D" w:rsidRPr="00C96D9B" w:rsidRDefault="00C96D9B" w:rsidP="005C6140">
      <w:pPr>
        <w:pStyle w:val="Heading2"/>
        <w:rPr>
          <w:rFonts w:asciiTheme="minorHAnsi" w:eastAsia="Calibri" w:hAnsiTheme="minorHAnsi"/>
        </w:rPr>
      </w:pPr>
      <w:bookmarkStart w:id="16" w:name="_Toc164256444"/>
      <w:r>
        <w:rPr>
          <w:rFonts w:asciiTheme="minorHAnsi" w:eastAsia="Calibri" w:hAnsiTheme="minorHAnsi"/>
        </w:rPr>
        <w:t>4.1</w:t>
      </w:r>
      <w:r w:rsidR="00B62C0D" w:rsidRPr="00C96D9B">
        <w:rPr>
          <w:rFonts w:asciiTheme="minorHAnsi" w:eastAsia="Calibri" w:hAnsiTheme="minorHAnsi"/>
        </w:rPr>
        <w:t xml:space="preserve"> </w:t>
      </w:r>
      <w:r w:rsidR="007B418E" w:rsidRPr="00C96D9B">
        <w:rPr>
          <w:rFonts w:asciiTheme="minorHAnsi" w:eastAsia="Calibri" w:hAnsiTheme="minorHAnsi"/>
        </w:rPr>
        <w:t xml:space="preserve">Becoming a Centrepay </w:t>
      </w:r>
      <w:r w:rsidR="00DF1F1D">
        <w:rPr>
          <w:rFonts w:asciiTheme="minorHAnsi" w:eastAsia="Calibri" w:hAnsiTheme="minorHAnsi"/>
        </w:rPr>
        <w:t>R</w:t>
      </w:r>
      <w:r w:rsidR="007B418E" w:rsidRPr="00C96D9B">
        <w:rPr>
          <w:rFonts w:asciiTheme="minorHAnsi" w:eastAsia="Calibri" w:hAnsiTheme="minorHAnsi"/>
        </w:rPr>
        <w:t xml:space="preserve">egistered </w:t>
      </w:r>
      <w:r w:rsidR="00DF1F1D">
        <w:rPr>
          <w:rFonts w:asciiTheme="minorHAnsi" w:eastAsia="Calibri" w:hAnsiTheme="minorHAnsi"/>
        </w:rPr>
        <w:t>B</w:t>
      </w:r>
      <w:r w:rsidR="007B418E" w:rsidRPr="00C96D9B">
        <w:rPr>
          <w:rFonts w:asciiTheme="minorHAnsi" w:eastAsia="Calibri" w:hAnsiTheme="minorHAnsi"/>
        </w:rPr>
        <w:t>usiness</w:t>
      </w:r>
      <w:bookmarkEnd w:id="16"/>
    </w:p>
    <w:p w14:paraId="03735A88" w14:textId="3B1D44C8" w:rsidR="00B62C0D" w:rsidRPr="00640E41" w:rsidRDefault="00B62C0D" w:rsidP="26FF090E">
      <w:pPr>
        <w:rPr>
          <w:rFonts w:eastAsia="Calibri" w:cs="Times New Roman"/>
          <w:kern w:val="2"/>
          <w14:ligatures w14:val="standardContextual"/>
        </w:rPr>
      </w:pPr>
      <w:r w:rsidRPr="26FF090E">
        <w:rPr>
          <w:rFonts w:eastAsia="Calibri" w:cs="Times New Roman"/>
          <w:kern w:val="2"/>
          <w14:ligatures w14:val="standardContextual"/>
        </w:rPr>
        <w:t>A</w:t>
      </w:r>
      <w:r w:rsidR="00DF1F1D" w:rsidRPr="26FF090E">
        <w:rPr>
          <w:rFonts w:eastAsia="Calibri" w:cs="Times New Roman"/>
          <w:kern w:val="2"/>
          <w14:ligatures w14:val="standardContextual"/>
        </w:rPr>
        <w:t xml:space="preserve">s </w:t>
      </w:r>
      <w:r w:rsidR="00DF1F1D" w:rsidRPr="00E464BB">
        <w:rPr>
          <w:rFonts w:eastAsia="Calibri" w:cs="Times New Roman"/>
          <w:kern w:val="2"/>
          <w14:ligatures w14:val="standardContextual"/>
        </w:rPr>
        <w:t>at 3</w:t>
      </w:r>
      <w:r w:rsidR="008750A9" w:rsidRPr="00E464BB">
        <w:rPr>
          <w:rFonts w:eastAsia="Calibri" w:cs="Times New Roman"/>
          <w:kern w:val="2"/>
          <w14:ligatures w14:val="standardContextual"/>
        </w:rPr>
        <w:t>1</w:t>
      </w:r>
      <w:r w:rsidR="00DF1F1D" w:rsidRPr="00E464BB">
        <w:rPr>
          <w:rFonts w:eastAsia="Calibri" w:cs="Times New Roman"/>
          <w:kern w:val="2"/>
          <w14:ligatures w14:val="standardContextual"/>
        </w:rPr>
        <w:t xml:space="preserve"> March 2024,</w:t>
      </w:r>
      <w:r w:rsidR="00DF1F1D" w:rsidRPr="26FF090E">
        <w:rPr>
          <w:rFonts w:eastAsia="Calibri" w:cs="Times New Roman"/>
          <w:kern w:val="2"/>
          <w14:ligatures w14:val="standardContextual"/>
        </w:rPr>
        <w:t xml:space="preserve"> </w:t>
      </w:r>
      <w:r w:rsidR="008750A9">
        <w:rPr>
          <w:rFonts w:eastAsia="Calibri" w:cs="Times New Roman"/>
          <w:kern w:val="2"/>
          <w14:ligatures w14:val="standardContextual"/>
        </w:rPr>
        <w:t xml:space="preserve">15,029 </w:t>
      </w:r>
      <w:r w:rsidR="00451A27" w:rsidRPr="26FF090E">
        <w:rPr>
          <w:rFonts w:eastAsia="Calibri" w:cs="Times New Roman"/>
          <w:kern w:val="2"/>
          <w14:ligatures w14:val="standardContextual"/>
        </w:rPr>
        <w:t xml:space="preserve">Australian businesses </w:t>
      </w:r>
      <w:r w:rsidR="00D9707B" w:rsidRPr="26FF090E">
        <w:rPr>
          <w:rFonts w:eastAsia="Calibri" w:cs="Times New Roman"/>
          <w:kern w:val="2"/>
          <w14:ligatures w14:val="standardContextual"/>
        </w:rPr>
        <w:t>are</w:t>
      </w:r>
      <w:r w:rsidR="00451A27" w:rsidRPr="26FF090E">
        <w:rPr>
          <w:rFonts w:eastAsia="Calibri" w:cs="Times New Roman"/>
          <w:kern w:val="2"/>
          <w14:ligatures w14:val="standardContextual"/>
        </w:rPr>
        <w:t xml:space="preserve"> registered to receive Centrepay deductions.</w:t>
      </w:r>
      <w:r w:rsidRPr="26FF090E">
        <w:rPr>
          <w:rFonts w:eastAsia="Calibri" w:cs="Times New Roman"/>
          <w:kern w:val="2"/>
          <w14:ligatures w14:val="standardContextual"/>
        </w:rPr>
        <w:t xml:space="preserve"> </w:t>
      </w:r>
    </w:p>
    <w:p w14:paraId="2AD95A3A" w14:textId="22E0EFE0" w:rsidR="00786E36" w:rsidRDefault="00367D29" w:rsidP="301E25E4">
      <w:pPr>
        <w:rPr>
          <w:rFonts w:eastAsia="Calibri" w:cs="Times New Roman"/>
          <w:kern w:val="2"/>
          <w14:ligatures w14:val="standardContextual"/>
        </w:rPr>
      </w:pPr>
      <w:r w:rsidRPr="301E25E4">
        <w:rPr>
          <w:rFonts w:eastAsia="Calibri" w:cs="Times New Roman"/>
          <w:kern w:val="2"/>
          <w14:ligatures w14:val="standardContextual"/>
        </w:rPr>
        <w:t xml:space="preserve">The current </w:t>
      </w:r>
      <w:r w:rsidRPr="301E25E4">
        <w:rPr>
          <w:rFonts w:eastAsia="Calibri" w:cs="Times New Roman"/>
          <w:i/>
          <w:iCs/>
          <w:kern w:val="2"/>
          <w14:ligatures w14:val="standardContextual"/>
        </w:rPr>
        <w:t>Policy and Terms</w:t>
      </w:r>
      <w:r w:rsidRPr="301E25E4">
        <w:rPr>
          <w:rFonts w:eastAsia="Calibri" w:cs="Times New Roman"/>
          <w:kern w:val="2"/>
          <w14:ligatures w14:val="standardContextual"/>
        </w:rPr>
        <w:t xml:space="preserve"> outline </w:t>
      </w:r>
      <w:r w:rsidR="000E735D" w:rsidRPr="301E25E4">
        <w:rPr>
          <w:rFonts w:eastAsia="Calibri" w:cs="Times New Roman"/>
          <w:kern w:val="2"/>
          <w14:ligatures w14:val="standardContextual"/>
        </w:rPr>
        <w:t xml:space="preserve">13 key </w:t>
      </w:r>
      <w:r w:rsidR="0082364A" w:rsidRPr="301E25E4">
        <w:rPr>
          <w:rFonts w:eastAsia="Calibri" w:cs="Times New Roman"/>
          <w:kern w:val="2"/>
          <w14:ligatures w14:val="standardContextual"/>
        </w:rPr>
        <w:t>criteria,</w:t>
      </w:r>
      <w:r w:rsidR="000E735D" w:rsidRPr="301E25E4">
        <w:rPr>
          <w:rFonts w:eastAsia="Calibri" w:cs="Times New Roman"/>
          <w:kern w:val="2"/>
          <w14:ligatures w14:val="standardContextual"/>
        </w:rPr>
        <w:t xml:space="preserve"> and an </w:t>
      </w:r>
      <w:r w:rsidR="00786E36" w:rsidRPr="301E25E4">
        <w:rPr>
          <w:rFonts w:eastAsia="Calibri" w:cs="Times New Roman"/>
          <w:kern w:val="2"/>
          <w14:ligatures w14:val="standardContextual"/>
        </w:rPr>
        <w:t xml:space="preserve">additional </w:t>
      </w:r>
      <w:r w:rsidR="000E735D" w:rsidRPr="301E25E4">
        <w:rPr>
          <w:lang w:eastAsia="en-AU"/>
        </w:rPr>
        <w:t>8</w:t>
      </w:r>
      <w:r w:rsidR="006B69FA" w:rsidRPr="301E25E4">
        <w:rPr>
          <w:lang w:eastAsia="en-AU"/>
        </w:rPr>
        <w:t xml:space="preserve"> obligations</w:t>
      </w:r>
      <w:r w:rsidR="000E735D" w:rsidRPr="301E25E4">
        <w:rPr>
          <w:lang w:eastAsia="en-AU"/>
        </w:rPr>
        <w:t xml:space="preserve"> </w:t>
      </w:r>
      <w:r w:rsidRPr="301E25E4">
        <w:rPr>
          <w:rFonts w:eastAsia="Calibri" w:cs="Times New Roman"/>
          <w:kern w:val="2"/>
          <w14:ligatures w14:val="standardContextual"/>
        </w:rPr>
        <w:t>that</w:t>
      </w:r>
      <w:r w:rsidR="00DF1F1D" w:rsidRPr="301E25E4">
        <w:rPr>
          <w:rFonts w:eastAsia="Calibri" w:cs="Times New Roman"/>
          <w:kern w:val="2"/>
          <w14:ligatures w14:val="standardContextual"/>
        </w:rPr>
        <w:t xml:space="preserve"> </w:t>
      </w:r>
      <w:r w:rsidRPr="301E25E4">
        <w:rPr>
          <w:rFonts w:eastAsia="Calibri" w:cs="Times New Roman"/>
          <w:kern w:val="2"/>
          <w14:ligatures w14:val="standardContextual"/>
        </w:rPr>
        <w:t xml:space="preserve">businesses must satisfy </w:t>
      </w:r>
      <w:r w:rsidR="00786E36" w:rsidRPr="301E25E4">
        <w:rPr>
          <w:rFonts w:eastAsia="Calibri" w:cs="Times New Roman"/>
          <w:kern w:val="2"/>
          <w14:ligatures w14:val="standardContextual"/>
        </w:rPr>
        <w:t>and adhere</w:t>
      </w:r>
      <w:r w:rsidR="0082364A" w:rsidRPr="301E25E4">
        <w:rPr>
          <w:rFonts w:eastAsia="Calibri" w:cs="Times New Roman"/>
          <w:kern w:val="2"/>
          <w14:ligatures w14:val="standardContextual"/>
        </w:rPr>
        <w:t xml:space="preserve"> to</w:t>
      </w:r>
      <w:r w:rsidR="00786E36" w:rsidRPr="301E25E4">
        <w:rPr>
          <w:rFonts w:eastAsia="Calibri" w:cs="Times New Roman"/>
          <w:kern w:val="2"/>
          <w14:ligatures w14:val="standardContextual"/>
        </w:rPr>
        <w:t>,</w:t>
      </w:r>
      <w:r w:rsidR="0082364A" w:rsidRPr="301E25E4">
        <w:rPr>
          <w:rFonts w:eastAsia="Calibri" w:cs="Times New Roman"/>
          <w:kern w:val="2"/>
          <w14:ligatures w14:val="standardContextual"/>
        </w:rPr>
        <w:t xml:space="preserve"> in order</w:t>
      </w:r>
      <w:r w:rsidR="00786E36" w:rsidRPr="301E25E4">
        <w:rPr>
          <w:rFonts w:eastAsia="Calibri" w:cs="Times New Roman"/>
          <w:kern w:val="2"/>
          <w14:ligatures w14:val="standardContextual"/>
        </w:rPr>
        <w:t xml:space="preserve"> </w:t>
      </w:r>
      <w:r w:rsidRPr="301E25E4">
        <w:rPr>
          <w:rFonts w:eastAsia="Calibri" w:cs="Times New Roman"/>
          <w:kern w:val="2"/>
          <w14:ligatures w14:val="standardContextual"/>
        </w:rPr>
        <w:t xml:space="preserve">to </w:t>
      </w:r>
      <w:r w:rsidR="00DF1F1D" w:rsidRPr="301E25E4">
        <w:rPr>
          <w:rFonts w:eastAsia="Calibri" w:cs="Times New Roman"/>
          <w:kern w:val="2"/>
          <w14:ligatures w14:val="standardContextual"/>
        </w:rPr>
        <w:t>qualify as a registered Centrepay business</w:t>
      </w:r>
      <w:r w:rsidRPr="301E25E4">
        <w:rPr>
          <w:rFonts w:eastAsia="Calibri" w:cs="Times New Roman"/>
          <w:kern w:val="2"/>
          <w14:ligatures w14:val="standardContextual"/>
        </w:rPr>
        <w:t xml:space="preserve">. </w:t>
      </w:r>
    </w:p>
    <w:p w14:paraId="558C2F1D" w14:textId="2A5F3B12" w:rsidR="00786E36" w:rsidRPr="00786E36" w:rsidRDefault="00786E36" w:rsidP="00786E36">
      <w:pPr>
        <w:pStyle w:val="NormalWeb"/>
        <w:spacing w:before="120" w:beforeAutospacing="0" w:after="120" w:afterAutospacing="0"/>
        <w:rPr>
          <w:rFonts w:eastAsia="Calibri" w:cs="Times New Roman"/>
          <w:kern w:val="2"/>
          <w:szCs w:val="20"/>
          <w14:ligatures w14:val="standardContextual"/>
        </w:rPr>
      </w:pPr>
      <w:r>
        <w:rPr>
          <w:rFonts w:eastAsia="Calibri" w:cs="Times New Roman"/>
          <w:kern w:val="2"/>
          <w:szCs w:val="20"/>
          <w14:ligatures w14:val="standardContextual"/>
        </w:rPr>
        <w:t xml:space="preserve">In addition to the </w:t>
      </w:r>
      <w:r w:rsidRPr="00786E36">
        <w:rPr>
          <w:rFonts w:eastAsia="Calibri" w:cs="Times New Roman"/>
          <w:i/>
          <w:iCs/>
          <w:kern w:val="2"/>
          <w:szCs w:val="20"/>
          <w14:ligatures w14:val="standardContextual"/>
        </w:rPr>
        <w:t>Policy and Terms</w:t>
      </w:r>
      <w:r w:rsidR="00F96B62">
        <w:rPr>
          <w:rFonts w:eastAsia="Calibri" w:cs="Times New Roman"/>
          <w:i/>
          <w:iCs/>
          <w:kern w:val="2"/>
          <w:szCs w:val="20"/>
          <w14:ligatures w14:val="standardContextual"/>
        </w:rPr>
        <w:t>,</w:t>
      </w:r>
      <w:r w:rsidRPr="00786E36">
        <w:rPr>
          <w:rFonts w:eastAsia="Calibri" w:cs="Times New Roman"/>
          <w:kern w:val="2"/>
          <w:szCs w:val="20"/>
          <w14:ligatures w14:val="standardContextual"/>
        </w:rPr>
        <w:t xml:space="preserve"> </w:t>
      </w:r>
      <w:r>
        <w:rPr>
          <w:rFonts w:eastAsia="Calibri" w:cs="Times New Roman"/>
          <w:kern w:val="2"/>
          <w:szCs w:val="20"/>
          <w14:ligatures w14:val="standardContextual"/>
        </w:rPr>
        <w:t xml:space="preserve">businesses are provided </w:t>
      </w:r>
      <w:r w:rsidRPr="00786E36">
        <w:rPr>
          <w:rFonts w:eastAsia="Calibri" w:cs="Times New Roman"/>
          <w:kern w:val="2"/>
          <w:szCs w:val="20"/>
          <w14:ligatures w14:val="standardContextual"/>
        </w:rPr>
        <w:t xml:space="preserve">with a </w:t>
      </w:r>
      <w:r w:rsidRPr="00786E36">
        <w:rPr>
          <w:rFonts w:eastAsia="Calibri" w:cs="Times New Roman"/>
          <w:i/>
          <w:iCs/>
          <w:kern w:val="2"/>
          <w:szCs w:val="20"/>
          <w14:ligatures w14:val="standardContextual"/>
        </w:rPr>
        <w:t>Procedural Guide for Businesses</w:t>
      </w:r>
      <w:r w:rsidRPr="00786E36">
        <w:rPr>
          <w:rFonts w:eastAsia="Calibri" w:cs="Times New Roman"/>
          <w:kern w:val="2"/>
          <w:szCs w:val="20"/>
          <w14:ligatures w14:val="standardContextual"/>
        </w:rPr>
        <w:t xml:space="preserve">, </w:t>
      </w:r>
      <w:r>
        <w:rPr>
          <w:rFonts w:eastAsia="Calibri" w:cs="Times New Roman"/>
          <w:kern w:val="2"/>
          <w:szCs w:val="20"/>
          <w14:ligatures w14:val="standardContextual"/>
        </w:rPr>
        <w:t>which</w:t>
      </w:r>
      <w:r w:rsidRPr="00786E36">
        <w:rPr>
          <w:rFonts w:eastAsia="Calibri" w:cs="Times New Roman"/>
          <w:kern w:val="2"/>
          <w:szCs w:val="20"/>
          <w14:ligatures w14:val="standardContextual"/>
        </w:rPr>
        <w:t xml:space="preserve"> provides practical information about the operation of Centrepay.</w:t>
      </w:r>
    </w:p>
    <w:p w14:paraId="2C4A9F4D" w14:textId="53D9A782" w:rsidR="00FC6CE8" w:rsidRDefault="007B418E" w:rsidP="00786E36">
      <w:pPr>
        <w:rPr>
          <w:rFonts w:eastAsia="Calibri" w:cs="Times New Roman"/>
          <w:kern w:val="2"/>
          <w:szCs w:val="20"/>
          <w14:ligatures w14:val="standardContextual"/>
        </w:rPr>
      </w:pPr>
      <w:r w:rsidRPr="00845C52">
        <w:rPr>
          <w:rFonts w:eastAsia="Calibri" w:cs="Times New Roman"/>
          <w:kern w:val="2"/>
          <w:szCs w:val="20"/>
          <w14:ligatures w14:val="standardContextual"/>
        </w:rPr>
        <w:t xml:space="preserve">The current application process </w:t>
      </w:r>
      <w:r w:rsidR="00367D29">
        <w:rPr>
          <w:rFonts w:eastAsia="Calibri" w:cs="Times New Roman"/>
          <w:kern w:val="2"/>
          <w:szCs w:val="20"/>
          <w14:ligatures w14:val="standardContextual"/>
        </w:rPr>
        <w:t>for</w:t>
      </w:r>
      <w:r w:rsidRPr="00845C52">
        <w:rPr>
          <w:rFonts w:eastAsia="Calibri" w:cs="Times New Roman"/>
          <w:kern w:val="2"/>
          <w:szCs w:val="20"/>
          <w14:ligatures w14:val="standardContextual"/>
        </w:rPr>
        <w:t xml:space="preserve"> business </w:t>
      </w:r>
      <w:r w:rsidR="00367D29">
        <w:rPr>
          <w:rFonts w:eastAsia="Calibri" w:cs="Times New Roman"/>
          <w:kern w:val="2"/>
          <w:szCs w:val="20"/>
          <w14:ligatures w14:val="standardContextual"/>
        </w:rPr>
        <w:t>includes completion of</w:t>
      </w:r>
      <w:r w:rsidRPr="00845C52">
        <w:rPr>
          <w:rFonts w:eastAsia="Calibri" w:cs="Times New Roman"/>
          <w:kern w:val="2"/>
          <w:szCs w:val="20"/>
          <w14:ligatures w14:val="standardContextual"/>
        </w:rPr>
        <w:t xml:space="preserve"> a </w:t>
      </w:r>
      <w:r w:rsidRPr="00845C52">
        <w:rPr>
          <w:rFonts w:eastAsia="Calibri" w:cs="Times New Roman"/>
          <w:i/>
          <w:iCs/>
          <w:kern w:val="2"/>
          <w:szCs w:val="20"/>
          <w14:ligatures w14:val="standardContextual"/>
        </w:rPr>
        <w:t xml:space="preserve">Services Australia Business Application – Centrepay (SA389). </w:t>
      </w:r>
      <w:r w:rsidR="00367D29" w:rsidRPr="00367D29">
        <w:rPr>
          <w:rFonts w:eastAsia="Calibri" w:cs="Times New Roman"/>
          <w:kern w:val="2"/>
          <w:szCs w:val="20"/>
          <w14:ligatures w14:val="standardContextual"/>
        </w:rPr>
        <w:t xml:space="preserve">Advocate groups have </w:t>
      </w:r>
      <w:r w:rsidR="00FC6CE8">
        <w:rPr>
          <w:rFonts w:eastAsia="Calibri" w:cs="Times New Roman"/>
          <w:kern w:val="2"/>
          <w:szCs w:val="20"/>
          <w14:ligatures w14:val="standardContextual"/>
        </w:rPr>
        <w:t>suggested</w:t>
      </w:r>
      <w:r w:rsidR="00367D29" w:rsidRPr="00367D29">
        <w:rPr>
          <w:rFonts w:eastAsia="Calibri" w:cs="Times New Roman"/>
          <w:kern w:val="2"/>
          <w:szCs w:val="20"/>
          <w14:ligatures w14:val="standardContextual"/>
        </w:rPr>
        <w:t xml:space="preserve"> that t</w:t>
      </w:r>
      <w:r w:rsidRPr="00367D29">
        <w:rPr>
          <w:rFonts w:eastAsia="Calibri" w:cs="Times New Roman"/>
          <w:kern w:val="2"/>
          <w:szCs w:val="20"/>
          <w14:ligatures w14:val="standardContextual"/>
        </w:rPr>
        <w:t xml:space="preserve">his </w:t>
      </w:r>
      <w:r w:rsidR="00367D29" w:rsidRPr="00367D29">
        <w:rPr>
          <w:rFonts w:eastAsia="Calibri" w:cs="Times New Roman"/>
          <w:kern w:val="2"/>
          <w:szCs w:val="20"/>
          <w14:ligatures w14:val="standardContextual"/>
        </w:rPr>
        <w:t>form</w:t>
      </w:r>
      <w:r w:rsidRPr="00367D29">
        <w:rPr>
          <w:rFonts w:eastAsia="Calibri" w:cs="Times New Roman"/>
          <w:kern w:val="2"/>
          <w:szCs w:val="20"/>
          <w14:ligatures w14:val="standardContextual"/>
        </w:rPr>
        <w:t xml:space="preserve"> </w:t>
      </w:r>
      <w:r w:rsidR="00FC6CE8">
        <w:rPr>
          <w:rFonts w:eastAsia="Calibri" w:cs="Times New Roman"/>
          <w:kern w:val="2"/>
          <w:szCs w:val="20"/>
          <w14:ligatures w14:val="standardContextual"/>
        </w:rPr>
        <w:t>is</w:t>
      </w:r>
      <w:r w:rsidR="00367D29" w:rsidRPr="00367D29">
        <w:rPr>
          <w:rFonts w:eastAsia="Calibri" w:cs="Times New Roman"/>
          <w:kern w:val="2"/>
          <w:szCs w:val="20"/>
          <w14:ligatures w14:val="standardContextual"/>
        </w:rPr>
        <w:t xml:space="preserve"> too </w:t>
      </w:r>
      <w:r w:rsidR="00486B0C" w:rsidRPr="00367D29">
        <w:rPr>
          <w:rFonts w:eastAsia="Calibri" w:cs="Times New Roman"/>
          <w:kern w:val="2"/>
          <w:szCs w:val="20"/>
          <w14:ligatures w14:val="standardContextual"/>
        </w:rPr>
        <w:t>simplistic,</w:t>
      </w:r>
      <w:r w:rsidR="00FC6CE8">
        <w:rPr>
          <w:rFonts w:eastAsia="Calibri" w:cs="Times New Roman"/>
          <w:kern w:val="2"/>
          <w:szCs w:val="20"/>
          <w14:ligatures w14:val="standardContextual"/>
        </w:rPr>
        <w:t xml:space="preserve"> and </w:t>
      </w:r>
      <w:r w:rsidR="00911E0C">
        <w:rPr>
          <w:rFonts w:eastAsia="Calibri" w:cs="Times New Roman"/>
          <w:kern w:val="2"/>
          <w:szCs w:val="20"/>
          <w14:ligatures w14:val="standardContextual"/>
        </w:rPr>
        <w:t xml:space="preserve">that the application process </w:t>
      </w:r>
      <w:r w:rsidR="00FC6CE8">
        <w:rPr>
          <w:rFonts w:eastAsia="Calibri" w:cs="Times New Roman"/>
          <w:kern w:val="2"/>
          <w:szCs w:val="20"/>
          <w14:ligatures w14:val="standardContextual"/>
        </w:rPr>
        <w:t>should include a formal written agreement between the business and</w:t>
      </w:r>
      <w:r w:rsidR="00F90B2F">
        <w:rPr>
          <w:rFonts w:eastAsia="Calibri" w:cs="Times New Roman"/>
          <w:kern w:val="2"/>
          <w:szCs w:val="20"/>
          <w14:ligatures w14:val="standardContextual"/>
        </w:rPr>
        <w:t xml:space="preserve"> the</w:t>
      </w:r>
      <w:r w:rsidR="00FC6CE8">
        <w:rPr>
          <w:rFonts w:eastAsia="Calibri" w:cs="Times New Roman"/>
          <w:kern w:val="2"/>
          <w:szCs w:val="20"/>
          <w14:ligatures w14:val="standardContextual"/>
        </w:rPr>
        <w:t xml:space="preserve"> agency</w:t>
      </w:r>
      <w:r w:rsidRPr="00367D29">
        <w:rPr>
          <w:rFonts w:eastAsia="Calibri" w:cs="Times New Roman"/>
          <w:kern w:val="2"/>
          <w:szCs w:val="20"/>
          <w14:ligatures w14:val="standardContextual"/>
        </w:rPr>
        <w:t xml:space="preserve">. </w:t>
      </w:r>
    </w:p>
    <w:p w14:paraId="7C5CB2BD" w14:textId="5B7373B2" w:rsidR="00EF2C06" w:rsidRPr="00B20BE0" w:rsidRDefault="00B20BE0" w:rsidP="00F978C4">
      <w:pPr>
        <w:spacing w:after="240"/>
        <w:rPr>
          <w:rFonts w:eastAsia="Calibri" w:cs="Times New Roman"/>
          <w:kern w:val="2"/>
          <w:szCs w:val="20"/>
          <w14:ligatures w14:val="standardContextual"/>
        </w:rPr>
      </w:pPr>
      <w:r w:rsidRPr="00845C52">
        <w:rPr>
          <w:rFonts w:eastAsia="Calibri" w:cs="Times New Roman"/>
          <w:kern w:val="2"/>
          <w:szCs w:val="20"/>
          <w14:ligatures w14:val="standardContextual"/>
        </w:rPr>
        <w:t xml:space="preserve">The agency </w:t>
      </w:r>
      <w:r w:rsidR="001E1D0C">
        <w:rPr>
          <w:rFonts w:eastAsia="Calibri" w:cs="Times New Roman"/>
          <w:kern w:val="2"/>
          <w:szCs w:val="20"/>
          <w14:ligatures w14:val="standardContextual"/>
        </w:rPr>
        <w:t>considers</w:t>
      </w:r>
      <w:r w:rsidR="001E1D0C" w:rsidRPr="00845C52">
        <w:rPr>
          <w:rFonts w:eastAsia="Calibri" w:cs="Times New Roman"/>
          <w:kern w:val="2"/>
          <w:szCs w:val="20"/>
          <w14:ligatures w14:val="standardContextual"/>
        </w:rPr>
        <w:t xml:space="preserve"> </w:t>
      </w:r>
      <w:r>
        <w:rPr>
          <w:rFonts w:eastAsia="Calibri" w:cs="Times New Roman"/>
          <w:kern w:val="2"/>
          <w:szCs w:val="20"/>
          <w14:ligatures w14:val="standardContextual"/>
        </w:rPr>
        <w:t>that a</w:t>
      </w:r>
      <w:r>
        <w:rPr>
          <w:rStyle w:val="ui-provider"/>
          <w:rFonts w:eastAsiaTheme="majorEastAsia"/>
        </w:rPr>
        <w:t>ccess to Centrepay deductions for businesses is a privilege</w:t>
      </w:r>
      <w:r w:rsidRPr="00845C52">
        <w:rPr>
          <w:rFonts w:eastAsia="Calibri" w:cs="Times New Roman"/>
          <w:kern w:val="2"/>
          <w:szCs w:val="20"/>
          <w14:ligatures w14:val="standardContextual"/>
        </w:rPr>
        <w:t xml:space="preserve"> </w:t>
      </w:r>
      <w:r>
        <w:rPr>
          <w:rFonts w:eastAsia="Calibri" w:cs="Times New Roman"/>
          <w:kern w:val="2"/>
          <w:szCs w:val="20"/>
          <w14:ligatures w14:val="standardContextual"/>
        </w:rPr>
        <w:t xml:space="preserve">and </w:t>
      </w:r>
      <w:r w:rsidR="00845C52" w:rsidRPr="00845C52">
        <w:rPr>
          <w:rFonts w:eastAsia="Calibri" w:cs="Times New Roman"/>
          <w:kern w:val="2"/>
          <w:szCs w:val="20"/>
          <w14:ligatures w14:val="standardContextual"/>
        </w:rPr>
        <w:t>that improved safeguards and protections must be implemented to reduce financial harm to customers</w:t>
      </w:r>
      <w:r w:rsidR="00E31479">
        <w:rPr>
          <w:rFonts w:eastAsia="Calibri" w:cs="Times New Roman"/>
          <w:kern w:val="2"/>
          <w:szCs w:val="20"/>
          <w14:ligatures w14:val="standardContextual"/>
        </w:rPr>
        <w:t xml:space="preserve">. The agency </w:t>
      </w:r>
      <w:r w:rsidR="00247553">
        <w:rPr>
          <w:rFonts w:eastAsia="Calibri" w:cs="Times New Roman"/>
          <w:kern w:val="2"/>
          <w:szCs w:val="20"/>
          <w14:ligatures w14:val="standardContextual"/>
        </w:rPr>
        <w:t>is focused on</w:t>
      </w:r>
      <w:r w:rsidR="00E31479">
        <w:rPr>
          <w:rFonts w:eastAsia="Calibri" w:cs="Times New Roman"/>
          <w:kern w:val="2"/>
          <w:szCs w:val="20"/>
          <w14:ligatures w14:val="standardContextual"/>
        </w:rPr>
        <w:t xml:space="preserve"> ensur</w:t>
      </w:r>
      <w:r w:rsidR="00247553">
        <w:rPr>
          <w:rFonts w:eastAsia="Calibri" w:cs="Times New Roman"/>
          <w:kern w:val="2"/>
          <w:szCs w:val="20"/>
          <w14:ligatures w14:val="standardContextual"/>
        </w:rPr>
        <w:t>ing</w:t>
      </w:r>
      <w:r w:rsidR="00E31479">
        <w:rPr>
          <w:rFonts w:eastAsia="Calibri" w:cs="Times New Roman"/>
          <w:kern w:val="2"/>
          <w:szCs w:val="20"/>
          <w14:ligatures w14:val="standardContextual"/>
        </w:rPr>
        <w:t xml:space="preserve"> </w:t>
      </w:r>
      <w:r w:rsidR="00247553">
        <w:rPr>
          <w:rFonts w:eastAsia="Calibri" w:cs="Times New Roman"/>
          <w:kern w:val="2"/>
          <w:szCs w:val="20"/>
          <w14:ligatures w14:val="standardContextual"/>
        </w:rPr>
        <w:t xml:space="preserve">that </w:t>
      </w:r>
      <w:r w:rsidR="00E31479">
        <w:rPr>
          <w:rFonts w:eastAsia="Calibri" w:cs="Times New Roman"/>
          <w:kern w:val="2"/>
          <w:szCs w:val="20"/>
          <w14:ligatures w14:val="standardContextual"/>
        </w:rPr>
        <w:t xml:space="preserve">appropriate </w:t>
      </w:r>
      <w:r w:rsidR="00845C52" w:rsidRPr="00845C52">
        <w:rPr>
          <w:rFonts w:eastAsia="Calibri" w:cs="Times New Roman"/>
          <w:kern w:val="2"/>
          <w:szCs w:val="20"/>
          <w14:ligatures w14:val="standardContextual"/>
        </w:rPr>
        <w:t>sanctions and action</w:t>
      </w:r>
      <w:r w:rsidR="00247553">
        <w:rPr>
          <w:rFonts w:eastAsia="Calibri" w:cs="Times New Roman"/>
          <w:kern w:val="2"/>
          <w:szCs w:val="20"/>
          <w14:ligatures w14:val="standardContextual"/>
        </w:rPr>
        <w:t>s</w:t>
      </w:r>
      <w:r w:rsidR="00845C52" w:rsidRPr="00845C52">
        <w:rPr>
          <w:rFonts w:eastAsia="Calibri" w:cs="Times New Roman"/>
          <w:kern w:val="2"/>
          <w:szCs w:val="20"/>
          <w14:ligatures w14:val="standardContextual"/>
        </w:rPr>
        <w:t xml:space="preserve"> </w:t>
      </w:r>
      <w:r w:rsidR="00247553">
        <w:rPr>
          <w:rFonts w:eastAsia="Calibri" w:cs="Times New Roman"/>
          <w:kern w:val="2"/>
          <w:szCs w:val="20"/>
          <w14:ligatures w14:val="standardContextual"/>
        </w:rPr>
        <w:t>are</w:t>
      </w:r>
      <w:r w:rsidR="00E31479">
        <w:rPr>
          <w:rFonts w:eastAsia="Calibri" w:cs="Times New Roman"/>
          <w:kern w:val="2"/>
          <w:szCs w:val="20"/>
          <w14:ligatures w14:val="standardContextual"/>
        </w:rPr>
        <w:t xml:space="preserve"> taken against </w:t>
      </w:r>
      <w:r w:rsidR="00845C52" w:rsidRPr="00845C52">
        <w:rPr>
          <w:rFonts w:eastAsia="Calibri" w:cs="Times New Roman"/>
          <w:kern w:val="2"/>
          <w:szCs w:val="20"/>
          <w14:ligatures w14:val="standardContextual"/>
        </w:rPr>
        <w:t xml:space="preserve">businesses </w:t>
      </w:r>
      <w:r w:rsidR="00247553">
        <w:rPr>
          <w:rFonts w:eastAsia="Calibri" w:cs="Times New Roman"/>
          <w:kern w:val="2"/>
          <w:szCs w:val="20"/>
          <w14:ligatures w14:val="standardContextual"/>
        </w:rPr>
        <w:t>operating</w:t>
      </w:r>
      <w:r w:rsidR="00845C52" w:rsidRPr="00845C52">
        <w:rPr>
          <w:rFonts w:eastAsia="Calibri" w:cs="Times New Roman"/>
          <w:kern w:val="2"/>
          <w:szCs w:val="20"/>
          <w14:ligatures w14:val="standardContextual"/>
        </w:rPr>
        <w:t xml:space="preserve"> inconsistently with the law</w:t>
      </w:r>
      <w:r>
        <w:rPr>
          <w:rFonts w:eastAsia="Calibri" w:cs="Times New Roman"/>
          <w:kern w:val="2"/>
          <w:szCs w:val="20"/>
          <w14:ligatures w14:val="standardContextual"/>
        </w:rPr>
        <w:t xml:space="preserve">, </w:t>
      </w:r>
      <w:r w:rsidR="00845C52" w:rsidRPr="003E0EDF">
        <w:rPr>
          <w:rFonts w:eastAsia="Calibri" w:cs="Times New Roman"/>
          <w:i/>
          <w:iCs/>
          <w:kern w:val="2"/>
          <w:szCs w:val="20"/>
          <w14:ligatures w14:val="standardContextual"/>
        </w:rPr>
        <w:t>Centrepay Policy and Terms</w:t>
      </w:r>
      <w:r w:rsidR="00247553">
        <w:rPr>
          <w:rFonts w:eastAsia="Calibri" w:cs="Times New Roman"/>
          <w:kern w:val="2"/>
          <w:szCs w:val="20"/>
          <w14:ligatures w14:val="standardContextual"/>
        </w:rPr>
        <w:t>,</w:t>
      </w:r>
      <w:r>
        <w:rPr>
          <w:rFonts w:eastAsia="Calibri" w:cs="Times New Roman"/>
          <w:kern w:val="2"/>
          <w:szCs w:val="20"/>
          <w14:ligatures w14:val="standardContextual"/>
        </w:rPr>
        <w:t xml:space="preserve"> and community expectations</w:t>
      </w:r>
      <w:r w:rsidR="00367D29" w:rsidRPr="00786E36">
        <w:rPr>
          <w:rFonts w:eastAsia="Calibri" w:cs="Times New Roman"/>
          <w:kern w:val="2"/>
          <w:szCs w:val="20"/>
          <w14:ligatures w14:val="standardContextual"/>
        </w:rPr>
        <w:t>.</w:t>
      </w:r>
    </w:p>
    <w:tbl>
      <w:tblPr>
        <w:tblStyle w:val="TableGrid1"/>
        <w:tblpPr w:leftFromText="180" w:rightFromText="180" w:vertAnchor="text" w:horzAnchor="margin" w:tblpXSpec="center" w:tblpYSpec="outside"/>
        <w:tblW w:w="0" w:type="auto"/>
        <w:tblLook w:val="04A0" w:firstRow="1" w:lastRow="0" w:firstColumn="1" w:lastColumn="0" w:noHBand="0" w:noVBand="1"/>
      </w:tblPr>
      <w:tblGrid>
        <w:gridCol w:w="9016"/>
      </w:tblGrid>
      <w:tr w:rsidR="001549B8" w:rsidRPr="00C96D9B" w14:paraId="195B999B" w14:textId="77777777" w:rsidTr="00F96B62">
        <w:trPr>
          <w:trHeight w:val="2542"/>
        </w:trPr>
        <w:tc>
          <w:tcPr>
            <w:tcW w:w="9016" w:type="dxa"/>
            <w:shd w:val="clear" w:color="auto" w:fill="C6F3FF" w:themeFill="accent1" w:themeFillTint="33"/>
          </w:tcPr>
          <w:p w14:paraId="29AED418" w14:textId="4D2F8B49" w:rsidR="001549B8" w:rsidRPr="00C96D9B" w:rsidRDefault="001549B8" w:rsidP="001549B8">
            <w:pPr>
              <w:pStyle w:val="Heading3"/>
              <w:rPr>
                <w:rFonts w:asciiTheme="minorHAnsi" w:eastAsia="Calibri" w:hAnsiTheme="minorHAnsi"/>
              </w:rPr>
            </w:pPr>
            <w:r w:rsidRPr="00C96D9B">
              <w:rPr>
                <w:rFonts w:asciiTheme="minorHAnsi" w:eastAsia="Calibri" w:hAnsiTheme="minorHAnsi"/>
              </w:rPr>
              <w:t>Q</w:t>
            </w:r>
            <w:r w:rsidR="00845C52">
              <w:rPr>
                <w:rFonts w:asciiTheme="minorHAnsi" w:eastAsia="Calibri" w:hAnsiTheme="minorHAnsi"/>
              </w:rPr>
              <w:t>uestions</w:t>
            </w:r>
            <w:r w:rsidRPr="00C96D9B">
              <w:rPr>
                <w:rFonts w:asciiTheme="minorHAnsi" w:eastAsia="Calibri" w:hAnsiTheme="minorHAnsi"/>
              </w:rPr>
              <w:t xml:space="preserve">: </w:t>
            </w:r>
          </w:p>
          <w:p w14:paraId="5F595503" w14:textId="608DE35F" w:rsidR="00845C52" w:rsidRPr="00F96B62" w:rsidRDefault="00DC4893"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 xml:space="preserve">Having regard to the Centrepay Procedural Guide for Businesses, are there any further </w:t>
            </w:r>
            <w:r w:rsidR="005D4752" w:rsidRPr="00F96B62">
              <w:rPr>
                <w:rFonts w:eastAsia="Calibri" w:cs="Times New Roman"/>
                <w:kern w:val="2"/>
                <w14:ligatures w14:val="standardContextual"/>
              </w:rPr>
              <w:t xml:space="preserve">obligations </w:t>
            </w:r>
            <w:r w:rsidRPr="00F96B62">
              <w:rPr>
                <w:rFonts w:eastAsia="Calibri" w:cs="Times New Roman"/>
                <w:kern w:val="2"/>
                <w14:ligatures w14:val="standardContextual"/>
              </w:rPr>
              <w:t xml:space="preserve">that businesses should be required to comply with in order to become or remain an eligible registered </w:t>
            </w:r>
            <w:r w:rsidR="007B418E" w:rsidRPr="00F96B62">
              <w:rPr>
                <w:rFonts w:eastAsia="Calibri" w:cs="Times New Roman"/>
                <w:kern w:val="2"/>
                <w14:ligatures w14:val="standardContextual"/>
              </w:rPr>
              <w:t>Centrepay business?</w:t>
            </w:r>
            <w:r w:rsidR="00845C52" w:rsidRPr="00F96B62">
              <w:rPr>
                <w:rFonts w:eastAsia="Calibri" w:cs="Times New Roman"/>
                <w:kern w:val="2"/>
                <w14:ligatures w14:val="standardContextual"/>
              </w:rPr>
              <w:t xml:space="preserve"> </w:t>
            </w:r>
          </w:p>
          <w:p w14:paraId="624BFBD5" w14:textId="0B975A65" w:rsidR="00CB7C35" w:rsidRDefault="49265097" w:rsidP="00F96B62">
            <w:pPr>
              <w:numPr>
                <w:ilvl w:val="0"/>
                <w:numId w:val="8"/>
              </w:numPr>
              <w:spacing w:before="0" w:after="160" w:line="259" w:lineRule="auto"/>
              <w:contextualSpacing/>
              <w:rPr>
                <w:rFonts w:eastAsia="Calibri" w:cs="Times New Roman"/>
                <w:kern w:val="2"/>
                <w14:ligatures w14:val="standardContextual"/>
              </w:rPr>
            </w:pPr>
            <w:r w:rsidRPr="301E25E4">
              <w:rPr>
                <w:rFonts w:eastAsia="Calibri" w:cs="Times New Roman"/>
                <w:kern w:val="2"/>
                <w14:ligatures w14:val="standardContextual"/>
              </w:rPr>
              <w:t>W</w:t>
            </w:r>
            <w:r w:rsidR="4A9CFCEB" w:rsidRPr="301E25E4">
              <w:rPr>
                <w:rFonts w:eastAsia="Calibri" w:cs="Times New Roman"/>
                <w:kern w:val="2"/>
                <w14:ligatures w14:val="standardContextual"/>
              </w:rPr>
              <w:t>hat community expectations could be incorporated into assess</w:t>
            </w:r>
            <w:r w:rsidR="7A4BDF1E" w:rsidRPr="301E25E4">
              <w:rPr>
                <w:rFonts w:eastAsia="Calibri" w:cs="Times New Roman"/>
                <w:kern w:val="2"/>
                <w14:ligatures w14:val="standardContextual"/>
              </w:rPr>
              <w:t>ing</w:t>
            </w:r>
            <w:r w:rsidR="4A9CFCEB" w:rsidRPr="301E25E4">
              <w:rPr>
                <w:rFonts w:eastAsia="Calibri" w:cs="Times New Roman"/>
                <w:kern w:val="2"/>
                <w14:ligatures w14:val="standardContextual"/>
              </w:rPr>
              <w:t xml:space="preserve"> </w:t>
            </w:r>
            <w:r w:rsidR="0EAC63BE" w:rsidRPr="301E25E4">
              <w:rPr>
                <w:rFonts w:eastAsia="Calibri" w:cs="Times New Roman"/>
                <w:kern w:val="2"/>
                <w14:ligatures w14:val="standardContextual"/>
              </w:rPr>
              <w:t xml:space="preserve">Centrepay registered </w:t>
            </w:r>
            <w:r w:rsidR="4A9CFCEB" w:rsidRPr="301E25E4">
              <w:rPr>
                <w:rFonts w:eastAsia="Calibri" w:cs="Times New Roman"/>
                <w:kern w:val="2"/>
                <w14:ligatures w14:val="standardContextual"/>
              </w:rPr>
              <w:t>business</w:t>
            </w:r>
            <w:r w:rsidR="570B5C8E" w:rsidRPr="301E25E4">
              <w:rPr>
                <w:rFonts w:eastAsia="Calibri" w:cs="Times New Roman"/>
                <w:kern w:val="2"/>
                <w14:ligatures w14:val="standardContextual"/>
              </w:rPr>
              <w:t>es</w:t>
            </w:r>
            <w:r w:rsidR="4A9CFCEB" w:rsidRPr="301E25E4">
              <w:rPr>
                <w:rFonts w:eastAsia="Calibri" w:cs="Times New Roman"/>
                <w:kern w:val="2"/>
                <w14:ligatures w14:val="standardContextual"/>
              </w:rPr>
              <w:t>?</w:t>
            </w:r>
          </w:p>
          <w:p w14:paraId="652D63D4" w14:textId="6EB7F939" w:rsidR="005D4752" w:rsidRPr="00F7374E" w:rsidRDefault="005D4752" w:rsidP="00F96B62">
            <w:pPr>
              <w:numPr>
                <w:ilvl w:val="0"/>
                <w:numId w:val="8"/>
              </w:numPr>
              <w:spacing w:before="0" w:after="160" w:line="259" w:lineRule="auto"/>
              <w:contextualSpacing/>
              <w:rPr>
                <w:rFonts w:eastAsia="Calibri" w:cs="Times New Roman"/>
                <w:kern w:val="2"/>
                <w:szCs w:val="20"/>
                <w14:ligatures w14:val="standardContextual"/>
              </w:rPr>
            </w:pPr>
            <w:r w:rsidRPr="00F96B62">
              <w:rPr>
                <w:rFonts w:eastAsia="Calibri" w:cs="Times New Roman"/>
                <w:kern w:val="2"/>
                <w14:ligatures w14:val="standardContextual"/>
              </w:rPr>
              <w:t xml:space="preserve">What risk factors </w:t>
            </w:r>
            <w:r w:rsidR="00BE7A32" w:rsidRPr="00F96B62">
              <w:rPr>
                <w:rFonts w:eastAsia="Calibri" w:cs="Times New Roman"/>
                <w:kern w:val="2"/>
                <w14:ligatures w14:val="standardContextual"/>
              </w:rPr>
              <w:t xml:space="preserve">should </w:t>
            </w:r>
            <w:r w:rsidRPr="00F96B62">
              <w:rPr>
                <w:rFonts w:eastAsia="Calibri" w:cs="Times New Roman"/>
                <w:kern w:val="2"/>
                <w14:ligatures w14:val="standardContextual"/>
              </w:rPr>
              <w:t xml:space="preserve">the agency consider in assessing a business </w:t>
            </w:r>
            <w:r w:rsidR="003E0EDF">
              <w:rPr>
                <w:rFonts w:eastAsia="Calibri" w:cs="Times New Roman"/>
                <w:kern w:val="2"/>
                <w14:ligatures w14:val="standardContextual"/>
              </w:rPr>
              <w:t>for Centrepay registration</w:t>
            </w:r>
            <w:r w:rsidRPr="00F96B62">
              <w:rPr>
                <w:rFonts w:eastAsia="Calibri" w:cs="Times New Roman"/>
                <w:kern w:val="2"/>
                <w14:ligatures w14:val="standardContextual"/>
              </w:rPr>
              <w:t>?</w:t>
            </w:r>
            <w:r w:rsidRPr="00232396">
              <w:rPr>
                <w:rFonts w:eastAsia="Calibri" w:cs="Times New Roman"/>
                <w:kern w:val="2"/>
                <w:szCs w:val="20"/>
                <w14:ligatures w14:val="standardContextual"/>
              </w:rPr>
              <w:t xml:space="preserve"> </w:t>
            </w:r>
          </w:p>
        </w:tc>
      </w:tr>
    </w:tbl>
    <w:p w14:paraId="4CAD39BD" w14:textId="77777777" w:rsidR="00B62C0D" w:rsidRPr="00C96D9B" w:rsidRDefault="00B62C0D" w:rsidP="00B62C0D">
      <w:pPr>
        <w:spacing w:before="0" w:after="80"/>
        <w:rPr>
          <w:sz w:val="22"/>
          <w:lang w:eastAsia="en-AU"/>
        </w:rPr>
      </w:pPr>
    </w:p>
    <w:p w14:paraId="2C8CF6EE" w14:textId="2253FA94" w:rsidR="00B62C0D" w:rsidRPr="000E735D" w:rsidRDefault="00C96D9B" w:rsidP="26FF090E">
      <w:pPr>
        <w:pStyle w:val="Heading2"/>
        <w:rPr>
          <w:rFonts w:asciiTheme="minorHAnsi" w:eastAsia="Calibri" w:hAnsiTheme="minorHAnsi"/>
        </w:rPr>
      </w:pPr>
      <w:bookmarkStart w:id="17" w:name="_Toc164256445"/>
      <w:r w:rsidRPr="26FF090E">
        <w:rPr>
          <w:rFonts w:asciiTheme="minorHAnsi" w:eastAsia="Calibri" w:hAnsiTheme="minorHAnsi"/>
        </w:rPr>
        <w:t>4</w:t>
      </w:r>
      <w:r w:rsidR="00B62C0D" w:rsidRPr="26FF090E">
        <w:rPr>
          <w:rFonts w:asciiTheme="minorHAnsi" w:eastAsia="Calibri" w:hAnsiTheme="minorHAnsi"/>
        </w:rPr>
        <w:t>.2 Business models</w:t>
      </w:r>
      <w:bookmarkStart w:id="18" w:name="_Hlk159514072"/>
      <w:bookmarkEnd w:id="17"/>
    </w:p>
    <w:bookmarkEnd w:id="18"/>
    <w:p w14:paraId="6C7E62C9" w14:textId="5B7DA984" w:rsidR="008F3A8D" w:rsidRPr="008F3A8D" w:rsidRDefault="008F3A8D" w:rsidP="301E25E4">
      <w:pPr>
        <w:rPr>
          <w:rFonts w:ascii="Roboto" w:hAnsi="Roboto"/>
        </w:rPr>
      </w:pPr>
      <w:r w:rsidRPr="26FF090E">
        <w:rPr>
          <w:rFonts w:ascii="Roboto" w:hAnsi="Roboto"/>
        </w:rPr>
        <w:t xml:space="preserve">In accordance with the </w:t>
      </w:r>
      <w:r w:rsidR="662980CD" w:rsidRPr="26FF090E">
        <w:rPr>
          <w:rFonts w:ascii="Roboto" w:hAnsi="Roboto"/>
        </w:rPr>
        <w:t xml:space="preserve">current </w:t>
      </w:r>
      <w:r w:rsidRPr="003E0EDF">
        <w:rPr>
          <w:rFonts w:ascii="Roboto" w:hAnsi="Roboto"/>
          <w:i/>
          <w:iCs/>
        </w:rPr>
        <w:t>Policy and Terms</w:t>
      </w:r>
      <w:r w:rsidRPr="26FF090E">
        <w:rPr>
          <w:rFonts w:ascii="Roboto" w:hAnsi="Roboto"/>
        </w:rPr>
        <w:t>, registered businesses are required to:</w:t>
      </w:r>
    </w:p>
    <w:p w14:paraId="68C2A757" w14:textId="76BB3F95" w:rsidR="008F3A8D" w:rsidRPr="008F3A8D" w:rsidRDefault="008F3A8D" w:rsidP="008F3A8D">
      <w:pPr>
        <w:ind w:left="720"/>
        <w:rPr>
          <w:rFonts w:ascii="Roboto" w:hAnsi="Roboto"/>
          <w:i/>
          <w:iCs/>
          <w:szCs w:val="20"/>
        </w:rPr>
      </w:pPr>
      <w:r w:rsidRPr="008F3A8D">
        <w:rPr>
          <w:rStyle w:val="ui-provider"/>
          <w:i/>
          <w:iCs/>
        </w:rPr>
        <w:t>…have at least one viable payment method for Customers to pay for goods or services in addition to Centrepay</w:t>
      </w:r>
      <w:r>
        <w:rPr>
          <w:rStyle w:val="ui-provider"/>
          <w:i/>
          <w:iCs/>
        </w:rPr>
        <w:t>.</w:t>
      </w:r>
    </w:p>
    <w:p w14:paraId="64AD29E1" w14:textId="52240976" w:rsidR="00E31479" w:rsidRDefault="008F3A8D" w:rsidP="004D4DF0">
      <w:pPr>
        <w:rPr>
          <w:rFonts w:ascii="Roboto" w:hAnsi="Roboto"/>
          <w:szCs w:val="20"/>
        </w:rPr>
      </w:pPr>
      <w:r>
        <w:rPr>
          <w:rFonts w:ascii="Roboto" w:hAnsi="Roboto"/>
          <w:szCs w:val="20"/>
        </w:rPr>
        <w:t xml:space="preserve">The intent of the above </w:t>
      </w:r>
      <w:r w:rsidR="007027AE">
        <w:rPr>
          <w:rFonts w:ascii="Roboto" w:hAnsi="Roboto"/>
          <w:szCs w:val="20"/>
        </w:rPr>
        <w:t>is</w:t>
      </w:r>
      <w:r>
        <w:rPr>
          <w:rFonts w:ascii="Roboto" w:hAnsi="Roboto"/>
          <w:szCs w:val="20"/>
        </w:rPr>
        <w:t xml:space="preserve"> to ensure that customers </w:t>
      </w:r>
      <w:r w:rsidR="007027AE">
        <w:rPr>
          <w:rFonts w:ascii="Roboto" w:hAnsi="Roboto"/>
          <w:szCs w:val="20"/>
        </w:rPr>
        <w:t>are</w:t>
      </w:r>
      <w:r>
        <w:rPr>
          <w:rFonts w:ascii="Roboto" w:hAnsi="Roboto"/>
          <w:szCs w:val="20"/>
        </w:rPr>
        <w:t xml:space="preserve"> afforded flexibility and choice in how they wish to purchase goods and services, irrespective of their individual circumstances. </w:t>
      </w:r>
      <w:r w:rsidR="00C644C8">
        <w:rPr>
          <w:rFonts w:ascii="Roboto" w:hAnsi="Roboto"/>
          <w:szCs w:val="20"/>
        </w:rPr>
        <w:t>It is possible that some</w:t>
      </w:r>
      <w:r>
        <w:rPr>
          <w:rFonts w:ascii="Roboto" w:hAnsi="Roboto"/>
          <w:szCs w:val="20"/>
        </w:rPr>
        <w:t xml:space="preserve"> </w:t>
      </w:r>
      <w:r w:rsidR="00247553">
        <w:rPr>
          <w:rFonts w:ascii="Roboto" w:hAnsi="Roboto"/>
          <w:szCs w:val="20"/>
        </w:rPr>
        <w:t>businesses’</w:t>
      </w:r>
      <w:r>
        <w:rPr>
          <w:rFonts w:ascii="Roboto" w:hAnsi="Roboto"/>
          <w:szCs w:val="20"/>
        </w:rPr>
        <w:t xml:space="preserve"> operating models</w:t>
      </w:r>
      <w:r w:rsidR="007027AE">
        <w:rPr>
          <w:rFonts w:ascii="Roboto" w:hAnsi="Roboto"/>
          <w:szCs w:val="20"/>
        </w:rPr>
        <w:t xml:space="preserve"> </w:t>
      </w:r>
      <w:r>
        <w:rPr>
          <w:rFonts w:ascii="Roboto" w:hAnsi="Roboto"/>
          <w:szCs w:val="20"/>
        </w:rPr>
        <w:t xml:space="preserve">preference and advocate </w:t>
      </w:r>
      <w:r w:rsidR="00841367">
        <w:rPr>
          <w:rFonts w:ascii="Roboto" w:hAnsi="Roboto"/>
          <w:szCs w:val="20"/>
        </w:rPr>
        <w:t xml:space="preserve">for </w:t>
      </w:r>
      <w:r>
        <w:rPr>
          <w:rFonts w:ascii="Roboto" w:hAnsi="Roboto"/>
          <w:szCs w:val="20"/>
        </w:rPr>
        <w:t xml:space="preserve">customers </w:t>
      </w:r>
      <w:r w:rsidR="00841367">
        <w:rPr>
          <w:rFonts w:ascii="Roboto" w:hAnsi="Roboto"/>
          <w:szCs w:val="20"/>
        </w:rPr>
        <w:t xml:space="preserve">to </w:t>
      </w:r>
      <w:r>
        <w:rPr>
          <w:rFonts w:ascii="Roboto" w:hAnsi="Roboto"/>
          <w:szCs w:val="20"/>
        </w:rPr>
        <w:t>utilis</w:t>
      </w:r>
      <w:r w:rsidR="00841367">
        <w:rPr>
          <w:rFonts w:ascii="Roboto" w:hAnsi="Roboto"/>
          <w:szCs w:val="20"/>
        </w:rPr>
        <w:t>e</w:t>
      </w:r>
      <w:r>
        <w:rPr>
          <w:rFonts w:ascii="Roboto" w:hAnsi="Roboto"/>
          <w:szCs w:val="20"/>
        </w:rPr>
        <w:t xml:space="preserve"> Centrepay over other</w:t>
      </w:r>
      <w:r w:rsidR="00841367">
        <w:rPr>
          <w:rFonts w:ascii="Roboto" w:hAnsi="Roboto"/>
          <w:szCs w:val="20"/>
        </w:rPr>
        <w:t xml:space="preserve"> payment</w:t>
      </w:r>
      <w:r w:rsidR="007027AE">
        <w:rPr>
          <w:rFonts w:ascii="Roboto" w:hAnsi="Roboto"/>
          <w:szCs w:val="20"/>
        </w:rPr>
        <w:t xml:space="preserve"> types</w:t>
      </w:r>
      <w:r>
        <w:rPr>
          <w:rFonts w:ascii="Roboto" w:hAnsi="Roboto"/>
          <w:szCs w:val="20"/>
        </w:rPr>
        <w:t xml:space="preserve">. </w:t>
      </w:r>
    </w:p>
    <w:p w14:paraId="106F1095" w14:textId="68B4F44B" w:rsidR="00D266AE" w:rsidRDefault="007027AE" w:rsidP="26FF090E">
      <w:pPr>
        <w:rPr>
          <w:rFonts w:ascii="Roboto" w:hAnsi="Roboto"/>
        </w:rPr>
      </w:pPr>
      <w:r w:rsidRPr="26FF090E">
        <w:rPr>
          <w:rFonts w:ascii="Roboto" w:hAnsi="Roboto"/>
        </w:rPr>
        <w:t>As part of the Centrepay reform, the agency is eager to ensure that the Centrepay service is utilised by businesses as a payment method rather than a business operating model.</w:t>
      </w:r>
      <w:r w:rsidR="5FEA6EAD" w:rsidRPr="26FF090E">
        <w:rPr>
          <w:rFonts w:ascii="Roboto" w:hAnsi="Roboto"/>
        </w:rPr>
        <w:t xml:space="preserve"> Some business models currently in use include </w:t>
      </w:r>
      <w:r w:rsidR="5D343910" w:rsidRPr="26FF090E">
        <w:rPr>
          <w:rFonts w:ascii="Roboto" w:hAnsi="Roboto"/>
        </w:rPr>
        <w:t>but are not limited to</w:t>
      </w:r>
      <w:r w:rsidR="43561168" w:rsidRPr="26FF090E">
        <w:rPr>
          <w:rFonts w:ascii="Roboto" w:hAnsi="Roboto"/>
        </w:rPr>
        <w:t>:</w:t>
      </w:r>
    </w:p>
    <w:p w14:paraId="6ACEA7B5" w14:textId="3A453343" w:rsidR="00D266AE" w:rsidRDefault="09A68EFC" w:rsidP="008750A9">
      <w:pPr>
        <w:pStyle w:val="ListParagraph"/>
        <w:numPr>
          <w:ilvl w:val="0"/>
          <w:numId w:val="1"/>
        </w:numPr>
        <w:rPr>
          <w:rFonts w:ascii="Roboto" w:hAnsi="Roboto"/>
        </w:rPr>
      </w:pPr>
      <w:r w:rsidRPr="26FF090E">
        <w:rPr>
          <w:rFonts w:ascii="Roboto" w:hAnsi="Roboto"/>
        </w:rPr>
        <w:t>L</w:t>
      </w:r>
      <w:r w:rsidR="5FEA6EAD" w:rsidRPr="26FF090E">
        <w:rPr>
          <w:rFonts w:ascii="Roboto" w:hAnsi="Roboto"/>
        </w:rPr>
        <w:t>ayby</w:t>
      </w:r>
      <w:r w:rsidR="5FF2BC32" w:rsidRPr="26FF090E">
        <w:rPr>
          <w:rFonts w:ascii="Roboto" w:hAnsi="Roboto"/>
        </w:rPr>
        <w:t xml:space="preserve">, </w:t>
      </w:r>
      <w:r w:rsidR="346B138E" w:rsidRPr="26FF090E">
        <w:rPr>
          <w:rFonts w:ascii="Roboto" w:hAnsi="Roboto"/>
        </w:rPr>
        <w:t>an agreement when payment for specified goods is made in instalments, and customers do not receive the goods until the full price has been paid.</w:t>
      </w:r>
    </w:p>
    <w:p w14:paraId="670C1D1F" w14:textId="3CA1732A" w:rsidR="00D266AE" w:rsidRDefault="5FEA6EAD" w:rsidP="008750A9">
      <w:pPr>
        <w:pStyle w:val="ListParagraph"/>
        <w:numPr>
          <w:ilvl w:val="0"/>
          <w:numId w:val="1"/>
        </w:numPr>
        <w:rPr>
          <w:rFonts w:ascii="Roboto" w:hAnsi="Roboto"/>
        </w:rPr>
      </w:pPr>
      <w:r w:rsidRPr="26FF090E">
        <w:rPr>
          <w:rFonts w:ascii="Roboto" w:hAnsi="Roboto"/>
        </w:rPr>
        <w:t>Book-up</w:t>
      </w:r>
      <w:r w:rsidR="19BCEC07" w:rsidRPr="26FF090E">
        <w:rPr>
          <w:rFonts w:ascii="Roboto" w:hAnsi="Roboto"/>
        </w:rPr>
        <w:t>, where the business</w:t>
      </w:r>
      <w:r w:rsidR="48CDDA73" w:rsidRPr="26FF090E">
        <w:rPr>
          <w:rFonts w:ascii="Roboto" w:hAnsi="Roboto"/>
        </w:rPr>
        <w:t xml:space="preserve"> </w:t>
      </w:r>
      <w:r w:rsidR="19BCEC07" w:rsidRPr="26FF090E">
        <w:rPr>
          <w:rFonts w:ascii="Roboto" w:hAnsi="Roboto"/>
        </w:rPr>
        <w:t>allow</w:t>
      </w:r>
      <w:r w:rsidR="6303234C" w:rsidRPr="26FF090E">
        <w:rPr>
          <w:rFonts w:ascii="Roboto" w:hAnsi="Roboto"/>
        </w:rPr>
        <w:t>s</w:t>
      </w:r>
      <w:r w:rsidR="19BCEC07" w:rsidRPr="26FF090E">
        <w:rPr>
          <w:rFonts w:ascii="Roboto" w:hAnsi="Roboto"/>
        </w:rPr>
        <w:t xml:space="preserve"> customers to obtain goods or services immediately and pay for them later. </w:t>
      </w:r>
    </w:p>
    <w:p w14:paraId="16AF6A84" w14:textId="09BEDAE6" w:rsidR="00D266AE" w:rsidRPr="008750A9" w:rsidRDefault="66C6FE19" w:rsidP="008750A9">
      <w:pPr>
        <w:pStyle w:val="ListParagraph"/>
        <w:numPr>
          <w:ilvl w:val="0"/>
          <w:numId w:val="1"/>
        </w:numPr>
        <w:spacing w:line="259" w:lineRule="auto"/>
        <w:rPr>
          <w:rFonts w:ascii="Roboto" w:hAnsi="Roboto"/>
        </w:rPr>
      </w:pPr>
      <w:r w:rsidRPr="26FF090E">
        <w:rPr>
          <w:rFonts w:ascii="Roboto" w:hAnsi="Roboto"/>
        </w:rPr>
        <w:t>Credit Bank</w:t>
      </w:r>
      <w:r w:rsidR="15CF7896" w:rsidRPr="26FF090E">
        <w:rPr>
          <w:rFonts w:ascii="Roboto" w:hAnsi="Roboto"/>
        </w:rPr>
        <w:t>ing</w:t>
      </w:r>
      <w:r w:rsidRPr="26FF090E">
        <w:rPr>
          <w:rFonts w:ascii="Roboto" w:hAnsi="Roboto"/>
        </w:rPr>
        <w:t xml:space="preserve"> or payment in advance, where the customer is yet to make a purchase and is </w:t>
      </w:r>
      <w:r w:rsidR="1760BD41" w:rsidRPr="26FF090E">
        <w:rPr>
          <w:rFonts w:ascii="Roboto" w:hAnsi="Roboto"/>
        </w:rPr>
        <w:t xml:space="preserve">paying towards </w:t>
      </w:r>
      <w:r w:rsidRPr="26FF090E">
        <w:rPr>
          <w:rFonts w:ascii="Roboto" w:hAnsi="Roboto"/>
        </w:rPr>
        <w:t xml:space="preserve">a future good or </w:t>
      </w:r>
      <w:r w:rsidR="00486B0C" w:rsidRPr="26FF090E">
        <w:rPr>
          <w:rFonts w:ascii="Roboto" w:hAnsi="Roboto"/>
        </w:rPr>
        <w:t>service.</w:t>
      </w:r>
    </w:p>
    <w:p w14:paraId="6E7F220D" w14:textId="722C243D" w:rsidR="00D266AE" w:rsidRDefault="00D266AE" w:rsidP="26FF090E">
      <w:pPr>
        <w:rPr>
          <w:rFonts w:ascii="Roboto" w:hAnsi="Roboto"/>
        </w:rPr>
      </w:pPr>
    </w:p>
    <w:p w14:paraId="0AE48D44" w14:textId="0A1EA0B3" w:rsidR="00D266AE" w:rsidRDefault="00D266AE" w:rsidP="26FF090E">
      <w:pPr>
        <w:rPr>
          <w:rFonts w:ascii="Roboto" w:hAnsi="Roboto"/>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9016"/>
      </w:tblGrid>
      <w:tr w:rsidR="004D4DF0" w14:paraId="11DF3C90" w14:textId="77777777" w:rsidTr="00F7374E">
        <w:trPr>
          <w:trHeight w:val="2532"/>
        </w:trPr>
        <w:tc>
          <w:tcPr>
            <w:tcW w:w="9016" w:type="dxa"/>
            <w:tcBorders>
              <w:top w:val="single" w:sz="8" w:space="0" w:color="auto"/>
              <w:left w:val="single" w:sz="8" w:space="0" w:color="auto"/>
              <w:bottom w:val="single" w:sz="8" w:space="0" w:color="auto"/>
              <w:right w:val="single" w:sz="8" w:space="0" w:color="auto"/>
            </w:tcBorders>
            <w:shd w:val="clear" w:color="auto" w:fill="C6F3FF" w:themeFill="accent1" w:themeFillTint="33"/>
            <w:tcMar>
              <w:top w:w="0" w:type="dxa"/>
              <w:left w:w="108" w:type="dxa"/>
              <w:bottom w:w="0" w:type="dxa"/>
              <w:right w:w="108" w:type="dxa"/>
            </w:tcMar>
          </w:tcPr>
          <w:p w14:paraId="78915B45" w14:textId="354C40BB" w:rsidR="004D4DF0" w:rsidRDefault="3C9D09C3">
            <w:pPr>
              <w:keepNext/>
              <w:spacing w:before="60"/>
              <w:rPr>
                <w:rFonts w:ascii="Roboto" w:hAnsi="Roboto" w:cs="Calibri"/>
                <w:b/>
                <w:bCs/>
                <w:sz w:val="28"/>
                <w:szCs w:val="28"/>
              </w:rPr>
            </w:pPr>
            <w:r w:rsidRPr="1436714D">
              <w:rPr>
                <w:rFonts w:ascii="Roboto" w:hAnsi="Roboto"/>
                <w:b/>
                <w:bCs/>
                <w:color w:val="000000" w:themeColor="text1"/>
                <w:sz w:val="28"/>
                <w:szCs w:val="28"/>
              </w:rPr>
              <w:t>Q</w:t>
            </w:r>
            <w:r w:rsidR="2C387E5F" w:rsidRPr="1436714D">
              <w:rPr>
                <w:rFonts w:ascii="Roboto" w:hAnsi="Roboto"/>
                <w:b/>
                <w:bCs/>
                <w:color w:val="000000" w:themeColor="text1"/>
                <w:sz w:val="28"/>
                <w:szCs w:val="28"/>
              </w:rPr>
              <w:t>uestions</w:t>
            </w:r>
            <w:r w:rsidRPr="1436714D">
              <w:rPr>
                <w:rFonts w:ascii="Roboto" w:hAnsi="Roboto"/>
                <w:b/>
                <w:bCs/>
                <w:color w:val="000000" w:themeColor="text1"/>
                <w:sz w:val="28"/>
                <w:szCs w:val="28"/>
              </w:rPr>
              <w:t xml:space="preserve">: </w:t>
            </w:r>
          </w:p>
          <w:p w14:paraId="440C1590" w14:textId="77777777" w:rsidR="004D4DF0" w:rsidRDefault="5222050D" w:rsidP="00E91C2F">
            <w:pPr>
              <w:numPr>
                <w:ilvl w:val="0"/>
                <w:numId w:val="18"/>
              </w:numPr>
              <w:spacing w:before="0" w:after="0" w:line="252" w:lineRule="auto"/>
              <w:rPr>
                <w:rFonts w:ascii="Roboto" w:hAnsi="Roboto"/>
                <w:szCs w:val="20"/>
                <w:lang w:eastAsia="en-AU"/>
              </w:rPr>
            </w:pPr>
            <w:r w:rsidRPr="26FF090E">
              <w:rPr>
                <w:rFonts w:ascii="Roboto" w:hAnsi="Roboto"/>
                <w:lang w:eastAsia="en-AU"/>
              </w:rPr>
              <w:t>What, if any, additional conditions should be placed on businesses to ensure increased flexibility and protections for customers when considering the use of Centrepay as a payment method</w:t>
            </w:r>
            <w:r w:rsidR="00841367" w:rsidRPr="26FF090E">
              <w:rPr>
                <w:rFonts w:ascii="Roboto" w:hAnsi="Roboto"/>
                <w:lang w:eastAsia="en-AU"/>
              </w:rPr>
              <w:t>?</w:t>
            </w:r>
          </w:p>
          <w:p w14:paraId="632DB822" w14:textId="7910A5A0" w:rsidR="005D4752" w:rsidRPr="00F96B62" w:rsidRDefault="007537CF" w:rsidP="400281E4">
            <w:pPr>
              <w:numPr>
                <w:ilvl w:val="0"/>
                <w:numId w:val="18"/>
              </w:numPr>
              <w:spacing w:before="0" w:after="0" w:line="252" w:lineRule="auto"/>
              <w:rPr>
                <w:rFonts w:ascii="Roboto" w:hAnsi="Roboto"/>
                <w:lang w:eastAsia="en-AU"/>
              </w:rPr>
            </w:pPr>
            <w:r w:rsidRPr="00F96B62">
              <w:rPr>
                <w:rFonts w:ascii="Roboto" w:hAnsi="Roboto"/>
                <w:lang w:eastAsia="en-AU"/>
              </w:rPr>
              <w:t>What</w:t>
            </w:r>
            <w:r w:rsidR="38EF924C" w:rsidRPr="00F96B62">
              <w:rPr>
                <w:rFonts w:ascii="Roboto" w:hAnsi="Roboto"/>
                <w:lang w:eastAsia="en-AU"/>
              </w:rPr>
              <w:t xml:space="preserve"> flags would you expect </w:t>
            </w:r>
            <w:r w:rsidR="00B44DA7" w:rsidRPr="00F96B62">
              <w:rPr>
                <w:rFonts w:ascii="Roboto" w:hAnsi="Roboto"/>
                <w:lang w:eastAsia="en-AU"/>
              </w:rPr>
              <w:t>the agency</w:t>
            </w:r>
            <w:r w:rsidR="38EF924C" w:rsidRPr="00F96B62">
              <w:rPr>
                <w:rFonts w:ascii="Roboto" w:hAnsi="Roboto"/>
                <w:lang w:eastAsia="en-AU"/>
              </w:rPr>
              <w:t xml:space="preserve"> </w:t>
            </w:r>
            <w:r w:rsidR="604ED19B" w:rsidRPr="00F96B62">
              <w:rPr>
                <w:rFonts w:ascii="Roboto" w:hAnsi="Roboto"/>
                <w:lang w:eastAsia="en-AU"/>
              </w:rPr>
              <w:t xml:space="preserve">to be </w:t>
            </w:r>
            <w:r w:rsidR="38EF924C" w:rsidRPr="00F96B62">
              <w:rPr>
                <w:rFonts w:ascii="Roboto" w:hAnsi="Roboto"/>
                <w:lang w:eastAsia="en-AU"/>
              </w:rPr>
              <w:t xml:space="preserve">monitoring </w:t>
            </w:r>
            <w:r w:rsidR="5B189030" w:rsidRPr="00F96B62">
              <w:rPr>
                <w:rFonts w:ascii="Roboto" w:hAnsi="Roboto"/>
                <w:lang w:eastAsia="en-AU"/>
              </w:rPr>
              <w:t xml:space="preserve">to trigger engagement with businesses in relation to their </w:t>
            </w:r>
            <w:r w:rsidR="38EF924C" w:rsidRPr="00F96B62">
              <w:rPr>
                <w:rFonts w:ascii="Roboto" w:hAnsi="Roboto"/>
                <w:lang w:eastAsia="en-AU"/>
              </w:rPr>
              <w:t>compliance with Centrepay policies?</w:t>
            </w:r>
          </w:p>
          <w:p w14:paraId="02BC6E47" w14:textId="5BF709E0" w:rsidR="005D4752" w:rsidRPr="00E91C2F" w:rsidRDefault="311BD40B" w:rsidP="26FF090E">
            <w:pPr>
              <w:numPr>
                <w:ilvl w:val="0"/>
                <w:numId w:val="18"/>
              </w:numPr>
              <w:spacing w:before="0" w:after="0" w:line="252" w:lineRule="auto"/>
              <w:rPr>
                <w:rFonts w:ascii="Roboto" w:hAnsi="Roboto"/>
                <w:color w:val="2B579A"/>
                <w:lang w:eastAsia="en-AU"/>
              </w:rPr>
            </w:pPr>
            <w:r w:rsidRPr="00F7374E">
              <w:rPr>
                <w:rFonts w:ascii="Roboto" w:hAnsi="Roboto"/>
                <w:lang w:eastAsia="en-AU"/>
              </w:rPr>
              <w:t>Are there any business models that should be excluded from Centrepay</w:t>
            </w:r>
            <w:r w:rsidR="4E8EF9B3" w:rsidRPr="00F7374E">
              <w:rPr>
                <w:rFonts w:ascii="Roboto" w:hAnsi="Roboto"/>
                <w:lang w:eastAsia="en-AU"/>
              </w:rPr>
              <w:t xml:space="preserve"> and if so, what criteria should be used to consider their inclusion or exclusion?</w:t>
            </w:r>
            <w:r w:rsidR="4E8EF9B3" w:rsidRPr="00EE348B">
              <w:rPr>
                <w:rFonts w:ascii="Roboto" w:hAnsi="Roboto"/>
                <w:color w:val="000000" w:themeColor="text1"/>
                <w:lang w:eastAsia="en-AU"/>
              </w:rPr>
              <w:t xml:space="preserve">   </w:t>
            </w:r>
          </w:p>
        </w:tc>
      </w:tr>
    </w:tbl>
    <w:p w14:paraId="00E292DC" w14:textId="5E3A44E1" w:rsidR="00E464BB" w:rsidRDefault="00E464BB" w:rsidP="400281E4">
      <w:pPr>
        <w:pStyle w:val="Heading1"/>
        <w:rPr>
          <w:rFonts w:asciiTheme="minorHAnsi" w:hAnsiTheme="minorHAnsi"/>
        </w:rPr>
      </w:pPr>
    </w:p>
    <w:p w14:paraId="7C715B87" w14:textId="77777777" w:rsidR="00E464BB" w:rsidRDefault="00E464BB">
      <w:pPr>
        <w:spacing w:before="0" w:after="0"/>
        <w:rPr>
          <w:b/>
          <w:bCs/>
          <w:color w:val="1B365D" w:themeColor="accent2"/>
          <w:kern w:val="32"/>
          <w:sz w:val="48"/>
          <w:szCs w:val="40"/>
        </w:rPr>
      </w:pPr>
      <w:r>
        <w:br w:type="page"/>
      </w:r>
    </w:p>
    <w:p w14:paraId="173006F4" w14:textId="50C3757A" w:rsidR="00B62C0D" w:rsidRDefault="39B078AA" w:rsidP="400281E4">
      <w:pPr>
        <w:pStyle w:val="Heading1"/>
        <w:rPr>
          <w:rFonts w:asciiTheme="minorHAnsi" w:hAnsiTheme="minorHAnsi"/>
        </w:rPr>
      </w:pPr>
      <w:bookmarkStart w:id="19" w:name="_Toc164256446"/>
      <w:r w:rsidRPr="400281E4">
        <w:rPr>
          <w:rFonts w:asciiTheme="minorHAnsi" w:hAnsiTheme="minorHAnsi"/>
        </w:rPr>
        <w:t>5</w:t>
      </w:r>
      <w:r w:rsidR="2E65F2EF" w:rsidRPr="400281E4">
        <w:rPr>
          <w:rFonts w:asciiTheme="minorHAnsi" w:hAnsiTheme="minorHAnsi"/>
        </w:rPr>
        <w:t>. Compliance</w:t>
      </w:r>
      <w:bookmarkEnd w:id="19"/>
    </w:p>
    <w:p w14:paraId="57B23049" w14:textId="1BA530D1" w:rsidR="007D126E" w:rsidRPr="007D126E" w:rsidRDefault="007D126E" w:rsidP="007D126E">
      <w:pPr>
        <w:pStyle w:val="Heading2"/>
        <w:rPr>
          <w:rFonts w:asciiTheme="minorHAnsi" w:eastAsia="Calibri" w:hAnsiTheme="minorHAnsi"/>
        </w:rPr>
      </w:pPr>
      <w:bookmarkStart w:id="20" w:name="_Toc164256447"/>
      <w:r>
        <w:rPr>
          <w:rFonts w:asciiTheme="minorHAnsi" w:eastAsia="Calibri" w:hAnsiTheme="minorHAnsi"/>
        </w:rPr>
        <w:t>5.1</w:t>
      </w:r>
      <w:r w:rsidRPr="00C96D9B">
        <w:rPr>
          <w:rFonts w:asciiTheme="minorHAnsi" w:eastAsia="Calibri" w:hAnsiTheme="minorHAnsi"/>
        </w:rPr>
        <w:t xml:space="preserve"> </w:t>
      </w:r>
      <w:r>
        <w:rPr>
          <w:rFonts w:asciiTheme="minorHAnsi" w:eastAsia="Calibri" w:hAnsiTheme="minorHAnsi"/>
        </w:rPr>
        <w:t xml:space="preserve">Current Compliance </w:t>
      </w:r>
      <w:r w:rsidR="00A25A00">
        <w:rPr>
          <w:rFonts w:asciiTheme="minorHAnsi" w:eastAsia="Calibri" w:hAnsiTheme="minorHAnsi"/>
        </w:rPr>
        <w:t>P</w:t>
      </w:r>
      <w:r>
        <w:rPr>
          <w:rFonts w:asciiTheme="minorHAnsi" w:eastAsia="Calibri" w:hAnsiTheme="minorHAnsi"/>
        </w:rPr>
        <w:t>rocesses</w:t>
      </w:r>
      <w:bookmarkEnd w:id="20"/>
    </w:p>
    <w:p w14:paraId="1BB2F584" w14:textId="2D042478" w:rsidR="00A25A00" w:rsidRDefault="00A25A00" w:rsidP="00B62C0D">
      <w:pPr>
        <w:rPr>
          <w:rFonts w:eastAsia="Calibri" w:cs="Times New Roman"/>
          <w:kern w:val="2"/>
          <w:szCs w:val="20"/>
          <w14:ligatures w14:val="standardContextual"/>
        </w:rPr>
      </w:pPr>
      <w:r>
        <w:rPr>
          <w:rFonts w:eastAsia="Calibri" w:cs="Times New Roman"/>
          <w:kern w:val="2"/>
          <w:szCs w:val="20"/>
          <w14:ligatures w14:val="standardContextual"/>
        </w:rPr>
        <w:t xml:space="preserve">The agency </w:t>
      </w:r>
      <w:r w:rsidR="00B91FC8">
        <w:rPr>
          <w:rFonts w:eastAsia="Calibri" w:cs="Times New Roman"/>
          <w:kern w:val="2"/>
          <w:szCs w:val="20"/>
          <w14:ligatures w14:val="standardContextual"/>
        </w:rPr>
        <w:t xml:space="preserve">recognises </w:t>
      </w:r>
      <w:r w:rsidR="003D2087">
        <w:rPr>
          <w:rFonts w:eastAsia="Calibri" w:cs="Times New Roman"/>
          <w:kern w:val="2"/>
          <w:szCs w:val="20"/>
          <w14:ligatures w14:val="standardContextual"/>
        </w:rPr>
        <w:t xml:space="preserve">that </w:t>
      </w:r>
      <w:r w:rsidR="00B91FC8">
        <w:rPr>
          <w:rFonts w:eastAsia="Calibri" w:cs="Times New Roman"/>
          <w:kern w:val="2"/>
          <w:szCs w:val="20"/>
          <w14:ligatures w14:val="standardContextual"/>
        </w:rPr>
        <w:t xml:space="preserve">the </w:t>
      </w:r>
      <w:r w:rsidR="003D2087">
        <w:rPr>
          <w:rFonts w:eastAsia="Calibri" w:cs="Times New Roman"/>
          <w:kern w:val="2"/>
          <w:szCs w:val="20"/>
          <w14:ligatures w14:val="standardContextual"/>
        </w:rPr>
        <w:t xml:space="preserve">current </w:t>
      </w:r>
      <w:r w:rsidR="00B91FC8">
        <w:rPr>
          <w:rFonts w:eastAsia="Calibri" w:cs="Times New Roman"/>
          <w:kern w:val="2"/>
          <w:szCs w:val="20"/>
          <w14:ligatures w14:val="standardContextual"/>
        </w:rPr>
        <w:t xml:space="preserve">compliance processes for Centrepay have not met the expectations and needs of </w:t>
      </w:r>
      <w:r w:rsidR="003D2087">
        <w:rPr>
          <w:rFonts w:eastAsia="Calibri" w:cs="Times New Roman"/>
          <w:kern w:val="2"/>
          <w:szCs w:val="20"/>
          <w14:ligatures w14:val="standardContextual"/>
        </w:rPr>
        <w:t xml:space="preserve">customers and </w:t>
      </w:r>
      <w:r w:rsidR="00B91FC8">
        <w:rPr>
          <w:rFonts w:eastAsia="Calibri" w:cs="Times New Roman"/>
          <w:kern w:val="2"/>
          <w:szCs w:val="20"/>
          <w14:ligatures w14:val="standardContextual"/>
        </w:rPr>
        <w:t xml:space="preserve">the community. The agency acknowledges that a new approach </w:t>
      </w:r>
      <w:r w:rsidR="003D2087">
        <w:rPr>
          <w:rFonts w:eastAsia="Calibri" w:cs="Times New Roman"/>
          <w:kern w:val="2"/>
          <w:szCs w:val="20"/>
          <w14:ligatures w14:val="standardContextual"/>
        </w:rPr>
        <w:t>is</w:t>
      </w:r>
      <w:r w:rsidR="00B91FC8">
        <w:rPr>
          <w:rFonts w:eastAsia="Calibri" w:cs="Times New Roman"/>
          <w:kern w:val="2"/>
          <w:szCs w:val="20"/>
          <w14:ligatures w14:val="standardContextual"/>
        </w:rPr>
        <w:t xml:space="preserve"> require</w:t>
      </w:r>
      <w:r w:rsidR="0088458B">
        <w:rPr>
          <w:rFonts w:eastAsia="Calibri" w:cs="Times New Roman"/>
          <w:kern w:val="2"/>
          <w:szCs w:val="20"/>
          <w14:ligatures w14:val="standardContextual"/>
        </w:rPr>
        <w:t>d</w:t>
      </w:r>
      <w:r w:rsidR="00B91FC8">
        <w:rPr>
          <w:rFonts w:eastAsia="Calibri" w:cs="Times New Roman"/>
          <w:kern w:val="2"/>
          <w:szCs w:val="20"/>
          <w14:ligatures w14:val="standardContextual"/>
        </w:rPr>
        <w:t xml:space="preserve"> for certain sectors of the service and </w:t>
      </w:r>
      <w:r>
        <w:rPr>
          <w:rFonts w:eastAsia="Calibri" w:cs="Times New Roman"/>
          <w:kern w:val="2"/>
          <w:szCs w:val="20"/>
          <w14:ligatures w14:val="standardContextual"/>
        </w:rPr>
        <w:t xml:space="preserve">is committed to ensuring that all registered Centrepay businesses adhere to the obligations and responsibilities set out within the </w:t>
      </w:r>
      <w:r w:rsidRPr="00A25A00">
        <w:rPr>
          <w:rFonts w:eastAsia="Calibri" w:cs="Times New Roman"/>
          <w:i/>
          <w:iCs/>
          <w:kern w:val="2"/>
          <w:szCs w:val="20"/>
          <w14:ligatures w14:val="standardContextual"/>
        </w:rPr>
        <w:t>Centrepay Framework</w:t>
      </w:r>
      <w:r>
        <w:rPr>
          <w:rFonts w:eastAsia="Calibri" w:cs="Times New Roman"/>
          <w:kern w:val="2"/>
          <w:szCs w:val="20"/>
          <w14:ligatures w14:val="standardContextual"/>
        </w:rPr>
        <w:t xml:space="preserve">. This includes acting in good faith and in alignment with the intent and purpose of the Centrepay </w:t>
      </w:r>
      <w:r w:rsidR="00367D29">
        <w:rPr>
          <w:rFonts w:eastAsia="Calibri" w:cs="Times New Roman"/>
          <w:kern w:val="2"/>
          <w:szCs w:val="20"/>
          <w14:ligatures w14:val="standardContextual"/>
        </w:rPr>
        <w:t>service</w:t>
      </w:r>
      <w:r>
        <w:rPr>
          <w:rFonts w:eastAsia="Calibri" w:cs="Times New Roman"/>
          <w:kern w:val="2"/>
          <w:szCs w:val="20"/>
          <w14:ligatures w14:val="standardContextual"/>
        </w:rPr>
        <w:t>.</w:t>
      </w:r>
    </w:p>
    <w:p w14:paraId="737BC92A" w14:textId="4A9C4B2C" w:rsidR="00B62C0D" w:rsidRPr="00A25A00" w:rsidRDefault="00A25A00" w:rsidP="400281E4">
      <w:pPr>
        <w:rPr>
          <w:rFonts w:eastAsia="Calibri" w:cs="Times New Roman"/>
          <w:kern w:val="2"/>
          <w14:ligatures w14:val="standardContextual"/>
        </w:rPr>
      </w:pPr>
      <w:r w:rsidRPr="400281E4">
        <w:rPr>
          <w:rFonts w:eastAsia="Calibri" w:cs="Times New Roman"/>
          <w:kern w:val="2"/>
          <w14:ligatures w14:val="standardContextual"/>
        </w:rPr>
        <w:t xml:space="preserve">As part of the current </w:t>
      </w:r>
      <w:r w:rsidRPr="400281E4">
        <w:rPr>
          <w:rFonts w:eastAsia="Calibri" w:cs="Times New Roman"/>
          <w:i/>
          <w:iCs/>
          <w:kern w:val="2"/>
          <w14:ligatures w14:val="standardContextual"/>
        </w:rPr>
        <w:t>Centrepay Framework</w:t>
      </w:r>
      <w:r w:rsidR="00F96B62">
        <w:rPr>
          <w:rFonts w:eastAsia="Calibri" w:cs="Times New Roman"/>
          <w:i/>
          <w:iCs/>
          <w:kern w:val="2"/>
          <w14:ligatures w14:val="standardContextual"/>
        </w:rPr>
        <w:t>,</w:t>
      </w:r>
      <w:r w:rsidRPr="400281E4">
        <w:rPr>
          <w:rFonts w:eastAsia="Calibri" w:cs="Times New Roman"/>
          <w:kern w:val="2"/>
          <w14:ligatures w14:val="standardContextual"/>
        </w:rPr>
        <w:t xml:space="preserve"> </w:t>
      </w:r>
      <w:r w:rsidR="00B62C0D" w:rsidRPr="400281E4">
        <w:rPr>
          <w:rFonts w:eastAsia="Calibri" w:cs="Times New Roman"/>
          <w:kern w:val="2"/>
          <w14:ligatures w14:val="standardContextual"/>
        </w:rPr>
        <w:t>registered businesses must comply with any direction issued by the agency</w:t>
      </w:r>
      <w:r w:rsidRPr="400281E4">
        <w:rPr>
          <w:rFonts w:eastAsia="Calibri" w:cs="Times New Roman"/>
          <w:kern w:val="2"/>
          <w14:ligatures w14:val="standardContextual"/>
        </w:rPr>
        <w:t xml:space="preserve">, including full participation in </w:t>
      </w:r>
      <w:r w:rsidR="00367D29" w:rsidRPr="400281E4">
        <w:rPr>
          <w:rFonts w:eastAsia="Calibri" w:cs="Times New Roman"/>
          <w:kern w:val="2"/>
          <w14:ligatures w14:val="standardContextual"/>
        </w:rPr>
        <w:t>all</w:t>
      </w:r>
      <w:r w:rsidRPr="400281E4">
        <w:rPr>
          <w:rFonts w:eastAsia="Calibri" w:cs="Times New Roman"/>
          <w:kern w:val="2"/>
          <w14:ligatures w14:val="standardContextual"/>
        </w:rPr>
        <w:t xml:space="preserve"> compliance review </w:t>
      </w:r>
      <w:r w:rsidR="00367D29" w:rsidRPr="400281E4">
        <w:rPr>
          <w:rFonts w:eastAsia="Calibri" w:cs="Times New Roman"/>
          <w:kern w:val="2"/>
          <w14:ligatures w14:val="standardContextual"/>
        </w:rPr>
        <w:t>processes</w:t>
      </w:r>
      <w:r w:rsidR="00B62C0D" w:rsidRPr="400281E4">
        <w:rPr>
          <w:rFonts w:eastAsia="Calibri" w:cs="Times New Roman"/>
          <w:kern w:val="2"/>
          <w14:ligatures w14:val="standardContextual"/>
        </w:rPr>
        <w:t xml:space="preserve">. </w:t>
      </w:r>
      <w:r w:rsidRPr="400281E4">
        <w:rPr>
          <w:rFonts w:eastAsia="Calibri" w:cs="Times New Roman"/>
          <w:kern w:val="2"/>
          <w14:ligatures w14:val="standardContextual"/>
        </w:rPr>
        <w:t>When undertaking a</w:t>
      </w:r>
      <w:r w:rsidR="00867A05">
        <w:rPr>
          <w:rFonts w:eastAsia="Calibri" w:cs="Times New Roman"/>
          <w:kern w:val="2"/>
          <w14:ligatures w14:val="standardContextual"/>
        </w:rPr>
        <w:t xml:space="preserve"> compliance review</w:t>
      </w:r>
      <w:r w:rsidRPr="400281E4">
        <w:rPr>
          <w:rFonts w:eastAsia="Calibri" w:cs="Times New Roman"/>
          <w:kern w:val="2"/>
          <w14:ligatures w14:val="standardContextual"/>
        </w:rPr>
        <w:t>, the agency</w:t>
      </w:r>
      <w:r w:rsidR="00B62C0D" w:rsidRPr="400281E4">
        <w:rPr>
          <w:rFonts w:eastAsia="Calibri" w:cs="Times New Roman"/>
          <w:kern w:val="2"/>
          <w14:ligatures w14:val="standardContextual"/>
        </w:rPr>
        <w:t xml:space="preserve"> </w:t>
      </w:r>
      <w:r w:rsidR="00EC5344" w:rsidRPr="400281E4">
        <w:rPr>
          <w:rFonts w:eastAsia="Calibri" w:cs="Times New Roman"/>
          <w:kern w:val="2"/>
          <w14:ligatures w14:val="standardContextual"/>
        </w:rPr>
        <w:t>may assess</w:t>
      </w:r>
      <w:r w:rsidR="00B62C0D" w:rsidRPr="400281E4">
        <w:rPr>
          <w:rFonts w:eastAsia="Calibri" w:cs="Times New Roman"/>
          <w:kern w:val="2"/>
          <w14:ligatures w14:val="standardContextual"/>
        </w:rPr>
        <w:t xml:space="preserve"> a business</w:t>
      </w:r>
      <w:r w:rsidR="43AC294E" w:rsidRPr="400281E4">
        <w:rPr>
          <w:rFonts w:eastAsia="Calibri" w:cs="Times New Roman"/>
          <w:kern w:val="2"/>
          <w14:ligatures w14:val="standardContextual"/>
        </w:rPr>
        <w:t>’</w:t>
      </w:r>
      <w:r w:rsidR="00B62C0D" w:rsidRPr="400281E4">
        <w:rPr>
          <w:rFonts w:eastAsia="Calibri" w:cs="Times New Roman"/>
          <w:kern w:val="2"/>
          <w14:ligatures w14:val="standardContextual"/>
        </w:rPr>
        <w:t xml:space="preserve">s </w:t>
      </w:r>
      <w:r w:rsidR="00EC5344" w:rsidRPr="400281E4">
        <w:rPr>
          <w:rFonts w:eastAsia="Calibri" w:cs="Times New Roman"/>
          <w:kern w:val="2"/>
          <w14:ligatures w14:val="standardContextual"/>
        </w:rPr>
        <w:t>compliance</w:t>
      </w:r>
      <w:r w:rsidR="00B62C0D" w:rsidRPr="400281E4">
        <w:rPr>
          <w:rFonts w:eastAsia="Calibri" w:cs="Times New Roman"/>
          <w:kern w:val="2"/>
          <w14:ligatures w14:val="standardContextual"/>
        </w:rPr>
        <w:t xml:space="preserve"> </w:t>
      </w:r>
      <w:r w:rsidR="00EC5344" w:rsidRPr="400281E4">
        <w:rPr>
          <w:rFonts w:eastAsia="Calibri" w:cs="Times New Roman"/>
          <w:kern w:val="2"/>
          <w14:ligatures w14:val="standardContextual"/>
        </w:rPr>
        <w:t xml:space="preserve">to the Centrepay </w:t>
      </w:r>
      <w:r w:rsidR="00367D29" w:rsidRPr="400281E4">
        <w:rPr>
          <w:rFonts w:eastAsia="Calibri" w:cs="Times New Roman"/>
          <w:kern w:val="2"/>
          <w14:ligatures w14:val="standardContextual"/>
        </w:rPr>
        <w:t>service</w:t>
      </w:r>
      <w:r w:rsidR="00EC5344" w:rsidRPr="400281E4">
        <w:rPr>
          <w:rFonts w:eastAsia="Calibri" w:cs="Times New Roman"/>
          <w:kern w:val="2"/>
          <w14:ligatures w14:val="standardContextual"/>
        </w:rPr>
        <w:t xml:space="preserve"> by assessing one or more of the </w:t>
      </w:r>
      <w:r w:rsidR="00B62C0D" w:rsidRPr="400281E4">
        <w:rPr>
          <w:rFonts w:eastAsia="Calibri" w:cs="Times New Roman"/>
          <w:kern w:val="2"/>
          <w14:ligatures w14:val="standardContextual"/>
        </w:rPr>
        <w:t>following</w:t>
      </w:r>
      <w:r w:rsidR="00EC5344" w:rsidRPr="400281E4">
        <w:rPr>
          <w:rFonts w:eastAsia="Calibri" w:cs="Times New Roman"/>
          <w:kern w:val="2"/>
          <w14:ligatures w14:val="standardContextual"/>
        </w:rPr>
        <w:t xml:space="preserve"> key criteria</w:t>
      </w:r>
      <w:r w:rsidR="00B62C0D" w:rsidRPr="400281E4">
        <w:rPr>
          <w:rFonts w:eastAsia="Calibri" w:cs="Times New Roman"/>
          <w:kern w:val="2"/>
          <w14:ligatures w14:val="standardContextual"/>
        </w:rPr>
        <w:t xml:space="preserve">: </w:t>
      </w:r>
    </w:p>
    <w:p w14:paraId="6EE14EA9" w14:textId="015C6D8A" w:rsidR="00B62C0D" w:rsidRPr="00555119" w:rsidRDefault="00B62C0D" w:rsidP="00B62C0D">
      <w:pPr>
        <w:tabs>
          <w:tab w:val="left" w:pos="1418"/>
        </w:tabs>
        <w:spacing w:before="0"/>
        <w:ind w:left="993" w:hanging="284"/>
        <w:rPr>
          <w:rFonts w:eastAsia="Calibri" w:cs="Calibri"/>
          <w:i/>
          <w:iCs/>
          <w:kern w:val="2"/>
          <w:szCs w:val="20"/>
          <w14:ligatures w14:val="standardContextual"/>
        </w:rPr>
      </w:pPr>
      <w:r w:rsidRPr="00555119">
        <w:rPr>
          <w:rFonts w:eastAsia="Calibri" w:cs="Calibri"/>
          <w:i/>
          <w:iCs/>
          <w:kern w:val="2"/>
          <w:szCs w:val="20"/>
          <w14:ligatures w14:val="standardContextual"/>
        </w:rPr>
        <w:t>a.</w:t>
      </w:r>
      <w:r w:rsidR="009B4F8B" w:rsidRPr="00555119">
        <w:rPr>
          <w:rFonts w:eastAsia="Calibri" w:cs="Calibri"/>
          <w:i/>
          <w:iCs/>
          <w:kern w:val="2"/>
          <w:szCs w:val="20"/>
          <w14:ligatures w14:val="standardContextual"/>
        </w:rPr>
        <w:tab/>
      </w:r>
      <w:r w:rsidRPr="00555119">
        <w:rPr>
          <w:rFonts w:eastAsia="Calibri" w:cs="Calibri"/>
          <w:i/>
          <w:iCs/>
          <w:kern w:val="2"/>
          <w:szCs w:val="20"/>
          <w14:ligatures w14:val="standardContextual"/>
        </w:rPr>
        <w:t>obtaining, retaining and storing of Deduction Authorities</w:t>
      </w:r>
    </w:p>
    <w:p w14:paraId="549393B8" w14:textId="39EFC1FD" w:rsidR="00B62C0D" w:rsidRPr="00555119" w:rsidRDefault="00B62C0D" w:rsidP="00B62C0D">
      <w:pPr>
        <w:tabs>
          <w:tab w:val="left" w:pos="1418"/>
        </w:tabs>
        <w:spacing w:before="0"/>
        <w:ind w:left="993" w:hanging="284"/>
        <w:rPr>
          <w:rFonts w:eastAsia="Calibri" w:cs="Calibri"/>
          <w:i/>
          <w:iCs/>
          <w:kern w:val="2"/>
          <w:szCs w:val="20"/>
          <w14:ligatures w14:val="standardContextual"/>
        </w:rPr>
      </w:pPr>
      <w:r w:rsidRPr="00555119">
        <w:rPr>
          <w:rFonts w:eastAsia="Calibri" w:cs="Calibri"/>
          <w:i/>
          <w:iCs/>
          <w:kern w:val="2"/>
          <w:szCs w:val="20"/>
          <w14:ligatures w14:val="standardContextual"/>
        </w:rPr>
        <w:t>b.</w:t>
      </w:r>
      <w:r w:rsidR="009B4F8B" w:rsidRPr="00555119">
        <w:rPr>
          <w:rFonts w:eastAsia="Calibri" w:cs="Calibri"/>
          <w:i/>
          <w:iCs/>
          <w:kern w:val="2"/>
          <w:szCs w:val="20"/>
          <w14:ligatures w14:val="standardContextual"/>
        </w:rPr>
        <w:tab/>
      </w:r>
      <w:r w:rsidRPr="00555119">
        <w:rPr>
          <w:rFonts w:eastAsia="Calibri" w:cs="Calibri"/>
          <w:i/>
          <w:iCs/>
          <w:kern w:val="2"/>
          <w:szCs w:val="20"/>
          <w14:ligatures w14:val="standardContextual"/>
        </w:rPr>
        <w:t xml:space="preserve">obtaining, creating, retaining and storing of </w:t>
      </w:r>
      <w:r w:rsidR="0082364A" w:rsidRPr="00555119">
        <w:rPr>
          <w:rFonts w:eastAsia="Calibri" w:cs="Calibri"/>
          <w:i/>
          <w:iCs/>
          <w:kern w:val="2"/>
          <w:szCs w:val="20"/>
          <w14:ligatures w14:val="standardContextual"/>
        </w:rPr>
        <w:t>c</w:t>
      </w:r>
      <w:r w:rsidRPr="00555119">
        <w:rPr>
          <w:rFonts w:eastAsia="Calibri" w:cs="Calibri"/>
          <w:i/>
          <w:iCs/>
          <w:kern w:val="2"/>
          <w:szCs w:val="20"/>
          <w14:ligatures w14:val="standardContextual"/>
        </w:rPr>
        <w:t xml:space="preserve">ustomer information necessary to validate account </w:t>
      </w:r>
      <w:r w:rsidR="00AB6284" w:rsidRPr="00555119">
        <w:rPr>
          <w:rFonts w:eastAsia="Calibri" w:cs="Calibri"/>
          <w:i/>
          <w:iCs/>
          <w:kern w:val="2"/>
          <w:szCs w:val="20"/>
          <w14:ligatures w14:val="standardContextual"/>
        </w:rPr>
        <w:t>payments.</w:t>
      </w:r>
    </w:p>
    <w:p w14:paraId="3C96CA18" w14:textId="79272E2A" w:rsidR="00B62C0D" w:rsidRPr="00555119" w:rsidRDefault="00B62C0D" w:rsidP="00B62C0D">
      <w:pPr>
        <w:tabs>
          <w:tab w:val="left" w:pos="1418"/>
        </w:tabs>
        <w:spacing w:before="0"/>
        <w:ind w:left="993" w:hanging="284"/>
        <w:rPr>
          <w:rFonts w:eastAsia="Calibri" w:cs="Calibri"/>
          <w:i/>
          <w:iCs/>
          <w:kern w:val="2"/>
          <w:szCs w:val="20"/>
          <w14:ligatures w14:val="standardContextual"/>
        </w:rPr>
      </w:pPr>
      <w:r w:rsidRPr="00555119">
        <w:rPr>
          <w:rFonts w:eastAsia="Calibri" w:cs="Calibri"/>
          <w:i/>
          <w:iCs/>
          <w:kern w:val="2"/>
          <w:szCs w:val="20"/>
          <w14:ligatures w14:val="standardContextual"/>
        </w:rPr>
        <w:t>c.</w:t>
      </w:r>
      <w:r w:rsidRPr="00555119">
        <w:rPr>
          <w:rFonts w:eastAsia="Calibri" w:cs="Calibri"/>
          <w:i/>
          <w:iCs/>
          <w:kern w:val="2"/>
          <w:szCs w:val="20"/>
          <w14:ligatures w14:val="standardContextual"/>
        </w:rPr>
        <w:tab/>
        <w:t xml:space="preserve">the use and disclosure of </w:t>
      </w:r>
      <w:r w:rsidR="00AB6284" w:rsidRPr="00555119">
        <w:rPr>
          <w:rFonts w:eastAsia="Calibri" w:cs="Calibri"/>
          <w:i/>
          <w:iCs/>
          <w:kern w:val="2"/>
          <w:szCs w:val="20"/>
          <w14:ligatures w14:val="standardContextual"/>
        </w:rPr>
        <w:t>c</w:t>
      </w:r>
      <w:r w:rsidRPr="00555119">
        <w:rPr>
          <w:rFonts w:eastAsia="Calibri" w:cs="Calibri"/>
          <w:i/>
          <w:iCs/>
          <w:kern w:val="2"/>
          <w:szCs w:val="20"/>
          <w14:ligatures w14:val="standardContextual"/>
        </w:rPr>
        <w:t>ustomer information, including the CRN</w:t>
      </w:r>
    </w:p>
    <w:p w14:paraId="7FD3C2CC" w14:textId="2B6F2F76" w:rsidR="00B62C0D" w:rsidRPr="00555119" w:rsidRDefault="00B62C0D" w:rsidP="00B62C0D">
      <w:pPr>
        <w:tabs>
          <w:tab w:val="left" w:pos="1418"/>
        </w:tabs>
        <w:spacing w:before="0"/>
        <w:ind w:left="993" w:hanging="284"/>
        <w:rPr>
          <w:rFonts w:eastAsia="Calibri" w:cs="Calibri"/>
          <w:i/>
          <w:iCs/>
          <w:kern w:val="2"/>
          <w:szCs w:val="20"/>
          <w14:ligatures w14:val="standardContextual"/>
        </w:rPr>
      </w:pPr>
      <w:r w:rsidRPr="00555119">
        <w:rPr>
          <w:rFonts w:eastAsia="Calibri" w:cs="Calibri"/>
          <w:i/>
          <w:iCs/>
          <w:kern w:val="2"/>
          <w:szCs w:val="20"/>
          <w14:ligatures w14:val="standardContextual"/>
        </w:rPr>
        <w:t>d.</w:t>
      </w:r>
      <w:r w:rsidRPr="00555119">
        <w:rPr>
          <w:rFonts w:eastAsia="Calibri" w:cs="Calibri"/>
          <w:i/>
          <w:iCs/>
          <w:kern w:val="2"/>
          <w:szCs w:val="20"/>
          <w14:ligatures w14:val="standardContextual"/>
        </w:rPr>
        <w:tab/>
        <w:t xml:space="preserve">the </w:t>
      </w:r>
      <w:r w:rsidR="00AB6284" w:rsidRPr="00555119">
        <w:rPr>
          <w:rFonts w:eastAsia="Calibri" w:cs="Calibri"/>
          <w:i/>
          <w:iCs/>
          <w:kern w:val="2"/>
          <w:szCs w:val="20"/>
          <w14:ligatures w14:val="standardContextual"/>
        </w:rPr>
        <w:t>b</w:t>
      </w:r>
      <w:r w:rsidRPr="00555119">
        <w:rPr>
          <w:rFonts w:eastAsia="Calibri" w:cs="Calibri"/>
          <w:i/>
          <w:iCs/>
          <w:kern w:val="2"/>
          <w:szCs w:val="20"/>
          <w14:ligatures w14:val="standardContextual"/>
        </w:rPr>
        <w:t xml:space="preserve">usiness’s use of the </w:t>
      </w:r>
      <w:r w:rsidR="009503B7" w:rsidRPr="00555119">
        <w:rPr>
          <w:rFonts w:eastAsia="Calibri" w:cs="Calibri"/>
          <w:i/>
          <w:iCs/>
          <w:kern w:val="2"/>
          <w:szCs w:val="20"/>
          <w14:ligatures w14:val="standardContextual"/>
        </w:rPr>
        <w:t>a</w:t>
      </w:r>
      <w:r w:rsidRPr="00555119">
        <w:rPr>
          <w:rFonts w:eastAsia="Calibri" w:cs="Calibri"/>
          <w:i/>
          <w:iCs/>
          <w:kern w:val="2"/>
          <w:szCs w:val="20"/>
          <w14:ligatures w14:val="standardContextual"/>
        </w:rPr>
        <w:t xml:space="preserve">gency’s intellectual property, including compliance with the terms of any licences given by the </w:t>
      </w:r>
      <w:r w:rsidR="009503B7" w:rsidRPr="00555119">
        <w:rPr>
          <w:rFonts w:eastAsia="Calibri" w:cs="Calibri"/>
          <w:i/>
          <w:iCs/>
          <w:kern w:val="2"/>
          <w:szCs w:val="20"/>
          <w14:ligatures w14:val="standardContextual"/>
        </w:rPr>
        <w:t>a</w:t>
      </w:r>
      <w:r w:rsidRPr="00555119">
        <w:rPr>
          <w:rFonts w:eastAsia="Calibri" w:cs="Calibri"/>
          <w:i/>
          <w:iCs/>
          <w:kern w:val="2"/>
          <w:szCs w:val="20"/>
          <w14:ligatures w14:val="standardContextual"/>
        </w:rPr>
        <w:t>gency</w:t>
      </w:r>
    </w:p>
    <w:p w14:paraId="79E50245" w14:textId="4A1D9B35" w:rsidR="00B62C0D" w:rsidRPr="00555119" w:rsidRDefault="00B62C0D" w:rsidP="00B62C0D">
      <w:pPr>
        <w:tabs>
          <w:tab w:val="left" w:pos="1418"/>
        </w:tabs>
        <w:spacing w:before="0"/>
        <w:ind w:left="993" w:hanging="284"/>
        <w:rPr>
          <w:rFonts w:eastAsia="Calibri" w:cs="Calibri"/>
          <w:i/>
          <w:iCs/>
          <w:kern w:val="2"/>
          <w:szCs w:val="20"/>
          <w14:ligatures w14:val="standardContextual"/>
        </w:rPr>
      </w:pPr>
      <w:r w:rsidRPr="00555119">
        <w:rPr>
          <w:rFonts w:eastAsia="Calibri" w:cs="Calibri"/>
          <w:i/>
          <w:iCs/>
          <w:kern w:val="2"/>
          <w:szCs w:val="20"/>
          <w14:ligatures w14:val="standardContextual"/>
        </w:rPr>
        <w:t>e.</w:t>
      </w:r>
      <w:r w:rsidRPr="00555119">
        <w:rPr>
          <w:rFonts w:eastAsia="Calibri" w:cs="Calibri"/>
          <w:i/>
          <w:iCs/>
          <w:kern w:val="2"/>
          <w:szCs w:val="20"/>
          <w14:ligatures w14:val="standardContextual"/>
        </w:rPr>
        <w:tab/>
        <w:t xml:space="preserve">the </w:t>
      </w:r>
      <w:r w:rsidR="00AB6284" w:rsidRPr="00555119">
        <w:rPr>
          <w:rFonts w:eastAsia="Calibri" w:cs="Calibri"/>
          <w:i/>
          <w:iCs/>
          <w:kern w:val="2"/>
          <w:szCs w:val="20"/>
          <w14:ligatures w14:val="standardContextual"/>
        </w:rPr>
        <w:t>b</w:t>
      </w:r>
      <w:r w:rsidRPr="00555119">
        <w:rPr>
          <w:rFonts w:eastAsia="Calibri" w:cs="Calibri"/>
          <w:i/>
          <w:iCs/>
          <w:kern w:val="2"/>
          <w:szCs w:val="20"/>
          <w14:ligatures w14:val="standardContextual"/>
        </w:rPr>
        <w:t>usiness’s use of Centrepay,</w:t>
      </w:r>
    </w:p>
    <w:p w14:paraId="41016611" w14:textId="77777777" w:rsidR="008750A9" w:rsidRPr="00555119" w:rsidRDefault="00B62C0D" w:rsidP="008750A9">
      <w:pPr>
        <w:tabs>
          <w:tab w:val="left" w:pos="1418"/>
        </w:tabs>
        <w:spacing w:before="0"/>
        <w:ind w:left="993" w:hanging="284"/>
        <w:rPr>
          <w:rFonts w:eastAsia="Calibri" w:cs="Calibri"/>
          <w:i/>
          <w:iCs/>
        </w:rPr>
      </w:pPr>
      <w:r w:rsidRPr="00555119">
        <w:rPr>
          <w:rFonts w:eastAsia="Calibri" w:cs="Calibri"/>
          <w:i/>
          <w:iCs/>
          <w:kern w:val="2"/>
          <w14:ligatures w14:val="standardContextual"/>
        </w:rPr>
        <w:t>f.</w:t>
      </w:r>
      <w:r w:rsidRPr="00555119">
        <w:rPr>
          <w:rFonts w:eastAsia="Calibri" w:cs="Calibri"/>
          <w:i/>
          <w:iCs/>
          <w:kern w:val="2"/>
          <w:szCs w:val="20"/>
          <w14:ligatures w14:val="standardContextual"/>
        </w:rPr>
        <w:tab/>
      </w:r>
      <w:r w:rsidRPr="00555119">
        <w:rPr>
          <w:rFonts w:eastAsia="Calibri" w:cs="Calibri"/>
          <w:i/>
          <w:iCs/>
          <w:kern w:val="2"/>
          <w14:ligatures w14:val="standardContextual"/>
        </w:rPr>
        <w:t xml:space="preserve">the </w:t>
      </w:r>
      <w:r w:rsidR="00AB6284" w:rsidRPr="00555119">
        <w:rPr>
          <w:rFonts w:eastAsia="Calibri" w:cs="Calibri"/>
          <w:i/>
          <w:iCs/>
          <w:kern w:val="2"/>
          <w14:ligatures w14:val="standardContextual"/>
        </w:rPr>
        <w:t>b</w:t>
      </w:r>
      <w:r w:rsidRPr="00555119">
        <w:rPr>
          <w:rFonts w:eastAsia="Calibri" w:cs="Calibri"/>
          <w:i/>
          <w:iCs/>
          <w:kern w:val="2"/>
          <w14:ligatures w14:val="standardContextual"/>
        </w:rPr>
        <w:t>usiness’s compliance with the Centrepay Framework</w:t>
      </w:r>
    </w:p>
    <w:p w14:paraId="6194FC23" w14:textId="51E30852" w:rsidR="00B62C0D" w:rsidRPr="00555119" w:rsidRDefault="008750A9" w:rsidP="008750A9">
      <w:pPr>
        <w:tabs>
          <w:tab w:val="left" w:pos="1418"/>
        </w:tabs>
        <w:spacing w:before="0"/>
        <w:ind w:left="993" w:hanging="284"/>
        <w:rPr>
          <w:rFonts w:eastAsia="Calibri" w:cs="Calibri"/>
          <w:i/>
          <w:iCs/>
          <w:kern w:val="2"/>
          <w:szCs w:val="20"/>
          <w14:ligatures w14:val="standardContextual"/>
        </w:rPr>
      </w:pPr>
      <w:r w:rsidRPr="00555119">
        <w:rPr>
          <w:rFonts w:eastAsia="Calibri" w:cs="Calibri"/>
          <w:i/>
          <w:iCs/>
          <w:kern w:val="2"/>
          <w:szCs w:val="20"/>
          <w14:ligatures w14:val="standardContextual"/>
        </w:rPr>
        <w:t>g.</w:t>
      </w:r>
      <w:r w:rsidRPr="00555119">
        <w:rPr>
          <w:rFonts w:eastAsia="Calibri" w:cs="Calibri"/>
          <w:i/>
          <w:iCs/>
          <w:kern w:val="2"/>
          <w:szCs w:val="20"/>
          <w14:ligatures w14:val="standardContextual"/>
        </w:rPr>
        <w:tab/>
      </w:r>
      <w:r w:rsidR="08B7A4E4" w:rsidRPr="00555119">
        <w:rPr>
          <w:rFonts w:eastAsia="Calibri" w:cs="Calibri"/>
          <w:i/>
          <w:iCs/>
          <w:kern w:val="2"/>
          <w:szCs w:val="20"/>
          <w14:ligatures w14:val="standardContextual"/>
        </w:rPr>
        <w:t>t</w:t>
      </w:r>
      <w:r w:rsidR="22FE9BE7" w:rsidRPr="00555119">
        <w:rPr>
          <w:rFonts w:eastAsia="Calibri" w:cs="Calibri"/>
          <w:i/>
          <w:iCs/>
          <w:kern w:val="2"/>
          <w:szCs w:val="20"/>
          <w14:ligatures w14:val="standardContextual"/>
        </w:rPr>
        <w:t>he business’s adherence to applicable</w:t>
      </w:r>
      <w:r w:rsidR="00B62C0D" w:rsidRPr="00555119">
        <w:rPr>
          <w:rFonts w:eastAsia="Calibri" w:cs="Calibri"/>
          <w:i/>
          <w:iCs/>
          <w:kern w:val="2"/>
          <w:szCs w:val="20"/>
          <w14:ligatures w14:val="standardContextual"/>
        </w:rPr>
        <w:t xml:space="preserve"> laws and regulatory requirements</w:t>
      </w:r>
    </w:p>
    <w:p w14:paraId="5A4F7345" w14:textId="0C401E89" w:rsidR="00EC5344" w:rsidRPr="00555119" w:rsidRDefault="3FE70173" w:rsidP="400281E4">
      <w:pPr>
        <w:tabs>
          <w:tab w:val="left" w:pos="1418"/>
        </w:tabs>
        <w:spacing w:before="0"/>
        <w:ind w:left="993" w:hanging="284"/>
        <w:rPr>
          <w:rFonts w:eastAsia="Calibri" w:cs="Calibri"/>
          <w:i/>
          <w:iCs/>
          <w:kern w:val="2"/>
          <w:szCs w:val="20"/>
          <w14:ligatures w14:val="standardContextual"/>
        </w:rPr>
      </w:pPr>
      <w:r w:rsidRPr="00555119">
        <w:rPr>
          <w:rFonts w:eastAsia="Calibri" w:cs="Calibri"/>
          <w:i/>
          <w:iCs/>
          <w:kern w:val="2"/>
          <w:szCs w:val="20"/>
          <w14:ligatures w14:val="standardContextual"/>
        </w:rPr>
        <w:t>h</w:t>
      </w:r>
      <w:r w:rsidR="00B62C0D" w:rsidRPr="00555119">
        <w:rPr>
          <w:rFonts w:eastAsia="Calibri" w:cs="Calibri"/>
          <w:i/>
          <w:iCs/>
          <w:kern w:val="2"/>
          <w:szCs w:val="20"/>
          <w14:ligatures w14:val="standardContextual"/>
        </w:rPr>
        <w:t>.</w:t>
      </w:r>
      <w:r w:rsidR="00B62C0D" w:rsidRPr="00555119">
        <w:rPr>
          <w:rFonts w:eastAsia="Calibri" w:cs="Calibri"/>
          <w:i/>
          <w:iCs/>
          <w:kern w:val="2"/>
          <w:szCs w:val="20"/>
          <w14:ligatures w14:val="standardContextual"/>
        </w:rPr>
        <w:tab/>
      </w:r>
      <w:r w:rsidR="74531222" w:rsidRPr="00555119">
        <w:rPr>
          <w:rFonts w:eastAsia="Calibri" w:cs="Calibri"/>
          <w:i/>
          <w:iCs/>
          <w:kern w:val="2"/>
          <w:szCs w:val="20"/>
          <w14:ligatures w14:val="standardContextual"/>
        </w:rPr>
        <w:t>all monies paid by customers are attributed to customer accounts and fees are not being charged to acces</w:t>
      </w:r>
      <w:r w:rsidR="008750A9" w:rsidRPr="00555119">
        <w:rPr>
          <w:rFonts w:eastAsia="Calibri" w:cs="Calibri"/>
          <w:i/>
          <w:iCs/>
          <w:kern w:val="2"/>
          <w:szCs w:val="20"/>
          <w14:ligatures w14:val="standardContextual"/>
        </w:rPr>
        <w:t>s</w:t>
      </w:r>
      <w:r w:rsidR="74531222" w:rsidRPr="00555119">
        <w:rPr>
          <w:rFonts w:eastAsia="Calibri" w:cs="Calibri"/>
          <w:i/>
          <w:iCs/>
          <w:kern w:val="2"/>
          <w:szCs w:val="20"/>
          <w14:ligatures w14:val="standardContextual"/>
        </w:rPr>
        <w:t xml:space="preserve"> the service </w:t>
      </w:r>
    </w:p>
    <w:p w14:paraId="791F4FDB" w14:textId="68FCB9AA" w:rsidR="00EC5344" w:rsidRDefault="59F52FE3" w:rsidP="301E25E4">
      <w:pPr>
        <w:tabs>
          <w:tab w:val="left" w:pos="1418"/>
        </w:tabs>
        <w:spacing w:before="0"/>
        <w:rPr>
          <w:rFonts w:eastAsia="Calibri" w:cs="Times New Roman"/>
          <w:kern w:val="2"/>
          <w14:ligatures w14:val="standardContextual"/>
        </w:rPr>
      </w:pPr>
      <w:r w:rsidRPr="301E25E4">
        <w:rPr>
          <w:rFonts w:eastAsia="Calibri" w:cs="Calibri"/>
          <w:kern w:val="2"/>
          <w14:ligatures w14:val="standardContextual"/>
        </w:rPr>
        <w:t>The agency conducts r</w:t>
      </w:r>
      <w:r w:rsidR="5AF338EC" w:rsidRPr="301E25E4">
        <w:rPr>
          <w:rFonts w:eastAsia="Calibri" w:cs="Calibri"/>
          <w:kern w:val="2"/>
          <w14:ligatures w14:val="standardContextual"/>
        </w:rPr>
        <w:t xml:space="preserve">eviews </w:t>
      </w:r>
      <w:r w:rsidRPr="301E25E4">
        <w:rPr>
          <w:rFonts w:eastAsia="Calibri" w:cs="Times New Roman"/>
          <w:kern w:val="2"/>
          <w14:ligatures w14:val="standardContextual"/>
        </w:rPr>
        <w:t>in response to data triggers and analysis and</w:t>
      </w:r>
      <w:r w:rsidR="5AF338EC" w:rsidRPr="301E25E4">
        <w:rPr>
          <w:rFonts w:eastAsia="Calibri" w:cs="Times New Roman"/>
          <w:kern w:val="2"/>
          <w14:ligatures w14:val="standardContextual"/>
        </w:rPr>
        <w:t xml:space="preserve"> complaint</w:t>
      </w:r>
      <w:r w:rsidR="20530673" w:rsidRPr="301E25E4">
        <w:rPr>
          <w:rFonts w:eastAsia="Calibri" w:cs="Times New Roman"/>
          <w:kern w:val="2"/>
          <w14:ligatures w14:val="standardContextual"/>
        </w:rPr>
        <w:t>s</w:t>
      </w:r>
      <w:r w:rsidR="5AF338EC" w:rsidRPr="301E25E4">
        <w:rPr>
          <w:rFonts w:eastAsia="Calibri" w:cs="Times New Roman"/>
          <w:kern w:val="2"/>
          <w14:ligatures w14:val="standardContextual"/>
        </w:rPr>
        <w:t xml:space="preserve"> received by the agency</w:t>
      </w:r>
      <w:r w:rsidRPr="301E25E4">
        <w:rPr>
          <w:rFonts w:eastAsia="Calibri" w:cs="Times New Roman"/>
          <w:kern w:val="2"/>
          <w14:ligatures w14:val="standardContextual"/>
        </w:rPr>
        <w:t>.</w:t>
      </w:r>
      <w:r w:rsidR="5AF338EC" w:rsidRPr="301E25E4">
        <w:rPr>
          <w:rFonts w:eastAsia="Calibri" w:cs="Times New Roman"/>
          <w:kern w:val="2"/>
          <w14:ligatures w14:val="standardContextual"/>
        </w:rPr>
        <w:t xml:space="preserve"> </w:t>
      </w:r>
      <w:r w:rsidRPr="301E25E4">
        <w:rPr>
          <w:rFonts w:eastAsia="Calibri" w:cs="Times New Roman"/>
          <w:kern w:val="2"/>
          <w14:ligatures w14:val="standardContextual"/>
        </w:rPr>
        <w:t>T</w:t>
      </w:r>
      <w:r w:rsidR="20530673" w:rsidRPr="301E25E4">
        <w:rPr>
          <w:rFonts w:eastAsia="Calibri" w:cs="Times New Roman"/>
          <w:kern w:val="2"/>
          <w14:ligatures w14:val="standardContextual"/>
        </w:rPr>
        <w:t>he agency also</w:t>
      </w:r>
      <w:r w:rsidR="5AF338EC" w:rsidRPr="301E25E4">
        <w:rPr>
          <w:rFonts w:eastAsia="Calibri" w:cs="Times New Roman"/>
          <w:kern w:val="2"/>
          <w14:ligatures w14:val="standardContextual"/>
        </w:rPr>
        <w:t xml:space="preserve"> undertake</w:t>
      </w:r>
      <w:r w:rsidR="20530673" w:rsidRPr="301E25E4">
        <w:rPr>
          <w:rFonts w:eastAsia="Calibri" w:cs="Times New Roman"/>
          <w:kern w:val="2"/>
          <w14:ligatures w14:val="standardContextual"/>
        </w:rPr>
        <w:t>s</w:t>
      </w:r>
      <w:r w:rsidR="5AF338EC" w:rsidRPr="301E25E4">
        <w:rPr>
          <w:rFonts w:eastAsia="Calibri" w:cs="Times New Roman"/>
          <w:kern w:val="2"/>
          <w14:ligatures w14:val="standardContextual"/>
        </w:rPr>
        <w:t xml:space="preserve"> randomised selection </w:t>
      </w:r>
      <w:r w:rsidR="20530673" w:rsidRPr="301E25E4">
        <w:rPr>
          <w:rFonts w:eastAsia="Calibri" w:cs="Times New Roman"/>
          <w:kern w:val="2"/>
          <w14:ligatures w14:val="standardContextual"/>
        </w:rPr>
        <w:t>processes to review</w:t>
      </w:r>
      <w:r w:rsidR="5AF338EC" w:rsidRPr="301E25E4">
        <w:rPr>
          <w:rFonts w:eastAsia="Calibri" w:cs="Times New Roman"/>
          <w:kern w:val="2"/>
          <w14:ligatures w14:val="standardContextual"/>
        </w:rPr>
        <w:t xml:space="preserve"> registered businesses.</w:t>
      </w:r>
    </w:p>
    <w:p w14:paraId="3B2BCFE1" w14:textId="7BAC5083" w:rsidR="00EC5344" w:rsidRPr="00640E41" w:rsidRDefault="00DE340C" w:rsidP="00EC5344">
      <w:pPr>
        <w:rPr>
          <w:rFonts w:eastAsia="Calibri" w:cs="Times New Roman"/>
          <w:kern w:val="2"/>
          <w:szCs w:val="20"/>
          <w14:ligatures w14:val="standardContextual"/>
        </w:rPr>
      </w:pPr>
      <w:r>
        <w:rPr>
          <w:rFonts w:eastAsia="Calibri" w:cs="Times New Roman"/>
          <w:kern w:val="2"/>
          <w:szCs w:val="20"/>
          <w14:ligatures w14:val="standardContextual"/>
        </w:rPr>
        <w:t xml:space="preserve">Where a compliance activity </w:t>
      </w:r>
      <w:r w:rsidR="00AB6284">
        <w:rPr>
          <w:rFonts w:eastAsia="Calibri" w:cs="Times New Roman"/>
          <w:kern w:val="2"/>
          <w:szCs w:val="20"/>
          <w14:ligatures w14:val="standardContextual"/>
        </w:rPr>
        <w:t xml:space="preserve">is </w:t>
      </w:r>
      <w:r>
        <w:rPr>
          <w:rFonts w:eastAsia="Calibri" w:cs="Times New Roman"/>
          <w:kern w:val="2"/>
          <w:szCs w:val="20"/>
          <w14:ligatures w14:val="standardContextual"/>
        </w:rPr>
        <w:t xml:space="preserve">undertaken by the agency </w:t>
      </w:r>
      <w:r w:rsidR="00AB6284">
        <w:rPr>
          <w:rFonts w:eastAsia="Calibri" w:cs="Times New Roman"/>
          <w:kern w:val="2"/>
          <w:szCs w:val="20"/>
          <w14:ligatures w14:val="standardContextual"/>
        </w:rPr>
        <w:t xml:space="preserve">and </w:t>
      </w:r>
      <w:r>
        <w:rPr>
          <w:rFonts w:eastAsia="Calibri" w:cs="Times New Roman"/>
          <w:kern w:val="2"/>
          <w:szCs w:val="20"/>
          <w14:ligatures w14:val="standardContextual"/>
        </w:rPr>
        <w:t xml:space="preserve">a business </w:t>
      </w:r>
      <w:r w:rsidR="00AB6284">
        <w:rPr>
          <w:rFonts w:eastAsia="Calibri" w:cs="Times New Roman"/>
          <w:kern w:val="2"/>
          <w:szCs w:val="20"/>
          <w14:ligatures w14:val="standardContextual"/>
        </w:rPr>
        <w:t xml:space="preserve">is identified </w:t>
      </w:r>
      <w:r>
        <w:rPr>
          <w:rFonts w:eastAsia="Calibri" w:cs="Times New Roman"/>
          <w:kern w:val="2"/>
          <w:szCs w:val="20"/>
          <w14:ligatures w14:val="standardContextual"/>
        </w:rPr>
        <w:t xml:space="preserve">as non-compliant, or being at risk of non-compliance, the agency </w:t>
      </w:r>
      <w:r w:rsidR="002E0600">
        <w:rPr>
          <w:rFonts w:eastAsia="Calibri" w:cs="Times New Roman"/>
          <w:kern w:val="2"/>
          <w:szCs w:val="20"/>
          <w14:ligatures w14:val="standardContextual"/>
        </w:rPr>
        <w:t>can u</w:t>
      </w:r>
      <w:r>
        <w:rPr>
          <w:rFonts w:eastAsia="Calibri" w:cs="Times New Roman"/>
          <w:kern w:val="2"/>
          <w:szCs w:val="20"/>
          <w14:ligatures w14:val="standardContextual"/>
        </w:rPr>
        <w:t xml:space="preserve">ndertake one or more of the following actions: </w:t>
      </w:r>
    </w:p>
    <w:p w14:paraId="27E622F8" w14:textId="087E767C" w:rsidR="00FC6CE8" w:rsidRDefault="50EBB44F" w:rsidP="1436714D">
      <w:pPr>
        <w:numPr>
          <w:ilvl w:val="0"/>
          <w:numId w:val="17"/>
        </w:numPr>
        <w:spacing w:before="0" w:after="160" w:line="259" w:lineRule="auto"/>
        <w:contextualSpacing/>
        <w:rPr>
          <w:rFonts w:eastAsia="Calibri" w:cs="Times New Roman"/>
          <w:kern w:val="2"/>
          <w14:ligatures w14:val="standardContextual"/>
        </w:rPr>
      </w:pPr>
      <w:r w:rsidRPr="1436714D">
        <w:rPr>
          <w:rFonts w:eastAsia="Calibri" w:cs="Times New Roman"/>
          <w:kern w:val="2"/>
          <w14:ligatures w14:val="standardContextual"/>
        </w:rPr>
        <w:t xml:space="preserve">Remediation of the non-compliant behaviours through </w:t>
      </w:r>
      <w:r w:rsidR="06EBB7F1" w:rsidRPr="1436714D">
        <w:rPr>
          <w:rFonts w:eastAsia="Calibri" w:cs="Times New Roman"/>
          <w:kern w:val="2"/>
          <w14:ligatures w14:val="standardContextual"/>
        </w:rPr>
        <w:t>e</w:t>
      </w:r>
      <w:r w:rsidR="59F52FE3" w:rsidRPr="1436714D">
        <w:rPr>
          <w:rFonts w:eastAsia="Calibri" w:cs="Times New Roman"/>
          <w:kern w:val="2"/>
          <w14:ligatures w14:val="standardContextual"/>
        </w:rPr>
        <w:t xml:space="preserve">ducation, support, </w:t>
      </w:r>
      <w:r w:rsidR="727558C1" w:rsidRPr="1436714D">
        <w:rPr>
          <w:rFonts w:eastAsia="Calibri" w:cs="Times New Roman"/>
          <w:kern w:val="2"/>
          <w14:ligatures w14:val="standardContextual"/>
        </w:rPr>
        <w:t xml:space="preserve">and </w:t>
      </w:r>
      <w:r w:rsidR="59F52FE3" w:rsidRPr="1436714D">
        <w:rPr>
          <w:rFonts w:eastAsia="Calibri" w:cs="Times New Roman"/>
          <w:kern w:val="2"/>
          <w14:ligatures w14:val="standardContextual"/>
        </w:rPr>
        <w:t xml:space="preserve">training </w:t>
      </w:r>
      <w:r w:rsidR="727558C1" w:rsidRPr="1436714D">
        <w:rPr>
          <w:rFonts w:eastAsia="Calibri" w:cs="Times New Roman"/>
          <w:kern w:val="2"/>
          <w14:ligatures w14:val="standardContextual"/>
        </w:rPr>
        <w:t>in instances where</w:t>
      </w:r>
      <w:r w:rsidR="59F52FE3" w:rsidRPr="1436714D">
        <w:rPr>
          <w:rFonts w:eastAsia="Calibri" w:cs="Times New Roman"/>
          <w:kern w:val="2"/>
          <w14:ligatures w14:val="standardContextual"/>
        </w:rPr>
        <w:t xml:space="preserve"> the non-compliance</w:t>
      </w:r>
      <w:r w:rsidR="727558C1" w:rsidRPr="1436714D">
        <w:rPr>
          <w:rFonts w:eastAsia="Calibri" w:cs="Times New Roman"/>
          <w:kern w:val="2"/>
          <w14:ligatures w14:val="standardContextual"/>
        </w:rPr>
        <w:t xml:space="preserve">/potential non-compliance </w:t>
      </w:r>
      <w:r w:rsidR="59F52FE3" w:rsidRPr="1436714D">
        <w:rPr>
          <w:rFonts w:eastAsia="Calibri" w:cs="Times New Roman"/>
          <w:kern w:val="2"/>
          <w14:ligatures w14:val="standardContextual"/>
        </w:rPr>
        <w:t xml:space="preserve">is </w:t>
      </w:r>
      <w:r w:rsidR="32EDEAA2" w:rsidRPr="1436714D">
        <w:rPr>
          <w:rFonts w:eastAsia="Calibri" w:cs="Times New Roman"/>
          <w:kern w:val="2"/>
          <w14:ligatures w14:val="standardContextual"/>
        </w:rPr>
        <w:t>considered low risk</w:t>
      </w:r>
      <w:r w:rsidR="727558C1" w:rsidRPr="1436714D">
        <w:rPr>
          <w:rFonts w:eastAsia="Calibri" w:cs="Times New Roman"/>
          <w:kern w:val="2"/>
          <w14:ligatures w14:val="standardContextual"/>
        </w:rPr>
        <w:t>.</w:t>
      </w:r>
    </w:p>
    <w:p w14:paraId="43DF0308" w14:textId="571FE33C" w:rsidR="5CB417A2" w:rsidRDefault="5CB417A2" w:rsidP="400281E4">
      <w:pPr>
        <w:numPr>
          <w:ilvl w:val="0"/>
          <w:numId w:val="17"/>
        </w:numPr>
        <w:spacing w:before="0" w:after="160" w:line="259" w:lineRule="auto"/>
        <w:contextualSpacing/>
        <w:rPr>
          <w:rFonts w:eastAsia="Calibri" w:cs="Times New Roman"/>
        </w:rPr>
      </w:pPr>
      <w:r w:rsidRPr="400281E4">
        <w:rPr>
          <w:rFonts w:eastAsia="Calibri" w:cs="Times New Roman"/>
        </w:rPr>
        <w:t>The application of additional conditions on the business’s approval.</w:t>
      </w:r>
    </w:p>
    <w:p w14:paraId="7CD9D805" w14:textId="25040FFD" w:rsidR="00DE340C" w:rsidRDefault="00DE340C" w:rsidP="00DE340C">
      <w:pPr>
        <w:numPr>
          <w:ilvl w:val="0"/>
          <w:numId w:val="17"/>
        </w:numPr>
        <w:spacing w:before="0" w:after="160" w:line="259" w:lineRule="auto"/>
        <w:contextualSpacing/>
        <w:rPr>
          <w:rFonts w:eastAsia="Calibri" w:cs="Times New Roman"/>
          <w:kern w:val="2"/>
          <w:szCs w:val="20"/>
          <w14:ligatures w14:val="standardContextual"/>
        </w:rPr>
      </w:pPr>
      <w:r w:rsidRPr="26FF090E">
        <w:rPr>
          <w:rFonts w:eastAsia="Calibri" w:cs="Times New Roman"/>
          <w:kern w:val="2"/>
          <w14:ligatures w14:val="standardContextual"/>
        </w:rPr>
        <w:t xml:space="preserve">Temporary suspension </w:t>
      </w:r>
    </w:p>
    <w:p w14:paraId="79E09D60" w14:textId="3508F00D" w:rsidR="00DE340C" w:rsidRDefault="00FE1BCA" w:rsidP="00DE340C">
      <w:pPr>
        <w:numPr>
          <w:ilvl w:val="1"/>
          <w:numId w:val="17"/>
        </w:numPr>
        <w:spacing w:before="0" w:after="160" w:line="259" w:lineRule="auto"/>
        <w:contextualSpacing/>
        <w:rPr>
          <w:rFonts w:eastAsia="Calibri" w:cs="Times New Roman"/>
          <w:kern w:val="2"/>
          <w:szCs w:val="20"/>
          <w14:ligatures w14:val="standardContextual"/>
        </w:rPr>
      </w:pPr>
      <w:r>
        <w:rPr>
          <w:rFonts w:eastAsia="Calibri" w:cs="Times New Roman"/>
          <w:kern w:val="2"/>
          <w:szCs w:val="20"/>
          <w14:ligatures w14:val="standardContextual"/>
        </w:rPr>
        <w:t>The b</w:t>
      </w:r>
      <w:r w:rsidR="00DE340C">
        <w:rPr>
          <w:rFonts w:eastAsia="Calibri" w:cs="Times New Roman"/>
          <w:kern w:val="2"/>
          <w:szCs w:val="20"/>
          <w14:ligatures w14:val="standardContextual"/>
        </w:rPr>
        <w:t xml:space="preserve">usiness is provided </w:t>
      </w:r>
      <w:r>
        <w:rPr>
          <w:rFonts w:eastAsia="Calibri" w:cs="Times New Roman"/>
          <w:kern w:val="2"/>
          <w:szCs w:val="20"/>
          <w14:ligatures w14:val="standardContextual"/>
        </w:rPr>
        <w:t xml:space="preserve">an </w:t>
      </w:r>
      <w:r w:rsidR="00DE340C">
        <w:rPr>
          <w:rFonts w:eastAsia="Calibri" w:cs="Times New Roman"/>
          <w:kern w:val="2"/>
          <w:szCs w:val="20"/>
          <w14:ligatures w14:val="standardContextual"/>
        </w:rPr>
        <w:t xml:space="preserve">opportunity to remediate non-compliance </w:t>
      </w:r>
      <w:r w:rsidR="00486B0C">
        <w:rPr>
          <w:rFonts w:eastAsia="Calibri" w:cs="Times New Roman"/>
          <w:kern w:val="2"/>
          <w:szCs w:val="20"/>
          <w14:ligatures w14:val="standardContextual"/>
        </w:rPr>
        <w:t>concerns.</w:t>
      </w:r>
      <w:r w:rsidR="00DE340C">
        <w:rPr>
          <w:rFonts w:eastAsia="Calibri" w:cs="Times New Roman"/>
          <w:kern w:val="2"/>
          <w:szCs w:val="20"/>
          <w14:ligatures w14:val="standardContextual"/>
        </w:rPr>
        <w:t xml:space="preserve"> </w:t>
      </w:r>
    </w:p>
    <w:p w14:paraId="50ABC7E5" w14:textId="181F19CB" w:rsidR="009503B7" w:rsidRDefault="00DE340C" w:rsidP="00B62C0D">
      <w:pPr>
        <w:numPr>
          <w:ilvl w:val="0"/>
          <w:numId w:val="17"/>
        </w:numPr>
        <w:spacing w:before="0" w:after="160" w:line="259" w:lineRule="auto"/>
        <w:contextualSpacing/>
        <w:rPr>
          <w:rFonts w:eastAsia="Calibri" w:cs="Times New Roman"/>
          <w:kern w:val="2"/>
          <w:szCs w:val="20"/>
          <w14:ligatures w14:val="standardContextual"/>
        </w:rPr>
      </w:pPr>
      <w:r w:rsidRPr="26FF090E">
        <w:rPr>
          <w:rFonts w:eastAsia="Calibri" w:cs="Times New Roman"/>
          <w:kern w:val="2"/>
          <w14:ligatures w14:val="standardContextual"/>
        </w:rPr>
        <w:t>Permanent de-registration as a Centrepay approved business</w:t>
      </w:r>
      <w:r w:rsidR="008F4C72" w:rsidRPr="26FF090E">
        <w:rPr>
          <w:rFonts w:eastAsia="Calibri" w:cs="Times New Roman"/>
          <w:kern w:val="2"/>
          <w14:ligatures w14:val="standardContextual"/>
        </w:rPr>
        <w:t>.</w:t>
      </w:r>
    </w:p>
    <w:p w14:paraId="6FB483CC" w14:textId="77777777" w:rsidR="009503B7" w:rsidRPr="009503B7" w:rsidRDefault="009503B7" w:rsidP="301E25E4">
      <w:pPr>
        <w:spacing w:before="0" w:after="160" w:line="259" w:lineRule="auto"/>
        <w:ind w:left="720"/>
        <w:contextualSpacing/>
        <w:rPr>
          <w:rFonts w:eastAsia="Calibri" w:cs="Times New Roman"/>
          <w:kern w:val="2"/>
          <w14:ligatures w14:val="standardContextual"/>
        </w:rPr>
      </w:pPr>
    </w:p>
    <w:p w14:paraId="7B60AB04" w14:textId="0BAACFE5" w:rsidR="00B62C0D" w:rsidRPr="009503B7" w:rsidRDefault="062E42FF" w:rsidP="301E25E4">
      <w:pPr>
        <w:rPr>
          <w:rFonts w:eastAsia="Calibri" w:cs="Times New Roman"/>
          <w:kern w:val="2"/>
          <w14:ligatures w14:val="standardContextual"/>
        </w:rPr>
      </w:pPr>
      <w:r w:rsidRPr="301E25E4">
        <w:rPr>
          <w:rFonts w:eastAsia="Calibri" w:cs="Times New Roman"/>
          <w:kern w:val="2"/>
          <w14:ligatures w14:val="standardContextual"/>
        </w:rPr>
        <w:t>The agency recognises that its existing Centrepay compliance</w:t>
      </w:r>
      <w:r w:rsidRPr="301E25E4" w:rsidDel="004D0D97">
        <w:rPr>
          <w:rFonts w:eastAsia="Calibri" w:cs="Times New Roman"/>
          <w:kern w:val="2"/>
          <w14:ligatures w14:val="standardContextual"/>
        </w:rPr>
        <w:t xml:space="preserve"> </w:t>
      </w:r>
      <w:r w:rsidRPr="301E25E4">
        <w:rPr>
          <w:rFonts w:eastAsia="Calibri" w:cs="Times New Roman"/>
          <w:kern w:val="2"/>
          <w14:ligatures w14:val="standardContextual"/>
        </w:rPr>
        <w:t>processes require further strengthening and reform</w:t>
      </w:r>
      <w:r w:rsidR="62398B36" w:rsidRPr="301E25E4">
        <w:rPr>
          <w:rFonts w:eastAsia="Calibri" w:cs="Times New Roman"/>
          <w:kern w:val="2"/>
          <w14:ligatures w14:val="standardContextual"/>
        </w:rPr>
        <w:t>, with work currently underway to develop a</w:t>
      </w:r>
      <w:r w:rsidR="62398B36" w:rsidRPr="301E25E4">
        <w:rPr>
          <w:rFonts w:eastAsia="Calibri"/>
        </w:rPr>
        <w:t xml:space="preserve"> robust and comprehensive compliance framework.</w:t>
      </w:r>
    </w:p>
    <w:tbl>
      <w:tblPr>
        <w:tblStyle w:val="TableGrid1"/>
        <w:tblpPr w:leftFromText="180" w:rightFromText="180" w:vertAnchor="text" w:horzAnchor="margin" w:tblpXSpec="center" w:tblpYSpec="outside"/>
        <w:tblW w:w="0" w:type="auto"/>
        <w:tblLook w:val="04A0" w:firstRow="1" w:lastRow="0" w:firstColumn="1" w:lastColumn="0" w:noHBand="0" w:noVBand="1"/>
      </w:tblPr>
      <w:tblGrid>
        <w:gridCol w:w="9016"/>
      </w:tblGrid>
      <w:tr w:rsidR="001549B8" w:rsidRPr="00C96D9B" w14:paraId="530F306E" w14:textId="77777777" w:rsidTr="008750A9">
        <w:trPr>
          <w:trHeight w:val="1833"/>
        </w:trPr>
        <w:tc>
          <w:tcPr>
            <w:tcW w:w="9016" w:type="dxa"/>
            <w:shd w:val="clear" w:color="auto" w:fill="C6F3FF" w:themeFill="accent1" w:themeFillTint="33"/>
          </w:tcPr>
          <w:p w14:paraId="6F921D81" w14:textId="2269DB16" w:rsidR="001549B8" w:rsidRPr="00C96D9B" w:rsidRDefault="75E4BF19" w:rsidP="1436714D">
            <w:pPr>
              <w:pStyle w:val="Heading3"/>
              <w:rPr>
                <w:rFonts w:asciiTheme="minorHAnsi" w:eastAsia="Calibri" w:hAnsiTheme="minorHAnsi"/>
              </w:rPr>
            </w:pPr>
            <w:r w:rsidRPr="1436714D">
              <w:rPr>
                <w:rFonts w:asciiTheme="minorHAnsi" w:eastAsia="Calibri" w:hAnsiTheme="minorHAnsi"/>
              </w:rPr>
              <w:t>Q</w:t>
            </w:r>
            <w:r w:rsidR="1C8520EC" w:rsidRPr="1436714D">
              <w:rPr>
                <w:rFonts w:asciiTheme="minorHAnsi" w:eastAsia="Calibri" w:hAnsiTheme="minorHAnsi"/>
              </w:rPr>
              <w:t>uestion</w:t>
            </w:r>
            <w:r w:rsidR="003E0EDF">
              <w:rPr>
                <w:rFonts w:asciiTheme="minorHAnsi" w:eastAsia="Calibri" w:hAnsiTheme="minorHAnsi"/>
              </w:rPr>
              <w:t>s</w:t>
            </w:r>
          </w:p>
          <w:p w14:paraId="1537A2C6" w14:textId="051C7212" w:rsidR="001549B8" w:rsidRPr="00DF12AE" w:rsidRDefault="40483CAB"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What should a business be monitored against to remain registered as a Centrepay business?</w:t>
            </w:r>
          </w:p>
          <w:p w14:paraId="2745F598" w14:textId="77777777" w:rsidR="001549B8" w:rsidRDefault="40483CAB"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What information should be made available, to Centrepay customers and the public, regarding any compliance action taken by Services Australia against a Centrepay registered business?</w:t>
            </w:r>
          </w:p>
          <w:p w14:paraId="5FB237AF" w14:textId="5489B994" w:rsidR="00555119" w:rsidRPr="008750A9" w:rsidRDefault="00555119" w:rsidP="00555119">
            <w:pPr>
              <w:spacing w:before="0" w:after="160" w:line="259" w:lineRule="auto"/>
              <w:ind w:left="720"/>
              <w:contextualSpacing/>
              <w:rPr>
                <w:rFonts w:eastAsia="Calibri" w:cs="Times New Roman"/>
                <w:kern w:val="2"/>
                <w14:ligatures w14:val="standardContextual"/>
              </w:rPr>
            </w:pPr>
          </w:p>
        </w:tc>
      </w:tr>
    </w:tbl>
    <w:p w14:paraId="31EC41C6" w14:textId="77777777" w:rsidR="00B62C0D" w:rsidRPr="00C96D9B" w:rsidRDefault="00B62C0D" w:rsidP="00B62C0D">
      <w:pPr>
        <w:spacing w:before="0" w:after="160" w:line="259" w:lineRule="auto"/>
        <w:rPr>
          <w:rFonts w:eastAsia="Calibri" w:cs="Times New Roman"/>
          <w:kern w:val="2"/>
          <w:sz w:val="22"/>
          <w14:ligatures w14:val="standardContextual"/>
        </w:rPr>
      </w:pPr>
      <w:r w:rsidRPr="00C96D9B">
        <w:rPr>
          <w:rFonts w:eastAsia="Calibri" w:cs="Times New Roman"/>
          <w:kern w:val="2"/>
          <w:sz w:val="22"/>
          <w14:ligatures w14:val="standardContextual"/>
        </w:rPr>
        <w:br w:type="page"/>
      </w:r>
    </w:p>
    <w:p w14:paraId="1D63A6D3" w14:textId="77777777" w:rsidR="00BE7A32" w:rsidRDefault="00BE7A32" w:rsidP="00BE7A32">
      <w:pPr>
        <w:pStyle w:val="Heading1"/>
      </w:pPr>
      <w:bookmarkStart w:id="21" w:name="_Toc164256448"/>
      <w:r w:rsidRPr="00E464BB">
        <w:t>6.</w:t>
      </w:r>
      <w:r>
        <w:t xml:space="preserve"> Overpayments</w:t>
      </w:r>
      <w:bookmarkEnd w:id="21"/>
    </w:p>
    <w:p w14:paraId="65FF4FD7" w14:textId="15225E7F" w:rsidR="00BE7A32" w:rsidRDefault="00BE7A32" w:rsidP="00BE7A32">
      <w:pPr>
        <w:pStyle w:val="BodyText"/>
      </w:pPr>
      <w:r>
        <w:t>Businesses are obligated under the Centrepay Policy and Terms to ensure that overpayments do not occur, and to notify both the customer and the agency immediately if they do.</w:t>
      </w:r>
    </w:p>
    <w:p w14:paraId="0EA6E6BE" w14:textId="1EB0FD06" w:rsidR="00BE7A32" w:rsidRDefault="00BE7A32" w:rsidP="00BE7A32">
      <w:pPr>
        <w:pStyle w:val="BodyText"/>
      </w:pPr>
      <w:r>
        <w:t>If a customer is no longer receiving goods or services from a business, the business is obligated to cancel the deduction before the next scheduled deduction if the customer has not already done so.</w:t>
      </w:r>
    </w:p>
    <w:p w14:paraId="33EEAF43" w14:textId="3BBC448C" w:rsidR="00BE7A32" w:rsidRDefault="00BE7A32" w:rsidP="00BE7A32">
      <w:pPr>
        <w:pStyle w:val="BodyText"/>
      </w:pPr>
      <w:r>
        <w:t>Overpayments usually occur when a customer does not update or end a deduction</w:t>
      </w:r>
      <w:r w:rsidR="00B44DA7">
        <w:t>.</w:t>
      </w:r>
      <w:r>
        <w:t xml:space="preserve"> </w:t>
      </w:r>
      <w:r w:rsidR="00B44DA7">
        <w:t>An</w:t>
      </w:r>
      <w:r>
        <w:t xml:space="preserve"> example </w:t>
      </w:r>
      <w:r w:rsidR="00B44DA7">
        <w:t xml:space="preserve">of this may be where </w:t>
      </w:r>
      <w:r>
        <w:t xml:space="preserve">a customer </w:t>
      </w:r>
      <w:r w:rsidR="00B44DA7">
        <w:t>has</w:t>
      </w:r>
      <w:r>
        <w:t xml:space="preserve"> a regular deduction </w:t>
      </w:r>
      <w:r w:rsidR="00B44DA7">
        <w:t>with</w:t>
      </w:r>
      <w:r>
        <w:t xml:space="preserve"> their energy provider and fail</w:t>
      </w:r>
      <w:r w:rsidR="00B44DA7">
        <w:t>s</w:t>
      </w:r>
      <w:r>
        <w:t xml:space="preserve"> to update this when they move. </w:t>
      </w:r>
    </w:p>
    <w:p w14:paraId="405A4091" w14:textId="29DBC637" w:rsidR="00EE227E" w:rsidRDefault="00EE227E" w:rsidP="00BE7A32">
      <w:pPr>
        <w:pStyle w:val="BodyText"/>
      </w:pPr>
      <w:r>
        <w:t xml:space="preserve">The agency acknowledges that </w:t>
      </w:r>
      <w:r w:rsidR="00E946A9">
        <w:t>the</w:t>
      </w:r>
      <w:r w:rsidR="003D2087">
        <w:t xml:space="preserve"> method</w:t>
      </w:r>
      <w:r w:rsidR="00E946A9">
        <w:t xml:space="preserve"> for rectifying overpayments</w:t>
      </w:r>
      <w:r w:rsidR="003D2087">
        <w:t xml:space="preserve"> require improvement to ensure a more</w:t>
      </w:r>
      <w:r w:rsidR="00E946A9">
        <w:t xml:space="preserve"> </w:t>
      </w:r>
      <w:r w:rsidR="003D2087">
        <w:t>helpful and transparent process.</w:t>
      </w:r>
    </w:p>
    <w:p w14:paraId="64336FC6" w14:textId="238D85DE" w:rsidR="00BE7A32" w:rsidRDefault="00BE7A32" w:rsidP="00BE7A32">
      <w:pPr>
        <w:pStyle w:val="BodyText"/>
      </w:pPr>
      <w:r>
        <w:t xml:space="preserve">Overpayments are more common in the utilities sector and occur where customers do not proactively manage their Centrepay deductions. The practice of ‘bill smoothing’ is common in the utilities sector and is often facilitated without the use of Centrepay. Additional risk factors in this sector occur when Centrepay deductions are in the name of a customer who may not be the main account holder at the business. </w:t>
      </w:r>
    </w:p>
    <w:p w14:paraId="4105DFD9" w14:textId="04ED483D" w:rsidR="00BE7A32" w:rsidRDefault="00BE7A32" w:rsidP="00BE7A32">
      <w:pPr>
        <w:pStyle w:val="BodyText"/>
      </w:pPr>
      <w:r>
        <w:t>If overpayments do occur, businesses must take remedial action including refunding amounts directly to customers. If the business is unable to return the overpayment, they must contact the agency for assistance with returning payments to customers.</w:t>
      </w:r>
    </w:p>
    <w:p w14:paraId="1969698B" w14:textId="0BC927C0" w:rsidR="00BE7A32" w:rsidRDefault="00BE7A32" w:rsidP="00BE7A32">
      <w:pPr>
        <w:pStyle w:val="BodyText"/>
      </w:pPr>
      <w:r>
        <w:t xml:space="preserve">Businesses generally work with their customers first through internal campaigns to return overpaid funds directly to the customer. The agency supports businesses who have been unable to contact customers to facilitate the return of funds. </w:t>
      </w:r>
    </w:p>
    <w:p w14:paraId="75414B45" w14:textId="1A27B37E" w:rsidR="00BE7A32" w:rsidRDefault="00BE7A32" w:rsidP="00BE7A32">
      <w:pPr>
        <w:pStyle w:val="BodyText"/>
      </w:pPr>
      <w:r w:rsidRPr="00834854">
        <w:t>Upon notification of an overpayment, the agency works with</w:t>
      </w:r>
      <w:r w:rsidR="00F87496" w:rsidRPr="00834854">
        <w:t xml:space="preserve"> the</w:t>
      </w:r>
      <w:r w:rsidRPr="00834854">
        <w:t xml:space="preserve"> business to ensure </w:t>
      </w:r>
      <w:r w:rsidR="00834854" w:rsidRPr="00834854">
        <w:t xml:space="preserve">that </w:t>
      </w:r>
      <w:r w:rsidRPr="00834854">
        <w:t xml:space="preserve">adequate attempts </w:t>
      </w:r>
      <w:r w:rsidR="00834854" w:rsidRPr="00834854">
        <w:t xml:space="preserve">have been made </w:t>
      </w:r>
      <w:r w:rsidRPr="00834854">
        <w:t>to return</w:t>
      </w:r>
      <w:r w:rsidR="00834854" w:rsidRPr="00834854">
        <w:t xml:space="preserve"> any</w:t>
      </w:r>
      <w:r w:rsidRPr="00834854">
        <w:t xml:space="preserve"> </w:t>
      </w:r>
      <w:r w:rsidR="00834854" w:rsidRPr="00834854">
        <w:t xml:space="preserve">outstanding </w:t>
      </w:r>
      <w:r w:rsidRPr="00834854">
        <w:t xml:space="preserve">funds to </w:t>
      </w:r>
      <w:r w:rsidR="00834854" w:rsidRPr="00834854">
        <w:t xml:space="preserve">the </w:t>
      </w:r>
      <w:r w:rsidRPr="00834854">
        <w:t>customer</w:t>
      </w:r>
      <w:r w:rsidR="00834854" w:rsidRPr="00834854">
        <w:t xml:space="preserve">. This </w:t>
      </w:r>
      <w:r w:rsidRPr="00834854">
        <w:t xml:space="preserve">process can take </w:t>
      </w:r>
      <w:r w:rsidR="00C0121B">
        <w:t xml:space="preserve">time </w:t>
      </w:r>
      <w:r w:rsidR="00C0121B" w:rsidRPr="00834854">
        <w:t>while</w:t>
      </w:r>
      <w:r w:rsidRPr="00834854">
        <w:t xml:space="preserve"> the agency works with the business to confirm the scope of the overpayments.</w:t>
      </w:r>
    </w:p>
    <w:p w14:paraId="5C962ADF" w14:textId="287D6420" w:rsidR="00BE7A32" w:rsidRDefault="00BE7A32" w:rsidP="00BE7A32">
      <w:pPr>
        <w:pStyle w:val="BodyText"/>
      </w:pPr>
      <w:r>
        <w:t xml:space="preserve">The </w:t>
      </w:r>
      <w:r w:rsidR="00F87496">
        <w:t xml:space="preserve">agency acknowledges that </w:t>
      </w:r>
      <w:r w:rsidR="00674905">
        <w:t>the existing</w:t>
      </w:r>
      <w:r w:rsidR="00C0121B">
        <w:t xml:space="preserve"> overpayment processes require </w:t>
      </w:r>
      <w:r>
        <w:t xml:space="preserve">improvement, </w:t>
      </w:r>
      <w:r w:rsidR="00C0121B">
        <w:t xml:space="preserve">to ensure </w:t>
      </w:r>
      <w:r w:rsidR="00D22825">
        <w:t xml:space="preserve">they are customer focused and expedite the return of monies to customers as soon as possible. </w:t>
      </w:r>
    </w:p>
    <w:tbl>
      <w:tblPr>
        <w:tblStyle w:val="TableGrid1"/>
        <w:tblpPr w:leftFromText="180" w:rightFromText="180" w:vertAnchor="text" w:horzAnchor="margin" w:tblpXSpec="center" w:tblpYSpec="outside"/>
        <w:tblW w:w="0" w:type="auto"/>
        <w:tblLook w:val="04A0" w:firstRow="1" w:lastRow="0" w:firstColumn="1" w:lastColumn="0" w:noHBand="0" w:noVBand="1"/>
      </w:tblPr>
      <w:tblGrid>
        <w:gridCol w:w="9016"/>
      </w:tblGrid>
      <w:tr w:rsidR="00BE7A32" w:rsidRPr="00C96D9B" w14:paraId="280E3B04" w14:textId="77777777" w:rsidTr="00F7374E">
        <w:trPr>
          <w:trHeight w:val="1975"/>
        </w:trPr>
        <w:tc>
          <w:tcPr>
            <w:tcW w:w="9016" w:type="dxa"/>
            <w:shd w:val="clear" w:color="auto" w:fill="C6F3FF" w:themeFill="accent1" w:themeFillTint="33"/>
          </w:tcPr>
          <w:p w14:paraId="7283EE55" w14:textId="7C3BFBC3" w:rsidR="00BE7A32" w:rsidRPr="00C96D9B" w:rsidRDefault="00BE7A32" w:rsidP="002818EA">
            <w:pPr>
              <w:pStyle w:val="Heading3"/>
              <w:rPr>
                <w:rFonts w:asciiTheme="minorHAnsi" w:eastAsia="Calibri" w:hAnsiTheme="minorHAnsi"/>
              </w:rPr>
            </w:pPr>
            <w:r w:rsidRPr="00C96D9B">
              <w:rPr>
                <w:rFonts w:asciiTheme="minorHAnsi" w:eastAsia="Calibri" w:hAnsiTheme="minorHAnsi"/>
              </w:rPr>
              <w:t>Q</w:t>
            </w:r>
            <w:r>
              <w:rPr>
                <w:rFonts w:asciiTheme="minorHAnsi" w:eastAsia="Calibri" w:hAnsiTheme="minorHAnsi"/>
              </w:rPr>
              <w:t>uestion</w:t>
            </w:r>
            <w:r w:rsidR="00232396">
              <w:rPr>
                <w:rFonts w:asciiTheme="minorHAnsi" w:eastAsia="Calibri" w:hAnsiTheme="minorHAnsi"/>
              </w:rPr>
              <w:t>s</w:t>
            </w:r>
          </w:p>
          <w:p w14:paraId="5947E28E" w14:textId="18D4F6D2" w:rsidR="00BE7A32" w:rsidRPr="00F96B62" w:rsidRDefault="00BE7A32" w:rsidP="00F96B62">
            <w:pPr>
              <w:numPr>
                <w:ilvl w:val="0"/>
                <w:numId w:val="8"/>
              </w:numPr>
              <w:spacing w:before="0" w:after="160" w:line="259" w:lineRule="auto"/>
              <w:contextualSpacing/>
              <w:rPr>
                <w:rFonts w:eastAsia="Calibri" w:cs="Times New Roman"/>
                <w:kern w:val="2"/>
                <w14:ligatures w14:val="standardContextual"/>
              </w:rPr>
            </w:pPr>
            <w:r w:rsidRPr="400281E4">
              <w:rPr>
                <w:rFonts w:eastAsia="Calibri" w:cs="Times New Roman"/>
                <w:kern w:val="2"/>
                <w14:ligatures w14:val="standardContextual"/>
              </w:rPr>
              <w:t xml:space="preserve">What information </w:t>
            </w:r>
            <w:r w:rsidR="00F87496">
              <w:rPr>
                <w:rFonts w:eastAsia="Calibri" w:cs="Times New Roman"/>
                <w:kern w:val="2"/>
                <w14:ligatures w14:val="standardContextual"/>
              </w:rPr>
              <w:t xml:space="preserve">and further assistance </w:t>
            </w:r>
            <w:r w:rsidRPr="400281E4">
              <w:rPr>
                <w:rFonts w:eastAsia="Calibri" w:cs="Times New Roman"/>
                <w:kern w:val="2"/>
                <w14:ligatures w14:val="standardContextual"/>
              </w:rPr>
              <w:t>would be useful to customers when an overpayment has occurred?</w:t>
            </w:r>
          </w:p>
          <w:p w14:paraId="0249B251" w14:textId="26D2A718" w:rsidR="00BE7A32" w:rsidRPr="00F41263" w:rsidRDefault="7B637E6A"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How would customers prefer to be notified about overpayments</w:t>
            </w:r>
            <w:r w:rsidR="5768C347" w:rsidRPr="00F96B62">
              <w:rPr>
                <w:rFonts w:eastAsia="Calibri" w:cs="Times New Roman"/>
                <w:kern w:val="2"/>
                <w14:ligatures w14:val="standardContextual"/>
              </w:rPr>
              <w:t>?</w:t>
            </w:r>
          </w:p>
          <w:p w14:paraId="4A5B3507" w14:textId="0450277F" w:rsidR="00BE7A32" w:rsidRPr="00F7374E" w:rsidRDefault="5768C347" w:rsidP="00F96B62">
            <w:pPr>
              <w:numPr>
                <w:ilvl w:val="0"/>
                <w:numId w:val="8"/>
              </w:numPr>
              <w:spacing w:before="0" w:after="160" w:line="259" w:lineRule="auto"/>
              <w:contextualSpacing/>
              <w:rPr>
                <w:rFonts w:eastAsia="Calibri" w:cs="Times New Roman"/>
                <w:kern w:val="2"/>
                <w14:ligatures w14:val="standardContextual"/>
              </w:rPr>
            </w:pPr>
            <w:r w:rsidRPr="00F96B62">
              <w:rPr>
                <w:rFonts w:eastAsia="Calibri" w:cs="Times New Roman"/>
                <w:kern w:val="2"/>
                <w14:ligatures w14:val="standardContextual"/>
              </w:rPr>
              <w:t xml:space="preserve">What </w:t>
            </w:r>
            <w:r w:rsidR="00F87496" w:rsidRPr="00F96B62">
              <w:rPr>
                <w:rFonts w:eastAsia="Calibri" w:cs="Times New Roman"/>
                <w:kern w:val="2"/>
                <w14:ligatures w14:val="standardContextual"/>
              </w:rPr>
              <w:t>factors are contributing to</w:t>
            </w:r>
            <w:r w:rsidRPr="00F96B62">
              <w:rPr>
                <w:rFonts w:eastAsia="Calibri" w:cs="Times New Roman"/>
                <w:kern w:val="2"/>
                <w14:ligatures w14:val="standardContextual"/>
              </w:rPr>
              <w:t xml:space="preserve"> customers </w:t>
            </w:r>
            <w:r w:rsidR="00F87496" w:rsidRPr="00F96B62">
              <w:rPr>
                <w:rFonts w:eastAsia="Calibri" w:cs="Times New Roman"/>
                <w:kern w:val="2"/>
                <w14:ligatures w14:val="standardContextual"/>
              </w:rPr>
              <w:t xml:space="preserve">accumulating </w:t>
            </w:r>
            <w:r w:rsidRPr="00F96B62">
              <w:rPr>
                <w:rFonts w:eastAsia="Calibri" w:cs="Times New Roman"/>
                <w:kern w:val="2"/>
                <w14:ligatures w14:val="standardContextual"/>
              </w:rPr>
              <w:t xml:space="preserve">credit with </w:t>
            </w:r>
            <w:r w:rsidR="00F87496" w:rsidRPr="00F96B62">
              <w:rPr>
                <w:rFonts w:eastAsia="Calibri" w:cs="Times New Roman"/>
                <w:kern w:val="2"/>
                <w14:ligatures w14:val="standardContextual"/>
              </w:rPr>
              <w:t>b</w:t>
            </w:r>
            <w:r w:rsidRPr="00F96B62">
              <w:rPr>
                <w:rFonts w:eastAsia="Calibri" w:cs="Times New Roman"/>
                <w:kern w:val="2"/>
                <w14:ligatures w14:val="standardContextual"/>
              </w:rPr>
              <w:t>usinesses</w:t>
            </w:r>
            <w:r w:rsidR="00F87496" w:rsidRPr="00F96B62">
              <w:rPr>
                <w:rFonts w:eastAsia="Calibri" w:cs="Times New Roman"/>
                <w:kern w:val="2"/>
                <w14:ligatures w14:val="standardContextual"/>
              </w:rPr>
              <w:t>?</w:t>
            </w:r>
            <w:r w:rsidR="00762986" w:rsidRPr="00F96B62">
              <w:rPr>
                <w:rFonts w:eastAsia="Calibri" w:cs="Times New Roman"/>
                <w:kern w:val="2"/>
                <w14:ligatures w14:val="standardContextual"/>
              </w:rPr>
              <w:t xml:space="preserve"> And how can the agency better support customers to avoid overpayments with businesses?</w:t>
            </w:r>
            <w:r w:rsidR="00762986">
              <w:rPr>
                <w:rFonts w:eastAsia="Calibri" w:cs="Times New Roman"/>
              </w:rPr>
              <w:t xml:space="preserve">  </w:t>
            </w:r>
          </w:p>
        </w:tc>
      </w:tr>
    </w:tbl>
    <w:p w14:paraId="76318917" w14:textId="5847FBDD" w:rsidR="00BE7A32" w:rsidRDefault="00BE7A32" w:rsidP="00232396">
      <w:pPr>
        <w:pStyle w:val="BodyText"/>
        <w:rPr>
          <w:color w:val="1B365D" w:themeColor="accent2"/>
          <w:kern w:val="32"/>
          <w:sz w:val="48"/>
          <w:szCs w:val="40"/>
        </w:rPr>
      </w:pPr>
      <w:r>
        <w:br w:type="page"/>
      </w:r>
    </w:p>
    <w:p w14:paraId="4FA42564" w14:textId="6705CFC3" w:rsidR="00B62C0D" w:rsidRPr="00C96D9B" w:rsidRDefault="00BE7A32" w:rsidP="005C6140">
      <w:pPr>
        <w:pStyle w:val="Heading1"/>
        <w:rPr>
          <w:rFonts w:asciiTheme="minorHAnsi" w:hAnsiTheme="minorHAnsi"/>
        </w:rPr>
      </w:pPr>
      <w:bookmarkStart w:id="22" w:name="_Toc164256449"/>
      <w:r>
        <w:rPr>
          <w:rFonts w:asciiTheme="minorHAnsi" w:hAnsiTheme="minorHAnsi"/>
        </w:rPr>
        <w:t>7</w:t>
      </w:r>
      <w:r w:rsidR="00B62C0D" w:rsidRPr="00C96D9B">
        <w:rPr>
          <w:rFonts w:asciiTheme="minorHAnsi" w:hAnsiTheme="minorHAnsi"/>
        </w:rPr>
        <w:t xml:space="preserve">. </w:t>
      </w:r>
      <w:r w:rsidR="00FA4470" w:rsidRPr="00C96D9B">
        <w:rPr>
          <w:rFonts w:asciiTheme="minorHAnsi" w:hAnsiTheme="minorHAnsi"/>
        </w:rPr>
        <w:t xml:space="preserve">Consultation </w:t>
      </w:r>
      <w:r w:rsidR="00355A69" w:rsidRPr="00C96D9B">
        <w:rPr>
          <w:rFonts w:asciiTheme="minorHAnsi" w:hAnsiTheme="minorHAnsi"/>
        </w:rPr>
        <w:t>and</w:t>
      </w:r>
      <w:r w:rsidR="00FA4470" w:rsidRPr="00C96D9B">
        <w:rPr>
          <w:rFonts w:asciiTheme="minorHAnsi" w:hAnsiTheme="minorHAnsi"/>
        </w:rPr>
        <w:t xml:space="preserve"> </w:t>
      </w:r>
      <w:r w:rsidR="00E73B04">
        <w:rPr>
          <w:rFonts w:asciiTheme="minorHAnsi" w:hAnsiTheme="minorHAnsi"/>
        </w:rPr>
        <w:t>E</w:t>
      </w:r>
      <w:r w:rsidR="00FA4470" w:rsidRPr="00C96D9B">
        <w:rPr>
          <w:rFonts w:asciiTheme="minorHAnsi" w:hAnsiTheme="minorHAnsi"/>
        </w:rPr>
        <w:t>ngagement</w:t>
      </w:r>
      <w:bookmarkEnd w:id="22"/>
    </w:p>
    <w:p w14:paraId="1C9F30FB" w14:textId="08667457" w:rsidR="009503B7" w:rsidRPr="00DC4CF3" w:rsidRDefault="009503B7" w:rsidP="009503B7">
      <w:pPr>
        <w:pStyle w:val="BodyText"/>
        <w:rPr>
          <w:szCs w:val="20"/>
        </w:rPr>
      </w:pPr>
      <w:r w:rsidRPr="00DC4CF3">
        <w:rPr>
          <w:szCs w:val="20"/>
        </w:rPr>
        <w:t>The agency is committed to reforming the Centrepay service through ongoing and active consultation with a wide range of stakeholders, including customers, advocacy groups, business</w:t>
      </w:r>
      <w:r w:rsidR="00FE1BCA">
        <w:rPr>
          <w:szCs w:val="20"/>
        </w:rPr>
        <w:t>es</w:t>
      </w:r>
      <w:r w:rsidRPr="00DC4CF3">
        <w:rPr>
          <w:szCs w:val="20"/>
        </w:rPr>
        <w:t xml:space="preserve"> and peak bodies. </w:t>
      </w:r>
    </w:p>
    <w:p w14:paraId="4E63E5A6" w14:textId="3DA6574C" w:rsidR="00B62C0D" w:rsidRPr="00DC4CF3" w:rsidRDefault="009503B7" w:rsidP="00C96D9B">
      <w:pPr>
        <w:pStyle w:val="BodyText"/>
        <w:rPr>
          <w:szCs w:val="20"/>
        </w:rPr>
      </w:pPr>
      <w:r w:rsidRPr="00DC4CF3">
        <w:rPr>
          <w:rFonts w:eastAsia="Calibri"/>
          <w:szCs w:val="20"/>
        </w:rPr>
        <w:t xml:space="preserve">As part of this active consultation, the agency has </w:t>
      </w:r>
      <w:r w:rsidR="00DF12AE">
        <w:rPr>
          <w:rFonts w:eastAsia="Calibri"/>
          <w:szCs w:val="20"/>
        </w:rPr>
        <w:t>established</w:t>
      </w:r>
      <w:r w:rsidRPr="00DC4CF3">
        <w:rPr>
          <w:rFonts w:eastAsia="Calibri"/>
          <w:szCs w:val="20"/>
        </w:rPr>
        <w:t xml:space="preserve"> a</w:t>
      </w:r>
      <w:r w:rsidR="00DF12AE">
        <w:rPr>
          <w:rFonts w:eastAsia="Calibri"/>
          <w:szCs w:val="20"/>
        </w:rPr>
        <w:t xml:space="preserve"> dedicated</w:t>
      </w:r>
      <w:r w:rsidRPr="00DC4CF3">
        <w:rPr>
          <w:rFonts w:eastAsia="Calibri"/>
          <w:szCs w:val="20"/>
        </w:rPr>
        <w:t xml:space="preserve"> Centrepay Reform Peak Advisory Reference Group. </w:t>
      </w:r>
      <w:r w:rsidRPr="00DC4CF3">
        <w:rPr>
          <w:szCs w:val="20"/>
        </w:rPr>
        <w:t xml:space="preserve">The role of the reference group will be to provide advice and feedback to the agency </w:t>
      </w:r>
      <w:r w:rsidRPr="00DC4CF3">
        <w:rPr>
          <w:rFonts w:eastAsia="Roboto"/>
          <w:szCs w:val="20"/>
        </w:rPr>
        <w:t>on how the Centrepay program can be further refined and enhanced to better support and protect customers</w:t>
      </w:r>
      <w:r w:rsidR="00F41263">
        <w:rPr>
          <w:rFonts w:eastAsia="Roboto"/>
          <w:szCs w:val="20"/>
        </w:rPr>
        <w:t>.</w:t>
      </w:r>
    </w:p>
    <w:p w14:paraId="38C03DAA" w14:textId="6435E3CA" w:rsidR="00B62C0D" w:rsidRPr="009503B7" w:rsidRDefault="00B62C0D" w:rsidP="005C6140">
      <w:pPr>
        <w:pStyle w:val="BodyText"/>
        <w:rPr>
          <w:szCs w:val="20"/>
        </w:rPr>
      </w:pPr>
      <w:r w:rsidRPr="00DC4CF3">
        <w:rPr>
          <w:szCs w:val="20"/>
        </w:rPr>
        <w:t xml:space="preserve">The agency </w:t>
      </w:r>
      <w:r w:rsidR="00DC4CF3" w:rsidRPr="00DC4CF3">
        <w:rPr>
          <w:szCs w:val="20"/>
        </w:rPr>
        <w:t>will</w:t>
      </w:r>
      <w:r w:rsidRPr="00DC4CF3">
        <w:rPr>
          <w:szCs w:val="20"/>
        </w:rPr>
        <w:t xml:space="preserve"> ensure that regular </w:t>
      </w:r>
      <w:r w:rsidR="009503B7" w:rsidRPr="00DC4CF3">
        <w:rPr>
          <w:szCs w:val="20"/>
        </w:rPr>
        <w:t xml:space="preserve">community </w:t>
      </w:r>
      <w:r w:rsidR="00DC4CF3" w:rsidRPr="00DC4CF3">
        <w:rPr>
          <w:szCs w:val="20"/>
        </w:rPr>
        <w:t>consultation</w:t>
      </w:r>
      <w:r w:rsidRPr="00DC4CF3">
        <w:rPr>
          <w:szCs w:val="20"/>
        </w:rPr>
        <w:t xml:space="preserve"> on the Centrepay service continues </w:t>
      </w:r>
      <w:r w:rsidR="00DC4CF3" w:rsidRPr="00DC4CF3">
        <w:rPr>
          <w:szCs w:val="20"/>
        </w:rPr>
        <w:t>throughout the reform process, with additional post reform engagement following completion of the Centrepay Reform</w:t>
      </w:r>
      <w:r w:rsidR="00DC4CF3">
        <w:rPr>
          <w:szCs w:val="20"/>
        </w:rPr>
        <w:t xml:space="preserve">. </w:t>
      </w:r>
    </w:p>
    <w:tbl>
      <w:tblPr>
        <w:tblStyle w:val="TableGrid1"/>
        <w:tblpPr w:leftFromText="180" w:rightFromText="180" w:vertAnchor="text" w:horzAnchor="margin" w:tblpXSpec="center" w:tblpYSpec="outside"/>
        <w:tblW w:w="0" w:type="auto"/>
        <w:tblLook w:val="04A0" w:firstRow="1" w:lastRow="0" w:firstColumn="1" w:lastColumn="0" w:noHBand="0" w:noVBand="1"/>
      </w:tblPr>
      <w:tblGrid>
        <w:gridCol w:w="9016"/>
      </w:tblGrid>
      <w:tr w:rsidR="00355A69" w:rsidRPr="00C96D9B" w14:paraId="28948FE7" w14:textId="77777777" w:rsidTr="26FF090E">
        <w:trPr>
          <w:trHeight w:val="1270"/>
        </w:trPr>
        <w:tc>
          <w:tcPr>
            <w:tcW w:w="9016" w:type="dxa"/>
            <w:shd w:val="clear" w:color="auto" w:fill="C6F3FF" w:themeFill="accent1" w:themeFillTint="33"/>
          </w:tcPr>
          <w:p w14:paraId="0A2A17FC" w14:textId="0D3CBC5D" w:rsidR="00355A69" w:rsidRPr="00C96D9B" w:rsidRDefault="00355A69" w:rsidP="006705B1">
            <w:pPr>
              <w:pStyle w:val="Heading3"/>
              <w:rPr>
                <w:rFonts w:asciiTheme="minorHAnsi" w:eastAsia="Calibri" w:hAnsiTheme="minorHAnsi"/>
              </w:rPr>
            </w:pPr>
            <w:r w:rsidRPr="00C96D9B">
              <w:rPr>
                <w:rFonts w:asciiTheme="minorHAnsi" w:eastAsia="Calibri" w:hAnsiTheme="minorHAnsi"/>
              </w:rPr>
              <w:t>Q</w:t>
            </w:r>
            <w:r w:rsidR="00F41263">
              <w:rPr>
                <w:rFonts w:asciiTheme="minorHAnsi" w:eastAsia="Calibri" w:hAnsiTheme="minorHAnsi"/>
              </w:rPr>
              <w:t>uestion</w:t>
            </w:r>
          </w:p>
          <w:p w14:paraId="0A3B861C" w14:textId="05DBDCA3" w:rsidR="00355A69" w:rsidRPr="00F41263" w:rsidRDefault="00355A69" w:rsidP="00F96B62">
            <w:pPr>
              <w:numPr>
                <w:ilvl w:val="0"/>
                <w:numId w:val="8"/>
              </w:numPr>
              <w:spacing w:before="0" w:after="160" w:line="259" w:lineRule="auto"/>
              <w:contextualSpacing/>
              <w:rPr>
                <w:rFonts w:eastAsia="Calibri" w:cs="Times New Roman"/>
                <w:kern w:val="2"/>
                <w:szCs w:val="20"/>
                <w14:ligatures w14:val="standardContextual"/>
              </w:rPr>
            </w:pPr>
            <w:r w:rsidRPr="1A537553">
              <w:rPr>
                <w:rFonts w:eastAsia="Calibri" w:cs="Times New Roman"/>
                <w:kern w:val="2"/>
                <w14:ligatures w14:val="standardContextual"/>
              </w:rPr>
              <w:t xml:space="preserve">What </w:t>
            </w:r>
            <w:r w:rsidR="00DC4CF3" w:rsidRPr="1A537553">
              <w:rPr>
                <w:rFonts w:eastAsia="Calibri" w:cs="Times New Roman"/>
                <w:kern w:val="2"/>
                <w14:ligatures w14:val="standardContextual"/>
              </w:rPr>
              <w:t>does</w:t>
            </w:r>
            <w:r w:rsidRPr="1A537553">
              <w:rPr>
                <w:rFonts w:eastAsia="Calibri" w:cs="Times New Roman"/>
                <w:kern w:val="2"/>
                <w14:ligatures w14:val="standardContextual"/>
              </w:rPr>
              <w:t xml:space="preserve"> meaningful consultation and engagement look like to you</w:t>
            </w:r>
            <w:r w:rsidR="00F41263" w:rsidRPr="1A537553">
              <w:rPr>
                <w:rFonts w:eastAsia="Calibri" w:cs="Times New Roman"/>
                <w:kern w:val="2"/>
                <w14:ligatures w14:val="standardContextual"/>
              </w:rPr>
              <w:t xml:space="preserve"> with respect to reforming the Centrepay service</w:t>
            </w:r>
            <w:r w:rsidRPr="1A537553">
              <w:rPr>
                <w:rFonts w:eastAsia="Calibri" w:cs="Times New Roman"/>
                <w:kern w:val="2"/>
                <w14:ligatures w14:val="standardContextual"/>
              </w:rPr>
              <w:t>?</w:t>
            </w:r>
          </w:p>
        </w:tc>
      </w:tr>
    </w:tbl>
    <w:p w14:paraId="34934C23" w14:textId="77777777" w:rsidR="001D3ACB" w:rsidRPr="00C96D9B" w:rsidRDefault="001D3ACB" w:rsidP="005A4DF5">
      <w:pPr>
        <w:pStyle w:val="BodyText"/>
      </w:pPr>
    </w:p>
    <w:p w14:paraId="67D1F65D" w14:textId="77777777" w:rsidR="00355A69" w:rsidRPr="00C96D9B" w:rsidRDefault="00355A69" w:rsidP="005A4DF5">
      <w:pPr>
        <w:pStyle w:val="BodyText"/>
      </w:pPr>
    </w:p>
    <w:p w14:paraId="7EE5EE84" w14:textId="77777777" w:rsidR="00355A69" w:rsidRPr="00C96D9B" w:rsidRDefault="00355A69" w:rsidP="005A4DF5">
      <w:pPr>
        <w:pStyle w:val="BodyText"/>
      </w:pPr>
    </w:p>
    <w:p w14:paraId="4995CE85" w14:textId="77777777" w:rsidR="00355A69" w:rsidRPr="00C96D9B" w:rsidRDefault="00355A69" w:rsidP="005A4DF5">
      <w:pPr>
        <w:pStyle w:val="BodyText"/>
      </w:pPr>
    </w:p>
    <w:p w14:paraId="3B38A9F4" w14:textId="46737DDA" w:rsidR="000F1172" w:rsidRDefault="000F1172">
      <w:pPr>
        <w:spacing w:before="0" w:after="0"/>
      </w:pPr>
      <w:r>
        <w:br w:type="page"/>
      </w:r>
    </w:p>
    <w:p w14:paraId="57AFF48D" w14:textId="42F31165" w:rsidR="00C750D2" w:rsidRDefault="000F1172" w:rsidP="000F1172">
      <w:pPr>
        <w:pStyle w:val="Heading1"/>
      </w:pPr>
      <w:bookmarkStart w:id="23" w:name="_Toc164256450"/>
      <w:r>
        <w:t>8. Attachments</w:t>
      </w:r>
      <w:bookmarkEnd w:id="23"/>
    </w:p>
    <w:p w14:paraId="4E725F94" w14:textId="30AC966B" w:rsidR="000F1172" w:rsidRDefault="000F1172" w:rsidP="000F1172">
      <w:pPr>
        <w:pStyle w:val="BodyText"/>
      </w:pPr>
      <w:r>
        <w:t>Throughout this paper a number of documents are referenced, they are included below</w:t>
      </w:r>
      <w:r w:rsidR="00555119">
        <w:t>:</w:t>
      </w:r>
    </w:p>
    <w:p w14:paraId="4755B7EE" w14:textId="04C2BD63" w:rsidR="000F1172" w:rsidRPr="00504A8F" w:rsidRDefault="000F1172" w:rsidP="00504A8F">
      <w:pPr>
        <w:pStyle w:val="BodyText"/>
        <w:numPr>
          <w:ilvl w:val="0"/>
          <w:numId w:val="22"/>
        </w:numPr>
        <w:rPr>
          <w:i/>
          <w:iCs/>
        </w:rPr>
      </w:pPr>
      <w:r w:rsidRPr="00504A8F">
        <w:rPr>
          <w:i/>
          <w:iCs/>
        </w:rPr>
        <w:t>Centrepay Policy and Terms</w:t>
      </w:r>
    </w:p>
    <w:p w14:paraId="45337CF5" w14:textId="3E6F7A06" w:rsidR="000F1172" w:rsidRPr="00504A8F" w:rsidRDefault="000F1172" w:rsidP="000F1172">
      <w:pPr>
        <w:pStyle w:val="BodyText"/>
        <w:numPr>
          <w:ilvl w:val="0"/>
          <w:numId w:val="22"/>
        </w:numPr>
        <w:rPr>
          <w:i/>
          <w:iCs/>
        </w:rPr>
      </w:pPr>
      <w:r w:rsidRPr="00504A8F">
        <w:rPr>
          <w:i/>
          <w:iCs/>
        </w:rPr>
        <w:t xml:space="preserve">Centrepay Procedural Guide </w:t>
      </w:r>
    </w:p>
    <w:p w14:paraId="38536936" w14:textId="3E187596" w:rsidR="000F1172" w:rsidRPr="00504A8F" w:rsidRDefault="000F1172" w:rsidP="00C463C7">
      <w:pPr>
        <w:pStyle w:val="BodyText"/>
        <w:ind w:left="720"/>
        <w:rPr>
          <w:i/>
          <w:iCs/>
        </w:rPr>
      </w:pPr>
    </w:p>
    <w:p w14:paraId="603F40A7" w14:textId="77777777" w:rsidR="000F1172" w:rsidRPr="00C96D9B" w:rsidRDefault="000F1172" w:rsidP="00E250A5">
      <w:pPr>
        <w:pStyle w:val="BodyText"/>
      </w:pPr>
    </w:p>
    <w:sectPr w:rsidR="000F1172" w:rsidRPr="00C96D9B" w:rsidSect="00460B3E">
      <w:footerReference w:type="default" r:id="rId15"/>
      <w:headerReference w:type="first" r:id="rId16"/>
      <w:pgSz w:w="11906" w:h="16838" w:code="9"/>
      <w:pgMar w:top="1701" w:right="1134" w:bottom="993" w:left="1134" w:header="51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AC2E7" w14:textId="77777777" w:rsidR="00460B3E" w:rsidRDefault="00460B3E" w:rsidP="00E250A5">
      <w:r>
        <w:separator/>
      </w:r>
    </w:p>
    <w:p w14:paraId="79A3E8EA" w14:textId="77777777" w:rsidR="00460B3E" w:rsidRDefault="00460B3E" w:rsidP="00E250A5"/>
    <w:p w14:paraId="202B4069" w14:textId="77777777" w:rsidR="00460B3E" w:rsidRDefault="00460B3E" w:rsidP="00E250A5"/>
    <w:p w14:paraId="3652C919" w14:textId="77777777" w:rsidR="00460B3E" w:rsidRDefault="00460B3E" w:rsidP="00E250A5"/>
  </w:endnote>
  <w:endnote w:type="continuationSeparator" w:id="0">
    <w:p w14:paraId="208E768B" w14:textId="77777777" w:rsidR="00460B3E" w:rsidRDefault="00460B3E" w:rsidP="00E250A5">
      <w:r>
        <w:continuationSeparator/>
      </w:r>
    </w:p>
    <w:p w14:paraId="146666A6" w14:textId="77777777" w:rsidR="00460B3E" w:rsidRDefault="00460B3E" w:rsidP="00E250A5"/>
    <w:p w14:paraId="377CB1F7" w14:textId="77777777" w:rsidR="00460B3E" w:rsidRDefault="00460B3E" w:rsidP="00E250A5"/>
    <w:p w14:paraId="45C42B65" w14:textId="77777777" w:rsidR="00460B3E" w:rsidRDefault="00460B3E" w:rsidP="00E250A5"/>
  </w:endnote>
  <w:endnote w:type="continuationNotice" w:id="1">
    <w:p w14:paraId="4A3C504E" w14:textId="77777777" w:rsidR="00460B3E" w:rsidRDefault="00460B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BA905" w14:textId="2330A3FE" w:rsidR="00653F86" w:rsidRDefault="004948AF" w:rsidP="00E250A5">
    <w:pPr>
      <w:pStyle w:val="Footer"/>
      <w:rPr>
        <w:noProof/>
      </w:rPr>
    </w:pPr>
    <w:r w:rsidRPr="00294E02">
      <w:t>P</w:t>
    </w:r>
    <w:r w:rsidR="00294E02" w:rsidRPr="00294E02">
      <w:t>age</w:t>
    </w:r>
    <w:r w:rsidRPr="00294E02">
      <w:t xml:space="preserve"> </w:t>
    </w:r>
    <w:r w:rsidRPr="00294E02">
      <w:rPr>
        <w:color w:val="2B579A"/>
        <w:shd w:val="clear" w:color="auto" w:fill="E6E6E6"/>
      </w:rPr>
      <w:fldChar w:fldCharType="begin"/>
    </w:r>
    <w:r w:rsidRPr="00294E02">
      <w:instrText xml:space="preserve"> PAGE </w:instrText>
    </w:r>
    <w:r w:rsidRPr="00294E02">
      <w:rPr>
        <w:color w:val="2B579A"/>
        <w:shd w:val="clear" w:color="auto" w:fill="E6E6E6"/>
      </w:rPr>
      <w:fldChar w:fldCharType="separate"/>
    </w:r>
    <w:r w:rsidR="00C2536F">
      <w:rPr>
        <w:noProof/>
      </w:rPr>
      <w:t>2</w:t>
    </w:r>
    <w:r w:rsidRPr="00294E02">
      <w:rPr>
        <w:color w:val="2B579A"/>
        <w:shd w:val="clear" w:color="auto" w:fill="E6E6E6"/>
      </w:rPr>
      <w:fldChar w:fldCharType="end"/>
    </w:r>
    <w:r w:rsidRPr="00294E02">
      <w:t xml:space="preserve"> </w:t>
    </w:r>
    <w:r w:rsidR="00F13C40">
      <w:t>of</w:t>
    </w:r>
    <w:r w:rsidRPr="00294E02">
      <w:t xml:space="preserve"> </w:t>
    </w:r>
    <w:r w:rsidR="0060044A">
      <w:rPr>
        <w:color w:val="2B579A"/>
        <w:shd w:val="clear" w:color="auto" w:fill="E6E6E6"/>
      </w:rPr>
      <w:fldChar w:fldCharType="begin"/>
    </w:r>
    <w:r w:rsidR="0060044A">
      <w:instrText xml:space="preserve"> NUMPAGES </w:instrText>
    </w:r>
    <w:r w:rsidR="0060044A">
      <w:rPr>
        <w:color w:val="2B579A"/>
        <w:shd w:val="clear" w:color="auto" w:fill="E6E6E6"/>
      </w:rPr>
      <w:fldChar w:fldCharType="separate"/>
    </w:r>
    <w:r w:rsidR="00C2536F">
      <w:rPr>
        <w:noProof/>
      </w:rPr>
      <w:t>5</w:t>
    </w:r>
    <w:r w:rsidR="0060044A">
      <w:rPr>
        <w:noProof/>
        <w:color w:val="2B579A"/>
        <w:shd w:val="clear" w:color="auto" w:fill="E6E6E6"/>
      </w:rPr>
      <w:fldChar w:fldCharType="end"/>
    </w:r>
    <w:r w:rsidR="00653F86">
      <w:ptab w:relativeTo="margin" w:alignment="right" w:leader="none"/>
    </w:r>
    <w:r w:rsidR="00653F86" w:rsidRPr="00294E02">
      <w:t>Services Australia</w:t>
    </w:r>
  </w:p>
  <w:p w14:paraId="364C30A3" w14:textId="1D6E1537" w:rsidR="004948AF" w:rsidRPr="00653F86" w:rsidRDefault="00653F86" w:rsidP="00E250A5">
    <w:pPr>
      <w:pStyle w:val="Footer"/>
      <w:rPr>
        <w:i/>
        <w:iCs/>
        <w:sz w:val="16"/>
        <w:szCs w:val="18"/>
      </w:rPr>
    </w:pPr>
    <w:r w:rsidRPr="00653F86">
      <w:rPr>
        <w:rStyle w:val="FootnoteReference"/>
        <w:i/>
        <w:iCs/>
        <w:sz w:val="16"/>
        <w:szCs w:val="18"/>
      </w:rPr>
      <w:footnoteRef/>
    </w:r>
    <w:r w:rsidRPr="00653F86">
      <w:rPr>
        <w:i/>
        <w:iCs/>
        <w:sz w:val="16"/>
        <w:szCs w:val="18"/>
      </w:rPr>
      <w:t xml:space="preserve">This category does not include public housing. For public housing refer to the Agency’s Rent Deduction Scheme.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26D64" w14:textId="01494E7A" w:rsidR="00A27C47" w:rsidRDefault="00A27C47">
    <w:pPr>
      <w:pStyle w:val="Footer"/>
    </w:pPr>
    <w:r>
      <w:rPr>
        <w:noProof/>
        <w:color w:val="2B579A"/>
        <w:shd w:val="clear" w:color="auto" w:fill="E6E6E6"/>
      </w:rPr>
      <mc:AlternateContent>
        <mc:Choice Requires="wps">
          <w:drawing>
            <wp:anchor distT="45720" distB="45720" distL="114300" distR="114300" simplePos="0" relativeHeight="251657216" behindDoc="0" locked="0" layoutInCell="1" allowOverlap="1" wp14:anchorId="4E97F288" wp14:editId="12D2947E">
              <wp:simplePos x="0" y="0"/>
              <wp:positionH relativeFrom="margin">
                <wp:posOffset>1732195</wp:posOffset>
              </wp:positionH>
              <wp:positionV relativeFrom="paragraph">
                <wp:posOffset>-1088390</wp:posOffset>
              </wp:positionV>
              <wp:extent cx="2360930" cy="1404620"/>
              <wp:effectExtent l="0" t="0" r="0" b="254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0DBD5A4" w14:textId="77777777" w:rsidR="00D02950" w:rsidRPr="005A4DF5" w:rsidRDefault="00D02950" w:rsidP="005A4DF5">
                          <w:pPr>
                            <w:jc w:val="center"/>
                            <w:rPr>
                              <w:b/>
                              <w:bCs/>
                            </w:rPr>
                          </w:pPr>
                          <w:r w:rsidRPr="005A4DF5">
                            <w:rPr>
                              <w:b/>
                              <w:bCs/>
                            </w:rPr>
                            <w:t>servicesaustralia.gov.au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97F288" id="_x0000_t202" coordsize="21600,21600" o:spt="202" path="m,l,21600r21600,l21600,xe">
              <v:stroke joinstyle="miter"/>
              <v:path gradientshapeok="t" o:connecttype="rect"/>
            </v:shapetype>
            <v:shape id="_x0000_s1027" type="#_x0000_t202" alt="&quot;&quot;" style="position:absolute;margin-left:136.4pt;margin-top:-85.7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" filled="f" stroked="f">
              <v:textbox style="mso-fit-shape-to-text:t">
                <w:txbxContent>
                  <w:p w14:paraId="10DBD5A4" w14:textId="77777777" w:rsidR="00D02950" w:rsidRPr="005A4DF5" w:rsidRDefault="00D02950" w:rsidP="005A4DF5">
                    <w:pPr>
                      <w:jc w:val="center"/>
                      <w:rPr>
                        <w:b/>
                        <w:bCs/>
                      </w:rPr>
                    </w:pPr>
                    <w:r w:rsidRPr="005A4DF5">
                      <w:rPr>
                        <w:b/>
                        <w:bCs/>
                      </w:rPr>
                      <w:t>servicesaustralia.gov.au</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8B12D" w14:textId="77777777" w:rsidR="00072069" w:rsidRDefault="00072069" w:rsidP="00E250A5">
    <w:pPr>
      <w:pStyle w:val="Footer"/>
      <w:rPr>
        <w:noProof/>
      </w:rPr>
    </w:pPr>
    <w:r w:rsidRPr="00957FA2">
      <w:t xml:space="preserve">Page </w:t>
    </w:r>
    <w:r w:rsidRPr="000F1920">
      <w:fldChar w:fldCharType="begin"/>
    </w:r>
    <w:r w:rsidRPr="000F1920">
      <w:instrText xml:space="preserve"> PAGE </w:instrText>
    </w:r>
    <w:r w:rsidRPr="000F1920">
      <w:fldChar w:fldCharType="separate"/>
    </w:r>
    <w:r w:rsidRPr="000F1920">
      <w:t>2</w:t>
    </w:r>
    <w:r w:rsidRPr="000F1920">
      <w:fldChar w:fldCharType="end"/>
    </w:r>
    <w:r w:rsidRPr="000F1920">
      <w:t xml:space="preserve"> of </w:t>
    </w:r>
    <w:r w:rsidR="0060044A" w:rsidRPr="000F1920">
      <w:fldChar w:fldCharType="begin"/>
    </w:r>
    <w:r w:rsidR="0060044A" w:rsidRPr="000F1920">
      <w:instrText xml:space="preserve"> NUMPAGES </w:instrText>
    </w:r>
    <w:r w:rsidR="0060044A" w:rsidRPr="000F1920">
      <w:fldChar w:fldCharType="separate"/>
    </w:r>
    <w:r w:rsidRPr="000F1920">
      <w:t>5</w:t>
    </w:r>
    <w:r w:rsidR="0060044A" w:rsidRPr="000F1920">
      <w:fldChar w:fldCharType="end"/>
    </w:r>
    <w:r w:rsidRPr="00957FA2">
      <w:ptab w:relativeTo="margin" w:alignment="right" w:leader="none"/>
    </w:r>
    <w:r w:rsidRPr="00957FA2">
      <w:t xml:space="preserve">Services </w:t>
    </w:r>
    <w:r w:rsidRPr="00294E02">
      <w:t>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2AAE7" w14:textId="77777777" w:rsidR="00460B3E" w:rsidRDefault="00460B3E" w:rsidP="00E250A5">
      <w:r>
        <w:separator/>
      </w:r>
    </w:p>
    <w:p w14:paraId="7A5342F8" w14:textId="77777777" w:rsidR="00460B3E" w:rsidRDefault="00460B3E" w:rsidP="00E250A5"/>
    <w:p w14:paraId="673D2964" w14:textId="77777777" w:rsidR="00460B3E" w:rsidRDefault="00460B3E" w:rsidP="00E250A5"/>
    <w:p w14:paraId="3069C090" w14:textId="77777777" w:rsidR="00460B3E" w:rsidRDefault="00460B3E" w:rsidP="00E250A5"/>
  </w:footnote>
  <w:footnote w:type="continuationSeparator" w:id="0">
    <w:p w14:paraId="67EA08C3" w14:textId="77777777" w:rsidR="00460B3E" w:rsidRDefault="00460B3E" w:rsidP="00E250A5">
      <w:r>
        <w:continuationSeparator/>
      </w:r>
    </w:p>
    <w:p w14:paraId="185F0A0B" w14:textId="77777777" w:rsidR="00460B3E" w:rsidRDefault="00460B3E" w:rsidP="00E250A5"/>
    <w:p w14:paraId="1110FC60" w14:textId="77777777" w:rsidR="00460B3E" w:rsidRDefault="00460B3E" w:rsidP="00E250A5"/>
    <w:p w14:paraId="53AEA113" w14:textId="77777777" w:rsidR="00460B3E" w:rsidRDefault="00460B3E" w:rsidP="00E250A5"/>
  </w:footnote>
  <w:footnote w:type="continuationNotice" w:id="1">
    <w:p w14:paraId="08476F66" w14:textId="77777777" w:rsidR="00460B3E" w:rsidRDefault="00460B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11587" w14:textId="6637DE59" w:rsidR="004948AF" w:rsidRPr="003E52A5" w:rsidRDefault="007C66E8" w:rsidP="00E250A5">
    <w:pPr>
      <w:pStyle w:val="Classification"/>
      <w:rPr>
        <w:sz w:val="28"/>
      </w:rPr>
    </w:pPr>
    <w:r>
      <w:t>OFFICIAL</w:t>
    </w:r>
  </w:p>
  <w:p w14:paraId="7580999F" w14:textId="3B10F5A1" w:rsidR="000A63F7" w:rsidRDefault="000A63F7" w:rsidP="00737472">
    <w:pPr>
      <w:pStyle w:val="Header"/>
    </w:pPr>
    <w:r>
      <w:t xml:space="preserve">CENTREPAY – </w:t>
    </w:r>
    <w:r w:rsidR="00F965C3">
      <w:t>Discussion</w:t>
    </w:r>
    <w:r>
      <w:t xml:space="preserv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5103" w14:textId="77777777" w:rsidR="004948AF" w:rsidRPr="008A6719" w:rsidRDefault="004948AF" w:rsidP="00E250A5">
    <w:r>
      <w:rPr>
        <w:noProof/>
        <w:color w:val="2B579A"/>
        <w:shd w:val="clear" w:color="auto" w:fill="E6E6E6"/>
      </w:rPr>
      <w:drawing>
        <wp:anchor distT="0" distB="0" distL="114300" distR="114300" simplePos="0" relativeHeight="251658240" behindDoc="1" locked="0" layoutInCell="1" allowOverlap="1" wp14:anchorId="4083A81A" wp14:editId="15D4BF58">
          <wp:simplePos x="362857" y="174171"/>
          <wp:positionH relativeFrom="column">
            <wp:align>center</wp:align>
          </wp:positionH>
          <wp:positionV relativeFrom="page">
            <wp:align>top</wp:align>
          </wp:positionV>
          <wp:extent cx="7553128" cy="10681238"/>
          <wp:effectExtent l="0" t="0" r="0" b="6350"/>
          <wp:wrapNone/>
          <wp:docPr id="1578911844" name="Picture 15789118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229839" name="Picture 131822983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128" cy="1068123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8926" w14:textId="31616AC1" w:rsidR="004948AF" w:rsidRPr="00D354DD" w:rsidRDefault="001C47B4" w:rsidP="00E250A5">
    <w:pPr>
      <w:pStyle w:val="Header"/>
    </w:pPr>
    <w:r>
      <w:rPr>
        <w:noProof/>
        <w:color w:val="2B579A"/>
        <w:shd w:val="clear" w:color="auto" w:fill="E6E6E6"/>
      </w:rPr>
      <mc:AlternateContent>
        <mc:Choice Requires="wps">
          <w:drawing>
            <wp:anchor distT="0" distB="0" distL="114300" distR="114300" simplePos="0" relativeHeight="251656192" behindDoc="0" locked="0" layoutInCell="1" allowOverlap="1" wp14:anchorId="1DBD5AE7" wp14:editId="77FA54AD">
              <wp:simplePos x="0" y="0"/>
              <wp:positionH relativeFrom="page">
                <wp:align>left</wp:align>
              </wp:positionH>
              <wp:positionV relativeFrom="paragraph">
                <wp:posOffset>-383319</wp:posOffset>
              </wp:positionV>
              <wp:extent cx="7553353" cy="10861482"/>
              <wp:effectExtent l="0" t="0" r="952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3353" cy="1086148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D38A9" id="Rectangle 1" o:spid="_x0000_s1026" alt="&quot;&quot;" style="position:absolute;margin-left:0;margin-top:-30.2pt;width:594.75pt;height:855.2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" fillcolor="#00b5e2 [320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12AC"/>
    <w:multiLevelType w:val="hybridMultilevel"/>
    <w:tmpl w:val="F35EDCC8"/>
    <w:lvl w:ilvl="0" w:tplc="70D04068">
      <w:start w:val="1"/>
      <w:numFmt w:val="decimal"/>
      <w:lvlText w:val="%1."/>
      <w:lvlJc w:val="left"/>
      <w:pPr>
        <w:ind w:left="720" w:hanging="360"/>
      </w:pPr>
      <w:rPr>
        <w:rFonts w:asciiTheme="minorHAnsi" w:eastAsia="Times New Roman" w:hAnsiTheme="minorHAns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0193"/>
    <w:multiLevelType w:val="multilevel"/>
    <w:tmpl w:val="0DCA74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884374"/>
    <w:multiLevelType w:val="hybridMultilevel"/>
    <w:tmpl w:val="1BA86D4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15:restartNumberingAfterBreak="0">
    <w:nsid w:val="122C75F4"/>
    <w:multiLevelType w:val="hybridMultilevel"/>
    <w:tmpl w:val="FA2C0672"/>
    <w:lvl w:ilvl="0" w:tplc="836EAACE">
      <w:start w:val="1"/>
      <w:numFmt w:val="bullet"/>
      <w:lvlText w:val=""/>
      <w:lvlJc w:val="left"/>
      <w:pPr>
        <w:ind w:left="720" w:hanging="360"/>
      </w:pPr>
      <w:rPr>
        <w:rFonts w:ascii="Symbol" w:hAnsi="Symbol" w:hint="default"/>
      </w:rPr>
    </w:lvl>
    <w:lvl w:ilvl="1" w:tplc="2D52FBF2">
      <w:start w:val="1"/>
      <w:numFmt w:val="bullet"/>
      <w:lvlText w:val="o"/>
      <w:lvlJc w:val="left"/>
      <w:pPr>
        <w:ind w:left="1440" w:hanging="360"/>
      </w:pPr>
      <w:rPr>
        <w:rFonts w:ascii="Courier New" w:hAnsi="Courier New" w:hint="default"/>
      </w:rPr>
    </w:lvl>
    <w:lvl w:ilvl="2" w:tplc="3866F1BA">
      <w:start w:val="1"/>
      <w:numFmt w:val="bullet"/>
      <w:lvlText w:val=""/>
      <w:lvlJc w:val="left"/>
      <w:pPr>
        <w:ind w:left="2160" w:hanging="360"/>
      </w:pPr>
      <w:rPr>
        <w:rFonts w:ascii="Wingdings" w:hAnsi="Wingdings" w:hint="default"/>
      </w:rPr>
    </w:lvl>
    <w:lvl w:ilvl="3" w:tplc="EB70ECEC">
      <w:start w:val="1"/>
      <w:numFmt w:val="bullet"/>
      <w:lvlText w:val=""/>
      <w:lvlJc w:val="left"/>
      <w:pPr>
        <w:ind w:left="2880" w:hanging="360"/>
      </w:pPr>
      <w:rPr>
        <w:rFonts w:ascii="Symbol" w:hAnsi="Symbol" w:hint="default"/>
      </w:rPr>
    </w:lvl>
    <w:lvl w:ilvl="4" w:tplc="A41429DC">
      <w:start w:val="1"/>
      <w:numFmt w:val="bullet"/>
      <w:lvlText w:val="o"/>
      <w:lvlJc w:val="left"/>
      <w:pPr>
        <w:ind w:left="3600" w:hanging="360"/>
      </w:pPr>
      <w:rPr>
        <w:rFonts w:ascii="Courier New" w:hAnsi="Courier New" w:hint="default"/>
      </w:rPr>
    </w:lvl>
    <w:lvl w:ilvl="5" w:tplc="626C2A30">
      <w:start w:val="1"/>
      <w:numFmt w:val="bullet"/>
      <w:lvlText w:val=""/>
      <w:lvlJc w:val="left"/>
      <w:pPr>
        <w:ind w:left="4320" w:hanging="360"/>
      </w:pPr>
      <w:rPr>
        <w:rFonts w:ascii="Wingdings" w:hAnsi="Wingdings" w:hint="default"/>
      </w:rPr>
    </w:lvl>
    <w:lvl w:ilvl="6" w:tplc="CEA04EAA">
      <w:start w:val="1"/>
      <w:numFmt w:val="bullet"/>
      <w:lvlText w:val=""/>
      <w:lvlJc w:val="left"/>
      <w:pPr>
        <w:ind w:left="5040" w:hanging="360"/>
      </w:pPr>
      <w:rPr>
        <w:rFonts w:ascii="Symbol" w:hAnsi="Symbol" w:hint="default"/>
      </w:rPr>
    </w:lvl>
    <w:lvl w:ilvl="7" w:tplc="30B6FD1C">
      <w:start w:val="1"/>
      <w:numFmt w:val="bullet"/>
      <w:lvlText w:val="o"/>
      <w:lvlJc w:val="left"/>
      <w:pPr>
        <w:ind w:left="5760" w:hanging="360"/>
      </w:pPr>
      <w:rPr>
        <w:rFonts w:ascii="Courier New" w:hAnsi="Courier New" w:hint="default"/>
      </w:rPr>
    </w:lvl>
    <w:lvl w:ilvl="8" w:tplc="D952D756">
      <w:start w:val="1"/>
      <w:numFmt w:val="bullet"/>
      <w:lvlText w:val=""/>
      <w:lvlJc w:val="left"/>
      <w:pPr>
        <w:ind w:left="6480" w:hanging="360"/>
      </w:pPr>
      <w:rPr>
        <w:rFonts w:ascii="Wingdings" w:hAnsi="Wingdings" w:hint="default"/>
      </w:rPr>
    </w:lvl>
  </w:abstractNum>
  <w:abstractNum w:abstractNumId="4" w15:restartNumberingAfterBreak="0">
    <w:nsid w:val="20941213"/>
    <w:multiLevelType w:val="hybridMultilevel"/>
    <w:tmpl w:val="79FA0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2436EE"/>
    <w:multiLevelType w:val="hybridMultilevel"/>
    <w:tmpl w:val="33DA8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A867234"/>
    <w:multiLevelType w:val="hybridMultilevel"/>
    <w:tmpl w:val="F99C9958"/>
    <w:lvl w:ilvl="0" w:tplc="2E04B2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2412A1"/>
    <w:multiLevelType w:val="hybridMultilevel"/>
    <w:tmpl w:val="EB082C2C"/>
    <w:lvl w:ilvl="0" w:tplc="DA2C4468">
      <w:start w:val="1"/>
      <w:numFmt w:val="bullet"/>
      <w:pStyle w:val="ListBullet2"/>
      <w:lvlText w:val="–"/>
      <w:lvlJc w:val="left"/>
      <w:pPr>
        <w:ind w:left="700" w:hanging="360"/>
      </w:pPr>
      <w:rPr>
        <w:rFonts w:ascii="Roboto" w:hAnsi="Robo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A941AB"/>
    <w:multiLevelType w:val="hybridMultilevel"/>
    <w:tmpl w:val="08B43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91198C"/>
    <w:multiLevelType w:val="hybridMultilevel"/>
    <w:tmpl w:val="19D4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C67CF"/>
    <w:multiLevelType w:val="hybridMultilevel"/>
    <w:tmpl w:val="8452C828"/>
    <w:lvl w:ilvl="0" w:tplc="9BEEA154">
      <w:start w:val="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6301A3"/>
    <w:multiLevelType w:val="hybridMultilevel"/>
    <w:tmpl w:val="710C7296"/>
    <w:lvl w:ilvl="0" w:tplc="A118A9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AF742E"/>
    <w:multiLevelType w:val="hybridMultilevel"/>
    <w:tmpl w:val="919208BE"/>
    <w:lvl w:ilvl="0" w:tplc="26E0AD30">
      <w:numFmt w:val="bullet"/>
      <w:lvlText w:val=""/>
      <w:lvlJc w:val="left"/>
      <w:pPr>
        <w:ind w:left="587" w:hanging="360"/>
      </w:pPr>
      <w:rPr>
        <w:rFonts w:ascii="Symbol" w:eastAsia="Roboto" w:hAnsi="Symbol" w:cs="Roboto"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3" w15:restartNumberingAfterBreak="0">
    <w:nsid w:val="60E74CF5"/>
    <w:multiLevelType w:val="hybridMultilevel"/>
    <w:tmpl w:val="209694D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15D758B"/>
    <w:multiLevelType w:val="hybridMultilevel"/>
    <w:tmpl w:val="6430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5A5207"/>
    <w:multiLevelType w:val="multilevel"/>
    <w:tmpl w:val="35B275C0"/>
    <w:lvl w:ilvl="0">
      <w:start w:val="1"/>
      <w:numFmt w:val="decimal"/>
      <w:pStyle w:val="ListNumber"/>
      <w:lvlText w:val="%1."/>
      <w:lvlJc w:val="left"/>
      <w:pPr>
        <w:ind w:left="1060" w:hanging="360"/>
      </w:pPr>
    </w:lvl>
    <w:lvl w:ilvl="1">
      <w:start w:val="2"/>
      <w:numFmt w:val="decimal"/>
      <w:isLgl/>
      <w:lvlText w:val="%1.%2"/>
      <w:lvlJc w:val="left"/>
      <w:pPr>
        <w:ind w:left="1420" w:hanging="720"/>
      </w:pPr>
      <w:rPr>
        <w:rFonts w:hint="default"/>
      </w:rPr>
    </w:lvl>
    <w:lvl w:ilvl="2">
      <w:start w:val="1"/>
      <w:numFmt w:val="decimal"/>
      <w:isLgl/>
      <w:lvlText w:val="%1.%2.%3"/>
      <w:lvlJc w:val="left"/>
      <w:pPr>
        <w:ind w:left="1780" w:hanging="1080"/>
      </w:pPr>
      <w:rPr>
        <w:rFonts w:hint="default"/>
      </w:rPr>
    </w:lvl>
    <w:lvl w:ilvl="3">
      <w:start w:val="1"/>
      <w:numFmt w:val="decimal"/>
      <w:isLgl/>
      <w:lvlText w:val="%1.%2.%3.%4"/>
      <w:lvlJc w:val="left"/>
      <w:pPr>
        <w:ind w:left="2140" w:hanging="1440"/>
      </w:pPr>
      <w:rPr>
        <w:rFonts w:hint="default"/>
      </w:rPr>
    </w:lvl>
    <w:lvl w:ilvl="4">
      <w:start w:val="1"/>
      <w:numFmt w:val="decimal"/>
      <w:isLgl/>
      <w:lvlText w:val="%1.%2.%3.%4.%5"/>
      <w:lvlJc w:val="left"/>
      <w:pPr>
        <w:ind w:left="2500" w:hanging="1800"/>
      </w:pPr>
      <w:rPr>
        <w:rFonts w:hint="default"/>
      </w:rPr>
    </w:lvl>
    <w:lvl w:ilvl="5">
      <w:start w:val="1"/>
      <w:numFmt w:val="decimal"/>
      <w:isLgl/>
      <w:lvlText w:val="%1.%2.%3.%4.%5.%6"/>
      <w:lvlJc w:val="left"/>
      <w:pPr>
        <w:ind w:left="2860" w:hanging="2160"/>
      </w:pPr>
      <w:rPr>
        <w:rFonts w:hint="default"/>
      </w:rPr>
    </w:lvl>
    <w:lvl w:ilvl="6">
      <w:start w:val="1"/>
      <w:numFmt w:val="decimal"/>
      <w:isLgl/>
      <w:lvlText w:val="%1.%2.%3.%4.%5.%6.%7"/>
      <w:lvlJc w:val="left"/>
      <w:pPr>
        <w:ind w:left="2860" w:hanging="2160"/>
      </w:pPr>
      <w:rPr>
        <w:rFonts w:hint="default"/>
      </w:rPr>
    </w:lvl>
    <w:lvl w:ilvl="7">
      <w:start w:val="1"/>
      <w:numFmt w:val="decimal"/>
      <w:isLgl/>
      <w:lvlText w:val="%1.%2.%3.%4.%5.%6.%7.%8"/>
      <w:lvlJc w:val="left"/>
      <w:pPr>
        <w:ind w:left="3220" w:hanging="2520"/>
      </w:pPr>
      <w:rPr>
        <w:rFonts w:hint="default"/>
      </w:rPr>
    </w:lvl>
    <w:lvl w:ilvl="8">
      <w:start w:val="1"/>
      <w:numFmt w:val="decimal"/>
      <w:isLgl/>
      <w:lvlText w:val="%1.%2.%3.%4.%5.%6.%7.%8.%9"/>
      <w:lvlJc w:val="left"/>
      <w:pPr>
        <w:ind w:left="3580" w:hanging="2880"/>
      </w:pPr>
      <w:rPr>
        <w:rFonts w:hint="default"/>
      </w:rPr>
    </w:lvl>
  </w:abstractNum>
  <w:abstractNum w:abstractNumId="16" w15:restartNumberingAfterBreak="0">
    <w:nsid w:val="66C8492E"/>
    <w:multiLevelType w:val="hybridMultilevel"/>
    <w:tmpl w:val="77661C56"/>
    <w:lvl w:ilvl="0" w:tplc="E16EEB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AB31082"/>
    <w:multiLevelType w:val="hybridMultilevel"/>
    <w:tmpl w:val="BE7C3AD2"/>
    <w:lvl w:ilvl="0" w:tplc="F0D49192">
      <w:start w:val="1"/>
      <w:numFmt w:val="bullet"/>
      <w:pStyle w:val="List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F7201"/>
    <w:multiLevelType w:val="hybridMultilevel"/>
    <w:tmpl w:val="0DACE972"/>
    <w:lvl w:ilvl="0" w:tplc="B01A4DE0">
      <w:start w:val="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18097B"/>
    <w:multiLevelType w:val="hybridMultilevel"/>
    <w:tmpl w:val="DEDC502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7D4343E8"/>
    <w:multiLevelType w:val="hybridMultilevel"/>
    <w:tmpl w:val="431E50A2"/>
    <w:lvl w:ilvl="0" w:tplc="CCBCE2D4">
      <w:start w:val="1"/>
      <w:numFmt w:val="lowerLetter"/>
      <w:pStyle w:val="ListNumb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8001430">
    <w:abstractNumId w:val="3"/>
  </w:num>
  <w:num w:numId="2" w16cid:durableId="349187259">
    <w:abstractNumId w:val="17"/>
  </w:num>
  <w:num w:numId="3" w16cid:durableId="582569789">
    <w:abstractNumId w:val="7"/>
  </w:num>
  <w:num w:numId="4" w16cid:durableId="505291374">
    <w:abstractNumId w:val="15"/>
  </w:num>
  <w:num w:numId="5" w16cid:durableId="1697847764">
    <w:abstractNumId w:val="20"/>
  </w:num>
  <w:num w:numId="6" w16cid:durableId="611398669">
    <w:abstractNumId w:val="1"/>
  </w:num>
  <w:num w:numId="7" w16cid:durableId="873925440">
    <w:abstractNumId w:val="8"/>
  </w:num>
  <w:num w:numId="8" w16cid:durableId="300352396">
    <w:abstractNumId w:val="6"/>
  </w:num>
  <w:num w:numId="9" w16cid:durableId="290719584">
    <w:abstractNumId w:val="4"/>
  </w:num>
  <w:num w:numId="10" w16cid:durableId="1665011911">
    <w:abstractNumId w:val="11"/>
  </w:num>
  <w:num w:numId="11" w16cid:durableId="1142388562">
    <w:abstractNumId w:val="9"/>
  </w:num>
  <w:num w:numId="12" w16cid:durableId="870923877">
    <w:abstractNumId w:val="14"/>
  </w:num>
  <w:num w:numId="13" w16cid:durableId="627668558">
    <w:abstractNumId w:val="18"/>
  </w:num>
  <w:num w:numId="14" w16cid:durableId="1165827053">
    <w:abstractNumId w:val="2"/>
  </w:num>
  <w:num w:numId="15" w16cid:durableId="1127509966">
    <w:abstractNumId w:val="19"/>
  </w:num>
  <w:num w:numId="16" w16cid:durableId="1027028970">
    <w:abstractNumId w:val="10"/>
  </w:num>
  <w:num w:numId="17" w16cid:durableId="504905071">
    <w:abstractNumId w:val="13"/>
  </w:num>
  <w:num w:numId="18" w16cid:durableId="778522467">
    <w:abstractNumId w:val="6"/>
  </w:num>
  <w:num w:numId="19" w16cid:durableId="1151946300">
    <w:abstractNumId w:val="12"/>
  </w:num>
  <w:num w:numId="20" w16cid:durableId="1399278244">
    <w:abstractNumId w:val="5"/>
  </w:num>
  <w:num w:numId="21" w16cid:durableId="1150709996">
    <w:abstractNumId w:val="16"/>
  </w:num>
  <w:num w:numId="22" w16cid:durableId="145990820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CD"/>
    <w:rsid w:val="000001C2"/>
    <w:rsid w:val="000110FA"/>
    <w:rsid w:val="00011C9E"/>
    <w:rsid w:val="00014DDA"/>
    <w:rsid w:val="000152AE"/>
    <w:rsid w:val="00020BB0"/>
    <w:rsid w:val="00022400"/>
    <w:rsid w:val="00023E99"/>
    <w:rsid w:val="00025378"/>
    <w:rsid w:val="0002671A"/>
    <w:rsid w:val="00026916"/>
    <w:rsid w:val="000347F5"/>
    <w:rsid w:val="00036B48"/>
    <w:rsid w:val="000373AC"/>
    <w:rsid w:val="00040B16"/>
    <w:rsid w:val="00041A39"/>
    <w:rsid w:val="0004596E"/>
    <w:rsid w:val="00050421"/>
    <w:rsid w:val="00056437"/>
    <w:rsid w:val="00057F56"/>
    <w:rsid w:val="00061AAD"/>
    <w:rsid w:val="00062997"/>
    <w:rsid w:val="00062BCD"/>
    <w:rsid w:val="0006390B"/>
    <w:rsid w:val="00063D6B"/>
    <w:rsid w:val="00067A62"/>
    <w:rsid w:val="00071D2C"/>
    <w:rsid w:val="00072069"/>
    <w:rsid w:val="00073A19"/>
    <w:rsid w:val="000746FD"/>
    <w:rsid w:val="00082A25"/>
    <w:rsid w:val="00083E12"/>
    <w:rsid w:val="00086EA1"/>
    <w:rsid w:val="000915C4"/>
    <w:rsid w:val="00095A58"/>
    <w:rsid w:val="00096434"/>
    <w:rsid w:val="00096485"/>
    <w:rsid w:val="00097E57"/>
    <w:rsid w:val="000A5F75"/>
    <w:rsid w:val="000A63F7"/>
    <w:rsid w:val="000B5B55"/>
    <w:rsid w:val="000C0265"/>
    <w:rsid w:val="000C0B2A"/>
    <w:rsid w:val="000C0E6D"/>
    <w:rsid w:val="000C11E5"/>
    <w:rsid w:val="000C3174"/>
    <w:rsid w:val="000C3CC0"/>
    <w:rsid w:val="000C5AA1"/>
    <w:rsid w:val="000C5C36"/>
    <w:rsid w:val="000C6C57"/>
    <w:rsid w:val="000D0E18"/>
    <w:rsid w:val="000D1B48"/>
    <w:rsid w:val="000D2002"/>
    <w:rsid w:val="000D2A9B"/>
    <w:rsid w:val="000D52D8"/>
    <w:rsid w:val="000E10E7"/>
    <w:rsid w:val="000E1888"/>
    <w:rsid w:val="000E1BED"/>
    <w:rsid w:val="000E735D"/>
    <w:rsid w:val="000E7E74"/>
    <w:rsid w:val="000F00D6"/>
    <w:rsid w:val="000F06CE"/>
    <w:rsid w:val="000F1036"/>
    <w:rsid w:val="000F1172"/>
    <w:rsid w:val="000F1920"/>
    <w:rsid w:val="000F3C20"/>
    <w:rsid w:val="000F770A"/>
    <w:rsid w:val="00102373"/>
    <w:rsid w:val="00112A35"/>
    <w:rsid w:val="00112E77"/>
    <w:rsid w:val="00112F82"/>
    <w:rsid w:val="0011372C"/>
    <w:rsid w:val="00113F4F"/>
    <w:rsid w:val="00115E57"/>
    <w:rsid w:val="001205BD"/>
    <w:rsid w:val="001221CE"/>
    <w:rsid w:val="001240E8"/>
    <w:rsid w:val="00130050"/>
    <w:rsid w:val="0013099F"/>
    <w:rsid w:val="0013146C"/>
    <w:rsid w:val="001372F9"/>
    <w:rsid w:val="001405EE"/>
    <w:rsid w:val="001420B8"/>
    <w:rsid w:val="00144897"/>
    <w:rsid w:val="0015257D"/>
    <w:rsid w:val="00152671"/>
    <w:rsid w:val="0015364A"/>
    <w:rsid w:val="001549B8"/>
    <w:rsid w:val="00157C88"/>
    <w:rsid w:val="001611FB"/>
    <w:rsid w:val="00161788"/>
    <w:rsid w:val="0016536A"/>
    <w:rsid w:val="00165ECA"/>
    <w:rsid w:val="00170029"/>
    <w:rsid w:val="00170828"/>
    <w:rsid w:val="001709FB"/>
    <w:rsid w:val="001718EC"/>
    <w:rsid w:val="00175F83"/>
    <w:rsid w:val="00180035"/>
    <w:rsid w:val="00181A06"/>
    <w:rsid w:val="00184355"/>
    <w:rsid w:val="00184CC5"/>
    <w:rsid w:val="00190726"/>
    <w:rsid w:val="001947FF"/>
    <w:rsid w:val="00194843"/>
    <w:rsid w:val="001A0C5C"/>
    <w:rsid w:val="001A1B66"/>
    <w:rsid w:val="001A1B84"/>
    <w:rsid w:val="001A4EB0"/>
    <w:rsid w:val="001B0038"/>
    <w:rsid w:val="001B44B7"/>
    <w:rsid w:val="001B4AB1"/>
    <w:rsid w:val="001B5591"/>
    <w:rsid w:val="001B567D"/>
    <w:rsid w:val="001C47B4"/>
    <w:rsid w:val="001D030F"/>
    <w:rsid w:val="001D10AD"/>
    <w:rsid w:val="001D1F61"/>
    <w:rsid w:val="001D3ACB"/>
    <w:rsid w:val="001D4174"/>
    <w:rsid w:val="001E1D0C"/>
    <w:rsid w:val="001E1D5D"/>
    <w:rsid w:val="001E6CFA"/>
    <w:rsid w:val="001E6F95"/>
    <w:rsid w:val="001F3C1E"/>
    <w:rsid w:val="001F7324"/>
    <w:rsid w:val="002029C7"/>
    <w:rsid w:val="0020415D"/>
    <w:rsid w:val="0020698E"/>
    <w:rsid w:val="00207013"/>
    <w:rsid w:val="00212C4A"/>
    <w:rsid w:val="00216A32"/>
    <w:rsid w:val="00216D6B"/>
    <w:rsid w:val="002211A4"/>
    <w:rsid w:val="002264A6"/>
    <w:rsid w:val="00232396"/>
    <w:rsid w:val="00232AF0"/>
    <w:rsid w:val="00236117"/>
    <w:rsid w:val="002422A4"/>
    <w:rsid w:val="00246D91"/>
    <w:rsid w:val="00247553"/>
    <w:rsid w:val="002565D3"/>
    <w:rsid w:val="00257285"/>
    <w:rsid w:val="0025758F"/>
    <w:rsid w:val="002602BC"/>
    <w:rsid w:val="002602DC"/>
    <w:rsid w:val="00260DBE"/>
    <w:rsid w:val="00260E6C"/>
    <w:rsid w:val="00264577"/>
    <w:rsid w:val="00266C6A"/>
    <w:rsid w:val="00266CEB"/>
    <w:rsid w:val="002728C2"/>
    <w:rsid w:val="00284A68"/>
    <w:rsid w:val="00284ADE"/>
    <w:rsid w:val="00284F83"/>
    <w:rsid w:val="00285142"/>
    <w:rsid w:val="00290957"/>
    <w:rsid w:val="00290FA5"/>
    <w:rsid w:val="00291A24"/>
    <w:rsid w:val="002925D8"/>
    <w:rsid w:val="002936F4"/>
    <w:rsid w:val="00294362"/>
    <w:rsid w:val="00294E02"/>
    <w:rsid w:val="00297231"/>
    <w:rsid w:val="002A099E"/>
    <w:rsid w:val="002B0A27"/>
    <w:rsid w:val="002B6D24"/>
    <w:rsid w:val="002C142D"/>
    <w:rsid w:val="002C19E4"/>
    <w:rsid w:val="002C24C2"/>
    <w:rsid w:val="002D29AC"/>
    <w:rsid w:val="002D4DE6"/>
    <w:rsid w:val="002E03FE"/>
    <w:rsid w:val="002E0600"/>
    <w:rsid w:val="002E4B4E"/>
    <w:rsid w:val="002F0AB2"/>
    <w:rsid w:val="002F1385"/>
    <w:rsid w:val="002F165C"/>
    <w:rsid w:val="002F71A5"/>
    <w:rsid w:val="002F75A5"/>
    <w:rsid w:val="002F7BF2"/>
    <w:rsid w:val="00300015"/>
    <w:rsid w:val="00301877"/>
    <w:rsid w:val="0030418C"/>
    <w:rsid w:val="00304A70"/>
    <w:rsid w:val="00305476"/>
    <w:rsid w:val="00311B9F"/>
    <w:rsid w:val="003131F0"/>
    <w:rsid w:val="0032163B"/>
    <w:rsid w:val="00321D4C"/>
    <w:rsid w:val="00323402"/>
    <w:rsid w:val="00323C75"/>
    <w:rsid w:val="00325A51"/>
    <w:rsid w:val="00326F0A"/>
    <w:rsid w:val="003274B0"/>
    <w:rsid w:val="00332361"/>
    <w:rsid w:val="00334241"/>
    <w:rsid w:val="003346F7"/>
    <w:rsid w:val="003355C4"/>
    <w:rsid w:val="00337BE1"/>
    <w:rsid w:val="00340457"/>
    <w:rsid w:val="003404C4"/>
    <w:rsid w:val="00345CC6"/>
    <w:rsid w:val="0035039C"/>
    <w:rsid w:val="0035109F"/>
    <w:rsid w:val="0035302D"/>
    <w:rsid w:val="00355A69"/>
    <w:rsid w:val="00355F49"/>
    <w:rsid w:val="00356EDF"/>
    <w:rsid w:val="00360904"/>
    <w:rsid w:val="003650FE"/>
    <w:rsid w:val="0036592F"/>
    <w:rsid w:val="003668B1"/>
    <w:rsid w:val="00367D29"/>
    <w:rsid w:val="00367D52"/>
    <w:rsid w:val="00367E58"/>
    <w:rsid w:val="00374281"/>
    <w:rsid w:val="00375E7A"/>
    <w:rsid w:val="0038122D"/>
    <w:rsid w:val="00381598"/>
    <w:rsid w:val="0038253F"/>
    <w:rsid w:val="00382F5F"/>
    <w:rsid w:val="0038573A"/>
    <w:rsid w:val="00385D4C"/>
    <w:rsid w:val="00391CBB"/>
    <w:rsid w:val="00392BF0"/>
    <w:rsid w:val="00392DEF"/>
    <w:rsid w:val="00392F00"/>
    <w:rsid w:val="00394A31"/>
    <w:rsid w:val="003A012C"/>
    <w:rsid w:val="003A53A0"/>
    <w:rsid w:val="003A5B20"/>
    <w:rsid w:val="003A6ACE"/>
    <w:rsid w:val="003B0C71"/>
    <w:rsid w:val="003B1E33"/>
    <w:rsid w:val="003B3C23"/>
    <w:rsid w:val="003B41A7"/>
    <w:rsid w:val="003B453F"/>
    <w:rsid w:val="003B6CD0"/>
    <w:rsid w:val="003C1F11"/>
    <w:rsid w:val="003C39EF"/>
    <w:rsid w:val="003C778D"/>
    <w:rsid w:val="003D2087"/>
    <w:rsid w:val="003D6FA5"/>
    <w:rsid w:val="003E05CB"/>
    <w:rsid w:val="003E0EDF"/>
    <w:rsid w:val="003E52A5"/>
    <w:rsid w:val="003E5C6B"/>
    <w:rsid w:val="003E79A1"/>
    <w:rsid w:val="003E7DF1"/>
    <w:rsid w:val="003F1DA0"/>
    <w:rsid w:val="003F421D"/>
    <w:rsid w:val="003F4C28"/>
    <w:rsid w:val="003F72E8"/>
    <w:rsid w:val="00400DCE"/>
    <w:rsid w:val="0041017D"/>
    <w:rsid w:val="00414BF8"/>
    <w:rsid w:val="00415D44"/>
    <w:rsid w:val="0041617E"/>
    <w:rsid w:val="004203AA"/>
    <w:rsid w:val="00424526"/>
    <w:rsid w:val="00425EA6"/>
    <w:rsid w:val="00426CFE"/>
    <w:rsid w:val="00431F31"/>
    <w:rsid w:val="00432428"/>
    <w:rsid w:val="004352B9"/>
    <w:rsid w:val="00435529"/>
    <w:rsid w:val="00437E3D"/>
    <w:rsid w:val="00437E65"/>
    <w:rsid w:val="00440079"/>
    <w:rsid w:val="004429B4"/>
    <w:rsid w:val="0044439E"/>
    <w:rsid w:val="0044507C"/>
    <w:rsid w:val="00446702"/>
    <w:rsid w:val="004518B2"/>
    <w:rsid w:val="00451A27"/>
    <w:rsid w:val="00454124"/>
    <w:rsid w:val="004548ED"/>
    <w:rsid w:val="004569A5"/>
    <w:rsid w:val="00457C86"/>
    <w:rsid w:val="00460B3E"/>
    <w:rsid w:val="00460EAD"/>
    <w:rsid w:val="0046234A"/>
    <w:rsid w:val="00462BC9"/>
    <w:rsid w:val="00470994"/>
    <w:rsid w:val="00471D4E"/>
    <w:rsid w:val="004728D2"/>
    <w:rsid w:val="0047484C"/>
    <w:rsid w:val="00482014"/>
    <w:rsid w:val="0048629A"/>
    <w:rsid w:val="004865E1"/>
    <w:rsid w:val="00486B0C"/>
    <w:rsid w:val="0048714A"/>
    <w:rsid w:val="00487182"/>
    <w:rsid w:val="00491A27"/>
    <w:rsid w:val="0049222A"/>
    <w:rsid w:val="004948AF"/>
    <w:rsid w:val="00497B4B"/>
    <w:rsid w:val="004A45EB"/>
    <w:rsid w:val="004A4B5A"/>
    <w:rsid w:val="004B4EFC"/>
    <w:rsid w:val="004B5CB4"/>
    <w:rsid w:val="004B6BD8"/>
    <w:rsid w:val="004B6CCD"/>
    <w:rsid w:val="004B74E9"/>
    <w:rsid w:val="004C2BAD"/>
    <w:rsid w:val="004C4E97"/>
    <w:rsid w:val="004C53B1"/>
    <w:rsid w:val="004C77F1"/>
    <w:rsid w:val="004D38D9"/>
    <w:rsid w:val="004D4222"/>
    <w:rsid w:val="004D482E"/>
    <w:rsid w:val="004D4DF0"/>
    <w:rsid w:val="004D5812"/>
    <w:rsid w:val="004D58B1"/>
    <w:rsid w:val="004D5BBB"/>
    <w:rsid w:val="004E0DA8"/>
    <w:rsid w:val="004E116D"/>
    <w:rsid w:val="004E14EE"/>
    <w:rsid w:val="004E3FA3"/>
    <w:rsid w:val="004E494B"/>
    <w:rsid w:val="004E6794"/>
    <w:rsid w:val="004F0DE4"/>
    <w:rsid w:val="004F2206"/>
    <w:rsid w:val="004F2A24"/>
    <w:rsid w:val="00500FA1"/>
    <w:rsid w:val="0050258D"/>
    <w:rsid w:val="00504A8F"/>
    <w:rsid w:val="00504AA8"/>
    <w:rsid w:val="005067D1"/>
    <w:rsid w:val="00507EB2"/>
    <w:rsid w:val="00513C13"/>
    <w:rsid w:val="0051529C"/>
    <w:rsid w:val="00515B37"/>
    <w:rsid w:val="00516313"/>
    <w:rsid w:val="00516D40"/>
    <w:rsid w:val="00520B5F"/>
    <w:rsid w:val="00524E7C"/>
    <w:rsid w:val="00527BFC"/>
    <w:rsid w:val="00532736"/>
    <w:rsid w:val="00546E97"/>
    <w:rsid w:val="00551AC7"/>
    <w:rsid w:val="00554E25"/>
    <w:rsid w:val="00555119"/>
    <w:rsid w:val="00557E92"/>
    <w:rsid w:val="0056000D"/>
    <w:rsid w:val="0056122A"/>
    <w:rsid w:val="00564879"/>
    <w:rsid w:val="00565054"/>
    <w:rsid w:val="0056546A"/>
    <w:rsid w:val="00571396"/>
    <w:rsid w:val="005717C5"/>
    <w:rsid w:val="00571C3F"/>
    <w:rsid w:val="00571E2E"/>
    <w:rsid w:val="00573C0E"/>
    <w:rsid w:val="00574707"/>
    <w:rsid w:val="00581A9F"/>
    <w:rsid w:val="00582458"/>
    <w:rsid w:val="00582672"/>
    <w:rsid w:val="00584EDB"/>
    <w:rsid w:val="00585DBA"/>
    <w:rsid w:val="00590D9E"/>
    <w:rsid w:val="00593DAC"/>
    <w:rsid w:val="005969E4"/>
    <w:rsid w:val="005A1E87"/>
    <w:rsid w:val="005A3FB8"/>
    <w:rsid w:val="005A4DF5"/>
    <w:rsid w:val="005A7DD1"/>
    <w:rsid w:val="005B194D"/>
    <w:rsid w:val="005C3819"/>
    <w:rsid w:val="005C5675"/>
    <w:rsid w:val="005C6140"/>
    <w:rsid w:val="005C6AF0"/>
    <w:rsid w:val="005C6C51"/>
    <w:rsid w:val="005C738D"/>
    <w:rsid w:val="005C7D3C"/>
    <w:rsid w:val="005D3557"/>
    <w:rsid w:val="005D3E17"/>
    <w:rsid w:val="005D4752"/>
    <w:rsid w:val="005D5B05"/>
    <w:rsid w:val="005D69B8"/>
    <w:rsid w:val="005DFE71"/>
    <w:rsid w:val="005E17F6"/>
    <w:rsid w:val="005E1878"/>
    <w:rsid w:val="005E38B5"/>
    <w:rsid w:val="005E501A"/>
    <w:rsid w:val="005E7DE4"/>
    <w:rsid w:val="005F5664"/>
    <w:rsid w:val="005F6AE3"/>
    <w:rsid w:val="006002F0"/>
    <w:rsid w:val="0060044A"/>
    <w:rsid w:val="006008BB"/>
    <w:rsid w:val="006048C1"/>
    <w:rsid w:val="00604952"/>
    <w:rsid w:val="006057C7"/>
    <w:rsid w:val="00607115"/>
    <w:rsid w:val="006128B4"/>
    <w:rsid w:val="006166DC"/>
    <w:rsid w:val="006168E7"/>
    <w:rsid w:val="006219E2"/>
    <w:rsid w:val="00622896"/>
    <w:rsid w:val="006232FE"/>
    <w:rsid w:val="00623F40"/>
    <w:rsid w:val="00631441"/>
    <w:rsid w:val="00631C47"/>
    <w:rsid w:val="006343B7"/>
    <w:rsid w:val="00635F90"/>
    <w:rsid w:val="00640113"/>
    <w:rsid w:val="00640E41"/>
    <w:rsid w:val="00641B98"/>
    <w:rsid w:val="006448A3"/>
    <w:rsid w:val="00644D8F"/>
    <w:rsid w:val="00645105"/>
    <w:rsid w:val="006469B2"/>
    <w:rsid w:val="00653F86"/>
    <w:rsid w:val="006554C3"/>
    <w:rsid w:val="00656C97"/>
    <w:rsid w:val="0067371F"/>
    <w:rsid w:val="00674905"/>
    <w:rsid w:val="00675FDC"/>
    <w:rsid w:val="0067669C"/>
    <w:rsid w:val="006825DB"/>
    <w:rsid w:val="00685C37"/>
    <w:rsid w:val="00685C7C"/>
    <w:rsid w:val="00692069"/>
    <w:rsid w:val="00693923"/>
    <w:rsid w:val="0069527C"/>
    <w:rsid w:val="006964A3"/>
    <w:rsid w:val="00696719"/>
    <w:rsid w:val="006A006F"/>
    <w:rsid w:val="006B22D4"/>
    <w:rsid w:val="006B5B43"/>
    <w:rsid w:val="006B69FA"/>
    <w:rsid w:val="006C3299"/>
    <w:rsid w:val="006C3671"/>
    <w:rsid w:val="006C4BF3"/>
    <w:rsid w:val="006D792B"/>
    <w:rsid w:val="006E24B8"/>
    <w:rsid w:val="006E3F61"/>
    <w:rsid w:val="006E414F"/>
    <w:rsid w:val="006E5B56"/>
    <w:rsid w:val="006F1934"/>
    <w:rsid w:val="006F1DE5"/>
    <w:rsid w:val="006F3C88"/>
    <w:rsid w:val="006F4B3D"/>
    <w:rsid w:val="007011D6"/>
    <w:rsid w:val="0070211E"/>
    <w:rsid w:val="007027AE"/>
    <w:rsid w:val="0070409D"/>
    <w:rsid w:val="007058D6"/>
    <w:rsid w:val="00707A24"/>
    <w:rsid w:val="007123AF"/>
    <w:rsid w:val="007144C7"/>
    <w:rsid w:val="00715039"/>
    <w:rsid w:val="00717B1B"/>
    <w:rsid w:val="007216C0"/>
    <w:rsid w:val="007235FD"/>
    <w:rsid w:val="007261A2"/>
    <w:rsid w:val="00726BA3"/>
    <w:rsid w:val="007278F8"/>
    <w:rsid w:val="0073070F"/>
    <w:rsid w:val="007340B3"/>
    <w:rsid w:val="00734E47"/>
    <w:rsid w:val="00735FDF"/>
    <w:rsid w:val="00737472"/>
    <w:rsid w:val="0074059E"/>
    <w:rsid w:val="007446EA"/>
    <w:rsid w:val="00750947"/>
    <w:rsid w:val="00753640"/>
    <w:rsid w:val="007537CF"/>
    <w:rsid w:val="00754624"/>
    <w:rsid w:val="00756927"/>
    <w:rsid w:val="007570D6"/>
    <w:rsid w:val="00760441"/>
    <w:rsid w:val="0076223E"/>
    <w:rsid w:val="00762986"/>
    <w:rsid w:val="00763757"/>
    <w:rsid w:val="00767988"/>
    <w:rsid w:val="00767D7C"/>
    <w:rsid w:val="00771372"/>
    <w:rsid w:val="00772135"/>
    <w:rsid w:val="00772C06"/>
    <w:rsid w:val="0078195C"/>
    <w:rsid w:val="00781D69"/>
    <w:rsid w:val="00781DD1"/>
    <w:rsid w:val="007837AE"/>
    <w:rsid w:val="00786E36"/>
    <w:rsid w:val="00786F42"/>
    <w:rsid w:val="007911CA"/>
    <w:rsid w:val="00791A6F"/>
    <w:rsid w:val="007A2E4B"/>
    <w:rsid w:val="007A701E"/>
    <w:rsid w:val="007B0328"/>
    <w:rsid w:val="007B35FC"/>
    <w:rsid w:val="007B418E"/>
    <w:rsid w:val="007B4F51"/>
    <w:rsid w:val="007B7A92"/>
    <w:rsid w:val="007B7EFE"/>
    <w:rsid w:val="007C2153"/>
    <w:rsid w:val="007C66E8"/>
    <w:rsid w:val="007D126E"/>
    <w:rsid w:val="007D37B8"/>
    <w:rsid w:val="007D5CF7"/>
    <w:rsid w:val="007E2AE2"/>
    <w:rsid w:val="007E37A7"/>
    <w:rsid w:val="007E5011"/>
    <w:rsid w:val="007E5951"/>
    <w:rsid w:val="007F378E"/>
    <w:rsid w:val="007F6E69"/>
    <w:rsid w:val="00803DC9"/>
    <w:rsid w:val="0081174C"/>
    <w:rsid w:val="008117F9"/>
    <w:rsid w:val="00820C23"/>
    <w:rsid w:val="008213DB"/>
    <w:rsid w:val="00821C8C"/>
    <w:rsid w:val="0082227F"/>
    <w:rsid w:val="0082364A"/>
    <w:rsid w:val="0082554F"/>
    <w:rsid w:val="00831365"/>
    <w:rsid w:val="008335AB"/>
    <w:rsid w:val="00833ED5"/>
    <w:rsid w:val="00833EED"/>
    <w:rsid w:val="008344C9"/>
    <w:rsid w:val="00834854"/>
    <w:rsid w:val="008349A2"/>
    <w:rsid w:val="00841367"/>
    <w:rsid w:val="008457BC"/>
    <w:rsid w:val="00845C52"/>
    <w:rsid w:val="00846CDC"/>
    <w:rsid w:val="00847964"/>
    <w:rsid w:val="008547BD"/>
    <w:rsid w:val="00863A82"/>
    <w:rsid w:val="00864E24"/>
    <w:rsid w:val="00866302"/>
    <w:rsid w:val="00867A05"/>
    <w:rsid w:val="0087004B"/>
    <w:rsid w:val="00870D4D"/>
    <w:rsid w:val="00871F95"/>
    <w:rsid w:val="00873080"/>
    <w:rsid w:val="008737E1"/>
    <w:rsid w:val="008739E0"/>
    <w:rsid w:val="008750A9"/>
    <w:rsid w:val="0087534C"/>
    <w:rsid w:val="0087667B"/>
    <w:rsid w:val="008774BC"/>
    <w:rsid w:val="00880E09"/>
    <w:rsid w:val="00881B95"/>
    <w:rsid w:val="0088458B"/>
    <w:rsid w:val="0088528F"/>
    <w:rsid w:val="00887A48"/>
    <w:rsid w:val="0089038E"/>
    <w:rsid w:val="008905D2"/>
    <w:rsid w:val="008911CA"/>
    <w:rsid w:val="008938BF"/>
    <w:rsid w:val="008968B7"/>
    <w:rsid w:val="00896AA2"/>
    <w:rsid w:val="008A108D"/>
    <w:rsid w:val="008A1F8E"/>
    <w:rsid w:val="008A5804"/>
    <w:rsid w:val="008A6719"/>
    <w:rsid w:val="008A7C69"/>
    <w:rsid w:val="008B53E8"/>
    <w:rsid w:val="008B6BED"/>
    <w:rsid w:val="008C7230"/>
    <w:rsid w:val="008D026F"/>
    <w:rsid w:val="008E0F4A"/>
    <w:rsid w:val="008E3C18"/>
    <w:rsid w:val="008E4EB5"/>
    <w:rsid w:val="008F08C5"/>
    <w:rsid w:val="008F2CDC"/>
    <w:rsid w:val="008F3A8D"/>
    <w:rsid w:val="008F4C72"/>
    <w:rsid w:val="009012F2"/>
    <w:rsid w:val="00901D63"/>
    <w:rsid w:val="00902581"/>
    <w:rsid w:val="00902A25"/>
    <w:rsid w:val="00903395"/>
    <w:rsid w:val="00905198"/>
    <w:rsid w:val="009058CB"/>
    <w:rsid w:val="00906E19"/>
    <w:rsid w:val="00907D7A"/>
    <w:rsid w:val="00911E0C"/>
    <w:rsid w:val="00911E55"/>
    <w:rsid w:val="00913415"/>
    <w:rsid w:val="00913C63"/>
    <w:rsid w:val="00913E02"/>
    <w:rsid w:val="00913EBD"/>
    <w:rsid w:val="0091567D"/>
    <w:rsid w:val="00915942"/>
    <w:rsid w:val="00916E11"/>
    <w:rsid w:val="009174A0"/>
    <w:rsid w:val="00920907"/>
    <w:rsid w:val="00923854"/>
    <w:rsid w:val="00925BB8"/>
    <w:rsid w:val="0093044B"/>
    <w:rsid w:val="00932AA3"/>
    <w:rsid w:val="009348C4"/>
    <w:rsid w:val="00937BCD"/>
    <w:rsid w:val="009409B2"/>
    <w:rsid w:val="00945237"/>
    <w:rsid w:val="00946076"/>
    <w:rsid w:val="009503B7"/>
    <w:rsid w:val="00952E2D"/>
    <w:rsid w:val="00953473"/>
    <w:rsid w:val="00953FCE"/>
    <w:rsid w:val="0095465D"/>
    <w:rsid w:val="00957FA2"/>
    <w:rsid w:val="009618CE"/>
    <w:rsid w:val="00963267"/>
    <w:rsid w:val="00964581"/>
    <w:rsid w:val="00965631"/>
    <w:rsid w:val="00965CC0"/>
    <w:rsid w:val="00966648"/>
    <w:rsid w:val="00970315"/>
    <w:rsid w:val="0097065D"/>
    <w:rsid w:val="00975522"/>
    <w:rsid w:val="009756B1"/>
    <w:rsid w:val="00986BCB"/>
    <w:rsid w:val="00987579"/>
    <w:rsid w:val="009875BD"/>
    <w:rsid w:val="0099049F"/>
    <w:rsid w:val="009905A7"/>
    <w:rsid w:val="009917EB"/>
    <w:rsid w:val="00992D45"/>
    <w:rsid w:val="00993FD4"/>
    <w:rsid w:val="009945D7"/>
    <w:rsid w:val="00995023"/>
    <w:rsid w:val="00995B8C"/>
    <w:rsid w:val="009A099C"/>
    <w:rsid w:val="009A1CF8"/>
    <w:rsid w:val="009B4F8B"/>
    <w:rsid w:val="009B653E"/>
    <w:rsid w:val="009C19E8"/>
    <w:rsid w:val="009C4DA1"/>
    <w:rsid w:val="009C5129"/>
    <w:rsid w:val="009C727D"/>
    <w:rsid w:val="009D0AC8"/>
    <w:rsid w:val="009D4EAC"/>
    <w:rsid w:val="009E1E1B"/>
    <w:rsid w:val="009E331D"/>
    <w:rsid w:val="009E3B3A"/>
    <w:rsid w:val="009E46ED"/>
    <w:rsid w:val="009E494E"/>
    <w:rsid w:val="009E4D0C"/>
    <w:rsid w:val="009E6010"/>
    <w:rsid w:val="009E7B53"/>
    <w:rsid w:val="009F0688"/>
    <w:rsid w:val="009F0DDB"/>
    <w:rsid w:val="009F3915"/>
    <w:rsid w:val="00A01505"/>
    <w:rsid w:val="00A02D49"/>
    <w:rsid w:val="00A0300F"/>
    <w:rsid w:val="00A06DA6"/>
    <w:rsid w:val="00A08C1D"/>
    <w:rsid w:val="00A13C03"/>
    <w:rsid w:val="00A1667B"/>
    <w:rsid w:val="00A16C8F"/>
    <w:rsid w:val="00A20D7F"/>
    <w:rsid w:val="00A23BFD"/>
    <w:rsid w:val="00A25A00"/>
    <w:rsid w:val="00A25B0F"/>
    <w:rsid w:val="00A262E6"/>
    <w:rsid w:val="00A274E2"/>
    <w:rsid w:val="00A27C47"/>
    <w:rsid w:val="00A315B4"/>
    <w:rsid w:val="00A3266A"/>
    <w:rsid w:val="00A3536B"/>
    <w:rsid w:val="00A510AA"/>
    <w:rsid w:val="00A51F7B"/>
    <w:rsid w:val="00A52AE3"/>
    <w:rsid w:val="00A55B7E"/>
    <w:rsid w:val="00A57433"/>
    <w:rsid w:val="00A60D56"/>
    <w:rsid w:val="00A63DF6"/>
    <w:rsid w:val="00A67800"/>
    <w:rsid w:val="00A70051"/>
    <w:rsid w:val="00A7119A"/>
    <w:rsid w:val="00A74055"/>
    <w:rsid w:val="00A76B0D"/>
    <w:rsid w:val="00A816C4"/>
    <w:rsid w:val="00A848C2"/>
    <w:rsid w:val="00A90595"/>
    <w:rsid w:val="00A93485"/>
    <w:rsid w:val="00A95613"/>
    <w:rsid w:val="00A96341"/>
    <w:rsid w:val="00A97AB1"/>
    <w:rsid w:val="00AA16B2"/>
    <w:rsid w:val="00AA322F"/>
    <w:rsid w:val="00AA3685"/>
    <w:rsid w:val="00AB3E10"/>
    <w:rsid w:val="00AB6284"/>
    <w:rsid w:val="00AB76A2"/>
    <w:rsid w:val="00AC34FD"/>
    <w:rsid w:val="00AC3C92"/>
    <w:rsid w:val="00AC4DBB"/>
    <w:rsid w:val="00AD1C50"/>
    <w:rsid w:val="00AD3CE0"/>
    <w:rsid w:val="00AD6ABC"/>
    <w:rsid w:val="00AD790E"/>
    <w:rsid w:val="00AE0688"/>
    <w:rsid w:val="00AE0B18"/>
    <w:rsid w:val="00AE4889"/>
    <w:rsid w:val="00AF097B"/>
    <w:rsid w:val="00AF1E43"/>
    <w:rsid w:val="00AF2951"/>
    <w:rsid w:val="00AF4009"/>
    <w:rsid w:val="00AF4424"/>
    <w:rsid w:val="00B06006"/>
    <w:rsid w:val="00B10A50"/>
    <w:rsid w:val="00B12FA9"/>
    <w:rsid w:val="00B134E9"/>
    <w:rsid w:val="00B20BE0"/>
    <w:rsid w:val="00B228FD"/>
    <w:rsid w:val="00B2511E"/>
    <w:rsid w:val="00B26B2C"/>
    <w:rsid w:val="00B31BC6"/>
    <w:rsid w:val="00B359EC"/>
    <w:rsid w:val="00B362B6"/>
    <w:rsid w:val="00B36717"/>
    <w:rsid w:val="00B42220"/>
    <w:rsid w:val="00B42E5C"/>
    <w:rsid w:val="00B449D9"/>
    <w:rsid w:val="00B44DA7"/>
    <w:rsid w:val="00B45607"/>
    <w:rsid w:val="00B4684D"/>
    <w:rsid w:val="00B46C32"/>
    <w:rsid w:val="00B47B82"/>
    <w:rsid w:val="00B5311A"/>
    <w:rsid w:val="00B554AA"/>
    <w:rsid w:val="00B56466"/>
    <w:rsid w:val="00B569F4"/>
    <w:rsid w:val="00B57B73"/>
    <w:rsid w:val="00B57C6F"/>
    <w:rsid w:val="00B60F19"/>
    <w:rsid w:val="00B62C0D"/>
    <w:rsid w:val="00B6657B"/>
    <w:rsid w:val="00B717B9"/>
    <w:rsid w:val="00B71EFB"/>
    <w:rsid w:val="00B831D5"/>
    <w:rsid w:val="00B86E2B"/>
    <w:rsid w:val="00B9008C"/>
    <w:rsid w:val="00B914E5"/>
    <w:rsid w:val="00B91FC8"/>
    <w:rsid w:val="00B93FDC"/>
    <w:rsid w:val="00B9501F"/>
    <w:rsid w:val="00B96FDB"/>
    <w:rsid w:val="00BA4636"/>
    <w:rsid w:val="00BA71C7"/>
    <w:rsid w:val="00BB0571"/>
    <w:rsid w:val="00BB3912"/>
    <w:rsid w:val="00BB4D8B"/>
    <w:rsid w:val="00BB6E8D"/>
    <w:rsid w:val="00BB7DE5"/>
    <w:rsid w:val="00BC3A5A"/>
    <w:rsid w:val="00BC66EA"/>
    <w:rsid w:val="00BC6ED7"/>
    <w:rsid w:val="00BD23DF"/>
    <w:rsid w:val="00BD2592"/>
    <w:rsid w:val="00BD448B"/>
    <w:rsid w:val="00BD677B"/>
    <w:rsid w:val="00BE0801"/>
    <w:rsid w:val="00BE7A32"/>
    <w:rsid w:val="00BF088E"/>
    <w:rsid w:val="00BF162B"/>
    <w:rsid w:val="00BF329F"/>
    <w:rsid w:val="00BF3BD4"/>
    <w:rsid w:val="00BF6AE4"/>
    <w:rsid w:val="00C0121B"/>
    <w:rsid w:val="00C01B43"/>
    <w:rsid w:val="00C021DC"/>
    <w:rsid w:val="00C025D8"/>
    <w:rsid w:val="00C0275A"/>
    <w:rsid w:val="00C02F35"/>
    <w:rsid w:val="00C06CC9"/>
    <w:rsid w:val="00C07BCC"/>
    <w:rsid w:val="00C113B1"/>
    <w:rsid w:val="00C12319"/>
    <w:rsid w:val="00C1363A"/>
    <w:rsid w:val="00C15DA5"/>
    <w:rsid w:val="00C207C1"/>
    <w:rsid w:val="00C21943"/>
    <w:rsid w:val="00C22228"/>
    <w:rsid w:val="00C23A50"/>
    <w:rsid w:val="00C2536F"/>
    <w:rsid w:val="00C2628C"/>
    <w:rsid w:val="00C27EAD"/>
    <w:rsid w:val="00C416EA"/>
    <w:rsid w:val="00C4250A"/>
    <w:rsid w:val="00C463C7"/>
    <w:rsid w:val="00C46EFA"/>
    <w:rsid w:val="00C47AC7"/>
    <w:rsid w:val="00C512DE"/>
    <w:rsid w:val="00C52E59"/>
    <w:rsid w:val="00C54AAE"/>
    <w:rsid w:val="00C554AD"/>
    <w:rsid w:val="00C60743"/>
    <w:rsid w:val="00C61543"/>
    <w:rsid w:val="00C626F3"/>
    <w:rsid w:val="00C644C8"/>
    <w:rsid w:val="00C66211"/>
    <w:rsid w:val="00C664C3"/>
    <w:rsid w:val="00C67139"/>
    <w:rsid w:val="00C67160"/>
    <w:rsid w:val="00C67FA9"/>
    <w:rsid w:val="00C72F20"/>
    <w:rsid w:val="00C74B43"/>
    <w:rsid w:val="00C750D2"/>
    <w:rsid w:val="00C75EA3"/>
    <w:rsid w:val="00C773E9"/>
    <w:rsid w:val="00C81482"/>
    <w:rsid w:val="00C84142"/>
    <w:rsid w:val="00C85B2B"/>
    <w:rsid w:val="00C87262"/>
    <w:rsid w:val="00C87853"/>
    <w:rsid w:val="00C96D9B"/>
    <w:rsid w:val="00CA0B35"/>
    <w:rsid w:val="00CA0F23"/>
    <w:rsid w:val="00CA25D8"/>
    <w:rsid w:val="00CA59F1"/>
    <w:rsid w:val="00CA6626"/>
    <w:rsid w:val="00CA7C89"/>
    <w:rsid w:val="00CB2684"/>
    <w:rsid w:val="00CB2F40"/>
    <w:rsid w:val="00CB4F98"/>
    <w:rsid w:val="00CB6173"/>
    <w:rsid w:val="00CB6BEE"/>
    <w:rsid w:val="00CB6EEA"/>
    <w:rsid w:val="00CB7451"/>
    <w:rsid w:val="00CB7C35"/>
    <w:rsid w:val="00CC07CB"/>
    <w:rsid w:val="00CC235B"/>
    <w:rsid w:val="00CC6F45"/>
    <w:rsid w:val="00CC77C3"/>
    <w:rsid w:val="00CC7DBD"/>
    <w:rsid w:val="00CD3F67"/>
    <w:rsid w:val="00CD511C"/>
    <w:rsid w:val="00CE0A35"/>
    <w:rsid w:val="00CE0B55"/>
    <w:rsid w:val="00CE1BD4"/>
    <w:rsid w:val="00CE335B"/>
    <w:rsid w:val="00CE3757"/>
    <w:rsid w:val="00CE56A0"/>
    <w:rsid w:val="00CE786C"/>
    <w:rsid w:val="00CF07A0"/>
    <w:rsid w:val="00CF3306"/>
    <w:rsid w:val="00CF5FC7"/>
    <w:rsid w:val="00CF6B54"/>
    <w:rsid w:val="00D00CBD"/>
    <w:rsid w:val="00D0148F"/>
    <w:rsid w:val="00D02950"/>
    <w:rsid w:val="00D031CB"/>
    <w:rsid w:val="00D04D90"/>
    <w:rsid w:val="00D13062"/>
    <w:rsid w:val="00D142F4"/>
    <w:rsid w:val="00D14B82"/>
    <w:rsid w:val="00D15B45"/>
    <w:rsid w:val="00D16087"/>
    <w:rsid w:val="00D1664A"/>
    <w:rsid w:val="00D220CD"/>
    <w:rsid w:val="00D22825"/>
    <w:rsid w:val="00D25DCC"/>
    <w:rsid w:val="00D266AE"/>
    <w:rsid w:val="00D33043"/>
    <w:rsid w:val="00D339C8"/>
    <w:rsid w:val="00D354DD"/>
    <w:rsid w:val="00D37F9F"/>
    <w:rsid w:val="00D40363"/>
    <w:rsid w:val="00D41FB1"/>
    <w:rsid w:val="00D422F4"/>
    <w:rsid w:val="00D42B59"/>
    <w:rsid w:val="00D506BD"/>
    <w:rsid w:val="00D51EEE"/>
    <w:rsid w:val="00D54BDA"/>
    <w:rsid w:val="00D550FA"/>
    <w:rsid w:val="00D61C2B"/>
    <w:rsid w:val="00D64512"/>
    <w:rsid w:val="00D64C2B"/>
    <w:rsid w:val="00D70A46"/>
    <w:rsid w:val="00D772B7"/>
    <w:rsid w:val="00D85DE8"/>
    <w:rsid w:val="00D90CFE"/>
    <w:rsid w:val="00D944E6"/>
    <w:rsid w:val="00D95749"/>
    <w:rsid w:val="00D95C6D"/>
    <w:rsid w:val="00D96171"/>
    <w:rsid w:val="00D96C91"/>
    <w:rsid w:val="00D9707B"/>
    <w:rsid w:val="00DA1DAA"/>
    <w:rsid w:val="00DA2435"/>
    <w:rsid w:val="00DA43BE"/>
    <w:rsid w:val="00DA655D"/>
    <w:rsid w:val="00DA702E"/>
    <w:rsid w:val="00DB28FC"/>
    <w:rsid w:val="00DB5340"/>
    <w:rsid w:val="00DB57B5"/>
    <w:rsid w:val="00DB6DFA"/>
    <w:rsid w:val="00DB78D6"/>
    <w:rsid w:val="00DB7DD8"/>
    <w:rsid w:val="00DC2AD4"/>
    <w:rsid w:val="00DC4893"/>
    <w:rsid w:val="00DC4CF3"/>
    <w:rsid w:val="00DD33BC"/>
    <w:rsid w:val="00DD40B0"/>
    <w:rsid w:val="00DD49A2"/>
    <w:rsid w:val="00DD517B"/>
    <w:rsid w:val="00DD7A2B"/>
    <w:rsid w:val="00DE00CC"/>
    <w:rsid w:val="00DE0FC6"/>
    <w:rsid w:val="00DE29B5"/>
    <w:rsid w:val="00DE340C"/>
    <w:rsid w:val="00DE5050"/>
    <w:rsid w:val="00DF0BE7"/>
    <w:rsid w:val="00DF12AE"/>
    <w:rsid w:val="00DF1F1D"/>
    <w:rsid w:val="00DF278A"/>
    <w:rsid w:val="00DF5BC1"/>
    <w:rsid w:val="00E00327"/>
    <w:rsid w:val="00E00F0B"/>
    <w:rsid w:val="00E02903"/>
    <w:rsid w:val="00E02F19"/>
    <w:rsid w:val="00E03A8E"/>
    <w:rsid w:val="00E04C8D"/>
    <w:rsid w:val="00E05ED2"/>
    <w:rsid w:val="00E06B37"/>
    <w:rsid w:val="00E07577"/>
    <w:rsid w:val="00E076AE"/>
    <w:rsid w:val="00E12AE1"/>
    <w:rsid w:val="00E136CE"/>
    <w:rsid w:val="00E16579"/>
    <w:rsid w:val="00E17977"/>
    <w:rsid w:val="00E20025"/>
    <w:rsid w:val="00E20D45"/>
    <w:rsid w:val="00E21E36"/>
    <w:rsid w:val="00E22BD0"/>
    <w:rsid w:val="00E240A8"/>
    <w:rsid w:val="00E2442A"/>
    <w:rsid w:val="00E250A5"/>
    <w:rsid w:val="00E277F4"/>
    <w:rsid w:val="00E31479"/>
    <w:rsid w:val="00E31B70"/>
    <w:rsid w:val="00E409B0"/>
    <w:rsid w:val="00E426E3"/>
    <w:rsid w:val="00E42992"/>
    <w:rsid w:val="00E4397C"/>
    <w:rsid w:val="00E44131"/>
    <w:rsid w:val="00E464BB"/>
    <w:rsid w:val="00E4740B"/>
    <w:rsid w:val="00E51274"/>
    <w:rsid w:val="00E53E08"/>
    <w:rsid w:val="00E5725A"/>
    <w:rsid w:val="00E63EC2"/>
    <w:rsid w:val="00E676BF"/>
    <w:rsid w:val="00E705B7"/>
    <w:rsid w:val="00E717F5"/>
    <w:rsid w:val="00E71A4F"/>
    <w:rsid w:val="00E73B04"/>
    <w:rsid w:val="00E74A89"/>
    <w:rsid w:val="00E7525D"/>
    <w:rsid w:val="00E768D0"/>
    <w:rsid w:val="00E77894"/>
    <w:rsid w:val="00E8060A"/>
    <w:rsid w:val="00E83EF5"/>
    <w:rsid w:val="00E84495"/>
    <w:rsid w:val="00E848B3"/>
    <w:rsid w:val="00E91BFE"/>
    <w:rsid w:val="00E91C2F"/>
    <w:rsid w:val="00E92DAC"/>
    <w:rsid w:val="00E946A9"/>
    <w:rsid w:val="00E976B3"/>
    <w:rsid w:val="00E976E9"/>
    <w:rsid w:val="00EA2350"/>
    <w:rsid w:val="00EA3054"/>
    <w:rsid w:val="00EA7059"/>
    <w:rsid w:val="00EB13FD"/>
    <w:rsid w:val="00EB2536"/>
    <w:rsid w:val="00EB5515"/>
    <w:rsid w:val="00EC25A1"/>
    <w:rsid w:val="00EC5344"/>
    <w:rsid w:val="00EC6E9E"/>
    <w:rsid w:val="00ED0570"/>
    <w:rsid w:val="00ED0A6F"/>
    <w:rsid w:val="00ED333C"/>
    <w:rsid w:val="00ED5E39"/>
    <w:rsid w:val="00ED77C4"/>
    <w:rsid w:val="00EE227E"/>
    <w:rsid w:val="00EE348B"/>
    <w:rsid w:val="00EE4D00"/>
    <w:rsid w:val="00EE78F0"/>
    <w:rsid w:val="00EF2C06"/>
    <w:rsid w:val="00EF3B05"/>
    <w:rsid w:val="00EF4FCC"/>
    <w:rsid w:val="00F023A7"/>
    <w:rsid w:val="00F07E4F"/>
    <w:rsid w:val="00F103F3"/>
    <w:rsid w:val="00F129FF"/>
    <w:rsid w:val="00F13C40"/>
    <w:rsid w:val="00F14035"/>
    <w:rsid w:val="00F17318"/>
    <w:rsid w:val="00F34E10"/>
    <w:rsid w:val="00F354DA"/>
    <w:rsid w:val="00F41263"/>
    <w:rsid w:val="00F439F4"/>
    <w:rsid w:val="00F441BC"/>
    <w:rsid w:val="00F465D5"/>
    <w:rsid w:val="00F50634"/>
    <w:rsid w:val="00F50D76"/>
    <w:rsid w:val="00F54BA0"/>
    <w:rsid w:val="00F555EE"/>
    <w:rsid w:val="00F615F9"/>
    <w:rsid w:val="00F6403C"/>
    <w:rsid w:val="00F6638F"/>
    <w:rsid w:val="00F66B68"/>
    <w:rsid w:val="00F71DB5"/>
    <w:rsid w:val="00F7374E"/>
    <w:rsid w:val="00F757C6"/>
    <w:rsid w:val="00F77424"/>
    <w:rsid w:val="00F8091B"/>
    <w:rsid w:val="00F847E5"/>
    <w:rsid w:val="00F84F3C"/>
    <w:rsid w:val="00F85641"/>
    <w:rsid w:val="00F872E2"/>
    <w:rsid w:val="00F87496"/>
    <w:rsid w:val="00F90463"/>
    <w:rsid w:val="00F90B2F"/>
    <w:rsid w:val="00F9201F"/>
    <w:rsid w:val="00F92B3B"/>
    <w:rsid w:val="00F93B49"/>
    <w:rsid w:val="00F946D8"/>
    <w:rsid w:val="00F965C3"/>
    <w:rsid w:val="00F96B62"/>
    <w:rsid w:val="00F978C4"/>
    <w:rsid w:val="00FA0415"/>
    <w:rsid w:val="00FA30EF"/>
    <w:rsid w:val="00FA4470"/>
    <w:rsid w:val="00FA4EA7"/>
    <w:rsid w:val="00FA7748"/>
    <w:rsid w:val="00FB285D"/>
    <w:rsid w:val="00FB512E"/>
    <w:rsid w:val="00FB66DC"/>
    <w:rsid w:val="00FC3645"/>
    <w:rsid w:val="00FC42AE"/>
    <w:rsid w:val="00FC6CE8"/>
    <w:rsid w:val="00FD459B"/>
    <w:rsid w:val="00FE1BCA"/>
    <w:rsid w:val="00FE2123"/>
    <w:rsid w:val="00FE4654"/>
    <w:rsid w:val="00FE603B"/>
    <w:rsid w:val="00FF08C1"/>
    <w:rsid w:val="00FF442D"/>
    <w:rsid w:val="00FF78D5"/>
    <w:rsid w:val="011464E5"/>
    <w:rsid w:val="027035E2"/>
    <w:rsid w:val="02765B61"/>
    <w:rsid w:val="03D5EDE9"/>
    <w:rsid w:val="03DD6A4B"/>
    <w:rsid w:val="053C0145"/>
    <w:rsid w:val="062E42FF"/>
    <w:rsid w:val="06EBB7F1"/>
    <w:rsid w:val="076A0523"/>
    <w:rsid w:val="08239E54"/>
    <w:rsid w:val="0893D531"/>
    <w:rsid w:val="08B7A4E4"/>
    <w:rsid w:val="0917C461"/>
    <w:rsid w:val="09A68EFC"/>
    <w:rsid w:val="09D47B9E"/>
    <w:rsid w:val="0A848DD7"/>
    <w:rsid w:val="0B05BE27"/>
    <w:rsid w:val="0B64C25A"/>
    <w:rsid w:val="0B704BFF"/>
    <w:rsid w:val="0B9DBBBB"/>
    <w:rsid w:val="0C103FDC"/>
    <w:rsid w:val="0C484149"/>
    <w:rsid w:val="0DFBE705"/>
    <w:rsid w:val="0E002404"/>
    <w:rsid w:val="0EAC63BE"/>
    <w:rsid w:val="0EBCF20E"/>
    <w:rsid w:val="0F24B09B"/>
    <w:rsid w:val="0F8018C0"/>
    <w:rsid w:val="0F96A5D4"/>
    <w:rsid w:val="107A7309"/>
    <w:rsid w:val="10A39EB1"/>
    <w:rsid w:val="11327635"/>
    <w:rsid w:val="114DBEB0"/>
    <w:rsid w:val="11D2B4A1"/>
    <w:rsid w:val="11E7B8B7"/>
    <w:rsid w:val="11F16A6A"/>
    <w:rsid w:val="11F578B2"/>
    <w:rsid w:val="1238BF39"/>
    <w:rsid w:val="12E84EAE"/>
    <w:rsid w:val="131D6A4F"/>
    <w:rsid w:val="133460BA"/>
    <w:rsid w:val="136AF589"/>
    <w:rsid w:val="13BA1C03"/>
    <w:rsid w:val="1436714D"/>
    <w:rsid w:val="1461644B"/>
    <w:rsid w:val="147BC4FD"/>
    <w:rsid w:val="14D1D2AF"/>
    <w:rsid w:val="152C1FB1"/>
    <w:rsid w:val="15CF7896"/>
    <w:rsid w:val="15F53D31"/>
    <w:rsid w:val="1760BD41"/>
    <w:rsid w:val="17C0E0EB"/>
    <w:rsid w:val="17CFEE8B"/>
    <w:rsid w:val="187186CE"/>
    <w:rsid w:val="18D08631"/>
    <w:rsid w:val="194DC956"/>
    <w:rsid w:val="19BCEC07"/>
    <w:rsid w:val="1A4D3A56"/>
    <w:rsid w:val="1A537553"/>
    <w:rsid w:val="1B195036"/>
    <w:rsid w:val="1BE5C719"/>
    <w:rsid w:val="1C01DC41"/>
    <w:rsid w:val="1C8520EC"/>
    <w:rsid w:val="1D6C5F18"/>
    <w:rsid w:val="1D7818F0"/>
    <w:rsid w:val="1D81977A"/>
    <w:rsid w:val="1DEBB718"/>
    <w:rsid w:val="1E185635"/>
    <w:rsid w:val="1EF1DC4B"/>
    <w:rsid w:val="1FB45FBA"/>
    <w:rsid w:val="1FCDEDE5"/>
    <w:rsid w:val="1FF3D515"/>
    <w:rsid w:val="20530673"/>
    <w:rsid w:val="2093DA34"/>
    <w:rsid w:val="218B906D"/>
    <w:rsid w:val="221556B2"/>
    <w:rsid w:val="22C0D6EB"/>
    <w:rsid w:val="22C4C23E"/>
    <w:rsid w:val="22D3DF1F"/>
    <w:rsid w:val="22FE9BE7"/>
    <w:rsid w:val="235BED7C"/>
    <w:rsid w:val="23654C79"/>
    <w:rsid w:val="23864C3A"/>
    <w:rsid w:val="23973CB4"/>
    <w:rsid w:val="23E54644"/>
    <w:rsid w:val="2466CE14"/>
    <w:rsid w:val="2499F941"/>
    <w:rsid w:val="2501A546"/>
    <w:rsid w:val="25471C7C"/>
    <w:rsid w:val="2584F653"/>
    <w:rsid w:val="25B90A16"/>
    <w:rsid w:val="2607BEEC"/>
    <w:rsid w:val="26AEFCAE"/>
    <w:rsid w:val="26B3F622"/>
    <w:rsid w:val="26FF090E"/>
    <w:rsid w:val="272879C0"/>
    <w:rsid w:val="28DA00AE"/>
    <w:rsid w:val="2A27D643"/>
    <w:rsid w:val="2B2B9CB4"/>
    <w:rsid w:val="2BC75411"/>
    <w:rsid w:val="2BD36527"/>
    <w:rsid w:val="2C387E5F"/>
    <w:rsid w:val="2C4E90D4"/>
    <w:rsid w:val="2C7069E1"/>
    <w:rsid w:val="2C90B76D"/>
    <w:rsid w:val="2CD1EC9F"/>
    <w:rsid w:val="2CE6EADE"/>
    <w:rsid w:val="2D9FA8CA"/>
    <w:rsid w:val="2DAD190A"/>
    <w:rsid w:val="2DF69BBA"/>
    <w:rsid w:val="2E5D1D78"/>
    <w:rsid w:val="2E65F2EF"/>
    <w:rsid w:val="2F863196"/>
    <w:rsid w:val="301E25E4"/>
    <w:rsid w:val="30222E18"/>
    <w:rsid w:val="3085D64C"/>
    <w:rsid w:val="309D87FE"/>
    <w:rsid w:val="3103D691"/>
    <w:rsid w:val="311BD40B"/>
    <w:rsid w:val="313EE4E9"/>
    <w:rsid w:val="3178C2F5"/>
    <w:rsid w:val="32471345"/>
    <w:rsid w:val="32CD4174"/>
    <w:rsid w:val="32EDEAA2"/>
    <w:rsid w:val="32F406AE"/>
    <w:rsid w:val="3323889B"/>
    <w:rsid w:val="332DA2DA"/>
    <w:rsid w:val="339A04C6"/>
    <w:rsid w:val="33CF3863"/>
    <w:rsid w:val="340EEA4E"/>
    <w:rsid w:val="3442E52B"/>
    <w:rsid w:val="346911D5"/>
    <w:rsid w:val="346B138E"/>
    <w:rsid w:val="346B7B14"/>
    <w:rsid w:val="356B08C4"/>
    <w:rsid w:val="35AABAAF"/>
    <w:rsid w:val="35B75F5E"/>
    <w:rsid w:val="35D5E490"/>
    <w:rsid w:val="363D8FBB"/>
    <w:rsid w:val="3653C7F3"/>
    <w:rsid w:val="36C93B79"/>
    <w:rsid w:val="377D031E"/>
    <w:rsid w:val="37B7F5C2"/>
    <w:rsid w:val="37DEEFC2"/>
    <w:rsid w:val="388E520A"/>
    <w:rsid w:val="389C7689"/>
    <w:rsid w:val="38EF924C"/>
    <w:rsid w:val="39B078AA"/>
    <w:rsid w:val="39B25FC5"/>
    <w:rsid w:val="3AFFCE7F"/>
    <w:rsid w:val="3B27C181"/>
    <w:rsid w:val="3B88236F"/>
    <w:rsid w:val="3BEB9B74"/>
    <w:rsid w:val="3C713539"/>
    <w:rsid w:val="3C9D09C3"/>
    <w:rsid w:val="3D0DBF26"/>
    <w:rsid w:val="3D349613"/>
    <w:rsid w:val="3E368CD3"/>
    <w:rsid w:val="3E8659AD"/>
    <w:rsid w:val="3E955799"/>
    <w:rsid w:val="3EA84A11"/>
    <w:rsid w:val="3EBE6154"/>
    <w:rsid w:val="3FE70173"/>
    <w:rsid w:val="3FEFEC38"/>
    <w:rsid w:val="400281E4"/>
    <w:rsid w:val="401F35B1"/>
    <w:rsid w:val="40483CAB"/>
    <w:rsid w:val="40B19E1C"/>
    <w:rsid w:val="40EF3F20"/>
    <w:rsid w:val="416C99FE"/>
    <w:rsid w:val="41E0E85C"/>
    <w:rsid w:val="435362F5"/>
    <w:rsid w:val="43561168"/>
    <w:rsid w:val="43AC294E"/>
    <w:rsid w:val="4431EC83"/>
    <w:rsid w:val="447F6DC3"/>
    <w:rsid w:val="44CBB51B"/>
    <w:rsid w:val="44EA704C"/>
    <w:rsid w:val="468640AD"/>
    <w:rsid w:val="4726E95B"/>
    <w:rsid w:val="47371CCB"/>
    <w:rsid w:val="47791363"/>
    <w:rsid w:val="479A17C1"/>
    <w:rsid w:val="47F79785"/>
    <w:rsid w:val="481AD6D2"/>
    <w:rsid w:val="4838DD90"/>
    <w:rsid w:val="484728F9"/>
    <w:rsid w:val="48C13287"/>
    <w:rsid w:val="48CDDA73"/>
    <w:rsid w:val="48FCD9A3"/>
    <w:rsid w:val="49265097"/>
    <w:rsid w:val="4935E822"/>
    <w:rsid w:val="4937FEB0"/>
    <w:rsid w:val="499367E6"/>
    <w:rsid w:val="4A9CFCEB"/>
    <w:rsid w:val="4B213272"/>
    <w:rsid w:val="4B81F48D"/>
    <w:rsid w:val="4D4227AF"/>
    <w:rsid w:val="4D59EF37"/>
    <w:rsid w:val="4D6D0F56"/>
    <w:rsid w:val="4D7842A2"/>
    <w:rsid w:val="4DDFF198"/>
    <w:rsid w:val="4DE17BD0"/>
    <w:rsid w:val="4DE792D5"/>
    <w:rsid w:val="4E6CC966"/>
    <w:rsid w:val="4E8EF9B3"/>
    <w:rsid w:val="4F164495"/>
    <w:rsid w:val="4F5455C4"/>
    <w:rsid w:val="4FA59F92"/>
    <w:rsid w:val="4FA5B90E"/>
    <w:rsid w:val="4FF06E84"/>
    <w:rsid w:val="4FFB0B51"/>
    <w:rsid w:val="505F1AA8"/>
    <w:rsid w:val="50D923FF"/>
    <w:rsid w:val="50EBB44F"/>
    <w:rsid w:val="50EE3085"/>
    <w:rsid w:val="5117FFFA"/>
    <w:rsid w:val="51C644BA"/>
    <w:rsid w:val="521E835F"/>
    <w:rsid w:val="5222050D"/>
    <w:rsid w:val="52705CE2"/>
    <w:rsid w:val="52CF2C4F"/>
    <w:rsid w:val="534A0375"/>
    <w:rsid w:val="5379FC17"/>
    <w:rsid w:val="54071C44"/>
    <w:rsid w:val="544EE02A"/>
    <w:rsid w:val="54768744"/>
    <w:rsid w:val="547E8D98"/>
    <w:rsid w:val="54C24C10"/>
    <w:rsid w:val="5557FD15"/>
    <w:rsid w:val="556816DA"/>
    <w:rsid w:val="55858619"/>
    <w:rsid w:val="5612A420"/>
    <w:rsid w:val="56E9F209"/>
    <w:rsid w:val="570B5C8E"/>
    <w:rsid w:val="5768C347"/>
    <w:rsid w:val="578C946F"/>
    <w:rsid w:val="57F5B2A0"/>
    <w:rsid w:val="59BA158C"/>
    <w:rsid w:val="59F52FE3"/>
    <w:rsid w:val="5AC738FB"/>
    <w:rsid w:val="5AF338EC"/>
    <w:rsid w:val="5B0CC097"/>
    <w:rsid w:val="5B189030"/>
    <w:rsid w:val="5BE1CB87"/>
    <w:rsid w:val="5C3C1F10"/>
    <w:rsid w:val="5C5704F2"/>
    <w:rsid w:val="5CB417A2"/>
    <w:rsid w:val="5CC80415"/>
    <w:rsid w:val="5D343910"/>
    <w:rsid w:val="5EE369A4"/>
    <w:rsid w:val="5EED372C"/>
    <w:rsid w:val="5F134002"/>
    <w:rsid w:val="5FAD2BFD"/>
    <w:rsid w:val="5FEA6EAD"/>
    <w:rsid w:val="5FF2BC32"/>
    <w:rsid w:val="604ED19B"/>
    <w:rsid w:val="6208E1B5"/>
    <w:rsid w:val="62398B36"/>
    <w:rsid w:val="623D42AB"/>
    <w:rsid w:val="628794CF"/>
    <w:rsid w:val="6303234C"/>
    <w:rsid w:val="63562F72"/>
    <w:rsid w:val="63670070"/>
    <w:rsid w:val="63B196CF"/>
    <w:rsid w:val="658ACAE9"/>
    <w:rsid w:val="66119A47"/>
    <w:rsid w:val="662980CD"/>
    <w:rsid w:val="667CC43E"/>
    <w:rsid w:val="66C6FE19"/>
    <w:rsid w:val="66DF476D"/>
    <w:rsid w:val="6703F93C"/>
    <w:rsid w:val="6740125F"/>
    <w:rsid w:val="67506E68"/>
    <w:rsid w:val="67B0B5EB"/>
    <w:rsid w:val="67D10307"/>
    <w:rsid w:val="6841DF51"/>
    <w:rsid w:val="6845D512"/>
    <w:rsid w:val="69279477"/>
    <w:rsid w:val="693E2B9A"/>
    <w:rsid w:val="6A085A2F"/>
    <w:rsid w:val="6A2C4689"/>
    <w:rsid w:val="6A880F2A"/>
    <w:rsid w:val="6A9A3E78"/>
    <w:rsid w:val="6AD1D305"/>
    <w:rsid w:val="6AD2FE56"/>
    <w:rsid w:val="6AF6BB4E"/>
    <w:rsid w:val="6B107409"/>
    <w:rsid w:val="6B503561"/>
    <w:rsid w:val="6C476B9D"/>
    <w:rsid w:val="6C928BAF"/>
    <w:rsid w:val="6C98380C"/>
    <w:rsid w:val="6CAD4CB2"/>
    <w:rsid w:val="6CCC5DA0"/>
    <w:rsid w:val="6DC93BA1"/>
    <w:rsid w:val="6E27534A"/>
    <w:rsid w:val="6E9EBCEA"/>
    <w:rsid w:val="6EA7DF14"/>
    <w:rsid w:val="6EFD8C9C"/>
    <w:rsid w:val="70C806FE"/>
    <w:rsid w:val="7127BDA2"/>
    <w:rsid w:val="7148D432"/>
    <w:rsid w:val="715EF40C"/>
    <w:rsid w:val="719FCEC3"/>
    <w:rsid w:val="71E03894"/>
    <w:rsid w:val="727558C1"/>
    <w:rsid w:val="72BDD7AC"/>
    <w:rsid w:val="72C4E9DB"/>
    <w:rsid w:val="73464D57"/>
    <w:rsid w:val="73772B98"/>
    <w:rsid w:val="7388CF05"/>
    <w:rsid w:val="74531222"/>
    <w:rsid w:val="74AA8CFD"/>
    <w:rsid w:val="7537122D"/>
    <w:rsid w:val="7549CF4A"/>
    <w:rsid w:val="75E4BF19"/>
    <w:rsid w:val="7633CD44"/>
    <w:rsid w:val="76B9C6FC"/>
    <w:rsid w:val="76BA1DCA"/>
    <w:rsid w:val="76CBDF4D"/>
    <w:rsid w:val="7710FCA9"/>
    <w:rsid w:val="782FBB7D"/>
    <w:rsid w:val="7A4BDF1E"/>
    <w:rsid w:val="7ACFF152"/>
    <w:rsid w:val="7B2221F4"/>
    <w:rsid w:val="7B23372C"/>
    <w:rsid w:val="7B637E6A"/>
    <w:rsid w:val="7C1499B7"/>
    <w:rsid w:val="7C2A66AD"/>
    <w:rsid w:val="7D39C8F1"/>
    <w:rsid w:val="7D64207B"/>
    <w:rsid w:val="7DDCC422"/>
    <w:rsid w:val="7E0F93C8"/>
    <w:rsid w:val="7F76C63D"/>
    <w:rsid w:val="7FCB7E6E"/>
    <w:rsid w:val="7FE18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980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qFormat="1"/>
    <w:lsdException w:name="caption" w:semiHidden="1" w:unhideWhenUsed="1" w:qFormat="1"/>
    <w:lsdException w:name="annotation reference" w:uiPriority="99"/>
    <w:lsdException w:name="Body Text" w:uiPriority="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49B8"/>
    <w:pPr>
      <w:spacing w:before="120" w:after="120"/>
    </w:pPr>
    <w:rPr>
      <w:rFonts w:asciiTheme="minorHAnsi" w:hAnsiTheme="minorHAnsi" w:cs="Arial"/>
      <w:szCs w:val="22"/>
      <w:lang w:eastAsia="en-US"/>
    </w:rPr>
  </w:style>
  <w:style w:type="paragraph" w:styleId="Heading1">
    <w:name w:val="heading 1"/>
    <w:basedOn w:val="BodyText"/>
    <w:next w:val="BodyText"/>
    <w:link w:val="Heading1Char"/>
    <w:uiPriority w:val="9"/>
    <w:qFormat/>
    <w:rsid w:val="00D33043"/>
    <w:pPr>
      <w:keepNext/>
      <w:spacing w:before="60" w:after="240"/>
      <w:outlineLvl w:val="0"/>
    </w:pPr>
    <w:rPr>
      <w:rFonts w:asciiTheme="majorHAnsi" w:hAnsiTheme="majorHAnsi"/>
      <w:b/>
      <w:bCs/>
      <w:color w:val="1B365D" w:themeColor="accent2"/>
      <w:kern w:val="32"/>
      <w:sz w:val="48"/>
      <w:szCs w:val="40"/>
    </w:rPr>
  </w:style>
  <w:style w:type="paragraph" w:styleId="Heading2">
    <w:name w:val="heading 2"/>
    <w:basedOn w:val="BodyText"/>
    <w:next w:val="BodyText"/>
    <w:link w:val="Heading2Char"/>
    <w:unhideWhenUsed/>
    <w:qFormat/>
    <w:rsid w:val="00D33043"/>
    <w:pPr>
      <w:keepNext/>
      <w:outlineLvl w:val="1"/>
    </w:pPr>
    <w:rPr>
      <w:rFonts w:asciiTheme="majorHAnsi" w:hAnsiTheme="majorHAnsi"/>
      <w:b/>
      <w:bCs/>
      <w:iCs/>
      <w:color w:val="1B365D" w:themeColor="accent2"/>
      <w:sz w:val="36"/>
      <w:szCs w:val="28"/>
    </w:rPr>
  </w:style>
  <w:style w:type="paragraph" w:styleId="Heading3">
    <w:name w:val="heading 3"/>
    <w:basedOn w:val="BodyText"/>
    <w:link w:val="Heading3Char"/>
    <w:unhideWhenUsed/>
    <w:qFormat/>
    <w:rsid w:val="00D33043"/>
    <w:pPr>
      <w:keepNext/>
      <w:spacing w:before="60"/>
      <w:outlineLvl w:val="2"/>
    </w:pPr>
    <w:rPr>
      <w:rFonts w:asciiTheme="majorHAnsi" w:hAnsiTheme="majorHAnsi"/>
      <w:b/>
      <w:bCs/>
      <w:sz w:val="28"/>
      <w:szCs w:val="26"/>
    </w:rPr>
  </w:style>
  <w:style w:type="paragraph" w:styleId="Heading4">
    <w:name w:val="heading 4"/>
    <w:basedOn w:val="BodyText"/>
    <w:next w:val="BodyText"/>
    <w:link w:val="Heading4Char"/>
    <w:unhideWhenUsed/>
    <w:qFormat/>
    <w:rsid w:val="00D33043"/>
    <w:pPr>
      <w:keepNext/>
      <w:spacing w:before="60"/>
      <w:outlineLvl w:val="3"/>
    </w:pPr>
    <w:rPr>
      <w:rFonts w:asciiTheme="majorHAnsi" w:hAnsiTheme="majorHAnsi"/>
      <w:bCs/>
    </w:rPr>
  </w:style>
  <w:style w:type="paragraph" w:styleId="Heading5">
    <w:name w:val="heading 5"/>
    <w:basedOn w:val="BodyText"/>
    <w:next w:val="BodyText"/>
    <w:link w:val="Heading5Char"/>
    <w:unhideWhenUsed/>
    <w:qFormat/>
    <w:rsid w:val="001718EC"/>
    <w:pPr>
      <w:keepNext/>
      <w:keepLines/>
      <w:spacing w:before="40"/>
      <w:outlineLvl w:val="4"/>
    </w:pPr>
    <w:rPr>
      <w:rFonts w:asciiTheme="majorHAnsi" w:eastAsiaTheme="majorEastAsia" w:hAnsiTheme="majorHAnsi"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semiHidden/>
    <w:rsid w:val="00260E6C"/>
    <w:pPr>
      <w:widowControl w:val="0"/>
      <w:pBdr>
        <w:bottom w:val="single" w:sz="8" w:space="4" w:color="00B5E2"/>
      </w:pBdr>
      <w:autoSpaceDE w:val="0"/>
      <w:autoSpaceDN w:val="0"/>
      <w:spacing w:before="60"/>
      <w:contextualSpacing/>
    </w:pPr>
    <w:rPr>
      <w:rFonts w:eastAsia="Roboto"/>
      <w:caps/>
      <w:lang w:val="en-US"/>
    </w:rPr>
  </w:style>
  <w:style w:type="paragraph" w:styleId="Footer">
    <w:name w:val="footer"/>
    <w:basedOn w:val="BodyText"/>
    <w:autoRedefine/>
    <w:semiHidden/>
    <w:qFormat/>
    <w:rsid w:val="00190726"/>
    <w:pPr>
      <w:pBdr>
        <w:top w:val="single" w:sz="4" w:space="3" w:color="00B5E2" w:themeColor="accent1"/>
      </w:pBdr>
      <w:tabs>
        <w:tab w:val="center" w:pos="4153"/>
        <w:tab w:val="right" w:pos="8306"/>
      </w:tabs>
    </w:pPr>
  </w:style>
  <w:style w:type="character" w:customStyle="1" w:styleId="Heading5Char">
    <w:name w:val="Heading 5 Char"/>
    <w:basedOn w:val="DefaultParagraphFont"/>
    <w:link w:val="Heading5"/>
    <w:rsid w:val="003B0C71"/>
    <w:rPr>
      <w:rFonts w:asciiTheme="majorHAnsi" w:eastAsiaTheme="majorEastAsia" w:hAnsiTheme="majorHAnsi" w:cstheme="majorBidi"/>
      <w:b/>
      <w:bCs/>
      <w:lang w:eastAsia="en-US"/>
    </w:rPr>
  </w:style>
  <w:style w:type="paragraph" w:styleId="Title">
    <w:name w:val="Title"/>
    <w:basedOn w:val="BodyText"/>
    <w:next w:val="Subtitle"/>
    <w:link w:val="TitleChar"/>
    <w:rsid w:val="00C67160"/>
    <w:pPr>
      <w:spacing w:before="1600" w:after="240"/>
    </w:pPr>
    <w:rPr>
      <w:rFonts w:ascii="Roboto" w:hAnsi="Roboto"/>
      <w:b/>
      <w:color w:val="1B365D" w:themeColor="accent2"/>
      <w:sz w:val="72"/>
    </w:rPr>
  </w:style>
  <w:style w:type="character" w:customStyle="1" w:styleId="TitleChar">
    <w:name w:val="Title Char"/>
    <w:basedOn w:val="DefaultParagraphFont"/>
    <w:link w:val="Title"/>
    <w:rsid w:val="00B12FA9"/>
    <w:rPr>
      <w:rFonts w:ascii="Roboto" w:hAnsi="Roboto" w:cs="Arial"/>
      <w:b/>
      <w:color w:val="1B365D" w:themeColor="accent2"/>
      <w:sz w:val="72"/>
      <w:szCs w:val="22"/>
      <w:lang w:val="en-US" w:eastAsia="en-US"/>
    </w:rPr>
  </w:style>
  <w:style w:type="paragraph" w:styleId="TOC1">
    <w:name w:val="toc 1"/>
    <w:basedOn w:val="BodyText"/>
    <w:next w:val="TOC2"/>
    <w:autoRedefine/>
    <w:uiPriority w:val="39"/>
    <w:qFormat/>
    <w:rsid w:val="00772135"/>
    <w:pPr>
      <w:tabs>
        <w:tab w:val="right" w:leader="dot" w:pos="9638"/>
      </w:tabs>
      <w:spacing w:before="240" w:after="240"/>
    </w:pPr>
    <w:rPr>
      <w:rFonts w:cstheme="minorHAnsi"/>
      <w:b/>
      <w:noProof/>
      <w:sz w:val="22"/>
    </w:rPr>
  </w:style>
  <w:style w:type="paragraph" w:styleId="TOC2">
    <w:name w:val="toc 2"/>
    <w:basedOn w:val="BodyText"/>
    <w:next w:val="TOC3"/>
    <w:autoRedefine/>
    <w:uiPriority w:val="39"/>
    <w:rsid w:val="00ED0570"/>
    <w:pPr>
      <w:tabs>
        <w:tab w:val="right" w:leader="dot" w:pos="9639"/>
      </w:tabs>
      <w:spacing w:before="240" w:after="240"/>
      <w:ind w:left="238"/>
    </w:pPr>
    <w:rPr>
      <w:rFonts w:ascii="Arial" w:hAnsi="Arial"/>
      <w:noProof/>
      <w:sz w:val="22"/>
    </w:rPr>
  </w:style>
  <w:style w:type="paragraph" w:styleId="TOC3">
    <w:name w:val="toc 3"/>
    <w:basedOn w:val="BodyText"/>
    <w:autoRedefine/>
    <w:uiPriority w:val="39"/>
    <w:rsid w:val="00581A9F"/>
    <w:pPr>
      <w:tabs>
        <w:tab w:val="right" w:leader="dot" w:pos="9628"/>
      </w:tabs>
      <w:ind w:left="482"/>
    </w:pPr>
    <w:rPr>
      <w:rFonts w:ascii="Roboto" w:hAnsi="Roboto"/>
      <w:noProof/>
    </w:rPr>
  </w:style>
  <w:style w:type="character" w:styleId="Hyperlink">
    <w:name w:val="Hyperlink"/>
    <w:uiPriority w:val="99"/>
    <w:rsid w:val="0044439E"/>
    <w:rPr>
      <w:rFonts w:asciiTheme="minorHAnsi" w:hAnsiTheme="minorHAnsi"/>
      <w:b/>
      <w:color w:val="1B365D" w:themeColor="accent2"/>
      <w:u w:val="single"/>
    </w:rPr>
  </w:style>
  <w:style w:type="paragraph" w:styleId="Subtitle">
    <w:name w:val="Subtitle"/>
    <w:basedOn w:val="BodyText"/>
    <w:next w:val="Date"/>
    <w:link w:val="SubtitleChar"/>
    <w:rsid w:val="00C67160"/>
    <w:pPr>
      <w:spacing w:before="240" w:after="240"/>
    </w:pPr>
    <w:rPr>
      <w:rFonts w:ascii="Roboto" w:hAnsi="Roboto"/>
      <w:color w:val="1B365D" w:themeColor="accent2"/>
      <w:sz w:val="36"/>
    </w:rPr>
  </w:style>
  <w:style w:type="character" w:customStyle="1" w:styleId="SubtitleChar">
    <w:name w:val="Subtitle Char"/>
    <w:basedOn w:val="DefaultParagraphFont"/>
    <w:link w:val="Subtitle"/>
    <w:rsid w:val="00B12FA9"/>
    <w:rPr>
      <w:rFonts w:ascii="Roboto" w:hAnsi="Roboto" w:cs="Arial"/>
      <w:color w:val="1B365D" w:themeColor="accent2"/>
      <w:sz w:val="36"/>
      <w:szCs w:val="22"/>
      <w:lang w:val="en-US" w:eastAsia="en-US"/>
    </w:rPr>
  </w:style>
  <w:style w:type="character" w:customStyle="1" w:styleId="Heading1Char">
    <w:name w:val="Heading 1 Char"/>
    <w:link w:val="Heading1"/>
    <w:uiPriority w:val="9"/>
    <w:rsid w:val="0016536A"/>
    <w:rPr>
      <w:rFonts w:asciiTheme="majorHAnsi" w:hAnsiTheme="majorHAnsi" w:cs="Arial"/>
      <w:b/>
      <w:bCs/>
      <w:color w:val="1B365D" w:themeColor="accent2"/>
      <w:kern w:val="32"/>
      <w:sz w:val="48"/>
      <w:szCs w:val="40"/>
      <w:lang w:val="en-US" w:eastAsia="en-US"/>
    </w:rPr>
  </w:style>
  <w:style w:type="character" w:customStyle="1" w:styleId="Heading2Char">
    <w:name w:val="Heading 2 Char"/>
    <w:link w:val="Heading2"/>
    <w:rsid w:val="003668B1"/>
    <w:rPr>
      <w:rFonts w:asciiTheme="majorHAnsi" w:hAnsiTheme="majorHAnsi" w:cs="Arial"/>
      <w:b/>
      <w:bCs/>
      <w:iCs/>
      <w:color w:val="1B365D" w:themeColor="accent2"/>
      <w:sz w:val="36"/>
      <w:szCs w:val="28"/>
      <w:lang w:val="en-US" w:eastAsia="en-US"/>
    </w:rPr>
  </w:style>
  <w:style w:type="character" w:customStyle="1" w:styleId="Heading3Char">
    <w:name w:val="Heading 3 Char"/>
    <w:link w:val="Heading3"/>
    <w:rsid w:val="003668B1"/>
    <w:rPr>
      <w:rFonts w:asciiTheme="majorHAnsi" w:hAnsiTheme="majorHAnsi" w:cs="Arial"/>
      <w:b/>
      <w:bCs/>
      <w:sz w:val="28"/>
      <w:szCs w:val="26"/>
      <w:lang w:val="en-US" w:eastAsia="en-US"/>
    </w:rPr>
  </w:style>
  <w:style w:type="character" w:customStyle="1" w:styleId="Heading4Char">
    <w:name w:val="Heading 4 Char"/>
    <w:link w:val="Heading4"/>
    <w:rsid w:val="003668B1"/>
    <w:rPr>
      <w:rFonts w:asciiTheme="majorHAnsi" w:hAnsiTheme="majorHAnsi" w:cs="Arial"/>
      <w:bCs/>
      <w:szCs w:val="22"/>
      <w:lang w:val="en-US" w:eastAsia="en-US"/>
    </w:rPr>
  </w:style>
  <w:style w:type="paragraph" w:styleId="Date">
    <w:name w:val="Date"/>
    <w:basedOn w:val="BodyText"/>
    <w:next w:val="Heading1"/>
    <w:link w:val="DateChar"/>
    <w:rsid w:val="00C67160"/>
    <w:pPr>
      <w:spacing w:before="360" w:after="240"/>
    </w:pPr>
    <w:rPr>
      <w:rFonts w:ascii="Roboto" w:hAnsi="Roboto"/>
    </w:rPr>
  </w:style>
  <w:style w:type="paragraph" w:styleId="TOCHeading">
    <w:name w:val="TOC Heading"/>
    <w:basedOn w:val="Heading1"/>
    <w:next w:val="TOC1"/>
    <w:uiPriority w:val="39"/>
    <w:unhideWhenUsed/>
    <w:qFormat/>
    <w:rsid w:val="0082227F"/>
    <w:pPr>
      <w:keepLines/>
      <w:spacing w:after="0" w:line="259" w:lineRule="auto"/>
      <w:outlineLvl w:val="9"/>
    </w:pPr>
    <w:rPr>
      <w:rFonts w:ascii="Arial" w:eastAsiaTheme="majorEastAsia" w:hAnsi="Arial" w:cstheme="majorBidi"/>
      <w:bCs w:val="0"/>
      <w:kern w:val="0"/>
      <w:sz w:val="40"/>
      <w:lang w:val="en-US"/>
    </w:rPr>
  </w:style>
  <w:style w:type="table" w:styleId="ListTable3-Accent1">
    <w:name w:val="List Table 3 Accent 1"/>
    <w:basedOn w:val="TableNormal"/>
    <w:uiPriority w:val="48"/>
    <w:rsid w:val="0015364A"/>
    <w:rPr>
      <w:rFonts w:asciiTheme="minorHAnsi" w:eastAsiaTheme="minorHAnsi" w:hAnsiTheme="minorHAnsi" w:cstheme="minorBidi"/>
      <w:sz w:val="22"/>
      <w:szCs w:val="22"/>
      <w:lang w:eastAsia="en-US"/>
    </w:rPr>
    <w:tblPr>
      <w:tblStyleRowBandSize w:val="1"/>
      <w:tblStyleColBandSize w:val="1"/>
      <w:tblBorders>
        <w:top w:val="single" w:sz="4" w:space="0" w:color="00B5E2" w:themeColor="accent1"/>
        <w:left w:val="single" w:sz="4" w:space="0" w:color="00B5E2" w:themeColor="accent1"/>
        <w:bottom w:val="single" w:sz="4" w:space="0" w:color="00B5E2" w:themeColor="accent1"/>
        <w:right w:val="single" w:sz="4" w:space="0" w:color="00B5E2" w:themeColor="accent1"/>
      </w:tblBorders>
    </w:tblPr>
    <w:tblStylePr w:type="firstRow">
      <w:rPr>
        <w:b/>
        <w:bCs/>
        <w:color w:val="FFFFFF" w:themeColor="background1"/>
      </w:rPr>
      <w:tblPr/>
      <w:tcPr>
        <w:shd w:val="clear" w:color="auto" w:fill="00B5E2" w:themeFill="accent1"/>
      </w:tcPr>
    </w:tblStylePr>
    <w:tblStylePr w:type="lastRow">
      <w:rPr>
        <w:b/>
        <w:bCs/>
      </w:rPr>
      <w:tblPr/>
      <w:tcPr>
        <w:tcBorders>
          <w:top w:val="double" w:sz="4" w:space="0" w:color="00B5E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5E2" w:themeColor="accent1"/>
          <w:right w:val="single" w:sz="4" w:space="0" w:color="00B5E2" w:themeColor="accent1"/>
        </w:tcBorders>
      </w:tcPr>
    </w:tblStylePr>
    <w:tblStylePr w:type="band1Horz">
      <w:tblPr/>
      <w:tcPr>
        <w:tcBorders>
          <w:top w:val="single" w:sz="4" w:space="0" w:color="00B5E2" w:themeColor="accent1"/>
          <w:bottom w:val="single" w:sz="4" w:space="0" w:color="00B5E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5E2" w:themeColor="accent1"/>
          <w:left w:val="nil"/>
        </w:tcBorders>
      </w:tcPr>
    </w:tblStylePr>
    <w:tblStylePr w:type="swCell">
      <w:tblPr/>
      <w:tcPr>
        <w:tcBorders>
          <w:top w:val="double" w:sz="4" w:space="0" w:color="00B5E2" w:themeColor="accent1"/>
          <w:right w:val="nil"/>
        </w:tcBorders>
      </w:tcPr>
    </w:tblStylePr>
  </w:style>
  <w:style w:type="table" w:styleId="TableGrid">
    <w:name w:val="Table Grid"/>
    <w:basedOn w:val="TableNormal"/>
    <w:rsid w:val="001536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15364A"/>
    <w:rPr>
      <w:rFonts w:asciiTheme="minorHAnsi" w:eastAsiaTheme="minorHAnsi" w:hAnsiTheme="minorHAnsi" w:cstheme="minorBidi"/>
      <w:sz w:val="22"/>
      <w:szCs w:val="22"/>
      <w:lang w:eastAsia="en-US"/>
    </w:rPr>
    <w:tblPr>
      <w:tblStyleRowBandSize w:val="1"/>
      <w:tblStyleColBandSize w:val="1"/>
      <w:tblBorders>
        <w:top w:val="single" w:sz="4" w:space="0" w:color="6F263D" w:themeColor="accent5"/>
        <w:left w:val="single" w:sz="4" w:space="0" w:color="6F263D" w:themeColor="accent5"/>
        <w:bottom w:val="single" w:sz="4" w:space="0" w:color="6F263D" w:themeColor="accent5"/>
        <w:right w:val="single" w:sz="4" w:space="0" w:color="6F263D" w:themeColor="accent5"/>
      </w:tblBorders>
    </w:tblPr>
    <w:tblStylePr w:type="firstRow">
      <w:rPr>
        <w:b/>
        <w:bCs/>
        <w:color w:val="FFFFFF" w:themeColor="background1"/>
      </w:rPr>
      <w:tblPr/>
      <w:tcPr>
        <w:shd w:val="clear" w:color="auto" w:fill="6F263D" w:themeFill="accent5"/>
      </w:tcPr>
    </w:tblStylePr>
    <w:tblStylePr w:type="lastRow">
      <w:rPr>
        <w:b/>
        <w:bCs/>
      </w:rPr>
      <w:tblPr/>
      <w:tcPr>
        <w:tcBorders>
          <w:top w:val="double" w:sz="4" w:space="0" w:color="6F26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263D" w:themeColor="accent5"/>
          <w:right w:val="single" w:sz="4" w:space="0" w:color="6F263D" w:themeColor="accent5"/>
        </w:tcBorders>
      </w:tcPr>
    </w:tblStylePr>
    <w:tblStylePr w:type="band1Horz">
      <w:tblPr/>
      <w:tcPr>
        <w:tcBorders>
          <w:top w:val="single" w:sz="4" w:space="0" w:color="6F263D" w:themeColor="accent5"/>
          <w:bottom w:val="single" w:sz="4" w:space="0" w:color="6F26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263D" w:themeColor="accent5"/>
          <w:left w:val="nil"/>
        </w:tcBorders>
      </w:tcPr>
    </w:tblStylePr>
    <w:tblStylePr w:type="swCell">
      <w:tblPr/>
      <w:tcPr>
        <w:tcBorders>
          <w:top w:val="double" w:sz="4" w:space="0" w:color="6F263D" w:themeColor="accent5"/>
          <w:right w:val="nil"/>
        </w:tcBorders>
      </w:tcPr>
    </w:tblStylePr>
  </w:style>
  <w:style w:type="paragraph" w:customStyle="1" w:styleId="Default">
    <w:name w:val="Default"/>
    <w:rsid w:val="0015364A"/>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906E19"/>
    <w:pPr>
      <w:spacing w:before="100" w:beforeAutospacing="1" w:after="100" w:afterAutospacing="1"/>
    </w:pPr>
  </w:style>
  <w:style w:type="paragraph" w:styleId="BalloonText">
    <w:name w:val="Balloon Text"/>
    <w:basedOn w:val="Normal"/>
    <w:link w:val="BalloonTextChar"/>
    <w:rsid w:val="00337BE1"/>
    <w:rPr>
      <w:rFonts w:ascii="Segoe UI" w:hAnsi="Segoe UI" w:cs="Segoe UI"/>
      <w:sz w:val="18"/>
      <w:szCs w:val="18"/>
    </w:rPr>
  </w:style>
  <w:style w:type="character" w:customStyle="1" w:styleId="BalloonTextChar">
    <w:name w:val="Balloon Text Char"/>
    <w:basedOn w:val="DefaultParagraphFont"/>
    <w:link w:val="BalloonText"/>
    <w:rsid w:val="00337BE1"/>
    <w:rPr>
      <w:rFonts w:ascii="Segoe UI" w:hAnsi="Segoe UI" w:cs="Segoe UI"/>
      <w:sz w:val="18"/>
      <w:szCs w:val="18"/>
    </w:rPr>
  </w:style>
  <w:style w:type="paragraph" w:customStyle="1" w:styleId="BannerImage">
    <w:name w:val="Banner Image"/>
    <w:basedOn w:val="Normal"/>
    <w:link w:val="BannerImageChar"/>
    <w:rsid w:val="0073070F"/>
    <w:pPr>
      <w:keepNext/>
      <w:spacing w:before="60" w:after="240" w:line="360" w:lineRule="auto"/>
      <w:outlineLvl w:val="0"/>
    </w:pPr>
    <w:rPr>
      <w:rFonts w:ascii="Roboto" w:eastAsiaTheme="minorHAnsi" w:hAnsi="Roboto"/>
      <w:b/>
      <w:bCs/>
      <w:noProof/>
      <w:color w:val="1B365D" w:themeColor="accent2"/>
      <w:kern w:val="32"/>
      <w:sz w:val="48"/>
      <w:szCs w:val="40"/>
    </w:rPr>
  </w:style>
  <w:style w:type="table" w:styleId="GridTable1Light">
    <w:name w:val="Grid Table 1 Light"/>
    <w:basedOn w:val="TableNormal"/>
    <w:uiPriority w:val="46"/>
    <w:rsid w:val="00A326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nnerImageChar">
    <w:name w:val="Banner Image Char"/>
    <w:basedOn w:val="DefaultParagraphFont"/>
    <w:link w:val="BannerImage"/>
    <w:rsid w:val="0073070F"/>
    <w:rPr>
      <w:rFonts w:ascii="Arial" w:eastAsiaTheme="minorHAnsi" w:hAnsi="Arial" w:cs="Arial"/>
      <w:b/>
      <w:bCs/>
      <w:caps w:val="0"/>
      <w:noProof/>
      <w:color w:val="1B365D" w:themeColor="accent2"/>
      <w:kern w:val="32"/>
      <w:sz w:val="40"/>
      <w:szCs w:val="40"/>
    </w:rPr>
  </w:style>
  <w:style w:type="paragraph" w:styleId="BodyText">
    <w:name w:val="Body Text"/>
    <w:basedOn w:val="Normal"/>
    <w:link w:val="BodyTextChar"/>
    <w:uiPriority w:val="1"/>
    <w:qFormat/>
    <w:rsid w:val="004A45EB"/>
  </w:style>
  <w:style w:type="character" w:customStyle="1" w:styleId="BodyTextChar">
    <w:name w:val="Body Text Char"/>
    <w:basedOn w:val="DefaultParagraphFont"/>
    <w:link w:val="BodyText"/>
    <w:uiPriority w:val="1"/>
    <w:rsid w:val="004A45EB"/>
    <w:rPr>
      <w:rFonts w:asciiTheme="minorHAnsi" w:hAnsiTheme="minorHAnsi" w:cs="Arial"/>
      <w:szCs w:val="22"/>
      <w:lang w:val="en-US" w:eastAsia="en-US"/>
    </w:rPr>
  </w:style>
  <w:style w:type="paragraph" w:styleId="BlockText">
    <w:name w:val="Block Text"/>
    <w:basedOn w:val="Normal"/>
    <w:rsid w:val="007570D6"/>
    <w:pPr>
      <w:pBdr>
        <w:top w:val="single" w:sz="2" w:space="10" w:color="00B5E2" w:themeColor="accent1" w:shadow="1"/>
        <w:left w:val="single" w:sz="2" w:space="10" w:color="00B5E2" w:themeColor="accent1" w:shadow="1"/>
        <w:bottom w:val="single" w:sz="2" w:space="10" w:color="00B5E2" w:themeColor="accent1" w:shadow="1"/>
        <w:right w:val="single" w:sz="2" w:space="10" w:color="00B5E2" w:themeColor="accent1" w:shadow="1"/>
      </w:pBdr>
      <w:ind w:left="1152" w:right="1152"/>
    </w:pPr>
    <w:rPr>
      <w:rFonts w:eastAsiaTheme="minorEastAsia" w:cstheme="minorBidi"/>
      <w:i/>
      <w:iCs/>
      <w:color w:val="00B5E2" w:themeColor="accent1"/>
    </w:rPr>
  </w:style>
  <w:style w:type="character" w:customStyle="1" w:styleId="DateChar">
    <w:name w:val="Date Char"/>
    <w:basedOn w:val="DefaultParagraphFont"/>
    <w:link w:val="Date"/>
    <w:rsid w:val="00B12FA9"/>
    <w:rPr>
      <w:rFonts w:ascii="Roboto" w:hAnsi="Roboto" w:cs="Arial"/>
      <w:szCs w:val="22"/>
      <w:lang w:val="en-US" w:eastAsia="en-US"/>
    </w:rPr>
  </w:style>
  <w:style w:type="paragraph" w:customStyle="1" w:styleId="Classification">
    <w:name w:val="Classification"/>
    <w:basedOn w:val="BodyText"/>
    <w:rsid w:val="00D00CBD"/>
    <w:pPr>
      <w:jc w:val="center"/>
    </w:pPr>
    <w:rPr>
      <w:b/>
      <w:bCs/>
      <w:color w:val="FF0000"/>
      <w:szCs w:val="40"/>
    </w:rPr>
  </w:style>
  <w:style w:type="table" w:customStyle="1" w:styleId="StandardTable">
    <w:name w:val="Standard Table"/>
    <w:basedOn w:val="ListTable5Dark-Accent4"/>
    <w:uiPriority w:val="99"/>
    <w:rsid w:val="00022400"/>
    <w:rPr>
      <w:rFonts w:asciiTheme="minorHAnsi" w:eastAsiaTheme="minorEastAsia" w:hAnsiTheme="minorHAnsi" w:cstheme="minorBidi"/>
      <w:color w:val="000000" w:themeColor="text1"/>
      <w:szCs w:val="22"/>
      <w:lang w:eastAsia="ko-KR"/>
    </w:rPr>
    <w:tblPr>
      <w:tblBorders>
        <w:top w:val="none" w:sz="0" w:space="0" w:color="auto"/>
        <w:left w:val="none" w:sz="0" w:space="0" w:color="auto"/>
        <w:bottom w:val="single" w:sz="4" w:space="0" w:color="00B5E2" w:themeColor="accent1"/>
        <w:right w:val="none" w:sz="0" w:space="0" w:color="auto"/>
        <w:insideH w:val="single" w:sz="4" w:space="0" w:color="00B5E2" w:themeColor="accent1"/>
      </w:tblBorders>
      <w:tblCellMar>
        <w:top w:w="57" w:type="dxa"/>
        <w:left w:w="0" w:type="dxa"/>
        <w:bottom w:w="57" w:type="dxa"/>
        <w:right w:w="57" w:type="dxa"/>
      </w:tblCellMar>
    </w:tblPr>
    <w:tcPr>
      <w:shd w:val="clear" w:color="auto" w:fill="auto"/>
      <w:tcMar>
        <w:left w:w="170" w:type="dxa"/>
      </w:tcMar>
    </w:tcPr>
    <w:tblStylePr w:type="firstRow">
      <w:pPr>
        <w:wordWrap/>
        <w:spacing w:afterLines="0" w:after="0" w:afterAutospacing="0"/>
      </w:pPr>
      <w:rPr>
        <w:b/>
        <w:bCs/>
        <w:color w:val="FFFFFF" w:themeColor="background1"/>
      </w:rPr>
      <w:tblPr/>
      <w:tcPr>
        <w:tcBorders>
          <w:bottom w:val="single" w:sz="12" w:space="0" w:color="00B5E2" w:themeColor="accent1"/>
        </w:tcBorders>
        <w:shd w:val="clear" w:color="auto" w:fill="1B365D" w:themeFill="accent2"/>
      </w:tcPr>
    </w:tblStylePr>
    <w:tblStylePr w:type="lastRow">
      <w:rPr>
        <w:b/>
        <w:bCs/>
      </w:rPr>
      <w:tblPr/>
      <w:tcPr>
        <w:tcBorders>
          <w:top w:val="single" w:sz="4" w:space="0" w:color="FFFFFF" w:themeColor="background1"/>
        </w:tcBorders>
      </w:tcPr>
    </w:tblStylePr>
    <w:tblStylePr w:type="firstCol">
      <w:rPr>
        <w:b/>
        <w:bCs/>
        <w:color w:val="auto"/>
      </w:rPr>
      <w:tblPr/>
      <w:tcPr>
        <w:tcBorders>
          <w:right w:val="single" w:sz="4" w:space="0" w:color="FFFFFF" w:themeColor="background1"/>
        </w:tcBorders>
        <w:shd w:val="clear" w:color="auto" w:fill="C6F3FF" w:themeFill="accent1" w:themeFillTint="33"/>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00B5E2" w:themeColor="accent1"/>
        </w:tcBorders>
        <w:shd w:val="clear" w:color="auto" w:fill="FFFFFF" w:themeFill="background1"/>
      </w:tcPr>
    </w:tblStylePr>
    <w:tblStylePr w:type="band2Horz">
      <w:tblPr/>
      <w:tcPr>
        <w:tcBorders>
          <w:bottom w:val="single" w:sz="4" w:space="0" w:color="00B5E2" w:themeColor="accent1"/>
        </w:tcBorders>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C6B"/>
    <w:rPr>
      <w:color w:val="FFFFFF" w:themeColor="background1"/>
    </w:rPr>
    <w:tblPr>
      <w:tblStyleRowBandSize w:val="1"/>
      <w:tblStyleColBandSize w:val="1"/>
      <w:tblBorders>
        <w:top w:val="single" w:sz="24" w:space="0" w:color="4B384C" w:themeColor="accent4"/>
        <w:left w:val="single" w:sz="24" w:space="0" w:color="4B384C" w:themeColor="accent4"/>
        <w:bottom w:val="single" w:sz="24" w:space="0" w:color="4B384C" w:themeColor="accent4"/>
        <w:right w:val="single" w:sz="24" w:space="0" w:color="4B384C" w:themeColor="accent4"/>
      </w:tblBorders>
    </w:tblPr>
    <w:tcPr>
      <w:shd w:val="clear" w:color="auto" w:fill="4B38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Introductory">
    <w:name w:val="Introductory"/>
    <w:basedOn w:val="BodyText"/>
    <w:next w:val="BodyText"/>
    <w:qFormat/>
    <w:rsid w:val="00236117"/>
    <w:pPr>
      <w:widowControl w:val="0"/>
      <w:pBdr>
        <w:top w:val="single" w:sz="48" w:space="4" w:color="E2E3E7" w:themeColor="background2"/>
        <w:left w:val="single" w:sz="48" w:space="4" w:color="E2E3E7" w:themeColor="background2"/>
        <w:bottom w:val="single" w:sz="48" w:space="4" w:color="E2E3E7" w:themeColor="background2"/>
        <w:right w:val="single" w:sz="48" w:space="4" w:color="E2E3E7" w:themeColor="background2"/>
      </w:pBdr>
      <w:shd w:val="clear" w:color="auto" w:fill="E2E3E7" w:themeFill="background2"/>
      <w:autoSpaceDE w:val="0"/>
      <w:autoSpaceDN w:val="0"/>
      <w:spacing w:after="170"/>
      <w:ind w:left="170" w:right="170"/>
    </w:pPr>
    <w:rPr>
      <w:rFonts w:eastAsia="Roboto" w:cs="Roboto"/>
      <w:sz w:val="28"/>
      <w:szCs w:val="28"/>
    </w:rPr>
  </w:style>
  <w:style w:type="paragraph" w:customStyle="1" w:styleId="KeyInfo">
    <w:name w:val="Key Info"/>
    <w:basedOn w:val="BodyText"/>
    <w:next w:val="BodyText"/>
    <w:qFormat/>
    <w:rsid w:val="00236117"/>
    <w:pPr>
      <w:widowControl w:val="0"/>
      <w:pBdr>
        <w:top w:val="single" w:sz="48" w:space="4" w:color="C6F3FF" w:themeColor="accent1" w:themeTint="33"/>
        <w:left w:val="single" w:sz="48" w:space="4" w:color="C6F3FF" w:themeColor="accent1" w:themeTint="33"/>
        <w:bottom w:val="single" w:sz="48" w:space="4" w:color="C6F3FF" w:themeColor="accent1" w:themeTint="33"/>
        <w:right w:val="single" w:sz="48" w:space="4" w:color="C6F3FF" w:themeColor="accent1" w:themeTint="33"/>
      </w:pBdr>
      <w:shd w:val="clear" w:color="auto" w:fill="C6F3FF" w:themeFill="accent1" w:themeFillTint="33"/>
      <w:autoSpaceDE w:val="0"/>
      <w:autoSpaceDN w:val="0"/>
      <w:spacing w:line="260" w:lineRule="exact"/>
      <w:ind w:left="227" w:right="227"/>
    </w:pPr>
    <w:rPr>
      <w:rFonts w:eastAsia="Roboto" w:cs="Roboto"/>
      <w:szCs w:val="20"/>
    </w:rPr>
  </w:style>
  <w:style w:type="paragraph" w:customStyle="1" w:styleId="TableHeading">
    <w:name w:val="Table Heading"/>
    <w:basedOn w:val="BodyText"/>
    <w:link w:val="TableHeadingChar"/>
    <w:qFormat/>
    <w:rsid w:val="00CB6173"/>
    <w:rPr>
      <w:rFonts w:eastAsiaTheme="minorEastAsia" w:cstheme="minorBidi"/>
      <w:bCs/>
      <w:color w:val="FFFFFF" w:themeColor="background1"/>
      <w:sz w:val="22"/>
      <w:lang w:eastAsia="ko-KR"/>
    </w:rPr>
  </w:style>
  <w:style w:type="character" w:customStyle="1" w:styleId="TableHeadingChar">
    <w:name w:val="Table Heading Char"/>
    <w:basedOn w:val="DefaultParagraphFont"/>
    <w:link w:val="TableHeading"/>
    <w:rsid w:val="00CB6173"/>
    <w:rPr>
      <w:rFonts w:asciiTheme="minorHAnsi" w:eastAsiaTheme="minorEastAsia" w:hAnsiTheme="minorHAnsi" w:cstheme="minorBidi"/>
      <w:bCs/>
      <w:color w:val="FFFFFF" w:themeColor="background1"/>
      <w:sz w:val="22"/>
      <w:szCs w:val="22"/>
      <w:lang w:val="en-US" w:eastAsia="ko-KR"/>
    </w:rPr>
  </w:style>
  <w:style w:type="paragraph" w:styleId="ListBullet">
    <w:name w:val="List Bullet"/>
    <w:basedOn w:val="BodyText"/>
    <w:rsid w:val="00881B95"/>
    <w:pPr>
      <w:numPr>
        <w:numId w:val="2"/>
      </w:numPr>
    </w:pPr>
  </w:style>
  <w:style w:type="paragraph" w:styleId="ListBullet2">
    <w:name w:val="List Bullet 2"/>
    <w:basedOn w:val="BodyText"/>
    <w:rsid w:val="00881B95"/>
    <w:pPr>
      <w:numPr>
        <w:numId w:val="3"/>
      </w:numPr>
    </w:pPr>
  </w:style>
  <w:style w:type="paragraph" w:styleId="ListNumber">
    <w:name w:val="List Number"/>
    <w:basedOn w:val="BodyText"/>
    <w:rsid w:val="00B57C6F"/>
    <w:pPr>
      <w:numPr>
        <w:numId w:val="4"/>
      </w:numPr>
      <w:ind w:left="357" w:hanging="357"/>
    </w:pPr>
    <w:rPr>
      <w:rFonts w:ascii="Roboto" w:hAnsi="Roboto"/>
      <w:lang w:val="en-US"/>
    </w:rPr>
  </w:style>
  <w:style w:type="paragraph" w:styleId="ListNumber2">
    <w:name w:val="List Number 2"/>
    <w:basedOn w:val="BodyText"/>
    <w:rsid w:val="00B57C6F"/>
    <w:pPr>
      <w:numPr>
        <w:numId w:val="5"/>
      </w:numPr>
      <w:ind w:left="680" w:hanging="340"/>
    </w:pPr>
    <w:rPr>
      <w:rFonts w:ascii="Roboto" w:hAnsi="Roboto"/>
      <w:lang w:val="en-US"/>
    </w:rPr>
  </w:style>
  <w:style w:type="character" w:styleId="CommentReference">
    <w:name w:val="annotation reference"/>
    <w:basedOn w:val="DefaultParagraphFont"/>
    <w:uiPriority w:val="99"/>
    <w:unhideWhenUsed/>
    <w:rsid w:val="00B62C0D"/>
    <w:rPr>
      <w:sz w:val="16"/>
      <w:szCs w:val="16"/>
    </w:rPr>
  </w:style>
  <w:style w:type="paragraph" w:customStyle="1" w:styleId="CommentText1">
    <w:name w:val="Comment Text1"/>
    <w:basedOn w:val="Normal"/>
    <w:next w:val="CommentText"/>
    <w:link w:val="CommentTextChar"/>
    <w:uiPriority w:val="99"/>
    <w:unhideWhenUsed/>
    <w:rsid w:val="00B62C0D"/>
    <w:pPr>
      <w:spacing w:before="0" w:after="160"/>
    </w:pPr>
    <w:rPr>
      <w:rFonts w:ascii="Times New Roman" w:hAnsi="Times New Roman" w:cs="Times New Roman"/>
      <w:szCs w:val="20"/>
      <w:lang w:eastAsia="en-AU"/>
    </w:rPr>
  </w:style>
  <w:style w:type="character" w:customStyle="1" w:styleId="CommentTextChar">
    <w:name w:val="Comment Text Char"/>
    <w:basedOn w:val="DefaultParagraphFont"/>
    <w:link w:val="CommentText1"/>
    <w:uiPriority w:val="99"/>
    <w:rsid w:val="00B62C0D"/>
    <w:rPr>
      <w:sz w:val="20"/>
      <w:szCs w:val="20"/>
    </w:rPr>
  </w:style>
  <w:style w:type="paragraph" w:customStyle="1" w:styleId="Car1">
    <w:name w:val="Car1"/>
    <w:basedOn w:val="Normal"/>
    <w:next w:val="FootnoteText"/>
    <w:link w:val="FootnoteTextChar"/>
    <w:unhideWhenUsed/>
    <w:rsid w:val="00B62C0D"/>
    <w:pPr>
      <w:spacing w:before="0" w:after="0"/>
    </w:pPr>
    <w:rPr>
      <w:rFonts w:ascii="Times New Roman" w:hAnsi="Times New Roman" w:cs="Times New Roman"/>
      <w:szCs w:val="20"/>
      <w:lang w:eastAsia="en-AU"/>
    </w:rPr>
  </w:style>
  <w:style w:type="character" w:customStyle="1" w:styleId="FootnoteTextChar">
    <w:name w:val="Footnote Text Char"/>
    <w:aliases w:val="Car Char"/>
    <w:basedOn w:val="DefaultParagraphFont"/>
    <w:link w:val="Car1"/>
    <w:rsid w:val="00B62C0D"/>
    <w:rPr>
      <w:sz w:val="20"/>
      <w:szCs w:val="20"/>
    </w:rPr>
  </w:style>
  <w:style w:type="character" w:styleId="FootnoteReference">
    <w:name w:val="footnote reference"/>
    <w:basedOn w:val="DefaultParagraphFont"/>
    <w:unhideWhenUsed/>
    <w:rsid w:val="00B62C0D"/>
    <w:rPr>
      <w:vertAlign w:val="superscript"/>
    </w:rPr>
  </w:style>
  <w:style w:type="table" w:customStyle="1" w:styleId="TableGrid1">
    <w:name w:val="Table Grid1"/>
    <w:basedOn w:val="TableNormal"/>
    <w:next w:val="TableGrid"/>
    <w:rsid w:val="00B62C0D"/>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rsid w:val="00B62C0D"/>
    <w:rPr>
      <w:szCs w:val="20"/>
    </w:rPr>
  </w:style>
  <w:style w:type="character" w:customStyle="1" w:styleId="CommentTextChar1">
    <w:name w:val="Comment Text Char1"/>
    <w:basedOn w:val="DefaultParagraphFont"/>
    <w:link w:val="CommentText"/>
    <w:rsid w:val="00B62C0D"/>
    <w:rPr>
      <w:rFonts w:asciiTheme="minorHAnsi" w:hAnsiTheme="minorHAnsi" w:cs="Arial"/>
      <w:lang w:eastAsia="en-US"/>
    </w:rPr>
  </w:style>
  <w:style w:type="paragraph" w:styleId="FootnoteText">
    <w:name w:val="footnote text"/>
    <w:aliases w:val="Car"/>
    <w:basedOn w:val="Normal"/>
    <w:link w:val="FootnoteTextChar1"/>
    <w:rsid w:val="00B62C0D"/>
    <w:pPr>
      <w:spacing w:before="0" w:after="0"/>
    </w:pPr>
    <w:rPr>
      <w:szCs w:val="20"/>
    </w:rPr>
  </w:style>
  <w:style w:type="character" w:customStyle="1" w:styleId="FootnoteTextChar1">
    <w:name w:val="Footnote Text Char1"/>
    <w:aliases w:val="Car Char1"/>
    <w:basedOn w:val="DefaultParagraphFont"/>
    <w:link w:val="FootnoteText"/>
    <w:rsid w:val="00B62C0D"/>
    <w:rPr>
      <w:rFonts w:asciiTheme="minorHAnsi" w:hAnsiTheme="minorHAnsi" w:cs="Arial"/>
      <w:lang w:eastAsia="en-US"/>
    </w:rPr>
  </w:style>
  <w:style w:type="paragraph" w:styleId="ListParagraph">
    <w:name w:val="List Paragraph"/>
    <w:basedOn w:val="Normal"/>
    <w:uiPriority w:val="34"/>
    <w:rsid w:val="00B62C0D"/>
    <w:pPr>
      <w:ind w:left="720"/>
      <w:contextualSpacing/>
    </w:pPr>
  </w:style>
  <w:style w:type="paragraph" w:styleId="Revision">
    <w:name w:val="Revision"/>
    <w:hidden/>
    <w:uiPriority w:val="99"/>
    <w:semiHidden/>
    <w:rsid w:val="00937BCD"/>
    <w:rPr>
      <w:rFonts w:asciiTheme="minorHAnsi" w:hAnsiTheme="minorHAnsi" w:cs="Arial"/>
      <w:szCs w:val="22"/>
      <w:lang w:eastAsia="en-US"/>
    </w:rPr>
  </w:style>
  <w:style w:type="paragraph" w:styleId="CommentSubject">
    <w:name w:val="annotation subject"/>
    <w:basedOn w:val="CommentText"/>
    <w:next w:val="CommentText"/>
    <w:link w:val="CommentSubjectChar"/>
    <w:rsid w:val="00C96D9B"/>
    <w:rPr>
      <w:b/>
      <w:bCs/>
    </w:rPr>
  </w:style>
  <w:style w:type="character" w:customStyle="1" w:styleId="CommentSubjectChar">
    <w:name w:val="Comment Subject Char"/>
    <w:basedOn w:val="CommentTextChar1"/>
    <w:link w:val="CommentSubject"/>
    <w:rsid w:val="00C96D9B"/>
    <w:rPr>
      <w:rFonts w:asciiTheme="minorHAnsi" w:hAnsiTheme="minorHAnsi" w:cs="Arial"/>
      <w:b/>
      <w:bCs/>
      <w:lang w:eastAsia="en-US"/>
    </w:rPr>
  </w:style>
  <w:style w:type="character" w:customStyle="1" w:styleId="cf01">
    <w:name w:val="cf01"/>
    <w:basedOn w:val="DefaultParagraphFont"/>
    <w:rsid w:val="00FC6CE8"/>
    <w:rPr>
      <w:rFonts w:ascii="Segoe UI" w:hAnsi="Segoe UI" w:cs="Segoe UI" w:hint="default"/>
      <w:sz w:val="18"/>
      <w:szCs w:val="18"/>
    </w:rPr>
  </w:style>
  <w:style w:type="character" w:customStyle="1" w:styleId="ui-provider">
    <w:name w:val="ui-provider"/>
    <w:basedOn w:val="DefaultParagraphFont"/>
    <w:rsid w:val="00CB7C35"/>
  </w:style>
  <w:style w:type="paragraph" w:customStyle="1" w:styleId="pf0">
    <w:name w:val="pf0"/>
    <w:basedOn w:val="Normal"/>
    <w:rsid w:val="005D4752"/>
    <w:pPr>
      <w:spacing w:before="100" w:beforeAutospacing="1" w:after="100" w:afterAutospacing="1"/>
    </w:pPr>
    <w:rPr>
      <w:rFonts w:ascii="Times New Roman" w:hAnsi="Times New Roman" w:cs="Times New Roman"/>
      <w:sz w:val="24"/>
      <w:szCs w:val="24"/>
      <w:lang w:eastAsia="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96730">
      <w:bodyDiv w:val="1"/>
      <w:marLeft w:val="0"/>
      <w:marRight w:val="0"/>
      <w:marTop w:val="0"/>
      <w:marBottom w:val="0"/>
      <w:divBdr>
        <w:top w:val="none" w:sz="0" w:space="0" w:color="auto"/>
        <w:left w:val="none" w:sz="0" w:space="0" w:color="auto"/>
        <w:bottom w:val="none" w:sz="0" w:space="0" w:color="auto"/>
        <w:right w:val="none" w:sz="0" w:space="0" w:color="auto"/>
      </w:divBdr>
    </w:div>
    <w:div w:id="47001986">
      <w:bodyDiv w:val="1"/>
      <w:marLeft w:val="0"/>
      <w:marRight w:val="0"/>
      <w:marTop w:val="0"/>
      <w:marBottom w:val="0"/>
      <w:divBdr>
        <w:top w:val="none" w:sz="0" w:space="0" w:color="auto"/>
        <w:left w:val="none" w:sz="0" w:space="0" w:color="auto"/>
        <w:bottom w:val="none" w:sz="0" w:space="0" w:color="auto"/>
        <w:right w:val="none" w:sz="0" w:space="0" w:color="auto"/>
      </w:divBdr>
    </w:div>
    <w:div w:id="184485636">
      <w:bodyDiv w:val="1"/>
      <w:marLeft w:val="0"/>
      <w:marRight w:val="0"/>
      <w:marTop w:val="0"/>
      <w:marBottom w:val="0"/>
      <w:divBdr>
        <w:top w:val="none" w:sz="0" w:space="0" w:color="auto"/>
        <w:left w:val="none" w:sz="0" w:space="0" w:color="auto"/>
        <w:bottom w:val="none" w:sz="0" w:space="0" w:color="auto"/>
        <w:right w:val="none" w:sz="0" w:space="0" w:color="auto"/>
      </w:divBdr>
    </w:div>
    <w:div w:id="243420958">
      <w:bodyDiv w:val="1"/>
      <w:marLeft w:val="0"/>
      <w:marRight w:val="0"/>
      <w:marTop w:val="0"/>
      <w:marBottom w:val="0"/>
      <w:divBdr>
        <w:top w:val="none" w:sz="0" w:space="0" w:color="auto"/>
        <w:left w:val="none" w:sz="0" w:space="0" w:color="auto"/>
        <w:bottom w:val="none" w:sz="0" w:space="0" w:color="auto"/>
        <w:right w:val="none" w:sz="0" w:space="0" w:color="auto"/>
      </w:divBdr>
    </w:div>
    <w:div w:id="280965085">
      <w:bodyDiv w:val="1"/>
      <w:marLeft w:val="0"/>
      <w:marRight w:val="0"/>
      <w:marTop w:val="0"/>
      <w:marBottom w:val="0"/>
      <w:divBdr>
        <w:top w:val="none" w:sz="0" w:space="0" w:color="auto"/>
        <w:left w:val="none" w:sz="0" w:space="0" w:color="auto"/>
        <w:bottom w:val="none" w:sz="0" w:space="0" w:color="auto"/>
        <w:right w:val="none" w:sz="0" w:space="0" w:color="auto"/>
      </w:divBdr>
    </w:div>
    <w:div w:id="373821090">
      <w:bodyDiv w:val="1"/>
      <w:marLeft w:val="0"/>
      <w:marRight w:val="0"/>
      <w:marTop w:val="0"/>
      <w:marBottom w:val="0"/>
      <w:divBdr>
        <w:top w:val="none" w:sz="0" w:space="0" w:color="auto"/>
        <w:left w:val="none" w:sz="0" w:space="0" w:color="auto"/>
        <w:bottom w:val="none" w:sz="0" w:space="0" w:color="auto"/>
        <w:right w:val="none" w:sz="0" w:space="0" w:color="auto"/>
      </w:divBdr>
    </w:div>
    <w:div w:id="385564068">
      <w:bodyDiv w:val="1"/>
      <w:marLeft w:val="0"/>
      <w:marRight w:val="0"/>
      <w:marTop w:val="0"/>
      <w:marBottom w:val="0"/>
      <w:divBdr>
        <w:top w:val="none" w:sz="0" w:space="0" w:color="auto"/>
        <w:left w:val="none" w:sz="0" w:space="0" w:color="auto"/>
        <w:bottom w:val="none" w:sz="0" w:space="0" w:color="auto"/>
        <w:right w:val="none" w:sz="0" w:space="0" w:color="auto"/>
      </w:divBdr>
    </w:div>
    <w:div w:id="417871070">
      <w:bodyDiv w:val="1"/>
      <w:marLeft w:val="0"/>
      <w:marRight w:val="0"/>
      <w:marTop w:val="0"/>
      <w:marBottom w:val="0"/>
      <w:divBdr>
        <w:top w:val="none" w:sz="0" w:space="0" w:color="auto"/>
        <w:left w:val="none" w:sz="0" w:space="0" w:color="auto"/>
        <w:bottom w:val="none" w:sz="0" w:space="0" w:color="auto"/>
        <w:right w:val="none" w:sz="0" w:space="0" w:color="auto"/>
      </w:divBdr>
    </w:div>
    <w:div w:id="532572761">
      <w:bodyDiv w:val="1"/>
      <w:marLeft w:val="0"/>
      <w:marRight w:val="0"/>
      <w:marTop w:val="0"/>
      <w:marBottom w:val="0"/>
      <w:divBdr>
        <w:top w:val="none" w:sz="0" w:space="0" w:color="auto"/>
        <w:left w:val="none" w:sz="0" w:space="0" w:color="auto"/>
        <w:bottom w:val="none" w:sz="0" w:space="0" w:color="auto"/>
        <w:right w:val="none" w:sz="0" w:space="0" w:color="auto"/>
      </w:divBdr>
    </w:div>
    <w:div w:id="565728875">
      <w:bodyDiv w:val="1"/>
      <w:marLeft w:val="0"/>
      <w:marRight w:val="0"/>
      <w:marTop w:val="0"/>
      <w:marBottom w:val="0"/>
      <w:divBdr>
        <w:top w:val="none" w:sz="0" w:space="0" w:color="auto"/>
        <w:left w:val="none" w:sz="0" w:space="0" w:color="auto"/>
        <w:bottom w:val="none" w:sz="0" w:space="0" w:color="auto"/>
        <w:right w:val="none" w:sz="0" w:space="0" w:color="auto"/>
      </w:divBdr>
    </w:div>
    <w:div w:id="613220517">
      <w:bodyDiv w:val="1"/>
      <w:marLeft w:val="0"/>
      <w:marRight w:val="0"/>
      <w:marTop w:val="0"/>
      <w:marBottom w:val="0"/>
      <w:divBdr>
        <w:top w:val="none" w:sz="0" w:space="0" w:color="auto"/>
        <w:left w:val="none" w:sz="0" w:space="0" w:color="auto"/>
        <w:bottom w:val="none" w:sz="0" w:space="0" w:color="auto"/>
        <w:right w:val="none" w:sz="0" w:space="0" w:color="auto"/>
      </w:divBdr>
    </w:div>
    <w:div w:id="789399321">
      <w:bodyDiv w:val="1"/>
      <w:marLeft w:val="0"/>
      <w:marRight w:val="0"/>
      <w:marTop w:val="0"/>
      <w:marBottom w:val="0"/>
      <w:divBdr>
        <w:top w:val="none" w:sz="0" w:space="0" w:color="auto"/>
        <w:left w:val="none" w:sz="0" w:space="0" w:color="auto"/>
        <w:bottom w:val="none" w:sz="0" w:space="0" w:color="auto"/>
        <w:right w:val="none" w:sz="0" w:space="0" w:color="auto"/>
      </w:divBdr>
    </w:div>
    <w:div w:id="806359859">
      <w:bodyDiv w:val="1"/>
      <w:marLeft w:val="0"/>
      <w:marRight w:val="0"/>
      <w:marTop w:val="0"/>
      <w:marBottom w:val="0"/>
      <w:divBdr>
        <w:top w:val="none" w:sz="0" w:space="0" w:color="auto"/>
        <w:left w:val="none" w:sz="0" w:space="0" w:color="auto"/>
        <w:bottom w:val="none" w:sz="0" w:space="0" w:color="auto"/>
        <w:right w:val="none" w:sz="0" w:space="0" w:color="auto"/>
      </w:divBdr>
    </w:div>
    <w:div w:id="807405052">
      <w:bodyDiv w:val="1"/>
      <w:marLeft w:val="0"/>
      <w:marRight w:val="0"/>
      <w:marTop w:val="0"/>
      <w:marBottom w:val="0"/>
      <w:divBdr>
        <w:top w:val="none" w:sz="0" w:space="0" w:color="auto"/>
        <w:left w:val="none" w:sz="0" w:space="0" w:color="auto"/>
        <w:bottom w:val="none" w:sz="0" w:space="0" w:color="auto"/>
        <w:right w:val="none" w:sz="0" w:space="0" w:color="auto"/>
      </w:divBdr>
    </w:div>
    <w:div w:id="837383915">
      <w:bodyDiv w:val="1"/>
      <w:marLeft w:val="0"/>
      <w:marRight w:val="0"/>
      <w:marTop w:val="0"/>
      <w:marBottom w:val="0"/>
      <w:divBdr>
        <w:top w:val="none" w:sz="0" w:space="0" w:color="auto"/>
        <w:left w:val="none" w:sz="0" w:space="0" w:color="auto"/>
        <w:bottom w:val="none" w:sz="0" w:space="0" w:color="auto"/>
        <w:right w:val="none" w:sz="0" w:space="0" w:color="auto"/>
      </w:divBdr>
    </w:div>
    <w:div w:id="893274678">
      <w:bodyDiv w:val="1"/>
      <w:marLeft w:val="0"/>
      <w:marRight w:val="0"/>
      <w:marTop w:val="0"/>
      <w:marBottom w:val="0"/>
      <w:divBdr>
        <w:top w:val="none" w:sz="0" w:space="0" w:color="auto"/>
        <w:left w:val="none" w:sz="0" w:space="0" w:color="auto"/>
        <w:bottom w:val="none" w:sz="0" w:space="0" w:color="auto"/>
        <w:right w:val="none" w:sz="0" w:space="0" w:color="auto"/>
      </w:divBdr>
    </w:div>
    <w:div w:id="991981001">
      <w:bodyDiv w:val="1"/>
      <w:marLeft w:val="0"/>
      <w:marRight w:val="0"/>
      <w:marTop w:val="0"/>
      <w:marBottom w:val="0"/>
      <w:divBdr>
        <w:top w:val="none" w:sz="0" w:space="0" w:color="auto"/>
        <w:left w:val="none" w:sz="0" w:space="0" w:color="auto"/>
        <w:bottom w:val="none" w:sz="0" w:space="0" w:color="auto"/>
        <w:right w:val="none" w:sz="0" w:space="0" w:color="auto"/>
      </w:divBdr>
    </w:div>
    <w:div w:id="1035886030">
      <w:bodyDiv w:val="1"/>
      <w:marLeft w:val="0"/>
      <w:marRight w:val="0"/>
      <w:marTop w:val="0"/>
      <w:marBottom w:val="0"/>
      <w:divBdr>
        <w:top w:val="none" w:sz="0" w:space="0" w:color="auto"/>
        <w:left w:val="none" w:sz="0" w:space="0" w:color="auto"/>
        <w:bottom w:val="none" w:sz="0" w:space="0" w:color="auto"/>
        <w:right w:val="none" w:sz="0" w:space="0" w:color="auto"/>
      </w:divBdr>
    </w:div>
    <w:div w:id="1158687982">
      <w:bodyDiv w:val="1"/>
      <w:marLeft w:val="0"/>
      <w:marRight w:val="0"/>
      <w:marTop w:val="0"/>
      <w:marBottom w:val="0"/>
      <w:divBdr>
        <w:top w:val="none" w:sz="0" w:space="0" w:color="auto"/>
        <w:left w:val="none" w:sz="0" w:space="0" w:color="auto"/>
        <w:bottom w:val="none" w:sz="0" w:space="0" w:color="auto"/>
        <w:right w:val="none" w:sz="0" w:space="0" w:color="auto"/>
      </w:divBdr>
    </w:div>
    <w:div w:id="1227104835">
      <w:bodyDiv w:val="1"/>
      <w:marLeft w:val="0"/>
      <w:marRight w:val="0"/>
      <w:marTop w:val="0"/>
      <w:marBottom w:val="0"/>
      <w:divBdr>
        <w:top w:val="none" w:sz="0" w:space="0" w:color="auto"/>
        <w:left w:val="none" w:sz="0" w:space="0" w:color="auto"/>
        <w:bottom w:val="none" w:sz="0" w:space="0" w:color="auto"/>
        <w:right w:val="none" w:sz="0" w:space="0" w:color="auto"/>
      </w:divBdr>
    </w:div>
    <w:div w:id="1284573473">
      <w:bodyDiv w:val="1"/>
      <w:marLeft w:val="0"/>
      <w:marRight w:val="0"/>
      <w:marTop w:val="0"/>
      <w:marBottom w:val="0"/>
      <w:divBdr>
        <w:top w:val="none" w:sz="0" w:space="0" w:color="auto"/>
        <w:left w:val="none" w:sz="0" w:space="0" w:color="auto"/>
        <w:bottom w:val="none" w:sz="0" w:space="0" w:color="auto"/>
        <w:right w:val="none" w:sz="0" w:space="0" w:color="auto"/>
      </w:divBdr>
    </w:div>
    <w:div w:id="1295595128">
      <w:bodyDiv w:val="1"/>
      <w:marLeft w:val="0"/>
      <w:marRight w:val="0"/>
      <w:marTop w:val="0"/>
      <w:marBottom w:val="0"/>
      <w:divBdr>
        <w:top w:val="none" w:sz="0" w:space="0" w:color="auto"/>
        <w:left w:val="none" w:sz="0" w:space="0" w:color="auto"/>
        <w:bottom w:val="none" w:sz="0" w:space="0" w:color="auto"/>
        <w:right w:val="none" w:sz="0" w:space="0" w:color="auto"/>
      </w:divBdr>
    </w:div>
    <w:div w:id="1307396080">
      <w:bodyDiv w:val="1"/>
      <w:marLeft w:val="0"/>
      <w:marRight w:val="0"/>
      <w:marTop w:val="0"/>
      <w:marBottom w:val="0"/>
      <w:divBdr>
        <w:top w:val="none" w:sz="0" w:space="0" w:color="auto"/>
        <w:left w:val="none" w:sz="0" w:space="0" w:color="auto"/>
        <w:bottom w:val="none" w:sz="0" w:space="0" w:color="auto"/>
        <w:right w:val="none" w:sz="0" w:space="0" w:color="auto"/>
      </w:divBdr>
    </w:div>
    <w:div w:id="1314062664">
      <w:bodyDiv w:val="1"/>
      <w:marLeft w:val="0"/>
      <w:marRight w:val="0"/>
      <w:marTop w:val="0"/>
      <w:marBottom w:val="0"/>
      <w:divBdr>
        <w:top w:val="none" w:sz="0" w:space="0" w:color="auto"/>
        <w:left w:val="none" w:sz="0" w:space="0" w:color="auto"/>
        <w:bottom w:val="none" w:sz="0" w:space="0" w:color="auto"/>
        <w:right w:val="none" w:sz="0" w:space="0" w:color="auto"/>
      </w:divBdr>
    </w:div>
    <w:div w:id="1362048338">
      <w:bodyDiv w:val="1"/>
      <w:marLeft w:val="0"/>
      <w:marRight w:val="0"/>
      <w:marTop w:val="0"/>
      <w:marBottom w:val="0"/>
      <w:divBdr>
        <w:top w:val="none" w:sz="0" w:space="0" w:color="auto"/>
        <w:left w:val="none" w:sz="0" w:space="0" w:color="auto"/>
        <w:bottom w:val="none" w:sz="0" w:space="0" w:color="auto"/>
        <w:right w:val="none" w:sz="0" w:space="0" w:color="auto"/>
      </w:divBdr>
    </w:div>
    <w:div w:id="1396004745">
      <w:bodyDiv w:val="1"/>
      <w:marLeft w:val="0"/>
      <w:marRight w:val="0"/>
      <w:marTop w:val="0"/>
      <w:marBottom w:val="0"/>
      <w:divBdr>
        <w:top w:val="none" w:sz="0" w:space="0" w:color="auto"/>
        <w:left w:val="none" w:sz="0" w:space="0" w:color="auto"/>
        <w:bottom w:val="none" w:sz="0" w:space="0" w:color="auto"/>
        <w:right w:val="none" w:sz="0" w:space="0" w:color="auto"/>
      </w:divBdr>
    </w:div>
    <w:div w:id="1397163149">
      <w:bodyDiv w:val="1"/>
      <w:marLeft w:val="0"/>
      <w:marRight w:val="0"/>
      <w:marTop w:val="0"/>
      <w:marBottom w:val="0"/>
      <w:divBdr>
        <w:top w:val="none" w:sz="0" w:space="0" w:color="auto"/>
        <w:left w:val="none" w:sz="0" w:space="0" w:color="auto"/>
        <w:bottom w:val="none" w:sz="0" w:space="0" w:color="auto"/>
        <w:right w:val="none" w:sz="0" w:space="0" w:color="auto"/>
      </w:divBdr>
    </w:div>
    <w:div w:id="1495418588">
      <w:bodyDiv w:val="1"/>
      <w:marLeft w:val="0"/>
      <w:marRight w:val="0"/>
      <w:marTop w:val="0"/>
      <w:marBottom w:val="0"/>
      <w:divBdr>
        <w:top w:val="none" w:sz="0" w:space="0" w:color="auto"/>
        <w:left w:val="none" w:sz="0" w:space="0" w:color="auto"/>
        <w:bottom w:val="none" w:sz="0" w:space="0" w:color="auto"/>
        <w:right w:val="none" w:sz="0" w:space="0" w:color="auto"/>
      </w:divBdr>
    </w:div>
    <w:div w:id="1546677841">
      <w:bodyDiv w:val="1"/>
      <w:marLeft w:val="0"/>
      <w:marRight w:val="0"/>
      <w:marTop w:val="0"/>
      <w:marBottom w:val="0"/>
      <w:divBdr>
        <w:top w:val="none" w:sz="0" w:space="0" w:color="auto"/>
        <w:left w:val="none" w:sz="0" w:space="0" w:color="auto"/>
        <w:bottom w:val="none" w:sz="0" w:space="0" w:color="auto"/>
        <w:right w:val="none" w:sz="0" w:space="0" w:color="auto"/>
      </w:divBdr>
    </w:div>
    <w:div w:id="1561819433">
      <w:bodyDiv w:val="1"/>
      <w:marLeft w:val="0"/>
      <w:marRight w:val="0"/>
      <w:marTop w:val="0"/>
      <w:marBottom w:val="0"/>
      <w:divBdr>
        <w:top w:val="none" w:sz="0" w:space="0" w:color="auto"/>
        <w:left w:val="none" w:sz="0" w:space="0" w:color="auto"/>
        <w:bottom w:val="none" w:sz="0" w:space="0" w:color="auto"/>
        <w:right w:val="none" w:sz="0" w:space="0" w:color="auto"/>
      </w:divBdr>
    </w:div>
    <w:div w:id="1565095225">
      <w:bodyDiv w:val="1"/>
      <w:marLeft w:val="0"/>
      <w:marRight w:val="0"/>
      <w:marTop w:val="0"/>
      <w:marBottom w:val="0"/>
      <w:divBdr>
        <w:top w:val="none" w:sz="0" w:space="0" w:color="auto"/>
        <w:left w:val="none" w:sz="0" w:space="0" w:color="auto"/>
        <w:bottom w:val="none" w:sz="0" w:space="0" w:color="auto"/>
        <w:right w:val="none" w:sz="0" w:space="0" w:color="auto"/>
      </w:divBdr>
    </w:div>
    <w:div w:id="1595474744">
      <w:bodyDiv w:val="1"/>
      <w:marLeft w:val="0"/>
      <w:marRight w:val="0"/>
      <w:marTop w:val="0"/>
      <w:marBottom w:val="0"/>
      <w:divBdr>
        <w:top w:val="none" w:sz="0" w:space="0" w:color="auto"/>
        <w:left w:val="none" w:sz="0" w:space="0" w:color="auto"/>
        <w:bottom w:val="none" w:sz="0" w:space="0" w:color="auto"/>
        <w:right w:val="none" w:sz="0" w:space="0" w:color="auto"/>
      </w:divBdr>
    </w:div>
    <w:div w:id="1622566545">
      <w:bodyDiv w:val="1"/>
      <w:marLeft w:val="0"/>
      <w:marRight w:val="0"/>
      <w:marTop w:val="0"/>
      <w:marBottom w:val="0"/>
      <w:divBdr>
        <w:top w:val="none" w:sz="0" w:space="0" w:color="auto"/>
        <w:left w:val="none" w:sz="0" w:space="0" w:color="auto"/>
        <w:bottom w:val="none" w:sz="0" w:space="0" w:color="auto"/>
        <w:right w:val="none" w:sz="0" w:space="0" w:color="auto"/>
      </w:divBdr>
    </w:div>
    <w:div w:id="1722367615">
      <w:bodyDiv w:val="1"/>
      <w:marLeft w:val="0"/>
      <w:marRight w:val="0"/>
      <w:marTop w:val="0"/>
      <w:marBottom w:val="0"/>
      <w:divBdr>
        <w:top w:val="none" w:sz="0" w:space="0" w:color="auto"/>
        <w:left w:val="none" w:sz="0" w:space="0" w:color="auto"/>
        <w:bottom w:val="none" w:sz="0" w:space="0" w:color="auto"/>
        <w:right w:val="none" w:sz="0" w:space="0" w:color="auto"/>
      </w:divBdr>
    </w:div>
    <w:div w:id="1872723726">
      <w:bodyDiv w:val="1"/>
      <w:marLeft w:val="0"/>
      <w:marRight w:val="0"/>
      <w:marTop w:val="0"/>
      <w:marBottom w:val="0"/>
      <w:divBdr>
        <w:top w:val="none" w:sz="0" w:space="0" w:color="auto"/>
        <w:left w:val="none" w:sz="0" w:space="0" w:color="auto"/>
        <w:bottom w:val="none" w:sz="0" w:space="0" w:color="auto"/>
        <w:right w:val="none" w:sz="0" w:space="0" w:color="auto"/>
      </w:divBdr>
    </w:div>
    <w:div w:id="1903783223">
      <w:bodyDiv w:val="1"/>
      <w:marLeft w:val="0"/>
      <w:marRight w:val="0"/>
      <w:marTop w:val="0"/>
      <w:marBottom w:val="0"/>
      <w:divBdr>
        <w:top w:val="none" w:sz="0" w:space="0" w:color="auto"/>
        <w:left w:val="none" w:sz="0" w:space="0" w:color="auto"/>
        <w:bottom w:val="none" w:sz="0" w:space="0" w:color="auto"/>
        <w:right w:val="none" w:sz="0" w:space="0" w:color="auto"/>
      </w:divBdr>
    </w:div>
    <w:div w:id="1918441418">
      <w:bodyDiv w:val="1"/>
      <w:marLeft w:val="0"/>
      <w:marRight w:val="0"/>
      <w:marTop w:val="0"/>
      <w:marBottom w:val="0"/>
      <w:divBdr>
        <w:top w:val="none" w:sz="0" w:space="0" w:color="auto"/>
        <w:left w:val="none" w:sz="0" w:space="0" w:color="auto"/>
        <w:bottom w:val="none" w:sz="0" w:space="0" w:color="auto"/>
        <w:right w:val="none" w:sz="0" w:space="0" w:color="auto"/>
      </w:divBdr>
    </w:div>
    <w:div w:id="1961181077">
      <w:bodyDiv w:val="1"/>
      <w:marLeft w:val="0"/>
      <w:marRight w:val="0"/>
      <w:marTop w:val="0"/>
      <w:marBottom w:val="0"/>
      <w:divBdr>
        <w:top w:val="none" w:sz="0" w:space="0" w:color="auto"/>
        <w:left w:val="none" w:sz="0" w:space="0" w:color="auto"/>
        <w:bottom w:val="none" w:sz="0" w:space="0" w:color="auto"/>
        <w:right w:val="none" w:sz="0" w:space="0" w:color="auto"/>
      </w:divBdr>
    </w:div>
    <w:div w:id="1985347877">
      <w:bodyDiv w:val="1"/>
      <w:marLeft w:val="0"/>
      <w:marRight w:val="0"/>
      <w:marTop w:val="0"/>
      <w:marBottom w:val="0"/>
      <w:divBdr>
        <w:top w:val="none" w:sz="0" w:space="0" w:color="auto"/>
        <w:left w:val="none" w:sz="0" w:space="0" w:color="auto"/>
        <w:bottom w:val="none" w:sz="0" w:space="0" w:color="auto"/>
        <w:right w:val="none" w:sz="0" w:space="0" w:color="auto"/>
      </w:divBdr>
    </w:div>
    <w:div w:id="2035694917">
      <w:bodyDiv w:val="1"/>
      <w:marLeft w:val="0"/>
      <w:marRight w:val="0"/>
      <w:marTop w:val="0"/>
      <w:marBottom w:val="0"/>
      <w:divBdr>
        <w:top w:val="none" w:sz="0" w:space="0" w:color="auto"/>
        <w:left w:val="none" w:sz="0" w:space="0" w:color="auto"/>
        <w:bottom w:val="none" w:sz="0" w:space="0" w:color="auto"/>
        <w:right w:val="none" w:sz="0" w:space="0" w:color="auto"/>
      </w:divBdr>
    </w:div>
    <w:div w:id="2039112630">
      <w:bodyDiv w:val="1"/>
      <w:marLeft w:val="0"/>
      <w:marRight w:val="0"/>
      <w:marTop w:val="0"/>
      <w:marBottom w:val="0"/>
      <w:divBdr>
        <w:top w:val="none" w:sz="0" w:space="0" w:color="auto"/>
        <w:left w:val="none" w:sz="0" w:space="0" w:color="auto"/>
        <w:bottom w:val="none" w:sz="0" w:space="0" w:color="auto"/>
        <w:right w:val="none" w:sz="0" w:space="0" w:color="auto"/>
      </w:divBdr>
    </w:div>
    <w:div w:id="2050639343">
      <w:bodyDiv w:val="1"/>
      <w:marLeft w:val="0"/>
      <w:marRight w:val="0"/>
      <w:marTop w:val="0"/>
      <w:marBottom w:val="0"/>
      <w:divBdr>
        <w:top w:val="none" w:sz="0" w:space="0" w:color="auto"/>
        <w:left w:val="none" w:sz="0" w:space="0" w:color="auto"/>
        <w:bottom w:val="none" w:sz="0" w:space="0" w:color="auto"/>
        <w:right w:val="none" w:sz="0" w:space="0" w:color="auto"/>
      </w:divBdr>
    </w:div>
    <w:div w:id="20688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88043133p.sharepoint.com/sites/OfficeTemplates/Shared%20Documents/corp-op-indigenous-a4-p-long-cover-blue.dotx" TargetMode="External"/></Relationships>
</file>

<file path=word/theme/theme1.xml><?xml version="1.0" encoding="utf-8"?>
<a:theme xmlns:a="http://schemas.openxmlformats.org/drawingml/2006/main" name="Office Theme">
  <a:themeElements>
    <a:clrScheme name="Services Australia">
      <a:dk1>
        <a:sysClr val="windowText" lastClr="000000"/>
      </a:dk1>
      <a:lt1>
        <a:sysClr val="window" lastClr="FFFFFF"/>
      </a:lt1>
      <a:dk2>
        <a:srgbClr val="75787B"/>
      </a:dk2>
      <a:lt2>
        <a:srgbClr val="E2E3E7"/>
      </a:lt2>
      <a:accent1>
        <a:srgbClr val="00B5E2"/>
      </a:accent1>
      <a:accent2>
        <a:srgbClr val="1B365D"/>
      </a:accent2>
      <a:accent3>
        <a:srgbClr val="FF8674"/>
      </a:accent3>
      <a:accent4>
        <a:srgbClr val="4B384C"/>
      </a:accent4>
      <a:accent5>
        <a:srgbClr val="6F263D"/>
      </a:accent5>
      <a:accent6>
        <a:srgbClr val="A5A5A5"/>
      </a:accent6>
      <a:hlink>
        <a:srgbClr val="1B365D"/>
      </a:hlink>
      <a:folHlink>
        <a:srgbClr val="1B365D"/>
      </a:folHlink>
    </a:clrScheme>
    <a:fontScheme name="SA font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F766C3577824080535D63BF7AD75E" ma:contentTypeVersion="11" ma:contentTypeDescription="Create a new document." ma:contentTypeScope="" ma:versionID="2da1d00e2ef2408c7b61a51b3bee9e90">
  <xsd:schema xmlns:xsd="http://www.w3.org/2001/XMLSchema" xmlns:xs="http://www.w3.org/2001/XMLSchema" xmlns:p="http://schemas.microsoft.com/office/2006/metadata/properties" xmlns:ns1="http://schemas.microsoft.com/sharepoint/v3" xmlns:ns3="05ad3483-5fe4-4adb-a3fb-fec71bc2e19b" xmlns:ns4="fc429073-d3fe-40e6-8f43-3b4ba1d5b969" targetNamespace="http://schemas.microsoft.com/office/2006/metadata/properties" ma:root="true" ma:fieldsID="37039704b2f978437986c87641226225" ns1:_="" ns3:_="" ns4:_="">
    <xsd:import namespace="http://schemas.microsoft.com/sharepoint/v3"/>
    <xsd:import namespace="05ad3483-5fe4-4adb-a3fb-fec71bc2e19b"/>
    <xsd:import namespace="fc429073-d3fe-40e6-8f43-3b4ba1d5b9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earchProperties"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d3483-5fe4-4adb-a3fb-fec71bc2e1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29073-d3fe-40e6-8f43-3b4ba1d5b9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5ad3483-5fe4-4adb-a3fb-fec71bc2e19b">
      <UserInfo>
        <DisplayName>Ling, Val</DisplayName>
        <AccountId>34</AccountId>
        <AccountType/>
      </UserInfo>
      <UserInfo>
        <DisplayName>Hicks, Callum</DisplayName>
        <AccountId>11</AccountId>
        <AccountType/>
      </UserInfo>
      <UserInfo>
        <DisplayName>Doyle, Katie</DisplayName>
        <AccountId>21</AccountId>
        <AccountType/>
      </UserInfo>
      <UserInfo>
        <DisplayName>Lawrie, James</DisplayName>
        <AccountId>57</AccountId>
        <AccountType/>
      </UserInfo>
      <UserInfo>
        <DisplayName>Wilson, Samantha</DisplayName>
        <AccountId>53</AccountId>
        <AccountType/>
      </UserInfo>
    </SharedWithUsers>
    <_activity xmlns="fc429073-d3fe-40e6-8f43-3b4ba1d5b9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3C86C-D291-48DD-9860-2D8A9B45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ad3483-5fe4-4adb-a3fb-fec71bc2e19b"/>
    <ds:schemaRef ds:uri="fc429073-d3fe-40e6-8f43-3b4ba1d5b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8BD90-7743-44D5-B85A-E4119AD3B03B}">
  <ds:schemaRefs>
    <ds:schemaRef ds:uri="http://schemas.openxmlformats.org/officeDocument/2006/bibliography"/>
  </ds:schemaRefs>
</ds:datastoreItem>
</file>

<file path=customXml/itemProps3.xml><?xml version="1.0" encoding="utf-8"?>
<ds:datastoreItem xmlns:ds="http://schemas.openxmlformats.org/officeDocument/2006/customXml" ds:itemID="{2E1F968E-47C5-475B-B215-2ECBD6192CBC}">
  <ds:schemaRefs>
    <ds:schemaRef ds:uri="http://purl.org/dc/elements/1.1/"/>
    <ds:schemaRef ds:uri="http://schemas.microsoft.com/office/2006/metadata/properties"/>
    <ds:schemaRef ds:uri="fc429073-d3fe-40e6-8f43-3b4ba1d5b969"/>
    <ds:schemaRef ds:uri="http://schemas.microsoft.com/sharepoint/v3"/>
    <ds:schemaRef ds:uri="05ad3483-5fe4-4adb-a3fb-fec71bc2e1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AF93130-23CE-4A75-A634-3D0975022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corp-op-indigenous-a4-p-long-cover-blue</Template>
  <TotalTime>0</TotalTime>
  <Pages>8</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2024-05-17T00:11:00Z</dcterms:created>
  <dcterms:modified xsi:type="dcterms:W3CDTF">2024-06-24T06:41:00Z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0x0101007C9F766C3577824080535D63BF7AD75E</vt:lpwstr>
  </property>
</Properties>
</file>