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DDC" w14:textId="77777777" w:rsidR="00C57001" w:rsidRPr="001F0CA5" w:rsidRDefault="00B77AE6" w:rsidP="00DB145C">
      <w:pPr>
        <w:pStyle w:val="Heading1withsubtitle"/>
        <w:rPr>
          <w:smallCaps/>
        </w:rPr>
      </w:pPr>
      <w:r w:rsidRPr="001F0CA5">
        <w:t>2024-25 Budget Disability Employment Reforms</w:t>
      </w:r>
    </w:p>
    <w:p w14:paraId="151CFFC9" w14:textId="74E5A09E" w:rsidR="00F148C2" w:rsidRPr="001F0CA5" w:rsidRDefault="00B77AE6" w:rsidP="00DB145C">
      <w:pPr>
        <w:pStyle w:val="Subtitle"/>
      </w:pPr>
      <w:bookmarkStart w:id="0" w:name="_Toc395536189"/>
      <w:r w:rsidRPr="001F0CA5">
        <w:t>Post-budget briefing</w:t>
      </w:r>
      <w:r w:rsidR="00667E1A" w:rsidRPr="001F0CA5">
        <w:t xml:space="preserve"> –</w:t>
      </w:r>
      <w:r w:rsidRPr="001F0CA5">
        <w:t xml:space="preserve"> 23 May 2024</w:t>
      </w:r>
    </w:p>
    <w:p w14:paraId="72D739B1" w14:textId="09089F32" w:rsidR="00162EEE" w:rsidRPr="001F0CA5" w:rsidRDefault="00162EEE" w:rsidP="00162EEE">
      <w:pPr>
        <w:pStyle w:val="Introduction"/>
      </w:pPr>
      <w:r w:rsidRPr="001F0CA5">
        <w:t>This is a</w:t>
      </w:r>
      <w:r w:rsidR="004A176D" w:rsidRPr="001F0CA5">
        <w:t>n accessible</w:t>
      </w:r>
      <w:r w:rsidRPr="001F0CA5">
        <w:t xml:space="preserve"> copy of the slides</w:t>
      </w:r>
      <w:r w:rsidR="004A176D" w:rsidRPr="001F0CA5">
        <w:t>.</w:t>
      </w:r>
    </w:p>
    <w:bookmarkEnd w:id="0"/>
    <w:p w14:paraId="148D73DA" w14:textId="77777777" w:rsidR="00AB1B09" w:rsidRPr="001F0CA5" w:rsidRDefault="008211D3" w:rsidP="004837A4">
      <w:pPr>
        <w:pStyle w:val="Heading2"/>
      </w:pPr>
      <w:r w:rsidRPr="001F0CA5">
        <w:t>Acknowledgement of Country</w:t>
      </w:r>
    </w:p>
    <w:p w14:paraId="729C9AB1" w14:textId="77777777" w:rsidR="004A176D" w:rsidRPr="001F0CA5" w:rsidRDefault="008211D3" w:rsidP="007B6577">
      <w:bookmarkStart w:id="1" w:name="_Toc140757169"/>
      <w:r w:rsidRPr="001F0CA5">
        <w:t xml:space="preserve">The Department of Social Services acknowledges the traditional owners of country throughout Australia, and their continuing connection to land, water and community. </w:t>
      </w:r>
    </w:p>
    <w:p w14:paraId="11A21DA8" w14:textId="7A142A02" w:rsidR="008211D3" w:rsidRPr="001F0CA5" w:rsidRDefault="008211D3" w:rsidP="007B6577">
      <w:r w:rsidRPr="001F0CA5">
        <w:t>We pay our respects to them and their cultures, and to Elders both past and present.</w:t>
      </w:r>
    </w:p>
    <w:bookmarkEnd w:id="1"/>
    <w:p w14:paraId="43D9DA9F" w14:textId="3BC0D5A7" w:rsidR="008211D3" w:rsidRPr="001F0CA5" w:rsidRDefault="008211D3" w:rsidP="008211D3">
      <w:pPr>
        <w:pStyle w:val="Heading2"/>
      </w:pPr>
      <w:r w:rsidRPr="001F0CA5">
        <w:t>Minister’s keynote speech</w:t>
      </w:r>
    </w:p>
    <w:p w14:paraId="37B664F5" w14:textId="77777777" w:rsidR="00817E08" w:rsidRPr="001F0CA5" w:rsidRDefault="00817E08" w:rsidP="007B6577">
      <w:r w:rsidRPr="001F0CA5">
        <w:t xml:space="preserve">The Minister for Social Services, the Hon. Amanda Rishworth, provided a keynote speech. </w:t>
      </w:r>
    </w:p>
    <w:p w14:paraId="17A4D244" w14:textId="0F767BFA" w:rsidR="00AB1B09" w:rsidRPr="001F0CA5" w:rsidRDefault="008211D3" w:rsidP="008211D3">
      <w:pPr>
        <w:pStyle w:val="Heading2"/>
      </w:pPr>
      <w:r w:rsidRPr="001F0CA5">
        <w:t>A new specialist disability program</w:t>
      </w:r>
      <w:r w:rsidR="00704B63" w:rsidRPr="001F0CA5">
        <w:t xml:space="preserve"> presentation</w:t>
      </w:r>
    </w:p>
    <w:p w14:paraId="1BEB03AE" w14:textId="5CF95EC5" w:rsidR="007B6577" w:rsidRPr="001F0CA5" w:rsidRDefault="007B6577" w:rsidP="00EE54CF">
      <w:pPr>
        <w:pStyle w:val="Introduction"/>
      </w:pPr>
      <w:r w:rsidRPr="001F0CA5">
        <w:t>Over 60 minutes, representatives from the Department of Social Services, Robyn Shannon, Deputy Secretary — Disability and Carers and Kellie Spence, Group Manager — Disability Employment Services</w:t>
      </w:r>
      <w:r w:rsidR="00A90D7F" w:rsidRPr="001F0CA5">
        <w:t>,</w:t>
      </w:r>
      <w:r w:rsidRPr="001F0CA5">
        <w:t xml:space="preserve"> shared information on the new specialist disability program.</w:t>
      </w:r>
    </w:p>
    <w:p w14:paraId="484D2E40" w14:textId="57C92458" w:rsidR="00337926" w:rsidRPr="001F0CA5" w:rsidRDefault="008211D3" w:rsidP="00704B63">
      <w:pPr>
        <w:pStyle w:val="Heading3"/>
      </w:pPr>
      <w:r w:rsidRPr="001F0CA5">
        <w:t>Probity Statement</w:t>
      </w:r>
    </w:p>
    <w:p w14:paraId="53F42584" w14:textId="77777777" w:rsidR="008211D3" w:rsidRPr="001F0CA5" w:rsidRDefault="008211D3" w:rsidP="008211D3">
      <w:r w:rsidRPr="001F0CA5">
        <w:t>The Department of Social Services is committed to conducting a fair, honest, and transparent process for the design and implementation of the new specialist disability employment program and related services.</w:t>
      </w:r>
    </w:p>
    <w:p w14:paraId="585011BE" w14:textId="77777777" w:rsidR="008211D3" w:rsidRPr="001F0CA5" w:rsidRDefault="008211D3" w:rsidP="008211D3">
      <w:r w:rsidRPr="001F0CA5">
        <w:t>For today's event, this means that:</w:t>
      </w:r>
    </w:p>
    <w:p w14:paraId="12C5893B" w14:textId="77777777" w:rsidR="008211D3" w:rsidRPr="001F0CA5" w:rsidRDefault="008211D3" w:rsidP="00B67142">
      <w:pPr>
        <w:pStyle w:val="ListParagraph"/>
      </w:pPr>
      <w:r w:rsidRPr="001F0CA5">
        <w:t xml:space="preserve">this presentation will be made publicly available on the </w:t>
      </w:r>
      <w:r w:rsidRPr="001F0CA5">
        <w:br/>
        <w:t>DSS Engage website</w:t>
      </w:r>
    </w:p>
    <w:p w14:paraId="3F2E62CB" w14:textId="77777777" w:rsidR="008211D3" w:rsidRPr="001F0CA5" w:rsidRDefault="008211D3" w:rsidP="00B67142">
      <w:pPr>
        <w:pStyle w:val="ListParagraph"/>
      </w:pPr>
      <w:r w:rsidRPr="001F0CA5">
        <w:t>any views expressed, or information provided, by attendees to this event will be considered, along with the views expressed and information provided by other stakeholders.</w:t>
      </w:r>
    </w:p>
    <w:p w14:paraId="5B578C43" w14:textId="77777777" w:rsidR="008211D3" w:rsidRPr="001F0CA5" w:rsidRDefault="008211D3" w:rsidP="00704B63">
      <w:pPr>
        <w:pStyle w:val="Heading2"/>
      </w:pPr>
      <w:r w:rsidRPr="001F0CA5">
        <w:lastRenderedPageBreak/>
        <w:t>Objectives</w:t>
      </w:r>
    </w:p>
    <w:p w14:paraId="48ACC653" w14:textId="77777777" w:rsidR="008211D3" w:rsidRPr="001F0CA5" w:rsidRDefault="008211D3" w:rsidP="0077479C">
      <w:r w:rsidRPr="001F0CA5">
        <w:t>The new disability employment program commences 1 July 2025.</w:t>
      </w:r>
    </w:p>
    <w:p w14:paraId="27412BC8" w14:textId="77777777" w:rsidR="008211D3" w:rsidRPr="001F0CA5" w:rsidRDefault="008211D3" w:rsidP="0077479C">
      <w:r w:rsidRPr="001F0CA5">
        <w:t>The design of the new program will improve overall access to support and improve the quality of services delivered for both participants and employers.</w:t>
      </w:r>
    </w:p>
    <w:p w14:paraId="0A395207" w14:textId="77777777" w:rsidR="008211D3" w:rsidRPr="001F0CA5" w:rsidRDefault="008211D3" w:rsidP="0077479C">
      <w:r w:rsidRPr="001F0CA5">
        <w:t>This briefing will cover:</w:t>
      </w:r>
    </w:p>
    <w:p w14:paraId="540C9D20" w14:textId="0B0D4BF9" w:rsidR="008211D3" w:rsidRPr="001F0CA5" w:rsidRDefault="008211D3" w:rsidP="001D5A8E">
      <w:pPr>
        <w:pStyle w:val="ListParagraph"/>
      </w:pPr>
      <w:r w:rsidRPr="001F0CA5">
        <w:t>Program design and access to the new program</w:t>
      </w:r>
      <w:r w:rsidR="00B67142" w:rsidRPr="001F0CA5">
        <w:t>.</w:t>
      </w:r>
    </w:p>
    <w:p w14:paraId="02F4B284" w14:textId="3B351B69" w:rsidR="008211D3" w:rsidRPr="001F0CA5" w:rsidRDefault="008211D3" w:rsidP="001D5A8E">
      <w:pPr>
        <w:pStyle w:val="ListParagraph"/>
      </w:pPr>
      <w:r w:rsidRPr="001F0CA5">
        <w:t xml:space="preserve">Participant </w:t>
      </w:r>
      <w:r w:rsidR="00B67142" w:rsidRPr="001F0CA5">
        <w:t>s</w:t>
      </w:r>
      <w:r w:rsidRPr="001F0CA5">
        <w:t>ervices</w:t>
      </w:r>
      <w:r w:rsidR="00B67142" w:rsidRPr="001F0CA5">
        <w:t>.</w:t>
      </w:r>
    </w:p>
    <w:p w14:paraId="007115EC" w14:textId="0AC3D8AB" w:rsidR="008211D3" w:rsidRPr="001F0CA5" w:rsidRDefault="008211D3" w:rsidP="001D5A8E">
      <w:pPr>
        <w:pStyle w:val="ListParagraph"/>
      </w:pPr>
      <w:r w:rsidRPr="001F0CA5">
        <w:t>Employer engagement and support</w:t>
      </w:r>
      <w:r w:rsidR="00B67142" w:rsidRPr="001F0CA5">
        <w:t>.</w:t>
      </w:r>
    </w:p>
    <w:p w14:paraId="0D62B969" w14:textId="5C02EE37" w:rsidR="008211D3" w:rsidRPr="001F0CA5" w:rsidRDefault="008211D3" w:rsidP="001D5A8E">
      <w:pPr>
        <w:pStyle w:val="ListParagraph"/>
      </w:pPr>
      <w:r w:rsidRPr="001F0CA5">
        <w:t>Payment model</w:t>
      </w:r>
      <w:r w:rsidR="00B67142" w:rsidRPr="001F0CA5">
        <w:t>.</w:t>
      </w:r>
    </w:p>
    <w:p w14:paraId="1F6F9DE0" w14:textId="7779A771" w:rsidR="008211D3" w:rsidRPr="001F0CA5" w:rsidRDefault="008211D3" w:rsidP="001D5A8E">
      <w:pPr>
        <w:pStyle w:val="ListParagraph"/>
      </w:pPr>
      <w:r w:rsidRPr="001F0CA5">
        <w:t>Government stewardship and continuous improvement</w:t>
      </w:r>
      <w:r w:rsidR="00B67142" w:rsidRPr="001F0CA5">
        <w:t>.</w:t>
      </w:r>
    </w:p>
    <w:p w14:paraId="18084B96" w14:textId="1CEB9E34" w:rsidR="008211D3" w:rsidRPr="001F0CA5" w:rsidRDefault="008211D3" w:rsidP="001D5A8E">
      <w:pPr>
        <w:pStyle w:val="ListParagraph"/>
      </w:pPr>
      <w:r w:rsidRPr="001F0CA5">
        <w:t>Next steps and consultation</w:t>
      </w:r>
      <w:r w:rsidR="00B67142" w:rsidRPr="001F0CA5">
        <w:t>.</w:t>
      </w:r>
    </w:p>
    <w:p w14:paraId="114881CD" w14:textId="1C38993A" w:rsidR="008211D3" w:rsidRPr="001F0CA5" w:rsidRDefault="008211D3" w:rsidP="00A90D7F">
      <w:pPr>
        <w:pStyle w:val="Heading2"/>
      </w:pPr>
      <w:r w:rsidRPr="001F0CA5">
        <w:t>Simplified program design</w:t>
      </w:r>
    </w:p>
    <w:p w14:paraId="25A853D1" w14:textId="77777777" w:rsidR="006B2D24" w:rsidRPr="001F0CA5" w:rsidRDefault="006B2D24" w:rsidP="006B2D24">
      <w:r w:rsidRPr="001F0CA5">
        <w:t>The two current DES programs will be consolidated into one program.</w:t>
      </w:r>
    </w:p>
    <w:p w14:paraId="45A43132" w14:textId="77777777" w:rsidR="006B2D24" w:rsidRPr="001F0CA5" w:rsidRDefault="006B2D24" w:rsidP="006B2D24">
      <w:r w:rsidRPr="001F0CA5">
        <w:t>Below is a summary of the current DES program:</w:t>
      </w:r>
    </w:p>
    <w:p w14:paraId="470034D0" w14:textId="77777777" w:rsidR="006B2D24" w:rsidRPr="001F0CA5" w:rsidRDefault="006B2D24" w:rsidP="00B67142">
      <w:pPr>
        <w:pStyle w:val="ListParagraph"/>
      </w:pPr>
      <w:r w:rsidRPr="001F0CA5">
        <w:rPr>
          <w:b/>
          <w:bCs/>
        </w:rPr>
        <w:t xml:space="preserve">Disability Management Service (DMS) </w:t>
      </w:r>
      <w:r w:rsidRPr="001F0CA5">
        <w:t>helps job seekers with disability, injury and/or a health condition who need assistance to find a job and occasional support in the workplace to keep a job.</w:t>
      </w:r>
    </w:p>
    <w:p w14:paraId="6DF6EDBF" w14:textId="77777777" w:rsidR="006B2D24" w:rsidRPr="001F0CA5" w:rsidRDefault="006B2D24" w:rsidP="00B67142">
      <w:pPr>
        <w:pStyle w:val="ListParagraph"/>
      </w:pPr>
      <w:r w:rsidRPr="001F0CA5">
        <w:rPr>
          <w:b/>
          <w:bCs/>
        </w:rPr>
        <w:t xml:space="preserve">Employment Support Service (ESS) </w:t>
      </w:r>
      <w:r w:rsidRPr="001F0CA5">
        <w:t>helps job seekers with permanent disability who need assistance to find a job and regular, ongoing support in the workplace to keep a job.</w:t>
      </w:r>
    </w:p>
    <w:p w14:paraId="350B9E97" w14:textId="77777777" w:rsidR="006B2D24" w:rsidRPr="001F0CA5" w:rsidRDefault="006B2D24" w:rsidP="006B2D24">
      <w:r w:rsidRPr="001F0CA5">
        <w:t>Below is a summary of the new program:</w:t>
      </w:r>
    </w:p>
    <w:p w14:paraId="19CFD768" w14:textId="77777777" w:rsidR="006B2D24" w:rsidRPr="001F0CA5" w:rsidRDefault="006B2D24" w:rsidP="00B67142">
      <w:pPr>
        <w:pStyle w:val="ListParagraph"/>
      </w:pPr>
      <w:r w:rsidRPr="001F0CA5">
        <w:t>A diverse network of providers help people with disability, injury and/or a health condition to prepare for, find and maintain sustainable employment.</w:t>
      </w:r>
    </w:p>
    <w:p w14:paraId="3E2E0591" w14:textId="54CEFABA" w:rsidR="008D1407" w:rsidRPr="001F0CA5" w:rsidRDefault="008D1407" w:rsidP="008D1407">
      <w:r w:rsidRPr="001F0CA5">
        <w:t xml:space="preserve">A graph showing the comparision of DMS and ESS outcomes was </w:t>
      </w:r>
      <w:r w:rsidR="00AC2B11" w:rsidRPr="001F0CA5">
        <w:t>presented</w:t>
      </w:r>
      <w:r w:rsidRPr="001F0CA5">
        <w:t xml:space="preserve">. It shows </w:t>
      </w:r>
      <w:r w:rsidR="00A24E26" w:rsidRPr="001F0CA5">
        <w:t xml:space="preserve">the employment outcomes for participants in the two program streams </w:t>
      </w:r>
      <w:r w:rsidR="008B0106" w:rsidRPr="001F0CA5">
        <w:t>–</w:t>
      </w:r>
      <w:r w:rsidR="00A24E26" w:rsidRPr="001F0CA5">
        <w:t xml:space="preserve"> DMS and ESS </w:t>
      </w:r>
      <w:r w:rsidR="008B0106" w:rsidRPr="001F0CA5">
        <w:t>–</w:t>
      </w:r>
      <w:r w:rsidR="00A24E26" w:rsidRPr="001F0CA5">
        <w:t xml:space="preserve"> are very similar </w:t>
      </w:r>
      <w:r w:rsidR="001C791F" w:rsidRPr="001F0CA5">
        <w:t>at</w:t>
      </w:r>
      <w:r w:rsidR="00A24E26" w:rsidRPr="001F0CA5">
        <w:t xml:space="preserve"> </w:t>
      </w:r>
      <w:r w:rsidR="001C791F" w:rsidRPr="001F0CA5">
        <w:t xml:space="preserve">4 </w:t>
      </w:r>
      <w:r w:rsidR="00A24E26" w:rsidRPr="001F0CA5">
        <w:t>weeks</w:t>
      </w:r>
      <w:r w:rsidR="001C791F" w:rsidRPr="001F0CA5">
        <w:t>, 13 weeks, 26-weeks and 52 weeks</w:t>
      </w:r>
      <w:r w:rsidR="00A24E26" w:rsidRPr="001F0CA5">
        <w:t>.</w:t>
      </w:r>
    </w:p>
    <w:p w14:paraId="55876E5F" w14:textId="77777777" w:rsidR="006B2D24" w:rsidRPr="001F0CA5" w:rsidRDefault="006B2D24" w:rsidP="00A90D7F">
      <w:pPr>
        <w:pStyle w:val="Heading2"/>
      </w:pPr>
      <w:r w:rsidRPr="001F0CA5">
        <w:lastRenderedPageBreak/>
        <w:t>Participant eligibility for the new program</w:t>
      </w:r>
    </w:p>
    <w:p w14:paraId="47A21830" w14:textId="77777777" w:rsidR="006B2D24" w:rsidRPr="001F0CA5" w:rsidRDefault="006B2D24" w:rsidP="000A0C68">
      <w:pPr>
        <w:keepNext/>
        <w:rPr>
          <w:lang w:val="en-GB"/>
        </w:rPr>
      </w:pPr>
      <w:r w:rsidRPr="001F0CA5">
        <w:rPr>
          <w:lang w:val="en-GB"/>
        </w:rPr>
        <w:t>The new program continues to target those who will benefit most from a specialist disability employment program.</w:t>
      </w:r>
    </w:p>
    <w:p w14:paraId="3086D5EF" w14:textId="77777777" w:rsidR="006B2D24" w:rsidRPr="001F0CA5" w:rsidRDefault="006B2D24" w:rsidP="000A0C68">
      <w:pPr>
        <w:keepNext/>
      </w:pPr>
      <w:r w:rsidRPr="001F0CA5">
        <w:rPr>
          <w:lang w:val="en-GB"/>
        </w:rPr>
        <w:t>Eligibility will be expanded, until June 2028, to support new volunteer cohorts. An additional 15,000 people each year are expected to register including:</w:t>
      </w:r>
    </w:p>
    <w:p w14:paraId="3FCA0C43" w14:textId="77777777" w:rsidR="006B2D24" w:rsidRPr="001F0CA5" w:rsidRDefault="006B2D24" w:rsidP="000A0C68">
      <w:pPr>
        <w:pStyle w:val="ListParagraph"/>
        <w:keepNext/>
      </w:pPr>
      <w:r w:rsidRPr="001F0CA5">
        <w:rPr>
          <w:lang w:val="en-GB"/>
        </w:rPr>
        <w:t>those with a work capacity of less than 8 hours per week, and</w:t>
      </w:r>
    </w:p>
    <w:p w14:paraId="45454965" w14:textId="77777777" w:rsidR="006B2D24" w:rsidRPr="001F0CA5" w:rsidRDefault="006B2D24" w:rsidP="00B67142">
      <w:pPr>
        <w:pStyle w:val="ListParagraph"/>
      </w:pPr>
      <w:r w:rsidRPr="001F0CA5">
        <w:rPr>
          <w:lang w:val="en-GB"/>
        </w:rPr>
        <w:t>those not receiving an income support payment.</w:t>
      </w:r>
    </w:p>
    <w:p w14:paraId="0E1D867B" w14:textId="77777777" w:rsidR="006B2D24" w:rsidRPr="001F0CA5" w:rsidRDefault="006B2D24" w:rsidP="006B2D24">
      <w:pPr>
        <w:rPr>
          <w:lang w:val="en-GB"/>
        </w:rPr>
      </w:pPr>
      <w:r w:rsidRPr="001F0CA5">
        <w:rPr>
          <w:lang w:val="en-GB"/>
        </w:rPr>
        <w:t>Job seekers assessed as being able to work 30 hrs or more per week will continue to be referred to Workforce Australia.</w:t>
      </w:r>
    </w:p>
    <w:p w14:paraId="1DBCC78C" w14:textId="77777777" w:rsidR="006B2D24" w:rsidRPr="001F0CA5" w:rsidRDefault="006B2D24" w:rsidP="006B2D24">
      <w:pPr>
        <w:rPr>
          <w:lang w:val="en-GB"/>
        </w:rPr>
      </w:pPr>
      <w:r w:rsidRPr="001F0CA5">
        <w:rPr>
          <w:lang w:val="en-GB"/>
        </w:rPr>
        <w:t>Special eligibility arrangements will be in place for targeted cohorts.</w:t>
      </w:r>
    </w:p>
    <w:p w14:paraId="6E3FF570" w14:textId="4F001846" w:rsidR="006B2D24" w:rsidRPr="001F0CA5" w:rsidRDefault="006B2D24" w:rsidP="00A90D7F">
      <w:pPr>
        <w:pStyle w:val="Heading2"/>
      </w:pPr>
      <w:r w:rsidRPr="001F0CA5">
        <w:t>Assessment and referral to the new program</w:t>
      </w:r>
    </w:p>
    <w:p w14:paraId="26B7B0A4" w14:textId="77777777" w:rsidR="006B2D24" w:rsidRPr="001F0CA5" w:rsidRDefault="006B2D24" w:rsidP="006B2D24">
      <w:r w:rsidRPr="001F0CA5">
        <w:t>Eligibility will continue to be assessed by specialist staff in Services Australia</w:t>
      </w:r>
      <w:r w:rsidRPr="001F0CA5">
        <w:rPr>
          <w:lang w:val="en-GB"/>
        </w:rPr>
        <w:t>.</w:t>
      </w:r>
    </w:p>
    <w:p w14:paraId="70004D3B" w14:textId="77777777" w:rsidR="006B2D24" w:rsidRPr="001F0CA5" w:rsidRDefault="006B2D24" w:rsidP="006B2D24">
      <w:r w:rsidRPr="001F0CA5">
        <w:rPr>
          <w:lang w:val="en-GB"/>
        </w:rPr>
        <w:t>Assessment will focus on work capacity and referral to the most appropriate employment service.</w:t>
      </w:r>
    </w:p>
    <w:p w14:paraId="569FBF7A" w14:textId="262E91D7" w:rsidR="006B2D24" w:rsidRPr="001F0CA5" w:rsidRDefault="006B2D24" w:rsidP="006B2D24">
      <w:r w:rsidRPr="001F0CA5">
        <w:rPr>
          <w:lang w:val="en-GB"/>
        </w:rPr>
        <w:t>Upon referral, participants will be able to choose from providers who service their Employment Service Area</w:t>
      </w:r>
    </w:p>
    <w:p w14:paraId="49818CA7" w14:textId="77777777" w:rsidR="006B2D24" w:rsidRPr="001F0CA5" w:rsidRDefault="006B2D24" w:rsidP="006B2D24">
      <w:r w:rsidRPr="001F0CA5">
        <w:t>Participants will be able to transfer providers at any time and for any reason.</w:t>
      </w:r>
    </w:p>
    <w:p w14:paraId="09FDBAA3" w14:textId="77777777" w:rsidR="006B2D24" w:rsidRPr="001F0CA5" w:rsidRDefault="006B2D24" w:rsidP="006B2D24">
      <w:r w:rsidRPr="001F0CA5">
        <w:rPr>
          <w:lang w:val="en-GB"/>
        </w:rPr>
        <w:t xml:space="preserve">Special eligibility arrangements will </w:t>
      </w:r>
      <w:r w:rsidRPr="001F0CA5">
        <w:t>allow some cohorts to directly register with a provider.</w:t>
      </w:r>
    </w:p>
    <w:p w14:paraId="65EDBC21" w14:textId="77777777" w:rsidR="006B2D24" w:rsidRPr="001F0CA5" w:rsidRDefault="006B2D24" w:rsidP="00A90D7F">
      <w:pPr>
        <w:pStyle w:val="Heading2"/>
      </w:pPr>
      <w:r w:rsidRPr="001F0CA5">
        <w:t>The role of the National Panel of Assessors</w:t>
      </w:r>
    </w:p>
    <w:p w14:paraId="6C5731AD" w14:textId="77777777" w:rsidR="005E508E" w:rsidRPr="001F0CA5" w:rsidRDefault="006B2D24" w:rsidP="006B2D24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>The National Panel of Assessors (NPA) program is a standing panel of independent assessment service providers contracted to provide assessments to support the needs of people with disability in the workplace.</w:t>
      </w:r>
      <w:r w:rsidR="005E508E" w:rsidRPr="001F0CA5">
        <w:rPr>
          <w:rFonts w:asciiTheme="majorHAnsi" w:hAnsiTheme="majorHAnsi" w:cstheme="majorHAnsi"/>
          <w:szCs w:val="22"/>
        </w:rPr>
        <w:t xml:space="preserve"> </w:t>
      </w:r>
    </w:p>
    <w:p w14:paraId="6819A511" w14:textId="77777777" w:rsidR="006B2D24" w:rsidRPr="001F0CA5" w:rsidRDefault="006B2D24" w:rsidP="006B2D24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>The NPA program will continue to provide high-quality assessment services from 1 July 202</w:t>
      </w:r>
      <w:r w:rsidR="005E508E" w:rsidRPr="001F0CA5">
        <w:rPr>
          <w:rFonts w:asciiTheme="majorHAnsi" w:hAnsiTheme="majorHAnsi" w:cstheme="majorHAnsi"/>
          <w:szCs w:val="22"/>
        </w:rPr>
        <w:t>5.</w:t>
      </w:r>
    </w:p>
    <w:p w14:paraId="2003955D" w14:textId="2A76C711" w:rsidR="00536095" w:rsidRPr="001F0CA5" w:rsidRDefault="00536095" w:rsidP="006B2D24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>The three assessments services:</w:t>
      </w:r>
    </w:p>
    <w:p w14:paraId="3ADE7AAE" w14:textId="77777777" w:rsidR="005E508E" w:rsidRPr="001F0CA5" w:rsidRDefault="005E508E" w:rsidP="00B67142">
      <w:pPr>
        <w:pStyle w:val="ListParagraph"/>
      </w:pPr>
      <w:r w:rsidRPr="001F0CA5">
        <w:rPr>
          <w:b/>
          <w:bCs/>
        </w:rPr>
        <w:t>Ongoing Support Assessments:</w:t>
      </w:r>
      <w:r w:rsidRPr="001F0CA5">
        <w:t xml:space="preserve"> Ensure disability employment service participants receive the Ongoing Support they need in the workplace to maintain sustainable employment.</w:t>
      </w:r>
    </w:p>
    <w:p w14:paraId="04154892" w14:textId="77777777" w:rsidR="005E508E" w:rsidRPr="001F0CA5" w:rsidRDefault="005E508E" w:rsidP="00B67142">
      <w:pPr>
        <w:pStyle w:val="ListParagraph"/>
      </w:pPr>
      <w:r w:rsidRPr="001F0CA5">
        <w:rPr>
          <w:b/>
          <w:bCs/>
        </w:rPr>
        <w:t xml:space="preserve">Workplace Modification Assessments: </w:t>
      </w:r>
      <w:r w:rsidRPr="001F0CA5">
        <w:t>Assess the suitability of modifications (such as equipment or assistive technology) that will support people with disability to undertake their employment duties.</w:t>
      </w:r>
    </w:p>
    <w:p w14:paraId="3F8DB6F8" w14:textId="77777777" w:rsidR="005E508E" w:rsidRPr="001F0CA5" w:rsidRDefault="005E508E" w:rsidP="00B67142">
      <w:pPr>
        <w:pStyle w:val="ListParagraph"/>
      </w:pPr>
      <w:r w:rsidRPr="001F0CA5">
        <w:rPr>
          <w:b/>
          <w:bCs/>
        </w:rPr>
        <w:t xml:space="preserve">Support Wage System Assessments: </w:t>
      </w:r>
      <w:r w:rsidRPr="001F0CA5">
        <w:t>Determine productivity-based wages for eligible people with disability employed under the Supported Wage System.</w:t>
      </w:r>
    </w:p>
    <w:p w14:paraId="3AB12F32" w14:textId="77777777" w:rsidR="005E508E" w:rsidRPr="001F0CA5" w:rsidRDefault="005E508E" w:rsidP="00604447">
      <w:pPr>
        <w:pStyle w:val="Heading2"/>
      </w:pPr>
      <w:r w:rsidRPr="001F0CA5">
        <w:lastRenderedPageBreak/>
        <w:t xml:space="preserve">Key improvements in service quality for participants </w:t>
      </w:r>
    </w:p>
    <w:p w14:paraId="10F99299" w14:textId="28E4FC00" w:rsidR="00435F74" w:rsidRPr="001F0CA5" w:rsidRDefault="00435F74" w:rsidP="00435F74">
      <w:pPr>
        <w:pStyle w:val="Introduction"/>
      </w:pPr>
      <w:r w:rsidRPr="001F0CA5">
        <w:t xml:space="preserve">This section </w:t>
      </w:r>
      <w:r w:rsidR="00B24EB2" w:rsidRPr="001F0CA5">
        <w:t xml:space="preserve">of the presentation </w:t>
      </w:r>
      <w:r w:rsidRPr="001F0CA5">
        <w:t xml:space="preserve">outlines </w:t>
      </w:r>
      <w:r w:rsidR="00F51FA6" w:rsidRPr="001F0CA5">
        <w:t xml:space="preserve">how the program design will support </w:t>
      </w:r>
      <w:r w:rsidR="00673340" w:rsidRPr="001F0CA5">
        <w:t>high-quality services for participants.</w:t>
      </w:r>
    </w:p>
    <w:p w14:paraId="3A6C689B" w14:textId="5B7E2260" w:rsidR="00246E65" w:rsidRPr="001F0CA5" w:rsidRDefault="005E508E" w:rsidP="005E508E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Provide</w:t>
      </w:r>
      <w:r w:rsidR="00246E65" w:rsidRPr="001F0CA5">
        <w:rPr>
          <w:rFonts w:cstheme="minorHAnsi"/>
          <w:szCs w:val="22"/>
        </w:rPr>
        <w:t>rs will:</w:t>
      </w:r>
    </w:p>
    <w:p w14:paraId="6BF5DB2C" w14:textId="0C40E7BA" w:rsidR="005E508E" w:rsidRPr="001F0CA5" w:rsidRDefault="00246E65" w:rsidP="00B67142">
      <w:pPr>
        <w:pStyle w:val="ListParagraph"/>
      </w:pPr>
      <w:r w:rsidRPr="001F0CA5">
        <w:t>work with participants to understand their circumstances, goals and aspirations</w:t>
      </w:r>
    </w:p>
    <w:p w14:paraId="51E61128" w14:textId="31069341" w:rsidR="00246E65" w:rsidRPr="001F0CA5" w:rsidRDefault="00246E65" w:rsidP="00B67142">
      <w:pPr>
        <w:pStyle w:val="ListParagraph"/>
      </w:pPr>
      <w:r w:rsidRPr="001F0CA5">
        <w:t>deliver services that reflect the diverse range of pathways to employment</w:t>
      </w:r>
    </w:p>
    <w:p w14:paraId="022D1436" w14:textId="644BDF6E" w:rsidR="00246E65" w:rsidRPr="001F0CA5" w:rsidRDefault="00604447" w:rsidP="00B67142">
      <w:pPr>
        <w:pStyle w:val="ListParagraph"/>
      </w:pPr>
      <w:r w:rsidRPr="001F0CA5">
        <w:t>b</w:t>
      </w:r>
      <w:r w:rsidR="00246E65" w:rsidRPr="001F0CA5">
        <w:t>uild participants capacity and skills</w:t>
      </w:r>
    </w:p>
    <w:p w14:paraId="166D0594" w14:textId="20501591" w:rsidR="00246E65" w:rsidRPr="001F0CA5" w:rsidRDefault="00604447" w:rsidP="00B67142">
      <w:pPr>
        <w:pStyle w:val="ListParagraph"/>
      </w:pPr>
      <w:r w:rsidRPr="001F0CA5">
        <w:t>b</w:t>
      </w:r>
      <w:r w:rsidR="00246E65" w:rsidRPr="001F0CA5">
        <w:t>uild trust and focus on meaningful engagement</w:t>
      </w:r>
      <w:r w:rsidR="00E82EAA" w:rsidRPr="001F0CA5">
        <w:t>, and</w:t>
      </w:r>
    </w:p>
    <w:p w14:paraId="6F7BCDD1" w14:textId="219BE39B" w:rsidR="00246E65" w:rsidRPr="001F0CA5" w:rsidRDefault="00604447" w:rsidP="00B67142">
      <w:pPr>
        <w:pStyle w:val="ListParagraph"/>
      </w:pPr>
      <w:r w:rsidRPr="001F0CA5">
        <w:t>p</w:t>
      </w:r>
      <w:r w:rsidR="00246E65" w:rsidRPr="001F0CA5">
        <w:t xml:space="preserve">ut both participants and employers at the centre of their service design. </w:t>
      </w:r>
    </w:p>
    <w:p w14:paraId="7B93AD9A" w14:textId="77777777" w:rsidR="00246E65" w:rsidRPr="001F0CA5" w:rsidRDefault="00246E65" w:rsidP="00A2485C">
      <w:pPr>
        <w:pStyle w:val="Heading2"/>
      </w:pPr>
      <w:r w:rsidRPr="001F0CA5">
        <w:t>New approach to employment assistance</w:t>
      </w:r>
    </w:p>
    <w:p w14:paraId="6B77F5B0" w14:textId="77777777" w:rsidR="00246E65" w:rsidRPr="001F0CA5" w:rsidRDefault="00246E65" w:rsidP="0077479C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 xml:space="preserve">The new program will have </w:t>
      </w:r>
      <w:r w:rsidRPr="001F0CA5">
        <w:rPr>
          <w:rFonts w:asciiTheme="majorHAnsi" w:hAnsiTheme="majorHAnsi" w:cstheme="majorHAnsi"/>
          <w:b/>
          <w:bCs/>
          <w:szCs w:val="22"/>
        </w:rPr>
        <w:t>no participation time limit</w:t>
      </w:r>
      <w:r w:rsidRPr="001F0CA5">
        <w:rPr>
          <w:rFonts w:asciiTheme="majorHAnsi" w:hAnsiTheme="majorHAnsi" w:cstheme="majorHAnsi"/>
          <w:szCs w:val="22"/>
        </w:rPr>
        <w:t>.</w:t>
      </w:r>
    </w:p>
    <w:p w14:paraId="74194DCE" w14:textId="77777777" w:rsidR="00246E65" w:rsidRPr="001F0CA5" w:rsidRDefault="00246E65" w:rsidP="0077479C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>There will be 2 service offers – intensive and flexible.</w:t>
      </w:r>
    </w:p>
    <w:p w14:paraId="09CAD532" w14:textId="77777777" w:rsidR="00246E65" w:rsidRPr="001F0CA5" w:rsidRDefault="00246E65" w:rsidP="0077479C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>Providers will offer a range of customised supports to participants depending on where they are in their employment journey and their capacity to participate.</w:t>
      </w:r>
    </w:p>
    <w:p w14:paraId="45618E4B" w14:textId="77777777" w:rsidR="00246E65" w:rsidRPr="001F0CA5" w:rsidRDefault="00246E65" w:rsidP="0077479C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>Providers will explore options and pathways to employment with participants under both services.</w:t>
      </w:r>
    </w:p>
    <w:p w14:paraId="4A9CB6C0" w14:textId="77777777" w:rsidR="00246E65" w:rsidRPr="001F0CA5" w:rsidRDefault="00246E65" w:rsidP="00246E65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b/>
          <w:bCs/>
          <w:szCs w:val="22"/>
        </w:rPr>
        <w:t xml:space="preserve">Intensive Service </w:t>
      </w:r>
      <w:r w:rsidRPr="001F0CA5">
        <w:rPr>
          <w:rFonts w:asciiTheme="majorHAnsi" w:hAnsiTheme="majorHAnsi" w:cstheme="majorHAnsi"/>
          <w:szCs w:val="22"/>
        </w:rPr>
        <w:t>is the default for those who are preparing for work and looking for work.</w:t>
      </w:r>
    </w:p>
    <w:p w14:paraId="791BC5FA" w14:textId="77777777" w:rsidR="00246E65" w:rsidRPr="001F0CA5" w:rsidRDefault="00246E65" w:rsidP="00246E65">
      <w:pPr>
        <w:rPr>
          <w:rFonts w:asciiTheme="majorHAnsi" w:hAnsiTheme="majorHAnsi" w:cstheme="majorHAnsi"/>
          <w:b/>
          <w:bCs/>
          <w:szCs w:val="22"/>
        </w:rPr>
      </w:pPr>
      <w:r w:rsidRPr="001F0CA5">
        <w:rPr>
          <w:rFonts w:asciiTheme="majorHAnsi" w:hAnsiTheme="majorHAnsi" w:cstheme="majorHAnsi"/>
          <w:b/>
          <w:bCs/>
          <w:szCs w:val="22"/>
        </w:rPr>
        <w:t xml:space="preserve">Flexible Service </w:t>
      </w:r>
      <w:r w:rsidRPr="001F0CA5">
        <w:rPr>
          <w:rFonts w:asciiTheme="majorHAnsi" w:hAnsiTheme="majorHAnsi" w:cstheme="majorHAnsi"/>
          <w:szCs w:val="22"/>
        </w:rPr>
        <w:t>targets participants who are already engaged in other activities (such as work, training, or non-vocational supports) or need to build their capacity to fully engage.</w:t>
      </w:r>
    </w:p>
    <w:p w14:paraId="39870D0B" w14:textId="77777777" w:rsidR="00246E65" w:rsidRPr="001F0CA5" w:rsidRDefault="00246E65" w:rsidP="00A90D7F">
      <w:pPr>
        <w:pStyle w:val="Heading3"/>
      </w:pPr>
      <w:r w:rsidRPr="001F0CA5">
        <w:t>Intensive Service</w:t>
      </w:r>
    </w:p>
    <w:p w14:paraId="0D0C3757" w14:textId="77777777" w:rsidR="00246E65" w:rsidRPr="001F0CA5" w:rsidRDefault="00246E65" w:rsidP="00246E65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In the intensive service, there will be better recognition of where a participant is in their pathway to employment with:</w:t>
      </w:r>
    </w:p>
    <w:p w14:paraId="28B3BE01" w14:textId="77777777" w:rsidR="00246E65" w:rsidRPr="001F0CA5" w:rsidRDefault="00246E65" w:rsidP="00B67142">
      <w:pPr>
        <w:pStyle w:val="ListParagraph"/>
      </w:pPr>
      <w:r w:rsidRPr="001F0CA5">
        <w:rPr>
          <w:b/>
          <w:bCs/>
        </w:rPr>
        <w:t xml:space="preserve">Work Preparation </w:t>
      </w:r>
      <w:r w:rsidRPr="001F0CA5">
        <w:t>for participants that need time to address vocational and non-vocational barriers.</w:t>
      </w:r>
    </w:p>
    <w:p w14:paraId="128CE516" w14:textId="77777777" w:rsidR="00246E65" w:rsidRPr="001F0CA5" w:rsidRDefault="00246E65" w:rsidP="00B67142">
      <w:pPr>
        <w:pStyle w:val="ListParagraph"/>
      </w:pPr>
      <w:r w:rsidRPr="001F0CA5">
        <w:rPr>
          <w:b/>
          <w:bCs/>
        </w:rPr>
        <w:t>Job Search</w:t>
      </w:r>
      <w:r w:rsidRPr="001F0CA5">
        <w:t xml:space="preserve"> for participants that are ready to look for work.</w:t>
      </w:r>
    </w:p>
    <w:p w14:paraId="423D43BA" w14:textId="42691040" w:rsidR="00246E65" w:rsidRPr="001F0CA5" w:rsidRDefault="00246E65" w:rsidP="00246E65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Providers will use their judgement to set job search goals and refer participants to and appropriate activities and interventions that align to their employment goals.</w:t>
      </w:r>
    </w:p>
    <w:p w14:paraId="435BFC07" w14:textId="77777777" w:rsidR="00246E65" w:rsidRPr="001F0CA5" w:rsidRDefault="00246E65" w:rsidP="00246E65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 xml:space="preserve">The current DES program provides employment assistance. </w:t>
      </w:r>
    </w:p>
    <w:p w14:paraId="3AE080FE" w14:textId="53A135C6" w:rsidR="00246E65" w:rsidRPr="001F0CA5" w:rsidRDefault="00246E65" w:rsidP="00246E65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new program will provide pre-employment support that includes work preparation and job search support.</w:t>
      </w:r>
    </w:p>
    <w:p w14:paraId="548D141C" w14:textId="4325640E" w:rsidR="001A3207" w:rsidRPr="001F0CA5" w:rsidRDefault="001A3207" w:rsidP="00246E65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 xml:space="preserve">Graphic representation comparing </w:t>
      </w:r>
      <w:r w:rsidR="00D87D1F" w:rsidRPr="001F0CA5">
        <w:rPr>
          <w:rFonts w:cstheme="minorHAnsi"/>
          <w:szCs w:val="22"/>
        </w:rPr>
        <w:t xml:space="preserve">current </w:t>
      </w:r>
      <w:r w:rsidR="00D53962" w:rsidRPr="001F0CA5">
        <w:rPr>
          <w:rFonts w:cstheme="minorHAnsi"/>
          <w:szCs w:val="22"/>
        </w:rPr>
        <w:t xml:space="preserve">DES </w:t>
      </w:r>
      <w:r w:rsidR="00D87D1F" w:rsidRPr="001F0CA5">
        <w:rPr>
          <w:rFonts w:cstheme="minorHAnsi"/>
          <w:szCs w:val="22"/>
        </w:rPr>
        <w:t>program</w:t>
      </w:r>
      <w:r w:rsidRPr="001F0CA5">
        <w:rPr>
          <w:rFonts w:cstheme="minorHAnsi"/>
          <w:szCs w:val="22"/>
        </w:rPr>
        <w:t xml:space="preserve"> Employment Assistance and the new</w:t>
      </w:r>
      <w:r w:rsidR="00CF1CC6" w:rsidRPr="001F0CA5">
        <w:rPr>
          <w:rFonts w:cstheme="minorHAnsi"/>
          <w:szCs w:val="22"/>
        </w:rPr>
        <w:t xml:space="preserve"> program pre-employment support.</w:t>
      </w:r>
    </w:p>
    <w:p w14:paraId="51C1720E" w14:textId="77777777" w:rsidR="00246E65" w:rsidRPr="001F0CA5" w:rsidRDefault="00246E65" w:rsidP="00A90D7F">
      <w:pPr>
        <w:pStyle w:val="Heading3"/>
      </w:pPr>
      <w:r w:rsidRPr="001F0CA5">
        <w:lastRenderedPageBreak/>
        <w:t>Flexible Service</w:t>
      </w:r>
    </w:p>
    <w:p w14:paraId="05415E81" w14:textId="77777777" w:rsidR="00246E65" w:rsidRPr="001F0CA5" w:rsidRDefault="00246E65" w:rsidP="00246E65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>The flexible service provides an option to remain connected to the provider but will less frequent engagement.</w:t>
      </w:r>
    </w:p>
    <w:p w14:paraId="37D31F0E" w14:textId="77777777" w:rsidR="00246E65" w:rsidRPr="001F0CA5" w:rsidRDefault="00246E65" w:rsidP="00246E65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>Providers will provide information and guidance to participants so they can step up to more intensive servicing in time and/or to gain employment outcomes.</w:t>
      </w:r>
    </w:p>
    <w:p w14:paraId="395B2BA9" w14:textId="71427056" w:rsidR="00246E65" w:rsidRPr="001F0CA5" w:rsidRDefault="00246E65" w:rsidP="00246E65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>Pre-employment support will enable participants to move between flexible and intensive services as their circumstances change.</w:t>
      </w:r>
    </w:p>
    <w:p w14:paraId="2F58849B" w14:textId="0FD768A4" w:rsidR="00CF1CC6" w:rsidRPr="001F0CA5" w:rsidRDefault="00CF1CC6" w:rsidP="00246E65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>Graphic representation of movement between intensive service and flexible service as part of pre</w:t>
      </w:r>
      <w:r w:rsidRPr="001F0CA5">
        <w:rPr>
          <w:rFonts w:asciiTheme="majorHAnsi" w:hAnsiTheme="majorHAnsi" w:cstheme="majorHAnsi"/>
          <w:szCs w:val="22"/>
        </w:rPr>
        <w:noBreakHyphen/>
        <w:t>employment support in new program.</w:t>
      </w:r>
    </w:p>
    <w:p w14:paraId="79A6C87C" w14:textId="77777777" w:rsidR="00246E65" w:rsidRPr="001F0CA5" w:rsidRDefault="00246E65" w:rsidP="00D327C5">
      <w:pPr>
        <w:pStyle w:val="Heading2"/>
      </w:pPr>
      <w:r w:rsidRPr="001F0CA5">
        <w:t>Meaningful engagement</w:t>
      </w:r>
    </w:p>
    <w:p w14:paraId="0E6631F0" w14:textId="77777777" w:rsidR="00246E65" w:rsidRPr="001F0CA5" w:rsidRDefault="00246E65" w:rsidP="00246E65">
      <w:pPr>
        <w:rPr>
          <w:rFonts w:cstheme="minorHAnsi"/>
          <w:szCs w:val="22"/>
        </w:rPr>
      </w:pPr>
      <w:r w:rsidRPr="001F0CA5">
        <w:rPr>
          <w:rFonts w:cstheme="minorHAnsi"/>
          <w:szCs w:val="22"/>
          <w:lang w:val="en-US"/>
        </w:rPr>
        <w:t>Providers will work with participants to build meaningful relationships.</w:t>
      </w:r>
    </w:p>
    <w:p w14:paraId="01968574" w14:textId="77777777" w:rsidR="00246E65" w:rsidRPr="001F0CA5" w:rsidRDefault="00246E65" w:rsidP="00246E65">
      <w:pPr>
        <w:rPr>
          <w:rFonts w:cstheme="minorHAnsi"/>
          <w:szCs w:val="22"/>
        </w:rPr>
      </w:pPr>
      <w:r w:rsidRPr="001F0CA5">
        <w:rPr>
          <w:rFonts w:cstheme="minorHAnsi"/>
          <w:szCs w:val="22"/>
          <w:lang w:val="en-US"/>
        </w:rPr>
        <w:t xml:space="preserve">Engagement will be through the delivery of a quality service that focuses on </w:t>
      </w:r>
      <w:r w:rsidRPr="001F0CA5">
        <w:rPr>
          <w:rFonts w:cstheme="minorHAnsi"/>
          <w:b/>
          <w:bCs/>
          <w:szCs w:val="22"/>
          <w:lang w:val="en-US"/>
        </w:rPr>
        <w:t xml:space="preserve">shared employment goals </w:t>
      </w:r>
      <w:r w:rsidRPr="001F0CA5">
        <w:rPr>
          <w:rFonts w:cstheme="minorHAnsi"/>
          <w:szCs w:val="22"/>
          <w:lang w:val="en-US"/>
        </w:rPr>
        <w:t>led by the participant and assisted by the provider.</w:t>
      </w:r>
    </w:p>
    <w:p w14:paraId="068A6EA3" w14:textId="77777777" w:rsidR="00246E65" w:rsidRPr="001F0CA5" w:rsidRDefault="00246E65" w:rsidP="00246E65">
      <w:pPr>
        <w:rPr>
          <w:rFonts w:cstheme="minorHAnsi"/>
          <w:szCs w:val="22"/>
        </w:rPr>
      </w:pPr>
      <w:r w:rsidRPr="001F0CA5">
        <w:rPr>
          <w:rFonts w:cstheme="minorHAnsi"/>
          <w:b/>
          <w:bCs/>
          <w:szCs w:val="22"/>
          <w:lang w:val="en-US"/>
        </w:rPr>
        <w:t xml:space="preserve">Less reliance on compliance </w:t>
      </w:r>
      <w:r w:rsidRPr="001F0CA5">
        <w:rPr>
          <w:rFonts w:cstheme="minorHAnsi"/>
          <w:szCs w:val="22"/>
          <w:lang w:val="en-US"/>
        </w:rPr>
        <w:t>to drive initial engagement.</w:t>
      </w:r>
    </w:p>
    <w:p w14:paraId="07C31F3D" w14:textId="192982A4" w:rsidR="00246E65" w:rsidRPr="001F0CA5" w:rsidRDefault="00246E65" w:rsidP="00B67142">
      <w:pPr>
        <w:pStyle w:val="ListParagraph"/>
      </w:pPr>
      <w:r w:rsidRPr="001F0CA5">
        <w:rPr>
          <w:lang w:val="en-US"/>
        </w:rPr>
        <w:t xml:space="preserve">Requirements </w:t>
      </w:r>
      <w:r w:rsidRPr="001F0CA5">
        <w:t>met</w:t>
      </w:r>
      <w:r w:rsidRPr="001F0CA5">
        <w:rPr>
          <w:lang w:val="en-US"/>
        </w:rPr>
        <w:t xml:space="preserve"> through meaningful engagement, with voluntary activities in Job Plan.</w:t>
      </w:r>
    </w:p>
    <w:p w14:paraId="639212B9" w14:textId="688579EF" w:rsidR="00246E65" w:rsidRPr="001F0CA5" w:rsidRDefault="00246E65" w:rsidP="00B67142">
      <w:pPr>
        <w:pStyle w:val="ListParagraph"/>
      </w:pPr>
      <w:r w:rsidRPr="001F0CA5">
        <w:rPr>
          <w:lang w:val="en-US"/>
        </w:rPr>
        <w:t>Option to increase details of requirements in the Job Plan if needed.</w:t>
      </w:r>
    </w:p>
    <w:p w14:paraId="75E5408A" w14:textId="63A3B40B" w:rsidR="003B4F43" w:rsidRPr="001F0CA5" w:rsidRDefault="003B4F43" w:rsidP="00E6063A">
      <w:pPr>
        <w:pStyle w:val="Heading3"/>
      </w:pPr>
      <w:r w:rsidRPr="001F0CA5">
        <w:t>Job Plans</w:t>
      </w:r>
    </w:p>
    <w:p w14:paraId="76E9F1C7" w14:textId="77777777" w:rsidR="003B4F43" w:rsidRPr="001F0CA5" w:rsidRDefault="003B4F43" w:rsidP="003B4F43">
      <w:pPr>
        <w:rPr>
          <w:rFonts w:cstheme="minorHAnsi"/>
          <w:szCs w:val="22"/>
        </w:rPr>
      </w:pPr>
      <w:r w:rsidRPr="001F0CA5">
        <w:rPr>
          <w:rFonts w:cstheme="minorHAnsi"/>
          <w:szCs w:val="22"/>
          <w:lang w:val="en-US"/>
        </w:rPr>
        <w:t xml:space="preserve">Providers will work </w:t>
      </w:r>
      <w:r w:rsidRPr="001F0CA5">
        <w:rPr>
          <w:rFonts w:cstheme="minorHAnsi"/>
          <w:szCs w:val="22"/>
        </w:rPr>
        <w:t>in partnership with each participant to develop a personal Job Plan to employment based on strengths, goals and aspiration</w:t>
      </w:r>
      <w:r w:rsidRPr="001F0CA5">
        <w:rPr>
          <w:rFonts w:cstheme="minorHAnsi"/>
          <w:szCs w:val="22"/>
          <w:lang w:val="en-US"/>
        </w:rPr>
        <w:t>.</w:t>
      </w:r>
    </w:p>
    <w:p w14:paraId="07ED650B" w14:textId="77777777" w:rsidR="003B4F43" w:rsidRPr="001F0CA5" w:rsidRDefault="003B4F43" w:rsidP="003B4F43">
      <w:pPr>
        <w:rPr>
          <w:rFonts w:cstheme="minorHAnsi"/>
          <w:szCs w:val="22"/>
        </w:rPr>
      </w:pPr>
      <w:r w:rsidRPr="001F0CA5">
        <w:rPr>
          <w:rFonts w:cstheme="minorHAnsi"/>
          <w:szCs w:val="22"/>
          <w:lang w:val="en-US"/>
        </w:rPr>
        <w:t>Providers will be responsible for supporting participants to undertake activities that are agreed to in the Job Plan.</w:t>
      </w:r>
    </w:p>
    <w:p w14:paraId="394A1350" w14:textId="77777777" w:rsidR="003B4F43" w:rsidRPr="001F0CA5" w:rsidRDefault="003B4F43" w:rsidP="003B4F43">
      <w:pPr>
        <w:rPr>
          <w:rFonts w:cstheme="minorHAnsi"/>
          <w:szCs w:val="22"/>
        </w:rPr>
      </w:pPr>
      <w:r w:rsidRPr="001F0CA5">
        <w:rPr>
          <w:rFonts w:cstheme="minorHAnsi"/>
          <w:szCs w:val="22"/>
          <w:lang w:val="en-US"/>
        </w:rPr>
        <w:t xml:space="preserve">If a participant does </w:t>
      </w:r>
      <w:r w:rsidRPr="001F0CA5">
        <w:rPr>
          <w:rFonts w:cstheme="minorHAnsi"/>
          <w:szCs w:val="22"/>
        </w:rPr>
        <w:t>not meaningfully engage, they are moved to compulsory Mutual Obligation Requirements in their Job Plan.</w:t>
      </w:r>
    </w:p>
    <w:p w14:paraId="69D3C65E" w14:textId="0BF4574B" w:rsidR="003B4F43" w:rsidRPr="001F0CA5" w:rsidRDefault="003B4F43" w:rsidP="003B4F43">
      <w:pPr>
        <w:rPr>
          <w:rFonts w:cstheme="minorHAnsi"/>
          <w:szCs w:val="22"/>
          <w:lang w:val="en-US"/>
        </w:rPr>
      </w:pPr>
      <w:r w:rsidRPr="001F0CA5">
        <w:rPr>
          <w:rFonts w:cstheme="minorHAnsi"/>
          <w:szCs w:val="22"/>
          <w:lang w:val="en-US"/>
        </w:rPr>
        <w:t>Mutual obligations under the new program accord with the current legislative framework.</w:t>
      </w:r>
    </w:p>
    <w:p w14:paraId="7C6DE9F9" w14:textId="6857F4DA" w:rsidR="003B4F43" w:rsidRPr="001F0CA5" w:rsidRDefault="00D87D1F" w:rsidP="00D87D1F">
      <w:pPr>
        <w:pStyle w:val="Heading2"/>
      </w:pPr>
      <w:r w:rsidRPr="001F0CA5">
        <w:t>Support once in employment</w:t>
      </w:r>
    </w:p>
    <w:p w14:paraId="1FB5EFE4" w14:textId="77777777" w:rsidR="003B4F43" w:rsidRPr="001F0CA5" w:rsidRDefault="003B4F43" w:rsidP="003B4F43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Providers will offer assistance to both their participants and their employers to make sure they have the support needed to succeed.</w:t>
      </w:r>
    </w:p>
    <w:p w14:paraId="21C0D02D" w14:textId="77777777" w:rsidR="003B4F43" w:rsidRPr="001F0CA5" w:rsidRDefault="003B4F43" w:rsidP="003B4F43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In-employment support includes post-placement support for participants who have secured work and ongoing support for those who need longer-term support to keep their job.</w:t>
      </w:r>
    </w:p>
    <w:p w14:paraId="7CFF19B9" w14:textId="77777777" w:rsidR="003B4F43" w:rsidRPr="001F0CA5" w:rsidRDefault="003B4F43" w:rsidP="003B4F43">
      <w:pPr>
        <w:rPr>
          <w:rFonts w:cstheme="minorHAnsi"/>
          <w:szCs w:val="22"/>
        </w:rPr>
      </w:pPr>
      <w:r w:rsidRPr="001F0CA5">
        <w:rPr>
          <w:rFonts w:cstheme="minorHAnsi"/>
          <w:szCs w:val="22"/>
          <w:lang w:val="en-US"/>
        </w:rPr>
        <w:t>Work Assist will become part of Ongoing Support</w:t>
      </w:r>
      <w:r w:rsidRPr="001F0CA5">
        <w:rPr>
          <w:rFonts w:cstheme="minorHAnsi"/>
          <w:szCs w:val="22"/>
        </w:rPr>
        <w:t>.</w:t>
      </w:r>
    </w:p>
    <w:p w14:paraId="16380E75" w14:textId="0689E29A" w:rsidR="00D87D1F" w:rsidRPr="001F0CA5" w:rsidRDefault="00D87D1F" w:rsidP="003B4F43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 xml:space="preserve">Graphic representation comparing current </w:t>
      </w:r>
      <w:r w:rsidR="00D53962" w:rsidRPr="001F0CA5">
        <w:rPr>
          <w:rFonts w:cstheme="minorHAnsi"/>
          <w:szCs w:val="22"/>
        </w:rPr>
        <w:t xml:space="preserve">DES </w:t>
      </w:r>
      <w:r w:rsidRPr="001F0CA5">
        <w:rPr>
          <w:rFonts w:cstheme="minorHAnsi"/>
          <w:szCs w:val="22"/>
        </w:rPr>
        <w:t>program and new program in-employment support.</w:t>
      </w:r>
    </w:p>
    <w:p w14:paraId="618AC411" w14:textId="77777777" w:rsidR="003B4F43" w:rsidRPr="001F0CA5" w:rsidRDefault="003B4F43" w:rsidP="00D87D1F">
      <w:pPr>
        <w:pStyle w:val="Heading2"/>
      </w:pPr>
      <w:r w:rsidRPr="001F0CA5">
        <w:lastRenderedPageBreak/>
        <w:t>Key improvements in service quality for employers</w:t>
      </w:r>
    </w:p>
    <w:p w14:paraId="24DD8492" w14:textId="6F52A221" w:rsidR="00673340" w:rsidRPr="001F0CA5" w:rsidRDefault="00C82E89" w:rsidP="00673340">
      <w:pPr>
        <w:pStyle w:val="Introduction"/>
      </w:pPr>
      <w:r w:rsidRPr="001F0CA5">
        <w:t xml:space="preserve">This section </w:t>
      </w:r>
      <w:r w:rsidR="00B24EB2" w:rsidRPr="001F0CA5">
        <w:t xml:space="preserve">of the presentation </w:t>
      </w:r>
      <w:r w:rsidRPr="001F0CA5">
        <w:t xml:space="preserve">outlines how the new program will </w:t>
      </w:r>
      <w:r w:rsidR="003E4930" w:rsidRPr="001F0CA5">
        <w:t>offer employers access to high-quality specialist support.</w:t>
      </w:r>
    </w:p>
    <w:p w14:paraId="0198ED47" w14:textId="7CB0C75F" w:rsidR="003B4F43" w:rsidRPr="001F0CA5" w:rsidRDefault="003B4F43" w:rsidP="003B4F43">
      <w:pPr>
        <w:pStyle w:val="ListParagraph"/>
        <w:numPr>
          <w:ilvl w:val="0"/>
          <w:numId w:val="0"/>
        </w:num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Providers will:</w:t>
      </w:r>
    </w:p>
    <w:p w14:paraId="62D3798F" w14:textId="7DB01C34" w:rsidR="003B4F43" w:rsidRPr="001F0CA5" w:rsidRDefault="00866CF9" w:rsidP="00B67142">
      <w:pPr>
        <w:pStyle w:val="ListParagraph"/>
      </w:pPr>
      <w:r w:rsidRPr="001F0CA5">
        <w:t>w</w:t>
      </w:r>
      <w:r w:rsidR="003B4F43" w:rsidRPr="001F0CA5">
        <w:t>ork with employers to understand their recruitment needs and help find suitable candidates</w:t>
      </w:r>
    </w:p>
    <w:p w14:paraId="65EB48B3" w14:textId="14EAF483" w:rsidR="003B4F43" w:rsidRPr="001F0CA5" w:rsidRDefault="00866CF9" w:rsidP="00B67142">
      <w:pPr>
        <w:pStyle w:val="ListParagraph"/>
      </w:pPr>
      <w:r w:rsidRPr="001F0CA5">
        <w:t>w</w:t>
      </w:r>
      <w:r w:rsidR="003B4F43" w:rsidRPr="001F0CA5">
        <w:t>ork to support employers with inclusive recruitment and workplace practices</w:t>
      </w:r>
    </w:p>
    <w:p w14:paraId="0E50F9F6" w14:textId="30E75467" w:rsidR="003B4F43" w:rsidRPr="001F0CA5" w:rsidRDefault="00866CF9" w:rsidP="00B67142">
      <w:pPr>
        <w:pStyle w:val="ListParagraph"/>
      </w:pPr>
      <w:r w:rsidRPr="001F0CA5">
        <w:t>p</w:t>
      </w:r>
      <w:r w:rsidR="003B4F43" w:rsidRPr="001F0CA5">
        <w:t>rovide support for employees with disability in the workplace</w:t>
      </w:r>
      <w:r w:rsidRPr="001F0CA5">
        <w:t>, and</w:t>
      </w:r>
    </w:p>
    <w:p w14:paraId="5391FA4E" w14:textId="7DB09E7F" w:rsidR="003B4F43" w:rsidRPr="001F0CA5" w:rsidRDefault="00866CF9" w:rsidP="00B67142">
      <w:pPr>
        <w:pStyle w:val="ListParagraph"/>
      </w:pPr>
      <w:r w:rsidRPr="001F0CA5">
        <w:t>h</w:t>
      </w:r>
      <w:r w:rsidR="003B4F43" w:rsidRPr="001F0CA5">
        <w:t>elp employers to access available financial support, including a new wage subsidy.</w:t>
      </w:r>
    </w:p>
    <w:p w14:paraId="223C550F" w14:textId="77777777" w:rsidR="003B4F43" w:rsidRPr="001F0CA5" w:rsidRDefault="003B4F43" w:rsidP="00375C42">
      <w:pPr>
        <w:pStyle w:val="Heading2"/>
      </w:pPr>
      <w:r w:rsidRPr="001F0CA5">
        <w:t>Employer engagement and support</w:t>
      </w:r>
    </w:p>
    <w:p w14:paraId="7F97E84D" w14:textId="77777777" w:rsidR="003B4F43" w:rsidRPr="001F0CA5" w:rsidRDefault="003B4F43" w:rsidP="0077479C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Employers will be able to receive advice and guidance on recruitment and workplace practices that build their confidence and capability to employ people with disability.</w:t>
      </w:r>
    </w:p>
    <w:p w14:paraId="01B7D999" w14:textId="77777777" w:rsidR="003B4F43" w:rsidRPr="001F0CA5" w:rsidRDefault="003B4F43" w:rsidP="00B67142">
      <w:pPr>
        <w:pStyle w:val="ListParagraph"/>
      </w:pPr>
      <w:r w:rsidRPr="001F0CA5">
        <w:t>This support will help employers improve disability recruitment practices and attract people with disability into their workplace.</w:t>
      </w:r>
    </w:p>
    <w:p w14:paraId="05236D5F" w14:textId="77777777" w:rsidR="003B4F43" w:rsidRPr="001F0CA5" w:rsidRDefault="003B4F43" w:rsidP="0077479C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Providers will also offer specialised assistance for workplace adjustments, additional training, job customisation and other supports.</w:t>
      </w:r>
    </w:p>
    <w:p w14:paraId="3B277E20" w14:textId="77777777" w:rsidR="003B4F43" w:rsidRPr="001F0CA5" w:rsidRDefault="003B4F43" w:rsidP="0077479C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Employer support will also continue through the existing JobAccess program.</w:t>
      </w:r>
    </w:p>
    <w:p w14:paraId="751E6D53" w14:textId="77777777" w:rsidR="003B4F43" w:rsidRPr="001F0CA5" w:rsidRDefault="003B4F43" w:rsidP="0077479C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Free and expert support through JobAccess includes the employer toolkit, workplace adjustments and support through the Employment Assistance Fund, and support and training by a National Disability Recruitment Coordinator.</w:t>
      </w:r>
    </w:p>
    <w:p w14:paraId="2B5506A9" w14:textId="77777777" w:rsidR="003B4F43" w:rsidRPr="001F0CA5" w:rsidRDefault="003B4F43" w:rsidP="00375C42">
      <w:pPr>
        <w:pStyle w:val="Heading2"/>
      </w:pPr>
      <w:r w:rsidRPr="001F0CA5">
        <w:t>Wage subsidies</w:t>
      </w:r>
    </w:p>
    <w:p w14:paraId="77ED3E75" w14:textId="77777777" w:rsidR="003B4F43" w:rsidRPr="001F0CA5" w:rsidRDefault="003B4F43" w:rsidP="0077479C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new subsidy will simplify arrangements for employers to receive financial support for some of the initial costs of hiring the new employee and settling them into their new role.</w:t>
      </w:r>
    </w:p>
    <w:p w14:paraId="63821021" w14:textId="77777777" w:rsidR="003B4F43" w:rsidRPr="001F0CA5" w:rsidRDefault="003B4F43" w:rsidP="0077479C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current DES program provides:</w:t>
      </w:r>
    </w:p>
    <w:p w14:paraId="0FB1A51F" w14:textId="77777777" w:rsidR="00645F69" w:rsidRPr="001F0CA5" w:rsidRDefault="00645F69" w:rsidP="00B67142">
      <w:pPr>
        <w:pStyle w:val="ListParagraph"/>
      </w:pPr>
      <w:r w:rsidRPr="001F0CA5">
        <w:t>Wage Subsidy Scheme – up to $1,650 available to qualifying businesses to give eligible job seekers an opportunity to demonstrate their suitability for ongoing employment.</w:t>
      </w:r>
    </w:p>
    <w:p w14:paraId="2D1855A7" w14:textId="77777777" w:rsidR="00645F69" w:rsidRPr="001F0CA5" w:rsidRDefault="00645F69" w:rsidP="00B67142">
      <w:pPr>
        <w:pStyle w:val="ListParagraph"/>
      </w:pPr>
      <w:r w:rsidRPr="001F0CA5">
        <w:t>Wage Start subsidy – up to $6,000 for jobs of at least 15 hours per week over 26 weeks.</w:t>
      </w:r>
    </w:p>
    <w:p w14:paraId="199AB4C6" w14:textId="3DA07DAF" w:rsidR="00645F69" w:rsidRPr="001F0CA5" w:rsidRDefault="00645F69" w:rsidP="00B67142">
      <w:pPr>
        <w:pStyle w:val="ListParagraph"/>
      </w:pPr>
      <w:r w:rsidRPr="001F0CA5">
        <w:t>Restart wage subsidy – up to $10,000 available to qualifying businesses that employ eligible job seekers who are 50 years of age or older.</w:t>
      </w:r>
    </w:p>
    <w:p w14:paraId="5F15BFE2" w14:textId="77777777" w:rsidR="00645F69" w:rsidRPr="001F0CA5" w:rsidRDefault="00645F69" w:rsidP="001F0CA5">
      <w:pPr>
        <w:keepNext/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 xml:space="preserve">The </w:t>
      </w:r>
      <w:r w:rsidRPr="001F0CA5">
        <w:rPr>
          <w:rFonts w:cstheme="minorHAnsi"/>
          <w:b/>
          <w:bCs/>
          <w:szCs w:val="22"/>
        </w:rPr>
        <w:t>new program</w:t>
      </w:r>
      <w:r w:rsidRPr="001F0CA5">
        <w:rPr>
          <w:rFonts w:cstheme="minorHAnsi"/>
          <w:szCs w:val="22"/>
        </w:rPr>
        <w:t xml:space="preserve"> will provide:</w:t>
      </w:r>
    </w:p>
    <w:p w14:paraId="606F2488" w14:textId="77777777" w:rsidR="00645F69" w:rsidRPr="001F0CA5" w:rsidRDefault="00645F69" w:rsidP="00C00176">
      <w:pPr>
        <w:pStyle w:val="ListParagraph"/>
      </w:pPr>
      <w:r w:rsidRPr="001F0CA5">
        <w:t>A higher value, single Wage Subsidy that aligns with Workforce Australia’s wage subsidy. The new subsidy has 4 different levels that reflect the participant’s capacity to work. The highest value amount is up to $10,000.</w:t>
      </w:r>
    </w:p>
    <w:p w14:paraId="22D950AC" w14:textId="77777777" w:rsidR="00645F69" w:rsidRPr="001F0CA5" w:rsidRDefault="00645F69" w:rsidP="00C00176">
      <w:pPr>
        <w:keepNext/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Below is indicative payment amounts of the wage subsidy under the new program:</w:t>
      </w:r>
    </w:p>
    <w:p w14:paraId="05F8931B" w14:textId="6F6FFA54" w:rsidR="00645F69" w:rsidRPr="001F0CA5" w:rsidRDefault="00645F69" w:rsidP="00B67142">
      <w:pPr>
        <w:pStyle w:val="ListParagraph"/>
      </w:pPr>
      <w:r w:rsidRPr="001F0CA5">
        <w:t>For a job of at least 8 hours per week $3,000</w:t>
      </w:r>
      <w:r w:rsidR="00C00176" w:rsidRPr="001F0CA5">
        <w:t>.</w:t>
      </w:r>
    </w:p>
    <w:p w14:paraId="2C302443" w14:textId="35E3602D" w:rsidR="00645F69" w:rsidRPr="001F0CA5" w:rsidRDefault="00645F69" w:rsidP="00B67142">
      <w:pPr>
        <w:pStyle w:val="ListParagraph"/>
      </w:pPr>
      <w:r w:rsidRPr="001F0CA5">
        <w:t>For a job of at least 15 hours per week $5,000</w:t>
      </w:r>
      <w:r w:rsidR="00C00176" w:rsidRPr="001F0CA5">
        <w:t>.</w:t>
      </w:r>
    </w:p>
    <w:p w14:paraId="4DEBF3AF" w14:textId="6EED7B55" w:rsidR="00645F69" w:rsidRPr="001F0CA5" w:rsidRDefault="00645F69" w:rsidP="00B67142">
      <w:pPr>
        <w:pStyle w:val="ListParagraph"/>
      </w:pPr>
      <w:r w:rsidRPr="001F0CA5">
        <w:t>For a job of at least 20 hours per week $7,500</w:t>
      </w:r>
      <w:r w:rsidR="00C00176" w:rsidRPr="001F0CA5">
        <w:t>.</w:t>
      </w:r>
    </w:p>
    <w:p w14:paraId="6FF05624" w14:textId="27A155AE" w:rsidR="00645F69" w:rsidRPr="001F0CA5" w:rsidRDefault="00645F69" w:rsidP="00B67142">
      <w:pPr>
        <w:pStyle w:val="ListParagraph"/>
      </w:pPr>
      <w:r w:rsidRPr="001F0CA5">
        <w:t>For a job of at least 30 hours per week $10,000</w:t>
      </w:r>
      <w:r w:rsidR="00C00176" w:rsidRPr="001F0CA5">
        <w:t>.</w:t>
      </w:r>
    </w:p>
    <w:p w14:paraId="06143F09" w14:textId="77777777" w:rsidR="006F05E8" w:rsidRPr="001F0CA5" w:rsidRDefault="00645F69" w:rsidP="006F05E8">
      <w:pPr>
        <w:pStyle w:val="Heading2"/>
      </w:pPr>
      <w:r w:rsidRPr="001F0CA5">
        <w:t>Payment model</w:t>
      </w:r>
    </w:p>
    <w:p w14:paraId="430748DA" w14:textId="412CB2E0" w:rsidR="00212719" w:rsidRPr="001F0CA5" w:rsidRDefault="00DD0ED9" w:rsidP="003E4930">
      <w:pPr>
        <w:pStyle w:val="Introduction"/>
      </w:pPr>
      <w:r w:rsidRPr="001F0CA5">
        <w:t>This section of the presentation outlines the payment types</w:t>
      </w:r>
      <w:r w:rsidR="00A72154" w:rsidRPr="001F0CA5">
        <w:t xml:space="preserve"> for the new program</w:t>
      </w:r>
      <w:r w:rsidRPr="001F0CA5">
        <w:t>.</w:t>
      </w:r>
    </w:p>
    <w:p w14:paraId="25B43869" w14:textId="47D65F56" w:rsidR="00645F69" w:rsidRPr="001F0CA5" w:rsidRDefault="00645F69" w:rsidP="006F05E8">
      <w:pPr>
        <w:pStyle w:val="Heading3"/>
      </w:pPr>
      <w:r w:rsidRPr="001F0CA5">
        <w:t>Service Fees</w:t>
      </w:r>
    </w:p>
    <w:p w14:paraId="0DE4D410" w14:textId="77777777" w:rsidR="00645F69" w:rsidRPr="001F0CA5" w:rsidRDefault="00645F69" w:rsidP="00645F69">
      <w:pPr>
        <w:rPr>
          <w:rFonts w:cstheme="minorHAnsi"/>
          <w:szCs w:val="22"/>
          <w:lang w:val="en-US"/>
        </w:rPr>
      </w:pPr>
      <w:r w:rsidRPr="001F0CA5">
        <w:rPr>
          <w:rFonts w:cstheme="minorHAnsi"/>
          <w:szCs w:val="22"/>
          <w:lang w:val="en-US"/>
        </w:rPr>
        <w:t>The new program has a simplified service fee structure that is linked to the level of servicing. Payments will be made monthly in arrears (4 weeks).</w:t>
      </w:r>
    </w:p>
    <w:p w14:paraId="1EA81AF8" w14:textId="77777777" w:rsidR="00645F69" w:rsidRPr="001F0CA5" w:rsidRDefault="00645F69" w:rsidP="00645F69">
      <w:pPr>
        <w:rPr>
          <w:rFonts w:cstheme="minorHAnsi"/>
          <w:szCs w:val="22"/>
          <w:lang w:val="en-US"/>
        </w:rPr>
      </w:pPr>
      <w:r w:rsidRPr="001F0CA5">
        <w:rPr>
          <w:rFonts w:cstheme="minorHAnsi"/>
          <w:szCs w:val="22"/>
          <w:lang w:val="en-US"/>
        </w:rPr>
        <w:t>The current DES program provides:</w:t>
      </w:r>
    </w:p>
    <w:p w14:paraId="321F5591" w14:textId="77777777" w:rsidR="00645F69" w:rsidRPr="001F0CA5" w:rsidRDefault="00645F69" w:rsidP="00B67142">
      <w:pPr>
        <w:pStyle w:val="ListParagraph"/>
      </w:pPr>
      <w:r w:rsidRPr="001F0CA5">
        <w:rPr>
          <w:lang w:val="en-US"/>
        </w:rPr>
        <w:t>DMS 5 funding levels</w:t>
      </w:r>
    </w:p>
    <w:p w14:paraId="77225B5D" w14:textId="77777777" w:rsidR="00645F69" w:rsidRPr="001F0CA5" w:rsidRDefault="00645F69" w:rsidP="00B67142">
      <w:pPr>
        <w:pStyle w:val="ListParagraph"/>
      </w:pPr>
      <w:r w:rsidRPr="001F0CA5">
        <w:rPr>
          <w:lang w:val="en-US"/>
        </w:rPr>
        <w:t>ESS 5 funding levels</w:t>
      </w:r>
    </w:p>
    <w:p w14:paraId="7C17E7C2" w14:textId="77777777" w:rsidR="00645F69" w:rsidRPr="001F0CA5" w:rsidRDefault="00645F69" w:rsidP="00645F69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new program will provide:</w:t>
      </w:r>
    </w:p>
    <w:p w14:paraId="3C22E9C0" w14:textId="77777777" w:rsidR="00645F69" w:rsidRPr="001F0CA5" w:rsidRDefault="00645F69" w:rsidP="00B67142">
      <w:pPr>
        <w:pStyle w:val="ListParagraph"/>
      </w:pPr>
      <w:r w:rsidRPr="001F0CA5">
        <w:t xml:space="preserve">5 funding levels for those in intensive service </w:t>
      </w:r>
    </w:p>
    <w:p w14:paraId="226E305C" w14:textId="77777777" w:rsidR="00645F69" w:rsidRPr="001F0CA5" w:rsidRDefault="00645F69" w:rsidP="00B67142">
      <w:pPr>
        <w:pStyle w:val="ListParagraph"/>
      </w:pPr>
      <w:r w:rsidRPr="001F0CA5">
        <w:t>1 funding level for those in flexible service.</w:t>
      </w:r>
    </w:p>
    <w:p w14:paraId="187133F5" w14:textId="77777777" w:rsidR="00645F69" w:rsidRPr="001F0CA5" w:rsidRDefault="00645F69" w:rsidP="00645F69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Below are indicative payment amounts of the monthly service fee:</w:t>
      </w:r>
    </w:p>
    <w:p w14:paraId="49E2F3E1" w14:textId="77777777" w:rsidR="00645F69" w:rsidRPr="001F0CA5" w:rsidRDefault="00645F69" w:rsidP="00645F69">
      <w:pPr>
        <w:rPr>
          <w:rFonts w:cstheme="minorHAnsi"/>
          <w:b/>
          <w:bCs/>
          <w:szCs w:val="22"/>
        </w:rPr>
      </w:pPr>
      <w:r w:rsidRPr="001F0CA5">
        <w:rPr>
          <w:rFonts w:cstheme="minorHAnsi"/>
          <w:b/>
          <w:bCs/>
          <w:szCs w:val="22"/>
        </w:rPr>
        <w:t>Intensive Service:</w:t>
      </w:r>
    </w:p>
    <w:p w14:paraId="22B2C938" w14:textId="61CE5E30" w:rsidR="00645F69" w:rsidRPr="001F0CA5" w:rsidRDefault="00492D96" w:rsidP="00B67142">
      <w:pPr>
        <w:pStyle w:val="ListParagraph"/>
      </w:pPr>
      <w:r w:rsidRPr="001F0CA5">
        <w:t>Funding Level</w:t>
      </w:r>
      <w:r w:rsidR="00645F69" w:rsidRPr="001F0CA5">
        <w:t xml:space="preserve"> 1 $268</w:t>
      </w:r>
    </w:p>
    <w:p w14:paraId="3FDE31F3" w14:textId="45003E9D" w:rsidR="00645F69" w:rsidRPr="001F0CA5" w:rsidRDefault="00492D96" w:rsidP="00B67142">
      <w:pPr>
        <w:pStyle w:val="ListParagraph"/>
      </w:pPr>
      <w:r w:rsidRPr="001F0CA5">
        <w:t xml:space="preserve">Funding Level </w:t>
      </w:r>
      <w:r w:rsidR="00645F69" w:rsidRPr="001F0CA5">
        <w:t>2 $307</w:t>
      </w:r>
    </w:p>
    <w:p w14:paraId="4A2F117E" w14:textId="356EEB72" w:rsidR="00645F69" w:rsidRPr="001F0CA5" w:rsidRDefault="00492D96" w:rsidP="00B67142">
      <w:pPr>
        <w:pStyle w:val="ListParagraph"/>
      </w:pPr>
      <w:r w:rsidRPr="001F0CA5">
        <w:t xml:space="preserve">Funding Level </w:t>
      </w:r>
      <w:r w:rsidR="00645F69" w:rsidRPr="001F0CA5">
        <w:t>3 $357</w:t>
      </w:r>
    </w:p>
    <w:p w14:paraId="0ABEDCED" w14:textId="7B4B4928" w:rsidR="00645F69" w:rsidRPr="001F0CA5" w:rsidRDefault="00492D96" w:rsidP="00B67142">
      <w:pPr>
        <w:pStyle w:val="ListParagraph"/>
      </w:pPr>
      <w:r w:rsidRPr="001F0CA5">
        <w:t xml:space="preserve">Funding Level </w:t>
      </w:r>
      <w:r w:rsidR="00645F69" w:rsidRPr="001F0CA5">
        <w:t>4 $458</w:t>
      </w:r>
    </w:p>
    <w:p w14:paraId="572E34E1" w14:textId="1230A3F1" w:rsidR="00645F69" w:rsidRPr="001F0CA5" w:rsidRDefault="00492D96" w:rsidP="00B67142">
      <w:pPr>
        <w:pStyle w:val="ListParagraph"/>
      </w:pPr>
      <w:r w:rsidRPr="001F0CA5">
        <w:t xml:space="preserve">Funding Level </w:t>
      </w:r>
      <w:r w:rsidR="00645F69" w:rsidRPr="001F0CA5">
        <w:t>5 $522</w:t>
      </w:r>
      <w:r w:rsidR="00916402" w:rsidRPr="001F0CA5">
        <w:t>.</w:t>
      </w:r>
    </w:p>
    <w:p w14:paraId="22AF9234" w14:textId="77777777" w:rsidR="00645F69" w:rsidRPr="001F0CA5" w:rsidRDefault="00645F69" w:rsidP="00645F69">
      <w:pPr>
        <w:rPr>
          <w:rFonts w:cstheme="minorHAnsi"/>
          <w:b/>
          <w:bCs/>
          <w:szCs w:val="22"/>
        </w:rPr>
      </w:pPr>
      <w:r w:rsidRPr="001F0CA5">
        <w:rPr>
          <w:rFonts w:cstheme="minorHAnsi"/>
          <w:b/>
          <w:bCs/>
          <w:szCs w:val="22"/>
        </w:rPr>
        <w:t>Flexible Service:</w:t>
      </w:r>
    </w:p>
    <w:p w14:paraId="44888F09" w14:textId="4D0349BD" w:rsidR="00645F69" w:rsidRPr="001F0CA5" w:rsidRDefault="00645F69" w:rsidP="00B67142">
      <w:pPr>
        <w:pStyle w:val="ListParagraph"/>
      </w:pPr>
      <w:r w:rsidRPr="001F0CA5">
        <w:t>A flat rate of $102</w:t>
      </w:r>
      <w:r w:rsidR="00916402" w:rsidRPr="001F0CA5">
        <w:t>.</w:t>
      </w:r>
    </w:p>
    <w:p w14:paraId="45E4244F" w14:textId="62AAC5F2" w:rsidR="001E6784" w:rsidRPr="001F0CA5" w:rsidRDefault="001E6784" w:rsidP="001B32C8">
      <w:pPr>
        <w:pStyle w:val="Heading3"/>
      </w:pPr>
      <w:r w:rsidRPr="001F0CA5">
        <w:t xml:space="preserve">Progress Payments </w:t>
      </w:r>
    </w:p>
    <w:p w14:paraId="5C51D4F2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Progress payments will be introduced to recognise the investment made to help participant overcome barriers to employment and secure employment.</w:t>
      </w:r>
    </w:p>
    <w:p w14:paraId="4A63377B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Two progress fees will be claimable over a 12-month period.</w:t>
      </w:r>
    </w:p>
    <w:p w14:paraId="5B545547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Progress payments are in addition to Service Fees.</w:t>
      </w:r>
    </w:p>
    <w:p w14:paraId="4D587EB3" w14:textId="475206D0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 xml:space="preserve">The current DES program does not </w:t>
      </w:r>
      <w:r w:rsidR="00157842" w:rsidRPr="001F0CA5">
        <w:rPr>
          <w:rFonts w:cstheme="minorHAnsi"/>
          <w:szCs w:val="22"/>
        </w:rPr>
        <w:t>have this payment</w:t>
      </w:r>
      <w:r w:rsidRPr="001F0CA5">
        <w:rPr>
          <w:rFonts w:cstheme="minorHAnsi"/>
          <w:szCs w:val="22"/>
        </w:rPr>
        <w:t>.</w:t>
      </w:r>
    </w:p>
    <w:p w14:paraId="3DB4D0E3" w14:textId="7E06B84A" w:rsidR="001E6784" w:rsidRPr="001F0CA5" w:rsidRDefault="001E6784" w:rsidP="00855E0E">
      <w:r w:rsidRPr="001F0CA5">
        <w:rPr>
          <w:rFonts w:cstheme="minorHAnsi"/>
          <w:szCs w:val="22"/>
        </w:rPr>
        <w:t>The new program will enable progress payments to be claimed for a range of activities or interventions including</w:t>
      </w:r>
      <w:r w:rsidR="00855E0E" w:rsidRPr="001F0CA5">
        <w:rPr>
          <w:rFonts w:cstheme="minorHAnsi"/>
          <w:szCs w:val="22"/>
        </w:rPr>
        <w:t xml:space="preserve"> 4</w:t>
      </w:r>
      <w:r w:rsidRPr="001F0CA5">
        <w:t>week job placement</w:t>
      </w:r>
      <w:r w:rsidR="00855E0E" w:rsidRPr="001F0CA5">
        <w:t xml:space="preserve">, </w:t>
      </w:r>
      <w:r w:rsidRPr="001F0CA5">
        <w:t>work experience, education or other training outcomes</w:t>
      </w:r>
    </w:p>
    <w:p w14:paraId="5CBE6503" w14:textId="353CE50D" w:rsidR="001E6784" w:rsidRPr="001F0CA5" w:rsidRDefault="00A76EC3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i</w:t>
      </w:r>
      <w:r w:rsidR="001E6784" w:rsidRPr="001F0CA5">
        <w:rPr>
          <w:rFonts w:cstheme="minorHAnsi"/>
          <w:szCs w:val="22"/>
        </w:rPr>
        <w:t>ndicative payment amounts for progress payments is $1,000</w:t>
      </w:r>
      <w:r w:rsidR="001B32C8" w:rsidRPr="001F0CA5">
        <w:rPr>
          <w:rFonts w:cstheme="minorHAnsi"/>
          <w:szCs w:val="22"/>
        </w:rPr>
        <w:t xml:space="preserve"> per instance</w:t>
      </w:r>
      <w:r w:rsidR="001E6784" w:rsidRPr="001F0CA5">
        <w:rPr>
          <w:rFonts w:cstheme="minorHAnsi"/>
          <w:szCs w:val="22"/>
        </w:rPr>
        <w:t>.</w:t>
      </w:r>
    </w:p>
    <w:p w14:paraId="1FB67399" w14:textId="04AF7BD3" w:rsidR="006827D5" w:rsidRPr="001F0CA5" w:rsidRDefault="006827D5" w:rsidP="006827D5">
      <w:pPr>
        <w:pStyle w:val="Heading3"/>
      </w:pPr>
      <w:r w:rsidRPr="001F0CA5">
        <w:t>Outcomes</w:t>
      </w:r>
    </w:p>
    <w:p w14:paraId="153044DD" w14:textId="77777777" w:rsidR="00D53962" w:rsidRPr="001F0CA5" w:rsidRDefault="00D53962" w:rsidP="00D53962">
      <w:r w:rsidRPr="001F0CA5">
        <w:t>Outcomes will be paid in recognition of a participant achieving sustainable and suitable employment</w:t>
      </w:r>
    </w:p>
    <w:p w14:paraId="77CE7C8B" w14:textId="77777777" w:rsidR="00D53962" w:rsidRPr="001F0CA5" w:rsidRDefault="00D53962" w:rsidP="00D53962">
      <w:r w:rsidRPr="001F0CA5">
        <w:t>Outcomes depend upon whether the participant is working below (Partial) or at (Full) their Employment Benchmark.</w:t>
      </w:r>
    </w:p>
    <w:p w14:paraId="0E9224CD" w14:textId="7132A3F3" w:rsidR="006827D5" w:rsidRPr="001F0CA5" w:rsidRDefault="00D53962" w:rsidP="006827D5">
      <w:r w:rsidRPr="001F0CA5">
        <w:t xml:space="preserve">The current </w:t>
      </w:r>
      <w:r w:rsidR="00D327C5" w:rsidRPr="001F0CA5">
        <w:t xml:space="preserve">DES program </w:t>
      </w:r>
      <w:r w:rsidR="00365D9E" w:rsidRPr="001F0CA5">
        <w:t xml:space="preserve">pays </w:t>
      </w:r>
      <w:r w:rsidR="00512106" w:rsidRPr="001F0CA5">
        <w:t xml:space="preserve">outcomes at </w:t>
      </w:r>
      <w:r w:rsidR="00365D9E" w:rsidRPr="001F0CA5">
        <w:t xml:space="preserve">4, </w:t>
      </w:r>
      <w:r w:rsidR="00512106" w:rsidRPr="001F0CA5">
        <w:t>13, 26 and 52 weeks, including pathway outcomes.</w:t>
      </w:r>
    </w:p>
    <w:p w14:paraId="77BD3983" w14:textId="5FD4779D" w:rsidR="00512106" w:rsidRPr="001F0CA5" w:rsidRDefault="00512106" w:rsidP="006827D5">
      <w:r w:rsidRPr="001F0CA5">
        <w:t>The new program pays outcomes at 12, 26 and 52 weeks, including partial outcomes</w:t>
      </w:r>
    </w:p>
    <w:p w14:paraId="5DEBCE1D" w14:textId="7F0B995D" w:rsidR="007103CB" w:rsidRPr="001F0CA5" w:rsidRDefault="007103CB" w:rsidP="007103CB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Below are indicative payment amounts of the outcome fee:</w:t>
      </w:r>
    </w:p>
    <w:p w14:paraId="3A4F21A0" w14:textId="0272CA76" w:rsidR="007103CB" w:rsidRPr="001F0CA5" w:rsidRDefault="007103CB" w:rsidP="007103CB">
      <w:pPr>
        <w:rPr>
          <w:rFonts w:cstheme="minorHAnsi"/>
          <w:b/>
          <w:bCs/>
          <w:szCs w:val="22"/>
        </w:rPr>
      </w:pPr>
      <w:r w:rsidRPr="001F0CA5">
        <w:rPr>
          <w:rFonts w:cstheme="minorHAnsi"/>
          <w:b/>
          <w:bCs/>
          <w:szCs w:val="22"/>
        </w:rPr>
        <w:t>12-</w:t>
      </w:r>
      <w:r w:rsidR="00094DF9" w:rsidRPr="001F0CA5">
        <w:rPr>
          <w:rFonts w:cstheme="minorHAnsi"/>
          <w:b/>
          <w:bCs/>
          <w:szCs w:val="22"/>
        </w:rPr>
        <w:t>W</w:t>
      </w:r>
      <w:r w:rsidRPr="001F0CA5">
        <w:rPr>
          <w:rFonts w:cstheme="minorHAnsi"/>
          <w:b/>
          <w:bCs/>
          <w:szCs w:val="22"/>
        </w:rPr>
        <w:t>eek Full Outcome:</w:t>
      </w:r>
    </w:p>
    <w:p w14:paraId="08C9D0F8" w14:textId="6228253E" w:rsidR="007103CB" w:rsidRPr="001F0CA5" w:rsidRDefault="007103CB" w:rsidP="007103CB">
      <w:pPr>
        <w:pStyle w:val="ListParagraph"/>
      </w:pPr>
      <w:r w:rsidRPr="001F0CA5">
        <w:t>Funding Level 1 $1,250</w:t>
      </w:r>
    </w:p>
    <w:p w14:paraId="41626567" w14:textId="0A188833" w:rsidR="007103CB" w:rsidRPr="001F0CA5" w:rsidRDefault="007103CB" w:rsidP="007103CB">
      <w:pPr>
        <w:pStyle w:val="ListParagraph"/>
      </w:pPr>
      <w:r w:rsidRPr="001F0CA5">
        <w:t>Funding Level 2 $2,232</w:t>
      </w:r>
    </w:p>
    <w:p w14:paraId="76D8F9CE" w14:textId="04DD4F6D" w:rsidR="007103CB" w:rsidRPr="001F0CA5" w:rsidRDefault="007103CB" w:rsidP="007103CB">
      <w:pPr>
        <w:pStyle w:val="ListParagraph"/>
      </w:pPr>
      <w:r w:rsidRPr="001F0CA5">
        <w:t>Funding Level 3 $3,255</w:t>
      </w:r>
    </w:p>
    <w:p w14:paraId="7CF4486C" w14:textId="02242003" w:rsidR="007103CB" w:rsidRPr="001F0CA5" w:rsidRDefault="007103CB" w:rsidP="007103CB">
      <w:pPr>
        <w:pStyle w:val="ListParagraph"/>
      </w:pPr>
      <w:r w:rsidRPr="001F0CA5">
        <w:t>Funding Level 4 $4,5</w:t>
      </w:r>
      <w:r w:rsidR="00094DF9" w:rsidRPr="001F0CA5">
        <w:t>92</w:t>
      </w:r>
    </w:p>
    <w:p w14:paraId="428B495A" w14:textId="54FE5192" w:rsidR="007103CB" w:rsidRPr="001F0CA5" w:rsidRDefault="007103CB" w:rsidP="007103CB">
      <w:pPr>
        <w:pStyle w:val="ListParagraph"/>
      </w:pPr>
      <w:r w:rsidRPr="001F0CA5">
        <w:t>Funding Level 5 $</w:t>
      </w:r>
      <w:r w:rsidR="00094DF9" w:rsidRPr="001F0CA5">
        <w:t>8,194</w:t>
      </w:r>
      <w:r w:rsidRPr="001F0CA5">
        <w:t>.</w:t>
      </w:r>
    </w:p>
    <w:p w14:paraId="7905282A" w14:textId="5B539A39" w:rsidR="007103CB" w:rsidRPr="001F0CA5" w:rsidRDefault="00094DF9" w:rsidP="007103CB">
      <w:pPr>
        <w:rPr>
          <w:rFonts w:cstheme="minorHAnsi"/>
          <w:b/>
          <w:bCs/>
          <w:szCs w:val="22"/>
        </w:rPr>
      </w:pPr>
      <w:r w:rsidRPr="001F0CA5">
        <w:rPr>
          <w:rFonts w:cstheme="minorHAnsi"/>
          <w:b/>
          <w:bCs/>
          <w:szCs w:val="22"/>
        </w:rPr>
        <w:t>26</w:t>
      </w:r>
      <w:r w:rsidR="007103CB" w:rsidRPr="001F0CA5">
        <w:rPr>
          <w:rFonts w:cstheme="minorHAnsi"/>
          <w:b/>
          <w:bCs/>
          <w:szCs w:val="22"/>
        </w:rPr>
        <w:t>-</w:t>
      </w:r>
      <w:r w:rsidRPr="001F0CA5">
        <w:rPr>
          <w:rFonts w:cstheme="minorHAnsi"/>
          <w:b/>
          <w:bCs/>
          <w:szCs w:val="22"/>
        </w:rPr>
        <w:t>W</w:t>
      </w:r>
      <w:r w:rsidR="007103CB" w:rsidRPr="001F0CA5">
        <w:rPr>
          <w:rFonts w:cstheme="minorHAnsi"/>
          <w:b/>
          <w:bCs/>
          <w:szCs w:val="22"/>
        </w:rPr>
        <w:t>eek Full Outcome:</w:t>
      </w:r>
    </w:p>
    <w:p w14:paraId="55E2D003" w14:textId="07DF78FE" w:rsidR="007103CB" w:rsidRPr="001F0CA5" w:rsidRDefault="007103CB" w:rsidP="007103CB">
      <w:pPr>
        <w:pStyle w:val="ListParagraph"/>
      </w:pPr>
      <w:r w:rsidRPr="001F0CA5">
        <w:t>Funding Level 1 $</w:t>
      </w:r>
      <w:r w:rsidR="00094DF9" w:rsidRPr="001F0CA5">
        <w:t>1</w:t>
      </w:r>
      <w:r w:rsidR="007D7448" w:rsidRPr="001F0CA5">
        <w:t>,</w:t>
      </w:r>
      <w:r w:rsidR="00094DF9" w:rsidRPr="001F0CA5">
        <w:t>797</w:t>
      </w:r>
    </w:p>
    <w:p w14:paraId="7952ED8F" w14:textId="445310DC" w:rsidR="007103CB" w:rsidRPr="001F0CA5" w:rsidRDefault="007103CB" w:rsidP="007103CB">
      <w:pPr>
        <w:pStyle w:val="ListParagraph"/>
      </w:pPr>
      <w:r w:rsidRPr="001F0CA5">
        <w:t>Funding Level 2 $</w:t>
      </w:r>
      <w:r w:rsidR="00094DF9" w:rsidRPr="001F0CA5">
        <w:t>3,205</w:t>
      </w:r>
    </w:p>
    <w:p w14:paraId="7D708B6B" w14:textId="22B144C7" w:rsidR="007103CB" w:rsidRPr="001F0CA5" w:rsidRDefault="007103CB" w:rsidP="007103CB">
      <w:pPr>
        <w:pStyle w:val="ListParagraph"/>
      </w:pPr>
      <w:r w:rsidRPr="001F0CA5">
        <w:t>Funding Level 3 $</w:t>
      </w:r>
      <w:r w:rsidR="006C2CC5" w:rsidRPr="001F0CA5">
        <w:t>4,669</w:t>
      </w:r>
    </w:p>
    <w:p w14:paraId="61A18D77" w14:textId="142E9FDB" w:rsidR="007103CB" w:rsidRPr="001F0CA5" w:rsidRDefault="007103CB" w:rsidP="007103CB">
      <w:pPr>
        <w:pStyle w:val="ListParagraph"/>
      </w:pPr>
      <w:r w:rsidRPr="001F0CA5">
        <w:t>Funding Level 4 $</w:t>
      </w:r>
      <w:r w:rsidR="006C2CC5" w:rsidRPr="001F0CA5">
        <w:t>6,596</w:t>
      </w:r>
    </w:p>
    <w:p w14:paraId="0DBD0957" w14:textId="2EC57AB9" w:rsidR="007103CB" w:rsidRPr="001F0CA5" w:rsidRDefault="007103CB" w:rsidP="007103CB">
      <w:pPr>
        <w:pStyle w:val="ListParagraph"/>
      </w:pPr>
      <w:r w:rsidRPr="001F0CA5">
        <w:t>Funding Level 5 $</w:t>
      </w:r>
      <w:r w:rsidR="006C2CC5" w:rsidRPr="001F0CA5">
        <w:t>11,74</w:t>
      </w:r>
      <w:r w:rsidR="007D7448" w:rsidRPr="001F0CA5">
        <w:t>2</w:t>
      </w:r>
      <w:r w:rsidR="006C2CC5" w:rsidRPr="001F0CA5">
        <w:t>.</w:t>
      </w:r>
    </w:p>
    <w:p w14:paraId="7935F431" w14:textId="655FD61F" w:rsidR="007103CB" w:rsidRPr="001F0CA5" w:rsidRDefault="00FD2D0C" w:rsidP="007103CB">
      <w:pPr>
        <w:rPr>
          <w:rFonts w:cstheme="minorHAnsi"/>
          <w:b/>
          <w:bCs/>
          <w:szCs w:val="22"/>
        </w:rPr>
      </w:pPr>
      <w:r w:rsidRPr="001F0CA5">
        <w:rPr>
          <w:rFonts w:cstheme="minorHAnsi"/>
          <w:b/>
          <w:bCs/>
          <w:szCs w:val="22"/>
        </w:rPr>
        <w:t>5</w:t>
      </w:r>
      <w:r w:rsidR="007103CB" w:rsidRPr="001F0CA5">
        <w:rPr>
          <w:rFonts w:cstheme="minorHAnsi"/>
          <w:b/>
          <w:bCs/>
          <w:szCs w:val="22"/>
        </w:rPr>
        <w:t>2-</w:t>
      </w:r>
      <w:r w:rsidR="005A0E26" w:rsidRPr="001F0CA5">
        <w:rPr>
          <w:rFonts w:cstheme="minorHAnsi"/>
          <w:b/>
          <w:bCs/>
          <w:szCs w:val="22"/>
        </w:rPr>
        <w:t>W</w:t>
      </w:r>
      <w:r w:rsidR="007103CB" w:rsidRPr="001F0CA5">
        <w:rPr>
          <w:rFonts w:cstheme="minorHAnsi"/>
          <w:b/>
          <w:bCs/>
          <w:szCs w:val="22"/>
        </w:rPr>
        <w:t>eek Full Outcome:</w:t>
      </w:r>
    </w:p>
    <w:p w14:paraId="25E5E3F4" w14:textId="3DF01C57" w:rsidR="007103CB" w:rsidRPr="001F0CA5" w:rsidRDefault="007103CB" w:rsidP="007103CB">
      <w:pPr>
        <w:pStyle w:val="ListParagraph"/>
      </w:pPr>
      <w:r w:rsidRPr="001F0CA5">
        <w:t>Funding Level 1 $</w:t>
      </w:r>
      <w:r w:rsidR="005A0E26" w:rsidRPr="001F0CA5">
        <w:t>496</w:t>
      </w:r>
    </w:p>
    <w:p w14:paraId="7F66CDB2" w14:textId="132130F0" w:rsidR="007103CB" w:rsidRPr="001F0CA5" w:rsidRDefault="007103CB" w:rsidP="007103CB">
      <w:pPr>
        <w:pStyle w:val="ListParagraph"/>
      </w:pPr>
      <w:r w:rsidRPr="001F0CA5">
        <w:t>Funding Level 2 $</w:t>
      </w:r>
      <w:r w:rsidR="005A0E26" w:rsidRPr="001F0CA5">
        <w:t>882</w:t>
      </w:r>
    </w:p>
    <w:p w14:paraId="25EE1F80" w14:textId="03E1C42A" w:rsidR="007103CB" w:rsidRPr="001F0CA5" w:rsidRDefault="007103CB" w:rsidP="007103CB">
      <w:pPr>
        <w:pStyle w:val="ListParagraph"/>
      </w:pPr>
      <w:r w:rsidRPr="001F0CA5">
        <w:t>Funding Level 3 $</w:t>
      </w:r>
      <w:r w:rsidR="005A0E26" w:rsidRPr="001F0CA5">
        <w:t>1,286</w:t>
      </w:r>
    </w:p>
    <w:p w14:paraId="3B3B3277" w14:textId="090B8A76" w:rsidR="007103CB" w:rsidRPr="001F0CA5" w:rsidRDefault="007103CB" w:rsidP="007103CB">
      <w:pPr>
        <w:pStyle w:val="ListParagraph"/>
      </w:pPr>
      <w:r w:rsidRPr="001F0CA5">
        <w:t>Funding Level 4 $</w:t>
      </w:r>
      <w:r w:rsidR="005A0E26" w:rsidRPr="001F0CA5">
        <w:t>1,817</w:t>
      </w:r>
    </w:p>
    <w:p w14:paraId="690BC536" w14:textId="6ACFA2E0" w:rsidR="007103CB" w:rsidRPr="001F0CA5" w:rsidRDefault="007103CB" w:rsidP="007103CB">
      <w:pPr>
        <w:pStyle w:val="ListParagraph"/>
      </w:pPr>
      <w:r w:rsidRPr="001F0CA5">
        <w:t>Funding Level 5 $</w:t>
      </w:r>
      <w:r w:rsidR="005A0E26" w:rsidRPr="001F0CA5">
        <w:t>3,244</w:t>
      </w:r>
      <w:r w:rsidRPr="001F0CA5">
        <w:t>.</w:t>
      </w:r>
    </w:p>
    <w:p w14:paraId="39162DB0" w14:textId="7F6D51FD" w:rsidR="007103CB" w:rsidRPr="001F0CA5" w:rsidRDefault="007103CB" w:rsidP="007103CB">
      <w:pPr>
        <w:keepNext/>
        <w:rPr>
          <w:rFonts w:cstheme="minorHAnsi"/>
          <w:b/>
          <w:bCs/>
          <w:szCs w:val="22"/>
        </w:rPr>
      </w:pPr>
      <w:r w:rsidRPr="001F0CA5">
        <w:rPr>
          <w:rFonts w:cstheme="minorHAnsi"/>
          <w:b/>
          <w:bCs/>
          <w:szCs w:val="22"/>
        </w:rPr>
        <w:t>12-</w:t>
      </w:r>
      <w:r w:rsidR="005A0E26" w:rsidRPr="001F0CA5">
        <w:rPr>
          <w:rFonts w:cstheme="minorHAnsi"/>
          <w:b/>
          <w:bCs/>
          <w:szCs w:val="22"/>
        </w:rPr>
        <w:t>W</w:t>
      </w:r>
      <w:r w:rsidRPr="001F0CA5">
        <w:rPr>
          <w:rFonts w:cstheme="minorHAnsi"/>
          <w:b/>
          <w:bCs/>
          <w:szCs w:val="22"/>
        </w:rPr>
        <w:t xml:space="preserve">eek </w:t>
      </w:r>
      <w:r w:rsidR="005A0E26" w:rsidRPr="001F0CA5">
        <w:rPr>
          <w:rFonts w:cstheme="minorHAnsi"/>
          <w:b/>
          <w:bCs/>
          <w:szCs w:val="22"/>
        </w:rPr>
        <w:t>Pa</w:t>
      </w:r>
      <w:r w:rsidR="00982FAA" w:rsidRPr="001F0CA5">
        <w:rPr>
          <w:rFonts w:cstheme="minorHAnsi"/>
          <w:b/>
          <w:bCs/>
          <w:szCs w:val="22"/>
        </w:rPr>
        <w:t>rtial</w:t>
      </w:r>
      <w:r w:rsidRPr="001F0CA5">
        <w:rPr>
          <w:rFonts w:cstheme="minorHAnsi"/>
          <w:b/>
          <w:bCs/>
          <w:szCs w:val="22"/>
        </w:rPr>
        <w:t xml:space="preserve"> Outcome:</w:t>
      </w:r>
    </w:p>
    <w:p w14:paraId="22E37FD2" w14:textId="77F10345" w:rsidR="007103CB" w:rsidRPr="001F0CA5" w:rsidRDefault="007103CB" w:rsidP="007103CB">
      <w:pPr>
        <w:pStyle w:val="ListParagraph"/>
        <w:keepNext/>
      </w:pPr>
      <w:r w:rsidRPr="001F0CA5">
        <w:t>Funding Level 1 $</w:t>
      </w:r>
      <w:r w:rsidR="005B5519" w:rsidRPr="001F0CA5">
        <w:t>401</w:t>
      </w:r>
    </w:p>
    <w:p w14:paraId="0CAB6EB0" w14:textId="59324424" w:rsidR="007103CB" w:rsidRPr="001F0CA5" w:rsidRDefault="007103CB" w:rsidP="007103CB">
      <w:pPr>
        <w:pStyle w:val="ListParagraph"/>
        <w:keepNext/>
      </w:pPr>
      <w:r w:rsidRPr="001F0CA5">
        <w:t>Funding Level 2 $</w:t>
      </w:r>
      <w:r w:rsidR="005B5519" w:rsidRPr="001F0CA5">
        <w:t>718</w:t>
      </w:r>
    </w:p>
    <w:p w14:paraId="27C20FC9" w14:textId="6888803F" w:rsidR="007103CB" w:rsidRPr="001F0CA5" w:rsidRDefault="007103CB" w:rsidP="007103CB">
      <w:pPr>
        <w:pStyle w:val="ListParagraph"/>
      </w:pPr>
      <w:r w:rsidRPr="001F0CA5">
        <w:t>Funding Level 3 $</w:t>
      </w:r>
      <w:r w:rsidR="005B5519" w:rsidRPr="001F0CA5">
        <w:t>1,060</w:t>
      </w:r>
    </w:p>
    <w:p w14:paraId="5AE44E30" w14:textId="61BD01C3" w:rsidR="007103CB" w:rsidRPr="001F0CA5" w:rsidRDefault="007103CB" w:rsidP="007103CB">
      <w:pPr>
        <w:pStyle w:val="ListParagraph"/>
      </w:pPr>
      <w:r w:rsidRPr="001F0CA5">
        <w:t>Funding Level 4 $</w:t>
      </w:r>
      <w:r w:rsidR="005B5519" w:rsidRPr="001F0CA5">
        <w:t>1,520</w:t>
      </w:r>
    </w:p>
    <w:p w14:paraId="03985BD0" w14:textId="233165B7" w:rsidR="007103CB" w:rsidRPr="001F0CA5" w:rsidRDefault="007103CB" w:rsidP="007103CB">
      <w:pPr>
        <w:pStyle w:val="ListParagraph"/>
      </w:pPr>
      <w:r w:rsidRPr="001F0CA5">
        <w:t>Funding Level 5 $</w:t>
      </w:r>
      <w:r w:rsidR="005B5519" w:rsidRPr="001F0CA5">
        <w:t>2,696.</w:t>
      </w:r>
    </w:p>
    <w:p w14:paraId="2675F0F2" w14:textId="49F2C86B" w:rsidR="007103CB" w:rsidRPr="001F0CA5" w:rsidRDefault="003F55A2" w:rsidP="007103CB">
      <w:pPr>
        <w:rPr>
          <w:rFonts w:cstheme="minorHAnsi"/>
          <w:b/>
          <w:bCs/>
          <w:szCs w:val="22"/>
        </w:rPr>
      </w:pPr>
      <w:r w:rsidRPr="001F0CA5">
        <w:rPr>
          <w:rFonts w:cstheme="minorHAnsi"/>
          <w:b/>
          <w:bCs/>
          <w:szCs w:val="22"/>
        </w:rPr>
        <w:t>26</w:t>
      </w:r>
      <w:r w:rsidR="007103CB" w:rsidRPr="001F0CA5">
        <w:rPr>
          <w:rFonts w:cstheme="minorHAnsi"/>
          <w:b/>
          <w:bCs/>
          <w:szCs w:val="22"/>
        </w:rPr>
        <w:t>-</w:t>
      </w:r>
      <w:r w:rsidRPr="001F0CA5">
        <w:rPr>
          <w:rFonts w:cstheme="minorHAnsi"/>
          <w:b/>
          <w:bCs/>
          <w:szCs w:val="22"/>
        </w:rPr>
        <w:t>W</w:t>
      </w:r>
      <w:r w:rsidR="007103CB" w:rsidRPr="001F0CA5">
        <w:rPr>
          <w:rFonts w:cstheme="minorHAnsi"/>
          <w:b/>
          <w:bCs/>
          <w:szCs w:val="22"/>
        </w:rPr>
        <w:t xml:space="preserve">eek </w:t>
      </w:r>
      <w:r w:rsidRPr="001F0CA5">
        <w:rPr>
          <w:rFonts w:cstheme="minorHAnsi"/>
          <w:b/>
          <w:bCs/>
          <w:szCs w:val="22"/>
        </w:rPr>
        <w:t>Pa</w:t>
      </w:r>
      <w:r w:rsidR="00213251" w:rsidRPr="001F0CA5">
        <w:rPr>
          <w:rFonts w:cstheme="minorHAnsi"/>
          <w:b/>
          <w:bCs/>
          <w:szCs w:val="22"/>
        </w:rPr>
        <w:t>rtial</w:t>
      </w:r>
      <w:r w:rsidR="007103CB" w:rsidRPr="001F0CA5">
        <w:rPr>
          <w:rFonts w:cstheme="minorHAnsi"/>
          <w:b/>
          <w:bCs/>
          <w:szCs w:val="22"/>
        </w:rPr>
        <w:t xml:space="preserve"> Outcome:</w:t>
      </w:r>
    </w:p>
    <w:p w14:paraId="15A92D9D" w14:textId="597F3666" w:rsidR="007103CB" w:rsidRPr="001F0CA5" w:rsidRDefault="007103CB" w:rsidP="007103CB">
      <w:pPr>
        <w:pStyle w:val="ListParagraph"/>
      </w:pPr>
      <w:r w:rsidRPr="001F0CA5">
        <w:t>Funding Level 1 $</w:t>
      </w:r>
      <w:r w:rsidR="005B5519" w:rsidRPr="001F0CA5">
        <w:t>581</w:t>
      </w:r>
    </w:p>
    <w:p w14:paraId="16478E45" w14:textId="5D0D729B" w:rsidR="007103CB" w:rsidRPr="001F0CA5" w:rsidRDefault="007103CB" w:rsidP="007103CB">
      <w:pPr>
        <w:pStyle w:val="ListParagraph"/>
      </w:pPr>
      <w:r w:rsidRPr="001F0CA5">
        <w:t>Funding Level 2 $</w:t>
      </w:r>
      <w:r w:rsidR="005B5519" w:rsidRPr="001F0CA5">
        <w:t>1,037</w:t>
      </w:r>
    </w:p>
    <w:p w14:paraId="5229A350" w14:textId="0A21E73C" w:rsidR="007103CB" w:rsidRPr="001F0CA5" w:rsidRDefault="007103CB" w:rsidP="007103CB">
      <w:pPr>
        <w:pStyle w:val="ListParagraph"/>
      </w:pPr>
      <w:r w:rsidRPr="001F0CA5">
        <w:t>Funding Level 3 $</w:t>
      </w:r>
      <w:r w:rsidR="005B5519" w:rsidRPr="001F0CA5">
        <w:t>1,525</w:t>
      </w:r>
    </w:p>
    <w:p w14:paraId="226B2163" w14:textId="73F11619" w:rsidR="007103CB" w:rsidRPr="001F0CA5" w:rsidRDefault="007103CB" w:rsidP="007103CB">
      <w:pPr>
        <w:pStyle w:val="ListParagraph"/>
      </w:pPr>
      <w:r w:rsidRPr="001F0CA5">
        <w:t>Funding Level 4 $</w:t>
      </w:r>
      <w:r w:rsidR="005B5519" w:rsidRPr="001F0CA5">
        <w:t>2,165</w:t>
      </w:r>
    </w:p>
    <w:p w14:paraId="02EC86F8" w14:textId="339B1F87" w:rsidR="007103CB" w:rsidRPr="001F0CA5" w:rsidRDefault="007103CB" w:rsidP="007103CB">
      <w:pPr>
        <w:pStyle w:val="ListParagraph"/>
      </w:pPr>
      <w:r w:rsidRPr="001F0CA5">
        <w:t>Funding Level 5 $</w:t>
      </w:r>
      <w:r w:rsidR="00180044" w:rsidRPr="001F0CA5">
        <w:t>3,888</w:t>
      </w:r>
      <w:r w:rsidRPr="001F0CA5">
        <w:t>.</w:t>
      </w:r>
    </w:p>
    <w:p w14:paraId="2E173B96" w14:textId="191943FE" w:rsidR="007103CB" w:rsidRPr="001F0CA5" w:rsidRDefault="00213251" w:rsidP="007103CB">
      <w:pPr>
        <w:rPr>
          <w:rFonts w:cstheme="minorHAnsi"/>
          <w:b/>
          <w:bCs/>
          <w:szCs w:val="22"/>
        </w:rPr>
      </w:pPr>
      <w:r w:rsidRPr="001F0CA5">
        <w:rPr>
          <w:rFonts w:cstheme="minorHAnsi"/>
          <w:b/>
          <w:bCs/>
          <w:szCs w:val="22"/>
        </w:rPr>
        <w:t>5</w:t>
      </w:r>
      <w:r w:rsidR="007103CB" w:rsidRPr="001F0CA5">
        <w:rPr>
          <w:rFonts w:cstheme="minorHAnsi"/>
          <w:b/>
          <w:bCs/>
          <w:szCs w:val="22"/>
        </w:rPr>
        <w:t>2-</w:t>
      </w:r>
      <w:r w:rsidRPr="001F0CA5">
        <w:rPr>
          <w:rFonts w:cstheme="minorHAnsi"/>
          <w:b/>
          <w:bCs/>
          <w:szCs w:val="22"/>
        </w:rPr>
        <w:t>W</w:t>
      </w:r>
      <w:r w:rsidR="007103CB" w:rsidRPr="001F0CA5">
        <w:rPr>
          <w:rFonts w:cstheme="minorHAnsi"/>
          <w:b/>
          <w:bCs/>
          <w:szCs w:val="22"/>
        </w:rPr>
        <w:t xml:space="preserve">eek </w:t>
      </w:r>
      <w:r w:rsidRPr="001F0CA5">
        <w:rPr>
          <w:rFonts w:cstheme="minorHAnsi"/>
          <w:b/>
          <w:bCs/>
          <w:szCs w:val="22"/>
        </w:rPr>
        <w:t>Partial</w:t>
      </w:r>
      <w:r w:rsidR="007103CB" w:rsidRPr="001F0CA5">
        <w:rPr>
          <w:rFonts w:cstheme="minorHAnsi"/>
          <w:b/>
          <w:bCs/>
          <w:szCs w:val="22"/>
        </w:rPr>
        <w:t xml:space="preserve"> Outcome:</w:t>
      </w:r>
    </w:p>
    <w:p w14:paraId="4C55B877" w14:textId="07F7D5D8" w:rsidR="007103CB" w:rsidRPr="001F0CA5" w:rsidRDefault="007103CB" w:rsidP="007103CB">
      <w:pPr>
        <w:pStyle w:val="ListParagraph"/>
      </w:pPr>
      <w:r w:rsidRPr="001F0CA5">
        <w:t>Funding Level 1 $</w:t>
      </w:r>
      <w:r w:rsidR="00180044" w:rsidRPr="001F0CA5">
        <w:t>157</w:t>
      </w:r>
    </w:p>
    <w:p w14:paraId="0F92984E" w14:textId="67275A14" w:rsidR="007103CB" w:rsidRPr="001F0CA5" w:rsidRDefault="007103CB" w:rsidP="007103CB">
      <w:pPr>
        <w:pStyle w:val="ListParagraph"/>
      </w:pPr>
      <w:r w:rsidRPr="001F0CA5">
        <w:t>Funding Level 2 $</w:t>
      </w:r>
      <w:r w:rsidR="00180044" w:rsidRPr="001F0CA5">
        <w:t>28</w:t>
      </w:r>
      <w:r w:rsidR="007D7448" w:rsidRPr="001F0CA5">
        <w:t>3</w:t>
      </w:r>
    </w:p>
    <w:p w14:paraId="05E9B178" w14:textId="6849FA54" w:rsidR="007103CB" w:rsidRPr="001F0CA5" w:rsidRDefault="007103CB" w:rsidP="007103CB">
      <w:pPr>
        <w:pStyle w:val="ListParagraph"/>
      </w:pPr>
      <w:r w:rsidRPr="001F0CA5">
        <w:t>Funding Level 3 $</w:t>
      </w:r>
      <w:r w:rsidR="00180044" w:rsidRPr="001F0CA5">
        <w:t>420</w:t>
      </w:r>
    </w:p>
    <w:p w14:paraId="714A06DB" w14:textId="4FE70BC7" w:rsidR="007103CB" w:rsidRPr="001F0CA5" w:rsidRDefault="007103CB" w:rsidP="007103CB">
      <w:pPr>
        <w:pStyle w:val="ListParagraph"/>
      </w:pPr>
      <w:r w:rsidRPr="001F0CA5">
        <w:t>Funding Level 4 $</w:t>
      </w:r>
      <w:r w:rsidR="002E0D7A" w:rsidRPr="001F0CA5">
        <w:t>593</w:t>
      </w:r>
    </w:p>
    <w:p w14:paraId="3FF5FD97" w14:textId="27A3E854" w:rsidR="007103CB" w:rsidRPr="001F0CA5" w:rsidRDefault="007103CB" w:rsidP="007103CB">
      <w:pPr>
        <w:pStyle w:val="ListParagraph"/>
      </w:pPr>
      <w:r w:rsidRPr="001F0CA5">
        <w:t>Funding Level 5 $</w:t>
      </w:r>
      <w:r w:rsidR="00213921" w:rsidRPr="001F0CA5">
        <w:t>1,070</w:t>
      </w:r>
      <w:r w:rsidRPr="001F0CA5">
        <w:t>.</w:t>
      </w:r>
    </w:p>
    <w:p w14:paraId="7222818D" w14:textId="30C4B174" w:rsidR="00213921" w:rsidRPr="001F0CA5" w:rsidRDefault="00213921" w:rsidP="00213921">
      <w:pPr>
        <w:pStyle w:val="Heading3"/>
      </w:pPr>
      <w:r w:rsidRPr="001F0CA5">
        <w:t>Ongoing Support</w:t>
      </w:r>
    </w:p>
    <w:p w14:paraId="67409F7B" w14:textId="77777777" w:rsidR="003F55A2" w:rsidRPr="001F0CA5" w:rsidRDefault="003F55A2" w:rsidP="003F55A2">
      <w:r w:rsidRPr="001F0CA5">
        <w:t>Ongoing Support Fees are payable for participants in Ongoing Support.</w:t>
      </w:r>
    </w:p>
    <w:p w14:paraId="7E152481" w14:textId="123E8978" w:rsidR="00213921" w:rsidRPr="001F0CA5" w:rsidRDefault="003F55A2" w:rsidP="003F55A2">
      <w:r w:rsidRPr="001F0CA5">
        <w:t>Direct access to Ongoing Support replaces Work Assist.</w:t>
      </w:r>
    </w:p>
    <w:p w14:paraId="795228FB" w14:textId="7EAF784A" w:rsidR="00213251" w:rsidRPr="001F0CA5" w:rsidRDefault="00213251" w:rsidP="00213251">
      <w:r w:rsidRPr="001F0CA5">
        <w:t xml:space="preserve">The current DES program pays </w:t>
      </w:r>
      <w:r w:rsidR="00AE7918" w:rsidRPr="001F0CA5">
        <w:rPr>
          <w:b/>
          <w:bCs/>
        </w:rPr>
        <w:t>Ongoing Support Fees</w:t>
      </w:r>
      <w:r w:rsidR="00AE7918" w:rsidRPr="001F0CA5">
        <w:t xml:space="preserve"> in relation to the level of support (Flexible, Moderate and High)</w:t>
      </w:r>
      <w:r w:rsidRPr="001F0CA5">
        <w:t>.</w:t>
      </w:r>
      <w:r w:rsidR="00AE7918" w:rsidRPr="001F0CA5">
        <w:t xml:space="preserve"> The current DES program also has </w:t>
      </w:r>
      <w:r w:rsidR="00AE7918" w:rsidRPr="001F0CA5">
        <w:rPr>
          <w:b/>
          <w:bCs/>
        </w:rPr>
        <w:t>Work Assist Fees</w:t>
      </w:r>
      <w:r w:rsidR="003B4CEE" w:rsidRPr="001F0CA5">
        <w:t xml:space="preserve"> – Work Assist Service Fees and Work Assist Outcome Fees.</w:t>
      </w:r>
    </w:p>
    <w:p w14:paraId="5FFB30D9" w14:textId="7488E6E9" w:rsidR="00213251" w:rsidRPr="001F0CA5" w:rsidRDefault="00213251" w:rsidP="00213251">
      <w:r w:rsidRPr="001F0CA5">
        <w:t xml:space="preserve">The new program </w:t>
      </w:r>
      <w:r w:rsidR="003B4CEE" w:rsidRPr="001F0CA5">
        <w:t xml:space="preserve">retains Ongoing Support Fees, which remains the same. However, Work Assist Fees are no longer </w:t>
      </w:r>
      <w:r w:rsidR="00047591" w:rsidRPr="001F0CA5">
        <w:t>part of the payment model</w:t>
      </w:r>
      <w:r w:rsidR="003B4CEE" w:rsidRPr="001F0CA5">
        <w:t>.</w:t>
      </w:r>
    </w:p>
    <w:p w14:paraId="428DE4DA" w14:textId="5FA6B219" w:rsidR="00213251" w:rsidRPr="001F0CA5" w:rsidRDefault="00213251" w:rsidP="00213251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 xml:space="preserve">Below are indicative payment amounts of the </w:t>
      </w:r>
      <w:r w:rsidR="00441D40" w:rsidRPr="001F0CA5">
        <w:rPr>
          <w:rFonts w:cstheme="minorHAnsi"/>
          <w:szCs w:val="22"/>
        </w:rPr>
        <w:t>ongoing support</w:t>
      </w:r>
      <w:r w:rsidRPr="001F0CA5">
        <w:rPr>
          <w:rFonts w:cstheme="minorHAnsi"/>
          <w:szCs w:val="22"/>
        </w:rPr>
        <w:t xml:space="preserve"> fee</w:t>
      </w:r>
      <w:r w:rsidR="00441D40" w:rsidRPr="001F0CA5">
        <w:rPr>
          <w:rFonts w:cstheme="minorHAnsi"/>
          <w:szCs w:val="22"/>
        </w:rPr>
        <w:t>s</w:t>
      </w:r>
      <w:r w:rsidRPr="001F0CA5">
        <w:rPr>
          <w:rFonts w:cstheme="minorHAnsi"/>
          <w:szCs w:val="22"/>
        </w:rPr>
        <w:t>:</w:t>
      </w:r>
    </w:p>
    <w:p w14:paraId="589147E0" w14:textId="5EDC66AB" w:rsidR="00213251" w:rsidRPr="001F0CA5" w:rsidRDefault="00422B7E" w:rsidP="001F0CA5">
      <w:pPr>
        <w:keepNext/>
        <w:rPr>
          <w:rFonts w:cstheme="minorHAnsi"/>
          <w:b/>
          <w:bCs/>
          <w:szCs w:val="22"/>
        </w:rPr>
      </w:pPr>
      <w:r w:rsidRPr="001F0CA5">
        <w:rPr>
          <w:rFonts w:cstheme="minorHAnsi"/>
          <w:b/>
          <w:bCs/>
          <w:szCs w:val="22"/>
        </w:rPr>
        <w:t>Flexible Ongoing Support</w:t>
      </w:r>
      <w:r w:rsidR="00213251" w:rsidRPr="001F0CA5">
        <w:rPr>
          <w:rFonts w:cstheme="minorHAnsi"/>
          <w:b/>
          <w:bCs/>
          <w:szCs w:val="22"/>
        </w:rPr>
        <w:t>:</w:t>
      </w:r>
    </w:p>
    <w:p w14:paraId="587F3D8E" w14:textId="461F154C" w:rsidR="00213251" w:rsidRPr="001F0CA5" w:rsidRDefault="00422B7E" w:rsidP="00213251">
      <w:pPr>
        <w:pStyle w:val="ListParagraph"/>
      </w:pPr>
      <w:r w:rsidRPr="001F0CA5">
        <w:t>Instance $477.</w:t>
      </w:r>
    </w:p>
    <w:p w14:paraId="19327385" w14:textId="35767820" w:rsidR="00422B7E" w:rsidRPr="001F0CA5" w:rsidRDefault="00422B7E" w:rsidP="009D0857">
      <w:pPr>
        <w:keepNext/>
        <w:rPr>
          <w:rFonts w:cstheme="minorHAnsi"/>
          <w:b/>
          <w:bCs/>
          <w:szCs w:val="22"/>
        </w:rPr>
      </w:pPr>
      <w:r w:rsidRPr="001F0CA5">
        <w:rPr>
          <w:rFonts w:cstheme="minorHAnsi"/>
          <w:b/>
          <w:bCs/>
          <w:szCs w:val="22"/>
        </w:rPr>
        <w:t>Moderate Ongoing Support:</w:t>
      </w:r>
    </w:p>
    <w:p w14:paraId="246960FB" w14:textId="24224369" w:rsidR="00213251" w:rsidRPr="001F0CA5" w:rsidRDefault="00422B7E" w:rsidP="009D0857">
      <w:pPr>
        <w:pStyle w:val="ListParagraph"/>
        <w:keepNext/>
      </w:pPr>
      <w:r w:rsidRPr="001F0CA5">
        <w:t>Qu</w:t>
      </w:r>
      <w:r w:rsidR="009D0857" w:rsidRPr="001F0CA5">
        <w:t>arterly</w:t>
      </w:r>
      <w:r w:rsidR="00213251" w:rsidRPr="001F0CA5">
        <w:t xml:space="preserve"> $</w:t>
      </w:r>
      <w:r w:rsidR="009D0857" w:rsidRPr="001F0CA5">
        <w:t>1,430</w:t>
      </w:r>
    </w:p>
    <w:p w14:paraId="79BA4257" w14:textId="7F433928" w:rsidR="00213251" w:rsidRPr="001F0CA5" w:rsidRDefault="009D0857" w:rsidP="00213251">
      <w:pPr>
        <w:pStyle w:val="ListParagraph"/>
      </w:pPr>
      <w:r w:rsidRPr="001F0CA5">
        <w:t>Monthly</w:t>
      </w:r>
      <w:r w:rsidR="00213251" w:rsidRPr="001F0CA5">
        <w:t xml:space="preserve"> $</w:t>
      </w:r>
      <w:r w:rsidRPr="001F0CA5">
        <w:t>440.</w:t>
      </w:r>
    </w:p>
    <w:p w14:paraId="3AECC7A5" w14:textId="6FC07907" w:rsidR="009D0857" w:rsidRPr="001F0CA5" w:rsidRDefault="009D0857" w:rsidP="009D0857">
      <w:pPr>
        <w:rPr>
          <w:rFonts w:cstheme="minorHAnsi"/>
          <w:b/>
          <w:bCs/>
          <w:szCs w:val="22"/>
        </w:rPr>
      </w:pPr>
      <w:r w:rsidRPr="001F0CA5">
        <w:rPr>
          <w:rFonts w:cstheme="minorHAnsi"/>
          <w:b/>
          <w:bCs/>
          <w:szCs w:val="22"/>
        </w:rPr>
        <w:t>High Ongoing Support:</w:t>
      </w:r>
    </w:p>
    <w:p w14:paraId="28B3E8AC" w14:textId="5CB4A492" w:rsidR="009D0857" w:rsidRPr="001F0CA5" w:rsidRDefault="009D0857" w:rsidP="009D0857">
      <w:pPr>
        <w:pStyle w:val="ListParagraph"/>
      </w:pPr>
      <w:r w:rsidRPr="001F0CA5">
        <w:t>Quarterly $3,5</w:t>
      </w:r>
      <w:r w:rsidR="00380B2B" w:rsidRPr="001F0CA5">
        <w:t>76</w:t>
      </w:r>
    </w:p>
    <w:p w14:paraId="18F1DF43" w14:textId="587CABE6" w:rsidR="009D0857" w:rsidRPr="001F0CA5" w:rsidRDefault="009D0857" w:rsidP="009D0857">
      <w:pPr>
        <w:pStyle w:val="ListParagraph"/>
      </w:pPr>
      <w:r w:rsidRPr="001F0CA5">
        <w:t>Monthly $</w:t>
      </w:r>
      <w:r w:rsidR="00380B2B" w:rsidRPr="001F0CA5">
        <w:t>1,100.</w:t>
      </w:r>
    </w:p>
    <w:p w14:paraId="1D1A05D8" w14:textId="636DD2A5" w:rsidR="00380B2B" w:rsidRPr="001F0CA5" w:rsidRDefault="00380B2B" w:rsidP="00380B2B">
      <w:pPr>
        <w:pStyle w:val="Heading3"/>
        <w:rPr>
          <w:lang w:val="en-US"/>
        </w:rPr>
      </w:pPr>
      <w:r w:rsidRPr="001F0CA5">
        <w:rPr>
          <w:lang w:val="en-US"/>
        </w:rPr>
        <w:t>Moderate Intellectual Disability Payment</w:t>
      </w:r>
    </w:p>
    <w:p w14:paraId="39B26DEE" w14:textId="6A718015" w:rsidR="00380B2B" w:rsidRPr="001F0CA5" w:rsidRDefault="00B07648" w:rsidP="00380B2B">
      <w:r w:rsidRPr="001F0CA5">
        <w:t xml:space="preserve">Where a DES Provider is assisting a Participant with Moderate Intellectual Disability, and the Participant meets the requirements of a Full Outcome, the Provider is eligible for Moderate Intellectual Disability </w:t>
      </w:r>
      <w:r w:rsidR="00574812" w:rsidRPr="001F0CA5">
        <w:t xml:space="preserve">(MID) </w:t>
      </w:r>
      <w:r w:rsidRPr="001F0CA5">
        <w:t>Payment.</w:t>
      </w:r>
    </w:p>
    <w:p w14:paraId="12A1E943" w14:textId="2351BA61" w:rsidR="00B07648" w:rsidRPr="001F0CA5" w:rsidRDefault="00574812" w:rsidP="00B07648">
      <w:r w:rsidRPr="001F0CA5">
        <w:t>To claim under the</w:t>
      </w:r>
      <w:r w:rsidR="00B07648" w:rsidRPr="001F0CA5">
        <w:t xml:space="preserve"> current DES program</w:t>
      </w:r>
      <w:r w:rsidRPr="001F0CA5">
        <w:t>, the participant must have an assessed Intelligence Quotient (IQ) of 60 or less, or have been classified by a registered psychologist, using a recognised assessment tool, as having moderate intellectual disability</w:t>
      </w:r>
      <w:r w:rsidR="00B07648" w:rsidRPr="001F0CA5">
        <w:t>.</w:t>
      </w:r>
    </w:p>
    <w:p w14:paraId="687E7DB6" w14:textId="63E42611" w:rsidR="00B07648" w:rsidRPr="001F0CA5" w:rsidRDefault="00574812" w:rsidP="00B07648">
      <w:r w:rsidRPr="001F0CA5">
        <w:t>This remains the same in the new program</w:t>
      </w:r>
      <w:r w:rsidR="00B07648" w:rsidRPr="001F0CA5">
        <w:t>.</w:t>
      </w:r>
    </w:p>
    <w:p w14:paraId="57A9AF2B" w14:textId="7AA956EB" w:rsidR="00B07648" w:rsidRPr="001F0CA5" w:rsidRDefault="00B07648" w:rsidP="00B07648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 xml:space="preserve">Below are indicative payment amounts of the </w:t>
      </w:r>
      <w:r w:rsidR="00574812" w:rsidRPr="001F0CA5">
        <w:rPr>
          <w:rFonts w:cstheme="minorHAnsi"/>
          <w:szCs w:val="22"/>
        </w:rPr>
        <w:t>MID Payment per instance</w:t>
      </w:r>
      <w:r w:rsidRPr="001F0CA5">
        <w:rPr>
          <w:rFonts w:cstheme="minorHAnsi"/>
          <w:szCs w:val="22"/>
        </w:rPr>
        <w:t>:</w:t>
      </w:r>
    </w:p>
    <w:p w14:paraId="7C1FEA79" w14:textId="096D3F45" w:rsidR="00B07648" w:rsidRPr="001F0CA5" w:rsidRDefault="00574812" w:rsidP="00B07648">
      <w:pPr>
        <w:pStyle w:val="ListParagraph"/>
      </w:pPr>
      <w:r w:rsidRPr="001F0CA5">
        <w:t>12</w:t>
      </w:r>
      <w:r w:rsidR="0054619B" w:rsidRPr="001F0CA5">
        <w:t>-Week MID Payment</w:t>
      </w:r>
      <w:r w:rsidR="00B07648" w:rsidRPr="001F0CA5">
        <w:t xml:space="preserve"> $</w:t>
      </w:r>
      <w:r w:rsidR="0054619B" w:rsidRPr="001F0CA5">
        <w:t>7,892</w:t>
      </w:r>
    </w:p>
    <w:p w14:paraId="6BAAB1A9" w14:textId="22F0ABC1" w:rsidR="0054619B" w:rsidRPr="001F0CA5" w:rsidRDefault="0054619B" w:rsidP="00B07648">
      <w:pPr>
        <w:pStyle w:val="ListParagraph"/>
      </w:pPr>
      <w:r w:rsidRPr="001F0CA5">
        <w:t>26-Week MID Payment $16,020</w:t>
      </w:r>
    </w:p>
    <w:p w14:paraId="5A3C6B13" w14:textId="220E266F" w:rsidR="0054619B" w:rsidRPr="001F0CA5" w:rsidRDefault="0054619B" w:rsidP="00B07648">
      <w:pPr>
        <w:pStyle w:val="ListParagraph"/>
      </w:pPr>
      <w:r w:rsidRPr="001F0CA5">
        <w:t>52-Week MID Payment $2,913.</w:t>
      </w:r>
    </w:p>
    <w:p w14:paraId="0C5C0CEE" w14:textId="77777777" w:rsidR="002448C8" w:rsidRPr="001F0CA5" w:rsidRDefault="00C55571" w:rsidP="00A56499">
      <w:pPr>
        <w:pStyle w:val="Heading2"/>
      </w:pPr>
      <w:r w:rsidRPr="001F0CA5">
        <w:t>Government stewardship and contin</w:t>
      </w:r>
      <w:r w:rsidR="002448C8" w:rsidRPr="001F0CA5">
        <w:t>uous improvement</w:t>
      </w:r>
    </w:p>
    <w:p w14:paraId="4575CC16" w14:textId="30AFF8CF" w:rsidR="002448C8" w:rsidRPr="001F0CA5" w:rsidRDefault="00DD0ED9" w:rsidP="00B56984">
      <w:pPr>
        <w:pStyle w:val="Introduction"/>
      </w:pPr>
      <w:r w:rsidRPr="001F0CA5">
        <w:t>This section of the presentation outline</w:t>
      </w:r>
      <w:r w:rsidR="00435F74" w:rsidRPr="001F0CA5">
        <w:t>s</w:t>
      </w:r>
      <w:r w:rsidR="009348B1" w:rsidRPr="001F0CA5">
        <w:t xml:space="preserve"> </w:t>
      </w:r>
      <w:r w:rsidR="00826B45" w:rsidRPr="001F0CA5">
        <w:t xml:space="preserve">active </w:t>
      </w:r>
      <w:r w:rsidR="00E9083E" w:rsidRPr="001F0CA5">
        <w:t>market stewardship</w:t>
      </w:r>
      <w:r w:rsidR="00A66EBD" w:rsidRPr="001F0CA5">
        <w:t>, continous improvement</w:t>
      </w:r>
      <w:r w:rsidR="00E9083E" w:rsidRPr="001F0CA5">
        <w:t xml:space="preserve"> and </w:t>
      </w:r>
      <w:r w:rsidR="00A66EBD" w:rsidRPr="001F0CA5">
        <w:t xml:space="preserve">aspects of the new program that encompass </w:t>
      </w:r>
      <w:r w:rsidR="009348B1" w:rsidRPr="001F0CA5">
        <w:t>performance, data, quality and assurance</w:t>
      </w:r>
      <w:r w:rsidR="00826B45" w:rsidRPr="001F0CA5">
        <w:t>.</w:t>
      </w:r>
    </w:p>
    <w:p w14:paraId="0F36080C" w14:textId="3511F11F" w:rsidR="001E6784" w:rsidRPr="001F0CA5" w:rsidRDefault="001E6784" w:rsidP="00A56499">
      <w:pPr>
        <w:pStyle w:val="Heading2"/>
      </w:pPr>
      <w:r w:rsidRPr="001F0CA5">
        <w:t>Measures of quality and performance</w:t>
      </w:r>
    </w:p>
    <w:p w14:paraId="26DF73AD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Performance framework and measure of quality have been the focus of the first phase of reforms and will continue to evolve.</w:t>
      </w:r>
    </w:p>
    <w:p w14:paraId="656579FB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provider performance framework will:</w:t>
      </w:r>
    </w:p>
    <w:p w14:paraId="01056CA0" w14:textId="46A2FE37" w:rsidR="001E6784" w:rsidRPr="001F0CA5" w:rsidRDefault="001E6784" w:rsidP="00B67142">
      <w:pPr>
        <w:pStyle w:val="ListParagraph"/>
      </w:pPr>
      <w:r w:rsidRPr="001F0CA5">
        <w:t>be participant centred</w:t>
      </w:r>
    </w:p>
    <w:p w14:paraId="4824F2D1" w14:textId="75FF68FB" w:rsidR="001E6784" w:rsidRPr="001F0CA5" w:rsidRDefault="001E6784" w:rsidP="00B67142">
      <w:pPr>
        <w:pStyle w:val="ListParagraph"/>
      </w:pPr>
      <w:r w:rsidRPr="001F0CA5">
        <w:t>be inclusive and responsive</w:t>
      </w:r>
    </w:p>
    <w:p w14:paraId="4C841AB6" w14:textId="626B5FB1" w:rsidR="001E6784" w:rsidRPr="001F0CA5" w:rsidRDefault="001E6784" w:rsidP="00B67142">
      <w:pPr>
        <w:pStyle w:val="ListParagraph"/>
      </w:pPr>
      <w:r w:rsidRPr="001F0CA5">
        <w:t>be equitable and accessible</w:t>
      </w:r>
    </w:p>
    <w:p w14:paraId="030194CF" w14:textId="4C42E28A" w:rsidR="001E6784" w:rsidRPr="001F0CA5" w:rsidRDefault="001E6784" w:rsidP="00B67142">
      <w:pPr>
        <w:pStyle w:val="ListParagraph"/>
      </w:pPr>
      <w:r w:rsidRPr="001F0CA5">
        <w:t>be transparent</w:t>
      </w:r>
    </w:p>
    <w:p w14:paraId="6EB670C2" w14:textId="77777777" w:rsidR="001E6784" w:rsidRPr="001F0CA5" w:rsidRDefault="001E6784" w:rsidP="00B67142">
      <w:pPr>
        <w:pStyle w:val="ListParagraph"/>
      </w:pPr>
      <w:r w:rsidRPr="001F0CA5">
        <w:t>reduce regulatory burden, and</w:t>
      </w:r>
    </w:p>
    <w:p w14:paraId="6810BF15" w14:textId="77777777" w:rsidR="001E6784" w:rsidRPr="001F0CA5" w:rsidRDefault="001E6784" w:rsidP="00B67142">
      <w:pPr>
        <w:pStyle w:val="ListParagraph"/>
      </w:pPr>
      <w:r w:rsidRPr="001F0CA5">
        <w:t>enable continuous improvement.</w:t>
      </w:r>
    </w:p>
    <w:p w14:paraId="66C87B09" w14:textId="33F51BDE" w:rsidR="001E6784" w:rsidRPr="001F0CA5" w:rsidRDefault="0047405C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</w:t>
      </w:r>
      <w:r w:rsidR="001C7163" w:rsidRPr="001F0CA5">
        <w:rPr>
          <w:rFonts w:cstheme="minorHAnsi"/>
          <w:szCs w:val="22"/>
        </w:rPr>
        <w:t>he</w:t>
      </w:r>
      <w:r w:rsidRPr="001F0CA5">
        <w:rPr>
          <w:rFonts w:cstheme="minorHAnsi"/>
          <w:szCs w:val="22"/>
        </w:rPr>
        <w:t xml:space="preserve"> proposed</w:t>
      </w:r>
      <w:r w:rsidR="001C7163" w:rsidRPr="001F0CA5">
        <w:rPr>
          <w:rFonts w:cstheme="minorHAnsi"/>
          <w:szCs w:val="22"/>
        </w:rPr>
        <w:t xml:space="preserve"> Provider Scorecard focus</w:t>
      </w:r>
      <w:r w:rsidRPr="001F0CA5">
        <w:rPr>
          <w:rFonts w:cstheme="minorHAnsi"/>
          <w:szCs w:val="22"/>
        </w:rPr>
        <w:t>es on</w:t>
      </w:r>
      <w:r w:rsidR="0036490E" w:rsidRPr="001F0CA5">
        <w:rPr>
          <w:rFonts w:cstheme="minorHAnsi"/>
          <w:szCs w:val="22"/>
        </w:rPr>
        <w:t xml:space="preserve"> 3 measures</w:t>
      </w:r>
      <w:r w:rsidR="001E6784" w:rsidRPr="001F0CA5">
        <w:rPr>
          <w:rFonts w:cstheme="minorHAnsi"/>
          <w:szCs w:val="22"/>
        </w:rPr>
        <w:t>:</w:t>
      </w:r>
    </w:p>
    <w:p w14:paraId="3424EBB3" w14:textId="664C6E46" w:rsidR="001E6784" w:rsidRPr="001F0CA5" w:rsidRDefault="001E6784" w:rsidP="00B67142">
      <w:pPr>
        <w:pStyle w:val="ListParagraph"/>
      </w:pPr>
      <w:r w:rsidRPr="001F0CA5">
        <w:t>Effectiveness</w:t>
      </w:r>
    </w:p>
    <w:p w14:paraId="7EC7A019" w14:textId="510285C7" w:rsidR="001E6784" w:rsidRPr="001F0CA5" w:rsidRDefault="001E6784" w:rsidP="00B67142">
      <w:pPr>
        <w:pStyle w:val="ListParagraph"/>
      </w:pPr>
      <w:r w:rsidRPr="001F0CA5">
        <w:t>Efficiency</w:t>
      </w:r>
    </w:p>
    <w:p w14:paraId="021F1B98" w14:textId="0841546E" w:rsidR="00EB049C" w:rsidRPr="001F0CA5" w:rsidRDefault="001E6784" w:rsidP="00EB049C">
      <w:pPr>
        <w:pStyle w:val="ListParagraph"/>
      </w:pPr>
      <w:r w:rsidRPr="001F0CA5">
        <w:t>Quality</w:t>
      </w:r>
      <w:r w:rsidR="0036490E" w:rsidRPr="001F0CA5">
        <w:t>.</w:t>
      </w:r>
    </w:p>
    <w:p w14:paraId="69177701" w14:textId="77777777" w:rsidR="001E6784" w:rsidRPr="001F0CA5" w:rsidRDefault="001E6784" w:rsidP="00C503DD">
      <w:pPr>
        <w:pStyle w:val="Heading2"/>
      </w:pPr>
      <w:r w:rsidRPr="001F0CA5">
        <w:t>Market strategy</w:t>
      </w:r>
    </w:p>
    <w:p w14:paraId="443D5A7A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new program aims to strengthen the quality and diversity of providers.</w:t>
      </w:r>
    </w:p>
    <w:p w14:paraId="00C4C999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Specialist providers with deep expertise in a participant cohort will be prioritised during procurement.</w:t>
      </w:r>
    </w:p>
    <w:p w14:paraId="1876ACCE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Providers will demonstrate they have staff and leadership that reflects the communities they are working with.</w:t>
      </w:r>
    </w:p>
    <w:p w14:paraId="1BD0137C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market strategy will balance market controls that support the viability of smaller and more specialist providers to enter or re-enter the market while ensuring participant choice and control remains. </w:t>
      </w:r>
    </w:p>
    <w:p w14:paraId="18884751" w14:textId="77777777" w:rsidR="001E6784" w:rsidRPr="001F0CA5" w:rsidRDefault="001E6784" w:rsidP="00C503DD">
      <w:pPr>
        <w:pStyle w:val="Heading2"/>
      </w:pPr>
      <w:r w:rsidRPr="001F0CA5">
        <w:t>Market structure</w:t>
      </w:r>
    </w:p>
    <w:p w14:paraId="3F24A04A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number of Employment Service Areas (ESAs) will remain the same, however the number of providers in each ESAs will be limited.</w:t>
      </w:r>
    </w:p>
    <w:p w14:paraId="7B261F5E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Market share limits will be reintroduced, although a participant's choice will take precedence.</w:t>
      </w:r>
    </w:p>
    <w:p w14:paraId="008E51A3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Providers of specialist services to specific cohorts will be able to provide partial coverage of an ESA or coverage of multiple ESAs.</w:t>
      </w:r>
    </w:p>
    <w:p w14:paraId="6EDE90AF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Some providers may want to offer flexible outreach services to meet participant needs. </w:t>
      </w:r>
    </w:p>
    <w:p w14:paraId="6B618BCC" w14:textId="77777777" w:rsidR="001E6784" w:rsidRPr="001F0CA5" w:rsidRDefault="001E6784" w:rsidP="00C503DD">
      <w:pPr>
        <w:pStyle w:val="Heading2"/>
      </w:pPr>
      <w:r w:rsidRPr="001F0CA5">
        <w:t>Planned procurement</w:t>
      </w:r>
    </w:p>
    <w:p w14:paraId="183D1104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Providers for the new program will be selected through a competitive procurement process.</w:t>
      </w:r>
    </w:p>
    <w:p w14:paraId="79C27C53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Department intends to publicly release an Exposure Draft of the Request for Tender mid-2024, with the approach to market planned to commence in the last quarter of 2024.</w:t>
      </w:r>
    </w:p>
    <w:p w14:paraId="35286CFF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Department will release further information regarding the procurement process in the coming months.</w:t>
      </w:r>
    </w:p>
    <w:p w14:paraId="6AEA3B64" w14:textId="77777777" w:rsidR="00EE2CFE" w:rsidRPr="001F0CA5" w:rsidRDefault="00EE2CFE" w:rsidP="00C503DD">
      <w:pPr>
        <w:pStyle w:val="Heading2"/>
      </w:pPr>
      <w:r w:rsidRPr="001F0CA5">
        <w:t>Digital uplift and modernisation</w:t>
      </w:r>
    </w:p>
    <w:p w14:paraId="36F5537B" w14:textId="77777777" w:rsidR="00EE2CFE" w:rsidRPr="001F0CA5" w:rsidRDefault="00EE2CFE" w:rsidP="00EE2CFE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Digital uplift and modernisation of the ICT system will improve administrative processes and support a better user experience.</w:t>
      </w:r>
    </w:p>
    <w:p w14:paraId="066307C5" w14:textId="1D787D11" w:rsidR="00C503DD" w:rsidRPr="001F0CA5" w:rsidRDefault="00C503DD" w:rsidP="00EE2CFE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There is a phased approach:</w:t>
      </w:r>
    </w:p>
    <w:p w14:paraId="1A217AE6" w14:textId="77777777" w:rsidR="00781922" w:rsidRPr="001F0CA5" w:rsidRDefault="00EE2CFE" w:rsidP="00B9273C">
      <w:pPr>
        <w:pStyle w:val="ListParagraph"/>
        <w:rPr>
          <w:rFonts w:cstheme="minorHAnsi"/>
          <w:b/>
          <w:bCs/>
          <w:szCs w:val="22"/>
        </w:rPr>
      </w:pPr>
      <w:r w:rsidRPr="001F0CA5">
        <w:rPr>
          <w:b/>
          <w:bCs/>
        </w:rPr>
        <w:t>Phase 1 - Core elements for new program</w:t>
      </w:r>
      <w:r w:rsidR="00781922" w:rsidRPr="001F0CA5">
        <w:rPr>
          <w:b/>
          <w:bCs/>
        </w:rPr>
        <w:t>.</w:t>
      </w:r>
      <w:r w:rsidRPr="001F0CA5">
        <w:t xml:space="preserve"> </w:t>
      </w:r>
      <w:r w:rsidR="00781922" w:rsidRPr="001F0CA5">
        <w:t xml:space="preserve">From </w:t>
      </w:r>
      <w:r w:rsidRPr="001F0CA5">
        <w:t>July 2024 to July 2025</w:t>
      </w:r>
      <w:r w:rsidR="00C503DD" w:rsidRPr="001F0CA5">
        <w:t xml:space="preserve">: </w:t>
      </w:r>
      <w:r w:rsidRPr="001F0CA5">
        <w:rPr>
          <w:rFonts w:cstheme="minorHAnsi"/>
          <w:szCs w:val="22"/>
          <w:lang w:val="en-US"/>
        </w:rPr>
        <w:t>Uplift from existing legacy platform (ESSWeb1.0) onto the Workforce Australia Digital Platform (ESSWeb</w:t>
      </w:r>
      <w:r w:rsidR="00781922" w:rsidRPr="001F0CA5">
        <w:rPr>
          <w:rFonts w:cstheme="minorHAnsi"/>
          <w:szCs w:val="22"/>
          <w:lang w:val="en-US"/>
        </w:rPr>
        <w:t> </w:t>
      </w:r>
      <w:r w:rsidRPr="001F0CA5">
        <w:rPr>
          <w:rFonts w:cstheme="minorHAnsi"/>
          <w:szCs w:val="22"/>
          <w:lang w:val="en-US"/>
        </w:rPr>
        <w:t xml:space="preserve">2.0). </w:t>
      </w:r>
    </w:p>
    <w:p w14:paraId="4B114F9D" w14:textId="77777777" w:rsidR="00781922" w:rsidRPr="001F0CA5" w:rsidRDefault="00EE2CFE" w:rsidP="00EE2CFE">
      <w:pPr>
        <w:pStyle w:val="ListParagraph"/>
        <w:rPr>
          <w:rFonts w:cstheme="minorHAnsi"/>
          <w:szCs w:val="22"/>
        </w:rPr>
      </w:pPr>
      <w:r w:rsidRPr="001F0CA5">
        <w:rPr>
          <w:rFonts w:cstheme="minorHAnsi"/>
          <w:b/>
          <w:bCs/>
          <w:szCs w:val="22"/>
        </w:rPr>
        <w:t>Phase 2 - Release of technical improvements</w:t>
      </w:r>
      <w:r w:rsidR="00781922" w:rsidRPr="001F0CA5">
        <w:rPr>
          <w:rFonts w:cstheme="minorHAnsi"/>
          <w:b/>
          <w:bCs/>
          <w:szCs w:val="22"/>
        </w:rPr>
        <w:t xml:space="preserve">. </w:t>
      </w:r>
      <w:r w:rsidR="00781922" w:rsidRPr="001F0CA5">
        <w:rPr>
          <w:rFonts w:cstheme="minorHAnsi"/>
          <w:szCs w:val="22"/>
        </w:rPr>
        <w:t>From</w:t>
      </w:r>
      <w:r w:rsidRPr="001F0CA5">
        <w:rPr>
          <w:rFonts w:cstheme="minorHAnsi"/>
          <w:szCs w:val="22"/>
        </w:rPr>
        <w:t xml:space="preserve"> November 2025 to July 2026</w:t>
      </w:r>
      <w:r w:rsidR="00781922" w:rsidRPr="001F0CA5">
        <w:rPr>
          <w:rFonts w:cstheme="minorHAnsi"/>
          <w:szCs w:val="22"/>
        </w:rPr>
        <w:t xml:space="preserve">: </w:t>
      </w:r>
      <w:r w:rsidRPr="001F0CA5">
        <w:rPr>
          <w:rFonts w:cstheme="minorHAnsi"/>
          <w:szCs w:val="22"/>
        </w:rPr>
        <w:t>Additional ICT changes to further modernise the system.</w:t>
      </w:r>
    </w:p>
    <w:p w14:paraId="71313D29" w14:textId="75B95C92" w:rsidR="00EE2CFE" w:rsidRPr="001F0CA5" w:rsidRDefault="00EE2CFE" w:rsidP="00796E24">
      <w:pPr>
        <w:pStyle w:val="ListParagraph"/>
        <w:rPr>
          <w:rFonts w:cstheme="minorHAnsi"/>
          <w:szCs w:val="22"/>
        </w:rPr>
      </w:pPr>
      <w:r w:rsidRPr="001F0CA5">
        <w:rPr>
          <w:rFonts w:cstheme="minorHAnsi"/>
          <w:b/>
          <w:bCs/>
          <w:szCs w:val="22"/>
        </w:rPr>
        <w:t>Phase 3 – User led enhancements</w:t>
      </w:r>
      <w:r w:rsidR="00781922" w:rsidRPr="001F0CA5">
        <w:rPr>
          <w:rFonts w:cstheme="minorHAnsi"/>
          <w:b/>
          <w:bCs/>
          <w:szCs w:val="22"/>
        </w:rPr>
        <w:t xml:space="preserve">. </w:t>
      </w:r>
      <w:r w:rsidR="00781922" w:rsidRPr="001F0CA5">
        <w:rPr>
          <w:rFonts w:cstheme="minorHAnsi"/>
          <w:szCs w:val="22"/>
        </w:rPr>
        <w:t>F</w:t>
      </w:r>
      <w:r w:rsidRPr="001F0CA5">
        <w:rPr>
          <w:rFonts w:cstheme="minorHAnsi"/>
          <w:szCs w:val="22"/>
        </w:rPr>
        <w:t>rom July 2026</w:t>
      </w:r>
      <w:r w:rsidR="00781922" w:rsidRPr="001F0CA5">
        <w:rPr>
          <w:rFonts w:cstheme="minorHAnsi"/>
          <w:szCs w:val="22"/>
        </w:rPr>
        <w:t xml:space="preserve">: </w:t>
      </w:r>
      <w:r w:rsidRPr="001F0CA5">
        <w:rPr>
          <w:rFonts w:cstheme="minorHAnsi"/>
          <w:szCs w:val="22"/>
        </w:rPr>
        <w:t>Implementation of user led enhancements and further improvements.</w:t>
      </w:r>
    </w:p>
    <w:p w14:paraId="0904524C" w14:textId="77777777" w:rsidR="00EE2CFE" w:rsidRPr="001F0CA5" w:rsidRDefault="00EE2CFE" w:rsidP="0077045B">
      <w:pPr>
        <w:pStyle w:val="Heading2"/>
      </w:pPr>
      <w:r w:rsidRPr="001F0CA5">
        <w:t>Implementation and continuous improvement</w:t>
      </w:r>
    </w:p>
    <w:p w14:paraId="05D5DF97" w14:textId="77777777" w:rsidR="00EE2CFE" w:rsidRPr="001F0CA5" w:rsidRDefault="00EE2CFE" w:rsidP="00EE2CFE">
      <w:pPr>
        <w:ind w:left="360" w:hanging="360"/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There are a range of measures that will support continuous improvement, including:</w:t>
      </w:r>
    </w:p>
    <w:p w14:paraId="78EF5D3F" w14:textId="3FD43448" w:rsidR="00EE2CFE" w:rsidRPr="001F0CA5" w:rsidRDefault="00EE2CFE" w:rsidP="00B67142">
      <w:pPr>
        <w:pStyle w:val="ListParagraph"/>
      </w:pPr>
      <w:r w:rsidRPr="001F0CA5">
        <w:t>Formal evaluation of the new program</w:t>
      </w:r>
      <w:r w:rsidR="0077045B" w:rsidRPr="001F0CA5">
        <w:t>.</w:t>
      </w:r>
    </w:p>
    <w:p w14:paraId="11D93F56" w14:textId="4AE68ED0" w:rsidR="00EE2CFE" w:rsidRPr="001F0CA5" w:rsidRDefault="00EE2CFE" w:rsidP="00B67142">
      <w:pPr>
        <w:pStyle w:val="ListParagraph"/>
      </w:pPr>
      <w:r w:rsidRPr="001F0CA5">
        <w:t>Improved data linkages</w:t>
      </w:r>
      <w:r w:rsidR="0077045B" w:rsidRPr="001F0CA5">
        <w:t>.</w:t>
      </w:r>
    </w:p>
    <w:p w14:paraId="565F8D0C" w14:textId="6415DAA3" w:rsidR="00EE2CFE" w:rsidRPr="001F0CA5" w:rsidRDefault="00EE2CFE" w:rsidP="00B67142">
      <w:pPr>
        <w:pStyle w:val="ListParagraph"/>
      </w:pPr>
      <w:r w:rsidRPr="001F0CA5">
        <w:t>Training for provider staff to understand the policy settings and associated administration</w:t>
      </w:r>
      <w:r w:rsidR="0077045B" w:rsidRPr="001F0CA5">
        <w:t>.</w:t>
      </w:r>
    </w:p>
    <w:p w14:paraId="2AB2F827" w14:textId="77777777" w:rsidR="00EE2CFE" w:rsidRPr="001F0CA5" w:rsidRDefault="00EE2CFE" w:rsidP="00B67142">
      <w:pPr>
        <w:pStyle w:val="ListParagraph"/>
      </w:pPr>
      <w:r w:rsidRPr="001F0CA5">
        <w:t xml:space="preserve">Robust ongoing monitoring. </w:t>
      </w:r>
    </w:p>
    <w:p w14:paraId="2EE6AE23" w14:textId="77777777" w:rsidR="00EE2CFE" w:rsidRPr="001F0CA5" w:rsidRDefault="00EE2CFE" w:rsidP="00E84803">
      <w:pPr>
        <w:pStyle w:val="Heading2"/>
      </w:pPr>
      <w:r w:rsidRPr="001F0CA5">
        <w:t>Pilot learnings</w:t>
      </w:r>
    </w:p>
    <w:p w14:paraId="62B33081" w14:textId="77777777" w:rsidR="00EE2CFE" w:rsidRPr="001F0CA5" w:rsidRDefault="00EE2CFE" w:rsidP="00EE2CFE">
      <w:pPr>
        <w:rPr>
          <w:rFonts w:cstheme="minorHAnsi"/>
          <w:b/>
          <w:bCs/>
          <w:szCs w:val="22"/>
        </w:rPr>
      </w:pPr>
      <w:r w:rsidRPr="001F0CA5">
        <w:rPr>
          <w:rFonts w:cstheme="minorHAnsi"/>
          <w:szCs w:val="22"/>
        </w:rPr>
        <w:t>The Department of Social Services also has several pilots underway giving insights for the new program.</w:t>
      </w:r>
    </w:p>
    <w:p w14:paraId="0F58C31F" w14:textId="77777777" w:rsidR="00EE2CFE" w:rsidRPr="001F0CA5" w:rsidRDefault="00EE2CFE" w:rsidP="00B67142">
      <w:pPr>
        <w:pStyle w:val="ListParagraph"/>
      </w:pPr>
      <w:r w:rsidRPr="001F0CA5">
        <w:rPr>
          <w:b/>
          <w:bCs/>
        </w:rPr>
        <w:t xml:space="preserve">NDIS / DES Pathway Pilot </w:t>
      </w:r>
      <w:r w:rsidRPr="001F0CA5">
        <w:t>aims to improve pathways into DES for NDIS participants without mutual obligations.</w:t>
      </w:r>
    </w:p>
    <w:p w14:paraId="5B423235" w14:textId="77777777" w:rsidR="00EE2CFE" w:rsidRPr="001F0CA5" w:rsidRDefault="00EE2CFE" w:rsidP="00B67142">
      <w:pPr>
        <w:pStyle w:val="ListParagraph"/>
      </w:pPr>
      <w:r w:rsidRPr="001F0CA5">
        <w:rPr>
          <w:b/>
          <w:bCs/>
        </w:rPr>
        <w:t xml:space="preserve">Tourism Local Navigators Pilot </w:t>
      </w:r>
      <w:r w:rsidRPr="001F0CA5">
        <w:t>aims to test new approaches to supporting small and medium sized tourism businesses to connect with employment service providers and/or jobseekers with disability through place-based local Navigators.</w:t>
      </w:r>
    </w:p>
    <w:p w14:paraId="158D1311" w14:textId="77777777" w:rsidR="00EE2CFE" w:rsidRPr="001F0CA5" w:rsidRDefault="00EE2CFE" w:rsidP="00B67142">
      <w:pPr>
        <w:pStyle w:val="ListParagraph"/>
      </w:pPr>
      <w:r w:rsidRPr="001F0CA5">
        <w:rPr>
          <w:b/>
          <w:bCs/>
        </w:rPr>
        <w:t xml:space="preserve">Career Pathways Pilot </w:t>
      </w:r>
      <w:r w:rsidRPr="001F0CA5">
        <w:t>was developed to promote the career pathway and leadership potential of employees with disability by providing opportunities for advancement and fostering a disability-inclusive workplace culture.</w:t>
      </w:r>
    </w:p>
    <w:p w14:paraId="2B6E162D" w14:textId="77777777" w:rsidR="00EE2CFE" w:rsidRPr="001F0CA5" w:rsidRDefault="00EE2CFE" w:rsidP="00E84803">
      <w:pPr>
        <w:pStyle w:val="Heading2"/>
      </w:pPr>
      <w:r w:rsidRPr="001F0CA5">
        <w:t>Disability Employment Centre of Excellence</w:t>
      </w:r>
    </w:p>
    <w:p w14:paraId="395592E4" w14:textId="77777777" w:rsidR="00EE2CFE" w:rsidRPr="001F0CA5" w:rsidRDefault="00EE2CFE" w:rsidP="00E84803">
      <w:pPr>
        <w:keepNext/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We need the Centre to:</w:t>
      </w:r>
    </w:p>
    <w:p w14:paraId="22F106CD" w14:textId="77777777" w:rsidR="00EE2CFE" w:rsidRPr="001F0CA5" w:rsidRDefault="00EE2CFE" w:rsidP="00E84803">
      <w:pPr>
        <w:pStyle w:val="ListParagraph"/>
        <w:keepNext/>
      </w:pPr>
      <w:r w:rsidRPr="001F0CA5">
        <w:t xml:space="preserve">Increase employment outcomes for people with disability.  </w:t>
      </w:r>
    </w:p>
    <w:p w14:paraId="139EB560" w14:textId="77777777" w:rsidR="00EE2CFE" w:rsidRPr="001F0CA5" w:rsidRDefault="00EE2CFE" w:rsidP="00B67142">
      <w:pPr>
        <w:pStyle w:val="ListParagraph"/>
      </w:pPr>
      <w:r w:rsidRPr="001F0CA5">
        <w:t xml:space="preserve">Provide training and resources to employment service providers and employers to increase their overall capability.   </w:t>
      </w:r>
    </w:p>
    <w:p w14:paraId="4AA0E19E" w14:textId="77777777" w:rsidR="00EE2CFE" w:rsidRPr="001F0CA5" w:rsidRDefault="00EE2CFE" w:rsidP="00B67142">
      <w:pPr>
        <w:pStyle w:val="ListParagraph"/>
      </w:pPr>
      <w:r w:rsidRPr="001F0CA5">
        <w:t xml:space="preserve">Include disability expertise and lived experience.   </w:t>
      </w:r>
    </w:p>
    <w:p w14:paraId="18FC37A7" w14:textId="77777777" w:rsidR="00EE2CFE" w:rsidRPr="001F0CA5" w:rsidRDefault="00EE2CFE" w:rsidP="00B67142">
      <w:pPr>
        <w:pStyle w:val="ListParagraph"/>
      </w:pPr>
      <w:r w:rsidRPr="001F0CA5">
        <w:t xml:space="preserve">Foster collaboration across relevant sectors. </w:t>
      </w:r>
    </w:p>
    <w:p w14:paraId="1EEFBF90" w14:textId="7C0DA303" w:rsidR="00EE2CFE" w:rsidRPr="001F0CA5" w:rsidRDefault="00EE2CFE" w:rsidP="00EE2CFE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Centre will:</w:t>
      </w:r>
    </w:p>
    <w:p w14:paraId="6E94AC22" w14:textId="77777777" w:rsidR="00EE2CFE" w:rsidRPr="001F0CA5" w:rsidRDefault="00EE2CFE" w:rsidP="00B67142">
      <w:pPr>
        <w:pStyle w:val="ListParagraph"/>
      </w:pPr>
      <w:r w:rsidRPr="001F0CA5">
        <w:t>Build provider’s disability awareness to better support participants.</w:t>
      </w:r>
    </w:p>
    <w:p w14:paraId="589C96BA" w14:textId="4F940479" w:rsidR="00EE2CFE" w:rsidRPr="001F0CA5" w:rsidRDefault="00EE2CFE" w:rsidP="00B67142">
      <w:pPr>
        <w:pStyle w:val="ListParagraph"/>
      </w:pPr>
      <w:r w:rsidRPr="001F0CA5">
        <w:t xml:space="preserve">Increase awareness and share best practice examples that work, including: customised employment, job coaching and career planning. </w:t>
      </w:r>
    </w:p>
    <w:p w14:paraId="0A4F3983" w14:textId="77777777" w:rsidR="00EE2CFE" w:rsidRPr="001F0CA5" w:rsidRDefault="00EE2CFE" w:rsidP="00B67142">
      <w:pPr>
        <w:pStyle w:val="ListParagraph"/>
      </w:pPr>
      <w:r w:rsidRPr="001F0CA5">
        <w:t>Build provider skills and knowledge to understand employer needs and to help employers hire and support employees with disability.</w:t>
      </w:r>
    </w:p>
    <w:p w14:paraId="1C5E0533" w14:textId="77777777" w:rsidR="00EE2CFE" w:rsidRPr="001F0CA5" w:rsidRDefault="00EE2CFE" w:rsidP="00EE2CFE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Centre will be established by:</w:t>
      </w:r>
    </w:p>
    <w:p w14:paraId="5DFA2841" w14:textId="716114F8" w:rsidR="00EE2CFE" w:rsidRPr="001F0CA5" w:rsidRDefault="00EE2CFE" w:rsidP="00B67142">
      <w:pPr>
        <w:pStyle w:val="ListParagraph"/>
      </w:pPr>
      <w:r w:rsidRPr="001F0CA5">
        <w:t>Committing $23.3 million over four years from 2024-25.</w:t>
      </w:r>
    </w:p>
    <w:p w14:paraId="60E71E54" w14:textId="77777777" w:rsidR="00EE2CFE" w:rsidRPr="001F0CA5" w:rsidRDefault="00EE2CFE" w:rsidP="00B67142">
      <w:pPr>
        <w:pStyle w:val="ListParagraph"/>
      </w:pPr>
      <w:r w:rsidRPr="001F0CA5">
        <w:t xml:space="preserve">Conducting an open grant round to find a suitable provider or consortium of providers with strong credentials. </w:t>
      </w:r>
    </w:p>
    <w:p w14:paraId="1D8358C1" w14:textId="4FED5358" w:rsidR="00EE2CFE" w:rsidRPr="001F0CA5" w:rsidRDefault="00EE2CFE" w:rsidP="00B67142">
      <w:pPr>
        <w:pStyle w:val="ListParagraph"/>
      </w:pPr>
      <w:r w:rsidRPr="001F0CA5">
        <w:t>Commencing activities from March 2025.</w:t>
      </w:r>
    </w:p>
    <w:p w14:paraId="52F0AE97" w14:textId="7CC0DC6E" w:rsidR="00EE2CFE" w:rsidRPr="001F0CA5" w:rsidRDefault="00EE2CFE" w:rsidP="00E84803">
      <w:pPr>
        <w:pStyle w:val="Heading2"/>
      </w:pPr>
      <w:r w:rsidRPr="001F0CA5">
        <w:t xml:space="preserve">Complaints </w:t>
      </w:r>
      <w:r w:rsidR="00857FB2" w:rsidRPr="001F0CA5">
        <w:t>R</w:t>
      </w:r>
      <w:r w:rsidRPr="001F0CA5">
        <w:t xml:space="preserve">esolution and </w:t>
      </w:r>
      <w:r w:rsidR="00857FB2" w:rsidRPr="001F0CA5">
        <w:t>R</w:t>
      </w:r>
      <w:r w:rsidRPr="001F0CA5">
        <w:t xml:space="preserve">eferral </w:t>
      </w:r>
      <w:r w:rsidR="00857FB2" w:rsidRPr="001F0CA5">
        <w:t>S</w:t>
      </w:r>
      <w:r w:rsidRPr="001F0CA5">
        <w:t xml:space="preserve">ervice and </w:t>
      </w:r>
      <w:r w:rsidR="00E84803" w:rsidRPr="001F0CA5">
        <w:t>H</w:t>
      </w:r>
      <w:r w:rsidRPr="001F0CA5">
        <w:t>otline</w:t>
      </w:r>
    </w:p>
    <w:p w14:paraId="7666C5D2" w14:textId="77777777" w:rsidR="00EE2CFE" w:rsidRPr="001F0CA5" w:rsidRDefault="00EE2CFE" w:rsidP="00EE2CFE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National Disability Abuse and Neglect Hotline (Hotline) and the Complaints Resolution and Referral Service (CRRS) will continue to be made available through JobAccess.</w:t>
      </w:r>
    </w:p>
    <w:p w14:paraId="5FC009DD" w14:textId="77777777" w:rsidR="00EE2CFE" w:rsidRPr="001F0CA5" w:rsidRDefault="00EE2CFE" w:rsidP="00EE2CFE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Funding was extended to the Hotline and CRRS, allowing people with disability to access fair, impartial and independent advice and to voice their concerns regarding the delivery of supports.</w:t>
      </w:r>
    </w:p>
    <w:p w14:paraId="654757CC" w14:textId="77777777" w:rsidR="00EE2CFE" w:rsidRPr="001F0CA5" w:rsidRDefault="00EE2CFE" w:rsidP="00857FB2">
      <w:pPr>
        <w:pStyle w:val="Heading2"/>
      </w:pPr>
      <w:r w:rsidRPr="001F0CA5">
        <w:t>Broader reform processes</w:t>
      </w:r>
    </w:p>
    <w:p w14:paraId="7D001841" w14:textId="77777777" w:rsidR="00EE2CFE" w:rsidRPr="001F0CA5" w:rsidRDefault="00EE2CFE" w:rsidP="00EE2CFE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disability employment reforms are a phased approach.</w:t>
      </w:r>
    </w:p>
    <w:p w14:paraId="07AF6C14" w14:textId="77777777" w:rsidR="00EE2CFE" w:rsidRPr="001F0CA5" w:rsidRDefault="00EE2CFE" w:rsidP="00EE2CFE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reforms will also have close alignment with other reforms occurring across employment services, including in response to the House of Representatives Select Committee on Workforce Australia Employment Services.</w:t>
      </w:r>
    </w:p>
    <w:p w14:paraId="6FD1F57B" w14:textId="346E5186" w:rsidR="00EE2CFE" w:rsidRPr="001F0CA5" w:rsidRDefault="00EE2CFE" w:rsidP="00EE2CFE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Government will respond to the Disability Royal Commission in mid-2024.</w:t>
      </w:r>
    </w:p>
    <w:p w14:paraId="1F9B0A44" w14:textId="1B065020" w:rsidR="00FD5C90" w:rsidRPr="001F0CA5" w:rsidRDefault="00FD5C90" w:rsidP="00FD5C90">
      <w:pPr>
        <w:pStyle w:val="Heading2"/>
      </w:pPr>
      <w:r w:rsidRPr="001F0CA5">
        <w:t>Next steps</w:t>
      </w:r>
    </w:p>
    <w:p w14:paraId="396E8037" w14:textId="0B8C4761" w:rsidR="00EE2CFE" w:rsidRPr="001F0CA5" w:rsidRDefault="00EE2CFE" w:rsidP="00FD5C90">
      <w:pPr>
        <w:pStyle w:val="Heading3"/>
      </w:pPr>
      <w:r w:rsidRPr="001F0CA5">
        <w:t>Future consultations</w:t>
      </w:r>
    </w:p>
    <w:p w14:paraId="5F39878F" w14:textId="77777777" w:rsidR="00EE2CFE" w:rsidRPr="001F0CA5" w:rsidRDefault="00EE2CFE" w:rsidP="00EE2CFE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Government is committed to ongoing consultation during the implementation and transition to the new program.</w:t>
      </w:r>
    </w:p>
    <w:p w14:paraId="3D126106" w14:textId="77777777" w:rsidR="00EE2CFE" w:rsidRPr="001F0CA5" w:rsidRDefault="00EE2CFE" w:rsidP="00EE2CFE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Information on public consultation will be made available on DSS Engage.</w:t>
      </w:r>
    </w:p>
    <w:p w14:paraId="0521087D" w14:textId="77777777" w:rsidR="00FD1497" w:rsidRPr="001F0CA5" w:rsidRDefault="00FD1497" w:rsidP="00FD1497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Subsequent phases of the reforms will also allow for further consultation and engagement with stakeholders.</w:t>
      </w:r>
    </w:p>
    <w:p w14:paraId="5F4F46B3" w14:textId="073A5D05" w:rsidR="00FD1497" w:rsidRPr="001F0CA5" w:rsidRDefault="00FD1497" w:rsidP="00E67891">
      <w:pPr>
        <w:pStyle w:val="Heading2"/>
      </w:pPr>
      <w:r w:rsidRPr="001F0CA5">
        <w:t>Feedback and more information</w:t>
      </w:r>
    </w:p>
    <w:p w14:paraId="753903B8" w14:textId="5BEDF0B5" w:rsidR="00FD1497" w:rsidRPr="001F0CA5" w:rsidRDefault="00FD1497" w:rsidP="00FD1497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New information will be made available through</w:t>
      </w:r>
      <w:r w:rsidR="00C000C0" w:rsidRPr="001F0CA5">
        <w:rPr>
          <w:rFonts w:cstheme="minorHAnsi"/>
          <w:szCs w:val="22"/>
        </w:rPr>
        <w:t xml:space="preserve"> </w:t>
      </w:r>
      <w:r w:rsidR="001A3477" w:rsidRPr="001F0CA5">
        <w:rPr>
          <w:rFonts w:cstheme="minorHAnsi"/>
          <w:szCs w:val="22"/>
        </w:rPr>
        <w:t>the Department of Social Services (</w:t>
      </w:r>
      <w:hyperlink r:id="rId11" w:history="1">
        <w:r w:rsidRPr="001F0CA5">
          <w:rPr>
            <w:rStyle w:val="Hyperlink"/>
            <w:rFonts w:cstheme="minorHAnsi"/>
            <w:szCs w:val="22"/>
          </w:rPr>
          <w:t>www.dss.gov.au/new-specialist-disability-employment-program</w:t>
        </w:r>
      </w:hyperlink>
      <w:r w:rsidR="001A3477" w:rsidRPr="001F0CA5">
        <w:rPr>
          <w:rStyle w:val="Hyperlink"/>
          <w:rFonts w:cstheme="minorHAnsi"/>
          <w:szCs w:val="22"/>
        </w:rPr>
        <w:t>)</w:t>
      </w:r>
      <w:r w:rsidR="00C000C0" w:rsidRPr="001F0CA5">
        <w:rPr>
          <w:rFonts w:cstheme="minorHAnsi"/>
          <w:szCs w:val="22"/>
        </w:rPr>
        <w:t xml:space="preserve"> and </w:t>
      </w:r>
      <w:r w:rsidRPr="001F0CA5">
        <w:rPr>
          <w:rFonts w:cstheme="minorHAnsi"/>
          <w:szCs w:val="22"/>
        </w:rPr>
        <w:t xml:space="preserve">DSS Engage: </w:t>
      </w:r>
      <w:r w:rsidR="001A3477" w:rsidRPr="001F0CA5">
        <w:rPr>
          <w:rFonts w:cstheme="minorHAnsi"/>
          <w:szCs w:val="22"/>
        </w:rPr>
        <w:t>(</w:t>
      </w:r>
      <w:hyperlink r:id="rId12" w:history="1">
        <w:r w:rsidR="001A3477" w:rsidRPr="001F0CA5">
          <w:rPr>
            <w:rStyle w:val="Hyperlink"/>
            <w:rFonts w:cstheme="minorHAnsi"/>
            <w:szCs w:val="22"/>
          </w:rPr>
          <w:t>www.engage.dss.gov.au</w:t>
        </w:r>
      </w:hyperlink>
      <w:r w:rsidR="001A3477" w:rsidRPr="001F0CA5">
        <w:rPr>
          <w:rStyle w:val="Hyperlink"/>
          <w:rFonts w:cstheme="minorHAnsi"/>
          <w:szCs w:val="22"/>
        </w:rPr>
        <w:t>).</w:t>
      </w:r>
    </w:p>
    <w:p w14:paraId="27509A50" w14:textId="76CF8AB5" w:rsidR="00FD1497" w:rsidRPr="001F0CA5" w:rsidRDefault="001A3477" w:rsidP="00FD1497">
      <w:pPr>
        <w:rPr>
          <w:rStyle w:val="Hyperlink"/>
          <w:rFonts w:cstheme="minorHAnsi"/>
          <w:szCs w:val="22"/>
        </w:rPr>
      </w:pPr>
      <w:r w:rsidRPr="001F0CA5">
        <w:rPr>
          <w:rFonts w:cstheme="minorHAnsi"/>
          <w:szCs w:val="22"/>
        </w:rPr>
        <w:t>If you have any ideas or concerns, you can e</w:t>
      </w:r>
      <w:r w:rsidR="00FD1497" w:rsidRPr="001F0CA5">
        <w:rPr>
          <w:rFonts w:cstheme="minorHAnsi"/>
          <w:szCs w:val="22"/>
        </w:rPr>
        <w:t xml:space="preserve">mail: </w:t>
      </w:r>
      <w:hyperlink r:id="rId13" w:history="1">
        <w:r w:rsidR="00FD1497" w:rsidRPr="001F0CA5">
          <w:rPr>
            <w:rStyle w:val="Hyperlink"/>
            <w:rFonts w:cstheme="minorHAnsi"/>
            <w:szCs w:val="22"/>
          </w:rPr>
          <w:t>DESConsultations@dss.gov.au</w:t>
        </w:r>
      </w:hyperlink>
    </w:p>
    <w:p w14:paraId="5795A225" w14:textId="2484D6A6" w:rsidR="00D337A2" w:rsidRPr="001F0CA5" w:rsidRDefault="00D337A2" w:rsidP="00D337A2">
      <w:pPr>
        <w:pStyle w:val="Heading2"/>
      </w:pPr>
      <w:r w:rsidRPr="001F0CA5">
        <w:t>Questions?</w:t>
      </w:r>
    </w:p>
    <w:p w14:paraId="74D8ECB8" w14:textId="3235C7CB" w:rsidR="00D337A2" w:rsidRPr="001F0CA5" w:rsidRDefault="000B3C76" w:rsidP="000B3C76">
      <w:pPr>
        <w:pStyle w:val="Introduction"/>
      </w:pPr>
      <w:r w:rsidRPr="001F0CA5">
        <w:t>At the conclusion of the update by Robyn Shannon, Deputy Secretary — Disability and Carers and Kellie Spence, Group Manager — Disability Employment Services, questions provided by the Slido tool were answered.</w:t>
      </w:r>
    </w:p>
    <w:p w14:paraId="46518614" w14:textId="1AB0E17A" w:rsidR="00D337A2" w:rsidRDefault="00E55B52" w:rsidP="00D337A2">
      <w:pPr>
        <w:pStyle w:val="Heading2"/>
      </w:pPr>
      <w:r w:rsidRPr="001F0CA5">
        <w:t xml:space="preserve">Closing slide - </w:t>
      </w:r>
      <w:r w:rsidR="00D337A2" w:rsidRPr="001F0CA5">
        <w:t>Thank you!</w:t>
      </w:r>
    </w:p>
    <w:sectPr w:rsidR="00D337A2" w:rsidSect="005C1DC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5" w:right="851" w:bottom="1134" w:left="85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6009" w14:textId="77777777" w:rsidR="00032BAC" w:rsidRDefault="00032BAC" w:rsidP="008F3023">
      <w:pPr>
        <w:spacing w:after="0" w:line="240" w:lineRule="auto"/>
      </w:pPr>
      <w:r>
        <w:separator/>
      </w:r>
    </w:p>
  </w:endnote>
  <w:endnote w:type="continuationSeparator" w:id="0">
    <w:p w14:paraId="4964FE63" w14:textId="77777777" w:rsidR="00032BAC" w:rsidRDefault="00032BAC" w:rsidP="008F3023">
      <w:pPr>
        <w:spacing w:after="0" w:line="240" w:lineRule="auto"/>
      </w:pPr>
      <w:r>
        <w:continuationSeparator/>
      </w:r>
    </w:p>
  </w:endnote>
  <w:endnote w:type="continuationNotice" w:id="1">
    <w:p w14:paraId="44391829" w14:textId="77777777" w:rsidR="00032BAC" w:rsidRDefault="00032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C241" w14:textId="77777777" w:rsidR="000A0C68" w:rsidRDefault="000A0C68">
    <w:pPr>
      <w:pStyle w:val="Footer"/>
      <w:jc w:val="center"/>
      <w:rPr>
        <w:caps/>
        <w:noProof/>
        <w:color w:val="005A70" w:themeColor="accent1"/>
      </w:rPr>
    </w:pPr>
    <w:r>
      <w:rPr>
        <w:caps/>
        <w:color w:val="005A70" w:themeColor="accent1"/>
      </w:rPr>
      <w:fldChar w:fldCharType="begin"/>
    </w:r>
    <w:r>
      <w:rPr>
        <w:caps/>
        <w:color w:val="005A70" w:themeColor="accent1"/>
      </w:rPr>
      <w:instrText xml:space="preserve"> PAGE   \* MERGEFORMAT </w:instrText>
    </w:r>
    <w:r>
      <w:rPr>
        <w:caps/>
        <w:color w:val="005A70" w:themeColor="accent1"/>
      </w:rPr>
      <w:fldChar w:fldCharType="separate"/>
    </w:r>
    <w:r>
      <w:rPr>
        <w:caps/>
        <w:noProof/>
        <w:color w:val="005A70" w:themeColor="accent1"/>
      </w:rPr>
      <w:t>2</w:t>
    </w:r>
    <w:r>
      <w:rPr>
        <w:caps/>
        <w:noProof/>
        <w:color w:val="005A70" w:themeColor="accent1"/>
      </w:rPr>
      <w:fldChar w:fldCharType="end"/>
    </w:r>
  </w:p>
  <w:p w14:paraId="11134F16" w14:textId="77777777" w:rsidR="000A0C68" w:rsidRDefault="000A0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EA59" w14:textId="77777777" w:rsidR="008009CA" w:rsidRDefault="008009CA" w:rsidP="00D86E50">
    <w:pPr>
      <w:tabs>
        <w:tab w:val="left" w:pos="3040"/>
      </w:tabs>
      <w:jc w:val="cen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1" locked="0" layoutInCell="1" allowOverlap="1" wp14:anchorId="449CEFBF" wp14:editId="53A64A20">
          <wp:simplePos x="0" y="0"/>
          <wp:positionH relativeFrom="page">
            <wp:posOffset>34945</wp:posOffset>
          </wp:positionH>
          <wp:positionV relativeFrom="page">
            <wp:align>bottom</wp:align>
          </wp:positionV>
          <wp:extent cx="7574400" cy="1184400"/>
          <wp:effectExtent l="0" t="0" r="7620" b="0"/>
          <wp:wrapNone/>
          <wp:docPr id="88303728" name="Picture 88303728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2B579A"/>
          <w:shd w:val="clear" w:color="auto" w:fill="E6E6E6"/>
        </w:rPr>
        <w:id w:val="95303039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/>
    </w:sdt>
  </w:p>
  <w:p w14:paraId="7E0A28E0" w14:textId="77777777" w:rsidR="008009CA" w:rsidRDefault="008009CA" w:rsidP="00B10EB1">
    <w:pPr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1BF2" w14:textId="77777777" w:rsidR="00032BAC" w:rsidRDefault="00032BAC" w:rsidP="008F3023">
      <w:pPr>
        <w:spacing w:after="0" w:line="240" w:lineRule="auto"/>
      </w:pPr>
      <w:r>
        <w:separator/>
      </w:r>
    </w:p>
  </w:footnote>
  <w:footnote w:type="continuationSeparator" w:id="0">
    <w:p w14:paraId="460B0ADB" w14:textId="77777777" w:rsidR="00032BAC" w:rsidRDefault="00032BAC" w:rsidP="008F3023">
      <w:pPr>
        <w:spacing w:after="0" w:line="240" w:lineRule="auto"/>
      </w:pPr>
      <w:r>
        <w:continuationSeparator/>
      </w:r>
    </w:p>
  </w:footnote>
  <w:footnote w:type="continuationNotice" w:id="1">
    <w:p w14:paraId="5E19489A" w14:textId="77777777" w:rsidR="00032BAC" w:rsidRDefault="00032B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4F0C" w14:textId="77777777" w:rsidR="008009CA" w:rsidRDefault="008009CA" w:rsidP="004B653B"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1" behindDoc="1" locked="0" layoutInCell="1" allowOverlap="1" wp14:anchorId="14E57D10" wp14:editId="42FB7AA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84400"/>
          <wp:effectExtent l="0" t="0" r="0" b="0"/>
          <wp:wrapNone/>
          <wp:docPr id="1223053639" name="Picture 122305363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C9F3" w14:textId="77777777" w:rsidR="00F514FC" w:rsidRPr="00F514FC" w:rsidRDefault="00F514FC" w:rsidP="00F514FC">
    <w:pPr>
      <w:tabs>
        <w:tab w:val="center" w:pos="4513"/>
        <w:tab w:val="right" w:pos="9026"/>
      </w:tabs>
      <w:spacing w:before="1560" w:after="60" w:line="240" w:lineRule="auto"/>
      <w:ind w:left="-283"/>
      <w:rPr>
        <w:rFonts w:ascii="Calibri" w:eastAsia="Calibri" w:hAnsi="Calibri" w:cs="Calibri"/>
        <w:noProof/>
        <w:color w:val="FFFFFF"/>
        <w:spacing w:val="0"/>
        <w:sz w:val="52"/>
        <w:szCs w:val="52"/>
        <w:lang w:val="en-US"/>
        <w14:textOutline w14:w="0" w14:cap="flat" w14:cmpd="sng" w14:algn="ctr">
          <w14:noFill/>
          <w14:prstDash w14:val="solid"/>
          <w14:round/>
        </w14:textOutline>
        <w14:ligatures w14:val="standardContextual"/>
      </w:rPr>
    </w:pPr>
    <w:r w:rsidRPr="00F514FC">
      <w:rPr>
        <w:rFonts w:ascii="Calibri" w:eastAsia="Calibri" w:hAnsi="Calibri" w:cs="Calibri"/>
        <w:noProof/>
        <w:color w:val="FFFFFF"/>
        <w:spacing w:val="0"/>
        <w:sz w:val="52"/>
        <w:szCs w:val="52"/>
        <w:lang w:val="en-US"/>
        <w14:textOutline w14:w="0" w14:cap="flat" w14:cmpd="sng" w14:algn="ctr">
          <w14:noFill/>
          <w14:prstDash w14:val="solid"/>
          <w14:round/>
        </w14:textOutline>
        <w14:ligatures w14:val="standardContextual"/>
      </w:rPr>
      <w:drawing>
        <wp:anchor distT="0" distB="0" distL="114300" distR="114300" simplePos="0" relativeHeight="251660289" behindDoc="1" locked="0" layoutInCell="1" allowOverlap="1" wp14:anchorId="72D44894" wp14:editId="54F14D8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16800" cy="1825200"/>
          <wp:effectExtent l="0" t="0" r="8255" b="3810"/>
          <wp:wrapNone/>
          <wp:docPr id="390249656" name="Picture 1" descr="Department of Social Services Crest and logo for Disability Employment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950926" name="Picture 1" descr="Department of Social Services Crest and logo for Disability Employment Servic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6800" cy="182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4FC">
      <w:rPr>
        <w:rFonts w:ascii="Calibri" w:eastAsia="Calibri" w:hAnsi="Calibri" w:cs="Calibri"/>
        <w:noProof/>
        <w:color w:val="FFFFFF"/>
        <w:spacing w:val="0"/>
        <w:sz w:val="52"/>
        <w:szCs w:val="52"/>
        <w:lang w:val="en-US"/>
        <w14:textOutline w14:w="0" w14:cap="flat" w14:cmpd="sng" w14:algn="ctr">
          <w14:noFill/>
          <w14:prstDash w14:val="solid"/>
          <w14:round/>
        </w14:textOutline>
        <w14:ligatures w14:val="standardContextual"/>
      </w:rPr>
      <w:t>Disability Employment Reforms</w:t>
    </w:r>
  </w:p>
  <w:p w14:paraId="380EDB82" w14:textId="50D06866" w:rsidR="008009CA" w:rsidRPr="00162EEE" w:rsidRDefault="00440F51" w:rsidP="00440F51">
    <w:pPr>
      <w:tabs>
        <w:tab w:val="left" w:pos="2565"/>
      </w:tabs>
      <w:spacing w:after="0" w:line="500" w:lineRule="exact"/>
      <w:ind w:left="284" w:hanging="567"/>
      <w:rPr>
        <w:rFonts w:ascii="Calibri" w:eastAsia="Calibri" w:hAnsi="Calibri" w:cs="Times New Roman"/>
        <w:color w:val="FFFFFF"/>
        <w:spacing w:val="0"/>
        <w:kern w:val="2"/>
        <w:sz w:val="40"/>
        <w:szCs w:val="40"/>
        <w14:ligatures w14:val="standardContextual"/>
      </w:rPr>
    </w:pPr>
    <w:r>
      <w:rPr>
        <w:rFonts w:ascii="Calibri" w:eastAsia="Calibri" w:hAnsi="Calibri" w:cs="Times New Roman"/>
        <w:color w:val="FFFFFF"/>
        <w:spacing w:val="0"/>
        <w:kern w:val="2"/>
        <w:sz w:val="40"/>
        <w:szCs w:val="40"/>
        <w14:ligatures w14:val="standardContextual"/>
      </w:rPr>
      <w:t>23 May 2024 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30FC"/>
    <w:multiLevelType w:val="singleLevel"/>
    <w:tmpl w:val="69CE8C5A"/>
    <w:lvl w:ilvl="0">
      <w:start w:val="1"/>
      <w:numFmt w:val="bullet"/>
      <w:pStyle w:val="ListParagraph"/>
      <w:lvlText w:val="–"/>
      <w:lvlJc w:val="left"/>
      <w:pPr>
        <w:ind w:left="717" w:hanging="360"/>
      </w:pPr>
      <w:rPr>
        <w:rFonts w:ascii="Tahoma" w:hAnsi="Tahoma" w:hint="default"/>
      </w:rPr>
    </w:lvl>
  </w:abstractNum>
  <w:abstractNum w:abstractNumId="1" w15:restartNumberingAfterBreak="0">
    <w:nsid w:val="2DE56363"/>
    <w:multiLevelType w:val="multilevel"/>
    <w:tmpl w:val="9FDEB948"/>
    <w:styleLink w:val="DSS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2"/>
      <w:lvlText w:val="–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44687"/>
    <w:multiLevelType w:val="multilevel"/>
    <w:tmpl w:val="F81E2616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3107305"/>
    <w:multiLevelType w:val="multilevel"/>
    <w:tmpl w:val="5D9A3B7C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firstLine="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tabs>
          <w:tab w:val="num" w:pos="852"/>
        </w:tabs>
        <w:ind w:left="852" w:firstLine="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num w:numId="1" w16cid:durableId="603616384">
    <w:abstractNumId w:val="3"/>
  </w:num>
  <w:num w:numId="2" w16cid:durableId="1422482963">
    <w:abstractNumId w:val="2"/>
  </w:num>
  <w:num w:numId="3" w16cid:durableId="1314525174">
    <w:abstractNumId w:val="1"/>
  </w:num>
  <w:num w:numId="4" w16cid:durableId="20461004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9C"/>
    <w:rsid w:val="00003F94"/>
    <w:rsid w:val="000140B8"/>
    <w:rsid w:val="000317E3"/>
    <w:rsid w:val="00032BAC"/>
    <w:rsid w:val="00044684"/>
    <w:rsid w:val="00047591"/>
    <w:rsid w:val="00054F5F"/>
    <w:rsid w:val="00064140"/>
    <w:rsid w:val="00065DCF"/>
    <w:rsid w:val="000750D2"/>
    <w:rsid w:val="00081610"/>
    <w:rsid w:val="00091ABE"/>
    <w:rsid w:val="00094DF9"/>
    <w:rsid w:val="000A0C68"/>
    <w:rsid w:val="000B3C76"/>
    <w:rsid w:val="000B5EF5"/>
    <w:rsid w:val="000B7D80"/>
    <w:rsid w:val="000C4A0F"/>
    <w:rsid w:val="000D0755"/>
    <w:rsid w:val="000D5965"/>
    <w:rsid w:val="000E5AD8"/>
    <w:rsid w:val="000E6227"/>
    <w:rsid w:val="000F5B57"/>
    <w:rsid w:val="000F7266"/>
    <w:rsid w:val="000F75FC"/>
    <w:rsid w:val="001510D7"/>
    <w:rsid w:val="00157842"/>
    <w:rsid w:val="00161696"/>
    <w:rsid w:val="00162EEE"/>
    <w:rsid w:val="00180044"/>
    <w:rsid w:val="001900B2"/>
    <w:rsid w:val="001970EA"/>
    <w:rsid w:val="001A3207"/>
    <w:rsid w:val="001A3477"/>
    <w:rsid w:val="001A7461"/>
    <w:rsid w:val="001B32C8"/>
    <w:rsid w:val="001C4603"/>
    <w:rsid w:val="001C64F8"/>
    <w:rsid w:val="001C7163"/>
    <w:rsid w:val="001C791F"/>
    <w:rsid w:val="001D0646"/>
    <w:rsid w:val="001D0F6D"/>
    <w:rsid w:val="001D5A8E"/>
    <w:rsid w:val="001E39FC"/>
    <w:rsid w:val="001E630D"/>
    <w:rsid w:val="001E6784"/>
    <w:rsid w:val="001F0CA5"/>
    <w:rsid w:val="001F6546"/>
    <w:rsid w:val="00201C6D"/>
    <w:rsid w:val="00212719"/>
    <w:rsid w:val="00213251"/>
    <w:rsid w:val="00213921"/>
    <w:rsid w:val="00214210"/>
    <w:rsid w:val="0022162B"/>
    <w:rsid w:val="00231974"/>
    <w:rsid w:val="002346B5"/>
    <w:rsid w:val="002408DC"/>
    <w:rsid w:val="00240A6E"/>
    <w:rsid w:val="00242D59"/>
    <w:rsid w:val="002448C8"/>
    <w:rsid w:val="00246E65"/>
    <w:rsid w:val="002532C0"/>
    <w:rsid w:val="00262CDD"/>
    <w:rsid w:val="002642B1"/>
    <w:rsid w:val="00265257"/>
    <w:rsid w:val="00266B26"/>
    <w:rsid w:val="00267A25"/>
    <w:rsid w:val="0027075A"/>
    <w:rsid w:val="002755A4"/>
    <w:rsid w:val="00275EA9"/>
    <w:rsid w:val="00281DFB"/>
    <w:rsid w:val="00282835"/>
    <w:rsid w:val="00295934"/>
    <w:rsid w:val="002B3CC6"/>
    <w:rsid w:val="002B7002"/>
    <w:rsid w:val="002E0D7A"/>
    <w:rsid w:val="002F2AD3"/>
    <w:rsid w:val="003021F2"/>
    <w:rsid w:val="003042A4"/>
    <w:rsid w:val="00311FC7"/>
    <w:rsid w:val="00314451"/>
    <w:rsid w:val="00331DEA"/>
    <w:rsid w:val="00335A14"/>
    <w:rsid w:val="00337926"/>
    <w:rsid w:val="00347FE0"/>
    <w:rsid w:val="00360364"/>
    <w:rsid w:val="00363FD6"/>
    <w:rsid w:val="0036490E"/>
    <w:rsid w:val="00365D9E"/>
    <w:rsid w:val="00375C42"/>
    <w:rsid w:val="0038044C"/>
    <w:rsid w:val="00380B2B"/>
    <w:rsid w:val="003978F7"/>
    <w:rsid w:val="003A70C3"/>
    <w:rsid w:val="003A7612"/>
    <w:rsid w:val="003B0D19"/>
    <w:rsid w:val="003B2BB8"/>
    <w:rsid w:val="003B4CEE"/>
    <w:rsid w:val="003B4F43"/>
    <w:rsid w:val="003B6F90"/>
    <w:rsid w:val="003B7424"/>
    <w:rsid w:val="003C7303"/>
    <w:rsid w:val="003D34FF"/>
    <w:rsid w:val="003E0A57"/>
    <w:rsid w:val="003E10A6"/>
    <w:rsid w:val="003E2B62"/>
    <w:rsid w:val="003E4930"/>
    <w:rsid w:val="003F55A2"/>
    <w:rsid w:val="0040002F"/>
    <w:rsid w:val="00403055"/>
    <w:rsid w:val="00415B6C"/>
    <w:rsid w:val="004220FC"/>
    <w:rsid w:val="00422B7E"/>
    <w:rsid w:val="004243F2"/>
    <w:rsid w:val="00431278"/>
    <w:rsid w:val="004354E6"/>
    <w:rsid w:val="00435F74"/>
    <w:rsid w:val="00440CB8"/>
    <w:rsid w:val="00440F51"/>
    <w:rsid w:val="00441D40"/>
    <w:rsid w:val="00441FD7"/>
    <w:rsid w:val="0045365D"/>
    <w:rsid w:val="00471456"/>
    <w:rsid w:val="0047261D"/>
    <w:rsid w:val="0047405C"/>
    <w:rsid w:val="00481EAA"/>
    <w:rsid w:val="004837A4"/>
    <w:rsid w:val="00485AFC"/>
    <w:rsid w:val="00490F3B"/>
    <w:rsid w:val="00491310"/>
    <w:rsid w:val="00492D96"/>
    <w:rsid w:val="004A176D"/>
    <w:rsid w:val="004A2151"/>
    <w:rsid w:val="004B54CA"/>
    <w:rsid w:val="004B653B"/>
    <w:rsid w:val="004D7310"/>
    <w:rsid w:val="004E2A09"/>
    <w:rsid w:val="004E5CBF"/>
    <w:rsid w:val="004F77F4"/>
    <w:rsid w:val="0050098E"/>
    <w:rsid w:val="0050168B"/>
    <w:rsid w:val="005072B0"/>
    <w:rsid w:val="00512106"/>
    <w:rsid w:val="00515ED5"/>
    <w:rsid w:val="0051729F"/>
    <w:rsid w:val="00517AE4"/>
    <w:rsid w:val="00522101"/>
    <w:rsid w:val="005312DA"/>
    <w:rsid w:val="00536095"/>
    <w:rsid w:val="0054619B"/>
    <w:rsid w:val="0054621C"/>
    <w:rsid w:val="0054713E"/>
    <w:rsid w:val="005543A8"/>
    <w:rsid w:val="00557B0F"/>
    <w:rsid w:val="00567053"/>
    <w:rsid w:val="00567B2D"/>
    <w:rsid w:val="00574812"/>
    <w:rsid w:val="00584FC1"/>
    <w:rsid w:val="00586246"/>
    <w:rsid w:val="005877DC"/>
    <w:rsid w:val="0059023E"/>
    <w:rsid w:val="00597852"/>
    <w:rsid w:val="005A0E26"/>
    <w:rsid w:val="005A7503"/>
    <w:rsid w:val="005A7CD2"/>
    <w:rsid w:val="005B06DE"/>
    <w:rsid w:val="005B2DCB"/>
    <w:rsid w:val="005B5519"/>
    <w:rsid w:val="005C1DCE"/>
    <w:rsid w:val="005C3AA9"/>
    <w:rsid w:val="005C5644"/>
    <w:rsid w:val="005D6069"/>
    <w:rsid w:val="005E4DAE"/>
    <w:rsid w:val="005E508E"/>
    <w:rsid w:val="005E6F55"/>
    <w:rsid w:val="005E73E2"/>
    <w:rsid w:val="005E7B08"/>
    <w:rsid w:val="005F2041"/>
    <w:rsid w:val="005F5EEF"/>
    <w:rsid w:val="00604447"/>
    <w:rsid w:val="00613437"/>
    <w:rsid w:val="00626821"/>
    <w:rsid w:val="00631A2C"/>
    <w:rsid w:val="0063297E"/>
    <w:rsid w:val="00643CDC"/>
    <w:rsid w:val="00645F69"/>
    <w:rsid w:val="006555B8"/>
    <w:rsid w:val="00655B3F"/>
    <w:rsid w:val="00667E1A"/>
    <w:rsid w:val="00672870"/>
    <w:rsid w:val="00673340"/>
    <w:rsid w:val="006827D5"/>
    <w:rsid w:val="00683BC0"/>
    <w:rsid w:val="00686716"/>
    <w:rsid w:val="00693D27"/>
    <w:rsid w:val="006A0A46"/>
    <w:rsid w:val="006A4CE7"/>
    <w:rsid w:val="006A7DD3"/>
    <w:rsid w:val="006B2D24"/>
    <w:rsid w:val="006B2D84"/>
    <w:rsid w:val="006C2CC5"/>
    <w:rsid w:val="006C574D"/>
    <w:rsid w:val="006D161A"/>
    <w:rsid w:val="006D2DA3"/>
    <w:rsid w:val="006D622A"/>
    <w:rsid w:val="006F05E8"/>
    <w:rsid w:val="006F3D9C"/>
    <w:rsid w:val="00704B63"/>
    <w:rsid w:val="007065F3"/>
    <w:rsid w:val="007103CB"/>
    <w:rsid w:val="0073320E"/>
    <w:rsid w:val="00746215"/>
    <w:rsid w:val="00765A7C"/>
    <w:rsid w:val="0077045B"/>
    <w:rsid w:val="0077479C"/>
    <w:rsid w:val="00781922"/>
    <w:rsid w:val="00785261"/>
    <w:rsid w:val="007929FE"/>
    <w:rsid w:val="00795CEA"/>
    <w:rsid w:val="007B0256"/>
    <w:rsid w:val="007B6577"/>
    <w:rsid w:val="007C3D2E"/>
    <w:rsid w:val="007C6242"/>
    <w:rsid w:val="007D1C2F"/>
    <w:rsid w:val="007D30A2"/>
    <w:rsid w:val="007D3A7A"/>
    <w:rsid w:val="007D7448"/>
    <w:rsid w:val="007E007C"/>
    <w:rsid w:val="007E3959"/>
    <w:rsid w:val="007E3B8B"/>
    <w:rsid w:val="008006FC"/>
    <w:rsid w:val="008009CA"/>
    <w:rsid w:val="0080363D"/>
    <w:rsid w:val="008063AF"/>
    <w:rsid w:val="00815A31"/>
    <w:rsid w:val="00817E08"/>
    <w:rsid w:val="0082068B"/>
    <w:rsid w:val="008211D3"/>
    <w:rsid w:val="00826B45"/>
    <w:rsid w:val="00831FDD"/>
    <w:rsid w:val="00837F4E"/>
    <w:rsid w:val="0084227C"/>
    <w:rsid w:val="0085088E"/>
    <w:rsid w:val="00850C04"/>
    <w:rsid w:val="00855E0E"/>
    <w:rsid w:val="008565DF"/>
    <w:rsid w:val="0085710F"/>
    <w:rsid w:val="00857FB2"/>
    <w:rsid w:val="00862EAA"/>
    <w:rsid w:val="00866CF9"/>
    <w:rsid w:val="00871AEF"/>
    <w:rsid w:val="00874643"/>
    <w:rsid w:val="00876CA6"/>
    <w:rsid w:val="00877018"/>
    <w:rsid w:val="008916D6"/>
    <w:rsid w:val="00891E2F"/>
    <w:rsid w:val="008A4833"/>
    <w:rsid w:val="008B0106"/>
    <w:rsid w:val="008B210B"/>
    <w:rsid w:val="008C2FAD"/>
    <w:rsid w:val="008C3726"/>
    <w:rsid w:val="008D1407"/>
    <w:rsid w:val="008D3758"/>
    <w:rsid w:val="008D5340"/>
    <w:rsid w:val="008E0C72"/>
    <w:rsid w:val="008F1038"/>
    <w:rsid w:val="008F3023"/>
    <w:rsid w:val="00916402"/>
    <w:rsid w:val="009225F0"/>
    <w:rsid w:val="009348B1"/>
    <w:rsid w:val="0094563F"/>
    <w:rsid w:val="00946B15"/>
    <w:rsid w:val="00982FAA"/>
    <w:rsid w:val="00987714"/>
    <w:rsid w:val="00996415"/>
    <w:rsid w:val="009B5AB3"/>
    <w:rsid w:val="009B717B"/>
    <w:rsid w:val="009D0857"/>
    <w:rsid w:val="009D2DF8"/>
    <w:rsid w:val="009D3CCB"/>
    <w:rsid w:val="009D4AC2"/>
    <w:rsid w:val="009F6D01"/>
    <w:rsid w:val="00A13549"/>
    <w:rsid w:val="00A2485C"/>
    <w:rsid w:val="00A24E26"/>
    <w:rsid w:val="00A43E66"/>
    <w:rsid w:val="00A4462B"/>
    <w:rsid w:val="00A51123"/>
    <w:rsid w:val="00A56499"/>
    <w:rsid w:val="00A6317F"/>
    <w:rsid w:val="00A66EBD"/>
    <w:rsid w:val="00A72154"/>
    <w:rsid w:val="00A74769"/>
    <w:rsid w:val="00A76EC3"/>
    <w:rsid w:val="00A80DE0"/>
    <w:rsid w:val="00A85365"/>
    <w:rsid w:val="00A85FB1"/>
    <w:rsid w:val="00A90D7F"/>
    <w:rsid w:val="00AA7226"/>
    <w:rsid w:val="00AB1B09"/>
    <w:rsid w:val="00AB4563"/>
    <w:rsid w:val="00AB62CC"/>
    <w:rsid w:val="00AC2B11"/>
    <w:rsid w:val="00AD01EF"/>
    <w:rsid w:val="00AD627F"/>
    <w:rsid w:val="00AD6700"/>
    <w:rsid w:val="00AE7918"/>
    <w:rsid w:val="00AF77F3"/>
    <w:rsid w:val="00B023DA"/>
    <w:rsid w:val="00B07648"/>
    <w:rsid w:val="00B10EA9"/>
    <w:rsid w:val="00B10EB1"/>
    <w:rsid w:val="00B246E8"/>
    <w:rsid w:val="00B24EB2"/>
    <w:rsid w:val="00B25125"/>
    <w:rsid w:val="00B27B13"/>
    <w:rsid w:val="00B31D33"/>
    <w:rsid w:val="00B36B86"/>
    <w:rsid w:val="00B37603"/>
    <w:rsid w:val="00B413E1"/>
    <w:rsid w:val="00B44F9B"/>
    <w:rsid w:val="00B56984"/>
    <w:rsid w:val="00B6576E"/>
    <w:rsid w:val="00B67142"/>
    <w:rsid w:val="00B71EDF"/>
    <w:rsid w:val="00B760FC"/>
    <w:rsid w:val="00B772ED"/>
    <w:rsid w:val="00B77AE6"/>
    <w:rsid w:val="00B820CD"/>
    <w:rsid w:val="00B85379"/>
    <w:rsid w:val="00B8586C"/>
    <w:rsid w:val="00B92DD3"/>
    <w:rsid w:val="00BA2DB9"/>
    <w:rsid w:val="00BA5842"/>
    <w:rsid w:val="00BA6A09"/>
    <w:rsid w:val="00BB03A8"/>
    <w:rsid w:val="00BC04D2"/>
    <w:rsid w:val="00BC0A30"/>
    <w:rsid w:val="00BC5AB7"/>
    <w:rsid w:val="00BC79CD"/>
    <w:rsid w:val="00BE32B9"/>
    <w:rsid w:val="00BE7148"/>
    <w:rsid w:val="00C000C0"/>
    <w:rsid w:val="00C00176"/>
    <w:rsid w:val="00C027B8"/>
    <w:rsid w:val="00C175D2"/>
    <w:rsid w:val="00C27ABB"/>
    <w:rsid w:val="00C36523"/>
    <w:rsid w:val="00C4058D"/>
    <w:rsid w:val="00C438A6"/>
    <w:rsid w:val="00C503DD"/>
    <w:rsid w:val="00C53EA0"/>
    <w:rsid w:val="00C55571"/>
    <w:rsid w:val="00C55DE7"/>
    <w:rsid w:val="00C57001"/>
    <w:rsid w:val="00C7347B"/>
    <w:rsid w:val="00C76B3D"/>
    <w:rsid w:val="00C82E89"/>
    <w:rsid w:val="00CA15CD"/>
    <w:rsid w:val="00CA5D88"/>
    <w:rsid w:val="00CB718C"/>
    <w:rsid w:val="00CB74B3"/>
    <w:rsid w:val="00CC58D6"/>
    <w:rsid w:val="00CD5D2D"/>
    <w:rsid w:val="00CE1CB4"/>
    <w:rsid w:val="00CE381E"/>
    <w:rsid w:val="00CE4A1F"/>
    <w:rsid w:val="00CF14B9"/>
    <w:rsid w:val="00CF1CC6"/>
    <w:rsid w:val="00CF77DE"/>
    <w:rsid w:val="00D066BF"/>
    <w:rsid w:val="00D22A8A"/>
    <w:rsid w:val="00D2619A"/>
    <w:rsid w:val="00D327C5"/>
    <w:rsid w:val="00D337A2"/>
    <w:rsid w:val="00D40593"/>
    <w:rsid w:val="00D53962"/>
    <w:rsid w:val="00D71C54"/>
    <w:rsid w:val="00D83A7C"/>
    <w:rsid w:val="00D84FB6"/>
    <w:rsid w:val="00D86E50"/>
    <w:rsid w:val="00D87D1F"/>
    <w:rsid w:val="00D90D3C"/>
    <w:rsid w:val="00D91F38"/>
    <w:rsid w:val="00DA1B31"/>
    <w:rsid w:val="00DA33DB"/>
    <w:rsid w:val="00DA66C1"/>
    <w:rsid w:val="00DA7B4A"/>
    <w:rsid w:val="00DB012A"/>
    <w:rsid w:val="00DB145C"/>
    <w:rsid w:val="00DB33E4"/>
    <w:rsid w:val="00DB7D9B"/>
    <w:rsid w:val="00DC61A0"/>
    <w:rsid w:val="00DD0ED9"/>
    <w:rsid w:val="00DD6202"/>
    <w:rsid w:val="00DD68AB"/>
    <w:rsid w:val="00DF6274"/>
    <w:rsid w:val="00DF78AA"/>
    <w:rsid w:val="00E30C3C"/>
    <w:rsid w:val="00E312EE"/>
    <w:rsid w:val="00E51EF1"/>
    <w:rsid w:val="00E55B52"/>
    <w:rsid w:val="00E6063A"/>
    <w:rsid w:val="00E643E0"/>
    <w:rsid w:val="00E67891"/>
    <w:rsid w:val="00E708BB"/>
    <w:rsid w:val="00E761A2"/>
    <w:rsid w:val="00E82B90"/>
    <w:rsid w:val="00E82EAA"/>
    <w:rsid w:val="00E84803"/>
    <w:rsid w:val="00E858A7"/>
    <w:rsid w:val="00E86439"/>
    <w:rsid w:val="00E9083E"/>
    <w:rsid w:val="00E9285A"/>
    <w:rsid w:val="00E943B5"/>
    <w:rsid w:val="00E956B6"/>
    <w:rsid w:val="00E975C4"/>
    <w:rsid w:val="00EA550A"/>
    <w:rsid w:val="00EA66F0"/>
    <w:rsid w:val="00EB049C"/>
    <w:rsid w:val="00EB268B"/>
    <w:rsid w:val="00EB7949"/>
    <w:rsid w:val="00EC7AD6"/>
    <w:rsid w:val="00ED0051"/>
    <w:rsid w:val="00ED3F6A"/>
    <w:rsid w:val="00EE2CFE"/>
    <w:rsid w:val="00EE3834"/>
    <w:rsid w:val="00EE54CF"/>
    <w:rsid w:val="00EE5D6C"/>
    <w:rsid w:val="00EE67D9"/>
    <w:rsid w:val="00EE68BA"/>
    <w:rsid w:val="00EF3823"/>
    <w:rsid w:val="00F047F4"/>
    <w:rsid w:val="00F07D2D"/>
    <w:rsid w:val="00F12BA1"/>
    <w:rsid w:val="00F148C2"/>
    <w:rsid w:val="00F15211"/>
    <w:rsid w:val="00F212CF"/>
    <w:rsid w:val="00F27F0F"/>
    <w:rsid w:val="00F30908"/>
    <w:rsid w:val="00F32AAD"/>
    <w:rsid w:val="00F37C38"/>
    <w:rsid w:val="00F42CAA"/>
    <w:rsid w:val="00F44F79"/>
    <w:rsid w:val="00F47F8D"/>
    <w:rsid w:val="00F514FC"/>
    <w:rsid w:val="00F51FA6"/>
    <w:rsid w:val="00F85669"/>
    <w:rsid w:val="00F95B97"/>
    <w:rsid w:val="00FA1012"/>
    <w:rsid w:val="00FA7485"/>
    <w:rsid w:val="00FC143A"/>
    <w:rsid w:val="00FC3918"/>
    <w:rsid w:val="00FD1497"/>
    <w:rsid w:val="00FD2261"/>
    <w:rsid w:val="00FD2D0C"/>
    <w:rsid w:val="00FD5C90"/>
    <w:rsid w:val="00FF1799"/>
    <w:rsid w:val="00FF55AE"/>
    <w:rsid w:val="00FF725E"/>
    <w:rsid w:val="014FB1F8"/>
    <w:rsid w:val="096DCFB4"/>
    <w:rsid w:val="0B59FB43"/>
    <w:rsid w:val="0C1BFFD5"/>
    <w:rsid w:val="0E733FAA"/>
    <w:rsid w:val="10CF72F3"/>
    <w:rsid w:val="11CCDF7C"/>
    <w:rsid w:val="174938E2"/>
    <w:rsid w:val="189879E4"/>
    <w:rsid w:val="21D5E852"/>
    <w:rsid w:val="25CCE2EA"/>
    <w:rsid w:val="290A7FDC"/>
    <w:rsid w:val="2C6A3497"/>
    <w:rsid w:val="2E98F6AA"/>
    <w:rsid w:val="31896D02"/>
    <w:rsid w:val="3219DFA7"/>
    <w:rsid w:val="372F1835"/>
    <w:rsid w:val="3866B465"/>
    <w:rsid w:val="3A7FB428"/>
    <w:rsid w:val="3AA965EB"/>
    <w:rsid w:val="464DBA66"/>
    <w:rsid w:val="476B8657"/>
    <w:rsid w:val="4DBEF9D8"/>
    <w:rsid w:val="54427CFA"/>
    <w:rsid w:val="5648A2B7"/>
    <w:rsid w:val="57043F0C"/>
    <w:rsid w:val="578FF03F"/>
    <w:rsid w:val="58CA459B"/>
    <w:rsid w:val="5A938DCF"/>
    <w:rsid w:val="5B76AA6C"/>
    <w:rsid w:val="5CC604C0"/>
    <w:rsid w:val="5D72E918"/>
    <w:rsid w:val="65A8ED72"/>
    <w:rsid w:val="6E2985F7"/>
    <w:rsid w:val="7163C15C"/>
    <w:rsid w:val="74D4A23C"/>
    <w:rsid w:val="7F6232E3"/>
    <w:rsid w:val="7F979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F430F"/>
  <w15:docId w15:val="{BDCAED1F-C12E-4603-A541-4334388E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48"/>
    <w:pPr>
      <w:spacing w:after="200"/>
    </w:pPr>
    <w:rPr>
      <w:spacing w:val="3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0D2"/>
    <w:pP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5A70" w:themeColor="accent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A2485C"/>
    <w:pPr>
      <w:keepNext/>
      <w:spacing w:before="240" w:after="240" w:line="240" w:lineRule="auto"/>
      <w:outlineLvl w:val="1"/>
    </w:pPr>
    <w:rPr>
      <w:rFonts w:asciiTheme="majorHAnsi" w:eastAsiaTheme="majorEastAsia" w:hAnsiTheme="majorHAnsi" w:cstheme="majorBidi"/>
      <w:bCs/>
      <w:color w:val="005A70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1D5A8E"/>
    <w:pPr>
      <w:keepNext/>
      <w:spacing w:before="120" w:after="0" w:line="240" w:lineRule="auto"/>
      <w:outlineLvl w:val="2"/>
    </w:pPr>
    <w:rPr>
      <w:rFonts w:asciiTheme="majorHAnsi" w:eastAsiaTheme="majorEastAsia" w:hAnsiTheme="majorHAnsi" w:cstheme="majorBidi"/>
      <w:bCs/>
      <w:color w:val="005A70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2"/>
    <w:qFormat/>
    <w:rsid w:val="004536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5A70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4536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4536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paragraph" w:styleId="Heading7">
    <w:name w:val="heading 7"/>
    <w:basedOn w:val="Normal"/>
    <w:next w:val="Normal"/>
    <w:link w:val="Heading7Char"/>
    <w:uiPriority w:val="10"/>
    <w:unhideWhenUsed/>
    <w:qFormat/>
    <w:rsid w:val="0045365D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0"/>
    <w:unhideWhenUsed/>
    <w:qFormat/>
    <w:rsid w:val="0045365D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0"/>
    <w:unhideWhenUsed/>
    <w:qFormat/>
    <w:rsid w:val="0045365D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0D2"/>
    <w:rPr>
      <w:rFonts w:asciiTheme="majorHAnsi" w:eastAsiaTheme="majorEastAsia" w:hAnsiTheme="majorHAnsi" w:cstheme="majorBidi"/>
      <w:b/>
      <w:bCs/>
      <w:color w:val="005A70" w:themeColor="accent1"/>
      <w:spacing w:val="3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A2485C"/>
    <w:rPr>
      <w:rFonts w:asciiTheme="majorHAnsi" w:eastAsiaTheme="majorEastAsia" w:hAnsiTheme="majorHAnsi" w:cstheme="majorBidi"/>
      <w:bCs/>
      <w:color w:val="005A70" w:themeColor="accent1"/>
      <w:spacing w:val="3"/>
      <w:sz w:val="4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1D5A8E"/>
    <w:rPr>
      <w:rFonts w:asciiTheme="majorHAnsi" w:eastAsiaTheme="majorEastAsia" w:hAnsiTheme="majorHAnsi" w:cstheme="majorBidi"/>
      <w:bCs/>
      <w:color w:val="005A70" w:themeColor="accent1"/>
      <w:spacing w:val="3"/>
      <w:sz w:val="32"/>
    </w:rPr>
  </w:style>
  <w:style w:type="character" w:customStyle="1" w:styleId="Heading4Char">
    <w:name w:val="Heading 4 Char"/>
    <w:basedOn w:val="DefaultParagraphFont"/>
    <w:link w:val="Heading4"/>
    <w:uiPriority w:val="2"/>
    <w:rsid w:val="0045365D"/>
    <w:rPr>
      <w:rFonts w:asciiTheme="majorHAnsi" w:eastAsiaTheme="majorEastAsia" w:hAnsiTheme="majorHAnsi" w:cstheme="majorBidi"/>
      <w:b/>
      <w:bCs/>
      <w:iCs/>
      <w:color w:val="005A70" w:themeColor="accent1"/>
      <w:spacing w:val="3"/>
      <w:sz w:val="28"/>
    </w:rPr>
  </w:style>
  <w:style w:type="character" w:customStyle="1" w:styleId="Heading5Char">
    <w:name w:val="Heading 5 Char"/>
    <w:basedOn w:val="DefaultParagraphFont"/>
    <w:link w:val="Heading5"/>
    <w:uiPriority w:val="2"/>
    <w:rsid w:val="0045365D"/>
    <w:rPr>
      <w:rFonts w:asciiTheme="majorHAnsi" w:eastAsiaTheme="majorEastAsia" w:hAnsiTheme="majorHAnsi" w:cstheme="majorBidi"/>
      <w:b/>
      <w:bCs/>
      <w:color w:val="000000" w:themeColor="text1"/>
      <w:spacing w:val="3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45365D"/>
    <w:rPr>
      <w:rFonts w:asciiTheme="majorHAnsi" w:eastAsiaTheme="majorEastAsia" w:hAnsiTheme="majorHAnsi" w:cstheme="majorBidi"/>
      <w:b/>
      <w:bCs/>
      <w:iCs/>
      <w:color w:val="000000" w:themeColor="text1"/>
      <w:spacing w:val="3"/>
      <w:sz w:val="20"/>
    </w:rPr>
  </w:style>
  <w:style w:type="character" w:customStyle="1" w:styleId="Heading7Char">
    <w:name w:val="Heading 7 Char"/>
    <w:basedOn w:val="DefaultParagraphFont"/>
    <w:link w:val="Heading7"/>
    <w:uiPriority w:val="10"/>
    <w:rsid w:val="0045365D"/>
    <w:rPr>
      <w:rFonts w:eastAsiaTheme="majorEastAsia" w:cstheme="majorBidi"/>
      <w:iCs/>
      <w:spacing w:val="3"/>
      <w:sz w:val="22"/>
    </w:rPr>
  </w:style>
  <w:style w:type="character" w:customStyle="1" w:styleId="Heading8Char">
    <w:name w:val="Heading 8 Char"/>
    <w:basedOn w:val="DefaultParagraphFont"/>
    <w:link w:val="Heading8"/>
    <w:uiPriority w:val="10"/>
    <w:rsid w:val="0045365D"/>
    <w:rPr>
      <w:rFonts w:eastAsiaTheme="majorEastAsia" w:cstheme="majorBidi"/>
      <w:spacing w:val="3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45365D"/>
    <w:rPr>
      <w:rFonts w:eastAsiaTheme="majorEastAsia" w:cstheme="majorBidi"/>
      <w:iCs/>
      <w:spacing w:val="5"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5D"/>
    <w:rPr>
      <w:rFonts w:ascii="Tahoma" w:hAnsi="Tahoma" w:cs="Tahoma"/>
      <w:spacing w:val="3"/>
      <w:sz w:val="16"/>
      <w:szCs w:val="16"/>
    </w:rPr>
  </w:style>
  <w:style w:type="numbering" w:customStyle="1" w:styleId="BulletsList">
    <w:name w:val="Bullets List"/>
    <w:uiPriority w:val="99"/>
    <w:rsid w:val="0045365D"/>
    <w:pPr>
      <w:numPr>
        <w:numId w:val="1"/>
      </w:numPr>
    </w:pPr>
  </w:style>
  <w:style w:type="paragraph" w:styleId="Caption">
    <w:name w:val="caption"/>
    <w:aliases w:val="Caption Table title"/>
    <w:basedOn w:val="Normal"/>
    <w:next w:val="Normal"/>
    <w:uiPriority w:val="35"/>
    <w:unhideWhenUsed/>
    <w:rsid w:val="0045365D"/>
    <w:pPr>
      <w:spacing w:before="360" w:after="120" w:line="240" w:lineRule="atLeast"/>
    </w:pPr>
    <w:rPr>
      <w:b/>
      <w:bCs/>
      <w:szCs w:val="18"/>
    </w:rPr>
  </w:style>
  <w:style w:type="paragraph" w:customStyle="1" w:styleId="Horizontalrule">
    <w:name w:val="Horizontal rule"/>
    <w:basedOn w:val="Normal"/>
    <w:uiPriority w:val="4"/>
    <w:semiHidden/>
    <w:qFormat/>
    <w:rsid w:val="0045365D"/>
    <w:pPr>
      <w:pBdr>
        <w:bottom w:val="single" w:sz="24" w:space="1" w:color="005A70" w:themeColor="accent1"/>
      </w:pBdr>
      <w:spacing w:after="0" w:line="240" w:lineRule="auto"/>
    </w:pPr>
    <w:rPr>
      <w:noProof/>
    </w:rPr>
  </w:style>
  <w:style w:type="paragraph" w:customStyle="1" w:styleId="Crestwithrule">
    <w:name w:val="Crest with rule"/>
    <w:basedOn w:val="Horizontalrule"/>
    <w:uiPriority w:val="99"/>
    <w:qFormat/>
    <w:rsid w:val="0045365D"/>
    <w:pPr>
      <w:pBdr>
        <w:bottom w:val="single" w:sz="24" w:space="1" w:color="00B0B9" w:themeColor="accent2"/>
      </w:pBdr>
      <w:ind w:right="-425" w:hanging="284"/>
    </w:pPr>
  </w:style>
  <w:style w:type="table" w:customStyle="1" w:styleId="DSSDatatablestyle">
    <w:name w:val="DSS Data table style"/>
    <w:basedOn w:val="TableNormal"/>
    <w:uiPriority w:val="99"/>
    <w:rsid w:val="001F6546"/>
    <w:pPr>
      <w:spacing w:after="0" w:line="240" w:lineRule="auto"/>
    </w:pPr>
    <w:rPr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i w:val="0"/>
        <w:color w:val="FFFFFF" w:themeColor="background1"/>
        <w:sz w:val="22"/>
        <w:u w:val="none"/>
      </w:rPr>
      <w:tblPr/>
      <w:tcPr>
        <w:shd w:val="clear" w:color="auto" w:fill="005A70" w:themeFill="accent1"/>
      </w:tcPr>
    </w:tblStylePr>
    <w:tblStylePr w:type="lastRow">
      <w:pPr>
        <w:jc w:val="left"/>
      </w:pPr>
      <w:rPr>
        <w:rFonts w:asciiTheme="minorHAnsi" w:hAnsiTheme="minorHAnsi"/>
        <w:b/>
        <w:sz w:val="22"/>
        <w:u w:val="none"/>
      </w:rPr>
      <w:tblPr/>
      <w:tcPr>
        <w:tcBorders>
          <w:top w:val="single" w:sz="4" w:space="0" w:color="454545" w:themeColor="text2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8F8F8" w:themeFill="background2"/>
      </w:tcPr>
    </w:tblStylePr>
    <w:tblStylePr w:type="band1Horz">
      <w:pPr>
        <w:jc w:val="left"/>
      </w:p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  <w:style w:type="table" w:customStyle="1" w:styleId="DSSTableStyleB">
    <w:name w:val="DSS Table Style B"/>
    <w:basedOn w:val="TableNormal"/>
    <w:uiPriority w:val="99"/>
    <w:rsid w:val="0045365D"/>
    <w:pPr>
      <w:spacing w:after="0" w:line="240" w:lineRule="auto"/>
    </w:pPr>
    <w:rPr>
      <w:color w:val="454545" w:themeColor="text2"/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rPr>
        <w:tblHeader/>
      </w:trPr>
      <w:tcPr>
        <w:shd w:val="clear" w:color="auto" w:fill="B1E4E3"/>
      </w:tcPr>
    </w:tblStylePr>
    <w:tblStylePr w:type="la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bottom w:val="single" w:sz="4" w:space="0" w:color="D9D9D6" w:themeColor="accent4"/>
        </w:tcBorders>
      </w:tcPr>
    </w:tblStylePr>
    <w:tblStylePr w:type="band2Horz">
      <w:rPr>
        <w14:numSpacing w14:val="tabular"/>
      </w:rPr>
      <w:tblPr/>
      <w:tcPr>
        <w:tcBorders>
          <w:bottom w:val="single" w:sz="4" w:space="0" w:color="D9D9D6" w:themeColor="accent4"/>
        </w:tcBorders>
        <w:shd w:val="clear" w:color="auto" w:fill="FFFFFF" w:themeFill="background1"/>
      </w:tcPr>
    </w:tblStylePr>
  </w:style>
  <w:style w:type="character" w:styleId="Emphasis">
    <w:name w:val="Emphasis"/>
    <w:uiPriority w:val="20"/>
    <w:qFormat/>
    <w:rsid w:val="004536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Focus-teal">
    <w:name w:val="Focus - teal"/>
    <w:basedOn w:val="Normal"/>
    <w:next w:val="Normal"/>
    <w:uiPriority w:val="7"/>
    <w:qFormat/>
    <w:rsid w:val="0045365D"/>
    <w:pPr>
      <w:pBdr>
        <w:top w:val="single" w:sz="4" w:space="4" w:color="005A70" w:themeColor="accent1"/>
        <w:left w:val="single" w:sz="4" w:space="4" w:color="005A70" w:themeColor="accent1"/>
        <w:bottom w:val="single" w:sz="4" w:space="4" w:color="005A70" w:themeColor="accent1"/>
        <w:right w:val="single" w:sz="4" w:space="6" w:color="005A70" w:themeColor="accent1"/>
      </w:pBdr>
      <w:shd w:val="clear" w:color="auto" w:fill="EFF9F9" w:themeFill="accent3" w:themeFillTint="33"/>
    </w:pPr>
  </w:style>
  <w:style w:type="paragraph" w:customStyle="1" w:styleId="Focus-error">
    <w:name w:val="Focus - error"/>
    <w:basedOn w:val="Focus-teal"/>
    <w:next w:val="Normal"/>
    <w:uiPriority w:val="7"/>
    <w:qFormat/>
    <w:rsid w:val="0045365D"/>
    <w:pPr>
      <w:shd w:val="clear" w:color="auto" w:fill="FFEFEF"/>
    </w:pPr>
  </w:style>
  <w:style w:type="paragraph" w:customStyle="1" w:styleId="Focus-grey">
    <w:name w:val="Focus - grey"/>
    <w:basedOn w:val="Focus-teal"/>
    <w:uiPriority w:val="7"/>
    <w:qFormat/>
    <w:rsid w:val="0045365D"/>
    <w:pPr>
      <w:shd w:val="clear" w:color="auto" w:fill="F2F2F2" w:themeFill="background1" w:themeFillShade="F2"/>
    </w:pPr>
  </w:style>
  <w:style w:type="paragraph" w:customStyle="1" w:styleId="Focus-orange">
    <w:name w:val="Focus - orange"/>
    <w:basedOn w:val="Focus-teal"/>
    <w:next w:val="Normal"/>
    <w:uiPriority w:val="7"/>
    <w:qFormat/>
    <w:rsid w:val="0045365D"/>
    <w:pPr>
      <w:shd w:val="clear" w:color="auto" w:fill="FDF7DB"/>
    </w:pPr>
  </w:style>
  <w:style w:type="character" w:styleId="FollowedHyperlink">
    <w:name w:val="FollowedHyperlink"/>
    <w:basedOn w:val="DefaultParagraphFont"/>
    <w:uiPriority w:val="99"/>
    <w:semiHidden/>
    <w:unhideWhenUsed/>
    <w:rsid w:val="0045365D"/>
    <w:rPr>
      <w:color w:val="000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5D"/>
    <w:rPr>
      <w:spacing w:val="3"/>
      <w:sz w:val="22"/>
    </w:rPr>
  </w:style>
  <w:style w:type="table" w:styleId="GridTable4">
    <w:name w:val="Grid Table 4"/>
    <w:basedOn w:val="TableNormal"/>
    <w:uiPriority w:val="49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5365D"/>
    <w:pPr>
      <w:pBdr>
        <w:bottom w:val="single" w:sz="18" w:space="1" w:color="24596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4596E"/>
    </w:rPr>
  </w:style>
  <w:style w:type="character" w:customStyle="1" w:styleId="HeaderChar">
    <w:name w:val="Header Char"/>
    <w:basedOn w:val="DefaultParagraphFont"/>
    <w:link w:val="Header"/>
    <w:uiPriority w:val="99"/>
    <w:rsid w:val="0045365D"/>
    <w:rPr>
      <w:rFonts w:ascii="Georgia" w:hAnsi="Georgia"/>
      <w:color w:val="24596E"/>
      <w:spacing w:val="3"/>
      <w:sz w:val="22"/>
    </w:rPr>
  </w:style>
  <w:style w:type="paragraph" w:customStyle="1" w:styleId="Heading1withsubtitle">
    <w:name w:val="Heading 1 (with subtitle)"/>
    <w:basedOn w:val="Heading1"/>
    <w:next w:val="Subtitle"/>
    <w:uiPriority w:val="9"/>
    <w:qFormat/>
    <w:rsid w:val="00B67142"/>
    <w:pPr>
      <w:spacing w:before="480" w:after="0"/>
    </w:pPr>
  </w:style>
  <w:style w:type="paragraph" w:styleId="Subtitle">
    <w:name w:val="Subtitle"/>
    <w:basedOn w:val="Normal"/>
    <w:next w:val="Normal"/>
    <w:link w:val="SubtitleChar"/>
    <w:uiPriority w:val="9"/>
    <w:qFormat/>
    <w:rsid w:val="00B67142"/>
    <w:pPr>
      <w:spacing w:after="360" w:line="240" w:lineRule="auto"/>
    </w:pPr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customStyle="1" w:styleId="SubtitleChar">
    <w:name w:val="Subtitle Char"/>
    <w:basedOn w:val="DefaultParagraphFont"/>
    <w:link w:val="Subtitle"/>
    <w:uiPriority w:val="9"/>
    <w:rsid w:val="00B67142"/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styleId="Hyperlink">
    <w:name w:val="Hyperlink"/>
    <w:uiPriority w:val="99"/>
    <w:rsid w:val="0045365D"/>
    <w:rPr>
      <w:rFonts w:asciiTheme="minorHAnsi" w:hAnsiTheme="minorHAnsi"/>
      <w:b w:val="0"/>
      <w:color w:val="0070C0"/>
      <w:u w:val="single"/>
    </w:rPr>
  </w:style>
  <w:style w:type="character" w:styleId="IntenseEmphasis">
    <w:name w:val="Intense Emphasis"/>
    <w:uiPriority w:val="21"/>
    <w:qFormat/>
    <w:rsid w:val="0045365D"/>
    <w:rPr>
      <w:b/>
      <w:bCs/>
    </w:rPr>
  </w:style>
  <w:style w:type="paragraph" w:customStyle="1" w:styleId="Introduction">
    <w:name w:val="Introduction"/>
    <w:basedOn w:val="Normal"/>
    <w:uiPriority w:val="1"/>
    <w:qFormat/>
    <w:rsid w:val="0045365D"/>
    <w:pPr>
      <w:spacing w:line="288" w:lineRule="auto"/>
    </w:pPr>
    <w:rPr>
      <w:color w:val="000000" w:themeColor="text1"/>
      <w:sz w:val="28"/>
    </w:rPr>
  </w:style>
  <w:style w:type="paragraph" w:styleId="ListBullet">
    <w:name w:val="List Bullet"/>
    <w:basedOn w:val="Normal"/>
    <w:uiPriority w:val="99"/>
    <w:unhideWhenUsed/>
    <w:qFormat/>
    <w:rsid w:val="0045365D"/>
    <w:pPr>
      <w:tabs>
        <w:tab w:val="left" w:pos="170"/>
      </w:tabs>
      <w:spacing w:before="120" w:after="180" w:line="280" w:lineRule="atLeast"/>
    </w:pPr>
    <w:rPr>
      <w:rFonts w:ascii="Arial" w:eastAsia="Times New Roman" w:hAnsi="Arial" w:cs="Times New Roman"/>
      <w:spacing w:val="4"/>
      <w:lang w:eastAsia="en-AU"/>
    </w:rPr>
  </w:style>
  <w:style w:type="paragraph" w:styleId="ListParagraph">
    <w:name w:val="List Paragraph"/>
    <w:basedOn w:val="Normal"/>
    <w:uiPriority w:val="34"/>
    <w:qFormat/>
    <w:rsid w:val="00CA15CD"/>
    <w:pPr>
      <w:numPr>
        <w:numId w:val="4"/>
      </w:numPr>
      <w:spacing w:after="120"/>
    </w:pPr>
  </w:style>
  <w:style w:type="table" w:styleId="ListTable3-Accent6">
    <w:name w:val="List Table 3 Accent 6"/>
    <w:basedOn w:val="TableNormal"/>
    <w:uiPriority w:val="48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007C82" w:themeColor="accent6"/>
        <w:left w:val="single" w:sz="4" w:space="0" w:color="007C82" w:themeColor="accent6"/>
        <w:bottom w:val="single" w:sz="4" w:space="0" w:color="007C82" w:themeColor="accent6"/>
        <w:right w:val="single" w:sz="4" w:space="0" w:color="007C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82" w:themeFill="accent6"/>
      </w:tcPr>
    </w:tblStylePr>
    <w:tblStylePr w:type="lastRow">
      <w:rPr>
        <w:b/>
        <w:bCs/>
      </w:rPr>
      <w:tblPr/>
      <w:tcPr>
        <w:tcBorders>
          <w:top w:val="double" w:sz="4" w:space="0" w:color="007C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82" w:themeColor="accent6"/>
          <w:right w:val="single" w:sz="4" w:space="0" w:color="007C82" w:themeColor="accent6"/>
        </w:tcBorders>
      </w:tcPr>
    </w:tblStylePr>
    <w:tblStylePr w:type="band1Horz">
      <w:tblPr/>
      <w:tcPr>
        <w:tcBorders>
          <w:top w:val="single" w:sz="4" w:space="0" w:color="007C82" w:themeColor="accent6"/>
          <w:bottom w:val="single" w:sz="4" w:space="0" w:color="007C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82" w:themeColor="accent6"/>
          <w:left w:val="nil"/>
        </w:tcBorders>
      </w:tcPr>
    </w:tblStylePr>
    <w:tblStylePr w:type="swCell">
      <w:tblPr/>
      <w:tcPr>
        <w:tcBorders>
          <w:top w:val="double" w:sz="4" w:space="0" w:color="007C82" w:themeColor="accent6"/>
          <w:right w:val="nil"/>
        </w:tcBorders>
      </w:tcPr>
    </w:tblStylePr>
  </w:style>
  <w:style w:type="table" w:styleId="ListTable4-Accent5">
    <w:name w:val="List Table 4 Accent 5"/>
    <w:aliases w:val="DSS - Default striped table"/>
    <w:basedOn w:val="TableNormal"/>
    <w:uiPriority w:val="49"/>
    <w:rsid w:val="0045365D"/>
    <w:pPr>
      <w:spacing w:after="0" w:line="240" w:lineRule="auto"/>
    </w:pPr>
    <w:rPr>
      <w:color w:val="454545" w:themeColor="text2"/>
      <w:sz w:val="22"/>
      <w14:numSpacing w14:val="tabular"/>
    </w:rPr>
    <w:tblPr>
      <w:tblStyleRowBandSize w:val="1"/>
      <w:tblStyleColBandSize w:val="1"/>
      <w:tblBorders>
        <w:bottom w:val="single" w:sz="6" w:space="0" w:color="D9D9D6" w:themeColor="accent4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pPr>
        <w:wordWrap/>
      </w:pPr>
      <w:rPr>
        <w:b/>
        <w:bCs/>
        <w:color w:val="FFFFFF" w:themeColor="background1"/>
      </w:rPr>
      <w:tblPr/>
      <w:tcPr>
        <w:shd w:val="clear" w:color="auto" w:fill="005A70" w:themeFill="accent1"/>
      </w:tcPr>
    </w:tblStylePr>
    <w:tblStylePr w:type="lastRow">
      <w:rPr>
        <w:b/>
        <w:bCs/>
      </w:rPr>
      <w:tblPr/>
      <w:tcPr>
        <w:tcBorders>
          <w:top w:val="single" w:sz="6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pPr>
        <w:jc w:val="left"/>
      </w:pPr>
    </w:tblStylePr>
    <w:tblStylePr w:type="band1Horz">
      <w:rPr>
        <w:color w:val="454545" w:themeColor="text2"/>
      </w:rPr>
      <w:tblPr/>
      <w:tcPr>
        <w:tcBorders>
          <w:top w:val="nil"/>
          <w:left w:val="nil"/>
          <w:bottom w:val="single" w:sz="6" w:space="0" w:color="D9D9D6" w:themeColor="accent4"/>
          <w:right w:val="nil"/>
          <w:insideH w:val="nil"/>
          <w:insideV w:val="nil"/>
        </w:tcBorders>
        <w:shd w:val="clear" w:color="auto" w:fill="F8F8F8" w:themeFill="background2"/>
      </w:tcPr>
    </w:tblStylePr>
    <w:tblStylePr w:type="band2Horz">
      <w:tblPr/>
      <w:tcPr>
        <w:tcBorders>
          <w:bottom w:val="single" w:sz="6" w:space="0" w:color="D9D9D6" w:themeColor="accent4"/>
        </w:tcBorders>
      </w:tcPr>
    </w:tblStylePr>
  </w:style>
  <w:style w:type="table" w:customStyle="1" w:styleId="MACtable">
    <w:name w:val="MAC table"/>
    <w:basedOn w:val="TableNormal"/>
    <w:uiPriority w:val="99"/>
    <w:rsid w:val="0045365D"/>
    <w:pPr>
      <w:spacing w:after="0" w:line="240" w:lineRule="auto"/>
    </w:pPr>
    <w:rPr>
      <w:rFonts w:ascii="Arial" w:hAnsi="Arial"/>
    </w:rPr>
    <w:tblPr>
      <w:tblBorders>
        <w:top w:val="single" w:sz="4" w:space="0" w:color="00B0B9"/>
        <w:left w:val="single" w:sz="4" w:space="0" w:color="00B0B9"/>
        <w:bottom w:val="single" w:sz="4" w:space="0" w:color="00B0B9"/>
        <w:right w:val="single" w:sz="4" w:space="0" w:color="00B0B9"/>
        <w:insideH w:val="single" w:sz="4" w:space="0" w:color="00B0B9"/>
        <w:insideV w:val="single" w:sz="4" w:space="0" w:color="00B0B9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</w:rPr>
      <w:tblPr/>
      <w:tcPr>
        <w:shd w:val="clear" w:color="auto" w:fill="00B0B9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link w:val="NoSpacingChar"/>
    <w:uiPriority w:val="5"/>
    <w:qFormat/>
    <w:rsid w:val="00453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5"/>
    <w:rsid w:val="0045365D"/>
    <w:rPr>
      <w:spacing w:val="3"/>
      <w:sz w:val="22"/>
    </w:rPr>
  </w:style>
  <w:style w:type="paragraph" w:styleId="NormalWeb">
    <w:name w:val="Normal (Web)"/>
    <w:basedOn w:val="Normal"/>
    <w:uiPriority w:val="99"/>
    <w:semiHidden/>
    <w:unhideWhenUsed/>
    <w:rsid w:val="0045365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PageNumber1">
    <w:name w:val="Page Number1"/>
    <w:basedOn w:val="Normal"/>
    <w:uiPriority w:val="97"/>
    <w:qFormat/>
    <w:rsid w:val="0045365D"/>
    <w:pPr>
      <w:spacing w:after="120"/>
    </w:pPr>
    <w:rPr>
      <w:noProof/>
      <w:color w:val="005A70" w:themeColor="accent1"/>
      <w:sz w:val="18"/>
      <w:lang w:eastAsia="en-AU"/>
    </w:rPr>
  </w:style>
  <w:style w:type="paragraph" w:customStyle="1" w:styleId="PageNumber10">
    <w:name w:val="Page Number10"/>
    <w:basedOn w:val="Normal"/>
    <w:uiPriority w:val="1"/>
    <w:semiHidden/>
    <w:unhideWhenUsed/>
    <w:qFormat/>
    <w:rsid w:val="0045365D"/>
    <w:rPr>
      <w:color w:val="005A70" w:themeColor="accent1"/>
      <w:sz w:val="18"/>
    </w:rPr>
  </w:style>
  <w:style w:type="table" w:styleId="PlainTable1">
    <w:name w:val="Plain Table 1"/>
    <w:basedOn w:val="TableNormal"/>
    <w:uiPriority w:val="41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lockquoteorPullouttext">
    <w:name w:val="Blockquote or Pullout text"/>
    <w:basedOn w:val="Normal"/>
    <w:next w:val="Normal"/>
    <w:link w:val="BlockquoteorPullouttextChar"/>
    <w:uiPriority w:val="5"/>
    <w:qFormat/>
    <w:rsid w:val="00B36B86"/>
    <w:pPr>
      <w:keepLines/>
      <w:pBdr>
        <w:left w:val="single" w:sz="18" w:space="16" w:color="00B0B9" w:themeColor="accent2"/>
      </w:pBdr>
      <w:shd w:val="clear" w:color="auto" w:fill="FFFFFF" w:themeFill="background1"/>
      <w:spacing w:before="280" w:after="280"/>
      <w:ind w:left="601"/>
      <w:contextualSpacing/>
    </w:pPr>
    <w:rPr>
      <w:rFonts w:asciiTheme="majorHAnsi" w:eastAsia="Times New Roman" w:hAnsiTheme="majorHAnsi" w:cs="Arial"/>
      <w:bCs/>
      <w:iCs/>
      <w:szCs w:val="28"/>
      <w:lang w:eastAsia="en-AU"/>
    </w:rPr>
  </w:style>
  <w:style w:type="character" w:customStyle="1" w:styleId="BlockquoteorPullouttextChar">
    <w:name w:val="Blockquote or Pullout text Char"/>
    <w:basedOn w:val="Heading2Char"/>
    <w:link w:val="BlockquoteorPullouttext"/>
    <w:uiPriority w:val="5"/>
    <w:rsid w:val="00B36B86"/>
    <w:rPr>
      <w:rFonts w:asciiTheme="majorHAnsi" w:eastAsia="Times New Roman" w:hAnsiTheme="majorHAnsi" w:cs="Arial"/>
      <w:bCs/>
      <w:iCs/>
      <w:color w:val="005A70" w:themeColor="accent1"/>
      <w:spacing w:val="3"/>
      <w:sz w:val="22"/>
      <w:szCs w:val="28"/>
      <w:shd w:val="clear" w:color="auto" w:fill="FFFFFF" w:themeFill="background1"/>
      <w:lang w:eastAsia="en-AU"/>
    </w:rPr>
  </w:style>
  <w:style w:type="paragraph" w:customStyle="1" w:styleId="Smalltext">
    <w:name w:val="Small text"/>
    <w:basedOn w:val="Normal"/>
    <w:unhideWhenUsed/>
    <w:rsid w:val="0045365D"/>
    <w:pPr>
      <w:spacing w:after="120" w:line="240" w:lineRule="auto"/>
    </w:pPr>
    <w:rPr>
      <w:sz w:val="12"/>
      <w:szCs w:val="16"/>
      <w:lang w:val="en-US"/>
    </w:rPr>
  </w:style>
  <w:style w:type="character" w:styleId="Strong">
    <w:name w:val="Strong"/>
    <w:aliases w:val="Bold"/>
    <w:uiPriority w:val="22"/>
    <w:qFormat/>
    <w:rsid w:val="0045365D"/>
    <w:rPr>
      <w:b/>
      <w:bCs/>
    </w:rPr>
  </w:style>
  <w:style w:type="character" w:styleId="SubtleEmphasis">
    <w:name w:val="Subtle Emphasis"/>
    <w:uiPriority w:val="19"/>
    <w:qFormat/>
    <w:rsid w:val="0045365D"/>
    <w:rPr>
      <w:i/>
      <w:iCs/>
    </w:rPr>
  </w:style>
  <w:style w:type="table" w:styleId="TableGrid">
    <w:name w:val="Table Grid"/>
    <w:basedOn w:val="TableNormal"/>
    <w:uiPriority w:val="59"/>
    <w:rsid w:val="0045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olor w:val="FFFFFF" w:themeColor="background1"/>
      </w:rPr>
      <w:tblPr/>
      <w:tcPr>
        <w:shd w:val="clear" w:color="auto" w:fill="005A70" w:themeFill="accent1"/>
      </w:tcPr>
    </w:tblStylePr>
  </w:style>
  <w:style w:type="paragraph" w:customStyle="1" w:styleId="Tabletext-detailed">
    <w:name w:val="Table text - detailed"/>
    <w:basedOn w:val="NoSpacing"/>
    <w:uiPriority w:val="4"/>
    <w:qFormat/>
    <w:rsid w:val="0045365D"/>
    <w:pPr>
      <w:spacing w:line="312" w:lineRule="auto"/>
    </w:pPr>
    <w:rPr>
      <w:sz w:val="20"/>
    </w:rPr>
  </w:style>
  <w:style w:type="paragraph" w:customStyle="1" w:styleId="TableChartheading">
    <w:name w:val="Table/Chart heading"/>
    <w:basedOn w:val="Caption"/>
    <w:next w:val="Normal"/>
    <w:uiPriority w:val="4"/>
    <w:qFormat/>
    <w:rsid w:val="0045365D"/>
    <w:pPr>
      <w:spacing w:line="288" w:lineRule="auto"/>
    </w:pPr>
    <w:rPr>
      <w:rFonts w:asciiTheme="majorHAnsi" w:hAnsiTheme="majorHAnsi"/>
    </w:rPr>
  </w:style>
  <w:style w:type="paragraph" w:customStyle="1" w:styleId="Tableimagenote">
    <w:name w:val="Table/image note"/>
    <w:basedOn w:val="Normal"/>
    <w:next w:val="Normal"/>
    <w:uiPriority w:val="4"/>
    <w:qFormat/>
    <w:rsid w:val="0045365D"/>
    <w:pPr>
      <w:spacing w:before="120"/>
      <w:contextualSpacing/>
    </w:pPr>
    <w:rPr>
      <w:color w:val="595959" w:themeColor="text1" w:themeTint="A6"/>
      <w:sz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45365D"/>
    <w:pPr>
      <w:spacing w:before="1440" w:line="240" w:lineRule="auto"/>
      <w:contextualSpacing/>
    </w:pPr>
    <w:rPr>
      <w:rFonts w:asciiTheme="majorHAnsi" w:eastAsiaTheme="majorEastAsia" w:hAnsiTheme="majorHAnsi" w:cstheme="majorBidi"/>
      <w:color w:val="005A70" w:themeColor="accent1"/>
      <w:sz w:val="6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65D"/>
    <w:rPr>
      <w:rFonts w:asciiTheme="majorHAnsi" w:eastAsiaTheme="majorEastAsia" w:hAnsiTheme="majorHAnsi" w:cstheme="majorBidi"/>
      <w:color w:val="005A70" w:themeColor="accent1"/>
      <w:spacing w:val="3"/>
      <w:sz w:val="66"/>
      <w:szCs w:val="52"/>
    </w:rPr>
  </w:style>
  <w:style w:type="paragraph" w:customStyle="1" w:styleId="Titlepage">
    <w:name w:val="Title page"/>
    <w:basedOn w:val="Title"/>
    <w:semiHidden/>
    <w:rsid w:val="0045365D"/>
    <w:pPr>
      <w:spacing w:before="4000"/>
      <w:jc w:val="center"/>
    </w:pPr>
    <w:rPr>
      <w:sz w:val="72"/>
    </w:rPr>
  </w:style>
  <w:style w:type="paragraph" w:styleId="TOC1">
    <w:name w:val="toc 1"/>
    <w:basedOn w:val="Normal"/>
    <w:next w:val="Normal"/>
    <w:autoRedefine/>
    <w:uiPriority w:val="39"/>
    <w:unhideWhenUsed/>
    <w:rsid w:val="004536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365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5365D"/>
    <w:pPr>
      <w:spacing w:after="100"/>
      <w:ind w:left="400"/>
    </w:pPr>
  </w:style>
  <w:style w:type="paragraph" w:styleId="TOCHeading">
    <w:name w:val="TOC Heading"/>
    <w:basedOn w:val="Heading2"/>
    <w:next w:val="Normal"/>
    <w:uiPriority w:val="39"/>
    <w:unhideWhenUsed/>
    <w:qFormat/>
    <w:rsid w:val="0045365D"/>
  </w:style>
  <w:style w:type="character" w:styleId="CommentReference">
    <w:name w:val="annotation reference"/>
    <w:basedOn w:val="DefaultParagraphFont"/>
    <w:uiPriority w:val="99"/>
    <w:semiHidden/>
    <w:unhideWhenUsed/>
    <w:rsid w:val="00304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2A4"/>
    <w:rPr>
      <w:spacing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2A4"/>
    <w:rPr>
      <w:b/>
      <w:bCs/>
      <w:spacing w:val="3"/>
      <w:sz w:val="20"/>
      <w:szCs w:val="20"/>
    </w:rPr>
  </w:style>
  <w:style w:type="paragraph" w:styleId="Revision">
    <w:name w:val="Revision"/>
    <w:hidden/>
    <w:uiPriority w:val="99"/>
    <w:semiHidden/>
    <w:rsid w:val="0022162B"/>
    <w:pPr>
      <w:spacing w:after="0" w:line="240" w:lineRule="auto"/>
    </w:pPr>
    <w:rPr>
      <w:spacing w:val="3"/>
      <w:sz w:val="22"/>
    </w:rPr>
  </w:style>
  <w:style w:type="character" w:customStyle="1" w:styleId="Mention1">
    <w:name w:val="Mention1"/>
    <w:basedOn w:val="DefaultParagraphFont"/>
    <w:uiPriority w:val="99"/>
    <w:unhideWhenUsed/>
    <w:rsid w:val="00F047F4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2532C0"/>
    <w:rPr>
      <w:color w:val="2B579A"/>
      <w:shd w:val="clear" w:color="auto" w:fill="E6E6E6"/>
    </w:rPr>
  </w:style>
  <w:style w:type="paragraph" w:styleId="ListNumber">
    <w:name w:val="List Number"/>
    <w:basedOn w:val="Normal"/>
    <w:uiPriority w:val="99"/>
    <w:unhideWhenUsed/>
    <w:qFormat/>
    <w:rsid w:val="00996415"/>
    <w:pPr>
      <w:numPr>
        <w:numId w:val="2"/>
      </w:numPr>
      <w:contextualSpacing/>
    </w:pPr>
  </w:style>
  <w:style w:type="numbering" w:customStyle="1" w:styleId="DSSBulletList">
    <w:name w:val="DSS Bullet List"/>
    <w:uiPriority w:val="99"/>
    <w:rsid w:val="00065DC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B6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061">
          <w:marLeft w:val="19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80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8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24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9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3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9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6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4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2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0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5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839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49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04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19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00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0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8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5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6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1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9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25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57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SConsultations@dss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gage.dss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ss.gov.au/new-specialist-disability-employment-progr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0226\AppData\Local\Microsoft\Windows\INetCache\Content.Outlook\V1VPUR80\2024-25%20Budget%20Disability%20Employment%20Reforms%2023May2024.dotx" TargetMode="External"/></Relationships>
</file>

<file path=word/theme/theme1.xml><?xml version="1.0" encoding="utf-8"?>
<a:theme xmlns:a="http://schemas.openxmlformats.org/drawingml/2006/main" name="DSS Blue">
  <a:themeElements>
    <a:clrScheme name="DSS - Teal">
      <a:dk1>
        <a:sysClr val="windowText" lastClr="000000"/>
      </a:dk1>
      <a:lt1>
        <a:sysClr val="window" lastClr="FFFFFF"/>
      </a:lt1>
      <a:dk2>
        <a:srgbClr val="454545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D9D9D6"/>
      </a:accent4>
      <a:accent5>
        <a:srgbClr val="003542"/>
      </a:accent5>
      <a:accent6>
        <a:srgbClr val="007C82"/>
      </a:accent6>
      <a:hlink>
        <a:srgbClr val="0000FF"/>
      </a:hlink>
      <a:folHlink>
        <a:srgbClr val="000000"/>
      </a:folHlink>
    </a:clrScheme>
    <a:fontScheme name="DSS 2023 - 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efb9b5-01f2-423f-88ce-de8ed571e942">
      <UserInfo>
        <DisplayName>STILL, Jacinda</DisplayName>
        <AccountId>184</AccountId>
        <AccountType/>
      </UserInfo>
      <UserInfo>
        <DisplayName>RAE, Katie</DisplayName>
        <AccountId>152</AccountId>
        <AccountType/>
      </UserInfo>
      <UserInfo>
        <DisplayName>GALKE, Justin</DisplayName>
        <AccountId>61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A458A7F22FE46ABA1F67919ADFE55" ma:contentTypeVersion="8" ma:contentTypeDescription="Create a new document." ma:contentTypeScope="" ma:versionID="be5a3dff866761637c403fdc724beebf">
  <xsd:schema xmlns:xsd="http://www.w3.org/2001/XMLSchema" xmlns:xs="http://www.w3.org/2001/XMLSchema" xmlns:p="http://schemas.microsoft.com/office/2006/metadata/properties" xmlns:ns2="1aefb9b5-01f2-423f-88ce-de8ed571e942" xmlns:ns3="581498f5-73d7-49e3-98ea-234d6dc7ed43" targetNamespace="http://schemas.microsoft.com/office/2006/metadata/properties" ma:root="true" ma:fieldsID="e1e2a607803c33c6394edece4ccf0943" ns2:_="" ns3:_="">
    <xsd:import namespace="1aefb9b5-01f2-423f-88ce-de8ed571e942"/>
    <xsd:import namespace="581498f5-73d7-49e3-98ea-234d6dc7ed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fb9b5-01f2-423f-88ce-de8ed571e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498f5-73d7-49e3-98ea-234d6dc7e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D0FA8-730D-4713-A658-83D457E1C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DF3293-3212-4711-AD78-69980025FAC2}">
  <ds:schemaRefs>
    <ds:schemaRef ds:uri="http://schemas.microsoft.com/office/2006/metadata/properties"/>
    <ds:schemaRef ds:uri="http://schemas.microsoft.com/office/infopath/2007/PartnerControls"/>
    <ds:schemaRef ds:uri="1aefb9b5-01f2-423f-88ce-de8ed571e942"/>
  </ds:schemaRefs>
</ds:datastoreItem>
</file>

<file path=customXml/itemProps3.xml><?xml version="1.0" encoding="utf-8"?>
<ds:datastoreItem xmlns:ds="http://schemas.openxmlformats.org/officeDocument/2006/customXml" ds:itemID="{D5053444-966A-467A-B01C-180A1F1F3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092FD-2938-48EF-A0C6-300553F6F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fb9b5-01f2-423f-88ce-de8ed571e942"/>
    <ds:schemaRef ds:uri="581498f5-73d7-49e3-98ea-234d6dc7e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2024-25 Budget Disability Employment Reforms 23May2024</Template>
  <TotalTime>3</TotalTime>
  <Pages>6</Pages>
  <Words>3134</Words>
  <Characters>18219</Characters>
  <Application>Microsoft Office Word</Application>
  <DocSecurity>0</DocSecurity>
  <Lines>393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Report Template</vt:lpstr>
    </vt:vector>
  </TitlesOfParts>
  <Company>Department of Social Services</Company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Post-budget briefing 23 May 2024 Accessible Version of Slides</dc:title>
  <dc:subject/>
  <cp:keywords>[SEC=OFFICIAL]</cp:keywords>
  <cp:lastPrinted>2014-10-25T23:51:00Z</cp:lastPrinted>
  <dcterms:created xsi:type="dcterms:W3CDTF">2024-05-31T01:13:00Z</dcterms:created>
  <dcterms:modified xsi:type="dcterms:W3CDTF">2024-05-31T01:57:00Z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B51A5B0BF72647C5B505FD48B6A220E6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88F723D6B509C17400F30730940E9F59F064223F</vt:lpwstr>
  </property>
  <property fmtid="{D5CDD505-2E9C-101B-9397-08002B2CF9AE}" pid="11" name="PM_OriginationTimeStamp">
    <vt:lpwstr>2024-03-06T03:06:25Z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2022.1</vt:lpwstr>
  </property>
  <property fmtid="{D5CDD505-2E9C-101B-9397-08002B2CF9AE}" pid="20" name="PM_Hash_Salt_Prev">
    <vt:lpwstr>E204D4969F983BD48B054A5C76F36E0D</vt:lpwstr>
  </property>
  <property fmtid="{D5CDD505-2E9C-101B-9397-08002B2CF9AE}" pid="21" name="PM_Hash_Salt">
    <vt:lpwstr>793CB3A95E8B3F9AE2FB572F202E56FE</vt:lpwstr>
  </property>
  <property fmtid="{D5CDD505-2E9C-101B-9397-08002B2CF9AE}" pid="22" name="PM_Hash_SHA1">
    <vt:lpwstr>9035854FD424D11FA267304093FFE32F00F58EA7</vt:lpwstr>
  </property>
  <property fmtid="{D5CDD505-2E9C-101B-9397-08002B2CF9AE}" pid="23" name="PM_OriginatorUserAccountName_SHA256">
    <vt:lpwstr>98AFB3836A39207EADDBCE419388C2D8DF90EB0549A90E6614F70F1F87DD1813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ContentTypeId">
    <vt:lpwstr>0x010100E39A458A7F22FE46ABA1F67919ADFE55</vt:lpwstr>
  </property>
  <property fmtid="{D5CDD505-2E9C-101B-9397-08002B2CF9AE}" pid="28" name="MediaServiceImageTags">
    <vt:lpwstr/>
  </property>
  <property fmtid="{D5CDD505-2E9C-101B-9397-08002B2CF9AE}" pid="29" name="MSIP_Label_eb34d90b-fc41-464d-af60-f74d721d0790_Enabled">
    <vt:lpwstr>true</vt:lpwstr>
  </property>
  <property fmtid="{D5CDD505-2E9C-101B-9397-08002B2CF9AE}" pid="30" name="MSIP_Label_eb34d90b-fc41-464d-af60-f74d721d0790_SetDate">
    <vt:lpwstr>2024-03-06T03:06:25Z</vt:lpwstr>
  </property>
  <property fmtid="{D5CDD505-2E9C-101B-9397-08002B2CF9AE}" pid="31" name="MSIP_Label_eb34d90b-fc41-464d-af60-f74d721d0790_Method">
    <vt:lpwstr>Privileged</vt:lpwstr>
  </property>
  <property fmtid="{D5CDD505-2E9C-101B-9397-08002B2CF9AE}" pid="32" name="MSIP_Label_eb34d90b-fc41-464d-af60-f74d721d0790_Name">
    <vt:lpwstr>OFFICIAL</vt:lpwstr>
  </property>
  <property fmtid="{D5CDD505-2E9C-101B-9397-08002B2CF9AE}" pid="33" name="MSIP_Label_eb34d90b-fc41-464d-af60-f74d721d0790_SiteId">
    <vt:lpwstr>61e36dd1-ca6e-4d61-aa0a-2b4eb88317a3</vt:lpwstr>
  </property>
  <property fmtid="{D5CDD505-2E9C-101B-9397-08002B2CF9AE}" pid="34" name="MSIP_Label_eb34d90b-fc41-464d-af60-f74d721d0790_ActionId">
    <vt:lpwstr>34deac2a7d894e73adc76fef2e7a3aec</vt:lpwstr>
  </property>
  <property fmtid="{D5CDD505-2E9C-101B-9397-08002B2CF9AE}" pid="35" name="MSIP_Label_eb34d90b-fc41-464d-af60-f74d721d0790_ContentBits">
    <vt:lpwstr>0</vt:lpwstr>
  </property>
  <property fmtid="{D5CDD505-2E9C-101B-9397-08002B2CF9AE}" pid="36" name="PMHMAC">
    <vt:lpwstr>v=2022.1;a=SHA256;h=119D4B0318527DE718338C021608F6EA1E8DBADD50384119C4398EDF039B239D</vt:lpwstr>
  </property>
  <property fmtid="{D5CDD505-2E9C-101B-9397-08002B2CF9AE}" pid="37" name="PMUuid">
    <vt:lpwstr>v=2022.2;d=gov.au;g=46DD6D7C-8107-577B-BC6E-F348953B2E44</vt:lpwstr>
  </property>
</Properties>
</file>