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0661" w14:textId="77777777" w:rsidR="000252E8" w:rsidRDefault="000252E8" w:rsidP="000252E8">
      <w:pPr>
        <w:tabs>
          <w:tab w:val="left" w:pos="7947"/>
        </w:tabs>
        <w:spacing w:after="240"/>
        <w:rPr>
          <w:rFonts w:ascii="Avenir Book" w:hAnsi="Avenir Book"/>
          <w:b/>
          <w:bCs/>
        </w:rPr>
      </w:pPr>
    </w:p>
    <w:p w14:paraId="55F35136" w14:textId="13919FBE" w:rsidR="00A05ACC" w:rsidRPr="00AA6009" w:rsidRDefault="00AA6009" w:rsidP="000252E8">
      <w:pPr>
        <w:tabs>
          <w:tab w:val="left" w:pos="7947"/>
        </w:tabs>
        <w:spacing w:after="240"/>
        <w:rPr>
          <w:rFonts w:ascii="Avenir Book" w:hAnsi="Avenir Book"/>
        </w:rPr>
      </w:pPr>
      <w:r w:rsidRPr="00AA6009">
        <w:rPr>
          <w:rFonts w:ascii="Avenir Book" w:hAnsi="Avenir Book"/>
        </w:rPr>
        <w:t>To whom it may concern</w:t>
      </w:r>
    </w:p>
    <w:p w14:paraId="3CCD3106" w14:textId="23F70123" w:rsidR="000252E8" w:rsidRPr="00776528" w:rsidRDefault="000252E8" w:rsidP="000252E8">
      <w:pPr>
        <w:tabs>
          <w:tab w:val="left" w:pos="7947"/>
        </w:tabs>
        <w:spacing w:after="240"/>
        <w:rPr>
          <w:rFonts w:ascii="Avenir Book" w:hAnsi="Avenir Book"/>
          <w:b/>
          <w:bCs/>
        </w:rPr>
      </w:pPr>
      <w:r w:rsidRPr="00776528">
        <w:rPr>
          <w:rFonts w:ascii="Avenir Book" w:hAnsi="Avenir Book"/>
          <w:b/>
          <w:bCs/>
        </w:rPr>
        <w:t xml:space="preserve">Between two stools – Why draft Section 10 Lists </w:t>
      </w:r>
      <w:r>
        <w:rPr>
          <w:rFonts w:ascii="Avenir Book" w:hAnsi="Avenir Book"/>
          <w:b/>
          <w:bCs/>
        </w:rPr>
        <w:t>should not be part of</w:t>
      </w:r>
      <w:r w:rsidRPr="00776528">
        <w:rPr>
          <w:rFonts w:ascii="Avenir Book" w:hAnsi="Avenir Book"/>
          <w:b/>
          <w:bCs/>
        </w:rPr>
        <w:t xml:space="preserve"> NDIS </w:t>
      </w:r>
      <w:r w:rsidRPr="00776528">
        <w:rPr>
          <w:rStyle w:val="Strong"/>
          <w:rFonts w:ascii="Avenir Book" w:hAnsi="Avenir Book"/>
        </w:rPr>
        <w:t>reforms</w:t>
      </w:r>
    </w:p>
    <w:p w14:paraId="26DE889A" w14:textId="77777777" w:rsidR="000252E8" w:rsidRDefault="000252E8" w:rsidP="000252E8">
      <w:pPr>
        <w:tabs>
          <w:tab w:val="left" w:pos="7947"/>
        </w:tabs>
        <w:spacing w:after="240"/>
        <w:rPr>
          <w:rFonts w:ascii="Avenir Book" w:hAnsi="Avenir Book"/>
        </w:rPr>
      </w:pPr>
      <w:r>
        <w:rPr>
          <w:rFonts w:ascii="Avenir Book" w:hAnsi="Avenir Book"/>
        </w:rPr>
        <w:t>More than 660,000 Australians with lifelong disability depend on the National Disability Insurance Scheme (NDIS). And yet, this critical government program is threatened by uncontrolled cost growth and reputational damage.</w:t>
      </w:r>
    </w:p>
    <w:p w14:paraId="422B321E" w14:textId="45560753" w:rsidR="000252E8" w:rsidRPr="00776528" w:rsidRDefault="000252E8" w:rsidP="000252E8">
      <w:pPr>
        <w:tabs>
          <w:tab w:val="left" w:pos="7947"/>
        </w:tabs>
        <w:spacing w:after="240"/>
        <w:rPr>
          <w:rFonts w:ascii="Avenir Book" w:hAnsi="Avenir Book"/>
        </w:rPr>
      </w:pPr>
      <w:r>
        <w:rPr>
          <w:rFonts w:ascii="Avenir Book" w:hAnsi="Avenir Book"/>
        </w:rPr>
        <w:t xml:space="preserve">Efforts to reform the NDIS and bring costs down to the </w:t>
      </w:r>
      <w:r w:rsidR="00F4009E">
        <w:rPr>
          <w:rFonts w:ascii="Avenir Book" w:hAnsi="Avenir Book"/>
        </w:rPr>
        <w:t xml:space="preserve">federal government’s </w:t>
      </w:r>
      <w:r>
        <w:rPr>
          <w:rFonts w:ascii="Avenir Book" w:hAnsi="Avenir Book"/>
        </w:rPr>
        <w:t>8 per cent growth target, and maintain public confidence, are vital. However, the draft list of NDIS Supports will not achieve these goals. The lists are incoherent, heavy handed, and</w:t>
      </w:r>
      <w:r w:rsidR="00F4009E">
        <w:rPr>
          <w:rFonts w:ascii="Avenir Book" w:hAnsi="Avenir Book"/>
        </w:rPr>
        <w:t>,</w:t>
      </w:r>
      <w:r>
        <w:rPr>
          <w:rFonts w:ascii="Avenir Book" w:hAnsi="Avenir Book"/>
        </w:rPr>
        <w:t xml:space="preserve"> worst of all, inconsistent with the purpose of the NDIS and with larger reforms the </w:t>
      </w:r>
      <w:r w:rsidR="00F4009E">
        <w:rPr>
          <w:rFonts w:ascii="Avenir Book" w:hAnsi="Avenir Book"/>
        </w:rPr>
        <w:t>s</w:t>
      </w:r>
      <w:r>
        <w:rPr>
          <w:rFonts w:ascii="Avenir Book" w:hAnsi="Avenir Book"/>
        </w:rPr>
        <w:t xml:space="preserve">cheme needs to be sustainable. </w:t>
      </w:r>
    </w:p>
    <w:p w14:paraId="0E2E8F41" w14:textId="2EA49D2D" w:rsidR="000252E8" w:rsidRPr="00776528" w:rsidRDefault="000252E8" w:rsidP="000252E8">
      <w:pPr>
        <w:tabs>
          <w:tab w:val="left" w:pos="7947"/>
        </w:tabs>
        <w:spacing w:after="240"/>
        <w:rPr>
          <w:rFonts w:ascii="Avenir Book" w:hAnsi="Avenir Book"/>
        </w:rPr>
      </w:pPr>
      <w:r>
        <w:rPr>
          <w:rFonts w:ascii="Avenir Book" w:hAnsi="Avenir Book"/>
        </w:rPr>
        <w:t xml:space="preserve">For the sake of public confidence in the NDIS, there may be good reason to create a shortlist of supports that are illegal or at odds with public expectations about the appropriate use of public funds. </w:t>
      </w:r>
      <w:r w:rsidR="00F4009E">
        <w:rPr>
          <w:rFonts w:ascii="Avenir Book" w:hAnsi="Avenir Book"/>
        </w:rPr>
        <w:t xml:space="preserve">But trying </w:t>
      </w:r>
      <w:r>
        <w:rPr>
          <w:rFonts w:ascii="Avenir Book" w:hAnsi="Avenir Book"/>
        </w:rPr>
        <w:t xml:space="preserve">to codify all supports that are ‘in’ or ‘out’ is a fruitless exercise. </w:t>
      </w:r>
    </w:p>
    <w:p w14:paraId="2B3A68BC" w14:textId="1987FD06" w:rsidR="000252E8" w:rsidRPr="00776528" w:rsidRDefault="000252E8" w:rsidP="000252E8">
      <w:pPr>
        <w:tabs>
          <w:tab w:val="left" w:pos="7947"/>
        </w:tabs>
        <w:spacing w:after="240"/>
        <w:rPr>
          <w:rFonts w:ascii="Avenir Book" w:hAnsi="Avenir Book"/>
        </w:rPr>
      </w:pPr>
      <w:r w:rsidRPr="00776528">
        <w:rPr>
          <w:rFonts w:ascii="Avenir Book" w:hAnsi="Avenir Book"/>
        </w:rPr>
        <w:t xml:space="preserve">The government should ditch its 17-page list and focus reform efforts on bringing the </w:t>
      </w:r>
      <w:r w:rsidR="00F4009E">
        <w:rPr>
          <w:rFonts w:ascii="Avenir Book" w:hAnsi="Avenir Book"/>
        </w:rPr>
        <w:t xml:space="preserve">NDIS </w:t>
      </w:r>
      <w:r w:rsidRPr="00776528">
        <w:rPr>
          <w:rFonts w:ascii="Avenir Book" w:hAnsi="Avenir Book"/>
        </w:rPr>
        <w:t>back to its original design intent as a world-leading system of self-directed</w:t>
      </w:r>
      <w:r>
        <w:rPr>
          <w:rFonts w:ascii="Avenir Book" w:hAnsi="Avenir Book"/>
        </w:rPr>
        <w:t xml:space="preserve"> </w:t>
      </w:r>
      <w:r w:rsidRPr="00776528">
        <w:rPr>
          <w:rFonts w:ascii="Avenir Book" w:hAnsi="Avenir Book"/>
        </w:rPr>
        <w:t xml:space="preserve">disability support. </w:t>
      </w:r>
    </w:p>
    <w:p w14:paraId="7AD0D001" w14:textId="4D6BE3A4" w:rsidR="000252E8" w:rsidRPr="00776528" w:rsidRDefault="000252E8" w:rsidP="000252E8">
      <w:pPr>
        <w:tabs>
          <w:tab w:val="left" w:pos="7947"/>
        </w:tabs>
        <w:spacing w:after="240"/>
        <w:rPr>
          <w:rFonts w:ascii="Avenir Book" w:hAnsi="Avenir Book"/>
        </w:rPr>
      </w:pPr>
      <w:r w:rsidRPr="00776528">
        <w:rPr>
          <w:rFonts w:ascii="Avenir Book" w:hAnsi="Avenir Book"/>
        </w:rPr>
        <w:t xml:space="preserve">I support key changes included in the </w:t>
      </w:r>
      <w:r>
        <w:rPr>
          <w:rFonts w:ascii="Avenir Book" w:hAnsi="Avenir Book"/>
        </w:rPr>
        <w:t xml:space="preserve">recently passed </w:t>
      </w:r>
      <w:r w:rsidRPr="00776528">
        <w:rPr>
          <w:rFonts w:ascii="Avenir Book" w:hAnsi="Avenir Book"/>
        </w:rPr>
        <w:t xml:space="preserve">NDIS </w:t>
      </w:r>
      <w:r>
        <w:rPr>
          <w:rFonts w:ascii="Avenir Book" w:hAnsi="Avenir Book"/>
        </w:rPr>
        <w:t>Bill</w:t>
      </w:r>
      <w:r w:rsidRPr="00776528">
        <w:rPr>
          <w:rFonts w:ascii="Avenir Book" w:hAnsi="Avenir Book"/>
        </w:rPr>
        <w:t xml:space="preserve"> </w:t>
      </w:r>
      <w:r>
        <w:rPr>
          <w:rFonts w:ascii="Avenir Book" w:hAnsi="Avenir Book"/>
        </w:rPr>
        <w:t>that</w:t>
      </w:r>
      <w:r w:rsidRPr="00776528">
        <w:rPr>
          <w:rFonts w:ascii="Avenir Book" w:hAnsi="Avenir Book"/>
        </w:rPr>
        <w:t xml:space="preserve"> </w:t>
      </w:r>
      <w:r>
        <w:rPr>
          <w:rFonts w:ascii="Avenir Book" w:hAnsi="Avenir Book"/>
        </w:rPr>
        <w:t xml:space="preserve">will </w:t>
      </w:r>
      <w:r w:rsidRPr="00776528">
        <w:rPr>
          <w:rFonts w:ascii="Avenir Book" w:hAnsi="Avenir Book"/>
        </w:rPr>
        <w:t>reform the assessment and planning process and introduce tighter guardrails to contain plan inflation</w:t>
      </w:r>
      <w:r w:rsidR="00F4009E">
        <w:rPr>
          <w:rFonts w:ascii="Avenir Book" w:hAnsi="Avenir Book"/>
        </w:rPr>
        <w:t>:</w:t>
      </w:r>
      <w:r w:rsidRPr="00776528">
        <w:rPr>
          <w:rFonts w:ascii="Avenir Book" w:hAnsi="Avenir Book"/>
        </w:rPr>
        <w:t xml:space="preserve"> </w:t>
      </w:r>
    </w:p>
    <w:p w14:paraId="37C8C328" w14:textId="40FC8D27" w:rsidR="000252E8" w:rsidRPr="00776528" w:rsidRDefault="000252E8" w:rsidP="000252E8">
      <w:pPr>
        <w:numPr>
          <w:ilvl w:val="0"/>
          <w:numId w:val="1"/>
        </w:numPr>
        <w:tabs>
          <w:tab w:val="left" w:pos="7947"/>
        </w:tabs>
        <w:spacing w:after="240"/>
        <w:rPr>
          <w:rFonts w:ascii="Avenir Book" w:hAnsi="Avenir Book"/>
        </w:rPr>
      </w:pPr>
      <w:r w:rsidRPr="00776528">
        <w:rPr>
          <w:rFonts w:ascii="Avenir Book" w:hAnsi="Avenir Book"/>
        </w:rPr>
        <w:t>The new assessment and budget</w:t>
      </w:r>
      <w:r w:rsidR="00F4009E">
        <w:rPr>
          <w:rFonts w:ascii="Avenir Book" w:hAnsi="Avenir Book"/>
        </w:rPr>
        <w:t>-</w:t>
      </w:r>
      <w:r w:rsidRPr="00776528">
        <w:rPr>
          <w:rFonts w:ascii="Avenir Book" w:hAnsi="Avenir Book"/>
        </w:rPr>
        <w:t>setting approach proposed will end line-by-line planning and bring the NDIS into line with design features of comparable systems the world over. Once rules are developed, this promises to fix the biggest design flaw in the NDIS</w:t>
      </w:r>
      <w:r>
        <w:rPr>
          <w:rFonts w:ascii="Avenir Book" w:hAnsi="Avenir Book"/>
        </w:rPr>
        <w:t xml:space="preserve">, which is </w:t>
      </w:r>
      <w:r w:rsidRPr="00776528">
        <w:rPr>
          <w:rFonts w:ascii="Avenir Book" w:hAnsi="Avenir Book"/>
        </w:rPr>
        <w:t xml:space="preserve">critical if </w:t>
      </w:r>
      <w:r>
        <w:rPr>
          <w:rFonts w:ascii="Avenir Book" w:hAnsi="Avenir Book"/>
        </w:rPr>
        <w:t>NDIS</w:t>
      </w:r>
      <w:r w:rsidRPr="00776528">
        <w:rPr>
          <w:rFonts w:ascii="Avenir Book" w:hAnsi="Avenir Book"/>
        </w:rPr>
        <w:t xml:space="preserve"> costs are ever to be predictable or sustainable.</w:t>
      </w:r>
    </w:p>
    <w:p w14:paraId="2BF394B3" w14:textId="763A9897" w:rsidR="000252E8" w:rsidRPr="00776528" w:rsidRDefault="000252E8" w:rsidP="000252E8">
      <w:pPr>
        <w:numPr>
          <w:ilvl w:val="0"/>
          <w:numId w:val="1"/>
        </w:numPr>
        <w:tabs>
          <w:tab w:val="left" w:pos="7947"/>
        </w:tabs>
        <w:spacing w:after="240"/>
        <w:rPr>
          <w:rFonts w:ascii="Avenir Book" w:hAnsi="Avenir Book"/>
        </w:rPr>
      </w:pPr>
      <w:r w:rsidRPr="00776528">
        <w:rPr>
          <w:rFonts w:ascii="Avenir Book" w:hAnsi="Avenir Book"/>
        </w:rPr>
        <w:t>Similarly, measures that tackle plan inflation by placing caps on total or component plan budgets and introduce interval payments</w:t>
      </w:r>
      <w:r>
        <w:rPr>
          <w:rFonts w:ascii="Avenir Book" w:hAnsi="Avenir Book"/>
        </w:rPr>
        <w:t>,</w:t>
      </w:r>
      <w:r w:rsidRPr="00776528">
        <w:rPr>
          <w:rFonts w:ascii="Avenir Book" w:hAnsi="Avenir Book"/>
        </w:rPr>
        <w:t xml:space="preserve"> to help participants calibrate their spending within intended plan durations, are </w:t>
      </w:r>
      <w:r>
        <w:rPr>
          <w:rFonts w:ascii="Avenir Book" w:hAnsi="Avenir Book"/>
        </w:rPr>
        <w:t>sensible</w:t>
      </w:r>
      <w:r w:rsidRPr="00776528">
        <w:rPr>
          <w:rFonts w:ascii="Avenir Book" w:hAnsi="Avenir Book"/>
        </w:rPr>
        <w:t xml:space="preserve"> fixes which will make the scheme easier to administer.</w:t>
      </w:r>
    </w:p>
    <w:p w14:paraId="63316B8D" w14:textId="77777777" w:rsidR="00A05ACC" w:rsidRDefault="00A05ACC" w:rsidP="000252E8">
      <w:pPr>
        <w:tabs>
          <w:tab w:val="left" w:pos="7947"/>
        </w:tabs>
        <w:spacing w:after="240"/>
        <w:rPr>
          <w:rFonts w:ascii="Avenir Book" w:hAnsi="Avenir Book"/>
        </w:rPr>
      </w:pPr>
    </w:p>
    <w:p w14:paraId="3A9C4F39" w14:textId="2883CBE2" w:rsidR="000252E8" w:rsidRPr="00776528" w:rsidRDefault="000252E8" w:rsidP="000252E8">
      <w:pPr>
        <w:tabs>
          <w:tab w:val="left" w:pos="7947"/>
        </w:tabs>
        <w:spacing w:after="240"/>
        <w:rPr>
          <w:rFonts w:ascii="Avenir Book" w:hAnsi="Avenir Book"/>
        </w:rPr>
      </w:pPr>
      <w:r w:rsidRPr="00776528">
        <w:rPr>
          <w:rFonts w:ascii="Avenir Book" w:hAnsi="Avenir Book"/>
        </w:rPr>
        <w:t xml:space="preserve">Whilst there is </w:t>
      </w:r>
      <w:r>
        <w:rPr>
          <w:rFonts w:ascii="Avenir Book" w:hAnsi="Avenir Book"/>
        </w:rPr>
        <w:t xml:space="preserve">also </w:t>
      </w:r>
      <w:r w:rsidRPr="00776528">
        <w:rPr>
          <w:rFonts w:ascii="Avenir Book" w:hAnsi="Avenir Book"/>
        </w:rPr>
        <w:t xml:space="preserve">some merit in a clearer definition of NDIS Supports, </w:t>
      </w:r>
      <w:r w:rsidR="00F4009E">
        <w:rPr>
          <w:rFonts w:ascii="Avenir Book" w:hAnsi="Avenir Book"/>
        </w:rPr>
        <w:t xml:space="preserve">establishing </w:t>
      </w:r>
      <w:r w:rsidRPr="00776528">
        <w:rPr>
          <w:rFonts w:ascii="Avenir Book" w:hAnsi="Avenir Book"/>
        </w:rPr>
        <w:t xml:space="preserve">a lengthy ‘outs and ins’ list is fundamentally at odds with what disabled Australians should expect to see as benefits from these legislative reforms. </w:t>
      </w:r>
    </w:p>
    <w:p w14:paraId="1CCCB00E" w14:textId="77777777" w:rsidR="00A05ACC" w:rsidRDefault="00A05ACC" w:rsidP="000252E8">
      <w:pPr>
        <w:tabs>
          <w:tab w:val="left" w:pos="7947"/>
        </w:tabs>
        <w:spacing w:after="240"/>
        <w:rPr>
          <w:rFonts w:ascii="Avenir Book" w:hAnsi="Avenir Book"/>
          <w:b/>
          <w:bCs/>
        </w:rPr>
      </w:pPr>
    </w:p>
    <w:p w14:paraId="19982064" w14:textId="39A57D82" w:rsidR="000252E8" w:rsidRPr="00776528" w:rsidRDefault="000252E8" w:rsidP="000252E8">
      <w:pPr>
        <w:tabs>
          <w:tab w:val="left" w:pos="7947"/>
        </w:tabs>
        <w:spacing w:after="240"/>
        <w:rPr>
          <w:rFonts w:ascii="Avenir Book" w:hAnsi="Avenir Book"/>
          <w:b/>
          <w:bCs/>
        </w:rPr>
      </w:pPr>
      <w:r w:rsidRPr="00776528">
        <w:rPr>
          <w:rFonts w:ascii="Avenir Book" w:hAnsi="Avenir Book"/>
          <w:b/>
          <w:bCs/>
        </w:rPr>
        <w:t>Seeing the bigger picture</w:t>
      </w:r>
    </w:p>
    <w:p w14:paraId="7C1F5844" w14:textId="375B8258" w:rsidR="000252E8" w:rsidRPr="00776528" w:rsidRDefault="000252E8" w:rsidP="000252E8">
      <w:pPr>
        <w:tabs>
          <w:tab w:val="left" w:pos="7947"/>
        </w:tabs>
        <w:spacing w:after="240"/>
        <w:rPr>
          <w:rFonts w:ascii="Avenir Book" w:hAnsi="Avenir Book"/>
        </w:rPr>
      </w:pPr>
      <w:r w:rsidRPr="00776528">
        <w:rPr>
          <w:rFonts w:ascii="Avenir Book" w:hAnsi="Avenir Book"/>
        </w:rPr>
        <w:t xml:space="preserve">Currently, the financial health of the </w:t>
      </w:r>
      <w:r w:rsidR="00F4009E">
        <w:rPr>
          <w:rFonts w:ascii="Avenir Book" w:hAnsi="Avenir Book"/>
        </w:rPr>
        <w:t xml:space="preserve">NDIS </w:t>
      </w:r>
      <w:r w:rsidRPr="00776528">
        <w:rPr>
          <w:rFonts w:ascii="Avenir Book" w:hAnsi="Avenir Book"/>
        </w:rPr>
        <w:t xml:space="preserve">rests on the sum of </w:t>
      </w:r>
      <w:r w:rsidR="00F4009E">
        <w:rPr>
          <w:rFonts w:ascii="Avenir Book" w:hAnsi="Avenir Book"/>
        </w:rPr>
        <w:t xml:space="preserve">thousands </w:t>
      </w:r>
      <w:r w:rsidRPr="00776528">
        <w:rPr>
          <w:rFonts w:ascii="Avenir Book" w:hAnsi="Avenir Book"/>
        </w:rPr>
        <w:t>of decisions made every week by junior bureaucrats working with highly complex and subjective criteria to determine every support included in a participant’s plan. This means inconsistency and inequity is hardwired into the design, which also includes no effective way of controlling costs. This design has served participants very poorly, inviting dispute and plan inflation in equal measure.</w:t>
      </w:r>
      <w:r w:rsidRPr="00776528">
        <w:rPr>
          <w:rFonts w:ascii="Avenir Book" w:hAnsi="Avenir Book"/>
        </w:rPr>
        <w:br/>
      </w:r>
      <w:r w:rsidRPr="00776528">
        <w:rPr>
          <w:rFonts w:ascii="Avenir Book" w:hAnsi="Avenir Book"/>
        </w:rPr>
        <w:br/>
        <w:t>There were two routes open to last year’s NDIS Review for fixing this: the extensive codification of everything that can be deemed reasonable and necessary (like a Medicare Benefits Schedule for disability</w:t>
      </w:r>
      <w:r w:rsidR="00F4009E">
        <w:rPr>
          <w:rFonts w:ascii="Avenir Book" w:hAnsi="Avenir Book"/>
        </w:rPr>
        <w:t xml:space="preserve"> </w:t>
      </w:r>
      <w:r w:rsidRPr="00776528">
        <w:rPr>
          <w:rFonts w:ascii="Avenir Book" w:hAnsi="Avenir Book"/>
        </w:rPr>
        <w:t>…</w:t>
      </w:r>
      <w:r w:rsidR="00F4009E">
        <w:rPr>
          <w:rFonts w:ascii="Avenir Book" w:hAnsi="Avenir Book"/>
        </w:rPr>
        <w:t xml:space="preserve"> </w:t>
      </w:r>
      <w:r w:rsidRPr="00776528">
        <w:rPr>
          <w:rFonts w:ascii="Avenir Book" w:hAnsi="Avenir Book"/>
        </w:rPr>
        <w:t>or indeed the Section 10 List), or the ability for participant funding levels to be set using objective variables derived from standardised assessment. Thankfully the Review opted for the latter – this was the right choice for a scheme whose success will rely on individualised and creative use of funds.</w:t>
      </w:r>
    </w:p>
    <w:p w14:paraId="76900BCC" w14:textId="6076BCCA" w:rsidR="00F4009E" w:rsidRPr="00013EA2" w:rsidRDefault="000252E8" w:rsidP="000252E8">
      <w:pPr>
        <w:tabs>
          <w:tab w:val="left" w:pos="7947"/>
        </w:tabs>
        <w:spacing w:after="240"/>
        <w:rPr>
          <w:rFonts w:ascii="Avenir Book" w:hAnsi="Avenir Book"/>
          <w:b/>
          <w:bCs/>
        </w:rPr>
      </w:pPr>
      <w:r w:rsidRPr="00013EA2">
        <w:rPr>
          <w:rFonts w:ascii="Avenir Book" w:hAnsi="Avenir Book"/>
          <w:b/>
          <w:bCs/>
        </w:rPr>
        <w:t xml:space="preserve">The significance of ‘reasonable and necessary’ changes in NDIS 2.0 </w:t>
      </w:r>
    </w:p>
    <w:p w14:paraId="598A34E5" w14:textId="0A40DA36" w:rsidR="000252E8" w:rsidRPr="00776528" w:rsidRDefault="000252E8" w:rsidP="000252E8">
      <w:pPr>
        <w:tabs>
          <w:tab w:val="left" w:pos="7947"/>
        </w:tabs>
        <w:spacing w:after="240"/>
        <w:rPr>
          <w:rFonts w:ascii="Avenir Book" w:hAnsi="Avenir Book"/>
        </w:rPr>
      </w:pPr>
      <w:r w:rsidRPr="00776528">
        <w:rPr>
          <w:rFonts w:ascii="Avenir Book" w:hAnsi="Avenir Book"/>
        </w:rPr>
        <w:t>In future, ‘reasonable and necessary’</w:t>
      </w:r>
      <w:r w:rsidR="00F4009E">
        <w:rPr>
          <w:rFonts w:ascii="Avenir Book" w:hAnsi="Avenir Book"/>
        </w:rPr>
        <w:t>,</w:t>
      </w:r>
      <w:r w:rsidRPr="00776528">
        <w:rPr>
          <w:rFonts w:ascii="Avenir Book" w:hAnsi="Avenir Book"/>
        </w:rPr>
        <w:t xml:space="preserve"> the animating concept of the NDIS, will refer to the level of funding a person with disability gets in their budget, and not to the reasonableness or necessity of the individual supports they have asked for. This ends ‘bottom-up</w:t>
      </w:r>
      <w:r w:rsidR="00F4009E">
        <w:rPr>
          <w:rFonts w:ascii="Avenir Book" w:hAnsi="Avenir Book"/>
        </w:rPr>
        <w:t>’</w:t>
      </w:r>
      <w:r w:rsidRPr="00776528">
        <w:rPr>
          <w:rFonts w:ascii="Avenir Book" w:hAnsi="Avenir Book"/>
        </w:rPr>
        <w:t xml:space="preserve"> planning, where the person with disability requests supports which are then funded or denied. Instead, the NDIS will shift to a </w:t>
      </w:r>
      <w:r>
        <w:rPr>
          <w:rFonts w:ascii="Avenir Book" w:hAnsi="Avenir Book"/>
        </w:rPr>
        <w:t>‘</w:t>
      </w:r>
      <w:r w:rsidRPr="00776528">
        <w:rPr>
          <w:rFonts w:ascii="Avenir Book" w:hAnsi="Avenir Book"/>
        </w:rPr>
        <w:t>personal budgets</w:t>
      </w:r>
      <w:r>
        <w:rPr>
          <w:rFonts w:ascii="Avenir Book" w:hAnsi="Avenir Book"/>
        </w:rPr>
        <w:t>’</w:t>
      </w:r>
      <w:r w:rsidRPr="00776528">
        <w:rPr>
          <w:rFonts w:ascii="Avenir Book" w:hAnsi="Avenir Book"/>
        </w:rPr>
        <w:t xml:space="preserve"> approach which provides participants with </w:t>
      </w:r>
      <w:r>
        <w:rPr>
          <w:rFonts w:ascii="Avenir Book" w:hAnsi="Avenir Book"/>
        </w:rPr>
        <w:t>an</w:t>
      </w:r>
      <w:r w:rsidRPr="00776528">
        <w:rPr>
          <w:rFonts w:ascii="Avenir Book" w:hAnsi="Avenir Book"/>
        </w:rPr>
        <w:t xml:space="preserve"> upfront </w:t>
      </w:r>
      <w:r>
        <w:rPr>
          <w:rFonts w:ascii="Avenir Book" w:hAnsi="Avenir Book"/>
        </w:rPr>
        <w:t xml:space="preserve">funding entitlement </w:t>
      </w:r>
      <w:r w:rsidRPr="00776528">
        <w:rPr>
          <w:rFonts w:ascii="Avenir Book" w:hAnsi="Avenir Book"/>
        </w:rPr>
        <w:t>– a common design feature of many contemporary systems of self-directed disability support. </w:t>
      </w:r>
    </w:p>
    <w:p w14:paraId="2A1C3F19" w14:textId="77777777" w:rsidR="00A05ACC" w:rsidRDefault="000252E8" w:rsidP="000252E8">
      <w:pPr>
        <w:tabs>
          <w:tab w:val="left" w:pos="7947"/>
        </w:tabs>
        <w:spacing w:after="240"/>
        <w:rPr>
          <w:rFonts w:ascii="Avenir Book" w:hAnsi="Avenir Book"/>
        </w:rPr>
      </w:pPr>
      <w:r w:rsidRPr="00776528">
        <w:rPr>
          <w:rFonts w:ascii="Avenir Book" w:hAnsi="Avenir Book"/>
        </w:rPr>
        <w:t xml:space="preserve">This </w:t>
      </w:r>
      <w:r>
        <w:rPr>
          <w:rFonts w:ascii="Avenir Book" w:hAnsi="Avenir Book"/>
        </w:rPr>
        <w:t xml:space="preserve">change </w:t>
      </w:r>
      <w:r w:rsidRPr="00776528">
        <w:rPr>
          <w:rFonts w:ascii="Avenir Book" w:hAnsi="Avenir Book"/>
        </w:rPr>
        <w:t xml:space="preserve">has the potential to transform the previously adversarial planning process requiring negotiation around each support into a genuine discussion about how a fair and reasonable </w:t>
      </w:r>
      <w:r>
        <w:rPr>
          <w:rFonts w:ascii="Avenir Book" w:hAnsi="Avenir Book"/>
        </w:rPr>
        <w:t>budget</w:t>
      </w:r>
      <w:r w:rsidRPr="00776528">
        <w:rPr>
          <w:rFonts w:ascii="Avenir Book" w:hAnsi="Avenir Book"/>
        </w:rPr>
        <w:t xml:space="preserve"> can best be used to pursue goals. </w:t>
      </w:r>
    </w:p>
    <w:p w14:paraId="3147249C" w14:textId="77777777" w:rsidR="00A05ACC" w:rsidRDefault="00A05ACC" w:rsidP="000252E8">
      <w:pPr>
        <w:tabs>
          <w:tab w:val="left" w:pos="7947"/>
        </w:tabs>
        <w:spacing w:after="240"/>
        <w:rPr>
          <w:rFonts w:ascii="Avenir Book" w:hAnsi="Avenir Book"/>
        </w:rPr>
      </w:pPr>
    </w:p>
    <w:p w14:paraId="3284E2FA" w14:textId="70E6676C" w:rsidR="000252E8" w:rsidRDefault="000252E8" w:rsidP="000252E8">
      <w:pPr>
        <w:tabs>
          <w:tab w:val="left" w:pos="7947"/>
        </w:tabs>
        <w:spacing w:after="240"/>
        <w:rPr>
          <w:rFonts w:ascii="Avenir Book" w:hAnsi="Avenir Book"/>
        </w:rPr>
      </w:pPr>
      <w:r w:rsidRPr="00776528">
        <w:rPr>
          <w:rFonts w:ascii="Avenir Book" w:hAnsi="Avenir Book"/>
        </w:rPr>
        <w:t xml:space="preserve">This change is also good for scheme sustainability because it will connect individual funding allocations to the actuarial model for the </w:t>
      </w:r>
      <w:r w:rsidR="00FD1DE1">
        <w:rPr>
          <w:rFonts w:ascii="Avenir Book" w:hAnsi="Avenir Book"/>
        </w:rPr>
        <w:t xml:space="preserve">NDIS </w:t>
      </w:r>
      <w:r w:rsidRPr="00776528">
        <w:rPr>
          <w:rFonts w:ascii="Avenir Book" w:hAnsi="Avenir Book"/>
        </w:rPr>
        <w:t>for the first time, so that the sum of participant plans fits within the overall funding envelope set by government.</w:t>
      </w:r>
    </w:p>
    <w:p w14:paraId="1C9F0169" w14:textId="022C50A5" w:rsidR="000252E8" w:rsidRPr="00776528" w:rsidRDefault="000252E8" w:rsidP="000252E8">
      <w:pPr>
        <w:tabs>
          <w:tab w:val="left" w:pos="7947"/>
        </w:tabs>
        <w:spacing w:after="240"/>
        <w:rPr>
          <w:rFonts w:ascii="Avenir Book" w:hAnsi="Avenir Book"/>
        </w:rPr>
      </w:pPr>
      <w:r w:rsidRPr="00776528">
        <w:rPr>
          <w:rFonts w:ascii="Avenir Book" w:hAnsi="Avenir Book"/>
        </w:rPr>
        <w:t xml:space="preserve">This is the most important change that the new Act will enable, providing the levers to moderate </w:t>
      </w:r>
      <w:r w:rsidR="00FD1DE1">
        <w:rPr>
          <w:rFonts w:ascii="Avenir Book" w:hAnsi="Avenir Book"/>
        </w:rPr>
        <w:t xml:space="preserve">NDIS cost </w:t>
      </w:r>
      <w:r w:rsidRPr="00776528">
        <w:rPr>
          <w:rFonts w:ascii="Avenir Book" w:hAnsi="Avenir Book"/>
        </w:rPr>
        <w:t>growth. Anything that diverts attention from that</w:t>
      </w:r>
      <w:r>
        <w:rPr>
          <w:rFonts w:ascii="Avenir Book" w:hAnsi="Avenir Book"/>
        </w:rPr>
        <w:t xml:space="preserve"> change</w:t>
      </w:r>
      <w:r w:rsidRPr="00776528">
        <w:rPr>
          <w:rFonts w:ascii="Avenir Book" w:hAnsi="Avenir Book"/>
        </w:rPr>
        <w:t xml:space="preserve"> at this important point in the history of the </w:t>
      </w:r>
      <w:r w:rsidR="00FD1DE1">
        <w:rPr>
          <w:rFonts w:ascii="Avenir Book" w:hAnsi="Avenir Book"/>
        </w:rPr>
        <w:t>s</w:t>
      </w:r>
      <w:r w:rsidRPr="00776528">
        <w:rPr>
          <w:rFonts w:ascii="Avenir Book" w:hAnsi="Avenir Book"/>
        </w:rPr>
        <w:t>cheme is an unhelpful distraction that will make the work ahead harder.</w:t>
      </w:r>
    </w:p>
    <w:p w14:paraId="2301B444" w14:textId="77777777" w:rsidR="00A05ACC" w:rsidRDefault="00A05ACC" w:rsidP="000252E8">
      <w:pPr>
        <w:tabs>
          <w:tab w:val="left" w:pos="7947"/>
        </w:tabs>
        <w:spacing w:after="240"/>
        <w:rPr>
          <w:rFonts w:ascii="Avenir Book" w:hAnsi="Avenir Book"/>
          <w:b/>
          <w:bCs/>
        </w:rPr>
      </w:pPr>
    </w:p>
    <w:p w14:paraId="1B05D278" w14:textId="20817F69" w:rsidR="000252E8" w:rsidRPr="00776528" w:rsidRDefault="000252E8" w:rsidP="000252E8">
      <w:pPr>
        <w:tabs>
          <w:tab w:val="left" w:pos="7947"/>
        </w:tabs>
        <w:spacing w:after="240"/>
        <w:rPr>
          <w:rFonts w:ascii="Avenir Book" w:hAnsi="Avenir Book"/>
          <w:b/>
          <w:bCs/>
        </w:rPr>
      </w:pPr>
      <w:r>
        <w:rPr>
          <w:rFonts w:ascii="Avenir Book" w:hAnsi="Avenir Book"/>
          <w:b/>
          <w:bCs/>
        </w:rPr>
        <w:t>Is there a place for a list?</w:t>
      </w:r>
    </w:p>
    <w:p w14:paraId="4967F759" w14:textId="4556ADFD" w:rsidR="000252E8" w:rsidRPr="00776528" w:rsidRDefault="000252E8" w:rsidP="000252E8">
      <w:pPr>
        <w:tabs>
          <w:tab w:val="left" w:pos="7947"/>
        </w:tabs>
        <w:spacing w:after="240"/>
        <w:rPr>
          <w:rFonts w:ascii="Avenir Book" w:hAnsi="Avenir Book"/>
        </w:rPr>
      </w:pPr>
      <w:r w:rsidRPr="00776528">
        <w:rPr>
          <w:rFonts w:ascii="Avenir Book" w:hAnsi="Avenir Book"/>
        </w:rPr>
        <w:t xml:space="preserve">NDIS 2.0 does need clear guardrails, but it is the new planning framework that will control costs in this system, not the Section 10 </w:t>
      </w:r>
      <w:r w:rsidR="00FD1DE1">
        <w:rPr>
          <w:rFonts w:ascii="Avenir Book" w:hAnsi="Avenir Book"/>
        </w:rPr>
        <w:t>L</w:t>
      </w:r>
      <w:r w:rsidRPr="00776528">
        <w:rPr>
          <w:rFonts w:ascii="Avenir Book" w:hAnsi="Avenir Book"/>
        </w:rPr>
        <w:t xml:space="preserve">ist. When you are confident you are setting budgets correctly at the front door in a way that fits within the </w:t>
      </w:r>
      <w:r>
        <w:rPr>
          <w:rFonts w:ascii="Avenir Book" w:hAnsi="Avenir Book"/>
        </w:rPr>
        <w:t>funding set by government</w:t>
      </w:r>
      <w:r w:rsidRPr="00776528">
        <w:rPr>
          <w:rFonts w:ascii="Avenir Book" w:hAnsi="Avenir Book"/>
        </w:rPr>
        <w:t xml:space="preserve">, barricading the back door with extensive rules on spending is not necessary. It is also conceptually inconsistent with the bigger change that is being made, and risks undermining the benefits intended to </w:t>
      </w:r>
      <w:r w:rsidR="00FD1DE1">
        <w:rPr>
          <w:rFonts w:ascii="Avenir Book" w:hAnsi="Avenir Book"/>
        </w:rPr>
        <w:t xml:space="preserve">be </w:t>
      </w:r>
      <w:r w:rsidRPr="00776528">
        <w:rPr>
          <w:rFonts w:ascii="Avenir Book" w:hAnsi="Avenir Book"/>
        </w:rPr>
        <w:t>derive</w:t>
      </w:r>
      <w:r w:rsidR="00FD1DE1">
        <w:rPr>
          <w:rFonts w:ascii="Avenir Book" w:hAnsi="Avenir Book"/>
        </w:rPr>
        <w:t>d</w:t>
      </w:r>
      <w:r w:rsidRPr="00776528">
        <w:rPr>
          <w:rFonts w:ascii="Avenir Book" w:hAnsi="Avenir Book"/>
        </w:rPr>
        <w:t xml:space="preserve"> from it.</w:t>
      </w:r>
    </w:p>
    <w:p w14:paraId="3488DC30" w14:textId="7FD8F459" w:rsidR="000252E8" w:rsidRPr="00776528" w:rsidRDefault="000252E8" w:rsidP="000252E8">
      <w:pPr>
        <w:tabs>
          <w:tab w:val="left" w:pos="7947"/>
        </w:tabs>
        <w:spacing w:after="240"/>
        <w:rPr>
          <w:rFonts w:ascii="Avenir Book" w:hAnsi="Avenir Book"/>
        </w:rPr>
      </w:pPr>
      <w:r w:rsidRPr="00776528">
        <w:rPr>
          <w:rFonts w:ascii="Avenir Book" w:hAnsi="Avenir Book"/>
        </w:rPr>
        <w:t>The prominent benefit of the current reforms from a participant perspective should be flexibility in how funding can be used. It is hard (I would say impossible) to sell this real and tangible benefit while also brandishing a lengthy list of things you can and cannot buy.</w:t>
      </w:r>
    </w:p>
    <w:p w14:paraId="0173E287" w14:textId="77777777" w:rsidR="000252E8" w:rsidRPr="00776528" w:rsidRDefault="000252E8" w:rsidP="000252E8">
      <w:pPr>
        <w:tabs>
          <w:tab w:val="left" w:pos="7947"/>
        </w:tabs>
        <w:spacing w:after="240"/>
        <w:rPr>
          <w:rFonts w:ascii="Avenir Book" w:hAnsi="Avenir Book"/>
        </w:rPr>
      </w:pPr>
      <w:r w:rsidRPr="00776528">
        <w:rPr>
          <w:rFonts w:ascii="Avenir Book" w:hAnsi="Avenir Book"/>
        </w:rPr>
        <w:t xml:space="preserve">This approach should not be a significant feature of any system of self-directed support. These systems operate best with the minimum hard exclusions and a permissive, principles-based framework that optimises flexibility day-to-day. </w:t>
      </w:r>
    </w:p>
    <w:p w14:paraId="55C5F449" w14:textId="1A54736B" w:rsidR="000252E8" w:rsidRPr="00776528" w:rsidRDefault="000252E8" w:rsidP="000252E8">
      <w:pPr>
        <w:tabs>
          <w:tab w:val="left" w:pos="7947"/>
        </w:tabs>
        <w:spacing w:after="240"/>
        <w:rPr>
          <w:rFonts w:ascii="Avenir Book" w:hAnsi="Avenir Book"/>
        </w:rPr>
      </w:pPr>
      <w:r w:rsidRPr="00776528">
        <w:rPr>
          <w:rFonts w:ascii="Avenir Book" w:hAnsi="Avenir Book"/>
        </w:rPr>
        <w:t xml:space="preserve">Ironically, the principles and exclusions in the current </w:t>
      </w:r>
      <w:r w:rsidRPr="000252E8">
        <w:rPr>
          <w:rFonts w:ascii="Avenir Book" w:hAnsi="Avenir Book"/>
          <w:i/>
          <w:iCs/>
        </w:rPr>
        <w:t>supports for participants</w:t>
      </w:r>
      <w:r w:rsidRPr="00776528">
        <w:rPr>
          <w:rFonts w:ascii="Avenir Book" w:hAnsi="Avenir Book"/>
        </w:rPr>
        <w:t xml:space="preserve"> rules are far better aligned to what is needed in NDIS 2.0 than the interim Section 10 rule. The current rule excludes supports that: would put the person or others at risk</w:t>
      </w:r>
      <w:r w:rsidR="00FD1DE1">
        <w:rPr>
          <w:rFonts w:ascii="Avenir Book" w:hAnsi="Avenir Book"/>
        </w:rPr>
        <w:t>,</w:t>
      </w:r>
      <w:r w:rsidRPr="00776528">
        <w:rPr>
          <w:rFonts w:ascii="Avenir Book" w:hAnsi="Avenir Book"/>
        </w:rPr>
        <w:t xml:space="preserve"> are not related to the person’s disability, or are funded through another service system, as well as a small number of day-to-day living costs.</w:t>
      </w:r>
    </w:p>
    <w:p w14:paraId="224EA6DA" w14:textId="77777777" w:rsidR="00A05ACC" w:rsidRDefault="00A05ACC" w:rsidP="000252E8">
      <w:pPr>
        <w:tabs>
          <w:tab w:val="left" w:pos="7947"/>
        </w:tabs>
        <w:spacing w:after="240"/>
        <w:rPr>
          <w:rFonts w:ascii="Avenir Book" w:hAnsi="Avenir Book"/>
        </w:rPr>
      </w:pPr>
    </w:p>
    <w:p w14:paraId="01B1197C" w14:textId="77777777" w:rsidR="00A05ACC" w:rsidRDefault="00A05ACC" w:rsidP="000252E8">
      <w:pPr>
        <w:tabs>
          <w:tab w:val="left" w:pos="7947"/>
        </w:tabs>
        <w:spacing w:after="240"/>
        <w:rPr>
          <w:rFonts w:ascii="Avenir Book" w:hAnsi="Avenir Book"/>
        </w:rPr>
      </w:pPr>
    </w:p>
    <w:p w14:paraId="032B23C5" w14:textId="77777777" w:rsidR="00A05ACC" w:rsidRDefault="00A05ACC" w:rsidP="000252E8">
      <w:pPr>
        <w:tabs>
          <w:tab w:val="left" w:pos="7947"/>
        </w:tabs>
        <w:spacing w:after="240"/>
        <w:rPr>
          <w:rFonts w:ascii="Avenir Book" w:hAnsi="Avenir Book"/>
        </w:rPr>
      </w:pPr>
    </w:p>
    <w:p w14:paraId="23185269" w14:textId="26A9CDE9" w:rsidR="00A05ACC" w:rsidRDefault="000252E8" w:rsidP="000252E8">
      <w:pPr>
        <w:tabs>
          <w:tab w:val="left" w:pos="7947"/>
        </w:tabs>
        <w:spacing w:after="240"/>
        <w:rPr>
          <w:rFonts w:ascii="Avenir Book" w:hAnsi="Avenir Book"/>
        </w:rPr>
      </w:pPr>
      <w:r w:rsidRPr="00776528">
        <w:rPr>
          <w:rFonts w:ascii="Avenir Book" w:hAnsi="Avenir Book"/>
        </w:rPr>
        <w:t>Expanding this rule to explicitly exclude alcohol, gambling, junk therapies</w:t>
      </w:r>
      <w:r w:rsidR="00FD1DE1">
        <w:rPr>
          <w:rFonts w:ascii="Avenir Book" w:hAnsi="Avenir Book"/>
        </w:rPr>
        <w:t>,</w:t>
      </w:r>
      <w:r w:rsidRPr="00776528">
        <w:rPr>
          <w:rFonts w:ascii="Avenir Book" w:hAnsi="Avenir Book"/>
        </w:rPr>
        <w:t xml:space="preserve"> and anything illegal is fair enough. Expanding it further to include foundational supports, once they exist, will also make sense so that </w:t>
      </w:r>
      <w:r w:rsidR="00FD1DE1">
        <w:rPr>
          <w:rFonts w:ascii="Avenir Book" w:hAnsi="Avenir Book"/>
        </w:rPr>
        <w:t xml:space="preserve">duplication is avoided and </w:t>
      </w:r>
      <w:r w:rsidRPr="00776528">
        <w:rPr>
          <w:rFonts w:ascii="Avenir Book" w:hAnsi="Avenir Book"/>
        </w:rPr>
        <w:t xml:space="preserve">there is a clear separation of service systems. </w:t>
      </w:r>
    </w:p>
    <w:p w14:paraId="26398AE9" w14:textId="594ABBED" w:rsidR="000252E8" w:rsidRPr="00776528" w:rsidRDefault="000252E8" w:rsidP="000252E8">
      <w:pPr>
        <w:tabs>
          <w:tab w:val="left" w:pos="7947"/>
        </w:tabs>
        <w:spacing w:after="240"/>
        <w:rPr>
          <w:rFonts w:ascii="Avenir Book" w:hAnsi="Avenir Book"/>
        </w:rPr>
      </w:pPr>
      <w:r w:rsidRPr="00776528">
        <w:rPr>
          <w:rFonts w:ascii="Avenir Book" w:hAnsi="Avenir Book"/>
        </w:rPr>
        <w:t xml:space="preserve">But the </w:t>
      </w:r>
      <w:r w:rsidR="00013EA2">
        <w:rPr>
          <w:rFonts w:ascii="Avenir Book" w:hAnsi="Avenir Book"/>
        </w:rPr>
        <w:t>proposed</w:t>
      </w:r>
      <w:r w:rsidR="00013EA2" w:rsidRPr="00776528">
        <w:rPr>
          <w:rFonts w:ascii="Avenir Book" w:hAnsi="Avenir Book"/>
        </w:rPr>
        <w:t xml:space="preserve"> </w:t>
      </w:r>
      <w:r w:rsidRPr="00776528">
        <w:rPr>
          <w:rFonts w:ascii="Avenir Book" w:hAnsi="Avenir Book"/>
        </w:rPr>
        <w:t xml:space="preserve">list goes a great deal further, to try and itemise everything that cannot ever relate to someone’s disability – which is a fool’s game. In most cases, the answer should rightly be </w:t>
      </w:r>
      <w:r w:rsidR="00FD1DE1">
        <w:rPr>
          <w:rFonts w:ascii="Avenir Book" w:hAnsi="Avenir Book"/>
        </w:rPr>
        <w:t>‘</w:t>
      </w:r>
      <w:r w:rsidRPr="00776528">
        <w:rPr>
          <w:rFonts w:ascii="Avenir Book" w:hAnsi="Avenir Book"/>
        </w:rPr>
        <w:t>it depends</w:t>
      </w:r>
      <w:r w:rsidR="00FD1DE1">
        <w:rPr>
          <w:rFonts w:ascii="Avenir Book" w:hAnsi="Avenir Book"/>
        </w:rPr>
        <w:t>’</w:t>
      </w:r>
      <w:r w:rsidRPr="00776528">
        <w:rPr>
          <w:rFonts w:ascii="Avenir Book" w:hAnsi="Avenir Book"/>
        </w:rPr>
        <w:t>.</w:t>
      </w:r>
    </w:p>
    <w:p w14:paraId="0892CB4A" w14:textId="1580D445" w:rsidR="000252E8" w:rsidRPr="00647D0B" w:rsidRDefault="000252E8" w:rsidP="000252E8">
      <w:pPr>
        <w:tabs>
          <w:tab w:val="left" w:pos="7947"/>
        </w:tabs>
        <w:spacing w:after="240"/>
        <w:rPr>
          <w:rFonts w:ascii="Avenir Book" w:hAnsi="Avenir Book"/>
        </w:rPr>
      </w:pPr>
      <w:r w:rsidRPr="00776528">
        <w:rPr>
          <w:rFonts w:ascii="Avenir Book" w:hAnsi="Avenir Book"/>
        </w:rPr>
        <w:t>As a general rule, I’d say that if your list extends to 17 pages, and has ‘beanbags’ on it</w:t>
      </w:r>
      <w:r>
        <w:rPr>
          <w:rFonts w:ascii="Avenir Book" w:hAnsi="Avenir Book"/>
        </w:rPr>
        <w:t xml:space="preserve">, </w:t>
      </w:r>
      <w:r w:rsidRPr="00647D0B">
        <w:rPr>
          <w:rFonts w:ascii="Avenir Book" w:hAnsi="Avenir Book"/>
        </w:rPr>
        <w:t>you probably need to go back to the drawing board</w:t>
      </w:r>
      <w:r w:rsidR="00FD1DE1">
        <w:rPr>
          <w:rFonts w:ascii="Avenir Book" w:hAnsi="Avenir Book"/>
        </w:rPr>
        <w:t>.</w:t>
      </w:r>
    </w:p>
    <w:p w14:paraId="3C8D379C" w14:textId="77777777" w:rsidR="00A05ACC" w:rsidRDefault="00A05ACC" w:rsidP="000252E8">
      <w:pPr>
        <w:tabs>
          <w:tab w:val="left" w:pos="7947"/>
        </w:tabs>
        <w:spacing w:after="240"/>
        <w:rPr>
          <w:rFonts w:ascii="Avenir Book" w:hAnsi="Avenir Book"/>
          <w:b/>
          <w:bCs/>
        </w:rPr>
      </w:pPr>
    </w:p>
    <w:p w14:paraId="028D83AB" w14:textId="5B4D38E9" w:rsidR="000252E8" w:rsidRPr="00647D0B" w:rsidRDefault="000252E8" w:rsidP="000252E8">
      <w:pPr>
        <w:tabs>
          <w:tab w:val="left" w:pos="7947"/>
        </w:tabs>
        <w:spacing w:after="240"/>
        <w:rPr>
          <w:rFonts w:ascii="Avenir Book" w:hAnsi="Avenir Book"/>
          <w:b/>
          <w:bCs/>
        </w:rPr>
      </w:pPr>
      <w:r>
        <w:rPr>
          <w:rFonts w:ascii="Avenir Book" w:hAnsi="Avenir Book"/>
          <w:b/>
          <w:bCs/>
        </w:rPr>
        <w:t xml:space="preserve">The draft list is inconsistent </w:t>
      </w:r>
    </w:p>
    <w:p w14:paraId="0A00E9ED" w14:textId="411B66F7" w:rsidR="000252E8" w:rsidRPr="00647D0B" w:rsidRDefault="000252E8" w:rsidP="000252E8">
      <w:pPr>
        <w:tabs>
          <w:tab w:val="left" w:pos="7947"/>
        </w:tabs>
        <w:spacing w:after="240"/>
        <w:rPr>
          <w:rFonts w:ascii="Avenir Book" w:hAnsi="Avenir Book"/>
        </w:rPr>
      </w:pPr>
      <w:r w:rsidRPr="00647D0B">
        <w:rPr>
          <w:rFonts w:ascii="Avenir Book" w:hAnsi="Avenir Book"/>
        </w:rPr>
        <w:t xml:space="preserve">For illustrative purposes, here are a few of the exclusions that jumped out to me that really should be in the ‘it depends’ basket. </w:t>
      </w:r>
    </w:p>
    <w:p w14:paraId="601AE26B" w14:textId="77777777" w:rsidR="000252E8" w:rsidRPr="00647D0B" w:rsidRDefault="000252E8" w:rsidP="000252E8">
      <w:pPr>
        <w:tabs>
          <w:tab w:val="left" w:pos="7947"/>
        </w:tabs>
        <w:spacing w:after="240"/>
        <w:rPr>
          <w:rFonts w:ascii="Avenir Book" w:hAnsi="Avenir Book"/>
        </w:rPr>
      </w:pPr>
      <w:r w:rsidRPr="00647D0B">
        <w:rPr>
          <w:rFonts w:ascii="Avenir Book" w:hAnsi="Avenir Book"/>
        </w:rPr>
        <w:t xml:space="preserve">Batteries? Well, it depends. I can envisage situations when these might be </w:t>
      </w:r>
      <w:r>
        <w:rPr>
          <w:rFonts w:ascii="Avenir Book" w:hAnsi="Avenir Book"/>
        </w:rPr>
        <w:br/>
      </w:r>
      <w:r w:rsidRPr="00647D0B">
        <w:rPr>
          <w:rFonts w:ascii="Avenir Book" w:hAnsi="Avenir Book"/>
        </w:rPr>
        <w:t>entirely reasonable and potentially lifesaving</w:t>
      </w:r>
      <w:r>
        <w:rPr>
          <w:rFonts w:ascii="Avenir Book" w:hAnsi="Avenir Book"/>
        </w:rPr>
        <w:t xml:space="preserve"> –</w:t>
      </w:r>
      <w:r w:rsidRPr="00647D0B">
        <w:rPr>
          <w:rFonts w:ascii="Avenir Book" w:hAnsi="Avenir Book"/>
        </w:rPr>
        <w:t xml:space="preserve"> say where someone is dependent on assistive technology or respiratory equipment. </w:t>
      </w:r>
    </w:p>
    <w:p w14:paraId="026D11FC" w14:textId="77777777" w:rsidR="000252E8" w:rsidRPr="00647D0B" w:rsidRDefault="000252E8" w:rsidP="000252E8">
      <w:pPr>
        <w:tabs>
          <w:tab w:val="left" w:pos="7947"/>
        </w:tabs>
        <w:spacing w:after="240"/>
        <w:rPr>
          <w:rFonts w:ascii="Avenir Book" w:hAnsi="Avenir Book"/>
        </w:rPr>
      </w:pPr>
      <w:r w:rsidRPr="00647D0B">
        <w:rPr>
          <w:rFonts w:ascii="Avenir Book" w:hAnsi="Avenir Book"/>
        </w:rPr>
        <w:t xml:space="preserve">Legal costs? Well, again it depends. What if the legal costs relate to a self-manager meeting their obligations and responsibilities as an employer of staff? </w:t>
      </w:r>
    </w:p>
    <w:p w14:paraId="2D57A30D" w14:textId="77777777" w:rsidR="000252E8" w:rsidRPr="00647D0B" w:rsidRDefault="000252E8" w:rsidP="000252E8">
      <w:pPr>
        <w:tabs>
          <w:tab w:val="left" w:pos="7947"/>
        </w:tabs>
        <w:spacing w:after="240"/>
        <w:rPr>
          <w:rFonts w:ascii="Avenir Book" w:hAnsi="Avenir Book"/>
        </w:rPr>
      </w:pPr>
      <w:r w:rsidRPr="00647D0B">
        <w:rPr>
          <w:rFonts w:ascii="Avenir Book" w:hAnsi="Avenir Book"/>
        </w:rPr>
        <w:t>Holiday accommodation? Well, again it depends. When does a Holiday Inn reservation become an entirely valid and cost-effective approach for someone to take a short break to ensure their care arrangements remain sustainable? Does the medicine really have to taste bad?</w:t>
      </w:r>
    </w:p>
    <w:p w14:paraId="1616ED8A" w14:textId="5216BD15" w:rsidR="000252E8" w:rsidRPr="00647D0B" w:rsidRDefault="000252E8" w:rsidP="000252E8">
      <w:pPr>
        <w:tabs>
          <w:tab w:val="left" w:pos="7947"/>
        </w:tabs>
        <w:spacing w:after="240"/>
        <w:rPr>
          <w:rFonts w:ascii="Avenir Book" w:hAnsi="Avenir Book"/>
        </w:rPr>
      </w:pPr>
      <w:r w:rsidRPr="00647D0B">
        <w:rPr>
          <w:rFonts w:ascii="Avenir Book" w:hAnsi="Avenir Book"/>
        </w:rPr>
        <w:t xml:space="preserve">And who is to say that a smart watch can never be a wholly valid piece of technology for someone </w:t>
      </w:r>
      <w:r w:rsidR="00666AFB">
        <w:rPr>
          <w:rFonts w:ascii="Avenir Book" w:hAnsi="Avenir Book"/>
        </w:rPr>
        <w:t>who</w:t>
      </w:r>
      <w:r w:rsidRPr="00647D0B">
        <w:rPr>
          <w:rFonts w:ascii="Avenir Book" w:hAnsi="Avenir Book"/>
        </w:rPr>
        <w:t xml:space="preserve"> can be prone to falls or forgetting to take prescription medicines?</w:t>
      </w:r>
    </w:p>
    <w:p w14:paraId="08A37A03" w14:textId="733539C7" w:rsidR="000252E8" w:rsidRPr="00647D0B" w:rsidRDefault="00666AFB" w:rsidP="000252E8">
      <w:pPr>
        <w:tabs>
          <w:tab w:val="left" w:pos="7947"/>
        </w:tabs>
        <w:spacing w:after="240"/>
        <w:rPr>
          <w:rFonts w:ascii="Avenir Book" w:hAnsi="Avenir Book"/>
        </w:rPr>
      </w:pPr>
      <w:r>
        <w:rPr>
          <w:rFonts w:ascii="Avenir Book" w:hAnsi="Avenir Book"/>
        </w:rPr>
        <w:t>I</w:t>
      </w:r>
      <w:r w:rsidR="000252E8" w:rsidRPr="00647D0B">
        <w:rPr>
          <w:rFonts w:ascii="Avenir Book" w:hAnsi="Avenir Book"/>
        </w:rPr>
        <w:t xml:space="preserve">f the NDIS can pay for the preparation and delivery of a meal for someone </w:t>
      </w:r>
      <w:r>
        <w:rPr>
          <w:rFonts w:ascii="Avenir Book" w:hAnsi="Avenir Book"/>
        </w:rPr>
        <w:t>who</w:t>
      </w:r>
      <w:r w:rsidR="000252E8" w:rsidRPr="00647D0B">
        <w:rPr>
          <w:rFonts w:ascii="Avenir Book" w:hAnsi="Avenir Book"/>
        </w:rPr>
        <w:t xml:space="preserve"> cannot do this for themselves as a legitimate cost (excluding the cost of the ingredients), then how is it possible to simultaneously rule out takeaway food? </w:t>
      </w:r>
    </w:p>
    <w:p w14:paraId="1B784DBE" w14:textId="77777777" w:rsidR="00A05ACC" w:rsidRDefault="00A05ACC" w:rsidP="000252E8">
      <w:pPr>
        <w:tabs>
          <w:tab w:val="left" w:pos="7947"/>
        </w:tabs>
        <w:spacing w:after="240"/>
        <w:rPr>
          <w:rFonts w:ascii="Avenir Book" w:hAnsi="Avenir Book"/>
        </w:rPr>
      </w:pPr>
    </w:p>
    <w:p w14:paraId="40DA7979" w14:textId="47DF5276" w:rsidR="00A05ACC" w:rsidRDefault="00666AFB" w:rsidP="000252E8">
      <w:pPr>
        <w:tabs>
          <w:tab w:val="left" w:pos="7947"/>
        </w:tabs>
        <w:spacing w:after="240"/>
        <w:rPr>
          <w:rFonts w:ascii="Avenir Book" w:hAnsi="Avenir Book"/>
        </w:rPr>
      </w:pPr>
      <w:r>
        <w:rPr>
          <w:rFonts w:ascii="Avenir Book" w:hAnsi="Avenir Book"/>
        </w:rPr>
        <w:t>T</w:t>
      </w:r>
      <w:r w:rsidR="000252E8" w:rsidRPr="00647D0B">
        <w:rPr>
          <w:rFonts w:ascii="Avenir Book" w:hAnsi="Avenir Book"/>
        </w:rPr>
        <w:t xml:space="preserve">he list as it stands includes </w:t>
      </w:r>
      <w:r w:rsidR="000252E8">
        <w:rPr>
          <w:rFonts w:ascii="Avenir Book" w:hAnsi="Avenir Book"/>
        </w:rPr>
        <w:t>hard exclusions</w:t>
      </w:r>
      <w:r w:rsidR="000252E8" w:rsidRPr="00647D0B">
        <w:rPr>
          <w:rFonts w:ascii="Avenir Book" w:hAnsi="Avenir Book"/>
        </w:rPr>
        <w:t xml:space="preserve"> with no carve</w:t>
      </w:r>
      <w:r>
        <w:rPr>
          <w:rFonts w:ascii="Avenir Book" w:hAnsi="Avenir Book"/>
        </w:rPr>
        <w:t>-</w:t>
      </w:r>
      <w:r w:rsidR="000252E8" w:rsidRPr="00647D0B">
        <w:rPr>
          <w:rFonts w:ascii="Avenir Book" w:hAnsi="Avenir Book"/>
        </w:rPr>
        <w:t xml:space="preserve">out for </w:t>
      </w:r>
      <w:r w:rsidR="000252E8">
        <w:rPr>
          <w:rFonts w:ascii="Avenir Book" w:hAnsi="Avenir Book"/>
        </w:rPr>
        <w:t>rent and housing subsidies, which would preclude innovative housing and living arrangements that offer genuine alternatives to group homes for people with profound disability. These include home-share arrangements where an adult with disability lives in their own home with a housemate who provides in-kind support for partially or wholly subsidised rent.</w:t>
      </w:r>
    </w:p>
    <w:p w14:paraId="63E5AE3B" w14:textId="0A24DC7C" w:rsidR="000252E8" w:rsidRDefault="000252E8" w:rsidP="000252E8">
      <w:pPr>
        <w:tabs>
          <w:tab w:val="left" w:pos="7947"/>
        </w:tabs>
        <w:spacing w:after="240"/>
        <w:rPr>
          <w:rFonts w:ascii="Avenir Book" w:hAnsi="Avenir Book"/>
        </w:rPr>
      </w:pPr>
      <w:r w:rsidRPr="008201D4">
        <w:rPr>
          <w:rFonts w:ascii="Avenir Book" w:hAnsi="Avenir Book"/>
        </w:rPr>
        <w:t xml:space="preserve">Why rule such a thing out if the circumstances are right? </w:t>
      </w:r>
      <w:r>
        <w:rPr>
          <w:rFonts w:ascii="Avenir Book" w:hAnsi="Avenir Book"/>
        </w:rPr>
        <w:t xml:space="preserve">Grattan Institute’s forthcoming report </w:t>
      </w:r>
      <w:r>
        <w:rPr>
          <w:rFonts w:ascii="Avenir Book" w:hAnsi="Avenir Book"/>
          <w:i/>
          <w:iCs/>
        </w:rPr>
        <w:t>Better, safer, more sustainable: How to reform NDIS housing and support</w:t>
      </w:r>
      <w:r>
        <w:rPr>
          <w:rFonts w:ascii="Avenir Book" w:hAnsi="Avenir Book"/>
        </w:rPr>
        <w:t xml:space="preserve"> shows that </w:t>
      </w:r>
      <w:r w:rsidRPr="008201D4">
        <w:rPr>
          <w:rFonts w:ascii="Avenir Book" w:hAnsi="Avenir Book"/>
        </w:rPr>
        <w:t>these kinds of approaches are things that government should be embracing and promoting for the benefit of disabled people and taxpayers, not outlawing.</w:t>
      </w:r>
      <w:r>
        <w:rPr>
          <w:rFonts w:ascii="Avenir Book" w:hAnsi="Avenir Book"/>
        </w:rPr>
        <w:t xml:space="preserve"> </w:t>
      </w:r>
    </w:p>
    <w:p w14:paraId="7D59FF06" w14:textId="77777777" w:rsidR="000252E8" w:rsidRPr="00647D0B" w:rsidRDefault="000252E8" w:rsidP="000252E8">
      <w:pPr>
        <w:tabs>
          <w:tab w:val="left" w:pos="7947"/>
        </w:tabs>
        <w:spacing w:after="240"/>
        <w:rPr>
          <w:rFonts w:ascii="Avenir Book" w:hAnsi="Avenir Book"/>
        </w:rPr>
      </w:pPr>
      <w:r w:rsidRPr="00647D0B">
        <w:rPr>
          <w:rFonts w:ascii="Avenir Book" w:hAnsi="Avenir Book"/>
        </w:rPr>
        <w:t xml:space="preserve">Our report will also argue that </w:t>
      </w:r>
      <w:r>
        <w:rPr>
          <w:rFonts w:ascii="Avenir Book" w:hAnsi="Avenir Book"/>
        </w:rPr>
        <w:t xml:space="preserve">a targeted rental subsidy to support people with very high in-home support needs would be a sensible policy position for the NDIS. A rental subsidy would enable some people in this group </w:t>
      </w:r>
      <w:r w:rsidRPr="00647D0B">
        <w:rPr>
          <w:rFonts w:ascii="Avenir Book" w:hAnsi="Avenir Book"/>
        </w:rPr>
        <w:t xml:space="preserve">to contemplate renting an ordinary home in the </w:t>
      </w:r>
      <w:r>
        <w:rPr>
          <w:rFonts w:ascii="Avenir Book" w:hAnsi="Avenir Book"/>
        </w:rPr>
        <w:t>private rental</w:t>
      </w:r>
      <w:r w:rsidRPr="00647D0B">
        <w:rPr>
          <w:rFonts w:ascii="Avenir Book" w:hAnsi="Avenir Book"/>
        </w:rPr>
        <w:t xml:space="preserve"> market with a housemate, rather than </w:t>
      </w:r>
      <w:r>
        <w:rPr>
          <w:rFonts w:ascii="Avenir Book" w:hAnsi="Avenir Book"/>
        </w:rPr>
        <w:t xml:space="preserve">living in </w:t>
      </w:r>
      <w:r w:rsidRPr="00647D0B">
        <w:rPr>
          <w:rFonts w:ascii="Avenir Book" w:hAnsi="Avenir Book"/>
        </w:rPr>
        <w:t>costly Specialist Disability Accommodation</w:t>
      </w:r>
      <w:r>
        <w:rPr>
          <w:rFonts w:ascii="Avenir Book" w:hAnsi="Avenir Book"/>
        </w:rPr>
        <w:t>. S</w:t>
      </w:r>
      <w:r w:rsidRPr="00647D0B">
        <w:rPr>
          <w:rFonts w:ascii="Avenir Book" w:hAnsi="Avenir Book"/>
        </w:rPr>
        <w:t>table housing will have considerable downstream benefits for the scheme in terms of more stable and sustainable support costs</w:t>
      </w:r>
      <w:r>
        <w:rPr>
          <w:rFonts w:ascii="Avenir Book" w:hAnsi="Avenir Book"/>
        </w:rPr>
        <w:t>.</w:t>
      </w:r>
    </w:p>
    <w:p w14:paraId="7A0B9304" w14:textId="77777777" w:rsidR="00A05ACC" w:rsidRDefault="00A05ACC" w:rsidP="000252E8">
      <w:pPr>
        <w:tabs>
          <w:tab w:val="left" w:pos="7947"/>
        </w:tabs>
        <w:spacing w:after="240"/>
        <w:rPr>
          <w:rFonts w:ascii="Avenir Book" w:hAnsi="Avenir Book"/>
          <w:b/>
          <w:bCs/>
        </w:rPr>
      </w:pPr>
    </w:p>
    <w:p w14:paraId="1D076879" w14:textId="5D6B5793" w:rsidR="000252E8" w:rsidRPr="00647D0B" w:rsidRDefault="000252E8" w:rsidP="000252E8">
      <w:pPr>
        <w:tabs>
          <w:tab w:val="left" w:pos="7947"/>
        </w:tabs>
        <w:spacing w:after="240"/>
        <w:rPr>
          <w:rFonts w:ascii="Avenir Book" w:hAnsi="Avenir Book"/>
          <w:b/>
          <w:bCs/>
        </w:rPr>
      </w:pPr>
      <w:r w:rsidRPr="00647D0B">
        <w:rPr>
          <w:rFonts w:ascii="Avenir Book" w:hAnsi="Avenir Book"/>
          <w:b/>
          <w:bCs/>
        </w:rPr>
        <w:t>Focus on what matters</w:t>
      </w:r>
    </w:p>
    <w:p w14:paraId="403FBCAE" w14:textId="29DCCCF9" w:rsidR="000252E8" w:rsidRPr="00647D0B" w:rsidRDefault="000252E8" w:rsidP="000252E8">
      <w:pPr>
        <w:tabs>
          <w:tab w:val="left" w:pos="7947"/>
        </w:tabs>
        <w:spacing w:after="240"/>
        <w:rPr>
          <w:rFonts w:ascii="Avenir Book" w:hAnsi="Avenir Book"/>
        </w:rPr>
      </w:pPr>
      <w:r>
        <w:rPr>
          <w:rFonts w:ascii="Avenir Book" w:hAnsi="Avenir Book"/>
        </w:rPr>
        <w:t>These examples highlight the</w:t>
      </w:r>
      <w:r w:rsidRPr="00647D0B">
        <w:rPr>
          <w:rFonts w:ascii="Avenir Book" w:hAnsi="Avenir Book"/>
        </w:rPr>
        <w:t xml:space="preserve"> futility of </w:t>
      </w:r>
      <w:r>
        <w:rPr>
          <w:rFonts w:ascii="Avenir Book" w:hAnsi="Avenir Book"/>
        </w:rPr>
        <w:t xml:space="preserve">drafting </w:t>
      </w:r>
      <w:r w:rsidRPr="00647D0B">
        <w:rPr>
          <w:rFonts w:ascii="Avenir Book" w:hAnsi="Avenir Book"/>
        </w:rPr>
        <w:t>such a list in the first place. The NDIS isn’t Medicare and it shouldn’t aspire to be. The objectives of increasing people’s social and economic participation are not the same as the objectives of medical tr</w:t>
      </w:r>
      <w:r>
        <w:rPr>
          <w:rFonts w:ascii="Avenir Book" w:hAnsi="Avenir Book"/>
        </w:rPr>
        <w:t>eatment</w:t>
      </w:r>
      <w:r w:rsidR="00666AFB">
        <w:rPr>
          <w:rFonts w:ascii="Avenir Book" w:hAnsi="Avenir Book"/>
        </w:rPr>
        <w:t>,</w:t>
      </w:r>
      <w:r>
        <w:rPr>
          <w:rFonts w:ascii="Avenir Book" w:hAnsi="Avenir Book"/>
        </w:rPr>
        <w:t xml:space="preserve"> </w:t>
      </w:r>
      <w:r w:rsidRPr="00647D0B">
        <w:rPr>
          <w:rFonts w:ascii="Avenir Book" w:hAnsi="Avenir Book"/>
        </w:rPr>
        <w:t>and don’t lend themselves to similar policy settings. The success of a self-directed support system depends on how well it enables creativity and innovation.</w:t>
      </w:r>
    </w:p>
    <w:p w14:paraId="68363291" w14:textId="565390DF" w:rsidR="000252E8" w:rsidRPr="00647D0B" w:rsidRDefault="000252E8" w:rsidP="000252E8">
      <w:pPr>
        <w:tabs>
          <w:tab w:val="left" w:pos="7947"/>
        </w:tabs>
        <w:spacing w:after="240"/>
        <w:rPr>
          <w:rFonts w:ascii="Avenir Book" w:hAnsi="Avenir Book"/>
        </w:rPr>
      </w:pPr>
      <w:r w:rsidRPr="00647D0B">
        <w:rPr>
          <w:rFonts w:ascii="Avenir Book" w:hAnsi="Avenir Book"/>
        </w:rPr>
        <w:t xml:space="preserve">The Section 10 </w:t>
      </w:r>
      <w:r w:rsidR="00666AFB">
        <w:rPr>
          <w:rFonts w:ascii="Avenir Book" w:hAnsi="Avenir Book"/>
        </w:rPr>
        <w:t>L</w:t>
      </w:r>
      <w:r w:rsidRPr="00647D0B">
        <w:rPr>
          <w:rFonts w:ascii="Avenir Book" w:hAnsi="Avenir Book"/>
        </w:rPr>
        <w:t xml:space="preserve">ist is a fix for the old system rather than a framework that supports the evolution to a new one. It suggests the government either doesn’t know what it is doing or at least doesn’t fully understand the implications of the bigger reform it should be making. </w:t>
      </w:r>
      <w:r>
        <w:rPr>
          <w:rFonts w:ascii="Avenir Book" w:hAnsi="Avenir Book"/>
        </w:rPr>
        <w:t>Neither option is</w:t>
      </w:r>
      <w:r w:rsidRPr="00647D0B">
        <w:rPr>
          <w:rFonts w:ascii="Avenir Book" w:hAnsi="Avenir Book"/>
        </w:rPr>
        <w:t xml:space="preserve"> very encouraging.</w:t>
      </w:r>
    </w:p>
    <w:p w14:paraId="061C4302" w14:textId="77777777" w:rsidR="00A05ACC" w:rsidRDefault="00A05ACC" w:rsidP="000252E8">
      <w:pPr>
        <w:tabs>
          <w:tab w:val="left" w:pos="7947"/>
        </w:tabs>
        <w:spacing w:after="240"/>
        <w:rPr>
          <w:rFonts w:ascii="Avenir Book" w:hAnsi="Avenir Book"/>
        </w:rPr>
      </w:pPr>
    </w:p>
    <w:p w14:paraId="47C6B37A" w14:textId="77777777" w:rsidR="00A05ACC" w:rsidRDefault="00A05ACC" w:rsidP="000252E8">
      <w:pPr>
        <w:tabs>
          <w:tab w:val="left" w:pos="7947"/>
        </w:tabs>
        <w:spacing w:after="240"/>
        <w:rPr>
          <w:rFonts w:ascii="Avenir Book" w:hAnsi="Avenir Book"/>
        </w:rPr>
      </w:pPr>
    </w:p>
    <w:p w14:paraId="023ED49F" w14:textId="3725FF7A" w:rsidR="000252E8" w:rsidRPr="00647D0B" w:rsidRDefault="000252E8" w:rsidP="000252E8">
      <w:pPr>
        <w:tabs>
          <w:tab w:val="left" w:pos="7947"/>
        </w:tabs>
        <w:spacing w:after="240"/>
        <w:rPr>
          <w:rFonts w:ascii="Avenir Book" w:hAnsi="Avenir Book"/>
        </w:rPr>
      </w:pPr>
      <w:r w:rsidRPr="00647D0B">
        <w:rPr>
          <w:rFonts w:ascii="Avenir Book" w:hAnsi="Avenir Book"/>
        </w:rPr>
        <w:t>What is needed now is urgency and momentum behind the further design work required to turn the NDIS Review’s sketch ideas</w:t>
      </w:r>
      <w:r>
        <w:rPr>
          <w:rFonts w:ascii="Avenir Book" w:hAnsi="Avenir Book"/>
        </w:rPr>
        <w:t xml:space="preserve"> (which the new Act enables) into </w:t>
      </w:r>
      <w:r w:rsidRPr="00647D0B">
        <w:rPr>
          <w:rFonts w:ascii="Avenir Book" w:hAnsi="Avenir Book"/>
        </w:rPr>
        <w:t xml:space="preserve">implementable rules and policies </w:t>
      </w:r>
      <w:r>
        <w:rPr>
          <w:rFonts w:ascii="Avenir Book" w:hAnsi="Avenir Book"/>
        </w:rPr>
        <w:t>to</w:t>
      </w:r>
      <w:r w:rsidRPr="00647D0B">
        <w:rPr>
          <w:rFonts w:ascii="Avenir Book" w:hAnsi="Avenir Book"/>
        </w:rPr>
        <w:t xml:space="preserve"> improve the scheme and moderate cost growth</w:t>
      </w:r>
      <w:r>
        <w:rPr>
          <w:rFonts w:ascii="Avenir Book" w:hAnsi="Avenir Book"/>
        </w:rPr>
        <w:t xml:space="preserve"> as quickly as possible.</w:t>
      </w:r>
    </w:p>
    <w:p w14:paraId="3F6F9979" w14:textId="7B120765" w:rsidR="000252E8" w:rsidRPr="00647D0B" w:rsidRDefault="000252E8" w:rsidP="000252E8">
      <w:pPr>
        <w:tabs>
          <w:tab w:val="left" w:pos="7947"/>
        </w:tabs>
        <w:spacing w:after="240"/>
        <w:rPr>
          <w:rFonts w:ascii="Avenir Book" w:hAnsi="Avenir Book"/>
        </w:rPr>
      </w:pPr>
      <w:r w:rsidRPr="00647D0B">
        <w:rPr>
          <w:rFonts w:ascii="Avenir Book" w:hAnsi="Avenir Book"/>
        </w:rPr>
        <w:t>As it stands, legislating for a new assessment, budget</w:t>
      </w:r>
      <w:r w:rsidR="00666AFB">
        <w:rPr>
          <w:rFonts w:ascii="Avenir Book" w:hAnsi="Avenir Book"/>
        </w:rPr>
        <w:t>-</w:t>
      </w:r>
      <w:r w:rsidRPr="00647D0B">
        <w:rPr>
          <w:rFonts w:ascii="Avenir Book" w:hAnsi="Avenir Book"/>
        </w:rPr>
        <w:t>setting</w:t>
      </w:r>
      <w:r w:rsidR="00666AFB">
        <w:rPr>
          <w:rFonts w:ascii="Avenir Book" w:hAnsi="Avenir Book"/>
        </w:rPr>
        <w:t>,</w:t>
      </w:r>
      <w:r w:rsidRPr="00647D0B">
        <w:rPr>
          <w:rFonts w:ascii="Avenir Book" w:hAnsi="Avenir Book"/>
        </w:rPr>
        <w:t xml:space="preserve"> and planning model at the same time as a lengthy list of </w:t>
      </w:r>
      <w:r>
        <w:rPr>
          <w:rFonts w:ascii="Avenir Book" w:hAnsi="Avenir Book"/>
        </w:rPr>
        <w:t>‘</w:t>
      </w:r>
      <w:r w:rsidRPr="00647D0B">
        <w:rPr>
          <w:rFonts w:ascii="Avenir Book" w:hAnsi="Avenir Book"/>
        </w:rPr>
        <w:t>outs and ins</w:t>
      </w:r>
      <w:r>
        <w:rPr>
          <w:rFonts w:ascii="Avenir Book" w:hAnsi="Avenir Book"/>
        </w:rPr>
        <w:t>’</w:t>
      </w:r>
      <w:r w:rsidRPr="00647D0B">
        <w:rPr>
          <w:rFonts w:ascii="Avenir Book" w:hAnsi="Avenir Book"/>
        </w:rPr>
        <w:t xml:space="preserve"> risks falling between two stools and creating an NDIS 1.5 that serves nobody well. </w:t>
      </w:r>
    </w:p>
    <w:p w14:paraId="375F9C43" w14:textId="77777777" w:rsidR="000252E8" w:rsidRPr="00647D0B" w:rsidRDefault="000252E8" w:rsidP="000252E8">
      <w:pPr>
        <w:tabs>
          <w:tab w:val="left" w:pos="7947"/>
        </w:tabs>
        <w:spacing w:after="240"/>
        <w:rPr>
          <w:rFonts w:ascii="Avenir Book" w:hAnsi="Avenir Book"/>
        </w:rPr>
      </w:pPr>
      <w:r w:rsidRPr="00647D0B">
        <w:rPr>
          <w:rFonts w:ascii="Avenir Book" w:hAnsi="Avenir Book"/>
        </w:rPr>
        <w:t>Yours sincerely</w:t>
      </w:r>
    </w:p>
    <w:p w14:paraId="335B5B0B" w14:textId="77777777" w:rsidR="000252E8" w:rsidRPr="00647D0B" w:rsidRDefault="000252E8" w:rsidP="000252E8">
      <w:pPr>
        <w:tabs>
          <w:tab w:val="left" w:pos="7947"/>
        </w:tabs>
        <w:spacing w:after="240" w:line="276" w:lineRule="auto"/>
        <w:contextualSpacing/>
        <w:rPr>
          <w:rFonts w:ascii="Avenir Book" w:hAnsi="Avenir Book"/>
          <w:color w:val="000000"/>
        </w:rPr>
      </w:pPr>
      <w:r w:rsidRPr="00647D0B">
        <w:rPr>
          <w:rFonts w:ascii="Avenir Book" w:hAnsi="Avenir Book"/>
          <w:color w:val="000000"/>
        </w:rPr>
        <w:t>Dr Sam Bennett</w:t>
      </w:r>
    </w:p>
    <w:p w14:paraId="7C390898" w14:textId="5774A26E" w:rsidR="00666AFB" w:rsidRDefault="00666AFB" w:rsidP="000252E8">
      <w:pPr>
        <w:tabs>
          <w:tab w:val="left" w:pos="7947"/>
        </w:tabs>
        <w:spacing w:after="240" w:line="276" w:lineRule="auto"/>
        <w:contextualSpacing/>
        <w:rPr>
          <w:rFonts w:ascii="Avenir Book" w:hAnsi="Avenir Book"/>
          <w:color w:val="000000"/>
        </w:rPr>
      </w:pPr>
      <w:r>
        <w:rPr>
          <w:rFonts w:ascii="Avenir Book" w:hAnsi="Avenir Book"/>
          <w:color w:val="000000"/>
        </w:rPr>
        <w:t xml:space="preserve">Disability </w:t>
      </w:r>
      <w:r w:rsidR="000252E8" w:rsidRPr="00647D0B">
        <w:rPr>
          <w:rFonts w:ascii="Avenir Book" w:hAnsi="Avenir Book"/>
          <w:color w:val="000000"/>
        </w:rPr>
        <w:t>Program Director</w:t>
      </w:r>
    </w:p>
    <w:p w14:paraId="5A20720F" w14:textId="77777777" w:rsidR="00666AFB" w:rsidRDefault="00666AFB" w:rsidP="000252E8">
      <w:pPr>
        <w:tabs>
          <w:tab w:val="left" w:pos="7947"/>
        </w:tabs>
        <w:spacing w:after="240" w:line="276" w:lineRule="auto"/>
        <w:contextualSpacing/>
        <w:rPr>
          <w:rFonts w:ascii="Avenir Book" w:hAnsi="Avenir Book"/>
          <w:color w:val="000000"/>
        </w:rPr>
      </w:pPr>
      <w:r>
        <w:rPr>
          <w:rFonts w:ascii="Avenir Book" w:hAnsi="Avenir Book"/>
          <w:color w:val="000000"/>
        </w:rPr>
        <w:t>Grattan Institute</w:t>
      </w:r>
    </w:p>
    <w:p w14:paraId="52C07EF3" w14:textId="0FA17BBC" w:rsidR="000252E8" w:rsidRPr="00647D0B" w:rsidRDefault="000252E8" w:rsidP="000252E8">
      <w:pPr>
        <w:tabs>
          <w:tab w:val="left" w:pos="7947"/>
        </w:tabs>
        <w:spacing w:after="240" w:line="276" w:lineRule="auto"/>
        <w:contextualSpacing/>
        <w:rPr>
          <w:rFonts w:ascii="Avenir Book" w:hAnsi="Avenir Book"/>
        </w:rPr>
      </w:pPr>
      <w:r w:rsidRPr="00647D0B">
        <w:rPr>
          <w:rFonts w:ascii="Avenir Book" w:hAnsi="Avenir Book"/>
          <w:color w:val="000000"/>
        </w:rPr>
        <w:t>0436 610 147</w:t>
      </w:r>
    </w:p>
    <w:p w14:paraId="5076E2DA" w14:textId="61328694" w:rsidR="00666AFB" w:rsidRDefault="00205C20" w:rsidP="000252E8">
      <w:pPr>
        <w:tabs>
          <w:tab w:val="left" w:pos="7947"/>
        </w:tabs>
        <w:spacing w:after="240" w:line="276" w:lineRule="auto"/>
        <w:contextualSpacing/>
        <w:rPr>
          <w:rFonts w:ascii="Avenir Book" w:hAnsi="Avenir Book"/>
          <w:color w:val="212121"/>
        </w:rPr>
      </w:pPr>
      <w:hyperlink r:id="rId10" w:tooltip="mailto:samuel.bennett@grattaninstitute.edu.au" w:history="1">
        <w:r w:rsidR="000252E8" w:rsidRPr="00647D0B">
          <w:rPr>
            <w:rStyle w:val="Hyperlink"/>
            <w:rFonts w:ascii="Avenir Book" w:hAnsi="Avenir Book"/>
            <w:color w:val="0563C1"/>
          </w:rPr>
          <w:t>sam.bennett@grattaninstitute.edu.au</w:t>
        </w:r>
      </w:hyperlink>
      <w:r w:rsidR="000252E8" w:rsidRPr="00647D0B">
        <w:rPr>
          <w:rFonts w:ascii="Avenir Book" w:hAnsi="Avenir Book"/>
          <w:color w:val="212121"/>
        </w:rPr>
        <w:t> </w:t>
      </w:r>
    </w:p>
    <w:p w14:paraId="16B339E9" w14:textId="5E3A7512" w:rsidR="002525F8" w:rsidRPr="00013EA2" w:rsidRDefault="002525F8" w:rsidP="000252E8">
      <w:pPr>
        <w:tabs>
          <w:tab w:val="left" w:pos="7947"/>
        </w:tabs>
        <w:spacing w:after="240" w:line="276" w:lineRule="auto"/>
        <w:contextualSpacing/>
        <w:rPr>
          <w:rFonts w:ascii="Avenir Book" w:hAnsi="Avenir Book"/>
          <w:color w:val="000000"/>
        </w:rPr>
        <w:sectPr w:rsidR="002525F8" w:rsidRPr="00013EA2" w:rsidSect="006D2794">
          <w:headerReference w:type="default" r:id="rId11"/>
          <w:pgSz w:w="11901" w:h="16840"/>
          <w:pgMar w:top="2977" w:right="1440" w:bottom="1440" w:left="1440" w:header="278" w:footer="709" w:gutter="0"/>
          <w:cols w:space="708"/>
        </w:sectPr>
      </w:pPr>
    </w:p>
    <w:p w14:paraId="2641DDC7" w14:textId="74C16A32" w:rsidR="008943F6" w:rsidRPr="00094930" w:rsidRDefault="008943F6" w:rsidP="00666AFB">
      <w:pPr>
        <w:tabs>
          <w:tab w:val="left" w:pos="7947"/>
        </w:tabs>
      </w:pPr>
    </w:p>
    <w:sectPr w:rsidR="008943F6" w:rsidRPr="00094930" w:rsidSect="002525F8">
      <w:headerReference w:type="default" r:id="rId12"/>
      <w:pgSz w:w="11901" w:h="16840"/>
      <w:pgMar w:top="1276" w:right="1440" w:bottom="1440" w:left="1440" w:header="27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E305" w14:textId="77777777" w:rsidR="00D36D6D" w:rsidRDefault="00D36D6D">
      <w:r>
        <w:separator/>
      </w:r>
    </w:p>
  </w:endnote>
  <w:endnote w:type="continuationSeparator" w:id="0">
    <w:p w14:paraId="7E058D76" w14:textId="77777777" w:rsidR="00D36D6D" w:rsidRDefault="00D3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Avenir Book">
    <w:charset w:val="00"/>
    <w:family w:val="auto"/>
    <w:pitch w:val="variable"/>
    <w:sig w:usb0="800000AF" w:usb1="5000204A" w:usb2="00000000" w:usb3="00000000" w:csb0="0000009B" w:csb1="00000000"/>
  </w:font>
  <w:font w:name="TimesNewRomanPSMT">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11E7" w14:textId="77777777" w:rsidR="00D36D6D" w:rsidRDefault="00D36D6D">
      <w:r>
        <w:separator/>
      </w:r>
    </w:p>
  </w:footnote>
  <w:footnote w:type="continuationSeparator" w:id="0">
    <w:p w14:paraId="6FAB8CD7" w14:textId="77777777" w:rsidR="00D36D6D" w:rsidRDefault="00D3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EF60" w14:textId="66E8738E" w:rsidR="008943F6" w:rsidRDefault="002525F8" w:rsidP="002525F8">
    <w:pPr>
      <w:pStyle w:val="Header"/>
      <w:tabs>
        <w:tab w:val="clear" w:pos="8640"/>
        <w:tab w:val="right" w:pos="9639"/>
      </w:tabs>
      <w:ind w:right="-999"/>
    </w:pPr>
    <w:r>
      <w:rPr>
        <w:noProof/>
        <w:szCs w:val="20"/>
        <w:lang w:val="en-US"/>
      </w:rPr>
      <mc:AlternateContent>
        <mc:Choice Requires="wps">
          <w:drawing>
            <wp:anchor distT="0" distB="0" distL="114300" distR="114300" simplePos="0" relativeHeight="251657728" behindDoc="0" locked="0" layoutInCell="1" allowOverlap="1" wp14:anchorId="1BE10056" wp14:editId="45E70AFB">
              <wp:simplePos x="0" y="0"/>
              <wp:positionH relativeFrom="column">
                <wp:posOffset>5163185</wp:posOffset>
              </wp:positionH>
              <wp:positionV relativeFrom="paragraph">
                <wp:posOffset>969010</wp:posOffset>
              </wp:positionV>
              <wp:extent cx="1289050" cy="1143000"/>
              <wp:effectExtent l="0" t="0" r="635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1430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xmlns:pic="http://schemas.openxmlformats.org/drawingml/2006/picture" w="9525">
                            <a:solidFill>
                              <a:srgbClr val="000000"/>
                            </a:solidFill>
                            <a:miter lim="800000"/>
                            <a:headEnd/>
                            <a:tailEnd/>
                          </a14:hiddenLine>
                        </a:ext>
                      </a:extLst>
                    </wps:spPr>
                    <wps:txbx>
                      <w:txbxContent>
                        <w:p w14:paraId="41C5527B" w14:textId="77777777" w:rsidR="008943F6" w:rsidRPr="00094930" w:rsidRDefault="008943F6" w:rsidP="008943F6">
                          <w:pPr>
                            <w:widowControl w:val="0"/>
                            <w:autoSpaceDE w:val="0"/>
                            <w:autoSpaceDN w:val="0"/>
                            <w:adjustRightInd w:val="0"/>
                            <w:spacing w:after="100"/>
                            <w:rPr>
                              <w:rFonts w:cs="Helvetica"/>
                              <w:color w:val="000000"/>
                              <w:kern w:val="1"/>
                              <w:sz w:val="14"/>
                              <w:lang w:val="en-US" w:bidi="en-US"/>
                            </w:rPr>
                          </w:pPr>
                          <w:r>
                            <w:rPr>
                              <w:rFonts w:ascii="TimesNewRomanPSMT" w:hAnsi="TimesNewRomanPSMT" w:cs="TimesNewRomanPSMT"/>
                              <w:color w:val="000000"/>
                              <w:spacing w:val="4"/>
                              <w:kern w:val="1"/>
                              <w:sz w:val="14"/>
                              <w:szCs w:val="18"/>
                              <w:lang w:val="en-US" w:bidi="en-US"/>
                            </w:rPr>
                            <w:t xml:space="preserve">8 Malvina Place </w:t>
                          </w:r>
                          <w:r>
                            <w:rPr>
                              <w:rFonts w:ascii="TimesNewRomanPSMT" w:hAnsi="TimesNewRomanPSMT" w:cs="TimesNewRomanPSMT"/>
                              <w:color w:val="000000"/>
                              <w:spacing w:val="4"/>
                              <w:kern w:val="1"/>
                              <w:sz w:val="14"/>
                              <w:szCs w:val="18"/>
                              <w:lang w:val="en-US" w:bidi="en-US"/>
                            </w:rPr>
                            <w:br/>
                            <w:t xml:space="preserve">Carlton </w:t>
                          </w:r>
                          <w:r>
                            <w:rPr>
                              <w:rFonts w:ascii="TimesNewRomanPSMT" w:hAnsi="TimesNewRomanPSMT" w:cs="TimesNewRomanPSMT"/>
                              <w:color w:val="000000"/>
                              <w:spacing w:val="4"/>
                              <w:kern w:val="1"/>
                              <w:sz w:val="14"/>
                              <w:szCs w:val="18"/>
                              <w:lang w:val="en-US" w:bidi="en-US"/>
                            </w:rPr>
                            <w:br/>
                            <w:t xml:space="preserve">Victoria 3053 </w:t>
                          </w:r>
                          <w:r w:rsidRPr="00094930">
                            <w:rPr>
                              <w:rFonts w:ascii="TimesNewRomanPSMT" w:hAnsi="TimesNewRomanPSMT" w:cs="TimesNewRomanPSMT"/>
                              <w:color w:val="000000"/>
                              <w:spacing w:val="4"/>
                              <w:kern w:val="1"/>
                              <w:sz w:val="14"/>
                              <w:szCs w:val="18"/>
                              <w:lang w:val="en-US" w:bidi="en-US"/>
                            </w:rPr>
                            <w:br/>
                            <w:t>Australia</w:t>
                          </w:r>
                        </w:p>
                        <w:p w14:paraId="49FA05C9" w14:textId="608C87D8" w:rsidR="008943F6" w:rsidRPr="00094930" w:rsidRDefault="008943F6" w:rsidP="008943F6">
                          <w:pPr>
                            <w:widowControl w:val="0"/>
                            <w:autoSpaceDE w:val="0"/>
                            <w:autoSpaceDN w:val="0"/>
                            <w:adjustRightInd w:val="0"/>
                            <w:rPr>
                              <w:rFonts w:cs="Helvetica"/>
                              <w:color w:val="000000"/>
                              <w:kern w:val="1"/>
                              <w:sz w:val="14"/>
                              <w:lang w:val="en-US" w:bidi="en-US"/>
                            </w:rPr>
                          </w:pPr>
                          <w:r>
                            <w:rPr>
                              <w:rFonts w:ascii="TimesNewRomanPSMT" w:hAnsi="TimesNewRomanPSMT" w:cs="TimesNewRomanPSMT"/>
                              <w:color w:val="000000"/>
                              <w:spacing w:val="4"/>
                              <w:kern w:val="1"/>
                              <w:sz w:val="14"/>
                              <w:szCs w:val="18"/>
                              <w:lang w:val="en-US" w:bidi="en-US"/>
                            </w:rPr>
                            <w:t xml:space="preserve">T. </w:t>
                          </w:r>
                          <w:r w:rsidRPr="00094930">
                            <w:rPr>
                              <w:rFonts w:ascii="TimesNewRomanPSMT" w:hAnsi="TimesNewRomanPSMT" w:cs="TimesNewRomanPSMT"/>
                              <w:color w:val="000000"/>
                              <w:spacing w:val="4"/>
                              <w:kern w:val="1"/>
                              <w:sz w:val="14"/>
                              <w:szCs w:val="18"/>
                              <w:lang w:val="en-US" w:bidi="en-US"/>
                            </w:rPr>
                            <w:t xml:space="preserve">+61 3 </w:t>
                          </w:r>
                          <w:r w:rsidR="00B4779A">
                            <w:rPr>
                              <w:rFonts w:ascii="TimesNewRomanPSMT" w:hAnsi="TimesNewRomanPSMT" w:cs="TimesNewRomanPSMT"/>
                              <w:color w:val="000000"/>
                              <w:spacing w:val="4"/>
                              <w:kern w:val="1"/>
                              <w:sz w:val="14"/>
                              <w:szCs w:val="18"/>
                              <w:lang w:val="en-US" w:bidi="en-US"/>
                            </w:rPr>
                            <w:t>9035 9881</w:t>
                          </w:r>
                        </w:p>
                        <w:p w14:paraId="17BCC657" w14:textId="77777777" w:rsidR="008943F6" w:rsidRPr="00094930" w:rsidRDefault="008943F6" w:rsidP="008943F6">
                          <w:pPr>
                            <w:widowControl w:val="0"/>
                            <w:autoSpaceDE w:val="0"/>
                            <w:autoSpaceDN w:val="0"/>
                            <w:adjustRightInd w:val="0"/>
                            <w:rPr>
                              <w:rFonts w:cs="Helvetica"/>
                              <w:color w:val="000000"/>
                              <w:kern w:val="1"/>
                              <w:sz w:val="14"/>
                              <w:lang w:val="en-US" w:bidi="en-US"/>
                            </w:rPr>
                          </w:pPr>
                          <w:r w:rsidRPr="00094930">
                            <w:rPr>
                              <w:rFonts w:ascii="TimesNewRomanPSMT" w:hAnsi="TimesNewRomanPSMT" w:cs="TimesNewRomanPSMT"/>
                              <w:color w:val="000000"/>
                              <w:spacing w:val="2"/>
                              <w:kern w:val="1"/>
                              <w:sz w:val="14"/>
                              <w:szCs w:val="18"/>
                              <w:lang w:val="en-US" w:bidi="en-US"/>
                            </w:rPr>
                            <w:t xml:space="preserve">W. </w:t>
                          </w:r>
                          <w:hyperlink r:id="rId1" w:history="1">
                            <w:r w:rsidRPr="00094930">
                              <w:rPr>
                                <w:rFonts w:ascii="TimesNewRomanPSMT" w:hAnsi="TimesNewRomanPSMT" w:cs="TimesNewRomanPSMT"/>
                                <w:color w:val="000000"/>
                                <w:spacing w:val="2"/>
                                <w:kern w:val="1"/>
                                <w:sz w:val="14"/>
                                <w:szCs w:val="18"/>
                                <w:u w:color="0050AE"/>
                                <w:lang w:val="en-US" w:bidi="en-US"/>
                              </w:rPr>
                              <w:t>www.grattan.edu.au</w:t>
                            </w:r>
                          </w:hyperlink>
                        </w:p>
                        <w:p w14:paraId="4011B4AC" w14:textId="77777777" w:rsidR="008943F6" w:rsidRPr="00094930" w:rsidRDefault="008943F6" w:rsidP="008943F6">
                          <w:pPr>
                            <w:widowControl w:val="0"/>
                            <w:autoSpaceDE w:val="0"/>
                            <w:autoSpaceDN w:val="0"/>
                            <w:adjustRightInd w:val="0"/>
                            <w:rPr>
                              <w:rFonts w:cs="Helvetica"/>
                              <w:color w:val="000000"/>
                              <w:kern w:val="1"/>
                              <w:sz w:val="14"/>
                              <w:lang w:val="en-US" w:bidi="en-US"/>
                            </w:rPr>
                          </w:pPr>
                          <w:r w:rsidRPr="00094930">
                            <w:rPr>
                              <w:rFonts w:ascii="TimesNewRomanPSMT" w:hAnsi="TimesNewRomanPSMT" w:cs="TimesNewRomanPSMT"/>
                              <w:color w:val="000000"/>
                              <w:spacing w:val="2"/>
                              <w:kern w:val="1"/>
                              <w:sz w:val="14"/>
                              <w:szCs w:val="18"/>
                              <w:lang w:val="en-US" w:bidi="en-US"/>
                            </w:rPr>
                            <w:t xml:space="preserve">E. </w:t>
                          </w:r>
                          <w:hyperlink r:id="rId2" w:history="1">
                            <w:r w:rsidRPr="00094930">
                              <w:rPr>
                                <w:rFonts w:ascii="TimesNewRomanPSMT" w:hAnsi="TimesNewRomanPSMT" w:cs="TimesNewRomanPSMT"/>
                                <w:color w:val="000000"/>
                                <w:spacing w:val="2"/>
                                <w:kern w:val="1"/>
                                <w:sz w:val="14"/>
                                <w:szCs w:val="18"/>
                                <w:u w:color="0050AE"/>
                                <w:lang w:val="en-US" w:bidi="en-US"/>
                              </w:rPr>
                              <w:t>info@grat</w:t>
                            </w:r>
                            <w:r w:rsidR="001147DA">
                              <w:rPr>
                                <w:rFonts w:ascii="TimesNewRomanPSMT" w:hAnsi="TimesNewRomanPSMT" w:cs="TimesNewRomanPSMT"/>
                                <w:color w:val="000000"/>
                                <w:spacing w:val="2"/>
                                <w:kern w:val="1"/>
                                <w:sz w:val="14"/>
                                <w:szCs w:val="18"/>
                                <w:u w:color="0050AE"/>
                                <w:lang w:val="en-US" w:bidi="en-US"/>
                              </w:rPr>
                              <w:t>tan</w:t>
                            </w:r>
                            <w:r w:rsidRPr="00094930">
                              <w:rPr>
                                <w:rFonts w:ascii="TimesNewRomanPSMT" w:hAnsi="TimesNewRomanPSMT" w:cs="TimesNewRomanPSMT"/>
                                <w:color w:val="000000"/>
                                <w:spacing w:val="2"/>
                                <w:kern w:val="1"/>
                                <w:sz w:val="14"/>
                                <w:szCs w:val="18"/>
                                <w:u w:color="0050AE"/>
                                <w:lang w:val="en-US" w:bidi="en-US"/>
                              </w:rPr>
                              <w:t>.edu.au</w:t>
                            </w:r>
                          </w:hyperlink>
                        </w:p>
                        <w:p w14:paraId="024D05C0" w14:textId="77777777" w:rsidR="008943F6" w:rsidRPr="00094930" w:rsidRDefault="008943F6">
                          <w:pPr>
                            <w:rPr>
                              <w:color w:val="333333"/>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a14="http://schemas.microsoft.com/office/mac/drawingml/2011/main" xmlns:pic="http://schemas.openxmlformats.org/drawingml/2006/picture" xmlns:a14="http://schemas.microsoft.com/office/drawing/2010/main" xmlns:a="http://schemas.openxmlformats.org/drawingml/2006/main" xmlns:w16du="http://schemas.microsoft.com/office/word/2023/wordml/word16du">
          <w:pict w14:anchorId="2B30FB0C">
            <v:shapetype id="_x0000_t202" coordsize="21600,21600" o:spt="202" path="m,l,21600r21600,l21600,xe" w14:anchorId="1BE10056">
              <v:stroke joinstyle="miter"/>
              <v:path gradientshapeok="t" o:connecttype="rect"/>
            </v:shapetype>
            <v:shape id="Text Box 1" style="position:absolute;margin-left:406.55pt;margin-top:76.3pt;width:101.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">
              <v:textbox>
                <w:txbxContent>
                  <w:p w:rsidRPr="00094930" w:rsidR="008943F6" w:rsidP="008943F6" w:rsidRDefault="008943F6" w14:paraId="4A4AD173" w14:textId="77777777">
                    <w:pPr>
                      <w:widowControl w:val="0"/>
                      <w:autoSpaceDE w:val="0"/>
                      <w:autoSpaceDN w:val="0"/>
                      <w:adjustRightInd w:val="0"/>
                      <w:spacing w:after="100"/>
                      <w:rPr>
                        <w:rFonts w:cs="Helvetica"/>
                        <w:color w:val="000000"/>
                        <w:kern w:val="1"/>
                        <w:sz w:val="14"/>
                        <w:lang w:val="en-US" w:bidi="en-US"/>
                      </w:rPr>
                    </w:pPr>
                    <w:r>
                      <w:rPr>
                        <w:rFonts w:ascii="TimesNewRomanPSMT" w:hAnsi="TimesNewRomanPSMT" w:cs="TimesNewRomanPSMT"/>
                        <w:color w:val="000000"/>
                        <w:spacing w:val="4"/>
                        <w:kern w:val="1"/>
                        <w:sz w:val="14"/>
                        <w:szCs w:val="18"/>
                        <w:lang w:val="en-US" w:bidi="en-US"/>
                      </w:rPr>
                      <w:t xml:space="preserve">8 Malvina Place </w:t>
                    </w:r>
                    <w:r>
                      <w:rPr>
                        <w:rFonts w:ascii="TimesNewRomanPSMT" w:hAnsi="TimesNewRomanPSMT" w:cs="TimesNewRomanPSMT"/>
                        <w:color w:val="000000"/>
                        <w:spacing w:val="4"/>
                        <w:kern w:val="1"/>
                        <w:sz w:val="14"/>
                        <w:szCs w:val="18"/>
                        <w:lang w:val="en-US" w:bidi="en-US"/>
                      </w:rPr>
                      <w:br/>
                    </w:r>
                    <w:r>
                      <w:rPr>
                        <w:rFonts w:ascii="TimesNewRomanPSMT" w:hAnsi="TimesNewRomanPSMT" w:cs="TimesNewRomanPSMT"/>
                        <w:color w:val="000000"/>
                        <w:spacing w:val="4"/>
                        <w:kern w:val="1"/>
                        <w:sz w:val="14"/>
                        <w:szCs w:val="18"/>
                        <w:lang w:val="en-US" w:bidi="en-US"/>
                      </w:rPr>
                      <w:t xml:space="preserve">Carlton </w:t>
                    </w:r>
                    <w:r>
                      <w:rPr>
                        <w:rFonts w:ascii="TimesNewRomanPSMT" w:hAnsi="TimesNewRomanPSMT" w:cs="TimesNewRomanPSMT"/>
                        <w:color w:val="000000"/>
                        <w:spacing w:val="4"/>
                        <w:kern w:val="1"/>
                        <w:sz w:val="14"/>
                        <w:szCs w:val="18"/>
                        <w:lang w:val="en-US" w:bidi="en-US"/>
                      </w:rPr>
                      <w:br/>
                    </w:r>
                    <w:r>
                      <w:rPr>
                        <w:rFonts w:ascii="TimesNewRomanPSMT" w:hAnsi="TimesNewRomanPSMT" w:cs="TimesNewRomanPSMT"/>
                        <w:color w:val="000000"/>
                        <w:spacing w:val="4"/>
                        <w:kern w:val="1"/>
                        <w:sz w:val="14"/>
                        <w:szCs w:val="18"/>
                        <w:lang w:val="en-US" w:bidi="en-US"/>
                      </w:rPr>
                      <w:t xml:space="preserve">Victoria 3053 </w:t>
                    </w:r>
                    <w:r w:rsidRPr="00094930">
                      <w:rPr>
                        <w:rFonts w:ascii="TimesNewRomanPSMT" w:hAnsi="TimesNewRomanPSMT" w:cs="TimesNewRomanPSMT"/>
                        <w:color w:val="000000"/>
                        <w:spacing w:val="4"/>
                        <w:kern w:val="1"/>
                        <w:sz w:val="14"/>
                        <w:szCs w:val="18"/>
                        <w:lang w:val="en-US" w:bidi="en-US"/>
                      </w:rPr>
                      <w:br/>
                    </w:r>
                    <w:r w:rsidRPr="00094930">
                      <w:rPr>
                        <w:rFonts w:ascii="TimesNewRomanPSMT" w:hAnsi="TimesNewRomanPSMT" w:cs="TimesNewRomanPSMT"/>
                        <w:color w:val="000000"/>
                        <w:spacing w:val="4"/>
                        <w:kern w:val="1"/>
                        <w:sz w:val="14"/>
                        <w:szCs w:val="18"/>
                        <w:lang w:val="en-US" w:bidi="en-US"/>
                      </w:rPr>
                      <w:t>Australia</w:t>
                    </w:r>
                  </w:p>
                  <w:p w:rsidRPr="00094930" w:rsidR="008943F6" w:rsidP="008943F6" w:rsidRDefault="008943F6" w14:paraId="770C06CD" w14:textId="608C87D8">
                    <w:pPr>
                      <w:widowControl w:val="0"/>
                      <w:autoSpaceDE w:val="0"/>
                      <w:autoSpaceDN w:val="0"/>
                      <w:adjustRightInd w:val="0"/>
                      <w:rPr>
                        <w:rFonts w:cs="Helvetica"/>
                        <w:color w:val="000000"/>
                        <w:kern w:val="1"/>
                        <w:sz w:val="14"/>
                        <w:lang w:val="en-US" w:bidi="en-US"/>
                      </w:rPr>
                    </w:pPr>
                    <w:r>
                      <w:rPr>
                        <w:rFonts w:ascii="TimesNewRomanPSMT" w:hAnsi="TimesNewRomanPSMT" w:cs="TimesNewRomanPSMT"/>
                        <w:color w:val="000000"/>
                        <w:spacing w:val="4"/>
                        <w:kern w:val="1"/>
                        <w:sz w:val="14"/>
                        <w:szCs w:val="18"/>
                        <w:lang w:val="en-US" w:bidi="en-US"/>
                      </w:rPr>
                      <w:t xml:space="preserve">T. </w:t>
                    </w:r>
                    <w:r w:rsidRPr="00094930">
                      <w:rPr>
                        <w:rFonts w:ascii="TimesNewRomanPSMT" w:hAnsi="TimesNewRomanPSMT" w:cs="TimesNewRomanPSMT"/>
                        <w:color w:val="000000"/>
                        <w:spacing w:val="4"/>
                        <w:kern w:val="1"/>
                        <w:sz w:val="14"/>
                        <w:szCs w:val="18"/>
                        <w:lang w:val="en-US" w:bidi="en-US"/>
                      </w:rPr>
                      <w:t xml:space="preserve">+61 3 </w:t>
                    </w:r>
                    <w:r w:rsidR="00B4779A">
                      <w:rPr>
                        <w:rFonts w:ascii="TimesNewRomanPSMT" w:hAnsi="TimesNewRomanPSMT" w:cs="TimesNewRomanPSMT"/>
                        <w:color w:val="000000"/>
                        <w:spacing w:val="4"/>
                        <w:kern w:val="1"/>
                        <w:sz w:val="14"/>
                        <w:szCs w:val="18"/>
                        <w:lang w:val="en-US" w:bidi="en-US"/>
                      </w:rPr>
                      <w:t>9035 9881</w:t>
                    </w:r>
                  </w:p>
                  <w:p w:rsidRPr="00094930" w:rsidR="008943F6" w:rsidP="008943F6" w:rsidRDefault="008943F6" w14:paraId="7A8DD2E3" w14:textId="77777777">
                    <w:pPr>
                      <w:widowControl w:val="0"/>
                      <w:autoSpaceDE w:val="0"/>
                      <w:autoSpaceDN w:val="0"/>
                      <w:adjustRightInd w:val="0"/>
                      <w:rPr>
                        <w:rFonts w:cs="Helvetica"/>
                        <w:color w:val="000000"/>
                        <w:kern w:val="1"/>
                        <w:sz w:val="14"/>
                        <w:lang w:val="en-US" w:bidi="en-US"/>
                      </w:rPr>
                    </w:pPr>
                    <w:r w:rsidRPr="00094930">
                      <w:rPr>
                        <w:rFonts w:ascii="TimesNewRomanPSMT" w:hAnsi="TimesNewRomanPSMT" w:cs="TimesNewRomanPSMT"/>
                        <w:color w:val="000000"/>
                        <w:spacing w:val="2"/>
                        <w:kern w:val="1"/>
                        <w:sz w:val="14"/>
                        <w:szCs w:val="18"/>
                        <w:lang w:val="en-US" w:bidi="en-US"/>
                      </w:rPr>
                      <w:t xml:space="preserve">W. </w:t>
                    </w:r>
                    <w:hyperlink w:history="1" r:id="rId3">
                      <w:r w:rsidRPr="00094930">
                        <w:rPr>
                          <w:rFonts w:ascii="TimesNewRomanPSMT" w:hAnsi="TimesNewRomanPSMT" w:cs="TimesNewRomanPSMT"/>
                          <w:color w:val="000000"/>
                          <w:spacing w:val="2"/>
                          <w:kern w:val="1"/>
                          <w:sz w:val="14"/>
                          <w:szCs w:val="18"/>
                          <w:u w:color="0050AE"/>
                          <w:lang w:val="en-US" w:bidi="en-US"/>
                        </w:rPr>
                        <w:t>www.grattan.edu.au</w:t>
                      </w:r>
                    </w:hyperlink>
                  </w:p>
                  <w:p w:rsidRPr="00094930" w:rsidR="008943F6" w:rsidP="008943F6" w:rsidRDefault="008943F6" w14:paraId="497381E5" w14:textId="77777777">
                    <w:pPr>
                      <w:widowControl w:val="0"/>
                      <w:autoSpaceDE w:val="0"/>
                      <w:autoSpaceDN w:val="0"/>
                      <w:adjustRightInd w:val="0"/>
                      <w:rPr>
                        <w:rFonts w:cs="Helvetica"/>
                        <w:color w:val="000000"/>
                        <w:kern w:val="1"/>
                        <w:sz w:val="14"/>
                        <w:lang w:val="en-US" w:bidi="en-US"/>
                      </w:rPr>
                    </w:pPr>
                    <w:r w:rsidRPr="00094930">
                      <w:rPr>
                        <w:rFonts w:ascii="TimesNewRomanPSMT" w:hAnsi="TimesNewRomanPSMT" w:cs="TimesNewRomanPSMT"/>
                        <w:color w:val="000000"/>
                        <w:spacing w:val="2"/>
                        <w:kern w:val="1"/>
                        <w:sz w:val="14"/>
                        <w:szCs w:val="18"/>
                        <w:lang w:val="en-US" w:bidi="en-US"/>
                      </w:rPr>
                      <w:t xml:space="preserve">E. </w:t>
                    </w:r>
                    <w:hyperlink w:history="1" r:id="rId4">
                      <w:r w:rsidRPr="00094930">
                        <w:rPr>
                          <w:rFonts w:ascii="TimesNewRomanPSMT" w:hAnsi="TimesNewRomanPSMT" w:cs="TimesNewRomanPSMT"/>
                          <w:color w:val="000000"/>
                          <w:spacing w:val="2"/>
                          <w:kern w:val="1"/>
                          <w:sz w:val="14"/>
                          <w:szCs w:val="18"/>
                          <w:u w:color="0050AE"/>
                          <w:lang w:val="en-US" w:bidi="en-US"/>
                        </w:rPr>
                        <w:t>info@grat</w:t>
                      </w:r>
                      <w:r w:rsidR="001147DA">
                        <w:rPr>
                          <w:rFonts w:ascii="TimesNewRomanPSMT" w:hAnsi="TimesNewRomanPSMT" w:cs="TimesNewRomanPSMT"/>
                          <w:color w:val="000000"/>
                          <w:spacing w:val="2"/>
                          <w:kern w:val="1"/>
                          <w:sz w:val="14"/>
                          <w:szCs w:val="18"/>
                          <w:u w:color="0050AE"/>
                          <w:lang w:val="en-US" w:bidi="en-US"/>
                        </w:rPr>
                        <w:t>tan</w:t>
                      </w:r>
                      <w:r w:rsidRPr="00094930">
                        <w:rPr>
                          <w:rFonts w:ascii="TimesNewRomanPSMT" w:hAnsi="TimesNewRomanPSMT" w:cs="TimesNewRomanPSMT"/>
                          <w:color w:val="000000"/>
                          <w:spacing w:val="2"/>
                          <w:kern w:val="1"/>
                          <w:sz w:val="14"/>
                          <w:szCs w:val="18"/>
                          <w:u w:color="0050AE"/>
                          <w:lang w:val="en-US" w:bidi="en-US"/>
                        </w:rPr>
                        <w:t>.edu.au</w:t>
                      </w:r>
                    </w:hyperlink>
                  </w:p>
                  <w:p w:rsidRPr="00094930" w:rsidR="008943F6" w:rsidRDefault="008943F6" w14:paraId="672A6659" w14:textId="77777777">
                    <w:pPr>
                      <w:rPr>
                        <w:color w:val="333333"/>
                        <w:sz w:val="14"/>
                      </w:rPr>
                    </w:pPr>
                  </w:p>
                </w:txbxContent>
              </v:textbox>
            </v:shape>
          </w:pict>
        </mc:Fallback>
      </mc:AlternateContent>
    </w:r>
    <w:r w:rsidR="001351E3">
      <w:rPr>
        <w:noProof/>
        <w:lang w:val="en-US"/>
      </w:rPr>
      <w:drawing>
        <wp:anchor distT="0" distB="0" distL="114300" distR="114300" simplePos="0" relativeHeight="251658752" behindDoc="1" locked="0" layoutInCell="1" allowOverlap="1" wp14:anchorId="78FC2AD4" wp14:editId="7EA60917">
          <wp:simplePos x="0" y="0"/>
          <wp:positionH relativeFrom="column">
            <wp:posOffset>3505835</wp:posOffset>
          </wp:positionH>
          <wp:positionV relativeFrom="paragraph">
            <wp:posOffset>99695</wp:posOffset>
          </wp:positionV>
          <wp:extent cx="2717800" cy="753745"/>
          <wp:effectExtent l="0" t="0" r="0" b="8255"/>
          <wp:wrapNone/>
          <wp:docPr id="1" name="Picture 1" descr="Gratt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tan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7800" cy="7537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1D1" w14:textId="637CD84E" w:rsidR="002525F8" w:rsidRDefault="002525F8" w:rsidP="002525F8">
    <w:pPr>
      <w:pStyle w:val="Header"/>
      <w:tabs>
        <w:tab w:val="clear" w:pos="8640"/>
      </w:tabs>
      <w:ind w:right="-99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7D27"/>
    <w:multiLevelType w:val="hybridMultilevel"/>
    <w:tmpl w:val="B73CFBAC"/>
    <w:lvl w:ilvl="0" w:tplc="AFA27CA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59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E3"/>
    <w:rsid w:val="00013EA2"/>
    <w:rsid w:val="000252E8"/>
    <w:rsid w:val="00053E2C"/>
    <w:rsid w:val="000D16BE"/>
    <w:rsid w:val="001147DA"/>
    <w:rsid w:val="001351E3"/>
    <w:rsid w:val="00140FE9"/>
    <w:rsid w:val="001E1002"/>
    <w:rsid w:val="002525F8"/>
    <w:rsid w:val="002A21A1"/>
    <w:rsid w:val="00361B39"/>
    <w:rsid w:val="003842DB"/>
    <w:rsid w:val="004341E0"/>
    <w:rsid w:val="004F3642"/>
    <w:rsid w:val="005A312E"/>
    <w:rsid w:val="00666AFB"/>
    <w:rsid w:val="006D2794"/>
    <w:rsid w:val="008943F6"/>
    <w:rsid w:val="009214EE"/>
    <w:rsid w:val="00A05ACC"/>
    <w:rsid w:val="00AA6009"/>
    <w:rsid w:val="00AF4C4B"/>
    <w:rsid w:val="00B4779A"/>
    <w:rsid w:val="00C417DF"/>
    <w:rsid w:val="00CE10F3"/>
    <w:rsid w:val="00D36D6D"/>
    <w:rsid w:val="00D6054F"/>
    <w:rsid w:val="00E43446"/>
    <w:rsid w:val="00F4009E"/>
    <w:rsid w:val="00FD1DE1"/>
    <w:rsid w:val="0BE729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34AFC4"/>
  <w14:defaultImageDpi w14:val="300"/>
  <w15:docId w15:val="{79AA853F-669D-5845-AFD2-625A8E1A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imes New Roman" w:hAnsi="Helvetica" w:cs="Times New Roman"/>
        <w:sz w:val="24"/>
        <w:szCs w:val="24"/>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05176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101"/>
    <w:pPr>
      <w:tabs>
        <w:tab w:val="center" w:pos="4320"/>
        <w:tab w:val="right" w:pos="8640"/>
      </w:tabs>
    </w:pPr>
  </w:style>
  <w:style w:type="paragraph" w:styleId="Footer">
    <w:name w:val="footer"/>
    <w:basedOn w:val="Normal"/>
    <w:semiHidden/>
    <w:rsid w:val="00530101"/>
    <w:pPr>
      <w:tabs>
        <w:tab w:val="center" w:pos="4320"/>
        <w:tab w:val="right" w:pos="8640"/>
      </w:tabs>
    </w:pPr>
  </w:style>
  <w:style w:type="paragraph" w:customStyle="1" w:styleId="NoteLevel2">
    <w:name w:val="Note Level 2"/>
    <w:uiPriority w:val="1"/>
    <w:qFormat/>
    <w:rsid w:val="00051769"/>
  </w:style>
  <w:style w:type="character" w:customStyle="1" w:styleId="Heading1Char">
    <w:name w:val="Heading 1 Char"/>
    <w:basedOn w:val="DefaultParagraphFont"/>
    <w:link w:val="Heading1"/>
    <w:uiPriority w:val="9"/>
    <w:rsid w:val="00051769"/>
    <w:rPr>
      <w:rFonts w:ascii="Cambria" w:eastAsia="Times New Roman" w:hAnsi="Cambria" w:cs="Times New Roman"/>
      <w:b/>
      <w:bCs/>
      <w:kern w:val="32"/>
      <w:sz w:val="32"/>
      <w:szCs w:val="32"/>
      <w:lang w:eastAsia="en-US"/>
    </w:rPr>
  </w:style>
  <w:style w:type="character" w:styleId="Hyperlink">
    <w:name w:val="Hyperlink"/>
    <w:basedOn w:val="DefaultParagraphFont"/>
    <w:rsid w:val="001147DA"/>
    <w:rPr>
      <w:color w:val="0000FF"/>
      <w:u w:val="single"/>
    </w:rPr>
  </w:style>
  <w:style w:type="paragraph" w:styleId="BalloonText">
    <w:name w:val="Balloon Text"/>
    <w:basedOn w:val="Normal"/>
    <w:link w:val="BalloonTextChar"/>
    <w:rsid w:val="00E43446"/>
    <w:rPr>
      <w:rFonts w:ascii="Lucida Grande" w:hAnsi="Lucida Grande" w:cs="Lucida Grande"/>
      <w:sz w:val="18"/>
      <w:szCs w:val="18"/>
    </w:rPr>
  </w:style>
  <w:style w:type="character" w:customStyle="1" w:styleId="BalloonTextChar">
    <w:name w:val="Balloon Text Char"/>
    <w:basedOn w:val="DefaultParagraphFont"/>
    <w:link w:val="BalloonText"/>
    <w:rsid w:val="00E43446"/>
    <w:rPr>
      <w:rFonts w:ascii="Lucida Grande" w:hAnsi="Lucida Grande" w:cs="Lucida Grande"/>
      <w:sz w:val="18"/>
      <w:szCs w:val="18"/>
    </w:rPr>
  </w:style>
  <w:style w:type="character" w:styleId="Strong">
    <w:name w:val="Strong"/>
    <w:basedOn w:val="DefaultParagraphFont"/>
    <w:qFormat/>
    <w:rsid w:val="000252E8"/>
    <w:rPr>
      <w:b/>
      <w:bCs/>
    </w:rPr>
  </w:style>
  <w:style w:type="paragraph" w:styleId="Revision">
    <w:name w:val="Revision"/>
    <w:hidden/>
    <w:uiPriority w:val="99"/>
    <w:semiHidden/>
    <w:rsid w:val="00F4009E"/>
  </w:style>
  <w:style w:type="character" w:styleId="CommentReference">
    <w:name w:val="annotation reference"/>
    <w:basedOn w:val="DefaultParagraphFont"/>
    <w:semiHidden/>
    <w:unhideWhenUsed/>
    <w:rsid w:val="00FD1DE1"/>
    <w:rPr>
      <w:sz w:val="16"/>
      <w:szCs w:val="16"/>
    </w:rPr>
  </w:style>
  <w:style w:type="paragraph" w:styleId="CommentText">
    <w:name w:val="annotation text"/>
    <w:basedOn w:val="Normal"/>
    <w:link w:val="CommentTextChar"/>
    <w:semiHidden/>
    <w:unhideWhenUsed/>
    <w:rsid w:val="00FD1DE1"/>
    <w:rPr>
      <w:sz w:val="20"/>
      <w:szCs w:val="20"/>
    </w:rPr>
  </w:style>
  <w:style w:type="character" w:customStyle="1" w:styleId="CommentTextChar">
    <w:name w:val="Comment Text Char"/>
    <w:basedOn w:val="DefaultParagraphFont"/>
    <w:link w:val="CommentText"/>
    <w:semiHidden/>
    <w:rsid w:val="00FD1DE1"/>
    <w:rPr>
      <w:sz w:val="20"/>
      <w:szCs w:val="20"/>
    </w:rPr>
  </w:style>
  <w:style w:type="paragraph" w:styleId="CommentSubject">
    <w:name w:val="annotation subject"/>
    <w:basedOn w:val="CommentText"/>
    <w:next w:val="CommentText"/>
    <w:link w:val="CommentSubjectChar"/>
    <w:semiHidden/>
    <w:unhideWhenUsed/>
    <w:rsid w:val="00FD1DE1"/>
    <w:rPr>
      <w:b/>
      <w:bCs/>
    </w:rPr>
  </w:style>
  <w:style w:type="character" w:customStyle="1" w:styleId="CommentSubjectChar">
    <w:name w:val="Comment Subject Char"/>
    <w:basedOn w:val="CommentTextChar"/>
    <w:link w:val="CommentSubject"/>
    <w:semiHidden/>
    <w:rsid w:val="00FD1DE1"/>
    <w:rPr>
      <w:b/>
      <w:bCs/>
      <w:sz w:val="20"/>
      <w:szCs w:val="20"/>
    </w:rPr>
  </w:style>
  <w:style w:type="character" w:styleId="UnresolvedMention">
    <w:name w:val="Unresolved Mention"/>
    <w:basedOn w:val="DefaultParagraphFont"/>
    <w:uiPriority w:val="99"/>
    <w:semiHidden/>
    <w:unhideWhenUsed/>
    <w:rsid w:val="00666AFB"/>
    <w:rPr>
      <w:color w:val="605E5C"/>
      <w:shd w:val="clear" w:color="auto" w:fill="E1DFDD"/>
    </w:rPr>
  </w:style>
  <w:style w:type="character" w:styleId="FollowedHyperlink">
    <w:name w:val="FollowedHyperlink"/>
    <w:basedOn w:val="DefaultParagraphFont"/>
    <w:semiHidden/>
    <w:unhideWhenUsed/>
    <w:rsid w:val="00013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muel.bennett@grattaninstitute.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grattaninstitute.edu.au/" TargetMode="External"/><Relationship Id="rId2" Type="http://schemas.openxmlformats.org/officeDocument/2006/relationships/hyperlink" Target="mailto:info@grattaninstitute.edu.au" TargetMode="External"/><Relationship Id="rId1" Type="http://schemas.openxmlformats.org/officeDocument/2006/relationships/hyperlink" Target="http://www.grattaninstitute.edu.au/" TargetMode="External"/><Relationship Id="rId5" Type="http://schemas.openxmlformats.org/officeDocument/2006/relationships/image" Target="media/image1.jpeg"/><Relationship Id="rId4" Type="http://schemas.openxmlformats.org/officeDocument/2006/relationships/hyperlink" Target="mailto:info@grattaninstitute.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cd:Dropbox%20(Grattan%20Institute):Grattan%20Team:Templates:Letterhead:Grattan-letterhead-template-first-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619D7-4C0D-4BC4-BF8A-CB3B99642B49}">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2.xml><?xml version="1.0" encoding="utf-8"?>
<ds:datastoreItem xmlns:ds="http://schemas.openxmlformats.org/officeDocument/2006/customXml" ds:itemID="{819E098D-C2F1-4611-B3D7-A931BCBE9A19}">
  <ds:schemaRefs>
    <ds:schemaRef ds:uri="http://schemas.microsoft.com/sharepoint/v3/contenttype/forms"/>
  </ds:schemaRefs>
</ds:datastoreItem>
</file>

<file path=customXml/itemProps3.xml><?xml version="1.0" encoding="utf-8"?>
<ds:datastoreItem xmlns:ds="http://schemas.openxmlformats.org/officeDocument/2006/customXml" ds:itemID="{CB2EB00F-42EE-4E8C-BE7D-30D2AF009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Grattan-letterhead-template-first-page.dot</Template>
  <TotalTime>0</TotalTime>
  <Pages>1</Pages>
  <Words>1592</Words>
  <Characters>9078</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typing here…</dc:title>
  <dc:subject/>
  <dc:creator>Andrew McDonald</dc:creator>
  <cp:keywords/>
  <cp:lastModifiedBy>LAYCOCK, Linda</cp:lastModifiedBy>
  <cp:revision>5</cp:revision>
  <cp:lastPrinted>2009-05-21T02:05:00Z</cp:lastPrinted>
  <dcterms:created xsi:type="dcterms:W3CDTF">2024-09-02T01:12:00Z</dcterms:created>
  <dcterms:modified xsi:type="dcterms:W3CDTF">2024-09-02T01:12:00Z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MSIP_Label_eb34d90b-fc41-464d-af60-f74d721d0790_Enabled">
    <vt:lpwstr>true</vt:lpwstr>
  </property>
  <property fmtid="{D5CDD505-2E9C-101B-9397-08002B2CF9AE}" pid="4" name="MSIP_Label_eb34d90b-fc41-464d-af60-f74d721d0790_SetDate">
    <vt:lpwstr>2024-09-02T01:12:23Z</vt:lpwstr>
  </property>
  <property fmtid="{D5CDD505-2E9C-101B-9397-08002B2CF9AE}" pid="5" name="MSIP_Label_eb34d90b-fc41-464d-af60-f74d721d0790_Method">
    <vt:lpwstr>Privileged</vt:lpwstr>
  </property>
  <property fmtid="{D5CDD505-2E9C-101B-9397-08002B2CF9AE}" pid="6" name="MSIP_Label_eb34d90b-fc41-464d-af60-f74d721d0790_Name">
    <vt:lpwstr>lbl-official</vt:lpwstr>
  </property>
  <property fmtid="{D5CDD505-2E9C-101B-9397-08002B2CF9AE}" pid="7" name="MSIP_Label_eb34d90b-fc41-464d-af60-f74d721d0790_SiteId">
    <vt:lpwstr>61e36dd1-ca6e-4d61-aa0a-2b4eb88317a3</vt:lpwstr>
  </property>
  <property fmtid="{D5CDD505-2E9C-101B-9397-08002B2CF9AE}" pid="8" name="MSIP_Label_eb34d90b-fc41-464d-af60-f74d721d0790_ActionId">
    <vt:lpwstr>d16f0f8f-b2b6-453f-915b-6541796e601b</vt:lpwstr>
  </property>
  <property fmtid="{D5CDD505-2E9C-101B-9397-08002B2CF9AE}" pid="9" name="MSIP_Label_eb34d90b-fc41-464d-af60-f74d721d0790_ContentBits">
    <vt:lpwstr>0</vt:lpwstr>
  </property>
  <property fmtid="{D5CDD505-2E9C-101B-9397-08002B2CF9AE}" pid="10" name="MediaServiceImageTags">
    <vt:lpwstr/>
  </property>
</Properties>
</file>