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1347A" w14:textId="2F2FB70A" w:rsidR="00BE7787" w:rsidRDefault="00BE7787" w:rsidP="00BE7787">
      <w:pPr>
        <w:widowControl w:val="0"/>
        <w:tabs>
          <w:tab w:val="left" w:pos="1495"/>
          <w:tab w:val="right" w:pos="17987"/>
        </w:tabs>
        <w:suppressAutoHyphens/>
        <w:autoSpaceDE w:val="0"/>
        <w:autoSpaceDN w:val="0"/>
        <w:adjustRightInd w:val="0"/>
        <w:textAlignment w:val="baseline"/>
        <w:rPr>
          <w:rFonts w:ascii="Arial" w:hAnsi="Arial" w:cs="Arial"/>
        </w:rPr>
      </w:pPr>
      <w:r>
        <w:rPr>
          <w:noProof/>
        </w:rPr>
        <w:drawing>
          <wp:anchor distT="0" distB="0" distL="114300" distR="114300" simplePos="0" relativeHeight="251659264" behindDoc="0" locked="0" layoutInCell="1" allowOverlap="1" wp14:anchorId="7678974C" wp14:editId="6948F6C4">
            <wp:simplePos x="0" y="0"/>
            <wp:positionH relativeFrom="margin">
              <wp:align>right</wp:align>
            </wp:positionH>
            <wp:positionV relativeFrom="paragraph">
              <wp:posOffset>-4445</wp:posOffset>
            </wp:positionV>
            <wp:extent cx="971550" cy="895350"/>
            <wp:effectExtent l="0" t="0" r="0" b="0"/>
            <wp:wrapNone/>
            <wp:docPr id="1998551396" name="Picture 3" descr="Tasmanian Government logo consisting of a stylised Tasmanian Tiger looking through grass to drink from the river with the words Tasmanian Government below. Logo is in black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smanian Government logo consisting of a stylised Tasmanian Tiger looking through grass to drink from the river with the words Tasmanian Government below. Logo is in black on white 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1550" cy="89535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zh-TW"/>
        </w:rPr>
        <w:t>Department of Premier and Cabinet</w:t>
      </w:r>
    </w:p>
    <w:p w14:paraId="4556D528" w14:textId="77777777" w:rsidR="00BE7787" w:rsidRDefault="00BE7787" w:rsidP="00BE7787">
      <w:pPr>
        <w:widowControl w:val="0"/>
        <w:tabs>
          <w:tab w:val="left" w:pos="1495"/>
          <w:tab w:val="right" w:pos="17987"/>
        </w:tabs>
        <w:suppressAutoHyphens/>
        <w:autoSpaceDE w:val="0"/>
        <w:autoSpaceDN w:val="0"/>
        <w:adjustRightInd w:val="0"/>
        <w:spacing w:before="120" w:line="288" w:lineRule="auto"/>
        <w:textAlignment w:val="baseline"/>
        <w:rPr>
          <w:rFonts w:ascii="Arial" w:hAnsi="Arial" w:cs="Arial"/>
          <w:sz w:val="18"/>
        </w:rPr>
      </w:pPr>
      <w:r>
        <w:rPr>
          <w:rFonts w:ascii="Arial" w:hAnsi="Arial" w:cs="Arial"/>
          <w:sz w:val="18"/>
        </w:rPr>
        <w:t>Executive Building 15 Murray Street HOBART TAS 7000 Australia</w:t>
      </w:r>
    </w:p>
    <w:p w14:paraId="2F3C3926" w14:textId="77777777" w:rsidR="00BE7787" w:rsidRDefault="00BE7787" w:rsidP="00BE7787">
      <w:pPr>
        <w:widowControl w:val="0"/>
        <w:tabs>
          <w:tab w:val="left" w:pos="1495"/>
          <w:tab w:val="right" w:pos="17987"/>
        </w:tabs>
        <w:suppressAutoHyphens/>
        <w:autoSpaceDE w:val="0"/>
        <w:autoSpaceDN w:val="0"/>
        <w:adjustRightInd w:val="0"/>
        <w:spacing w:line="288" w:lineRule="auto"/>
        <w:textAlignment w:val="baseline"/>
        <w:rPr>
          <w:rFonts w:ascii="Arial" w:hAnsi="Arial" w:cs="Arial"/>
          <w:sz w:val="18"/>
        </w:rPr>
      </w:pPr>
      <w:r>
        <w:rPr>
          <w:rFonts w:ascii="Arial" w:hAnsi="Arial" w:cs="Arial"/>
          <w:sz w:val="18"/>
        </w:rPr>
        <w:t>GPO Box 123 HOBART TAS 7001 Australia</w:t>
      </w:r>
    </w:p>
    <w:p w14:paraId="34692393" w14:textId="77777777" w:rsidR="00BE7787" w:rsidRDefault="00BE7787" w:rsidP="00BE7787">
      <w:pPr>
        <w:widowControl w:val="0"/>
        <w:tabs>
          <w:tab w:val="left" w:pos="1495"/>
          <w:tab w:val="right" w:pos="17987"/>
        </w:tabs>
        <w:suppressAutoHyphens/>
        <w:autoSpaceDE w:val="0"/>
        <w:autoSpaceDN w:val="0"/>
        <w:adjustRightInd w:val="0"/>
        <w:spacing w:line="288" w:lineRule="auto"/>
        <w:textAlignment w:val="baseline"/>
        <w:rPr>
          <w:rFonts w:ascii="Arial" w:hAnsi="Arial" w:cs="Arial"/>
          <w:sz w:val="18"/>
        </w:rPr>
      </w:pPr>
      <w:r>
        <w:rPr>
          <w:rFonts w:ascii="Arial" w:hAnsi="Arial" w:cs="Arial"/>
          <w:sz w:val="18"/>
        </w:rPr>
        <w:t>Ph: 1300 135 513   Fax: (03) 6233 5685</w:t>
      </w:r>
    </w:p>
    <w:p w14:paraId="40867DCB" w14:textId="77777777" w:rsidR="00BE7787" w:rsidRDefault="00BE7787" w:rsidP="00BE7787">
      <w:pPr>
        <w:widowControl w:val="0"/>
        <w:tabs>
          <w:tab w:val="left" w:pos="1495"/>
          <w:tab w:val="right" w:pos="17987"/>
        </w:tabs>
        <w:suppressAutoHyphens/>
        <w:autoSpaceDE w:val="0"/>
        <w:autoSpaceDN w:val="0"/>
        <w:adjustRightInd w:val="0"/>
        <w:spacing w:line="288" w:lineRule="auto"/>
        <w:textAlignment w:val="baseline"/>
        <w:rPr>
          <w:rFonts w:ascii="Arial" w:hAnsi="Arial" w:cs="Arial"/>
          <w:sz w:val="18"/>
          <w:szCs w:val="18"/>
        </w:rPr>
      </w:pPr>
      <w:r>
        <w:rPr>
          <w:rFonts w:ascii="Arial" w:hAnsi="Arial" w:cs="Arial"/>
          <w:sz w:val="18"/>
        </w:rPr>
        <w:t>Web: www.dpac.tas.gov.au</w:t>
      </w:r>
    </w:p>
    <w:p w14:paraId="0294A1DA" w14:textId="77777777" w:rsidR="00BE7787" w:rsidRDefault="00BE7787" w:rsidP="00BE7787">
      <w:pPr>
        <w:widowControl w:val="0"/>
        <w:tabs>
          <w:tab w:val="left" w:pos="1495"/>
          <w:tab w:val="right" w:pos="17987"/>
        </w:tabs>
        <w:suppressAutoHyphens/>
        <w:autoSpaceDE w:val="0"/>
        <w:autoSpaceDN w:val="0"/>
        <w:adjustRightInd w:val="0"/>
        <w:spacing w:before="1800"/>
        <w:textAlignment w:val="baseline"/>
        <w:rPr>
          <w:rFonts w:ascii="Arial" w:hAnsi="Arial" w:cs="Arial"/>
        </w:rPr>
      </w:pPr>
    </w:p>
    <w:p w14:paraId="1B11D827" w14:textId="77777777" w:rsidR="00BE7787" w:rsidRDefault="00BE7787" w:rsidP="00BE7787">
      <w:pPr>
        <w:pStyle w:val="Address"/>
        <w:spacing w:before="0" w:after="0"/>
        <w:rPr>
          <w:rFonts w:ascii="Arial" w:hAnsi="Arial" w:cs="Arial"/>
        </w:rPr>
      </w:pPr>
      <w:r>
        <w:rPr>
          <w:rFonts w:ascii="Arial" w:hAnsi="Arial" w:cs="Arial"/>
        </w:rPr>
        <w:t>Supported Employment Policy Section</w:t>
      </w:r>
    </w:p>
    <w:p w14:paraId="169E0D3D" w14:textId="77777777" w:rsidR="00BE7787" w:rsidRDefault="00BE7787" w:rsidP="00BE7787">
      <w:pPr>
        <w:pStyle w:val="Header"/>
        <w:tabs>
          <w:tab w:val="clear" w:pos="4320"/>
          <w:tab w:val="center" w:pos="5954"/>
        </w:tabs>
        <w:rPr>
          <w:rFonts w:cs="Arial"/>
          <w:sz w:val="24"/>
          <w:szCs w:val="24"/>
        </w:rPr>
      </w:pPr>
      <w:r>
        <w:rPr>
          <w:rFonts w:cs="Arial"/>
          <w:sz w:val="24"/>
          <w:szCs w:val="24"/>
        </w:rPr>
        <w:t>Disability Employment Policy Branch</w:t>
      </w:r>
    </w:p>
    <w:p w14:paraId="486EA910" w14:textId="77777777" w:rsidR="00BE7787" w:rsidRDefault="00BE7787" w:rsidP="00BE7787">
      <w:pPr>
        <w:pStyle w:val="Header"/>
        <w:tabs>
          <w:tab w:val="clear" w:pos="4320"/>
          <w:tab w:val="center" w:pos="5954"/>
        </w:tabs>
        <w:rPr>
          <w:rFonts w:cs="Arial"/>
          <w:sz w:val="24"/>
          <w:szCs w:val="24"/>
        </w:rPr>
      </w:pPr>
      <w:r>
        <w:rPr>
          <w:rFonts w:cs="Arial"/>
          <w:sz w:val="24"/>
          <w:szCs w:val="24"/>
        </w:rPr>
        <w:t>Department of Social Services</w:t>
      </w:r>
    </w:p>
    <w:p w14:paraId="5858A4BA" w14:textId="77777777" w:rsidR="00BE7787" w:rsidRDefault="00BE7787" w:rsidP="00BE7787">
      <w:pPr>
        <w:pStyle w:val="Header"/>
        <w:tabs>
          <w:tab w:val="clear" w:pos="4320"/>
          <w:tab w:val="center" w:pos="5954"/>
        </w:tabs>
        <w:rPr>
          <w:rFonts w:cs="Arial"/>
          <w:sz w:val="24"/>
          <w:szCs w:val="24"/>
        </w:rPr>
      </w:pPr>
      <w:hyperlink r:id="rId9" w:history="1">
        <w:r>
          <w:rPr>
            <w:rStyle w:val="Hyperlink"/>
            <w:rFonts w:cs="Arial"/>
            <w:sz w:val="24"/>
            <w:szCs w:val="24"/>
          </w:rPr>
          <w:t>SEpolicy@dss.gov.au</w:t>
        </w:r>
      </w:hyperlink>
    </w:p>
    <w:p w14:paraId="5BB44C36" w14:textId="77777777" w:rsidR="00BE7787" w:rsidRDefault="00BE7787" w:rsidP="00BE7787">
      <w:pPr>
        <w:pStyle w:val="Header"/>
        <w:tabs>
          <w:tab w:val="clear" w:pos="4320"/>
          <w:tab w:val="center" w:pos="5954"/>
        </w:tabs>
        <w:rPr>
          <w:rFonts w:cs="Arial"/>
          <w:sz w:val="24"/>
          <w:szCs w:val="24"/>
        </w:rPr>
      </w:pPr>
    </w:p>
    <w:p w14:paraId="2EDC88E3" w14:textId="77777777" w:rsidR="00BE7787" w:rsidRDefault="00BE7787" w:rsidP="00BE7787">
      <w:pPr>
        <w:pStyle w:val="Header"/>
        <w:tabs>
          <w:tab w:val="clear" w:pos="4320"/>
          <w:tab w:val="center" w:pos="5954"/>
        </w:tabs>
        <w:rPr>
          <w:rFonts w:cs="Arial"/>
          <w:sz w:val="24"/>
          <w:szCs w:val="24"/>
        </w:rPr>
      </w:pPr>
    </w:p>
    <w:p w14:paraId="5D7C3B10" w14:textId="77777777" w:rsidR="00BE7787" w:rsidRDefault="00BE7787" w:rsidP="00BE7787">
      <w:pPr>
        <w:pStyle w:val="Header"/>
        <w:tabs>
          <w:tab w:val="clear" w:pos="4320"/>
          <w:tab w:val="center" w:pos="5954"/>
        </w:tabs>
        <w:rPr>
          <w:rFonts w:cs="Arial"/>
          <w:sz w:val="24"/>
          <w:szCs w:val="24"/>
        </w:rPr>
      </w:pPr>
    </w:p>
    <w:p w14:paraId="01F2C369" w14:textId="77777777" w:rsidR="00BE7787" w:rsidRDefault="00BE7787" w:rsidP="00BE7787">
      <w:pPr>
        <w:spacing w:after="200" w:line="276" w:lineRule="auto"/>
        <w:rPr>
          <w:rFonts w:ascii="Arial" w:hAnsi="Arial" w:cs="Arial"/>
        </w:rPr>
      </w:pPr>
      <w:r>
        <w:rPr>
          <w:rFonts w:ascii="Arial" w:hAnsi="Arial" w:cs="Arial"/>
        </w:rPr>
        <w:t>To whom it may concern</w:t>
      </w:r>
    </w:p>
    <w:p w14:paraId="593F4A84" w14:textId="77777777" w:rsidR="00BE7787" w:rsidRDefault="00BE7787" w:rsidP="00BE7787">
      <w:pPr>
        <w:spacing w:after="200" w:line="276" w:lineRule="auto"/>
        <w:rPr>
          <w:rFonts w:ascii="Arial" w:hAnsi="Arial" w:cs="Arial"/>
        </w:rPr>
      </w:pPr>
      <w:bookmarkStart w:id="0" w:name="_Hlk199233910"/>
      <w:r>
        <w:rPr>
          <w:rFonts w:ascii="Arial" w:hAnsi="Arial" w:cs="Arial"/>
        </w:rPr>
        <w:t>The Tasmanian Departments of Premier and Cabinet and State Growth welcome the Department of Social Services (DSS) national consultation on the Next Steps in Supported Employment Discussion Paper.</w:t>
      </w:r>
    </w:p>
    <w:p w14:paraId="6C1A8CB5" w14:textId="77777777" w:rsidR="00BE7787" w:rsidRDefault="00BE7787" w:rsidP="00BE7787">
      <w:pPr>
        <w:spacing w:after="200" w:line="276" w:lineRule="auto"/>
        <w:rPr>
          <w:rFonts w:ascii="Arial" w:hAnsi="Arial" w:cs="Arial"/>
        </w:rPr>
      </w:pPr>
      <w:r>
        <w:rPr>
          <w:rFonts w:ascii="Arial" w:hAnsi="Arial" w:cs="Arial"/>
        </w:rPr>
        <w:t>The Tasmanian Government is currently operating in caretaker mode and, as such, the contents of this letter represent the views of the Tasmanian Departments of Premier and Cabinet and State Growth, not the Tasmanian Government.</w:t>
      </w:r>
    </w:p>
    <w:p w14:paraId="5194FC08" w14:textId="77777777" w:rsidR="00BE7787" w:rsidRDefault="00BE7787" w:rsidP="00BE7787">
      <w:pPr>
        <w:spacing w:after="200" w:line="276" w:lineRule="auto"/>
        <w:rPr>
          <w:rFonts w:ascii="Arial" w:hAnsi="Arial" w:cs="Arial"/>
        </w:rPr>
      </w:pPr>
      <w:r>
        <w:rPr>
          <w:rFonts w:ascii="Arial" w:hAnsi="Arial" w:cs="Arial"/>
        </w:rPr>
        <w:t>As presented in the Royal Commission into Violence, Abuse, Neglect and Exploitation of People with Disability, employment for people with disability represents greater financial security and, subsequently, higher living standards, safety and independence. Employment for people with disability can also contribute to more positive health outcomes and senses of self-worth and identity. This is true for all types of employment, including supported employment, and Australia needs a diverse ecosystem of employment options to meet the needs of all people with disability.</w:t>
      </w:r>
    </w:p>
    <w:p w14:paraId="5B95978C" w14:textId="58F0FB47" w:rsidR="00BE7787" w:rsidRDefault="00BE7787" w:rsidP="00BE7787">
      <w:pPr>
        <w:spacing w:after="200" w:line="276" w:lineRule="auto"/>
        <w:rPr>
          <w:rFonts w:ascii="Arial" w:hAnsi="Arial" w:cs="Arial"/>
        </w:rPr>
      </w:pPr>
      <w:r>
        <w:rPr>
          <w:rFonts w:ascii="Arial" w:hAnsi="Arial" w:cs="Arial"/>
        </w:rPr>
        <w:t>The Tasmanian Departments of Premier and Cabinet and State Growth recognise that there are diverse opinions regarding supported employment and that, regardless of approach, it is crucial to avoid job losses and/or impacting people with disability’s access to the Disability Support Pension.</w:t>
      </w:r>
    </w:p>
    <w:p w14:paraId="14E3AB21" w14:textId="77777777" w:rsidR="00BE7787" w:rsidRDefault="00BE7787" w:rsidP="00BE7787">
      <w:pPr>
        <w:spacing w:after="200" w:line="276" w:lineRule="auto"/>
        <w:rPr>
          <w:rFonts w:ascii="Arial" w:hAnsi="Arial" w:cs="Arial"/>
        </w:rPr>
      </w:pPr>
      <w:r>
        <w:rPr>
          <w:rFonts w:ascii="Arial" w:hAnsi="Arial" w:cs="Arial"/>
        </w:rPr>
        <w:t>In preparing this response, we have not covered all aspects of the Consultation but aim to highlight key areas of focus related to supported employment, particularly regarding:</w:t>
      </w:r>
    </w:p>
    <w:p w14:paraId="7D28DF96" w14:textId="77777777" w:rsidR="00BE7787" w:rsidRDefault="00BE7787" w:rsidP="00BE7787">
      <w:pPr>
        <w:numPr>
          <w:ilvl w:val="1"/>
          <w:numId w:val="5"/>
        </w:numPr>
        <w:spacing w:after="200" w:line="276" w:lineRule="auto"/>
        <w:rPr>
          <w:rFonts w:ascii="Arial" w:hAnsi="Arial" w:cs="Arial"/>
        </w:rPr>
      </w:pPr>
      <w:r>
        <w:rPr>
          <w:rFonts w:ascii="Arial" w:hAnsi="Arial" w:cs="Arial"/>
        </w:rPr>
        <w:t xml:space="preserve">Tasmania’s economic context and the role of inclusive employment </w:t>
      </w:r>
    </w:p>
    <w:p w14:paraId="24166C17" w14:textId="77777777" w:rsidR="00BE7787" w:rsidRDefault="00BE7787" w:rsidP="00BE7787">
      <w:pPr>
        <w:numPr>
          <w:ilvl w:val="1"/>
          <w:numId w:val="5"/>
        </w:numPr>
        <w:spacing w:after="200" w:line="276" w:lineRule="auto"/>
        <w:rPr>
          <w:rFonts w:ascii="Arial" w:hAnsi="Arial" w:cs="Arial"/>
        </w:rPr>
      </w:pPr>
      <w:r>
        <w:rPr>
          <w:rFonts w:ascii="Arial" w:hAnsi="Arial" w:cs="Arial"/>
        </w:rPr>
        <w:t>Work underway in Tasmania that is improving employment for people with disability</w:t>
      </w:r>
    </w:p>
    <w:p w14:paraId="0B3D65BB" w14:textId="77777777" w:rsidR="00BE7787" w:rsidRDefault="00BE7787" w:rsidP="00BE7787">
      <w:pPr>
        <w:numPr>
          <w:ilvl w:val="1"/>
          <w:numId w:val="5"/>
        </w:numPr>
        <w:spacing w:after="200" w:line="276" w:lineRule="auto"/>
        <w:rPr>
          <w:rFonts w:ascii="Arial" w:hAnsi="Arial" w:cs="Arial"/>
        </w:rPr>
      </w:pPr>
      <w:r>
        <w:rPr>
          <w:rFonts w:ascii="Arial" w:hAnsi="Arial" w:cs="Arial"/>
        </w:rPr>
        <w:t>Additional action required through future reform.</w:t>
      </w:r>
    </w:p>
    <w:p w14:paraId="4D747353" w14:textId="77777777" w:rsidR="00BE7787" w:rsidRDefault="00BE7787" w:rsidP="00BE7787">
      <w:pPr>
        <w:spacing w:after="200" w:line="276" w:lineRule="auto"/>
        <w:ind w:left="720"/>
        <w:rPr>
          <w:rFonts w:ascii="Arial" w:hAnsi="Arial" w:cs="Arial"/>
        </w:rPr>
      </w:pPr>
    </w:p>
    <w:p w14:paraId="0779206E" w14:textId="77777777" w:rsidR="00BE7787" w:rsidRDefault="00BE7787" w:rsidP="00BE7787">
      <w:pPr>
        <w:numPr>
          <w:ilvl w:val="0"/>
          <w:numId w:val="6"/>
        </w:numPr>
        <w:spacing w:after="200" w:line="276" w:lineRule="auto"/>
        <w:rPr>
          <w:rFonts w:ascii="Arial" w:hAnsi="Arial" w:cs="Arial"/>
          <w:b/>
          <w:bCs/>
          <w:i/>
          <w:iCs/>
        </w:rPr>
      </w:pPr>
      <w:r>
        <w:rPr>
          <w:rFonts w:ascii="Arial" w:hAnsi="Arial" w:cs="Arial"/>
          <w:b/>
          <w:bCs/>
          <w:i/>
          <w:iCs/>
        </w:rPr>
        <w:lastRenderedPageBreak/>
        <w:t xml:space="preserve">Tasmania’s economic context and the role of inclusive employment </w:t>
      </w:r>
    </w:p>
    <w:p w14:paraId="4CDDD74E" w14:textId="77777777" w:rsidR="00BE7787" w:rsidRDefault="00BE7787" w:rsidP="00BE7787">
      <w:pPr>
        <w:spacing w:after="200" w:line="276" w:lineRule="auto"/>
        <w:rPr>
          <w:rFonts w:ascii="Arial" w:hAnsi="Arial" w:cs="Arial"/>
        </w:rPr>
      </w:pPr>
      <w:r>
        <w:rPr>
          <w:rFonts w:ascii="Arial" w:hAnsi="Arial" w:cs="Arial"/>
        </w:rPr>
        <w:t>Tasmania’s strong economy has seen record low unemployment in recent years. However, structural challenges in our labour market persist, with lower rates of workforce participation, productivity, underemployment, and higher rates of long term, and youth unemployment. For example, at 60.3% Tasmania’s current workforce participation rate is the lowest of any state or territory. This rate has fallen since 2023 and is now further below the national average than at any other time in the last decade (ABS Labour Force, April 2025).</w:t>
      </w:r>
    </w:p>
    <w:p w14:paraId="75999FC7" w14:textId="77777777" w:rsidR="00BE7787" w:rsidRDefault="00BE7787" w:rsidP="00BE7787">
      <w:pPr>
        <w:spacing w:after="200" w:line="276" w:lineRule="auto"/>
        <w:rPr>
          <w:rFonts w:ascii="Arial" w:hAnsi="Arial" w:cs="Arial"/>
        </w:rPr>
      </w:pPr>
      <w:r>
        <w:rPr>
          <w:rFonts w:ascii="Arial" w:hAnsi="Arial" w:cs="Arial"/>
        </w:rPr>
        <w:t xml:space="preserve">With labour shortages and skills gaps expected to grow over the coming years, significant work is required to overcome these challenges and increase labour force participation in Tasmania. </w:t>
      </w:r>
    </w:p>
    <w:p w14:paraId="21938A55" w14:textId="77777777" w:rsidR="00BE7787" w:rsidRDefault="00BE7787" w:rsidP="00BE7787">
      <w:pPr>
        <w:spacing w:after="200" w:line="276" w:lineRule="auto"/>
        <w:rPr>
          <w:rFonts w:ascii="Arial" w:hAnsi="Arial" w:cs="Arial"/>
        </w:rPr>
      </w:pPr>
      <w:r>
        <w:rPr>
          <w:rFonts w:ascii="Arial" w:hAnsi="Arial" w:cs="Arial"/>
        </w:rPr>
        <w:t>Higher rates of disability in Tasmania create additional challenges in bridging participation, given the range of unique and complex barriers people with disability face in entering and staying in the workforce. Approximately 30 per cent of all Tasmanians identify as living with disability and many Tasmanians provide support to family members, partners and friends as unpaid and informal carers (Survey Disability, Ageing and Carers, 2022).</w:t>
      </w:r>
    </w:p>
    <w:p w14:paraId="342EAE3B" w14:textId="77777777" w:rsidR="00BE7787" w:rsidRDefault="00BE7787" w:rsidP="00BE7787">
      <w:pPr>
        <w:spacing w:after="200" w:line="276" w:lineRule="auto"/>
        <w:rPr>
          <w:rFonts w:ascii="Arial" w:hAnsi="Arial" w:cs="Arial"/>
        </w:rPr>
      </w:pPr>
      <w:r>
        <w:rPr>
          <w:rFonts w:ascii="Arial" w:hAnsi="Arial" w:cs="Arial"/>
        </w:rPr>
        <w:t xml:space="preserve">The Tasmanian Departments of Premier and Cabinet and State Growth are committed to working with the Australian Government, employers and the community to remove these barriers to employment for people with disability and lift participation so that Tasmanians can experience inclusive employment and share in Tasmania’s economic growth. </w:t>
      </w:r>
    </w:p>
    <w:p w14:paraId="7DDECE9E" w14:textId="77777777" w:rsidR="00BE7787" w:rsidRDefault="00BE7787" w:rsidP="00BE7787">
      <w:pPr>
        <w:numPr>
          <w:ilvl w:val="0"/>
          <w:numId w:val="6"/>
        </w:numPr>
        <w:spacing w:after="200" w:line="276" w:lineRule="auto"/>
        <w:rPr>
          <w:rFonts w:ascii="Arial" w:hAnsi="Arial" w:cs="Arial"/>
          <w:b/>
          <w:bCs/>
          <w:i/>
          <w:iCs/>
        </w:rPr>
      </w:pPr>
      <w:r>
        <w:rPr>
          <w:rFonts w:ascii="Arial" w:hAnsi="Arial" w:cs="Arial"/>
          <w:b/>
          <w:bCs/>
          <w:i/>
          <w:iCs/>
        </w:rPr>
        <w:t xml:space="preserve">Work underway in Tasmania that is improving employment for people with disability </w:t>
      </w:r>
    </w:p>
    <w:p w14:paraId="67A984A6" w14:textId="77777777" w:rsidR="00BE7787" w:rsidRDefault="00BE7787" w:rsidP="00BE7787">
      <w:pPr>
        <w:spacing w:after="200" w:line="276" w:lineRule="auto"/>
        <w:rPr>
          <w:rFonts w:ascii="Arial" w:hAnsi="Arial" w:cs="Arial"/>
        </w:rPr>
      </w:pPr>
      <w:r>
        <w:rPr>
          <w:rFonts w:ascii="Arial" w:hAnsi="Arial" w:cs="Arial"/>
        </w:rPr>
        <w:t xml:space="preserve">Jobs Tasmania is leading several strategic initiatives that bring together cross-sector representation, policy and place to shift Tasmania’s labour force participation and productivity challenges. </w:t>
      </w:r>
    </w:p>
    <w:p w14:paraId="6D52BAE1" w14:textId="77777777" w:rsidR="00BE7787" w:rsidRDefault="00BE7787" w:rsidP="00BE7787">
      <w:pPr>
        <w:spacing w:after="200" w:line="276" w:lineRule="auto"/>
        <w:rPr>
          <w:rFonts w:ascii="Arial" w:hAnsi="Arial" w:cs="Arial"/>
        </w:rPr>
      </w:pPr>
      <w:r>
        <w:rPr>
          <w:rFonts w:ascii="Arial" w:hAnsi="Arial" w:cs="Arial"/>
        </w:rPr>
        <w:t xml:space="preserve">These initiatives play an important role for Tasmanians with disability and should be considered by the Department of Social Services in mapping related initiatives and determining what is prioritised in the future: </w:t>
      </w:r>
    </w:p>
    <w:p w14:paraId="19D83D21" w14:textId="77777777" w:rsidR="00BE7787" w:rsidRDefault="00BE7787" w:rsidP="00BE7787">
      <w:pPr>
        <w:pStyle w:val="ListParagraph"/>
        <w:numPr>
          <w:ilvl w:val="0"/>
          <w:numId w:val="7"/>
        </w:numPr>
        <w:spacing w:before="0" w:beforeAutospacing="0" w:after="200" w:afterAutospacing="0" w:line="276" w:lineRule="auto"/>
        <w:rPr>
          <w:rFonts w:ascii="Arial" w:hAnsi="Arial" w:cs="Arial"/>
          <w:sz w:val="24"/>
          <w:szCs w:val="24"/>
        </w:rPr>
      </w:pPr>
      <w:r>
        <w:rPr>
          <w:rFonts w:ascii="Arial" w:hAnsi="Arial" w:cs="Arial"/>
          <w:sz w:val="24"/>
          <w:szCs w:val="24"/>
        </w:rPr>
        <w:t xml:space="preserve">Since 2021, the </w:t>
      </w:r>
      <w:r>
        <w:rPr>
          <w:rFonts w:ascii="Arial" w:hAnsi="Arial" w:cs="Arial"/>
        </w:rPr>
        <w:t xml:space="preserve">Tasmanian Department of State Growth </w:t>
      </w:r>
      <w:r>
        <w:rPr>
          <w:rFonts w:ascii="Arial" w:hAnsi="Arial" w:cs="Arial"/>
          <w:sz w:val="24"/>
          <w:szCs w:val="24"/>
        </w:rPr>
        <w:t xml:space="preserve">has invested significantly to establish and expand the Regional Jobs Hubs Network. Regional Jobs Hubs connect jobseekers and businesses to support population groups facing barriers to employment or training, including people with disability. An independent evaluation of the program has identified the Regional Jobs Hub approach to be nation-leading in addressing gaps in the Australian Government Employment Services system and increasing workforce participation. </w:t>
      </w:r>
    </w:p>
    <w:p w14:paraId="17ADEA57" w14:textId="77777777" w:rsidR="00BE7787" w:rsidRDefault="00BE7787" w:rsidP="00BE7787">
      <w:pPr>
        <w:pStyle w:val="ListParagraph"/>
        <w:numPr>
          <w:ilvl w:val="0"/>
          <w:numId w:val="7"/>
        </w:numPr>
        <w:spacing w:before="0" w:beforeAutospacing="0" w:after="200" w:afterAutospacing="0" w:line="276" w:lineRule="auto"/>
        <w:rPr>
          <w:rFonts w:ascii="Arial" w:hAnsi="Arial" w:cs="Arial"/>
          <w:sz w:val="24"/>
          <w:szCs w:val="24"/>
        </w:rPr>
      </w:pPr>
      <w:r>
        <w:rPr>
          <w:rFonts w:ascii="Arial" w:hAnsi="Arial" w:cs="Arial"/>
          <w:sz w:val="24"/>
          <w:szCs w:val="24"/>
        </w:rPr>
        <w:t xml:space="preserve">Since 2016, Jobs Tasmania in partnership with the Tasmanian Chamber of Commerce and Industry have been delivering the Employer of Choice program which seeks to build a network of great workplaces, committed to providing opportunities for Tasmanians to equally participate in the labour force. This program plays an important role in improving employer attitudes towards inclusive employment. </w:t>
      </w:r>
    </w:p>
    <w:p w14:paraId="0603CCCC" w14:textId="77777777" w:rsidR="00BE7787" w:rsidRDefault="00BE7787" w:rsidP="00BE7787">
      <w:pPr>
        <w:pStyle w:val="ListParagraph"/>
        <w:numPr>
          <w:ilvl w:val="0"/>
          <w:numId w:val="7"/>
        </w:numPr>
        <w:spacing w:before="0" w:beforeAutospacing="0" w:after="200" w:afterAutospacing="0" w:line="276" w:lineRule="auto"/>
        <w:rPr>
          <w:rFonts w:ascii="Arial" w:hAnsi="Arial" w:cs="Arial"/>
          <w:sz w:val="24"/>
          <w:szCs w:val="24"/>
        </w:rPr>
      </w:pPr>
      <w:r>
        <w:rPr>
          <w:rFonts w:ascii="Arial" w:hAnsi="Arial" w:cs="Arial"/>
          <w:sz w:val="24"/>
          <w:szCs w:val="24"/>
        </w:rPr>
        <w:t xml:space="preserve">Jobs Tasmania delivers several </w:t>
      </w:r>
      <w:proofErr w:type="gramStart"/>
      <w:r>
        <w:rPr>
          <w:rFonts w:ascii="Arial" w:hAnsi="Arial" w:cs="Arial"/>
          <w:sz w:val="24"/>
          <w:szCs w:val="24"/>
        </w:rPr>
        <w:t>employment</w:t>
      </w:r>
      <w:proofErr w:type="gramEnd"/>
      <w:r>
        <w:rPr>
          <w:rFonts w:ascii="Arial" w:hAnsi="Arial" w:cs="Arial"/>
          <w:sz w:val="24"/>
          <w:szCs w:val="24"/>
        </w:rPr>
        <w:t xml:space="preserve"> and participation programs and provides funding to several impact organisations which provide job-ready training for people </w:t>
      </w:r>
      <w:r>
        <w:rPr>
          <w:rFonts w:ascii="Arial" w:hAnsi="Arial" w:cs="Arial"/>
          <w:sz w:val="24"/>
          <w:szCs w:val="24"/>
        </w:rPr>
        <w:lastRenderedPageBreak/>
        <w:t xml:space="preserve">facing employment barriers, including disability. These organisations are vital for growing the social/for-purpose enterprise sector in Tasmania and provide choice and options for employment. </w:t>
      </w:r>
    </w:p>
    <w:p w14:paraId="5AD462A2" w14:textId="77777777" w:rsidR="00BE7787" w:rsidRDefault="00BE7787" w:rsidP="00BE7787">
      <w:pPr>
        <w:pStyle w:val="ListParagraph"/>
        <w:numPr>
          <w:ilvl w:val="0"/>
          <w:numId w:val="7"/>
        </w:numPr>
        <w:spacing w:before="0" w:beforeAutospacing="0" w:after="200" w:afterAutospacing="0" w:line="276" w:lineRule="auto"/>
        <w:rPr>
          <w:rFonts w:ascii="Arial" w:hAnsi="Arial" w:cs="Arial"/>
          <w:sz w:val="24"/>
          <w:szCs w:val="24"/>
        </w:rPr>
      </w:pPr>
      <w:r>
        <w:rPr>
          <w:rFonts w:ascii="Arial" w:hAnsi="Arial" w:cs="Arial"/>
          <w:sz w:val="24"/>
          <w:szCs w:val="24"/>
        </w:rPr>
        <w:t>In 2024, Jobs Tasmania, in partnership with the Department for Education, Children and Young People, delivered the Tasmanian Government’s first Youth Jobs Strategy. The strategy aims to improve youth engagement in employment, further education and training. The Strategy will implement a range of accessible approaches to careers information and advice, work based learning and tertiary and training opportunities that will support young people with disability into pathways to the jobs and careers they want to pursue.</w:t>
      </w:r>
    </w:p>
    <w:p w14:paraId="20D8C75B" w14:textId="77777777" w:rsidR="00BE7787" w:rsidRDefault="00BE7787" w:rsidP="00BE7787">
      <w:pPr>
        <w:spacing w:after="200" w:line="276" w:lineRule="auto"/>
        <w:rPr>
          <w:rFonts w:ascii="Arial" w:hAnsi="Arial" w:cs="Arial"/>
        </w:rPr>
      </w:pPr>
      <w:r>
        <w:rPr>
          <w:rFonts w:ascii="Arial" w:hAnsi="Arial" w:cs="Arial"/>
        </w:rPr>
        <w:t>Collectively, these initiatives connect governments, communities, and businesses in place to support jobseekers and employers while aligning their interests.</w:t>
      </w:r>
    </w:p>
    <w:p w14:paraId="3764B41E" w14:textId="77777777" w:rsidR="00BE7787" w:rsidRDefault="00BE7787" w:rsidP="00BE7787">
      <w:pPr>
        <w:numPr>
          <w:ilvl w:val="0"/>
          <w:numId w:val="6"/>
        </w:numPr>
        <w:spacing w:after="200" w:line="276" w:lineRule="auto"/>
        <w:rPr>
          <w:rFonts w:ascii="Arial" w:hAnsi="Arial" w:cs="Arial"/>
          <w:b/>
          <w:bCs/>
          <w:i/>
          <w:iCs/>
        </w:rPr>
      </w:pPr>
      <w:r>
        <w:rPr>
          <w:rFonts w:ascii="Arial" w:hAnsi="Arial" w:cs="Arial"/>
          <w:b/>
          <w:bCs/>
          <w:i/>
          <w:iCs/>
        </w:rPr>
        <w:t>Additional actions required through future reform</w:t>
      </w:r>
    </w:p>
    <w:p w14:paraId="2D5EB65F" w14:textId="77777777" w:rsidR="00BE7787" w:rsidRDefault="00BE7787" w:rsidP="00BE7787">
      <w:pPr>
        <w:spacing w:after="200" w:line="276" w:lineRule="auto"/>
        <w:rPr>
          <w:rFonts w:ascii="Arial" w:hAnsi="Arial" w:cs="Arial"/>
        </w:rPr>
      </w:pPr>
      <w:r>
        <w:rPr>
          <w:rFonts w:ascii="Arial" w:hAnsi="Arial" w:cs="Arial"/>
        </w:rPr>
        <w:t>The Tasmanian Departments of Premier and Cabinet and State Growth agree with the premise that additional action is required to increase employment of people with high support needs in open and inclusive settings. Further action and the proposed Roadmap should aim to:</w:t>
      </w:r>
    </w:p>
    <w:p w14:paraId="25871B54" w14:textId="77777777" w:rsidR="00BE7787" w:rsidRDefault="00BE7787" w:rsidP="00BE7787">
      <w:pPr>
        <w:pStyle w:val="ListParagraph"/>
        <w:numPr>
          <w:ilvl w:val="0"/>
          <w:numId w:val="8"/>
        </w:numPr>
        <w:spacing w:before="0" w:beforeAutospacing="0" w:after="200" w:afterAutospacing="0" w:line="276" w:lineRule="auto"/>
        <w:rPr>
          <w:rFonts w:ascii="Arial" w:hAnsi="Arial" w:cs="Arial"/>
          <w:sz w:val="24"/>
          <w:szCs w:val="24"/>
        </w:rPr>
      </w:pPr>
      <w:r>
        <w:rPr>
          <w:rFonts w:ascii="Arial" w:hAnsi="Arial" w:cs="Arial"/>
          <w:sz w:val="24"/>
          <w:szCs w:val="24"/>
        </w:rPr>
        <w:t xml:space="preserve">Address persistent structural barriers to workforce participation that are limiting engagement of people with disability in meaningful work </w:t>
      </w:r>
    </w:p>
    <w:p w14:paraId="4B301D90" w14:textId="77777777" w:rsidR="00BE7787" w:rsidRDefault="00BE7787" w:rsidP="00BE7787">
      <w:pPr>
        <w:pStyle w:val="ListParagraph"/>
        <w:numPr>
          <w:ilvl w:val="0"/>
          <w:numId w:val="8"/>
        </w:numPr>
        <w:spacing w:before="0" w:beforeAutospacing="0" w:after="200" w:afterAutospacing="0" w:line="276" w:lineRule="auto"/>
        <w:rPr>
          <w:rFonts w:ascii="Arial" w:hAnsi="Arial" w:cs="Arial"/>
          <w:sz w:val="24"/>
          <w:szCs w:val="24"/>
        </w:rPr>
      </w:pPr>
      <w:r>
        <w:rPr>
          <w:rFonts w:ascii="Arial" w:hAnsi="Arial" w:cs="Arial"/>
          <w:sz w:val="24"/>
          <w:szCs w:val="24"/>
        </w:rPr>
        <w:t xml:space="preserve">Pilot evidence-based models and approaches to improving employment and participation </w:t>
      </w:r>
    </w:p>
    <w:p w14:paraId="0FEAF20F" w14:textId="77777777" w:rsidR="00BE7787" w:rsidRDefault="00BE7787" w:rsidP="00BE7787">
      <w:pPr>
        <w:pStyle w:val="ListParagraph"/>
        <w:numPr>
          <w:ilvl w:val="0"/>
          <w:numId w:val="8"/>
        </w:numPr>
        <w:spacing w:before="0" w:beforeAutospacing="0" w:after="200" w:afterAutospacing="0" w:line="276" w:lineRule="auto"/>
        <w:rPr>
          <w:rFonts w:ascii="Arial" w:hAnsi="Arial" w:cs="Arial"/>
          <w:sz w:val="24"/>
          <w:szCs w:val="24"/>
        </w:rPr>
      </w:pPr>
      <w:r>
        <w:rPr>
          <w:rFonts w:ascii="Arial" w:hAnsi="Arial" w:cs="Arial"/>
          <w:sz w:val="24"/>
          <w:szCs w:val="24"/>
        </w:rPr>
        <w:t xml:space="preserve">Improve employer attitudes, capacity and structures to hire and support employees with disability </w:t>
      </w:r>
    </w:p>
    <w:p w14:paraId="4354EDA2" w14:textId="77777777" w:rsidR="00BE7787" w:rsidRDefault="00BE7787" w:rsidP="00BE7787">
      <w:pPr>
        <w:pStyle w:val="ListParagraph"/>
        <w:numPr>
          <w:ilvl w:val="0"/>
          <w:numId w:val="8"/>
        </w:numPr>
        <w:spacing w:before="0" w:beforeAutospacing="0" w:after="200" w:afterAutospacing="0" w:line="276" w:lineRule="auto"/>
        <w:rPr>
          <w:rFonts w:ascii="Arial" w:hAnsi="Arial" w:cs="Arial"/>
          <w:sz w:val="24"/>
          <w:szCs w:val="24"/>
        </w:rPr>
      </w:pPr>
      <w:r>
        <w:rPr>
          <w:rFonts w:ascii="Arial" w:hAnsi="Arial" w:cs="Arial"/>
          <w:sz w:val="24"/>
          <w:szCs w:val="24"/>
        </w:rPr>
        <w:t>Leverage place-based solutions which are best placed to meet community needs and provide important alignment across the employment ecosystem.</w:t>
      </w:r>
    </w:p>
    <w:p w14:paraId="2C2D44EE" w14:textId="77777777" w:rsidR="00BE7787" w:rsidRDefault="00BE7787" w:rsidP="00BE7787">
      <w:pPr>
        <w:spacing w:after="200" w:line="276" w:lineRule="auto"/>
        <w:rPr>
          <w:rFonts w:ascii="Arial" w:hAnsi="Arial" w:cs="Arial"/>
        </w:rPr>
      </w:pPr>
      <w:r>
        <w:rPr>
          <w:rFonts w:ascii="Arial" w:hAnsi="Arial" w:cs="Arial"/>
        </w:rPr>
        <w:t xml:space="preserve">Achieving outcomes needed for people with high support needs in open and inclusive settings will require inter-governmental collaboration that leverages local decision making and flexibility. </w:t>
      </w:r>
    </w:p>
    <w:p w14:paraId="5FBA3992" w14:textId="77777777" w:rsidR="00BE7787" w:rsidRDefault="00BE7787" w:rsidP="00BE7787">
      <w:pPr>
        <w:spacing w:after="200" w:line="276" w:lineRule="auto"/>
        <w:rPr>
          <w:rFonts w:ascii="Arial" w:hAnsi="Arial" w:cs="Arial"/>
        </w:rPr>
      </w:pPr>
      <w:r>
        <w:rPr>
          <w:rFonts w:ascii="Arial" w:hAnsi="Arial" w:cs="Arial"/>
        </w:rPr>
        <w:t xml:space="preserve">Tasmanian Departments of Premier and Cabinet and State Growth are committed to continuing to work together on these issues and would welcome further engagement through this process. </w:t>
      </w:r>
    </w:p>
    <w:p w14:paraId="063F9173" w14:textId="77777777" w:rsidR="00BE7787" w:rsidRDefault="00BE7787" w:rsidP="00BE7787">
      <w:pPr>
        <w:spacing w:after="200" w:line="276" w:lineRule="auto"/>
        <w:rPr>
          <w:rFonts w:ascii="Arial" w:hAnsi="Arial" w:cs="Arial"/>
        </w:rPr>
      </w:pPr>
      <w:r>
        <w:rPr>
          <w:rFonts w:ascii="Arial" w:hAnsi="Arial" w:cs="Arial"/>
        </w:rPr>
        <w:t xml:space="preserve">Stuart Hollingsworth, Executive Director, Economy and Jobs Strategy, Department of State Growth can be contacted to discuss this further: </w:t>
      </w:r>
      <w:hyperlink r:id="rId10" w:history="1">
        <w:r>
          <w:rPr>
            <w:rStyle w:val="Hyperlink"/>
            <w:rFonts w:ascii="Arial" w:hAnsi="Arial" w:cs="Arial"/>
          </w:rPr>
          <w:t>Stuart.Hollingsworth@jobstasmania.tas.gov.au</w:t>
        </w:r>
      </w:hyperlink>
      <w:bookmarkEnd w:id="0"/>
    </w:p>
    <w:p w14:paraId="4FBBA279" w14:textId="77777777" w:rsidR="00BE7787" w:rsidRDefault="00BE7787" w:rsidP="00BE7787">
      <w:pPr>
        <w:pStyle w:val="Header"/>
        <w:tabs>
          <w:tab w:val="left" w:pos="720"/>
        </w:tabs>
        <w:spacing w:after="1200"/>
        <w:rPr>
          <w:rFonts w:cs="Arial"/>
          <w:sz w:val="24"/>
          <w:szCs w:val="24"/>
        </w:rPr>
      </w:pPr>
    </w:p>
    <w:p w14:paraId="0B285DFF" w14:textId="77777777" w:rsidR="00A34775" w:rsidRDefault="00A34775" w:rsidP="00A36C73">
      <w:pPr>
        <w:pStyle w:val="Header"/>
        <w:rPr>
          <w:rFonts w:cs="Arial"/>
          <w:szCs w:val="24"/>
        </w:rPr>
      </w:pPr>
      <w:r>
        <w:rPr>
          <w:rFonts w:cs="Arial"/>
          <w:szCs w:val="24"/>
        </w:rPr>
        <w:lastRenderedPageBreak/>
        <w:t>Your sincerely</w:t>
      </w:r>
    </w:p>
    <w:p w14:paraId="26AAB12B" w14:textId="77777777" w:rsidR="00A34775" w:rsidRPr="00DD45D3" w:rsidRDefault="00A34775" w:rsidP="00A36C73">
      <w:pPr>
        <w:pStyle w:val="Header"/>
        <w:rPr>
          <w:rFonts w:cs="Arial"/>
          <w:szCs w:val="24"/>
        </w:rPr>
      </w:pPr>
      <w:r w:rsidRPr="00A36C73">
        <w:rPr>
          <w:rFonts w:cs="Arial"/>
          <w:noProof/>
          <w:szCs w:val="24"/>
        </w:rPr>
        <w:drawing>
          <wp:inline distT="0" distB="0" distL="0" distR="0" wp14:anchorId="1A983DF9" wp14:editId="5D8E34A6">
            <wp:extent cx="965363" cy="809037"/>
            <wp:effectExtent l="0" t="0" r="6350" b="0"/>
            <wp:docPr id="2"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gnatur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66522" cy="810009"/>
                    </a:xfrm>
                    <a:prstGeom prst="rect">
                      <a:avLst/>
                    </a:prstGeom>
                  </pic:spPr>
                </pic:pic>
              </a:graphicData>
            </a:graphic>
          </wp:inline>
        </w:drawing>
      </w:r>
    </w:p>
    <w:p w14:paraId="7D5B7491" w14:textId="77777777" w:rsidR="00A34775" w:rsidRPr="00DD45D3" w:rsidRDefault="00A34775" w:rsidP="00AD3D0D">
      <w:pPr>
        <w:rPr>
          <w:rFonts w:ascii="Arial" w:hAnsi="Arial" w:cs="Arial"/>
        </w:rPr>
      </w:pPr>
      <w:r>
        <w:rPr>
          <w:rFonts w:ascii="Arial" w:hAnsi="Arial" w:cs="Arial"/>
        </w:rPr>
        <w:t>Shane Gregory</w:t>
      </w:r>
    </w:p>
    <w:p w14:paraId="3893D67D" w14:textId="77777777" w:rsidR="00A34775" w:rsidRPr="008B3A85" w:rsidRDefault="00A34775" w:rsidP="00AD3D0D">
      <w:pPr>
        <w:rPr>
          <w:rFonts w:ascii="Arial" w:hAnsi="Arial" w:cs="Arial"/>
          <w:b/>
          <w:bCs/>
        </w:rPr>
      </w:pPr>
      <w:r>
        <w:rPr>
          <w:rFonts w:ascii="Arial" w:hAnsi="Arial" w:cs="Arial"/>
          <w:b/>
          <w:bCs/>
        </w:rPr>
        <w:t xml:space="preserve">Associate </w:t>
      </w:r>
      <w:r w:rsidRPr="008B3A85">
        <w:rPr>
          <w:rFonts w:ascii="Arial" w:hAnsi="Arial" w:cs="Arial"/>
          <w:b/>
          <w:bCs/>
        </w:rPr>
        <w:t>Secretary</w:t>
      </w:r>
    </w:p>
    <w:p w14:paraId="1B22DA65" w14:textId="77777777" w:rsidR="00BE7787" w:rsidRDefault="00BE7787" w:rsidP="00BE7787">
      <w:pPr>
        <w:rPr>
          <w:rFonts w:ascii="Arial" w:hAnsi="Arial" w:cs="Arial"/>
        </w:rPr>
      </w:pPr>
    </w:p>
    <w:p w14:paraId="4599676A" w14:textId="4DC01927" w:rsidR="00BE7787" w:rsidRDefault="00A34775" w:rsidP="00BE7787">
      <w:pPr>
        <w:rPr>
          <w:rFonts w:ascii="Arial" w:hAnsi="Arial" w:cs="Arial"/>
          <w:sz w:val="20"/>
          <w:szCs w:val="20"/>
        </w:rPr>
      </w:pPr>
      <w:r>
        <w:rPr>
          <w:rFonts w:ascii="Arial" w:hAnsi="Arial" w:cs="Arial"/>
        </w:rPr>
        <w:t>2 July 2025</w:t>
      </w:r>
    </w:p>
    <w:p w14:paraId="309C4B87" w14:textId="77777777" w:rsidR="00A30C96" w:rsidRPr="00BE7787" w:rsidRDefault="00A30C96" w:rsidP="00BE7787"/>
    <w:sectPr w:rsidR="00A30C96" w:rsidRPr="00BE7787" w:rsidSect="00D211D3">
      <w:headerReference w:type="default" r:id="rId12"/>
      <w:footerReference w:type="first" r:id="rId13"/>
      <w:pgSz w:w="11906" w:h="16838"/>
      <w:pgMar w:top="907" w:right="794" w:bottom="907" w:left="1134"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468D" w14:textId="77777777" w:rsidR="00956731" w:rsidRPr="00EC5700" w:rsidRDefault="00956731" w:rsidP="00EC5700">
      <w:r>
        <w:separator/>
      </w:r>
    </w:p>
  </w:endnote>
  <w:endnote w:type="continuationSeparator" w:id="0">
    <w:p w14:paraId="561CE870" w14:textId="77777777" w:rsidR="00956731" w:rsidRPr="00EC5700" w:rsidRDefault="00956731" w:rsidP="00EC5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illSans Light">
    <w:altName w:val="Calibri"/>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497" w14:textId="3E72F630" w:rsidR="00D211D3" w:rsidRPr="00DD45D3" w:rsidRDefault="00F41F38">
    <w:pPr>
      <w:pStyle w:val="Footer"/>
      <w:rPr>
        <w:rFonts w:ascii="Arial" w:hAnsi="Arial" w:cs="Arial"/>
      </w:rPr>
    </w:pPr>
    <w:r w:rsidRPr="00DD45D3">
      <w:rPr>
        <w:rFonts w:ascii="Arial" w:hAnsi="Arial" w:cs="Arial"/>
        <w:sz w:val="16"/>
        <w:szCs w:val="16"/>
      </w:rPr>
      <w:fldChar w:fldCharType="begin"/>
    </w:r>
    <w:r w:rsidRPr="00DD45D3">
      <w:rPr>
        <w:rFonts w:ascii="Arial" w:hAnsi="Arial" w:cs="Arial"/>
        <w:sz w:val="16"/>
        <w:szCs w:val="16"/>
      </w:rPr>
      <w:instrText xml:space="preserve"> FILLIN   \* MERGEFORMAT </w:instrText>
    </w:r>
    <w:r w:rsidRPr="00DD45D3">
      <w:rPr>
        <w:rFonts w:ascii="Arial" w:hAnsi="Arial" w:cs="Arial"/>
        <w:sz w:val="16"/>
        <w:szCs w:val="16"/>
      </w:rPr>
      <w:fldChar w:fldCharType="separate"/>
    </w:r>
    <w:r w:rsidR="005921CA" w:rsidRPr="00DD45D3">
      <w:rPr>
        <w:rFonts w:ascii="Arial" w:hAnsi="Arial" w:cs="Arial"/>
        <w:sz w:val="16"/>
        <w:szCs w:val="16"/>
      </w:rPr>
      <w:t>Insert CM reference</w:t>
    </w:r>
    <w:r w:rsidRPr="00DD45D3">
      <w:rPr>
        <w:rFonts w:ascii="Arial" w:hAnsi="Arial" w:cs="Arial"/>
        <w:sz w:val="16"/>
        <w:szCs w:val="16"/>
      </w:rPr>
      <w:fldChar w:fldCharType="end"/>
    </w:r>
    <w:r w:rsidRPr="00DD45D3">
      <w:rPr>
        <w:rFonts w:ascii="Arial" w:hAnsi="Arial" w:cs="Arial"/>
        <w:sz w:val="16"/>
        <w:szCs w:val="16"/>
      </w:rPr>
      <w:tab/>
    </w:r>
    <w:r w:rsidRPr="00DD45D3">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99EA5" w14:textId="77777777" w:rsidR="00956731" w:rsidRPr="00EC5700" w:rsidRDefault="00956731" w:rsidP="00EC5700">
      <w:r>
        <w:separator/>
      </w:r>
    </w:p>
  </w:footnote>
  <w:footnote w:type="continuationSeparator" w:id="0">
    <w:p w14:paraId="09F68BF3" w14:textId="77777777" w:rsidR="00956731" w:rsidRPr="00EC5700" w:rsidRDefault="00956731" w:rsidP="00EC57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1183" w14:textId="77777777" w:rsidR="00826413" w:rsidRDefault="00180101" w:rsidP="00180101">
    <w:pPr>
      <w:pStyle w:val="Header"/>
      <w:jc w:val="center"/>
      <w:rPr>
        <w:rFonts w:ascii="GillSans Light" w:hAnsi="GillSans Light"/>
        <w:noProof/>
        <w:sz w:val="20"/>
      </w:rPr>
    </w:pPr>
    <w:r w:rsidRPr="00180101">
      <w:rPr>
        <w:rFonts w:ascii="GillSans Light" w:hAnsi="GillSans Light"/>
        <w:sz w:val="20"/>
      </w:rPr>
      <w:fldChar w:fldCharType="begin"/>
    </w:r>
    <w:r w:rsidRPr="00180101">
      <w:rPr>
        <w:rFonts w:ascii="GillSans Light" w:hAnsi="GillSans Light"/>
        <w:sz w:val="20"/>
      </w:rPr>
      <w:instrText xml:space="preserve"> PAGE   \* MERGEFORMAT </w:instrText>
    </w:r>
    <w:r w:rsidRPr="00180101">
      <w:rPr>
        <w:rFonts w:ascii="GillSans Light" w:hAnsi="GillSans Light"/>
        <w:sz w:val="20"/>
      </w:rPr>
      <w:fldChar w:fldCharType="separate"/>
    </w:r>
    <w:r w:rsidR="00D211D3">
      <w:rPr>
        <w:rFonts w:ascii="GillSans Light" w:hAnsi="GillSans Light"/>
        <w:noProof/>
        <w:sz w:val="20"/>
      </w:rPr>
      <w:t>2</w:t>
    </w:r>
    <w:r w:rsidRPr="00180101">
      <w:rPr>
        <w:rFonts w:ascii="GillSans Light" w:hAnsi="GillSans Light"/>
        <w:noProof/>
        <w:sz w:val="20"/>
      </w:rPr>
      <w:fldChar w:fldCharType="end"/>
    </w:r>
  </w:p>
  <w:p w14:paraId="2006B758" w14:textId="77777777" w:rsidR="00D211D3" w:rsidRDefault="00D211D3" w:rsidP="0018010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3BB9"/>
    <w:multiLevelType w:val="hybridMultilevel"/>
    <w:tmpl w:val="365CEB50"/>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decimal"/>
      <w:lvlText w:val="%3."/>
      <w:lvlJc w:val="left"/>
      <w:pPr>
        <w:ind w:left="216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62A21C0"/>
    <w:multiLevelType w:val="hybridMultilevel"/>
    <w:tmpl w:val="6764CFDC"/>
    <w:lvl w:ilvl="0" w:tplc="0C09000F">
      <w:start w:val="1"/>
      <w:numFmt w:val="decimal"/>
      <w:lvlText w:val="%1."/>
      <w:lvlJc w:val="left"/>
      <w:pPr>
        <w:ind w:left="360" w:hanging="360"/>
      </w:pPr>
    </w:lvl>
    <w:lvl w:ilvl="1" w:tplc="0C090001">
      <w:start w:val="1"/>
      <w:numFmt w:val="bullet"/>
      <w:lvlText w:val=""/>
      <w:lvlJc w:val="left"/>
      <w:pPr>
        <w:ind w:left="72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6626D1D"/>
    <w:multiLevelType w:val="hybridMultilevel"/>
    <w:tmpl w:val="697E8E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AC34F51"/>
    <w:multiLevelType w:val="hybridMultilevel"/>
    <w:tmpl w:val="3CE442BE"/>
    <w:lvl w:ilvl="0" w:tplc="0C090001">
      <w:start w:val="1"/>
      <w:numFmt w:val="bullet"/>
      <w:lvlText w:val=""/>
      <w:lvlJc w:val="left"/>
      <w:pPr>
        <w:ind w:left="779" w:hanging="360"/>
      </w:pPr>
      <w:rPr>
        <w:rFonts w:ascii="Symbol" w:hAnsi="Symbol" w:hint="default"/>
      </w:rPr>
    </w:lvl>
    <w:lvl w:ilvl="1" w:tplc="0C090003" w:tentative="1">
      <w:start w:val="1"/>
      <w:numFmt w:val="bullet"/>
      <w:lvlText w:val="o"/>
      <w:lvlJc w:val="left"/>
      <w:pPr>
        <w:ind w:left="1499" w:hanging="360"/>
      </w:pPr>
      <w:rPr>
        <w:rFonts w:ascii="Courier New" w:hAnsi="Courier New" w:cs="Courier New" w:hint="default"/>
      </w:rPr>
    </w:lvl>
    <w:lvl w:ilvl="2" w:tplc="0C090005" w:tentative="1">
      <w:start w:val="1"/>
      <w:numFmt w:val="bullet"/>
      <w:lvlText w:val=""/>
      <w:lvlJc w:val="left"/>
      <w:pPr>
        <w:ind w:left="2219" w:hanging="360"/>
      </w:pPr>
      <w:rPr>
        <w:rFonts w:ascii="Wingdings" w:hAnsi="Wingdings" w:hint="default"/>
      </w:rPr>
    </w:lvl>
    <w:lvl w:ilvl="3" w:tplc="0C090001" w:tentative="1">
      <w:start w:val="1"/>
      <w:numFmt w:val="bullet"/>
      <w:lvlText w:val=""/>
      <w:lvlJc w:val="left"/>
      <w:pPr>
        <w:ind w:left="2939" w:hanging="360"/>
      </w:pPr>
      <w:rPr>
        <w:rFonts w:ascii="Symbol" w:hAnsi="Symbol" w:hint="default"/>
      </w:rPr>
    </w:lvl>
    <w:lvl w:ilvl="4" w:tplc="0C090003" w:tentative="1">
      <w:start w:val="1"/>
      <w:numFmt w:val="bullet"/>
      <w:lvlText w:val="o"/>
      <w:lvlJc w:val="left"/>
      <w:pPr>
        <w:ind w:left="3659" w:hanging="360"/>
      </w:pPr>
      <w:rPr>
        <w:rFonts w:ascii="Courier New" w:hAnsi="Courier New" w:cs="Courier New" w:hint="default"/>
      </w:rPr>
    </w:lvl>
    <w:lvl w:ilvl="5" w:tplc="0C090005" w:tentative="1">
      <w:start w:val="1"/>
      <w:numFmt w:val="bullet"/>
      <w:lvlText w:val=""/>
      <w:lvlJc w:val="left"/>
      <w:pPr>
        <w:ind w:left="4379" w:hanging="360"/>
      </w:pPr>
      <w:rPr>
        <w:rFonts w:ascii="Wingdings" w:hAnsi="Wingdings" w:hint="default"/>
      </w:rPr>
    </w:lvl>
    <w:lvl w:ilvl="6" w:tplc="0C090001" w:tentative="1">
      <w:start w:val="1"/>
      <w:numFmt w:val="bullet"/>
      <w:lvlText w:val=""/>
      <w:lvlJc w:val="left"/>
      <w:pPr>
        <w:ind w:left="5099" w:hanging="360"/>
      </w:pPr>
      <w:rPr>
        <w:rFonts w:ascii="Symbol" w:hAnsi="Symbol" w:hint="default"/>
      </w:rPr>
    </w:lvl>
    <w:lvl w:ilvl="7" w:tplc="0C090003" w:tentative="1">
      <w:start w:val="1"/>
      <w:numFmt w:val="bullet"/>
      <w:lvlText w:val="o"/>
      <w:lvlJc w:val="left"/>
      <w:pPr>
        <w:ind w:left="5819" w:hanging="360"/>
      </w:pPr>
      <w:rPr>
        <w:rFonts w:ascii="Courier New" w:hAnsi="Courier New" w:cs="Courier New" w:hint="default"/>
      </w:rPr>
    </w:lvl>
    <w:lvl w:ilvl="8" w:tplc="0C090005" w:tentative="1">
      <w:start w:val="1"/>
      <w:numFmt w:val="bullet"/>
      <w:lvlText w:val=""/>
      <w:lvlJc w:val="left"/>
      <w:pPr>
        <w:ind w:left="6539" w:hanging="360"/>
      </w:pPr>
      <w:rPr>
        <w:rFonts w:ascii="Wingdings" w:hAnsi="Wingdings" w:hint="default"/>
      </w:rPr>
    </w:lvl>
  </w:abstractNum>
  <w:num w:numId="1" w16cid:durableId="1452432104">
    <w:abstractNumId w:val="1"/>
  </w:num>
  <w:num w:numId="2" w16cid:durableId="1334186454">
    <w:abstractNumId w:val="2"/>
  </w:num>
  <w:num w:numId="3" w16cid:durableId="1650860282">
    <w:abstractNumId w:val="3"/>
  </w:num>
  <w:num w:numId="4" w16cid:durableId="1187867437">
    <w:abstractNumId w:val="0"/>
  </w:num>
  <w:num w:numId="5" w16cid:durableId="1599602918">
    <w:abstractNumId w:val="0"/>
    <w:lvlOverride w:ilvl="0"/>
    <w:lvlOverride w:ilvl="1"/>
    <w:lvlOverride w:ilvl="2">
      <w:startOverride w:val="1"/>
    </w:lvlOverride>
    <w:lvlOverride w:ilvl="3"/>
    <w:lvlOverride w:ilvl="4"/>
    <w:lvlOverride w:ilvl="5"/>
    <w:lvlOverride w:ilvl="6"/>
    <w:lvlOverride w:ilvl="7"/>
    <w:lvlOverride w:ilvl="8"/>
  </w:num>
  <w:num w:numId="6" w16cid:durableId="209763245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6434927">
    <w:abstractNumId w:val="2"/>
  </w:num>
  <w:num w:numId="8" w16cid:durableId="17905839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700"/>
    <w:rsid w:val="00000B40"/>
    <w:rsid w:val="0000645A"/>
    <w:rsid w:val="000373B9"/>
    <w:rsid w:val="00037DC7"/>
    <w:rsid w:val="000524F9"/>
    <w:rsid w:val="0006562D"/>
    <w:rsid w:val="00075FBF"/>
    <w:rsid w:val="00087486"/>
    <w:rsid w:val="000B7FF8"/>
    <w:rsid w:val="000F00C2"/>
    <w:rsid w:val="000F036F"/>
    <w:rsid w:val="001334E0"/>
    <w:rsid w:val="00133DD9"/>
    <w:rsid w:val="00151211"/>
    <w:rsid w:val="00151893"/>
    <w:rsid w:val="00155BCA"/>
    <w:rsid w:val="001626E8"/>
    <w:rsid w:val="00180101"/>
    <w:rsid w:val="001A1593"/>
    <w:rsid w:val="001B613F"/>
    <w:rsid w:val="001C285D"/>
    <w:rsid w:val="00213D06"/>
    <w:rsid w:val="002262D0"/>
    <w:rsid w:val="00233722"/>
    <w:rsid w:val="002567D1"/>
    <w:rsid w:val="00264BF8"/>
    <w:rsid w:val="00265386"/>
    <w:rsid w:val="0026613A"/>
    <w:rsid w:val="00270C35"/>
    <w:rsid w:val="00287916"/>
    <w:rsid w:val="002A2DF1"/>
    <w:rsid w:val="002C786F"/>
    <w:rsid w:val="002E0582"/>
    <w:rsid w:val="00396BE9"/>
    <w:rsid w:val="003D56B1"/>
    <w:rsid w:val="004079C8"/>
    <w:rsid w:val="00471035"/>
    <w:rsid w:val="004A23EE"/>
    <w:rsid w:val="004C2864"/>
    <w:rsid w:val="004E4134"/>
    <w:rsid w:val="005331CC"/>
    <w:rsid w:val="00582CC6"/>
    <w:rsid w:val="005921CA"/>
    <w:rsid w:val="005B3136"/>
    <w:rsid w:val="005B7A8D"/>
    <w:rsid w:val="005F17C8"/>
    <w:rsid w:val="005F24D2"/>
    <w:rsid w:val="006360A4"/>
    <w:rsid w:val="00655123"/>
    <w:rsid w:val="00657FEF"/>
    <w:rsid w:val="00660C62"/>
    <w:rsid w:val="00676FAA"/>
    <w:rsid w:val="00692277"/>
    <w:rsid w:val="006C0D46"/>
    <w:rsid w:val="006F6117"/>
    <w:rsid w:val="006F6EC8"/>
    <w:rsid w:val="00706014"/>
    <w:rsid w:val="00785C3B"/>
    <w:rsid w:val="00786299"/>
    <w:rsid w:val="00790789"/>
    <w:rsid w:val="007A6F13"/>
    <w:rsid w:val="007B5F42"/>
    <w:rsid w:val="007E5BA3"/>
    <w:rsid w:val="007F787F"/>
    <w:rsid w:val="00826413"/>
    <w:rsid w:val="00830D3C"/>
    <w:rsid w:val="0083690B"/>
    <w:rsid w:val="00863116"/>
    <w:rsid w:val="0087694D"/>
    <w:rsid w:val="008818A9"/>
    <w:rsid w:val="00890AC2"/>
    <w:rsid w:val="008A6F52"/>
    <w:rsid w:val="008B3A85"/>
    <w:rsid w:val="0091539F"/>
    <w:rsid w:val="0092743D"/>
    <w:rsid w:val="009342F9"/>
    <w:rsid w:val="00956731"/>
    <w:rsid w:val="00956902"/>
    <w:rsid w:val="009B585B"/>
    <w:rsid w:val="009C0AE7"/>
    <w:rsid w:val="009D4E3E"/>
    <w:rsid w:val="00A21F35"/>
    <w:rsid w:val="00A30C96"/>
    <w:rsid w:val="00A34775"/>
    <w:rsid w:val="00A4394F"/>
    <w:rsid w:val="00A55CA5"/>
    <w:rsid w:val="00A60C92"/>
    <w:rsid w:val="00A70FA1"/>
    <w:rsid w:val="00A7425F"/>
    <w:rsid w:val="00AB659D"/>
    <w:rsid w:val="00AF512B"/>
    <w:rsid w:val="00B1238D"/>
    <w:rsid w:val="00B278BF"/>
    <w:rsid w:val="00BD5B02"/>
    <w:rsid w:val="00BE7787"/>
    <w:rsid w:val="00C00BFB"/>
    <w:rsid w:val="00C061B0"/>
    <w:rsid w:val="00C23CF4"/>
    <w:rsid w:val="00C429E3"/>
    <w:rsid w:val="00C431F1"/>
    <w:rsid w:val="00C57632"/>
    <w:rsid w:val="00CA52BA"/>
    <w:rsid w:val="00CA682D"/>
    <w:rsid w:val="00CE2EC5"/>
    <w:rsid w:val="00D02DD3"/>
    <w:rsid w:val="00D211D3"/>
    <w:rsid w:val="00DB39A1"/>
    <w:rsid w:val="00DD45D3"/>
    <w:rsid w:val="00DE2B44"/>
    <w:rsid w:val="00E03A75"/>
    <w:rsid w:val="00E0625F"/>
    <w:rsid w:val="00E662D1"/>
    <w:rsid w:val="00E74918"/>
    <w:rsid w:val="00E86E28"/>
    <w:rsid w:val="00EA0C83"/>
    <w:rsid w:val="00EC5700"/>
    <w:rsid w:val="00F07B63"/>
    <w:rsid w:val="00F41F38"/>
    <w:rsid w:val="00F574BC"/>
    <w:rsid w:val="00F632FF"/>
    <w:rsid w:val="00F80731"/>
    <w:rsid w:val="00F815B9"/>
    <w:rsid w:val="00F819EF"/>
    <w:rsid w:val="00FA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68B78"/>
  <w15:docId w15:val="{1856F4D7-3512-4431-A5AD-76D92671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700"/>
    <w:pPr>
      <w:tabs>
        <w:tab w:val="center" w:pos="4320"/>
        <w:tab w:val="right" w:pos="8640"/>
      </w:tabs>
    </w:pPr>
    <w:rPr>
      <w:rFonts w:ascii="Arial" w:hAnsi="Arial"/>
      <w:sz w:val="22"/>
      <w:szCs w:val="20"/>
    </w:rPr>
  </w:style>
  <w:style w:type="character" w:customStyle="1" w:styleId="HeaderChar">
    <w:name w:val="Header Char"/>
    <w:link w:val="Header"/>
    <w:uiPriority w:val="99"/>
    <w:rsid w:val="00EC5700"/>
    <w:rPr>
      <w:rFonts w:ascii="Arial" w:hAnsi="Arial"/>
      <w:sz w:val="22"/>
      <w:lang w:eastAsia="en-US"/>
    </w:rPr>
  </w:style>
  <w:style w:type="paragraph" w:customStyle="1" w:styleId="hidden">
    <w:name w:val="hidden"/>
    <w:basedOn w:val="Normal"/>
    <w:next w:val="Normal"/>
    <w:rsid w:val="00EC5700"/>
    <w:pPr>
      <w:overflowPunct w:val="0"/>
      <w:autoSpaceDE w:val="0"/>
      <w:autoSpaceDN w:val="0"/>
      <w:adjustRightInd w:val="0"/>
      <w:textAlignment w:val="baseline"/>
    </w:pPr>
    <w:rPr>
      <w:vanish/>
      <w:sz w:val="20"/>
      <w:szCs w:val="20"/>
    </w:rPr>
  </w:style>
  <w:style w:type="paragraph" w:customStyle="1" w:styleId="Address">
    <w:name w:val="Address"/>
    <w:basedOn w:val="Normal"/>
    <w:rsid w:val="00EC5700"/>
    <w:pPr>
      <w:overflowPunct w:val="0"/>
      <w:autoSpaceDE w:val="0"/>
      <w:autoSpaceDN w:val="0"/>
      <w:adjustRightInd w:val="0"/>
      <w:spacing w:before="1200" w:after="240"/>
      <w:textAlignment w:val="baseline"/>
    </w:pPr>
    <w:rPr>
      <w:color w:val="000000"/>
      <w:szCs w:val="20"/>
    </w:rPr>
  </w:style>
  <w:style w:type="paragraph" w:styleId="Footer">
    <w:name w:val="footer"/>
    <w:basedOn w:val="Normal"/>
    <w:link w:val="FooterChar"/>
    <w:uiPriority w:val="99"/>
    <w:unhideWhenUsed/>
    <w:rsid w:val="00EC5700"/>
    <w:pPr>
      <w:tabs>
        <w:tab w:val="center" w:pos="4513"/>
        <w:tab w:val="right" w:pos="9026"/>
      </w:tabs>
    </w:pPr>
  </w:style>
  <w:style w:type="character" w:customStyle="1" w:styleId="FooterChar">
    <w:name w:val="Footer Char"/>
    <w:link w:val="Footer"/>
    <w:uiPriority w:val="99"/>
    <w:rsid w:val="00EC5700"/>
    <w:rPr>
      <w:sz w:val="24"/>
      <w:szCs w:val="24"/>
      <w:lang w:eastAsia="en-US"/>
    </w:rPr>
  </w:style>
  <w:style w:type="character" w:styleId="Hyperlink">
    <w:name w:val="Hyperlink"/>
    <w:uiPriority w:val="99"/>
    <w:unhideWhenUsed/>
    <w:rsid w:val="005B3136"/>
    <w:rPr>
      <w:color w:val="0000FF"/>
      <w:u w:val="single"/>
    </w:rPr>
  </w:style>
  <w:style w:type="paragraph" w:styleId="BalloonText">
    <w:name w:val="Balloon Text"/>
    <w:basedOn w:val="Normal"/>
    <w:link w:val="BalloonTextChar"/>
    <w:uiPriority w:val="99"/>
    <w:semiHidden/>
    <w:unhideWhenUsed/>
    <w:rsid w:val="00AF512B"/>
    <w:rPr>
      <w:rFonts w:ascii="Tahoma" w:hAnsi="Tahoma" w:cs="Tahoma"/>
      <w:sz w:val="16"/>
      <w:szCs w:val="16"/>
    </w:rPr>
  </w:style>
  <w:style w:type="character" w:customStyle="1" w:styleId="BalloonTextChar">
    <w:name w:val="Balloon Text Char"/>
    <w:link w:val="BalloonText"/>
    <w:uiPriority w:val="99"/>
    <w:semiHidden/>
    <w:rsid w:val="00AF512B"/>
    <w:rPr>
      <w:rFonts w:ascii="Tahoma" w:hAnsi="Tahoma" w:cs="Tahoma"/>
      <w:sz w:val="16"/>
      <w:szCs w:val="16"/>
      <w:lang w:eastAsia="en-US"/>
    </w:rPr>
  </w:style>
  <w:style w:type="paragraph" w:styleId="ListParagraph">
    <w:name w:val="List Paragraph"/>
    <w:basedOn w:val="Normal"/>
    <w:uiPriority w:val="34"/>
    <w:qFormat/>
    <w:rsid w:val="00786299"/>
    <w:pPr>
      <w:spacing w:before="100" w:beforeAutospacing="1" w:after="100" w:afterAutospacing="1"/>
    </w:pPr>
    <w:rPr>
      <w:rFonts w:ascii="Calibri" w:eastAsia="Calibri" w:hAnsi="Calibri" w:cs="Calibri"/>
      <w:sz w:val="22"/>
      <w:szCs w:val="22"/>
    </w:rPr>
  </w:style>
  <w:style w:type="character" w:styleId="UnresolvedMention">
    <w:name w:val="Unresolved Mention"/>
    <w:basedOn w:val="DefaultParagraphFont"/>
    <w:uiPriority w:val="99"/>
    <w:semiHidden/>
    <w:unhideWhenUsed/>
    <w:rsid w:val="00264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1616">
      <w:bodyDiv w:val="1"/>
      <w:marLeft w:val="0"/>
      <w:marRight w:val="0"/>
      <w:marTop w:val="0"/>
      <w:marBottom w:val="0"/>
      <w:divBdr>
        <w:top w:val="none" w:sz="0" w:space="0" w:color="auto"/>
        <w:left w:val="none" w:sz="0" w:space="0" w:color="auto"/>
        <w:bottom w:val="none" w:sz="0" w:space="0" w:color="auto"/>
        <w:right w:val="none" w:sz="0" w:space="0" w:color="auto"/>
      </w:divBdr>
    </w:div>
    <w:div w:id="926965715">
      <w:bodyDiv w:val="1"/>
      <w:marLeft w:val="0"/>
      <w:marRight w:val="0"/>
      <w:marTop w:val="0"/>
      <w:marBottom w:val="0"/>
      <w:divBdr>
        <w:top w:val="none" w:sz="0" w:space="0" w:color="auto"/>
        <w:left w:val="none" w:sz="0" w:space="0" w:color="auto"/>
        <w:bottom w:val="none" w:sz="0" w:space="0" w:color="auto"/>
        <w:right w:val="none" w:sz="0" w:space="0" w:color="auto"/>
      </w:divBdr>
    </w:div>
    <w:div w:id="947348716">
      <w:bodyDiv w:val="1"/>
      <w:marLeft w:val="0"/>
      <w:marRight w:val="0"/>
      <w:marTop w:val="0"/>
      <w:marBottom w:val="0"/>
      <w:divBdr>
        <w:top w:val="none" w:sz="0" w:space="0" w:color="auto"/>
        <w:left w:val="none" w:sz="0" w:space="0" w:color="auto"/>
        <w:bottom w:val="none" w:sz="0" w:space="0" w:color="auto"/>
        <w:right w:val="none" w:sz="0" w:space="0" w:color="auto"/>
      </w:divBdr>
    </w:div>
    <w:div w:id="1008941885">
      <w:bodyDiv w:val="1"/>
      <w:marLeft w:val="0"/>
      <w:marRight w:val="0"/>
      <w:marTop w:val="0"/>
      <w:marBottom w:val="0"/>
      <w:divBdr>
        <w:top w:val="none" w:sz="0" w:space="0" w:color="auto"/>
        <w:left w:val="none" w:sz="0" w:space="0" w:color="auto"/>
        <w:bottom w:val="none" w:sz="0" w:space="0" w:color="auto"/>
        <w:right w:val="none" w:sz="0" w:space="0" w:color="auto"/>
      </w:divBdr>
    </w:div>
    <w:div w:id="1074663412">
      <w:bodyDiv w:val="1"/>
      <w:marLeft w:val="0"/>
      <w:marRight w:val="0"/>
      <w:marTop w:val="0"/>
      <w:marBottom w:val="0"/>
      <w:divBdr>
        <w:top w:val="none" w:sz="0" w:space="0" w:color="auto"/>
        <w:left w:val="none" w:sz="0" w:space="0" w:color="auto"/>
        <w:bottom w:val="none" w:sz="0" w:space="0" w:color="auto"/>
        <w:right w:val="none" w:sz="0" w:space="0" w:color="auto"/>
      </w:divBdr>
    </w:div>
    <w:div w:id="1203133405">
      <w:bodyDiv w:val="1"/>
      <w:marLeft w:val="0"/>
      <w:marRight w:val="0"/>
      <w:marTop w:val="0"/>
      <w:marBottom w:val="0"/>
      <w:divBdr>
        <w:top w:val="none" w:sz="0" w:space="0" w:color="auto"/>
        <w:left w:val="none" w:sz="0" w:space="0" w:color="auto"/>
        <w:bottom w:val="none" w:sz="0" w:space="0" w:color="auto"/>
        <w:right w:val="none" w:sz="0" w:space="0" w:color="auto"/>
      </w:divBdr>
    </w:div>
    <w:div w:id="1348435897">
      <w:bodyDiv w:val="1"/>
      <w:marLeft w:val="0"/>
      <w:marRight w:val="0"/>
      <w:marTop w:val="0"/>
      <w:marBottom w:val="0"/>
      <w:divBdr>
        <w:top w:val="none" w:sz="0" w:space="0" w:color="auto"/>
        <w:left w:val="none" w:sz="0" w:space="0" w:color="auto"/>
        <w:bottom w:val="none" w:sz="0" w:space="0" w:color="auto"/>
        <w:right w:val="none" w:sz="0" w:space="0" w:color="auto"/>
      </w:divBdr>
    </w:div>
    <w:div w:id="1391002225">
      <w:bodyDiv w:val="1"/>
      <w:marLeft w:val="0"/>
      <w:marRight w:val="0"/>
      <w:marTop w:val="0"/>
      <w:marBottom w:val="0"/>
      <w:divBdr>
        <w:top w:val="none" w:sz="0" w:space="0" w:color="auto"/>
        <w:left w:val="none" w:sz="0" w:space="0" w:color="auto"/>
        <w:bottom w:val="none" w:sz="0" w:space="0" w:color="auto"/>
        <w:right w:val="none" w:sz="0" w:space="0" w:color="auto"/>
      </w:divBdr>
    </w:div>
    <w:div w:id="147209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uart.Hollingsworth@jobstasmania.tas.gov.au" TargetMode="External"/><Relationship Id="rId4" Type="http://schemas.openxmlformats.org/officeDocument/2006/relationships/settings" Target="settings.xml"/><Relationship Id="rId9" Type="http://schemas.openxmlformats.org/officeDocument/2006/relationships/hyperlink" Target="mailto:SEpolicy@dss.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0595-B524-4E65-BE9A-6F5E0B511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1048</Words>
  <Characters>6379</Characters>
  <Application>Microsoft Office Word</Application>
  <DocSecurity>4</DocSecurity>
  <Lines>118</Lines>
  <Paragraphs>44</Paragraphs>
  <ScaleCrop>false</ScaleCrop>
  <HeadingPairs>
    <vt:vector size="2" baseType="variant">
      <vt:variant>
        <vt:lpstr>Title</vt:lpstr>
      </vt:variant>
      <vt:variant>
        <vt:i4>1</vt:i4>
      </vt:variant>
    </vt:vector>
  </HeadingPairs>
  <TitlesOfParts>
    <vt:vector size="1" baseType="lpstr">
      <vt:lpstr>Department of Premier and Cabinet </vt:lpstr>
    </vt:vector>
  </TitlesOfParts>
  <Company>G3 Multimedia</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Premier and Cabinet</dc:title>
  <dc:creator>nikky.beard</dc:creator>
  <cp:keywords>[SEC=OFFICIAL]</cp:keywords>
  <dc:description>Month 2022</dc:description>
  <cp:lastModifiedBy>CHHUKYI, Sonam</cp:lastModifiedBy>
  <cp:revision>2</cp:revision>
  <cp:lastPrinted>2011-05-05T02:32:00Z</cp:lastPrinted>
  <dcterms:created xsi:type="dcterms:W3CDTF">2025-09-22T01:54:00Z</dcterms:created>
  <dcterms:modified xsi:type="dcterms:W3CDTF">2025-09-22T01:54:00Z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MSIP_Label_eb34d90b-fc41-464d-af60-f74d721d0790_Name">
    <vt:lpwstr>OFFICIAL</vt:lpwstr>
  </property>
  <property fmtid="{D5CDD505-2E9C-101B-9397-08002B2CF9AE}" pid="6" name="PM_Note">
    <vt:lpwstr/>
  </property>
  <property fmtid="{D5CDD505-2E9C-101B-9397-08002B2CF9AE}" pid="7" name="PMHMAC">
    <vt:lpwstr>v=2024.1;a=SHA256;h=93C680D7FE18BB4F297A2A1239FE2DC6B9692540A7CA6D2C165E952639E958E1</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2025-09-22T01:53:27Z</vt:lpwstr>
  </property>
  <property fmtid="{D5CDD505-2E9C-101B-9397-08002B2CF9AE}" pid="12" name="PM_Markers">
    <vt:lpwstr/>
  </property>
  <property fmtid="{D5CDD505-2E9C-101B-9397-08002B2CF9AE}" pid="13" name="PM_DownTo">
    <vt:lpwstr/>
  </property>
  <property fmtid="{D5CDD505-2E9C-101B-9397-08002B2CF9AE}" pid="14" name="PM_DisplayValueSecClassificationWithQualifier">
    <vt:lpwstr>OFFICIAL</vt:lpwstr>
  </property>
  <property fmtid="{D5CDD505-2E9C-101B-9397-08002B2CF9AE}" pid="15" name="PM_Expires">
    <vt:lpwstr/>
  </property>
  <property fmtid="{D5CDD505-2E9C-101B-9397-08002B2CF9AE}" pid="16" name="PM_InsertionValue">
    <vt:lpwstr>OFFICIAL</vt:lpwstr>
  </property>
  <property fmtid="{D5CDD505-2E9C-101B-9397-08002B2CF9AE}" pid="17" name="PM_DowngradeTo">
    <vt:lpwstr/>
  </property>
  <property fmtid="{D5CDD505-2E9C-101B-9397-08002B2CF9AE}" pid="18" name="MSIP_Label_eb34d90b-fc41-464d-af60-f74d721d0790_SiteId">
    <vt:lpwstr>61e36dd1-ca6e-4d61-aa0a-2b4eb88317a3</vt:lpwstr>
  </property>
  <property fmtid="{D5CDD505-2E9C-101B-9397-08002B2CF9AE}" pid="19" name="MSIP_Label_eb34d90b-fc41-464d-af60-f74d721d0790_ContentBits">
    <vt:lpwstr>3</vt:lpwstr>
  </property>
  <property fmtid="{D5CDD505-2E9C-101B-9397-08002B2CF9AE}" pid="20" name="MSIP_Label_eb34d90b-fc41-464d-af60-f74d721d0790_Enabled">
    <vt:lpwstr>true</vt:lpwstr>
  </property>
  <property fmtid="{D5CDD505-2E9C-101B-9397-08002B2CF9AE}" pid="21" name="MSIP_Label_eb34d90b-fc41-464d-af60-f74d721d0790_SetDate">
    <vt:lpwstr>2025-09-22T01:53:27Z</vt:lpwstr>
  </property>
  <property fmtid="{D5CDD505-2E9C-101B-9397-08002B2CF9AE}" pid="22" name="MSIP_Label_eb34d90b-fc41-464d-af60-f74d721d0790_Method">
    <vt:lpwstr>Privileged</vt:lpwstr>
  </property>
  <property fmtid="{D5CDD505-2E9C-101B-9397-08002B2CF9AE}" pid="23" name="MSIP_Label_eb34d90b-fc41-464d-af60-f74d721d0790_ActionId">
    <vt:lpwstr>a216ef5752894ceaae908ad3edf9cf90</vt:lpwstr>
  </property>
  <property fmtid="{D5CDD505-2E9C-101B-9397-08002B2CF9AE}" pid="24" name="PM_Originator_Hash_SHA1">
    <vt:lpwstr>7F62A102C53A69297D63AE882EA0CD92BF4575DF</vt:lpwstr>
  </property>
  <property fmtid="{D5CDD505-2E9C-101B-9397-08002B2CF9AE}" pid="25" name="PM_Originating_FileId">
    <vt:lpwstr>1F1FDF4E272745278E5E20A2FCB8BF75</vt:lpwstr>
  </property>
  <property fmtid="{D5CDD505-2E9C-101B-9397-08002B2CF9AE}" pid="26" name="PM_ProtectiveMarkingValue_Footer">
    <vt:lpwstr>OFFICIAL</vt:lpwstr>
  </property>
  <property fmtid="{D5CDD505-2E9C-101B-9397-08002B2CF9AE}" pid="27" name="PM_Display">
    <vt:lpwstr>OFFICIAL</vt:lpwstr>
  </property>
  <property fmtid="{D5CDD505-2E9C-101B-9397-08002B2CF9AE}" pid="28" name="PM_OriginatorUserAccountName_SHA256">
    <vt:lpwstr>EA607751A2A1616970B792DE199FEBA4DC1F33DDBD60382A0DC187C694960200</vt:lpwstr>
  </property>
  <property fmtid="{D5CDD505-2E9C-101B-9397-08002B2CF9AE}" pid="29" name="PM_OriginatorDomainName_SHA256">
    <vt:lpwstr>E83A2A66C4061446A7E3732E8D44762184B6B377D962B96C83DC624302585857</vt:lpwstr>
  </property>
  <property fmtid="{D5CDD505-2E9C-101B-9397-08002B2CF9AE}" pid="30" name="PMUuid">
    <vt:lpwstr>v=2022.2;d=gov.au;g=46DD6D7C-8107-577B-BC6E-F348953B2E44</vt:lpwstr>
  </property>
  <property fmtid="{D5CDD505-2E9C-101B-9397-08002B2CF9AE}" pid="31" name="PM_Hash_Version">
    <vt:lpwstr>2024.1</vt:lpwstr>
  </property>
  <property fmtid="{D5CDD505-2E9C-101B-9397-08002B2CF9AE}" pid="32" name="PM_Hash_Salt_Prev">
    <vt:lpwstr>4CAFDB4F507DB0B2F21366408D764AA2</vt:lpwstr>
  </property>
  <property fmtid="{D5CDD505-2E9C-101B-9397-08002B2CF9AE}" pid="33" name="PM_Hash_Salt">
    <vt:lpwstr>7124B119DD722B700B29B43C8886757C</vt:lpwstr>
  </property>
  <property fmtid="{D5CDD505-2E9C-101B-9397-08002B2CF9AE}" pid="34" name="PM_Hash_SHA1">
    <vt:lpwstr>3F5D41BBADA99DC0345D0F6EEAA62C2029697029</vt:lpwstr>
  </property>
</Properties>
</file>