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DA3B97" w:rsidRPr="00DA3B97" w14:paraId="16A8A149"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DA3B97" w:rsidRPr="00DA3B97" w14:paraId="5286188E" w14:textId="77777777">
              <w:trPr>
                <w:tblCellSpacing w:w="0" w:type="dxa"/>
              </w:trPr>
              <w:tc>
                <w:tcPr>
                  <w:tcW w:w="0" w:type="auto"/>
                  <w:gridSpan w:val="2"/>
                  <w:shd w:val="clear" w:color="auto" w:fill="EAF2FA"/>
                  <w:vAlign w:val="center"/>
                  <w:hideMark/>
                </w:tcPr>
                <w:p w14:paraId="31ACF029" w14:textId="77777777" w:rsidR="00DA3B97" w:rsidRPr="00DA3B97" w:rsidRDefault="00DA3B97" w:rsidP="00DA3B97">
                  <w:r w:rsidRPr="00DA3B97">
                    <w:rPr>
                      <w:b/>
                      <w:bCs/>
                    </w:rPr>
                    <w:t>Are you an individual or making a submission on behalf of an organisation?</w:t>
                  </w:r>
                  <w:r w:rsidRPr="00DA3B97">
                    <w:t xml:space="preserve"> </w:t>
                  </w:r>
                </w:p>
              </w:tc>
            </w:tr>
            <w:tr w:rsidR="00DA3B97" w:rsidRPr="00DA3B97" w14:paraId="4C064954" w14:textId="77777777">
              <w:trPr>
                <w:tblCellSpacing w:w="0" w:type="dxa"/>
              </w:trPr>
              <w:tc>
                <w:tcPr>
                  <w:tcW w:w="300" w:type="dxa"/>
                  <w:shd w:val="clear" w:color="auto" w:fill="FFFFFF"/>
                  <w:vAlign w:val="center"/>
                  <w:hideMark/>
                </w:tcPr>
                <w:p w14:paraId="7D68DA3F" w14:textId="77777777" w:rsidR="00DA3B97" w:rsidRPr="00DA3B97" w:rsidRDefault="00DA3B97" w:rsidP="00DA3B97"/>
              </w:tc>
              <w:tc>
                <w:tcPr>
                  <w:tcW w:w="0" w:type="auto"/>
                  <w:shd w:val="clear" w:color="auto" w:fill="FFFFFF"/>
                  <w:vAlign w:val="center"/>
                  <w:hideMark/>
                </w:tcPr>
                <w:p w14:paraId="3A899AD9" w14:textId="77777777" w:rsidR="00DA3B97" w:rsidRPr="00DA3B97" w:rsidRDefault="00DA3B97" w:rsidP="00DA3B97">
                  <w:r w:rsidRPr="00DA3B97">
                    <w:t xml:space="preserve">Organisation </w:t>
                  </w:r>
                </w:p>
              </w:tc>
            </w:tr>
            <w:tr w:rsidR="00DA3B97" w:rsidRPr="00DA3B97" w14:paraId="05B856A4" w14:textId="77777777">
              <w:trPr>
                <w:tblCellSpacing w:w="0" w:type="dxa"/>
              </w:trPr>
              <w:tc>
                <w:tcPr>
                  <w:tcW w:w="0" w:type="auto"/>
                  <w:gridSpan w:val="2"/>
                  <w:shd w:val="clear" w:color="auto" w:fill="EAF2FA"/>
                  <w:vAlign w:val="center"/>
                  <w:hideMark/>
                </w:tcPr>
                <w:p w14:paraId="2837F4D5" w14:textId="77777777" w:rsidR="00DA3B97" w:rsidRPr="00DA3B97" w:rsidRDefault="00DA3B97" w:rsidP="00DA3B97">
                  <w:r w:rsidRPr="00DA3B97">
                    <w:rPr>
                      <w:b/>
                      <w:bCs/>
                    </w:rPr>
                    <w:t>Organisation name</w:t>
                  </w:r>
                  <w:r w:rsidRPr="00DA3B97">
                    <w:t xml:space="preserve"> </w:t>
                  </w:r>
                </w:p>
              </w:tc>
            </w:tr>
            <w:tr w:rsidR="00DA3B97" w:rsidRPr="00DA3B97" w14:paraId="2C355769" w14:textId="77777777">
              <w:trPr>
                <w:tblCellSpacing w:w="0" w:type="dxa"/>
              </w:trPr>
              <w:tc>
                <w:tcPr>
                  <w:tcW w:w="300" w:type="dxa"/>
                  <w:shd w:val="clear" w:color="auto" w:fill="FFFFFF"/>
                  <w:vAlign w:val="center"/>
                  <w:hideMark/>
                </w:tcPr>
                <w:p w14:paraId="0BE07B18" w14:textId="77777777" w:rsidR="00DA3B97" w:rsidRPr="00DA3B97" w:rsidRDefault="00DA3B97" w:rsidP="00DA3B97"/>
              </w:tc>
              <w:tc>
                <w:tcPr>
                  <w:tcW w:w="0" w:type="auto"/>
                  <w:shd w:val="clear" w:color="auto" w:fill="FFFFFF"/>
                  <w:vAlign w:val="center"/>
                  <w:hideMark/>
                </w:tcPr>
                <w:p w14:paraId="3DDEECF5" w14:textId="77777777" w:rsidR="00DA3B97" w:rsidRPr="00DA3B97" w:rsidRDefault="00DA3B97" w:rsidP="00DA3B97">
                  <w:r w:rsidRPr="00DA3B97">
                    <w:t xml:space="preserve">Bestchance Child and Family Services </w:t>
                  </w:r>
                </w:p>
              </w:tc>
            </w:tr>
            <w:tr w:rsidR="00DA3B97" w:rsidRPr="00DA3B97" w14:paraId="2F59AD0D" w14:textId="77777777">
              <w:trPr>
                <w:tblCellSpacing w:w="0" w:type="dxa"/>
              </w:trPr>
              <w:tc>
                <w:tcPr>
                  <w:tcW w:w="0" w:type="auto"/>
                  <w:gridSpan w:val="2"/>
                  <w:shd w:val="clear" w:color="auto" w:fill="EAF2FA"/>
                  <w:vAlign w:val="center"/>
                  <w:hideMark/>
                </w:tcPr>
                <w:p w14:paraId="156719E9" w14:textId="77777777" w:rsidR="00DA3B97" w:rsidRPr="00DA3B97" w:rsidRDefault="00DA3B97" w:rsidP="00DA3B97">
                  <w:r w:rsidRPr="00DA3B97">
                    <w:rPr>
                      <w:b/>
                      <w:bCs/>
                    </w:rPr>
                    <w:t>Position</w:t>
                  </w:r>
                  <w:r w:rsidRPr="00DA3B97">
                    <w:t xml:space="preserve"> </w:t>
                  </w:r>
                </w:p>
              </w:tc>
            </w:tr>
            <w:tr w:rsidR="00DA3B97" w:rsidRPr="00DA3B97" w14:paraId="624592C8" w14:textId="77777777">
              <w:trPr>
                <w:tblCellSpacing w:w="0" w:type="dxa"/>
              </w:trPr>
              <w:tc>
                <w:tcPr>
                  <w:tcW w:w="300" w:type="dxa"/>
                  <w:shd w:val="clear" w:color="auto" w:fill="FFFFFF"/>
                  <w:vAlign w:val="center"/>
                  <w:hideMark/>
                </w:tcPr>
                <w:p w14:paraId="1E50A869" w14:textId="77777777" w:rsidR="00DA3B97" w:rsidRPr="00DA3B97" w:rsidRDefault="00DA3B97" w:rsidP="00DA3B97"/>
              </w:tc>
              <w:tc>
                <w:tcPr>
                  <w:tcW w:w="0" w:type="auto"/>
                  <w:shd w:val="clear" w:color="auto" w:fill="FFFFFF"/>
                  <w:vAlign w:val="center"/>
                  <w:hideMark/>
                </w:tcPr>
                <w:p w14:paraId="17599213" w14:textId="77777777" w:rsidR="00DA3B97" w:rsidRPr="00DA3B97" w:rsidRDefault="00DA3B97" w:rsidP="00DA3B97">
                  <w:r w:rsidRPr="00DA3B97">
                    <w:t xml:space="preserve">Chief Operating Officer </w:t>
                  </w:r>
                </w:p>
              </w:tc>
            </w:tr>
            <w:tr w:rsidR="00DA3B97" w:rsidRPr="00DA3B97" w14:paraId="77E36FF1" w14:textId="77777777">
              <w:trPr>
                <w:tblCellSpacing w:w="0" w:type="dxa"/>
              </w:trPr>
              <w:tc>
                <w:tcPr>
                  <w:tcW w:w="0" w:type="auto"/>
                  <w:gridSpan w:val="2"/>
                  <w:shd w:val="clear" w:color="auto" w:fill="EAF2FA"/>
                  <w:vAlign w:val="center"/>
                  <w:hideMark/>
                </w:tcPr>
                <w:p w14:paraId="2751602D" w14:textId="77777777" w:rsidR="00DA3B97" w:rsidRPr="00DA3B97" w:rsidRDefault="00DA3B97" w:rsidP="00DA3B97">
                  <w:r w:rsidRPr="00DA3B97">
                    <w:rPr>
                      <w:b/>
                      <w:bCs/>
                    </w:rPr>
                    <w:t>Is your organisation….?</w:t>
                  </w:r>
                  <w:r w:rsidRPr="00DA3B97">
                    <w:t xml:space="preserve"> </w:t>
                  </w:r>
                </w:p>
              </w:tc>
            </w:tr>
            <w:tr w:rsidR="00DA3B97" w:rsidRPr="00DA3B97" w14:paraId="48499E4F" w14:textId="77777777">
              <w:trPr>
                <w:tblCellSpacing w:w="0" w:type="dxa"/>
              </w:trPr>
              <w:tc>
                <w:tcPr>
                  <w:tcW w:w="300" w:type="dxa"/>
                  <w:shd w:val="clear" w:color="auto" w:fill="FFFFFF"/>
                  <w:vAlign w:val="center"/>
                  <w:hideMark/>
                </w:tcPr>
                <w:p w14:paraId="6B4A6955" w14:textId="77777777" w:rsidR="00DA3B97" w:rsidRPr="00DA3B97" w:rsidRDefault="00DA3B97" w:rsidP="00DA3B97"/>
              </w:tc>
              <w:tc>
                <w:tcPr>
                  <w:tcW w:w="0" w:type="auto"/>
                  <w:shd w:val="clear" w:color="auto" w:fill="FFFFFF"/>
                  <w:vAlign w:val="center"/>
                  <w:hideMark/>
                </w:tcPr>
                <w:p w14:paraId="20B7DA97" w14:textId="77777777" w:rsidR="00DA3B97" w:rsidRPr="00DA3B97" w:rsidRDefault="00DA3B97" w:rsidP="00DA3B97">
                  <w:pPr>
                    <w:numPr>
                      <w:ilvl w:val="0"/>
                      <w:numId w:val="1"/>
                    </w:numPr>
                  </w:pPr>
                  <w:r w:rsidRPr="00DA3B97">
                    <w:t>A provider currently funded under one or more of the 5 programs in scope for this consultation</w:t>
                  </w:r>
                </w:p>
              </w:tc>
            </w:tr>
            <w:tr w:rsidR="00DA3B97" w:rsidRPr="00DA3B97" w14:paraId="1A2B23A0" w14:textId="77777777">
              <w:trPr>
                <w:tblCellSpacing w:w="0" w:type="dxa"/>
              </w:trPr>
              <w:tc>
                <w:tcPr>
                  <w:tcW w:w="0" w:type="auto"/>
                  <w:gridSpan w:val="2"/>
                  <w:shd w:val="clear" w:color="auto" w:fill="EAF2FA"/>
                  <w:vAlign w:val="center"/>
                  <w:hideMark/>
                </w:tcPr>
                <w:p w14:paraId="4B4B132B" w14:textId="77777777" w:rsidR="00DA3B97" w:rsidRPr="00DA3B97" w:rsidRDefault="00DA3B97" w:rsidP="00DA3B97">
                  <w:r w:rsidRPr="00DA3B97">
                    <w:rPr>
                      <w:b/>
                      <w:bCs/>
                    </w:rPr>
                    <w:t>What type of service or support do you mostly provide?</w:t>
                  </w:r>
                  <w:r w:rsidRPr="00DA3B97">
                    <w:t xml:space="preserve"> </w:t>
                  </w:r>
                </w:p>
              </w:tc>
            </w:tr>
            <w:tr w:rsidR="00DA3B97" w:rsidRPr="00DA3B97" w14:paraId="2AAD5FC2" w14:textId="77777777">
              <w:trPr>
                <w:tblCellSpacing w:w="0" w:type="dxa"/>
              </w:trPr>
              <w:tc>
                <w:tcPr>
                  <w:tcW w:w="300" w:type="dxa"/>
                  <w:shd w:val="clear" w:color="auto" w:fill="FFFFFF"/>
                  <w:vAlign w:val="center"/>
                  <w:hideMark/>
                </w:tcPr>
                <w:p w14:paraId="04028426" w14:textId="77777777" w:rsidR="00DA3B97" w:rsidRPr="00DA3B97" w:rsidRDefault="00DA3B97" w:rsidP="00DA3B97"/>
              </w:tc>
              <w:tc>
                <w:tcPr>
                  <w:tcW w:w="0" w:type="auto"/>
                  <w:shd w:val="clear" w:color="auto" w:fill="FFFFFF"/>
                  <w:vAlign w:val="center"/>
                  <w:hideMark/>
                </w:tcPr>
                <w:p w14:paraId="6F94632B" w14:textId="77777777" w:rsidR="00DA3B97" w:rsidRPr="00DA3B97" w:rsidRDefault="00DA3B97" w:rsidP="00DA3B97">
                  <w:pPr>
                    <w:numPr>
                      <w:ilvl w:val="0"/>
                      <w:numId w:val="2"/>
                    </w:numPr>
                  </w:pPr>
                  <w:r w:rsidRPr="00DA3B97">
                    <w:t>Prevention or early intervention services</w:t>
                  </w:r>
                </w:p>
              </w:tc>
            </w:tr>
            <w:tr w:rsidR="00DA3B97" w:rsidRPr="00DA3B97" w14:paraId="138A5484" w14:textId="77777777">
              <w:trPr>
                <w:tblCellSpacing w:w="0" w:type="dxa"/>
              </w:trPr>
              <w:tc>
                <w:tcPr>
                  <w:tcW w:w="0" w:type="auto"/>
                  <w:gridSpan w:val="2"/>
                  <w:shd w:val="clear" w:color="auto" w:fill="EAF2FA"/>
                  <w:vAlign w:val="center"/>
                  <w:hideMark/>
                </w:tcPr>
                <w:p w14:paraId="583F681F" w14:textId="77777777" w:rsidR="00DA3B97" w:rsidRPr="00DA3B97" w:rsidRDefault="00DA3B97" w:rsidP="00DA3B97">
                  <w:r w:rsidRPr="00DA3B97">
                    <w:rPr>
                      <w:b/>
                      <w:bCs/>
                    </w:rPr>
                    <w:t>What state or territory does your organisation deliver services and supports in?</w:t>
                  </w:r>
                  <w:r w:rsidRPr="00DA3B97">
                    <w:t xml:space="preserve"> </w:t>
                  </w:r>
                </w:p>
              </w:tc>
            </w:tr>
            <w:tr w:rsidR="00DA3B97" w:rsidRPr="00DA3B97" w14:paraId="60370367" w14:textId="77777777">
              <w:trPr>
                <w:tblCellSpacing w:w="0" w:type="dxa"/>
              </w:trPr>
              <w:tc>
                <w:tcPr>
                  <w:tcW w:w="300" w:type="dxa"/>
                  <w:shd w:val="clear" w:color="auto" w:fill="FFFFFF"/>
                  <w:vAlign w:val="center"/>
                  <w:hideMark/>
                </w:tcPr>
                <w:p w14:paraId="3CD90AF8" w14:textId="77777777" w:rsidR="00DA3B97" w:rsidRPr="00DA3B97" w:rsidRDefault="00DA3B97" w:rsidP="00DA3B97"/>
              </w:tc>
              <w:tc>
                <w:tcPr>
                  <w:tcW w:w="0" w:type="auto"/>
                  <w:shd w:val="clear" w:color="auto" w:fill="FFFFFF"/>
                  <w:vAlign w:val="center"/>
                  <w:hideMark/>
                </w:tcPr>
                <w:p w14:paraId="6D869CB7" w14:textId="77777777" w:rsidR="00DA3B97" w:rsidRPr="00DA3B97" w:rsidRDefault="00DA3B97" w:rsidP="00DA3B97">
                  <w:pPr>
                    <w:numPr>
                      <w:ilvl w:val="0"/>
                      <w:numId w:val="3"/>
                    </w:numPr>
                  </w:pPr>
                  <w:r w:rsidRPr="00DA3B97">
                    <w:t>Victoria</w:t>
                  </w:r>
                </w:p>
              </w:tc>
            </w:tr>
            <w:tr w:rsidR="00DA3B97" w:rsidRPr="00DA3B97" w14:paraId="0DC68834" w14:textId="77777777">
              <w:trPr>
                <w:tblCellSpacing w:w="0" w:type="dxa"/>
              </w:trPr>
              <w:tc>
                <w:tcPr>
                  <w:tcW w:w="0" w:type="auto"/>
                  <w:gridSpan w:val="2"/>
                  <w:shd w:val="clear" w:color="auto" w:fill="EAF2FA"/>
                  <w:vAlign w:val="center"/>
                  <w:hideMark/>
                </w:tcPr>
                <w:p w14:paraId="398A680D" w14:textId="77777777" w:rsidR="00DA3B97" w:rsidRPr="00DA3B97" w:rsidRDefault="00DA3B97" w:rsidP="00DA3B97">
                  <w:r w:rsidRPr="00DA3B97">
                    <w:rPr>
                      <w:b/>
                      <w:bCs/>
                    </w:rPr>
                    <w:t>Where does your organisation deliver most of their services and supports?</w:t>
                  </w:r>
                  <w:r w:rsidRPr="00DA3B97">
                    <w:t xml:space="preserve"> </w:t>
                  </w:r>
                </w:p>
              </w:tc>
            </w:tr>
            <w:tr w:rsidR="00DA3B97" w:rsidRPr="00DA3B97" w14:paraId="519EF0F5" w14:textId="77777777">
              <w:trPr>
                <w:tblCellSpacing w:w="0" w:type="dxa"/>
              </w:trPr>
              <w:tc>
                <w:tcPr>
                  <w:tcW w:w="300" w:type="dxa"/>
                  <w:shd w:val="clear" w:color="auto" w:fill="FFFFFF"/>
                  <w:vAlign w:val="center"/>
                  <w:hideMark/>
                </w:tcPr>
                <w:p w14:paraId="1463DF53" w14:textId="77777777" w:rsidR="00DA3B97" w:rsidRPr="00DA3B97" w:rsidRDefault="00DA3B97" w:rsidP="00DA3B97"/>
              </w:tc>
              <w:tc>
                <w:tcPr>
                  <w:tcW w:w="0" w:type="auto"/>
                  <w:shd w:val="clear" w:color="auto" w:fill="FFFFFF"/>
                  <w:vAlign w:val="center"/>
                  <w:hideMark/>
                </w:tcPr>
                <w:p w14:paraId="567B41FA" w14:textId="77777777" w:rsidR="00DA3B97" w:rsidRPr="00DA3B97" w:rsidRDefault="00DA3B97" w:rsidP="00DA3B97">
                  <w:r w:rsidRPr="00DA3B97">
                    <w:t xml:space="preserve">Major city </w:t>
                  </w:r>
                </w:p>
              </w:tc>
            </w:tr>
            <w:tr w:rsidR="00DA3B97" w:rsidRPr="00DA3B97" w14:paraId="53441EC1" w14:textId="77777777">
              <w:trPr>
                <w:tblCellSpacing w:w="0" w:type="dxa"/>
              </w:trPr>
              <w:tc>
                <w:tcPr>
                  <w:tcW w:w="0" w:type="auto"/>
                  <w:gridSpan w:val="2"/>
                  <w:shd w:val="clear" w:color="auto" w:fill="EAF2FA"/>
                  <w:vAlign w:val="center"/>
                  <w:hideMark/>
                </w:tcPr>
                <w:p w14:paraId="598EB860" w14:textId="77777777" w:rsidR="00DA3B97" w:rsidRPr="00DA3B97" w:rsidRDefault="00DA3B97" w:rsidP="00DA3B97">
                  <w:r w:rsidRPr="00DA3B97">
                    <w:rPr>
                      <w:b/>
                      <w:bCs/>
                    </w:rPr>
                    <w:t>1. Does the new vision reflect what we all want for children and families?</w:t>
                  </w:r>
                  <w:r w:rsidRPr="00DA3B97">
                    <w:t xml:space="preserve"> </w:t>
                  </w:r>
                </w:p>
              </w:tc>
            </w:tr>
            <w:tr w:rsidR="00DA3B97" w:rsidRPr="00DA3B97" w14:paraId="0777966C" w14:textId="77777777">
              <w:trPr>
                <w:tblCellSpacing w:w="0" w:type="dxa"/>
              </w:trPr>
              <w:tc>
                <w:tcPr>
                  <w:tcW w:w="300" w:type="dxa"/>
                  <w:shd w:val="clear" w:color="auto" w:fill="FFFFFF"/>
                  <w:vAlign w:val="center"/>
                  <w:hideMark/>
                </w:tcPr>
                <w:p w14:paraId="775CB0D2" w14:textId="77777777" w:rsidR="00DA3B97" w:rsidRPr="00DA3B97" w:rsidRDefault="00DA3B97" w:rsidP="00DA3B97"/>
              </w:tc>
              <w:tc>
                <w:tcPr>
                  <w:tcW w:w="0" w:type="auto"/>
                  <w:shd w:val="clear" w:color="auto" w:fill="FFFFFF"/>
                  <w:vAlign w:val="center"/>
                  <w:hideMark/>
                </w:tcPr>
                <w:p w14:paraId="39F858E8" w14:textId="77777777" w:rsidR="00DA3B97" w:rsidRPr="00DA3B97" w:rsidRDefault="00DA3B97" w:rsidP="00DA3B97">
                  <w:r w:rsidRPr="00DA3B97">
                    <w:t xml:space="preserve">The proposed reforms represent a significant step toward the vision of the sector. The move to a single national service design, strongly aligns with long-standing sector priorities. The focus on prevention and early support, particularly for families at risk, young parents, and children aged 0–5, reflects what the sector has emphasised as essential to addressing vulnerability before it escalates. Likewise, the emphasis on integrated, co-located, and collaborative service models mirrors sector calls for less fragmentation, fewer silos, and more joined-up supports that respond to the complexity of real family needs. Longer-term funding agreements of up to five years, simplified reporting, and recognition of both research evidence and lived experience further align with the sector’s push for stability and flexibility. Despite this alignment, the continued reliance on open competitive tendering risks disadvantaging smaller providers who may not have the resources to participate effectively. While co-location and integration are encouraged, the feasibility of </w:t>
                  </w:r>
                  <w:r w:rsidRPr="00DA3B97">
                    <w:lastRenderedPageBreak/>
                    <w:t xml:space="preserve">these expectations without additional infrastructure and investment, particularly in rural and remote where staffing shortages are already critical, may be low. The requirement to report via DEX may continue to pose an administrative and cultural burden, especially for smaller organisations. Finally, the vision focuses primarily on parenting capacity and service coordination with less attention to structural drivers. </w:t>
                  </w:r>
                </w:p>
              </w:tc>
            </w:tr>
            <w:tr w:rsidR="00DA3B97" w:rsidRPr="00DA3B97" w14:paraId="51C8F5C7" w14:textId="77777777">
              <w:trPr>
                <w:tblCellSpacing w:w="0" w:type="dxa"/>
              </w:trPr>
              <w:tc>
                <w:tcPr>
                  <w:tcW w:w="0" w:type="auto"/>
                  <w:gridSpan w:val="2"/>
                  <w:shd w:val="clear" w:color="auto" w:fill="EAF2FA"/>
                  <w:vAlign w:val="center"/>
                  <w:hideMark/>
                </w:tcPr>
                <w:p w14:paraId="11D2746B" w14:textId="77777777" w:rsidR="00DA3B97" w:rsidRPr="00DA3B97" w:rsidRDefault="00DA3B97" w:rsidP="00DA3B97">
                  <w:r w:rsidRPr="00DA3B97">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DA3B97">
                    <w:t xml:space="preserve"> </w:t>
                  </w:r>
                </w:p>
              </w:tc>
            </w:tr>
            <w:tr w:rsidR="00DA3B97" w:rsidRPr="00DA3B97" w14:paraId="22FBBF55" w14:textId="77777777">
              <w:trPr>
                <w:tblCellSpacing w:w="0" w:type="dxa"/>
              </w:trPr>
              <w:tc>
                <w:tcPr>
                  <w:tcW w:w="300" w:type="dxa"/>
                  <w:shd w:val="clear" w:color="auto" w:fill="FFFFFF"/>
                  <w:vAlign w:val="center"/>
                  <w:hideMark/>
                </w:tcPr>
                <w:p w14:paraId="2589A305" w14:textId="77777777" w:rsidR="00DA3B97" w:rsidRPr="00DA3B97" w:rsidRDefault="00DA3B97" w:rsidP="00DA3B97"/>
              </w:tc>
              <w:tc>
                <w:tcPr>
                  <w:tcW w:w="0" w:type="auto"/>
                  <w:shd w:val="clear" w:color="auto" w:fill="FFFFFF"/>
                  <w:vAlign w:val="center"/>
                  <w:hideMark/>
                </w:tcPr>
                <w:p w14:paraId="2C3FB47C" w14:textId="77777777" w:rsidR="00DA3B97" w:rsidRPr="00DA3B97" w:rsidRDefault="00DA3B97" w:rsidP="00DA3B97">
                  <w:r w:rsidRPr="00DA3B97">
                    <w:t xml:space="preserve">The two proposed outcomes align strongly with the sector’s vision by focusing on empowering parents and caregivers and supporting children to grow into healthy, resilient adults. These goals reflect long-standing sector priorities around early intervention, strengthening families, and promoting wellbeing across childhood. The emphasis on resilience, capability building, and developmental support matches what community organisations, and peak bodies have consistently advocated for. However, while the outcomes point in the right direction, they are only part of what is required for meaningful change. They focus largely on individual and family-level resilience without recognising broader structural and systemic factors that shape outcomes for children and families. Key issues such as poverty, housing insecurity, cost-of-living pressures, and family violence, are not explicitly acknowledged, despite being key intersectional concerns highlighted consistently by the sector. In addition, workforce sustainability, community capacity-building, and strengthening the service system are not captured in the outcomes, even though the sector sees these as essential enablers of long-term impact. Although considering them as enablers to the overall outcomes may be sufficient. Overall, the outcomes are well aligned in principle but could be strengthened by explicitly acknowledging the structural conditions and community determinants necessary for children and families to truly thrive. </w:t>
                  </w:r>
                </w:p>
              </w:tc>
            </w:tr>
            <w:tr w:rsidR="00DA3B97" w:rsidRPr="00DA3B97" w14:paraId="10D1C2A5" w14:textId="77777777">
              <w:trPr>
                <w:tblCellSpacing w:w="0" w:type="dxa"/>
              </w:trPr>
              <w:tc>
                <w:tcPr>
                  <w:tcW w:w="0" w:type="auto"/>
                  <w:gridSpan w:val="2"/>
                  <w:shd w:val="clear" w:color="auto" w:fill="EAF2FA"/>
                  <w:vAlign w:val="center"/>
                  <w:hideMark/>
                </w:tcPr>
                <w:p w14:paraId="2EE7E1E4" w14:textId="77777777" w:rsidR="00DA3B97" w:rsidRPr="00DA3B97" w:rsidRDefault="00DA3B97" w:rsidP="00DA3B97">
                  <w:r w:rsidRPr="00DA3B97">
                    <w:rPr>
                      <w:b/>
                      <w:bCs/>
                    </w:rPr>
                    <w:t>3. Will a single national program provide more flexibility for your organisation?</w:t>
                  </w:r>
                  <w:r w:rsidRPr="00DA3B97">
                    <w:t xml:space="preserve"> </w:t>
                  </w:r>
                </w:p>
              </w:tc>
            </w:tr>
            <w:tr w:rsidR="00DA3B97" w:rsidRPr="00DA3B97" w14:paraId="5864AE93" w14:textId="77777777">
              <w:trPr>
                <w:tblCellSpacing w:w="0" w:type="dxa"/>
              </w:trPr>
              <w:tc>
                <w:tcPr>
                  <w:tcW w:w="300" w:type="dxa"/>
                  <w:shd w:val="clear" w:color="auto" w:fill="FFFFFF"/>
                  <w:vAlign w:val="center"/>
                  <w:hideMark/>
                </w:tcPr>
                <w:p w14:paraId="5A24ED1C" w14:textId="77777777" w:rsidR="00DA3B97" w:rsidRPr="00DA3B97" w:rsidRDefault="00DA3B97" w:rsidP="00DA3B97"/>
              </w:tc>
              <w:tc>
                <w:tcPr>
                  <w:tcW w:w="0" w:type="auto"/>
                  <w:shd w:val="clear" w:color="auto" w:fill="FFFFFF"/>
                  <w:vAlign w:val="center"/>
                  <w:hideMark/>
                </w:tcPr>
                <w:p w14:paraId="55A93BB7" w14:textId="77777777" w:rsidR="00DA3B97" w:rsidRPr="00DA3B97" w:rsidRDefault="00DA3B97" w:rsidP="00DA3B97">
                  <w:r w:rsidRPr="00DA3B97">
                    <w:t xml:space="preserve">The proposed reform is likely to give bestchance significantly greater flexibility than the current CaPS model. By replacing multiple rigid programs with a single national program, the new framework allows us to design integrated services that span early childhood development, psychosocial and behavioural supports, family capacity building, and community engagement. This aligns closely with bestchance’s broader remit of supporting children with neurodivergent, psychosocial and behavioural needs across their learning environments. The new </w:t>
                  </w:r>
                  <w:r w:rsidRPr="00DA3B97">
                    <w:lastRenderedPageBreak/>
                    <w:t xml:space="preserve">Prevention and Early Intervention stream is a particularly strong fit, as it funds the kind of developmental, wellbeing and family-focused supports we already provide, and it allows delivery across multiple LGAs rather than restricting activity to a single CaPS footprint. The shift toward outcome-focused contracting and the option of relational contracts also supports our multidisciplinary, flexible approach, giving us room to adapt programs based on community needs and to integrate our work across homes, early years settings and primary schools. However, competitive tendering may still disadvantage us competing against large statewide providers. DEX reporting will continue to be required for all client-facing services, which may add administrative burden. Despite these last few points, the reform appears to support the holistic, developmental and family-centred practice that bestchance specialises in. </w:t>
                  </w:r>
                </w:p>
              </w:tc>
            </w:tr>
            <w:tr w:rsidR="00DA3B97" w:rsidRPr="00DA3B97" w14:paraId="34313A19" w14:textId="77777777">
              <w:trPr>
                <w:tblCellSpacing w:w="0" w:type="dxa"/>
              </w:trPr>
              <w:tc>
                <w:tcPr>
                  <w:tcW w:w="0" w:type="auto"/>
                  <w:gridSpan w:val="2"/>
                  <w:shd w:val="clear" w:color="auto" w:fill="EAF2FA"/>
                  <w:vAlign w:val="center"/>
                  <w:hideMark/>
                </w:tcPr>
                <w:p w14:paraId="298A281A" w14:textId="77777777" w:rsidR="00DA3B97" w:rsidRPr="00DA3B97" w:rsidRDefault="00DA3B97" w:rsidP="00DA3B97">
                  <w:r w:rsidRPr="00DA3B97">
                    <w:rPr>
                      <w:b/>
                      <w:bCs/>
                    </w:rPr>
                    <w:lastRenderedPageBreak/>
                    <w:t>4. Does the service or activity you deliver fit within one of the three funding streams? Do these streams reflect what children and families in your community need now – and what they might need in the future?</w:t>
                  </w:r>
                  <w:r w:rsidRPr="00DA3B97">
                    <w:t xml:space="preserve"> </w:t>
                  </w:r>
                </w:p>
              </w:tc>
            </w:tr>
            <w:tr w:rsidR="00DA3B97" w:rsidRPr="00DA3B97" w14:paraId="43888457" w14:textId="77777777">
              <w:trPr>
                <w:tblCellSpacing w:w="0" w:type="dxa"/>
              </w:trPr>
              <w:tc>
                <w:tcPr>
                  <w:tcW w:w="300" w:type="dxa"/>
                  <w:shd w:val="clear" w:color="auto" w:fill="FFFFFF"/>
                  <w:vAlign w:val="center"/>
                  <w:hideMark/>
                </w:tcPr>
                <w:p w14:paraId="5F8EA3F3" w14:textId="77777777" w:rsidR="00DA3B97" w:rsidRPr="00DA3B97" w:rsidRDefault="00DA3B97" w:rsidP="00DA3B97"/>
              </w:tc>
              <w:tc>
                <w:tcPr>
                  <w:tcW w:w="0" w:type="auto"/>
                  <w:shd w:val="clear" w:color="auto" w:fill="FFFFFF"/>
                  <w:vAlign w:val="center"/>
                  <w:hideMark/>
                </w:tcPr>
                <w:p w14:paraId="7E349D6E" w14:textId="77777777" w:rsidR="00DA3B97" w:rsidRPr="00DA3B97" w:rsidRDefault="00DA3B97" w:rsidP="00DA3B97">
                  <w:r w:rsidRPr="00DA3B97">
                    <w:t xml:space="preserve">bestchance’s services fit within the proposed funding streams, particularly Stream 2: Prevention and Early Intervention. This stream directly reflects bestchance’s core work supporting children with psychosocial, behavioural and neurodivergent needs across early years and primary school settings. Elements of our work, such as educator training or broader workforce development, could also sit within Stream 1 if scaled more widely, while future expansion into more complex family support could align with Stream 3. The three-stream structure also reflects what children and families in metropolitan Melbourne need both now and into the future. Melbourne families are increasingly facing behavioural challenges, rising neurodevelopmental diagnoses, early mental health concerns, and higher levels of stress linked to cost-of-living pressures. The prevention and early intervention focus is particularly relevant in this context, as it supports early developmental and family support before difficulties escalate. The model also enables integrated, flexible service delivery across multiple LGAs and encourages collaboration across community organisations, schools, and early childhood services. Looking ahead, the streams are broad and adaptable enough to accommodate future needs, including growing diversity, increasing complexity in children’s developmental profiles, and demand for early behavioural and developmental supports. </w:t>
                  </w:r>
                </w:p>
              </w:tc>
            </w:tr>
            <w:tr w:rsidR="00DA3B97" w:rsidRPr="00DA3B97" w14:paraId="15A4900E" w14:textId="77777777">
              <w:trPr>
                <w:tblCellSpacing w:w="0" w:type="dxa"/>
              </w:trPr>
              <w:tc>
                <w:tcPr>
                  <w:tcW w:w="0" w:type="auto"/>
                  <w:gridSpan w:val="2"/>
                  <w:shd w:val="clear" w:color="auto" w:fill="EAF2FA"/>
                  <w:vAlign w:val="center"/>
                  <w:hideMark/>
                </w:tcPr>
                <w:p w14:paraId="6749CF5A" w14:textId="77777777" w:rsidR="00DA3B97" w:rsidRPr="00DA3B97" w:rsidRDefault="00DA3B97" w:rsidP="00DA3B97">
                  <w:r w:rsidRPr="00DA3B97">
                    <w:rPr>
                      <w:b/>
                      <w:bCs/>
                    </w:rPr>
                    <w:t>5. Are there other changes we could make to the program to help your organisation or community overcome current challenges?</w:t>
                  </w:r>
                  <w:r w:rsidRPr="00DA3B97">
                    <w:t xml:space="preserve"> </w:t>
                  </w:r>
                </w:p>
              </w:tc>
            </w:tr>
            <w:tr w:rsidR="00DA3B97" w:rsidRPr="00DA3B97" w14:paraId="34B134EB" w14:textId="77777777">
              <w:trPr>
                <w:tblCellSpacing w:w="0" w:type="dxa"/>
              </w:trPr>
              <w:tc>
                <w:tcPr>
                  <w:tcW w:w="300" w:type="dxa"/>
                  <w:shd w:val="clear" w:color="auto" w:fill="FFFFFF"/>
                  <w:vAlign w:val="center"/>
                  <w:hideMark/>
                </w:tcPr>
                <w:p w14:paraId="65373330" w14:textId="77777777" w:rsidR="00DA3B97" w:rsidRPr="00DA3B97" w:rsidRDefault="00DA3B97" w:rsidP="00DA3B97"/>
              </w:tc>
              <w:tc>
                <w:tcPr>
                  <w:tcW w:w="0" w:type="auto"/>
                  <w:shd w:val="clear" w:color="auto" w:fill="FFFFFF"/>
                  <w:vAlign w:val="center"/>
                  <w:hideMark/>
                </w:tcPr>
                <w:p w14:paraId="11B3AAEE" w14:textId="77777777" w:rsidR="00DA3B97" w:rsidRPr="00DA3B97" w:rsidRDefault="00DA3B97" w:rsidP="00DA3B97">
                  <w:r w:rsidRPr="00DA3B97">
                    <w:t xml:space="preserve">The government could make several changes to the proposed program that would better support bestchance to overcome current challenges. First, shifting from </w:t>
                  </w:r>
                  <w:r w:rsidRPr="00DA3B97">
                    <w:lastRenderedPageBreak/>
                    <w:t xml:space="preserve">competitive tendering to place-based or partnership-focused commissioning would reduce the disadvantage faced by mid-sized, specialised organisations when competing against larger agencies. This approach would allow collaborative, locally responsive delivery across multiple LGAs, aligning with bestchance’s metro-wide reach. Second, targeted investment in workforce development—including training, supervision, recruitment pipelines and loadings for multi-LGA service delivery, would address significant staffing pressures in early intervention, behavioural support and allied health roles. Third, providing infrastructure or integration funding would make co-location and service coordination more feasible, enabling bestchance to operate hubs and satellite sites within schools and community settings. Fourth, the government could ease the administrative burden by simplifying DEX reporting for developmental and behavioural programs and incorporating outcome measures that better reflect early childhood and school-based intervention. Finally, explicitly recognising school and early learning environments as core early intervention settings, and funding educator capacity-building, transition programs and classroom-level supports, would align strongly with bestchance’s established practice. </w:t>
                  </w:r>
                </w:p>
              </w:tc>
            </w:tr>
            <w:tr w:rsidR="00DA3B97" w:rsidRPr="00DA3B97" w14:paraId="1A8EA1B3" w14:textId="77777777">
              <w:trPr>
                <w:tblCellSpacing w:w="0" w:type="dxa"/>
              </w:trPr>
              <w:tc>
                <w:tcPr>
                  <w:tcW w:w="0" w:type="auto"/>
                  <w:gridSpan w:val="2"/>
                  <w:shd w:val="clear" w:color="auto" w:fill="EAF2FA"/>
                  <w:vAlign w:val="center"/>
                  <w:hideMark/>
                </w:tcPr>
                <w:p w14:paraId="0D47E7A7" w14:textId="77777777" w:rsidR="00DA3B97" w:rsidRPr="00DA3B97" w:rsidRDefault="00DA3B97" w:rsidP="00DA3B97">
                  <w:r w:rsidRPr="00DA3B97">
                    <w:rPr>
                      <w:b/>
                      <w:bCs/>
                    </w:rPr>
                    <w:lastRenderedPageBreak/>
                    <w:t>6. Do you agree that the four priorities listed on Page 4 are right areas for investment to improve outcomes for children and families?</w:t>
                  </w:r>
                  <w:r w:rsidRPr="00DA3B97">
                    <w:t xml:space="preserve"> </w:t>
                  </w:r>
                </w:p>
              </w:tc>
            </w:tr>
            <w:tr w:rsidR="00DA3B97" w:rsidRPr="00DA3B97" w14:paraId="0DC3F413" w14:textId="77777777">
              <w:trPr>
                <w:tblCellSpacing w:w="0" w:type="dxa"/>
              </w:trPr>
              <w:tc>
                <w:tcPr>
                  <w:tcW w:w="300" w:type="dxa"/>
                  <w:shd w:val="clear" w:color="auto" w:fill="FFFFFF"/>
                  <w:vAlign w:val="center"/>
                  <w:hideMark/>
                </w:tcPr>
                <w:p w14:paraId="6CDE140F" w14:textId="77777777" w:rsidR="00DA3B97" w:rsidRPr="00DA3B97" w:rsidRDefault="00DA3B97" w:rsidP="00DA3B97"/>
              </w:tc>
              <w:tc>
                <w:tcPr>
                  <w:tcW w:w="0" w:type="auto"/>
                  <w:shd w:val="clear" w:color="auto" w:fill="FFFFFF"/>
                  <w:vAlign w:val="center"/>
                  <w:hideMark/>
                </w:tcPr>
                <w:p w14:paraId="1EB480F5" w14:textId="77777777" w:rsidR="00DA3B97" w:rsidRPr="00DA3B97" w:rsidRDefault="00DA3B97" w:rsidP="00DA3B97">
                  <w:r w:rsidRPr="00DA3B97">
                    <w:t xml:space="preserve">Overall, the four priorities listed on page 4 are well chosen and align strongly with what the child and family services sector has been advocating. The first priority is widely supported and reflects long-standing evidence that early developmental, behavioural and family support prevents escalation into child protection. This aligns closely with bestchance’s own early intervention focus. The second priority also matches sector expectations, as families benefit from coordinated, one-stop access to supports. However, the sector notes that true integration requires dedicated funding for infrastructure, coordination roles and workforce capacity, otherwise the burden shifts to providers. The third priority is strongly aligned with place-based approaches that the sector values. For organisations like bestchance working across multiple LGAs, this principle supports flexible design that fits diverse community profiles. The fourth priority is consistent with national policy directions and widely endorsed by the sector. The only caution is that ACCO leadership must be backed by sustained investment in workforce, governance and organisational capability. </w:t>
                  </w:r>
                </w:p>
              </w:tc>
            </w:tr>
            <w:tr w:rsidR="00DA3B97" w:rsidRPr="00DA3B97" w14:paraId="44BE6874" w14:textId="77777777">
              <w:trPr>
                <w:tblCellSpacing w:w="0" w:type="dxa"/>
              </w:trPr>
              <w:tc>
                <w:tcPr>
                  <w:tcW w:w="0" w:type="auto"/>
                  <w:gridSpan w:val="2"/>
                  <w:shd w:val="clear" w:color="auto" w:fill="EAF2FA"/>
                  <w:vAlign w:val="center"/>
                  <w:hideMark/>
                </w:tcPr>
                <w:p w14:paraId="317731CE" w14:textId="77777777" w:rsidR="00DA3B97" w:rsidRPr="00DA3B97" w:rsidRDefault="00DA3B97" w:rsidP="00DA3B97">
                  <w:r w:rsidRPr="00DA3B97">
                    <w:rPr>
                      <w:b/>
                      <w:bCs/>
                    </w:rPr>
                    <w:t>7. Are there any other priorities or issues you think the department should be focusing on?</w:t>
                  </w:r>
                  <w:r w:rsidRPr="00DA3B97">
                    <w:t xml:space="preserve"> </w:t>
                  </w:r>
                </w:p>
              </w:tc>
            </w:tr>
            <w:tr w:rsidR="00DA3B97" w:rsidRPr="00DA3B97" w14:paraId="49A9D0E6" w14:textId="77777777">
              <w:trPr>
                <w:tblCellSpacing w:w="0" w:type="dxa"/>
              </w:trPr>
              <w:tc>
                <w:tcPr>
                  <w:tcW w:w="300" w:type="dxa"/>
                  <w:shd w:val="clear" w:color="auto" w:fill="FFFFFF"/>
                  <w:vAlign w:val="center"/>
                  <w:hideMark/>
                </w:tcPr>
                <w:p w14:paraId="57BA01F5" w14:textId="77777777" w:rsidR="00DA3B97" w:rsidRPr="00DA3B97" w:rsidRDefault="00DA3B97" w:rsidP="00DA3B97"/>
              </w:tc>
              <w:tc>
                <w:tcPr>
                  <w:tcW w:w="0" w:type="auto"/>
                  <w:shd w:val="clear" w:color="auto" w:fill="FFFFFF"/>
                  <w:vAlign w:val="center"/>
                  <w:hideMark/>
                </w:tcPr>
                <w:p w14:paraId="15E9E95A" w14:textId="77777777" w:rsidR="00DA3B97" w:rsidRPr="00DA3B97" w:rsidRDefault="00DA3B97" w:rsidP="00DA3B97">
                  <w:r w:rsidRPr="00DA3B97">
                    <w:t xml:space="preserve">In addition to the four priorities listed in the paper, there are several other areas the department should focus on to ensure the program truly meets the needs of children and families. One major gap is workforce sustainability. The sector faces significant shortages in allied health, behavioural support and early intervention practitioners, along with limited cultural capability. Prioritising funded training pathways, supervision, recruitment incentives and workforce loadings would strengthen service quality and stability. Another missing priority is addressing structural drivers of vulnerability, such as poverty, housing insecurity, family violence and systemic racism. These factors heavily influence child outcomes and require coordinated responses across systems. The department should also prioritise funding adequacy and stability, ensuring that pricing reflects the true cost of delivering high-quality, integrated early intervention services, including supervision, admin, and cross-sector collaboration. Enhanced engagement with schools and early learning settings is also important, as these environments are critical early intervention platforms for organisations like bestchance; funding should support educator capacity-building and school-based programs. Finally, the department should continue to improve administrative and reporting requirements, including more suitable outcomes measures for developmental and behavioural work. </w:t>
                  </w:r>
                </w:p>
              </w:tc>
            </w:tr>
            <w:tr w:rsidR="00DA3B97" w:rsidRPr="00DA3B97" w14:paraId="68B4D4A7" w14:textId="77777777">
              <w:trPr>
                <w:tblCellSpacing w:w="0" w:type="dxa"/>
              </w:trPr>
              <w:tc>
                <w:tcPr>
                  <w:tcW w:w="0" w:type="auto"/>
                  <w:gridSpan w:val="2"/>
                  <w:shd w:val="clear" w:color="auto" w:fill="EAF2FA"/>
                  <w:vAlign w:val="center"/>
                  <w:hideMark/>
                </w:tcPr>
                <w:p w14:paraId="12BFF208" w14:textId="77777777" w:rsidR="00DA3B97" w:rsidRPr="00DA3B97" w:rsidRDefault="00DA3B97" w:rsidP="00DA3B97">
                  <w:r w:rsidRPr="00DA3B97">
                    <w:rPr>
                      <w:b/>
                      <w:bCs/>
                    </w:rPr>
                    <w:t>8. Do the proposed focus areas – like supporting families at risk of child protection involvement and young parents match the needs or priorities of your service?</w:t>
                  </w:r>
                  <w:r w:rsidRPr="00DA3B97">
                    <w:t xml:space="preserve"> </w:t>
                  </w:r>
                </w:p>
              </w:tc>
            </w:tr>
            <w:tr w:rsidR="00DA3B97" w:rsidRPr="00DA3B97" w14:paraId="3945B939" w14:textId="77777777">
              <w:trPr>
                <w:tblCellSpacing w:w="0" w:type="dxa"/>
              </w:trPr>
              <w:tc>
                <w:tcPr>
                  <w:tcW w:w="300" w:type="dxa"/>
                  <w:shd w:val="clear" w:color="auto" w:fill="FFFFFF"/>
                  <w:vAlign w:val="center"/>
                  <w:hideMark/>
                </w:tcPr>
                <w:p w14:paraId="7C4EE9E6" w14:textId="77777777" w:rsidR="00DA3B97" w:rsidRPr="00DA3B97" w:rsidRDefault="00DA3B97" w:rsidP="00DA3B97"/>
              </w:tc>
              <w:tc>
                <w:tcPr>
                  <w:tcW w:w="0" w:type="auto"/>
                  <w:shd w:val="clear" w:color="auto" w:fill="FFFFFF"/>
                  <w:vAlign w:val="center"/>
                  <w:hideMark/>
                </w:tcPr>
                <w:p w14:paraId="7A701795" w14:textId="77777777" w:rsidR="00DA3B97" w:rsidRPr="00DA3B97" w:rsidRDefault="00DA3B97" w:rsidP="00DA3B97">
                  <w:r w:rsidRPr="00DA3B97">
                    <w:t xml:space="preserve">The proposed focus areas align very closely with bestchance’s needs and priorities. The strong emphasis on early intervention and prevention, particularly for children aged 0–5 and families experiencing emerging challenges, directly reflects bestchance’s core work in developmental, behavioural and psychosocial support. Although bestchance is not a statutory or crisis service, our programs often address the underlying issues that can lead to child protection involvement, such as behavioural difficulties, school disengagement and caregiver stress, making our role highly relevant to this priority. The focus on holistic child and family wellbeing, resilience-building and parenting capacity mirrors our existing approach, which integrates emotional, developmental and learning support alongside family and educator capacity-building. The reform’s encouragement of integrated and co-located services also strongly matches how bestchance operates across homes, early learning settings and primary schools, and opens further opportunities to expand this model across metropolitan Melbourne. Finally, the program’s requirement for evidence-informed practice that incorporates professional expertise and lived experience aligns with bestchance’s flexible, relationship-based and developmentally oriented methods. Overall, the focus </w:t>
                  </w:r>
                  <w:r w:rsidRPr="00DA3B97">
                    <w:lastRenderedPageBreak/>
                    <w:t xml:space="preserve">areas reflect both the current needs of the children and families we support and the broader early intervention priorities you are positioned to lead into the future. </w:t>
                  </w:r>
                </w:p>
              </w:tc>
            </w:tr>
            <w:tr w:rsidR="00DA3B97" w:rsidRPr="00DA3B97" w14:paraId="15B9710E" w14:textId="77777777">
              <w:trPr>
                <w:tblCellSpacing w:w="0" w:type="dxa"/>
              </w:trPr>
              <w:tc>
                <w:tcPr>
                  <w:tcW w:w="0" w:type="auto"/>
                  <w:gridSpan w:val="2"/>
                  <w:shd w:val="clear" w:color="auto" w:fill="EAF2FA"/>
                  <w:vAlign w:val="center"/>
                  <w:hideMark/>
                </w:tcPr>
                <w:p w14:paraId="42DF908E" w14:textId="77777777" w:rsidR="00DA3B97" w:rsidRPr="00DA3B97" w:rsidRDefault="00DA3B97" w:rsidP="00DA3B97">
                  <w:r w:rsidRPr="00DA3B97">
                    <w:rPr>
                      <w:b/>
                      <w:bCs/>
                    </w:rPr>
                    <w:lastRenderedPageBreak/>
                    <w:t>9. Are there other groups in your community, or different approaches, that you think the department should consider to better support family wellbeing?</w:t>
                  </w:r>
                  <w:r w:rsidRPr="00DA3B97">
                    <w:t xml:space="preserve"> </w:t>
                  </w:r>
                </w:p>
              </w:tc>
            </w:tr>
            <w:tr w:rsidR="00DA3B97" w:rsidRPr="00DA3B97" w14:paraId="2BC309B7" w14:textId="77777777">
              <w:trPr>
                <w:tblCellSpacing w:w="0" w:type="dxa"/>
              </w:trPr>
              <w:tc>
                <w:tcPr>
                  <w:tcW w:w="300" w:type="dxa"/>
                  <w:shd w:val="clear" w:color="auto" w:fill="FFFFFF"/>
                  <w:vAlign w:val="center"/>
                  <w:hideMark/>
                </w:tcPr>
                <w:p w14:paraId="0632D4EC" w14:textId="77777777" w:rsidR="00DA3B97" w:rsidRPr="00DA3B97" w:rsidRDefault="00DA3B97" w:rsidP="00DA3B97"/>
              </w:tc>
              <w:tc>
                <w:tcPr>
                  <w:tcW w:w="0" w:type="auto"/>
                  <w:shd w:val="clear" w:color="auto" w:fill="FFFFFF"/>
                  <w:vAlign w:val="center"/>
                  <w:hideMark/>
                </w:tcPr>
                <w:p w14:paraId="671F0300" w14:textId="77777777" w:rsidR="00DA3B97" w:rsidRPr="00DA3B97" w:rsidRDefault="00DA3B97" w:rsidP="00DA3B97">
                  <w:r w:rsidRPr="00DA3B97">
                    <w:t xml:space="preserve">In addition to the groups already identified, the department should consider several other priority groups and approaches to better support family wellbeing in Melbourne. Culturally and linguistically diverse families face language, cultural and access barriers and would benefit from bilingual practitioners and partnerships with multicultural organisations. Neurodivergent children and those with complex developmental profiles require earlier, more targeted behavioural and developmental supports, given long waitlists for assessment and therapy. Families experiencing housing insecurity or homelessness, as well as refugee and asylum seeker families, also need more integrated, trauma-informed and flexible services. Another overlooked group is young carers and siblings of children with disabilities, who often experience high emotional strain. Embedding supports within schools and early learning environments offers a highly effective, stigma-free way to reach families early. Community hub or wraparound models that blend education, allied health and family services would reduce fragmentation and improve access. Outreach and mobile services can better reach families facing transport, financial or mental health barriers. Finally, peer-led and lived-experience programs, along with culturally grounded First Nations approaches, strengthen trust and engagement. These additional groups and service models would significantly enhance Melbourne’s capacity to meet diverse family needs. </w:t>
                  </w:r>
                </w:p>
              </w:tc>
            </w:tr>
            <w:tr w:rsidR="00DA3B97" w:rsidRPr="00DA3B97" w14:paraId="046CB463" w14:textId="77777777">
              <w:trPr>
                <w:tblCellSpacing w:w="0" w:type="dxa"/>
              </w:trPr>
              <w:tc>
                <w:tcPr>
                  <w:tcW w:w="0" w:type="auto"/>
                  <w:gridSpan w:val="2"/>
                  <w:shd w:val="clear" w:color="auto" w:fill="EAF2FA"/>
                  <w:vAlign w:val="center"/>
                  <w:hideMark/>
                </w:tcPr>
                <w:p w14:paraId="74588ED7" w14:textId="77777777" w:rsidR="00DA3B97" w:rsidRPr="00DA3B97" w:rsidRDefault="00DA3B97" w:rsidP="00DA3B97">
                  <w:r w:rsidRPr="00DA3B97">
                    <w:rPr>
                      <w:b/>
                      <w:bCs/>
                    </w:rPr>
                    <w:t>10. What are other effective ways, beyond co-location, that you’ve seen work well to connect and coordinate services for families?</w:t>
                  </w:r>
                  <w:r w:rsidRPr="00DA3B97">
                    <w:t xml:space="preserve"> </w:t>
                  </w:r>
                </w:p>
              </w:tc>
            </w:tr>
            <w:tr w:rsidR="00DA3B97" w:rsidRPr="00DA3B97" w14:paraId="25B9FEE1" w14:textId="77777777">
              <w:trPr>
                <w:tblCellSpacing w:w="0" w:type="dxa"/>
              </w:trPr>
              <w:tc>
                <w:tcPr>
                  <w:tcW w:w="300" w:type="dxa"/>
                  <w:shd w:val="clear" w:color="auto" w:fill="FFFFFF"/>
                  <w:vAlign w:val="center"/>
                  <w:hideMark/>
                </w:tcPr>
                <w:p w14:paraId="5950EB31" w14:textId="77777777" w:rsidR="00DA3B97" w:rsidRPr="00DA3B97" w:rsidRDefault="00DA3B97" w:rsidP="00DA3B97"/>
              </w:tc>
              <w:tc>
                <w:tcPr>
                  <w:tcW w:w="0" w:type="auto"/>
                  <w:shd w:val="clear" w:color="auto" w:fill="FFFFFF"/>
                  <w:vAlign w:val="center"/>
                  <w:hideMark/>
                </w:tcPr>
                <w:p w14:paraId="105B9D9B" w14:textId="77777777" w:rsidR="00DA3B97" w:rsidRPr="00DA3B97" w:rsidRDefault="00DA3B97" w:rsidP="00DA3B97">
                  <w:r w:rsidRPr="00DA3B97">
                    <w:t>Beyond co-location, there are several effective ways to connect and coordinate services for families. Shared intake and referral pathways streamline access by allowing families to enter through one door and be directed to the right supports without repeating their story. Key worker or lead practitioner models provide a single point of coordination, ensuring consistent communication and reducing duplication across multiple services. Joint case planning and multidisciplinary meetings bring schools, early years services, allied health and family support providers together to create one integrated plan for a family.</w:t>
                  </w:r>
                  <w:r w:rsidRPr="00DA3B97">
                    <w:br/>
                  </w:r>
                  <w:r w:rsidRPr="00DA3B97">
                    <w:br/>
                    <w:t xml:space="preserve">Coordination can also be strengthened through shared digital platforms or data-sharing agreements, enabling agencies to communicate efficiently and identify gaps in support. Outreach or mobile teams act as connectors by working across </w:t>
                  </w:r>
                  <w:r w:rsidRPr="00DA3B97">
                    <w:lastRenderedPageBreak/>
                    <w:t xml:space="preserve">homes, schools and community settings, bridging different services. Another highly effective strategy is embedding practitioners part-time within partner organisations such as kindergartens, schools or community centres, which builds relationships and creates seamless support pathways. Finally, peer navigators and community connectors help families navigate complex systems, while partnership-based commissioning or consortia encourage organisations to collaborate on shared outcomes rather than compete. These approaches all enhance coordination without requiring full co-location. </w:t>
                  </w:r>
                </w:p>
              </w:tc>
            </w:tr>
            <w:tr w:rsidR="00DA3B97" w:rsidRPr="00DA3B97" w14:paraId="52B561E2" w14:textId="77777777">
              <w:trPr>
                <w:tblCellSpacing w:w="0" w:type="dxa"/>
              </w:trPr>
              <w:tc>
                <w:tcPr>
                  <w:tcW w:w="0" w:type="auto"/>
                  <w:gridSpan w:val="2"/>
                  <w:shd w:val="clear" w:color="auto" w:fill="EAF2FA"/>
                  <w:vAlign w:val="center"/>
                  <w:hideMark/>
                </w:tcPr>
                <w:p w14:paraId="6B73C0B9" w14:textId="77777777" w:rsidR="00DA3B97" w:rsidRPr="00DA3B97" w:rsidRDefault="00DA3B97" w:rsidP="00DA3B97">
                  <w:r w:rsidRPr="00DA3B97">
                    <w:rPr>
                      <w:b/>
                      <w:bCs/>
                    </w:rPr>
                    <w:lastRenderedPageBreak/>
                    <w:t>11. What would you highlight in a grant application to demonstrate a service is connected to the community it serves? What should applicants be assessed on?</w:t>
                  </w:r>
                  <w:r w:rsidRPr="00DA3B97">
                    <w:t xml:space="preserve"> </w:t>
                  </w:r>
                </w:p>
              </w:tc>
            </w:tr>
            <w:tr w:rsidR="00DA3B97" w:rsidRPr="00DA3B97" w14:paraId="1AC9ACE0" w14:textId="77777777">
              <w:trPr>
                <w:tblCellSpacing w:w="0" w:type="dxa"/>
              </w:trPr>
              <w:tc>
                <w:tcPr>
                  <w:tcW w:w="300" w:type="dxa"/>
                  <w:shd w:val="clear" w:color="auto" w:fill="FFFFFF"/>
                  <w:vAlign w:val="center"/>
                  <w:hideMark/>
                </w:tcPr>
                <w:p w14:paraId="1378EB81" w14:textId="77777777" w:rsidR="00DA3B97" w:rsidRPr="00DA3B97" w:rsidRDefault="00DA3B97" w:rsidP="00DA3B97"/>
              </w:tc>
              <w:tc>
                <w:tcPr>
                  <w:tcW w:w="0" w:type="auto"/>
                  <w:shd w:val="clear" w:color="auto" w:fill="FFFFFF"/>
                  <w:vAlign w:val="center"/>
                  <w:hideMark/>
                </w:tcPr>
                <w:p w14:paraId="20EF6385" w14:textId="77777777" w:rsidR="00DA3B97" w:rsidRPr="00DA3B97" w:rsidRDefault="00DA3B97" w:rsidP="00DA3B97">
                  <w:r w:rsidRPr="00DA3B97">
                    <w:t>To demonstrate strong community connection in a grant application, providers should highlight evidence of genuine engagement with local families, children and services. This includes co-design processes, regular consultation, advisory groups and clear examples of how community feedback has shaped program design. Strong local partnerships are essential, such as collaborations with schools, early learning centres, ACCOs, multicultural organisations, councils and health services. Showing shared projects, joint case planning or coordinated referral pathways strengthens this further.</w:t>
                  </w:r>
                  <w:r w:rsidRPr="00DA3B97">
                    <w:br/>
                  </w:r>
                  <w:r w:rsidRPr="00DA3B97">
                    <w:br/>
                    <w:t>Applicants should also demonstrate a deep understanding of local needs, using data such as AEDC, SEIFA and school readiness indicators, along with insights into specific community challenges like neurodiversity, housing stress, or CALD barriers. A locally representative workforce, including bilingual staff, lived-experience workers or First Nations practitioners, demonstrates cultural safety and embeddedness. Delivering programs in familiar community settings—schools, kinders, neighbourhood houses, MCH services, or through outreach, further shows connection and accessibility.</w:t>
                  </w:r>
                  <w:r w:rsidRPr="00DA3B97">
                    <w:br/>
                  </w:r>
                  <w:r w:rsidRPr="00DA3B97">
                    <w:br/>
                    <w:t xml:space="preserve">Applicants should be assessed on the depth of partnerships, evidence of co-design, cultural safety, use of local data, workforce capability, demonstrated impact and their ability to offer flexible, integrated services that avoid duplication </w:t>
                  </w:r>
                </w:p>
              </w:tc>
            </w:tr>
            <w:tr w:rsidR="00DA3B97" w:rsidRPr="00DA3B97" w14:paraId="1C173DF6" w14:textId="77777777">
              <w:trPr>
                <w:tblCellSpacing w:w="0" w:type="dxa"/>
              </w:trPr>
              <w:tc>
                <w:tcPr>
                  <w:tcW w:w="0" w:type="auto"/>
                  <w:gridSpan w:val="2"/>
                  <w:shd w:val="clear" w:color="auto" w:fill="EAF2FA"/>
                  <w:vAlign w:val="center"/>
                  <w:hideMark/>
                </w:tcPr>
                <w:p w14:paraId="45F9D2C2" w14:textId="77777777" w:rsidR="00DA3B97" w:rsidRPr="00DA3B97" w:rsidRDefault="00DA3B97" w:rsidP="00DA3B97">
                  <w:r w:rsidRPr="00DA3B97">
                    <w:rPr>
                      <w:b/>
                      <w:bCs/>
                    </w:rPr>
                    <w:t>12. Beyond locational disadvantage, what other factors should the department consider to make sure funding reflects the needs of communities?</w:t>
                  </w:r>
                  <w:r w:rsidRPr="00DA3B97">
                    <w:t xml:space="preserve"> </w:t>
                  </w:r>
                </w:p>
              </w:tc>
            </w:tr>
            <w:tr w:rsidR="00DA3B97" w:rsidRPr="00DA3B97" w14:paraId="663B87DD" w14:textId="77777777">
              <w:trPr>
                <w:tblCellSpacing w:w="0" w:type="dxa"/>
              </w:trPr>
              <w:tc>
                <w:tcPr>
                  <w:tcW w:w="300" w:type="dxa"/>
                  <w:shd w:val="clear" w:color="auto" w:fill="FFFFFF"/>
                  <w:vAlign w:val="center"/>
                  <w:hideMark/>
                </w:tcPr>
                <w:p w14:paraId="42B0C5E8" w14:textId="77777777" w:rsidR="00DA3B97" w:rsidRPr="00DA3B97" w:rsidRDefault="00DA3B97" w:rsidP="00DA3B97"/>
              </w:tc>
              <w:tc>
                <w:tcPr>
                  <w:tcW w:w="0" w:type="auto"/>
                  <w:shd w:val="clear" w:color="auto" w:fill="FFFFFF"/>
                  <w:vAlign w:val="center"/>
                  <w:hideMark/>
                </w:tcPr>
                <w:p w14:paraId="12A53052" w14:textId="77777777" w:rsidR="00DA3B97" w:rsidRPr="00DA3B97" w:rsidRDefault="00DA3B97" w:rsidP="00DA3B97">
                  <w:r w:rsidRPr="00DA3B97">
                    <w:t xml:space="preserve">Demographic pressures—such as rapid population growth, high numbers of young children, or rising rates of neurodivergence, can create demand for early intervention even in otherwise advantaged areas. Developmental indicators like AEDC data, school readiness, behavioural trends and emotional regulation </w:t>
                  </w:r>
                  <w:r w:rsidRPr="00DA3B97">
                    <w:lastRenderedPageBreak/>
                    <w:t>challenges provide a clearer picture of children’s wellbeing and should guide investment. Communities with high cultural and linguistic diversity often face language, cultural and access barriers that require more intensive engagement and culturally safe service models. Funding should also account for service gaps and access barriers, including long waitlists, limited allied health availability, transport issues or workforce shortages, which often exist in areas not classified as disadvantaged.</w:t>
                  </w:r>
                  <w:r w:rsidRPr="00DA3B97">
                    <w:br/>
                    <w:t xml:space="preserve">Family and social stress indicators, such as housing instability, cost-of-living pressure, family violence prevalence or rising mental health concerns, also significantly influence child outcomes. Additionally, the department should consider First Nations community priorities, ensuring investment supports culturally safe, self-determined approaches regardless of population size. Finally, community capacity and readiness, the strength of local partnerships, networks and service integration, should be recognised, as areas with strong collaborative potential may benefit from targeted support to maximise impact. </w:t>
                  </w:r>
                </w:p>
              </w:tc>
            </w:tr>
            <w:tr w:rsidR="00DA3B97" w:rsidRPr="00DA3B97" w14:paraId="3F896273" w14:textId="77777777">
              <w:trPr>
                <w:tblCellSpacing w:w="0" w:type="dxa"/>
              </w:trPr>
              <w:tc>
                <w:tcPr>
                  <w:tcW w:w="0" w:type="auto"/>
                  <w:gridSpan w:val="2"/>
                  <w:shd w:val="clear" w:color="auto" w:fill="EAF2FA"/>
                  <w:vAlign w:val="center"/>
                  <w:hideMark/>
                </w:tcPr>
                <w:p w14:paraId="14D80D78" w14:textId="77777777" w:rsidR="00DA3B97" w:rsidRPr="00DA3B97" w:rsidRDefault="00DA3B97" w:rsidP="00DA3B97">
                  <w:r w:rsidRPr="00DA3B97">
                    <w:rPr>
                      <w:b/>
                      <w:bCs/>
                    </w:rPr>
                    <w:lastRenderedPageBreak/>
                    <w:t>13. What’s the best way for organisations to show in grant applications, that their service is genuinely meeting the needs of the community?</w:t>
                  </w:r>
                  <w:r w:rsidRPr="00DA3B97">
                    <w:t xml:space="preserve"> </w:t>
                  </w:r>
                </w:p>
              </w:tc>
            </w:tr>
            <w:tr w:rsidR="00DA3B97" w:rsidRPr="00DA3B97" w14:paraId="14A4D4BF" w14:textId="77777777">
              <w:trPr>
                <w:tblCellSpacing w:w="0" w:type="dxa"/>
              </w:trPr>
              <w:tc>
                <w:tcPr>
                  <w:tcW w:w="300" w:type="dxa"/>
                  <w:shd w:val="clear" w:color="auto" w:fill="FFFFFF"/>
                  <w:vAlign w:val="center"/>
                  <w:hideMark/>
                </w:tcPr>
                <w:p w14:paraId="1492B5EA" w14:textId="77777777" w:rsidR="00DA3B97" w:rsidRPr="00DA3B97" w:rsidRDefault="00DA3B97" w:rsidP="00DA3B97"/>
              </w:tc>
              <w:tc>
                <w:tcPr>
                  <w:tcW w:w="0" w:type="auto"/>
                  <w:shd w:val="clear" w:color="auto" w:fill="FFFFFF"/>
                  <w:vAlign w:val="center"/>
                  <w:hideMark/>
                </w:tcPr>
                <w:p w14:paraId="5B598735" w14:textId="77777777" w:rsidR="00DA3B97" w:rsidRPr="00DA3B97" w:rsidRDefault="00DA3B97" w:rsidP="00DA3B97">
                  <w:r w:rsidRPr="00DA3B97">
                    <w:t>Organisations can best show they are genuinely meeting community needs by demonstrating clear evidence, authentic engagement and measurable impact. Strong applications begin with localised evidence of need, using data such as AEDC results, school readiness trends, service gaps, waitlists, and indicators of family stress like housing or cost-of-living pressures. This shows the service is grounded in real community conditions.</w:t>
                  </w:r>
                  <w:r w:rsidRPr="00DA3B97">
                    <w:br/>
                  </w:r>
                  <w:r w:rsidRPr="00DA3B97">
                    <w:br/>
                    <w:t>They should also demonstrate meaningful community engagement, including co-design with families, children, educators and partner organisations. Examples of feedback shaping program design, parent advisory groups, or lived-experience contributors strengthen this case.</w:t>
                  </w:r>
                  <w:r w:rsidRPr="00DA3B97">
                    <w:br/>
                  </w:r>
                  <w:r w:rsidRPr="00DA3B97">
                    <w:br/>
                    <w:t>Highlighting local partnerships and integration is essential, collaboration with schools, kinders, ACCOs, multicultural organisations, MCH services, mental health providers or family services shows the program is embedded within the local support network and not operating in isolation.</w:t>
                  </w:r>
                  <w:r w:rsidRPr="00DA3B97">
                    <w:br/>
                  </w:r>
                  <w:r w:rsidRPr="00DA3B97">
                    <w:br/>
                    <w:t>Organisations should present outcome data and continuous improvement, including measurable changes in child or family wellbeing, case examples and evidence of ongoing refinement based on evaluation.</w:t>
                  </w:r>
                  <w:r w:rsidRPr="00DA3B97">
                    <w:br/>
                  </w:r>
                  <w:r w:rsidRPr="00DA3B97">
                    <w:br/>
                    <w:t xml:space="preserve">Finally, demonstrating accessibility and cultural safety, through bilingual staff, </w:t>
                  </w:r>
                  <w:r w:rsidRPr="00DA3B97">
                    <w:lastRenderedPageBreak/>
                    <w:t xml:space="preserve">outreach, trauma-informed practice, and tailored supports for CALD or neurodivergent families, shows the service effectively reaches diverse communities. </w:t>
                  </w:r>
                </w:p>
              </w:tc>
            </w:tr>
            <w:tr w:rsidR="00DA3B97" w:rsidRPr="00DA3B97" w14:paraId="3044EBB0" w14:textId="77777777">
              <w:trPr>
                <w:tblCellSpacing w:w="0" w:type="dxa"/>
              </w:trPr>
              <w:tc>
                <w:tcPr>
                  <w:tcW w:w="0" w:type="auto"/>
                  <w:gridSpan w:val="2"/>
                  <w:shd w:val="clear" w:color="auto" w:fill="EAF2FA"/>
                  <w:vAlign w:val="center"/>
                  <w:hideMark/>
                </w:tcPr>
                <w:p w14:paraId="12826AB9" w14:textId="77777777" w:rsidR="00DA3B97" w:rsidRPr="00DA3B97" w:rsidRDefault="00DA3B97" w:rsidP="00DA3B97">
                  <w:r w:rsidRPr="00DA3B97">
                    <w:rPr>
                      <w:b/>
                      <w:bCs/>
                    </w:rPr>
                    <w:lastRenderedPageBreak/>
                    <w:t>14. How could the grant process be designed to support and increase the number of ACCOs delivering services to children and families?</w:t>
                  </w:r>
                  <w:r w:rsidRPr="00DA3B97">
                    <w:t xml:space="preserve"> </w:t>
                  </w:r>
                </w:p>
              </w:tc>
            </w:tr>
            <w:tr w:rsidR="00DA3B97" w:rsidRPr="00DA3B97" w14:paraId="0C4F14E9" w14:textId="77777777">
              <w:trPr>
                <w:tblCellSpacing w:w="0" w:type="dxa"/>
              </w:trPr>
              <w:tc>
                <w:tcPr>
                  <w:tcW w:w="300" w:type="dxa"/>
                  <w:shd w:val="clear" w:color="auto" w:fill="FFFFFF"/>
                  <w:vAlign w:val="center"/>
                  <w:hideMark/>
                </w:tcPr>
                <w:p w14:paraId="5F12866B" w14:textId="77777777" w:rsidR="00DA3B97" w:rsidRPr="00DA3B97" w:rsidRDefault="00DA3B97" w:rsidP="00DA3B97"/>
              </w:tc>
              <w:tc>
                <w:tcPr>
                  <w:tcW w:w="0" w:type="auto"/>
                  <w:shd w:val="clear" w:color="auto" w:fill="FFFFFF"/>
                  <w:vAlign w:val="center"/>
                  <w:hideMark/>
                </w:tcPr>
                <w:p w14:paraId="64BB9BA6" w14:textId="77777777" w:rsidR="00DA3B97" w:rsidRPr="00DA3B97" w:rsidRDefault="00DA3B97" w:rsidP="00DA3B97">
                  <w:r w:rsidRPr="00DA3B97">
                    <w:t xml:space="preserve">Removing structural barriers and prioritising ACCO-led delivery. First, grants should prioritise ACCO leadership in areas with significant First Nations populations by weighting ACCO-led proposals more highly, reserving funding streams for ACCOs, and offering ACCOs first right of refusal to lead local service models. Second, the process should be made more accessible by providing longer application timeframes, simpler templates, and staged submissions, ensuring ACCOs are not disadvantaged by complex or rushed tenders. Targeted capacity-building support, such as grant-writing assistance, budgeting help, governance mentoring and access to funded consultants, would level the playing field for smaller or emerging ACCOs. Grants should also allow funding for organisational strengthening, including workforce development, cultural governance, supervision and back-office systems, to support long-term sustainability. Partnerships should be structured so ACCOs lead, with mainstream organisations supporting rather than dominating delivery. Assessment criteria should reward equitable, ACCO-led partnership models. Relational contracting could further benefit ACCOs by providing long-term, flexible funding with fewer administrative burdens. Finally, ensuring cultural safety by including ACCO representatives and local Elders on assessment panels would help ensure decisions reflect community expectations and strengthen self-determination. </w:t>
                  </w:r>
                </w:p>
              </w:tc>
            </w:tr>
            <w:tr w:rsidR="00DA3B97" w:rsidRPr="00DA3B97" w14:paraId="066CFCC3" w14:textId="77777777">
              <w:trPr>
                <w:tblCellSpacing w:w="0" w:type="dxa"/>
              </w:trPr>
              <w:tc>
                <w:tcPr>
                  <w:tcW w:w="0" w:type="auto"/>
                  <w:gridSpan w:val="2"/>
                  <w:shd w:val="clear" w:color="auto" w:fill="EAF2FA"/>
                  <w:vAlign w:val="center"/>
                  <w:hideMark/>
                </w:tcPr>
                <w:p w14:paraId="50E1EDCF" w14:textId="77777777" w:rsidR="00DA3B97" w:rsidRPr="00DA3B97" w:rsidRDefault="00DA3B97" w:rsidP="00DA3B97">
                  <w:r w:rsidRPr="00DA3B97">
                    <w:rPr>
                      <w:b/>
                      <w:bCs/>
                    </w:rPr>
                    <w:t>15. What else should be built into the program design to help improve outcomes for Aboriginal and Torres Strait Islander children and families?</w:t>
                  </w:r>
                  <w:r w:rsidRPr="00DA3B97">
                    <w:t xml:space="preserve"> </w:t>
                  </w:r>
                </w:p>
              </w:tc>
            </w:tr>
            <w:tr w:rsidR="00DA3B97" w:rsidRPr="00DA3B97" w14:paraId="501BA092" w14:textId="77777777">
              <w:trPr>
                <w:tblCellSpacing w:w="0" w:type="dxa"/>
              </w:trPr>
              <w:tc>
                <w:tcPr>
                  <w:tcW w:w="300" w:type="dxa"/>
                  <w:shd w:val="clear" w:color="auto" w:fill="FFFFFF"/>
                  <w:vAlign w:val="center"/>
                  <w:hideMark/>
                </w:tcPr>
                <w:p w14:paraId="1E298129" w14:textId="77777777" w:rsidR="00DA3B97" w:rsidRPr="00DA3B97" w:rsidRDefault="00DA3B97" w:rsidP="00DA3B97"/>
              </w:tc>
              <w:tc>
                <w:tcPr>
                  <w:tcW w:w="0" w:type="auto"/>
                  <w:shd w:val="clear" w:color="auto" w:fill="FFFFFF"/>
                  <w:vAlign w:val="center"/>
                  <w:hideMark/>
                </w:tcPr>
                <w:p w14:paraId="394CBDD7" w14:textId="77777777" w:rsidR="00DA3B97" w:rsidRPr="00DA3B97" w:rsidRDefault="00DA3B97" w:rsidP="00DA3B97">
                  <w:r w:rsidRPr="00DA3B97">
                    <w:t xml:space="preserve">The program design must go beyond prioritising ACCO-led delivery and embed self-determination throughout the system. This includes establishing local Aboriginal advisory groups and giving ACCOs and Elders real decision-making roles in program governance, design and evaluation. The program should also fund cultural models of care, such as on-Country programs, kinship-led supports, yarning approaches and cultural mentoring, recognising these as valid and effective interventions alongside mainstream evidence-based frameworks. Improving outcomes also requires building a strong First Nations workforce through dedicated funding for training, supervision and leadership pathways. All providers should demonstrate cultural safety, supported by cultural supervision and trauma-informed, healing-focused practice. Partnership models must ensure </w:t>
                  </w:r>
                  <w:r w:rsidRPr="00DA3B97">
                    <w:lastRenderedPageBreak/>
                    <w:t xml:space="preserve">capability transfer to ACCOs and avoid arrangements where mainstream NGOs overshadow or duplicate existing Aboriginal services. Program design should allow communities to set local priorities, acknowledge diverse cultural protocols and tailor services to different Nations and language groups. It should also support whole-of-family and kinship-centred models, recognising the central role of extended family and Elders in raising children. Finally, strengthening data sovereignty—ensuring ACCOs own, control and interpret their data—and developing Aboriginal-led outcome measures will create more meaningful evaluation and accountability. </w:t>
                  </w:r>
                </w:p>
              </w:tc>
            </w:tr>
            <w:tr w:rsidR="00DA3B97" w:rsidRPr="00DA3B97" w14:paraId="485B655E" w14:textId="77777777">
              <w:trPr>
                <w:tblCellSpacing w:w="0" w:type="dxa"/>
              </w:trPr>
              <w:tc>
                <w:tcPr>
                  <w:tcW w:w="0" w:type="auto"/>
                  <w:gridSpan w:val="2"/>
                  <w:shd w:val="clear" w:color="auto" w:fill="EAF2FA"/>
                  <w:vAlign w:val="center"/>
                  <w:hideMark/>
                </w:tcPr>
                <w:p w14:paraId="4EEBD51C" w14:textId="77777777" w:rsidR="00DA3B97" w:rsidRPr="00DA3B97" w:rsidRDefault="00DA3B97" w:rsidP="00DA3B97">
                  <w:r w:rsidRPr="00DA3B97">
                    <w:rPr>
                      <w:b/>
                      <w:bCs/>
                    </w:rPr>
                    <w:lastRenderedPageBreak/>
                    <w:t>16. What types of data would help your organisation better understand its impact and continuously improve its services?</w:t>
                  </w:r>
                  <w:r w:rsidRPr="00DA3B97">
                    <w:t xml:space="preserve"> </w:t>
                  </w:r>
                </w:p>
              </w:tc>
            </w:tr>
            <w:tr w:rsidR="00DA3B97" w:rsidRPr="00DA3B97" w14:paraId="5A31C00D" w14:textId="77777777">
              <w:trPr>
                <w:tblCellSpacing w:w="0" w:type="dxa"/>
              </w:trPr>
              <w:tc>
                <w:tcPr>
                  <w:tcW w:w="300" w:type="dxa"/>
                  <w:shd w:val="clear" w:color="auto" w:fill="FFFFFF"/>
                  <w:vAlign w:val="center"/>
                  <w:hideMark/>
                </w:tcPr>
                <w:p w14:paraId="754CAAF3" w14:textId="77777777" w:rsidR="00DA3B97" w:rsidRPr="00DA3B97" w:rsidRDefault="00DA3B97" w:rsidP="00DA3B97"/>
              </w:tc>
              <w:tc>
                <w:tcPr>
                  <w:tcW w:w="0" w:type="auto"/>
                  <w:shd w:val="clear" w:color="auto" w:fill="FFFFFF"/>
                  <w:vAlign w:val="center"/>
                  <w:hideMark/>
                </w:tcPr>
                <w:p w14:paraId="19472A62" w14:textId="77777777" w:rsidR="00DA3B97" w:rsidRPr="00DA3B97" w:rsidRDefault="00DA3B97" w:rsidP="00DA3B97">
                  <w:r w:rsidRPr="00DA3B97">
                    <w:t>To understand its impact and drive continuous improvement, bestchance should collect data aligned to the key outcomes in its Outcomes Framework. This includes child psychosocial, behavioural and developmental data, such as reductions in dysregulation, increased use of self-regulation strategies, improved emotional literacy, gains in communication and motor skills, and increased participation in learning environments. Tracking school readiness and transition outcomes, including transition statement trends, engagement feedback from schools, sustained placement, and achievement of developmental and learning goals, would further demonstrate program effectiveness.</w:t>
                  </w:r>
                  <w:r w:rsidRPr="00DA3B97">
                    <w:br/>
                  </w:r>
                  <w:r w:rsidRPr="00DA3B97">
                    <w:br/>
                    <w:t>Data on educator capability and practice change is critical, including pre/post surveys, evidence of embedded strategies, co-design participation and reflective practice observations. Equally important is family capacity-building data, such as parent confidence, home strategy use, contribution to goal-setting, and qualitative feedback on empowerment and engagement.</w:t>
                  </w:r>
                  <w:r w:rsidRPr="00DA3B97">
                    <w:br/>
                  </w:r>
                  <w:r w:rsidRPr="00DA3B97">
                    <w:br/>
                    <w:t xml:space="preserve">System-level indicators, reduced escalation to specialist services, increased inclusion in early education, improved classroom environments, and successful collaborative planning, help show broader community impact. Finally, case studies, family stories, student reflections and educator narratives provide essential qualitative insight into progress across wellbeing, identity, inclusion and learning engagement. </w:t>
                  </w:r>
                </w:p>
              </w:tc>
            </w:tr>
            <w:tr w:rsidR="00DA3B97" w:rsidRPr="00DA3B97" w14:paraId="6E9FD637" w14:textId="77777777">
              <w:trPr>
                <w:tblCellSpacing w:w="0" w:type="dxa"/>
              </w:trPr>
              <w:tc>
                <w:tcPr>
                  <w:tcW w:w="0" w:type="auto"/>
                  <w:gridSpan w:val="2"/>
                  <w:shd w:val="clear" w:color="auto" w:fill="EAF2FA"/>
                  <w:vAlign w:val="center"/>
                  <w:hideMark/>
                </w:tcPr>
                <w:p w14:paraId="41A19361" w14:textId="77777777" w:rsidR="00DA3B97" w:rsidRPr="00DA3B97" w:rsidRDefault="00DA3B97" w:rsidP="00DA3B97">
                  <w:r w:rsidRPr="00DA3B97">
                    <w:rPr>
                      <w:b/>
                      <w:bCs/>
                    </w:rPr>
                    <w:t>17. What kinds of data or information would be most valuable for you to share, to show how your service is positively impacting children and families?</w:t>
                  </w:r>
                  <w:r w:rsidRPr="00DA3B97">
                    <w:t xml:space="preserve"> </w:t>
                  </w:r>
                </w:p>
              </w:tc>
            </w:tr>
            <w:tr w:rsidR="00DA3B97" w:rsidRPr="00DA3B97" w14:paraId="69F28ED6" w14:textId="77777777">
              <w:trPr>
                <w:tblCellSpacing w:w="0" w:type="dxa"/>
              </w:trPr>
              <w:tc>
                <w:tcPr>
                  <w:tcW w:w="300" w:type="dxa"/>
                  <w:shd w:val="clear" w:color="auto" w:fill="FFFFFF"/>
                  <w:vAlign w:val="center"/>
                  <w:hideMark/>
                </w:tcPr>
                <w:p w14:paraId="04E9DDFE" w14:textId="77777777" w:rsidR="00DA3B97" w:rsidRPr="00DA3B97" w:rsidRDefault="00DA3B97" w:rsidP="00DA3B97"/>
              </w:tc>
              <w:tc>
                <w:tcPr>
                  <w:tcW w:w="0" w:type="auto"/>
                  <w:shd w:val="clear" w:color="auto" w:fill="FFFFFF"/>
                  <w:vAlign w:val="center"/>
                  <w:hideMark/>
                </w:tcPr>
                <w:p w14:paraId="1AF5FCDE" w14:textId="77777777" w:rsidR="00DA3B97" w:rsidRPr="00DA3B97" w:rsidRDefault="00DA3B97" w:rsidP="00DA3B97">
                  <w:r w:rsidRPr="00DA3B97">
                    <w:t xml:space="preserve">See above answer to 16. </w:t>
                  </w:r>
                </w:p>
              </w:tc>
            </w:tr>
            <w:tr w:rsidR="00DA3B97" w:rsidRPr="00DA3B97" w14:paraId="5DFF105D" w14:textId="77777777">
              <w:trPr>
                <w:tblCellSpacing w:w="0" w:type="dxa"/>
              </w:trPr>
              <w:tc>
                <w:tcPr>
                  <w:tcW w:w="0" w:type="auto"/>
                  <w:gridSpan w:val="2"/>
                  <w:shd w:val="clear" w:color="auto" w:fill="EAF2FA"/>
                  <w:vAlign w:val="center"/>
                  <w:hideMark/>
                </w:tcPr>
                <w:p w14:paraId="195E9ECE" w14:textId="77777777" w:rsidR="00DA3B97" w:rsidRPr="00DA3B97" w:rsidRDefault="00DA3B97" w:rsidP="00DA3B97">
                  <w:r w:rsidRPr="00DA3B97">
                    <w:rPr>
                      <w:b/>
                      <w:bCs/>
                    </w:rPr>
                    <w:lastRenderedPageBreak/>
                    <w:t>18. If your organisation currently reports in the Data Exchange (DEX), what SCORE Circumstances domain is most relevant to the service you deliver?</w:t>
                  </w:r>
                  <w:r w:rsidRPr="00DA3B97">
                    <w:t xml:space="preserve"> </w:t>
                  </w:r>
                </w:p>
              </w:tc>
            </w:tr>
            <w:tr w:rsidR="00DA3B97" w:rsidRPr="00DA3B97" w14:paraId="6AC72640" w14:textId="77777777">
              <w:trPr>
                <w:tblCellSpacing w:w="0" w:type="dxa"/>
              </w:trPr>
              <w:tc>
                <w:tcPr>
                  <w:tcW w:w="300" w:type="dxa"/>
                  <w:shd w:val="clear" w:color="auto" w:fill="FFFFFF"/>
                  <w:vAlign w:val="center"/>
                  <w:hideMark/>
                </w:tcPr>
                <w:p w14:paraId="1D239D39" w14:textId="77777777" w:rsidR="00DA3B97" w:rsidRPr="00DA3B97" w:rsidRDefault="00DA3B97" w:rsidP="00DA3B97"/>
              </w:tc>
              <w:tc>
                <w:tcPr>
                  <w:tcW w:w="0" w:type="auto"/>
                  <w:shd w:val="clear" w:color="auto" w:fill="FFFFFF"/>
                  <w:vAlign w:val="center"/>
                  <w:hideMark/>
                </w:tcPr>
                <w:p w14:paraId="7A535A96" w14:textId="77777777" w:rsidR="00DA3B97" w:rsidRPr="00DA3B97" w:rsidRDefault="00DA3B97" w:rsidP="00DA3B97">
                  <w:r w:rsidRPr="00DA3B97">
                    <w:t>For bestchance, the most relevant SCORE Circumstances domain in DEX is Mental Health, Wellbeing &amp; Self-Esteem, as it best reflects your core focus on children’s psychosocial, emotional and behavioural development. This domain aligns closely with outcomes such as improved emotional regulation, reduced dysregulation, stronger social–emotional skills, increased confidence, and a greater sense of safety and identity, all central to your organisational Outcomes Framework.</w:t>
                  </w:r>
                  <w:r w:rsidRPr="00DA3B97">
                    <w:br/>
                  </w:r>
                  <w:r w:rsidRPr="00DA3B97">
                    <w:br/>
                    <w:t>A second highly relevant domain is Engagement in Education, which aligns with bestchance’s work in school readiness, successful transitions, inclusion, participation in learning and educator capability-building across early years settings, therapy programs and the Cheshire School.</w:t>
                  </w:r>
                  <w:r w:rsidRPr="00DA3B97">
                    <w:br/>
                  </w:r>
                  <w:r w:rsidRPr="00DA3B97">
                    <w:br/>
                    <w:t>The Family Functioning domain is also important, capturing growth in parent confidence, family routines, home-based strategy use, and improved collaboration between families and educators, key measures of family capacity building. Community Participation and Networks is a useful secondary domain reflecting increased inclusion in early education, connection to services, and broader system-level outcomes.</w:t>
                  </w:r>
                  <w:r w:rsidRPr="00DA3B97">
                    <w:br/>
                  </w:r>
                  <w:r w:rsidRPr="00DA3B97">
                    <w:br/>
                    <w:t xml:space="preserve">Together, these domains provide a comprehensive reflection of bestchance’s impact across children, families, educators and learning environments. </w:t>
                  </w:r>
                </w:p>
              </w:tc>
            </w:tr>
            <w:tr w:rsidR="00DA3B97" w:rsidRPr="00DA3B97" w14:paraId="7F5F5BFA" w14:textId="77777777">
              <w:trPr>
                <w:tblCellSpacing w:w="0" w:type="dxa"/>
              </w:trPr>
              <w:tc>
                <w:tcPr>
                  <w:tcW w:w="0" w:type="auto"/>
                  <w:gridSpan w:val="2"/>
                  <w:shd w:val="clear" w:color="auto" w:fill="EAF2FA"/>
                  <w:vAlign w:val="center"/>
                  <w:hideMark/>
                </w:tcPr>
                <w:p w14:paraId="75134588" w14:textId="77777777" w:rsidR="00DA3B97" w:rsidRPr="00DA3B97" w:rsidRDefault="00DA3B97" w:rsidP="00DA3B97">
                  <w:r w:rsidRPr="00DA3B97">
                    <w:rPr>
                      <w:b/>
                      <w:bCs/>
                    </w:rPr>
                    <w:t>19. What kinds of templates or guidance would help you prepare strong case studies that show the impact of your service?</w:t>
                  </w:r>
                  <w:r w:rsidRPr="00DA3B97">
                    <w:t xml:space="preserve"> </w:t>
                  </w:r>
                </w:p>
              </w:tc>
            </w:tr>
            <w:tr w:rsidR="00DA3B97" w:rsidRPr="00DA3B97" w14:paraId="356B052D" w14:textId="77777777">
              <w:trPr>
                <w:tblCellSpacing w:w="0" w:type="dxa"/>
              </w:trPr>
              <w:tc>
                <w:tcPr>
                  <w:tcW w:w="300" w:type="dxa"/>
                  <w:shd w:val="clear" w:color="auto" w:fill="FFFFFF"/>
                  <w:vAlign w:val="center"/>
                  <w:hideMark/>
                </w:tcPr>
                <w:p w14:paraId="0858837B" w14:textId="77777777" w:rsidR="00DA3B97" w:rsidRPr="00DA3B97" w:rsidRDefault="00DA3B97" w:rsidP="00DA3B97"/>
              </w:tc>
              <w:tc>
                <w:tcPr>
                  <w:tcW w:w="0" w:type="auto"/>
                  <w:shd w:val="clear" w:color="auto" w:fill="FFFFFF"/>
                  <w:vAlign w:val="center"/>
                  <w:hideMark/>
                </w:tcPr>
                <w:p w14:paraId="46B8AA53" w14:textId="77777777" w:rsidR="00DA3B97" w:rsidRPr="00DA3B97" w:rsidRDefault="00DA3B97" w:rsidP="00DA3B97">
                  <w:r w:rsidRPr="00DA3B97">
                    <w:t>To help bestchance prepare strong case studies that clearly show service impact, the most useful tools would be structured templates and clear guidance that prompt staff to capture both narrative and measurable change. A standard case study template should include headings such as: the child’s profile and initial concerns; family context; baseline assessment or observation data; goals set across child, family and educator domains; the interventions delivered; and the specific developmental, behavioural or emotional changes observed. It should also prompt staff to record family capacity-building outcomes, such as increased confidence or home strategy use, and educator practice changes, including embedded strategies or improved classroom environments.</w:t>
                  </w:r>
                  <w:r w:rsidRPr="00DA3B97">
                    <w:br/>
                  </w:r>
                  <w:r w:rsidRPr="00DA3B97">
                    <w:br/>
                    <w:t xml:space="preserve">Guidance should encourage the inclusion of before-and-after evidence, such as behaviour frequency counts, developmental indicators, engagement data, work </w:t>
                  </w:r>
                  <w:r w:rsidRPr="00DA3B97">
                    <w:lastRenderedPageBreak/>
                    <w:t xml:space="preserve">samples and quotes from families or educators. A “story plus data” structure helps combine emotional resonance with measurable outcomes aligned to the Outcomes Framework. Clear instructions on confidentiality, strengths-based language and culturally sensitive practice are essential. Program-specific guidance for Early Years, Therapy Services and the specialist schooling would ensure each case study reflects the appropriate outcome indicators. </w:t>
                  </w:r>
                </w:p>
              </w:tc>
            </w:tr>
            <w:tr w:rsidR="00DA3B97" w:rsidRPr="00DA3B97" w14:paraId="0435D942" w14:textId="77777777">
              <w:trPr>
                <w:tblCellSpacing w:w="0" w:type="dxa"/>
              </w:trPr>
              <w:tc>
                <w:tcPr>
                  <w:tcW w:w="0" w:type="auto"/>
                  <w:gridSpan w:val="2"/>
                  <w:shd w:val="clear" w:color="auto" w:fill="EAF2FA"/>
                  <w:vAlign w:val="center"/>
                  <w:hideMark/>
                </w:tcPr>
                <w:p w14:paraId="65B24CB6" w14:textId="77777777" w:rsidR="00DA3B97" w:rsidRPr="00DA3B97" w:rsidRDefault="00DA3B97" w:rsidP="00DA3B97">
                  <w:r w:rsidRPr="00DA3B97">
                    <w:rPr>
                      <w:b/>
                      <w:bCs/>
                    </w:rPr>
                    <w:lastRenderedPageBreak/>
                    <w:t>20. What does a relational contracting approach mean to you in practice? What criteria would you like to see included in a relational contract?</w:t>
                  </w:r>
                  <w:r w:rsidRPr="00DA3B97">
                    <w:t xml:space="preserve"> </w:t>
                  </w:r>
                </w:p>
              </w:tc>
            </w:tr>
            <w:tr w:rsidR="00DA3B97" w:rsidRPr="00DA3B97" w14:paraId="568ECEAA" w14:textId="77777777">
              <w:trPr>
                <w:tblCellSpacing w:w="0" w:type="dxa"/>
              </w:trPr>
              <w:tc>
                <w:tcPr>
                  <w:tcW w:w="300" w:type="dxa"/>
                  <w:shd w:val="clear" w:color="auto" w:fill="FFFFFF"/>
                  <w:vAlign w:val="center"/>
                  <w:hideMark/>
                </w:tcPr>
                <w:p w14:paraId="20DC651D" w14:textId="77777777" w:rsidR="00DA3B97" w:rsidRPr="00DA3B97" w:rsidRDefault="00DA3B97" w:rsidP="00DA3B97"/>
              </w:tc>
              <w:tc>
                <w:tcPr>
                  <w:tcW w:w="0" w:type="auto"/>
                  <w:shd w:val="clear" w:color="auto" w:fill="FFFFFF"/>
                  <w:vAlign w:val="center"/>
                  <w:hideMark/>
                </w:tcPr>
                <w:p w14:paraId="421FBC7D" w14:textId="77777777" w:rsidR="00DA3B97" w:rsidRPr="00DA3B97" w:rsidRDefault="00DA3B97" w:rsidP="00DA3B97">
                  <w:r w:rsidRPr="00DA3B97">
                    <w:t xml:space="preserve">A relational contracting approach would allow bestchance to deliver services in a flexible, outcomes-focused and partnership-driven way that reflects how your programs already operate. This would mean the freedom to adapt service delivery as children’s developmental, behavioural or psychosocial needs change, and to shift between home-based, school-based, group or individual work without renegotiating contract terms. It would support the blended pedagogical, therapeutic and family-capacity models bestchance uses, and enable work across multiple LGAs in response to emerging community need. Relational contracting would also create a more collaborative relationship with DSS, centred on shared problem-solving, regular reflection, and transparent communication rather than rigid compliance. The criteria bestchance would want in a relational contract include: clear, outcomes-based measures aligned with our Outcomes Framework; flexibility in program design and delivery; secure multi-year funding to support workforce stability; and explicit recognition of the value of partnerships with schools, kinders, ACCOs and local services. Workforce sustainability should be built in through funded supervision, professional development and recruitment support. Reporting expectations should be proportionate and focus on meaningful outcome evidence, including qualitative stories, developmental indicators and family feedback. </w:t>
                  </w:r>
                </w:p>
              </w:tc>
            </w:tr>
            <w:tr w:rsidR="00DA3B97" w:rsidRPr="00DA3B97" w14:paraId="42D9133D" w14:textId="77777777">
              <w:trPr>
                <w:tblCellSpacing w:w="0" w:type="dxa"/>
              </w:trPr>
              <w:tc>
                <w:tcPr>
                  <w:tcW w:w="0" w:type="auto"/>
                  <w:gridSpan w:val="2"/>
                  <w:shd w:val="clear" w:color="auto" w:fill="EAF2FA"/>
                  <w:vAlign w:val="center"/>
                  <w:hideMark/>
                </w:tcPr>
                <w:p w14:paraId="3F9B45FF" w14:textId="77777777" w:rsidR="00DA3B97" w:rsidRPr="00DA3B97" w:rsidRDefault="00DA3B97" w:rsidP="00DA3B97">
                  <w:r w:rsidRPr="00DA3B97">
                    <w:rPr>
                      <w:b/>
                      <w:bCs/>
                    </w:rPr>
                    <w:t>21. What’s the best way for the department to decide which organisations should be offered a relational contract?</w:t>
                  </w:r>
                  <w:r w:rsidRPr="00DA3B97">
                    <w:t xml:space="preserve"> </w:t>
                  </w:r>
                </w:p>
              </w:tc>
            </w:tr>
            <w:tr w:rsidR="00DA3B97" w:rsidRPr="00DA3B97" w14:paraId="237CAC76" w14:textId="77777777">
              <w:trPr>
                <w:tblCellSpacing w:w="0" w:type="dxa"/>
              </w:trPr>
              <w:tc>
                <w:tcPr>
                  <w:tcW w:w="300" w:type="dxa"/>
                  <w:shd w:val="clear" w:color="auto" w:fill="FFFFFF"/>
                  <w:vAlign w:val="center"/>
                  <w:hideMark/>
                </w:tcPr>
                <w:p w14:paraId="1CC3EF91" w14:textId="77777777" w:rsidR="00DA3B97" w:rsidRPr="00DA3B97" w:rsidRDefault="00DA3B97" w:rsidP="00DA3B97"/>
              </w:tc>
              <w:tc>
                <w:tcPr>
                  <w:tcW w:w="0" w:type="auto"/>
                  <w:shd w:val="clear" w:color="auto" w:fill="FFFFFF"/>
                  <w:vAlign w:val="center"/>
                  <w:hideMark/>
                </w:tcPr>
                <w:p w14:paraId="23CA5070" w14:textId="77777777" w:rsidR="00DA3B97" w:rsidRPr="00DA3B97" w:rsidRDefault="00DA3B97" w:rsidP="00DA3B97">
                  <w:r w:rsidRPr="00DA3B97">
                    <w:t>The department should offer relational contracts to organisations that have demonstrated strong outcomes, deep community connection, and the capability to deliver flexible, integrated services. Priority should go to providers with a proven track record of improving child development, family capacity, inclusion and educator capability, supported by clear evidence and continuous improvement processes. Organisations with long-standing community relationships, genuine co-design with families, and strong partnerships with schools, early learning services, ACCOs and local networks are well suited to a relational model.</w:t>
                  </w:r>
                  <w:r w:rsidRPr="00DA3B97">
                    <w:br/>
                  </w:r>
                  <w:r w:rsidRPr="00DA3B97">
                    <w:lastRenderedPageBreak/>
                    <w:br/>
                    <w:t>Providers should also show the ability to adapt services based on emerging need, work across multiple settings, and blend therapeutic, educational and family support approaches. Strong governance, workforce stability, cultural safety and robust quality systems are essential to ensure accountability within a flexible framework. The department should further assess alignment with government priorities, early intervention, inclusion, cultural safety, ACCO partnership and integrated service delivery.</w:t>
                  </w:r>
                  <w:r w:rsidRPr="00DA3B97">
                    <w:br/>
                  </w:r>
                  <w:r w:rsidRPr="00DA3B97">
                    <w:br/>
                    <w:t xml:space="preserve">Finally, organisations chosen for relational contracts should demonstrate a collaborative culture, transparent communication and readiness for long-term, trust-based contracting focused on outcomes rather than rigid activities. </w:t>
                  </w:r>
                </w:p>
              </w:tc>
            </w:tr>
            <w:tr w:rsidR="00DA3B97" w:rsidRPr="00DA3B97" w14:paraId="33FBE2BA" w14:textId="77777777">
              <w:trPr>
                <w:tblCellSpacing w:w="0" w:type="dxa"/>
              </w:trPr>
              <w:tc>
                <w:tcPr>
                  <w:tcW w:w="0" w:type="auto"/>
                  <w:gridSpan w:val="2"/>
                  <w:shd w:val="clear" w:color="auto" w:fill="EAF2FA"/>
                  <w:vAlign w:val="center"/>
                  <w:hideMark/>
                </w:tcPr>
                <w:p w14:paraId="00F0E132" w14:textId="77777777" w:rsidR="00DA3B97" w:rsidRPr="00DA3B97" w:rsidRDefault="00DA3B97" w:rsidP="00DA3B97">
                  <w:r w:rsidRPr="00DA3B97">
                    <w:rPr>
                      <w:b/>
                      <w:bCs/>
                    </w:rPr>
                    <w:lastRenderedPageBreak/>
                    <w:t>22. Is your organisation interested in a relational contracting approach? Why/why not?</w:t>
                  </w:r>
                  <w:r w:rsidRPr="00DA3B97">
                    <w:t xml:space="preserve"> </w:t>
                  </w:r>
                </w:p>
              </w:tc>
            </w:tr>
            <w:tr w:rsidR="00DA3B97" w:rsidRPr="00DA3B97" w14:paraId="030870AE" w14:textId="77777777">
              <w:trPr>
                <w:tblCellSpacing w:w="0" w:type="dxa"/>
              </w:trPr>
              <w:tc>
                <w:tcPr>
                  <w:tcW w:w="300" w:type="dxa"/>
                  <w:shd w:val="clear" w:color="auto" w:fill="FFFFFF"/>
                  <w:vAlign w:val="center"/>
                  <w:hideMark/>
                </w:tcPr>
                <w:p w14:paraId="6135CFD0" w14:textId="77777777" w:rsidR="00DA3B97" w:rsidRPr="00DA3B97" w:rsidRDefault="00DA3B97" w:rsidP="00DA3B97"/>
              </w:tc>
              <w:tc>
                <w:tcPr>
                  <w:tcW w:w="0" w:type="auto"/>
                  <w:shd w:val="clear" w:color="auto" w:fill="FFFFFF"/>
                  <w:vAlign w:val="center"/>
                  <w:hideMark/>
                </w:tcPr>
                <w:p w14:paraId="68724686" w14:textId="77777777" w:rsidR="00DA3B97" w:rsidRPr="00DA3B97" w:rsidRDefault="00DA3B97" w:rsidP="00DA3B97">
                  <w:r w:rsidRPr="00DA3B97">
                    <w:t>bestchance is interested in a relational contracting approach because it aligns extremely well with how our organisation already works. Our services rely on flexibility, blending educational, therapeutic and behavioural supports across home, kinder, school and community settings. A relational contract would allow us to adapt intensity, delivery mode and focus without needing constant contract changes, enabling more responsive and effective support for children and families. It also fits our Outcomes Framework, which measures psychosocial development, school readiness, educator capability and family empowerment, outcomes that are better captured through a flexible, trust-based model rather than rigid activity quotas.</w:t>
                  </w:r>
                  <w:r w:rsidRPr="00DA3B97">
                    <w:br/>
                  </w:r>
                  <w:r w:rsidRPr="00DA3B97">
                    <w:br/>
                    <w:t xml:space="preserve">Relational contracting would provide long-term stability, supporting workforce recruitment, retention, training and supervision, and enabling deeper, more consistent partnerships with schools, kinders, ACCOs and community organisations. It would also accommodate bestchance’s multi-LGA metropolitan footprint by allowing service delivery to follow community needs rather than fixed geographic boundaries. While relational contracts require transparent reporting and active collaboration with DSS, these are strengths bestchance already demonstrates. Overall, relational contracting would enhance our ability to deliver integrated, child- and family-centred services and strengthen our impact across Melbourne. </w:t>
                  </w:r>
                </w:p>
              </w:tc>
            </w:tr>
            <w:tr w:rsidR="00DA3B97" w:rsidRPr="00DA3B97" w14:paraId="63EBA6E3" w14:textId="77777777">
              <w:trPr>
                <w:tblCellSpacing w:w="0" w:type="dxa"/>
              </w:trPr>
              <w:tc>
                <w:tcPr>
                  <w:tcW w:w="0" w:type="auto"/>
                  <w:gridSpan w:val="2"/>
                  <w:shd w:val="clear" w:color="auto" w:fill="EAF2FA"/>
                  <w:vAlign w:val="center"/>
                  <w:hideMark/>
                </w:tcPr>
                <w:p w14:paraId="75D76932" w14:textId="77777777" w:rsidR="00DA3B97" w:rsidRPr="00DA3B97" w:rsidRDefault="00DA3B97" w:rsidP="00DA3B97">
                  <w:r w:rsidRPr="00DA3B97">
                    <w:rPr>
                      <w:b/>
                      <w:bCs/>
                    </w:rPr>
                    <w:t>23. Is there anything else you think the department should understand or consider about this proposed approach?</w:t>
                  </w:r>
                  <w:r w:rsidRPr="00DA3B97">
                    <w:t xml:space="preserve"> </w:t>
                  </w:r>
                </w:p>
              </w:tc>
            </w:tr>
            <w:tr w:rsidR="00DA3B97" w:rsidRPr="00DA3B97" w14:paraId="379CFC4B" w14:textId="77777777">
              <w:trPr>
                <w:tblCellSpacing w:w="0" w:type="dxa"/>
              </w:trPr>
              <w:tc>
                <w:tcPr>
                  <w:tcW w:w="300" w:type="dxa"/>
                  <w:shd w:val="clear" w:color="auto" w:fill="FFFFFF"/>
                  <w:vAlign w:val="center"/>
                  <w:hideMark/>
                </w:tcPr>
                <w:p w14:paraId="626E4FD1" w14:textId="77777777" w:rsidR="00DA3B97" w:rsidRPr="00DA3B97" w:rsidRDefault="00DA3B97" w:rsidP="00DA3B97"/>
              </w:tc>
              <w:tc>
                <w:tcPr>
                  <w:tcW w:w="0" w:type="auto"/>
                  <w:shd w:val="clear" w:color="auto" w:fill="FFFFFF"/>
                  <w:vAlign w:val="center"/>
                  <w:hideMark/>
                </w:tcPr>
                <w:p w14:paraId="3CF900B5" w14:textId="77777777" w:rsidR="00DA3B97" w:rsidRPr="00DA3B97" w:rsidRDefault="00DA3B97" w:rsidP="00DA3B97">
                  <w:r w:rsidRPr="00DA3B97">
                    <w:t xml:space="preserve">The department should recognise several broader issues to ensure the proposed program works as intended for organisations like bestchance and delivers real outcomes for children and families. Flexibility and integration are positive, but they must be backed by adequate resourcing, including funded collaboration time, supervision and workforce development. Current workforce shortages across allied health, behaviour support and early childhood education will limit the effectiveness of any reform unless directly addressed. Early intervention should be framed as a continuum into the early school years, given rising behavioural and developmental needs in primary-aged children. The program must support ecosystem-based work across home, early learning settings and schools, including educator capability-building and shared planning. Reporting tools such as DEX should evolve to capture outcomes like emotional regulation, school engagement, family empowerment and educator practice change. The model should also explicitly reflect the growing needs of neurodivergent children and support neuro-affirming, multidisciplinary approaches. Strengthening ACCO involvement must be supported by long-term capability-building and genuine partnership expectations. Providers working across multiple LGAs need contract flexibility to follow community needs. Finally, long-term funding stability and alignment with education, NDIS, mental health and family violence systems are essential for reform. </w:t>
                  </w:r>
                </w:p>
              </w:tc>
            </w:tr>
          </w:tbl>
          <w:p w14:paraId="1C87893D" w14:textId="77777777" w:rsidR="00DA3B97" w:rsidRPr="00DA3B97" w:rsidRDefault="00DA3B97" w:rsidP="00DA3B97"/>
        </w:tc>
      </w:tr>
    </w:tbl>
    <w:p w14:paraId="5E4022DE" w14:textId="77777777" w:rsidR="00DA3B97" w:rsidRPr="00DA3B97" w:rsidRDefault="00DA3B97" w:rsidP="00DA3B97"/>
    <w:p w14:paraId="41E1DCAB" w14:textId="77777777" w:rsidR="00390C4B" w:rsidRDefault="00390C4B"/>
    <w:sectPr w:rsidR="00390C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1BEA" w14:textId="77777777" w:rsidR="00A00BCC" w:rsidRDefault="00A00BCC" w:rsidP="00C86255">
      <w:pPr>
        <w:spacing w:after="0" w:line="240" w:lineRule="auto"/>
      </w:pPr>
      <w:r>
        <w:separator/>
      </w:r>
    </w:p>
  </w:endnote>
  <w:endnote w:type="continuationSeparator" w:id="0">
    <w:p w14:paraId="4CF1833A" w14:textId="77777777" w:rsidR="00A00BCC" w:rsidRDefault="00A00BCC" w:rsidP="00C8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49DB" w14:textId="77777777" w:rsidR="00A00BCC" w:rsidRDefault="00A00BCC" w:rsidP="00C86255">
      <w:pPr>
        <w:spacing w:after="0" w:line="240" w:lineRule="auto"/>
      </w:pPr>
      <w:r>
        <w:separator/>
      </w:r>
    </w:p>
  </w:footnote>
  <w:footnote w:type="continuationSeparator" w:id="0">
    <w:p w14:paraId="51E24A69" w14:textId="77777777" w:rsidR="00A00BCC" w:rsidRDefault="00A00BCC" w:rsidP="00C86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B7DE1"/>
    <w:multiLevelType w:val="multilevel"/>
    <w:tmpl w:val="FB70C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634D5"/>
    <w:multiLevelType w:val="multilevel"/>
    <w:tmpl w:val="1060B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A50109"/>
    <w:multiLevelType w:val="multilevel"/>
    <w:tmpl w:val="C8AE4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5734948">
    <w:abstractNumId w:val="2"/>
  </w:num>
  <w:num w:numId="2" w16cid:durableId="940335658">
    <w:abstractNumId w:val="1"/>
  </w:num>
  <w:num w:numId="3" w16cid:durableId="213675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97"/>
    <w:rsid w:val="00116E5F"/>
    <w:rsid w:val="00390C4B"/>
    <w:rsid w:val="00603D97"/>
    <w:rsid w:val="00A00BCC"/>
    <w:rsid w:val="00A50B94"/>
    <w:rsid w:val="00C86255"/>
    <w:rsid w:val="00DA3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79A1"/>
  <w15:chartTrackingRefBased/>
  <w15:docId w15:val="{DB1D45D3-5E1B-4ECF-B58D-9F7A1B92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B97"/>
    <w:rPr>
      <w:rFonts w:eastAsiaTheme="majorEastAsia" w:cstheme="majorBidi"/>
      <w:color w:val="272727" w:themeColor="text1" w:themeTint="D8"/>
    </w:rPr>
  </w:style>
  <w:style w:type="paragraph" w:styleId="Title">
    <w:name w:val="Title"/>
    <w:basedOn w:val="Normal"/>
    <w:next w:val="Normal"/>
    <w:link w:val="TitleChar"/>
    <w:uiPriority w:val="10"/>
    <w:qFormat/>
    <w:rsid w:val="00DA3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B97"/>
    <w:pPr>
      <w:spacing w:before="160"/>
      <w:jc w:val="center"/>
    </w:pPr>
    <w:rPr>
      <w:i/>
      <w:iCs/>
      <w:color w:val="404040" w:themeColor="text1" w:themeTint="BF"/>
    </w:rPr>
  </w:style>
  <w:style w:type="character" w:customStyle="1" w:styleId="QuoteChar">
    <w:name w:val="Quote Char"/>
    <w:basedOn w:val="DefaultParagraphFont"/>
    <w:link w:val="Quote"/>
    <w:uiPriority w:val="29"/>
    <w:rsid w:val="00DA3B97"/>
    <w:rPr>
      <w:i/>
      <w:iCs/>
      <w:color w:val="404040" w:themeColor="text1" w:themeTint="BF"/>
    </w:rPr>
  </w:style>
  <w:style w:type="paragraph" w:styleId="ListParagraph">
    <w:name w:val="List Paragraph"/>
    <w:basedOn w:val="Normal"/>
    <w:uiPriority w:val="34"/>
    <w:qFormat/>
    <w:rsid w:val="00DA3B97"/>
    <w:pPr>
      <w:ind w:left="720"/>
      <w:contextualSpacing/>
    </w:pPr>
  </w:style>
  <w:style w:type="character" w:styleId="IntenseEmphasis">
    <w:name w:val="Intense Emphasis"/>
    <w:basedOn w:val="DefaultParagraphFont"/>
    <w:uiPriority w:val="21"/>
    <w:qFormat/>
    <w:rsid w:val="00DA3B97"/>
    <w:rPr>
      <w:i/>
      <w:iCs/>
      <w:color w:val="0F4761" w:themeColor="accent1" w:themeShade="BF"/>
    </w:rPr>
  </w:style>
  <w:style w:type="paragraph" w:styleId="IntenseQuote">
    <w:name w:val="Intense Quote"/>
    <w:basedOn w:val="Normal"/>
    <w:next w:val="Normal"/>
    <w:link w:val="IntenseQuoteChar"/>
    <w:uiPriority w:val="30"/>
    <w:qFormat/>
    <w:rsid w:val="00DA3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B97"/>
    <w:rPr>
      <w:i/>
      <w:iCs/>
      <w:color w:val="0F4761" w:themeColor="accent1" w:themeShade="BF"/>
    </w:rPr>
  </w:style>
  <w:style w:type="character" w:styleId="IntenseReference">
    <w:name w:val="Intense Reference"/>
    <w:basedOn w:val="DefaultParagraphFont"/>
    <w:uiPriority w:val="32"/>
    <w:qFormat/>
    <w:rsid w:val="00DA3B97"/>
    <w:rPr>
      <w:b/>
      <w:bCs/>
      <w:smallCaps/>
      <w:color w:val="0F4761" w:themeColor="accent1" w:themeShade="BF"/>
      <w:spacing w:val="5"/>
    </w:rPr>
  </w:style>
  <w:style w:type="character" w:styleId="Hyperlink">
    <w:name w:val="Hyperlink"/>
    <w:basedOn w:val="DefaultParagraphFont"/>
    <w:uiPriority w:val="99"/>
    <w:unhideWhenUsed/>
    <w:rsid w:val="00DA3B97"/>
    <w:rPr>
      <w:color w:val="467886" w:themeColor="hyperlink"/>
      <w:u w:val="single"/>
    </w:rPr>
  </w:style>
  <w:style w:type="character" w:styleId="UnresolvedMention">
    <w:name w:val="Unresolved Mention"/>
    <w:basedOn w:val="DefaultParagraphFont"/>
    <w:uiPriority w:val="99"/>
    <w:semiHidden/>
    <w:unhideWhenUsed/>
    <w:rsid w:val="00DA3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4673</Words>
  <Characters>30612</Characters>
  <Application>Microsoft Office Word</Application>
  <DocSecurity>0</DocSecurity>
  <Lines>537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2</cp:revision>
  <dcterms:created xsi:type="dcterms:W3CDTF">2025-11-25T08:13:00Z</dcterms:created>
  <dcterms:modified xsi:type="dcterms:W3CDTF">2025-11-26T00:39:00Z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v=2024.1;a=SHA256;h=4C1D9A098F282EF89FD3FDBF703C143026FBED1B4B2C65DCCB9340A66F603B40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2025-11-25T08:24:42Z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2025-11-25T08:24:42Z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779e535b33b24835a992a2429e279b8c</vt:lpwstr>
  </property>
  <property fmtid="{D5CDD505-2E9C-101B-9397-08002B2CF9AE}" pid="24" name="PM_Originator_Hash_SHA1">
    <vt:lpwstr>3FE9F257DA3A007F985036DE6AEDBA622E1840C0</vt:lpwstr>
  </property>
  <property fmtid="{D5CDD505-2E9C-101B-9397-08002B2CF9AE}" pid="25" name="PM_Originating_FileId">
    <vt:lpwstr>87274A2A5EAE4D85BEC1B564B602785C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E970176E7C991E7A0D610B6E476C923A</vt:lpwstr>
  </property>
  <property fmtid="{D5CDD505-2E9C-101B-9397-08002B2CF9AE}" pid="33" name="PM_Hash_Salt">
    <vt:lpwstr>996EB84985A8700C4EC3DF1C23562043</vt:lpwstr>
  </property>
  <property fmtid="{D5CDD505-2E9C-101B-9397-08002B2CF9AE}" pid="34" name="PM_Hash_SHA1">
    <vt:lpwstr>5C2402C9F9E949CC03C87E3BD9332848F2AAEA6C</vt:lpwstr>
  </property>
</Properties>
</file>