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AF64D5" w:rsidRPr="00AF64D5" w14:paraId="3A4F2F9D"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AF64D5" w:rsidRPr="00AF64D5" w14:paraId="16D46D55" w14:textId="77777777">
              <w:trPr>
                <w:tblCellSpacing w:w="0" w:type="dxa"/>
              </w:trPr>
              <w:tc>
                <w:tcPr>
                  <w:tcW w:w="0" w:type="auto"/>
                  <w:gridSpan w:val="2"/>
                  <w:shd w:val="clear" w:color="auto" w:fill="EAF2FA"/>
                  <w:vAlign w:val="center"/>
                  <w:hideMark/>
                </w:tcPr>
                <w:p w14:paraId="28A32BCF" w14:textId="77777777" w:rsidR="00AF64D5" w:rsidRPr="00AF64D5" w:rsidRDefault="00AF64D5" w:rsidP="00AF64D5">
                  <w:r w:rsidRPr="00AF64D5">
                    <w:rPr>
                      <w:b/>
                      <w:bCs/>
                    </w:rPr>
                    <w:t>Are you an individual or making a submission on behalf of an organisation?</w:t>
                  </w:r>
                  <w:r w:rsidRPr="00AF64D5">
                    <w:t xml:space="preserve"> </w:t>
                  </w:r>
                </w:p>
              </w:tc>
            </w:tr>
            <w:tr w:rsidR="00AF64D5" w:rsidRPr="00AF64D5" w14:paraId="458FA4BA" w14:textId="77777777">
              <w:trPr>
                <w:tblCellSpacing w:w="0" w:type="dxa"/>
              </w:trPr>
              <w:tc>
                <w:tcPr>
                  <w:tcW w:w="300" w:type="dxa"/>
                  <w:shd w:val="clear" w:color="auto" w:fill="FFFFFF"/>
                  <w:vAlign w:val="center"/>
                  <w:hideMark/>
                </w:tcPr>
                <w:p w14:paraId="6E731424" w14:textId="77777777" w:rsidR="00AF64D5" w:rsidRPr="00AF64D5" w:rsidRDefault="00AF64D5" w:rsidP="00AF64D5"/>
              </w:tc>
              <w:tc>
                <w:tcPr>
                  <w:tcW w:w="0" w:type="auto"/>
                  <w:shd w:val="clear" w:color="auto" w:fill="FFFFFF"/>
                  <w:vAlign w:val="center"/>
                  <w:hideMark/>
                </w:tcPr>
                <w:p w14:paraId="4FD8A71B" w14:textId="77777777" w:rsidR="00AF64D5" w:rsidRPr="00AF64D5" w:rsidRDefault="00AF64D5" w:rsidP="00AF64D5">
                  <w:r w:rsidRPr="00AF64D5">
                    <w:t xml:space="preserve">Organisation </w:t>
                  </w:r>
                </w:p>
              </w:tc>
            </w:tr>
            <w:tr w:rsidR="00AF64D5" w:rsidRPr="00AF64D5" w14:paraId="0CE887E9" w14:textId="77777777">
              <w:trPr>
                <w:tblCellSpacing w:w="0" w:type="dxa"/>
              </w:trPr>
              <w:tc>
                <w:tcPr>
                  <w:tcW w:w="0" w:type="auto"/>
                  <w:gridSpan w:val="2"/>
                  <w:shd w:val="clear" w:color="auto" w:fill="EAF2FA"/>
                  <w:vAlign w:val="center"/>
                  <w:hideMark/>
                </w:tcPr>
                <w:p w14:paraId="32AF5F51" w14:textId="77777777" w:rsidR="00AF64D5" w:rsidRPr="00AF64D5" w:rsidRDefault="00AF64D5" w:rsidP="00AF64D5">
                  <w:r w:rsidRPr="00AF64D5">
                    <w:rPr>
                      <w:b/>
                      <w:bCs/>
                    </w:rPr>
                    <w:t>Organisation name</w:t>
                  </w:r>
                  <w:r w:rsidRPr="00AF64D5">
                    <w:t xml:space="preserve"> </w:t>
                  </w:r>
                </w:p>
              </w:tc>
            </w:tr>
            <w:tr w:rsidR="00AF64D5" w:rsidRPr="00AF64D5" w14:paraId="7360D19C" w14:textId="77777777">
              <w:trPr>
                <w:tblCellSpacing w:w="0" w:type="dxa"/>
              </w:trPr>
              <w:tc>
                <w:tcPr>
                  <w:tcW w:w="300" w:type="dxa"/>
                  <w:shd w:val="clear" w:color="auto" w:fill="FFFFFF"/>
                  <w:vAlign w:val="center"/>
                  <w:hideMark/>
                </w:tcPr>
                <w:p w14:paraId="4FB2B52F" w14:textId="77777777" w:rsidR="00AF64D5" w:rsidRPr="00AF64D5" w:rsidRDefault="00AF64D5" w:rsidP="00AF64D5"/>
              </w:tc>
              <w:tc>
                <w:tcPr>
                  <w:tcW w:w="0" w:type="auto"/>
                  <w:shd w:val="clear" w:color="auto" w:fill="FFFFFF"/>
                  <w:vAlign w:val="center"/>
                  <w:hideMark/>
                </w:tcPr>
                <w:p w14:paraId="15DDA71D" w14:textId="77777777" w:rsidR="00AF64D5" w:rsidRPr="00AF64D5" w:rsidRDefault="00AF64D5" w:rsidP="00AF64D5">
                  <w:r w:rsidRPr="00AF64D5">
                    <w:t xml:space="preserve">Citizens Advice Bureau </w:t>
                  </w:r>
                </w:p>
              </w:tc>
            </w:tr>
            <w:tr w:rsidR="00AF64D5" w:rsidRPr="00AF64D5" w14:paraId="59C34C7D" w14:textId="77777777">
              <w:trPr>
                <w:tblCellSpacing w:w="0" w:type="dxa"/>
              </w:trPr>
              <w:tc>
                <w:tcPr>
                  <w:tcW w:w="0" w:type="auto"/>
                  <w:gridSpan w:val="2"/>
                  <w:shd w:val="clear" w:color="auto" w:fill="EAF2FA"/>
                  <w:vAlign w:val="center"/>
                  <w:hideMark/>
                </w:tcPr>
                <w:p w14:paraId="645631D9" w14:textId="77777777" w:rsidR="00AF64D5" w:rsidRPr="00AF64D5" w:rsidRDefault="00AF64D5" w:rsidP="00AF64D5">
                  <w:r w:rsidRPr="00AF64D5">
                    <w:rPr>
                      <w:b/>
                      <w:bCs/>
                    </w:rPr>
                    <w:t>Position</w:t>
                  </w:r>
                  <w:r w:rsidRPr="00AF64D5">
                    <w:t xml:space="preserve"> </w:t>
                  </w:r>
                </w:p>
              </w:tc>
            </w:tr>
            <w:tr w:rsidR="00AF64D5" w:rsidRPr="00AF64D5" w14:paraId="4470AEC5" w14:textId="77777777">
              <w:trPr>
                <w:tblCellSpacing w:w="0" w:type="dxa"/>
              </w:trPr>
              <w:tc>
                <w:tcPr>
                  <w:tcW w:w="300" w:type="dxa"/>
                  <w:shd w:val="clear" w:color="auto" w:fill="FFFFFF"/>
                  <w:vAlign w:val="center"/>
                  <w:hideMark/>
                </w:tcPr>
                <w:p w14:paraId="345A3E83" w14:textId="77777777" w:rsidR="00AF64D5" w:rsidRPr="00AF64D5" w:rsidRDefault="00AF64D5" w:rsidP="00AF64D5"/>
              </w:tc>
              <w:tc>
                <w:tcPr>
                  <w:tcW w:w="0" w:type="auto"/>
                  <w:shd w:val="clear" w:color="auto" w:fill="FFFFFF"/>
                  <w:vAlign w:val="center"/>
                  <w:hideMark/>
                </w:tcPr>
                <w:p w14:paraId="051CFF09" w14:textId="77777777" w:rsidR="00AF64D5" w:rsidRPr="00AF64D5" w:rsidRDefault="00AF64D5" w:rsidP="00AF64D5">
                  <w:r w:rsidRPr="00AF64D5">
                    <w:t xml:space="preserve">Chief Executive Officer </w:t>
                  </w:r>
                </w:p>
              </w:tc>
            </w:tr>
            <w:tr w:rsidR="00AF64D5" w:rsidRPr="00AF64D5" w14:paraId="641EC112" w14:textId="77777777">
              <w:trPr>
                <w:tblCellSpacing w:w="0" w:type="dxa"/>
              </w:trPr>
              <w:tc>
                <w:tcPr>
                  <w:tcW w:w="0" w:type="auto"/>
                  <w:gridSpan w:val="2"/>
                  <w:shd w:val="clear" w:color="auto" w:fill="EAF2FA"/>
                  <w:vAlign w:val="center"/>
                  <w:hideMark/>
                </w:tcPr>
                <w:p w14:paraId="2BCC9FE4" w14:textId="77777777" w:rsidR="00AF64D5" w:rsidRPr="00AF64D5" w:rsidRDefault="00AF64D5" w:rsidP="00AF64D5">
                  <w:r w:rsidRPr="00AF64D5">
                    <w:rPr>
                      <w:b/>
                      <w:bCs/>
                    </w:rPr>
                    <w:t>Is your organisation….?</w:t>
                  </w:r>
                  <w:r w:rsidRPr="00AF64D5">
                    <w:t xml:space="preserve"> </w:t>
                  </w:r>
                </w:p>
              </w:tc>
            </w:tr>
            <w:tr w:rsidR="00AF64D5" w:rsidRPr="00AF64D5" w14:paraId="4A7A2819" w14:textId="77777777">
              <w:trPr>
                <w:tblCellSpacing w:w="0" w:type="dxa"/>
              </w:trPr>
              <w:tc>
                <w:tcPr>
                  <w:tcW w:w="300" w:type="dxa"/>
                  <w:shd w:val="clear" w:color="auto" w:fill="FFFFFF"/>
                  <w:vAlign w:val="center"/>
                  <w:hideMark/>
                </w:tcPr>
                <w:p w14:paraId="0AE1C82D" w14:textId="77777777" w:rsidR="00AF64D5" w:rsidRPr="00AF64D5" w:rsidRDefault="00AF64D5" w:rsidP="00AF64D5"/>
              </w:tc>
              <w:tc>
                <w:tcPr>
                  <w:tcW w:w="0" w:type="auto"/>
                  <w:shd w:val="clear" w:color="auto" w:fill="FFFFFF"/>
                  <w:vAlign w:val="center"/>
                  <w:hideMark/>
                </w:tcPr>
                <w:p w14:paraId="12C92AC3" w14:textId="77777777" w:rsidR="00AF64D5" w:rsidRPr="00AF64D5" w:rsidRDefault="00AF64D5" w:rsidP="00AF64D5">
                  <w:pPr>
                    <w:numPr>
                      <w:ilvl w:val="0"/>
                      <w:numId w:val="1"/>
                    </w:numPr>
                  </w:pPr>
                  <w:r w:rsidRPr="00AF64D5">
                    <w:t>None of the above</w:t>
                  </w:r>
                </w:p>
              </w:tc>
            </w:tr>
            <w:tr w:rsidR="00AF64D5" w:rsidRPr="00AF64D5" w14:paraId="668F628B" w14:textId="77777777">
              <w:trPr>
                <w:tblCellSpacing w:w="0" w:type="dxa"/>
              </w:trPr>
              <w:tc>
                <w:tcPr>
                  <w:tcW w:w="0" w:type="auto"/>
                  <w:gridSpan w:val="2"/>
                  <w:shd w:val="clear" w:color="auto" w:fill="EAF2FA"/>
                  <w:vAlign w:val="center"/>
                  <w:hideMark/>
                </w:tcPr>
                <w:p w14:paraId="4B6115D5" w14:textId="77777777" w:rsidR="00AF64D5" w:rsidRPr="00AF64D5" w:rsidRDefault="00AF64D5" w:rsidP="00AF64D5">
                  <w:r w:rsidRPr="00AF64D5">
                    <w:rPr>
                      <w:b/>
                      <w:bCs/>
                    </w:rPr>
                    <w:t>Please specify</w:t>
                  </w:r>
                  <w:r w:rsidRPr="00AF64D5">
                    <w:t xml:space="preserve"> </w:t>
                  </w:r>
                </w:p>
              </w:tc>
            </w:tr>
            <w:tr w:rsidR="00AF64D5" w:rsidRPr="00AF64D5" w14:paraId="1D62A0C3" w14:textId="77777777">
              <w:trPr>
                <w:tblCellSpacing w:w="0" w:type="dxa"/>
              </w:trPr>
              <w:tc>
                <w:tcPr>
                  <w:tcW w:w="300" w:type="dxa"/>
                  <w:shd w:val="clear" w:color="auto" w:fill="FFFFFF"/>
                  <w:vAlign w:val="center"/>
                  <w:hideMark/>
                </w:tcPr>
                <w:p w14:paraId="25C46A5B" w14:textId="77777777" w:rsidR="00AF64D5" w:rsidRPr="00AF64D5" w:rsidRDefault="00AF64D5" w:rsidP="00AF64D5"/>
              </w:tc>
              <w:tc>
                <w:tcPr>
                  <w:tcW w:w="0" w:type="auto"/>
                  <w:shd w:val="clear" w:color="auto" w:fill="FFFFFF"/>
                  <w:vAlign w:val="center"/>
                  <w:hideMark/>
                </w:tcPr>
                <w:p w14:paraId="7B30E232" w14:textId="77777777" w:rsidR="00AF64D5" w:rsidRPr="00AF64D5" w:rsidRDefault="00AF64D5" w:rsidP="00AF64D5">
                  <w:r w:rsidRPr="00AF64D5">
                    <w:t xml:space="preserve">Not for profit organisation </w:t>
                  </w:r>
                </w:p>
              </w:tc>
            </w:tr>
            <w:tr w:rsidR="00AF64D5" w:rsidRPr="00AF64D5" w14:paraId="75AEC84D" w14:textId="77777777">
              <w:trPr>
                <w:tblCellSpacing w:w="0" w:type="dxa"/>
              </w:trPr>
              <w:tc>
                <w:tcPr>
                  <w:tcW w:w="0" w:type="auto"/>
                  <w:gridSpan w:val="2"/>
                  <w:shd w:val="clear" w:color="auto" w:fill="EAF2FA"/>
                  <w:vAlign w:val="center"/>
                  <w:hideMark/>
                </w:tcPr>
                <w:p w14:paraId="6BBE1169" w14:textId="77777777" w:rsidR="00AF64D5" w:rsidRPr="00AF64D5" w:rsidRDefault="00AF64D5" w:rsidP="00AF64D5">
                  <w:r w:rsidRPr="00AF64D5">
                    <w:rPr>
                      <w:b/>
                      <w:bCs/>
                    </w:rPr>
                    <w:t>1. Does the new vision reflect what we all want for children and families?</w:t>
                  </w:r>
                  <w:r w:rsidRPr="00AF64D5">
                    <w:t xml:space="preserve"> </w:t>
                  </w:r>
                </w:p>
              </w:tc>
            </w:tr>
            <w:tr w:rsidR="00AF64D5" w:rsidRPr="00AF64D5" w14:paraId="7759DC91" w14:textId="77777777">
              <w:trPr>
                <w:tblCellSpacing w:w="0" w:type="dxa"/>
              </w:trPr>
              <w:tc>
                <w:tcPr>
                  <w:tcW w:w="300" w:type="dxa"/>
                  <w:shd w:val="clear" w:color="auto" w:fill="FFFFFF"/>
                  <w:vAlign w:val="center"/>
                  <w:hideMark/>
                </w:tcPr>
                <w:p w14:paraId="4D472630" w14:textId="77777777" w:rsidR="00AF64D5" w:rsidRPr="00AF64D5" w:rsidRDefault="00AF64D5" w:rsidP="00AF64D5"/>
              </w:tc>
              <w:tc>
                <w:tcPr>
                  <w:tcW w:w="0" w:type="auto"/>
                  <w:shd w:val="clear" w:color="auto" w:fill="FFFFFF"/>
                  <w:vAlign w:val="center"/>
                  <w:hideMark/>
                </w:tcPr>
                <w:p w14:paraId="3D90CEC9" w14:textId="77777777" w:rsidR="00AF64D5" w:rsidRPr="00AF64D5" w:rsidRDefault="00AF64D5" w:rsidP="00AF64D5">
                  <w:r w:rsidRPr="00AF64D5">
                    <w:t xml:space="preserve">Removing bureaucracy and rigid goalposts will greatly support organisations in focusing on client assistance, rather than dedicating substantial time to reporting and navigating bureaucratic hurdles to secure limited funding. </w:t>
                  </w:r>
                </w:p>
              </w:tc>
            </w:tr>
            <w:tr w:rsidR="00AF64D5" w:rsidRPr="00AF64D5" w14:paraId="4F8A15AD" w14:textId="77777777">
              <w:trPr>
                <w:tblCellSpacing w:w="0" w:type="dxa"/>
              </w:trPr>
              <w:tc>
                <w:tcPr>
                  <w:tcW w:w="0" w:type="auto"/>
                  <w:gridSpan w:val="2"/>
                  <w:shd w:val="clear" w:color="auto" w:fill="EAF2FA"/>
                  <w:vAlign w:val="center"/>
                  <w:hideMark/>
                </w:tcPr>
                <w:p w14:paraId="4D6FA7ED" w14:textId="77777777" w:rsidR="00AF64D5" w:rsidRPr="00AF64D5" w:rsidRDefault="00AF64D5" w:rsidP="00AF64D5">
                  <w:r w:rsidRPr="00AF64D5">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AF64D5">
                    <w:t xml:space="preserve"> </w:t>
                  </w:r>
                </w:p>
              </w:tc>
            </w:tr>
            <w:tr w:rsidR="00AF64D5" w:rsidRPr="00AF64D5" w14:paraId="09582AD6" w14:textId="77777777">
              <w:trPr>
                <w:tblCellSpacing w:w="0" w:type="dxa"/>
              </w:trPr>
              <w:tc>
                <w:tcPr>
                  <w:tcW w:w="300" w:type="dxa"/>
                  <w:shd w:val="clear" w:color="auto" w:fill="FFFFFF"/>
                  <w:vAlign w:val="center"/>
                  <w:hideMark/>
                </w:tcPr>
                <w:p w14:paraId="7F6E5ADF" w14:textId="77777777" w:rsidR="00AF64D5" w:rsidRPr="00AF64D5" w:rsidRDefault="00AF64D5" w:rsidP="00AF64D5"/>
              </w:tc>
              <w:tc>
                <w:tcPr>
                  <w:tcW w:w="0" w:type="auto"/>
                  <w:shd w:val="clear" w:color="auto" w:fill="FFFFFF"/>
                  <w:vAlign w:val="center"/>
                  <w:hideMark/>
                </w:tcPr>
                <w:p w14:paraId="47A112B9" w14:textId="77777777" w:rsidR="00AF64D5" w:rsidRPr="00AF64D5" w:rsidRDefault="00AF64D5" w:rsidP="00AF64D5">
                  <w:r w:rsidRPr="00AF64D5">
                    <w:t xml:space="preserve">yes </w:t>
                  </w:r>
                </w:p>
              </w:tc>
            </w:tr>
            <w:tr w:rsidR="00AF64D5" w:rsidRPr="00AF64D5" w14:paraId="6405532D" w14:textId="77777777">
              <w:trPr>
                <w:tblCellSpacing w:w="0" w:type="dxa"/>
              </w:trPr>
              <w:tc>
                <w:tcPr>
                  <w:tcW w:w="0" w:type="auto"/>
                  <w:gridSpan w:val="2"/>
                  <w:shd w:val="clear" w:color="auto" w:fill="EAF2FA"/>
                  <w:vAlign w:val="center"/>
                  <w:hideMark/>
                </w:tcPr>
                <w:p w14:paraId="16700F3D" w14:textId="77777777" w:rsidR="00AF64D5" w:rsidRPr="00AF64D5" w:rsidRDefault="00AF64D5" w:rsidP="00AF64D5">
                  <w:r w:rsidRPr="00AF64D5">
                    <w:rPr>
                      <w:b/>
                      <w:bCs/>
                    </w:rPr>
                    <w:t>3. Will a single national program provide more flexibility for your organisation?</w:t>
                  </w:r>
                  <w:r w:rsidRPr="00AF64D5">
                    <w:t xml:space="preserve"> </w:t>
                  </w:r>
                </w:p>
              </w:tc>
            </w:tr>
            <w:tr w:rsidR="00AF64D5" w:rsidRPr="00AF64D5" w14:paraId="0CEBBFE7" w14:textId="77777777">
              <w:trPr>
                <w:tblCellSpacing w:w="0" w:type="dxa"/>
              </w:trPr>
              <w:tc>
                <w:tcPr>
                  <w:tcW w:w="300" w:type="dxa"/>
                  <w:shd w:val="clear" w:color="auto" w:fill="FFFFFF"/>
                  <w:vAlign w:val="center"/>
                  <w:hideMark/>
                </w:tcPr>
                <w:p w14:paraId="3B54D225" w14:textId="77777777" w:rsidR="00AF64D5" w:rsidRPr="00AF64D5" w:rsidRDefault="00AF64D5" w:rsidP="00AF64D5"/>
              </w:tc>
              <w:tc>
                <w:tcPr>
                  <w:tcW w:w="0" w:type="auto"/>
                  <w:shd w:val="clear" w:color="auto" w:fill="FFFFFF"/>
                  <w:vAlign w:val="center"/>
                  <w:hideMark/>
                </w:tcPr>
                <w:p w14:paraId="400EA564" w14:textId="77777777" w:rsidR="00AF64D5" w:rsidRPr="00AF64D5" w:rsidRDefault="00AF64D5" w:rsidP="00AF64D5">
                  <w:r w:rsidRPr="00AF64D5">
                    <w:t xml:space="preserve">It depends on the scope of the streams. Currently, we do not fall into any of the three streams. Of course, we operate within the specified parameters; however, we would need to adjust our objectives to meet the specific requirements. Additionally, since we are based solely in Western Australia and not nationally, our eligibility for certain grants is limited compared to organisations with a broader national presence. </w:t>
                  </w:r>
                </w:p>
              </w:tc>
            </w:tr>
            <w:tr w:rsidR="00AF64D5" w:rsidRPr="00AF64D5" w14:paraId="34658D3E" w14:textId="77777777">
              <w:trPr>
                <w:tblCellSpacing w:w="0" w:type="dxa"/>
              </w:trPr>
              <w:tc>
                <w:tcPr>
                  <w:tcW w:w="0" w:type="auto"/>
                  <w:gridSpan w:val="2"/>
                  <w:shd w:val="clear" w:color="auto" w:fill="EAF2FA"/>
                  <w:vAlign w:val="center"/>
                  <w:hideMark/>
                </w:tcPr>
                <w:p w14:paraId="4B2DBAD6" w14:textId="77777777" w:rsidR="00AF64D5" w:rsidRPr="00AF64D5" w:rsidRDefault="00AF64D5" w:rsidP="00AF64D5">
                  <w:r w:rsidRPr="00AF64D5">
                    <w:rPr>
                      <w:b/>
                      <w:bCs/>
                    </w:rPr>
                    <w:lastRenderedPageBreak/>
                    <w:t>4. Does the service or activity you deliver fit within one of the three funding streams? Do these streams reflect what children and families in your community need now – and what they might need in the future?</w:t>
                  </w:r>
                  <w:r w:rsidRPr="00AF64D5">
                    <w:t xml:space="preserve"> </w:t>
                  </w:r>
                </w:p>
              </w:tc>
            </w:tr>
            <w:tr w:rsidR="00AF64D5" w:rsidRPr="00AF64D5" w14:paraId="556191E3" w14:textId="77777777">
              <w:trPr>
                <w:tblCellSpacing w:w="0" w:type="dxa"/>
              </w:trPr>
              <w:tc>
                <w:tcPr>
                  <w:tcW w:w="300" w:type="dxa"/>
                  <w:shd w:val="clear" w:color="auto" w:fill="FFFFFF"/>
                  <w:vAlign w:val="center"/>
                  <w:hideMark/>
                </w:tcPr>
                <w:p w14:paraId="36E853C6" w14:textId="77777777" w:rsidR="00AF64D5" w:rsidRPr="00AF64D5" w:rsidRDefault="00AF64D5" w:rsidP="00AF64D5"/>
              </w:tc>
              <w:tc>
                <w:tcPr>
                  <w:tcW w:w="0" w:type="auto"/>
                  <w:shd w:val="clear" w:color="auto" w:fill="FFFFFF"/>
                  <w:vAlign w:val="center"/>
                  <w:hideMark/>
                </w:tcPr>
                <w:p w14:paraId="09E29B04" w14:textId="77777777" w:rsidR="00AF64D5" w:rsidRPr="00AF64D5" w:rsidRDefault="00AF64D5" w:rsidP="00AF64D5">
                  <w:r w:rsidRPr="00AF64D5">
                    <w:t xml:space="preserve">Our services are broad and align with many of the needs captured within Stream 2 and Stream 3. However, the current streams are not broad enough to fully capture what children and families in our community need. We are currently operating on the outskirts of these categories — we certainly support these clients, but the extent to which our work fits the funding requirements would need more detail and clarification. To ensure we can meet the real and evolving needs of families, the funding guidelines would need to be broader and more flexible. </w:t>
                  </w:r>
                </w:p>
              </w:tc>
            </w:tr>
            <w:tr w:rsidR="00AF64D5" w:rsidRPr="00AF64D5" w14:paraId="334D4365" w14:textId="77777777">
              <w:trPr>
                <w:tblCellSpacing w:w="0" w:type="dxa"/>
              </w:trPr>
              <w:tc>
                <w:tcPr>
                  <w:tcW w:w="0" w:type="auto"/>
                  <w:gridSpan w:val="2"/>
                  <w:shd w:val="clear" w:color="auto" w:fill="EAF2FA"/>
                  <w:vAlign w:val="center"/>
                  <w:hideMark/>
                </w:tcPr>
                <w:p w14:paraId="1B269C77" w14:textId="77777777" w:rsidR="00AF64D5" w:rsidRPr="00AF64D5" w:rsidRDefault="00AF64D5" w:rsidP="00AF64D5">
                  <w:r w:rsidRPr="00AF64D5">
                    <w:rPr>
                      <w:b/>
                      <w:bCs/>
                    </w:rPr>
                    <w:t>5. Are there other changes we could make to the program to help your organisation or community overcome current challenges?</w:t>
                  </w:r>
                  <w:r w:rsidRPr="00AF64D5">
                    <w:t xml:space="preserve"> </w:t>
                  </w:r>
                </w:p>
              </w:tc>
            </w:tr>
            <w:tr w:rsidR="00AF64D5" w:rsidRPr="00AF64D5" w14:paraId="1B7912E1" w14:textId="77777777">
              <w:trPr>
                <w:tblCellSpacing w:w="0" w:type="dxa"/>
              </w:trPr>
              <w:tc>
                <w:tcPr>
                  <w:tcW w:w="300" w:type="dxa"/>
                  <w:shd w:val="clear" w:color="auto" w:fill="FFFFFF"/>
                  <w:vAlign w:val="center"/>
                  <w:hideMark/>
                </w:tcPr>
                <w:p w14:paraId="361F3C14" w14:textId="77777777" w:rsidR="00AF64D5" w:rsidRPr="00AF64D5" w:rsidRDefault="00AF64D5" w:rsidP="00AF64D5"/>
              </w:tc>
              <w:tc>
                <w:tcPr>
                  <w:tcW w:w="0" w:type="auto"/>
                  <w:shd w:val="clear" w:color="auto" w:fill="FFFFFF"/>
                  <w:vAlign w:val="center"/>
                  <w:hideMark/>
                </w:tcPr>
                <w:p w14:paraId="6750A28E" w14:textId="77777777" w:rsidR="00AF64D5" w:rsidRPr="00AF64D5" w:rsidRDefault="00AF64D5" w:rsidP="00AF64D5">
                  <w:r w:rsidRPr="00AF64D5">
                    <w:t>Yes. There are several changes that would help our organisation and the wider community overcome current challenges:</w:t>
                  </w:r>
                  <w:r w:rsidRPr="00AF64D5">
                    <w:br/>
                  </w:r>
                  <w:r w:rsidRPr="00AF64D5">
                    <w:br/>
                    <w:t>Make the program applicable to state-based organisations, not just national providers, so local services with strong community connections can access support and deliver more targeted interventions.</w:t>
                  </w:r>
                  <w:r w:rsidRPr="00AF64D5">
                    <w:br/>
                  </w:r>
                  <w:r w:rsidRPr="00AF64D5">
                    <w:br/>
                    <w:t>Provide clearer, more accessible ways to capture and present the evidence required for funding applications. Many organisations face barriers in meeting complex evidence requirements despite doing frontline work that clearly supports children and families.</w:t>
                  </w:r>
                  <w:r w:rsidRPr="00AF64D5">
                    <w:br/>
                  </w:r>
                  <w:r w:rsidRPr="00AF64D5">
                    <w:br/>
                    <w:t>Increase the funding, as the current levels are not reflective of the workload, intensity, or complexity of support required.</w:t>
                  </w:r>
                  <w:r w:rsidRPr="00AF64D5">
                    <w:br/>
                  </w:r>
                  <w:r w:rsidRPr="00AF64D5">
                    <w:br/>
                    <w:t xml:space="preserve">In order to achieve all of these and meet the stream guidelines, it feels almost impossible when we are already under intense pressure and operating with limited funding from the start. Our service is already over capacity with </w:t>
                  </w:r>
                  <w:proofErr w:type="gramStart"/>
                  <w:r w:rsidRPr="00AF64D5">
                    <w:t>clients, and</w:t>
                  </w:r>
                  <w:proofErr w:type="gramEnd"/>
                  <w:r w:rsidRPr="00AF64D5">
                    <w:t xml:space="preserve"> expecting us to support them at such an individualised level is asking far too much for the small amount of funding being offered.</w:t>
                  </w:r>
                  <w:r w:rsidRPr="00AF64D5">
                    <w:br/>
                  </w:r>
                  <w:r w:rsidRPr="00AF64D5">
                    <w:br/>
                    <w:t xml:space="preserve">Overall, broadening eligibility, improving evidence-capture pathways, increasing funding, and ensuring realistic expectations would significantly improve outcomes for organisations and the communities they serve. </w:t>
                  </w:r>
                </w:p>
              </w:tc>
            </w:tr>
            <w:tr w:rsidR="00AF64D5" w:rsidRPr="00AF64D5" w14:paraId="44DBE63C" w14:textId="77777777">
              <w:trPr>
                <w:tblCellSpacing w:w="0" w:type="dxa"/>
              </w:trPr>
              <w:tc>
                <w:tcPr>
                  <w:tcW w:w="0" w:type="auto"/>
                  <w:gridSpan w:val="2"/>
                  <w:shd w:val="clear" w:color="auto" w:fill="EAF2FA"/>
                  <w:vAlign w:val="center"/>
                  <w:hideMark/>
                </w:tcPr>
                <w:p w14:paraId="0ED60DCB" w14:textId="77777777" w:rsidR="00AF64D5" w:rsidRPr="00AF64D5" w:rsidRDefault="00AF64D5" w:rsidP="00AF64D5">
                  <w:r w:rsidRPr="00AF64D5">
                    <w:rPr>
                      <w:b/>
                      <w:bCs/>
                    </w:rPr>
                    <w:lastRenderedPageBreak/>
                    <w:t>6. Do you agree that the four priorities listed on Page 4 are right areas for investment to improve outcomes for children and families?</w:t>
                  </w:r>
                  <w:r w:rsidRPr="00AF64D5">
                    <w:t xml:space="preserve"> </w:t>
                  </w:r>
                </w:p>
              </w:tc>
            </w:tr>
            <w:tr w:rsidR="00AF64D5" w:rsidRPr="00AF64D5" w14:paraId="3B1E92A2" w14:textId="77777777">
              <w:trPr>
                <w:tblCellSpacing w:w="0" w:type="dxa"/>
              </w:trPr>
              <w:tc>
                <w:tcPr>
                  <w:tcW w:w="300" w:type="dxa"/>
                  <w:shd w:val="clear" w:color="auto" w:fill="FFFFFF"/>
                  <w:vAlign w:val="center"/>
                  <w:hideMark/>
                </w:tcPr>
                <w:p w14:paraId="431C5C32" w14:textId="77777777" w:rsidR="00AF64D5" w:rsidRPr="00AF64D5" w:rsidRDefault="00AF64D5" w:rsidP="00AF64D5"/>
              </w:tc>
              <w:tc>
                <w:tcPr>
                  <w:tcW w:w="0" w:type="auto"/>
                  <w:shd w:val="clear" w:color="auto" w:fill="FFFFFF"/>
                  <w:vAlign w:val="center"/>
                  <w:hideMark/>
                </w:tcPr>
                <w:p w14:paraId="3209C02F" w14:textId="77777777" w:rsidR="00AF64D5" w:rsidRPr="00AF64D5" w:rsidRDefault="00AF64D5" w:rsidP="00AF64D5">
                  <w:r w:rsidRPr="00AF64D5">
                    <w:t xml:space="preserve">yes </w:t>
                  </w:r>
                </w:p>
              </w:tc>
            </w:tr>
            <w:tr w:rsidR="00AF64D5" w:rsidRPr="00AF64D5" w14:paraId="621DDD47" w14:textId="77777777">
              <w:trPr>
                <w:tblCellSpacing w:w="0" w:type="dxa"/>
              </w:trPr>
              <w:tc>
                <w:tcPr>
                  <w:tcW w:w="0" w:type="auto"/>
                  <w:gridSpan w:val="2"/>
                  <w:shd w:val="clear" w:color="auto" w:fill="EAF2FA"/>
                  <w:vAlign w:val="center"/>
                  <w:hideMark/>
                </w:tcPr>
                <w:p w14:paraId="1EEC163D" w14:textId="77777777" w:rsidR="00AF64D5" w:rsidRPr="00AF64D5" w:rsidRDefault="00AF64D5" w:rsidP="00AF64D5">
                  <w:r w:rsidRPr="00AF64D5">
                    <w:rPr>
                      <w:b/>
                      <w:bCs/>
                    </w:rPr>
                    <w:t>7. Are there any other priorities or issues you think the department should be focusing on?</w:t>
                  </w:r>
                  <w:r w:rsidRPr="00AF64D5">
                    <w:t xml:space="preserve"> </w:t>
                  </w:r>
                </w:p>
              </w:tc>
            </w:tr>
            <w:tr w:rsidR="00AF64D5" w:rsidRPr="00AF64D5" w14:paraId="196AB478" w14:textId="77777777">
              <w:trPr>
                <w:tblCellSpacing w:w="0" w:type="dxa"/>
              </w:trPr>
              <w:tc>
                <w:tcPr>
                  <w:tcW w:w="300" w:type="dxa"/>
                  <w:shd w:val="clear" w:color="auto" w:fill="FFFFFF"/>
                  <w:vAlign w:val="center"/>
                  <w:hideMark/>
                </w:tcPr>
                <w:p w14:paraId="2EBED2B2" w14:textId="77777777" w:rsidR="00AF64D5" w:rsidRPr="00AF64D5" w:rsidRDefault="00AF64D5" w:rsidP="00AF64D5"/>
              </w:tc>
              <w:tc>
                <w:tcPr>
                  <w:tcW w:w="0" w:type="auto"/>
                  <w:shd w:val="clear" w:color="auto" w:fill="FFFFFF"/>
                  <w:vAlign w:val="center"/>
                  <w:hideMark/>
                </w:tcPr>
                <w:p w14:paraId="69A5D1B3" w14:textId="77777777" w:rsidR="00AF64D5" w:rsidRPr="00AF64D5" w:rsidRDefault="00AF64D5" w:rsidP="00AF64D5">
                  <w:r w:rsidRPr="00AF64D5">
                    <w:t xml:space="preserve">Yes. The department should focus on court wait times and the wait times for services currently offering support. These delays significantly affect families’ access to timely assistance and can worsen their situations. Increasing funding to reduce these wait times would help ensure that families receive the support they need when they need it, improving outcomes and the effectiveness of existing services. </w:t>
                  </w:r>
                </w:p>
              </w:tc>
            </w:tr>
            <w:tr w:rsidR="00AF64D5" w:rsidRPr="00AF64D5" w14:paraId="0C67195E" w14:textId="77777777">
              <w:trPr>
                <w:tblCellSpacing w:w="0" w:type="dxa"/>
              </w:trPr>
              <w:tc>
                <w:tcPr>
                  <w:tcW w:w="0" w:type="auto"/>
                  <w:gridSpan w:val="2"/>
                  <w:shd w:val="clear" w:color="auto" w:fill="EAF2FA"/>
                  <w:vAlign w:val="center"/>
                  <w:hideMark/>
                </w:tcPr>
                <w:p w14:paraId="2D9A1D69" w14:textId="77777777" w:rsidR="00AF64D5" w:rsidRPr="00AF64D5" w:rsidRDefault="00AF64D5" w:rsidP="00AF64D5">
                  <w:r w:rsidRPr="00AF64D5">
                    <w:rPr>
                      <w:b/>
                      <w:bCs/>
                    </w:rPr>
                    <w:t>8. Do the proposed focus areas – like supporting families at risk of child protection involvement and young parents match the needs or priorities of your service?</w:t>
                  </w:r>
                  <w:r w:rsidRPr="00AF64D5">
                    <w:t xml:space="preserve"> </w:t>
                  </w:r>
                </w:p>
              </w:tc>
            </w:tr>
            <w:tr w:rsidR="00AF64D5" w:rsidRPr="00AF64D5" w14:paraId="06BE3752" w14:textId="77777777">
              <w:trPr>
                <w:tblCellSpacing w:w="0" w:type="dxa"/>
              </w:trPr>
              <w:tc>
                <w:tcPr>
                  <w:tcW w:w="300" w:type="dxa"/>
                  <w:shd w:val="clear" w:color="auto" w:fill="FFFFFF"/>
                  <w:vAlign w:val="center"/>
                  <w:hideMark/>
                </w:tcPr>
                <w:p w14:paraId="6A44E4EA" w14:textId="77777777" w:rsidR="00AF64D5" w:rsidRPr="00AF64D5" w:rsidRDefault="00AF64D5" w:rsidP="00AF64D5"/>
              </w:tc>
              <w:tc>
                <w:tcPr>
                  <w:tcW w:w="0" w:type="auto"/>
                  <w:shd w:val="clear" w:color="auto" w:fill="FFFFFF"/>
                  <w:vAlign w:val="center"/>
                  <w:hideMark/>
                </w:tcPr>
                <w:p w14:paraId="700EE6EE" w14:textId="77777777" w:rsidR="00AF64D5" w:rsidRPr="00AF64D5" w:rsidRDefault="00AF64D5" w:rsidP="00AF64D5">
                  <w:r w:rsidRPr="00AF64D5">
                    <w:t xml:space="preserve">No </w:t>
                  </w:r>
                </w:p>
              </w:tc>
            </w:tr>
            <w:tr w:rsidR="00AF64D5" w:rsidRPr="00AF64D5" w14:paraId="68E9FA30" w14:textId="77777777">
              <w:trPr>
                <w:tblCellSpacing w:w="0" w:type="dxa"/>
              </w:trPr>
              <w:tc>
                <w:tcPr>
                  <w:tcW w:w="0" w:type="auto"/>
                  <w:gridSpan w:val="2"/>
                  <w:shd w:val="clear" w:color="auto" w:fill="EAF2FA"/>
                  <w:vAlign w:val="center"/>
                  <w:hideMark/>
                </w:tcPr>
                <w:p w14:paraId="4A5CE5D5" w14:textId="77777777" w:rsidR="00AF64D5" w:rsidRPr="00AF64D5" w:rsidRDefault="00AF64D5" w:rsidP="00AF64D5">
                  <w:r w:rsidRPr="00AF64D5">
                    <w:rPr>
                      <w:b/>
                      <w:bCs/>
                    </w:rPr>
                    <w:t>9. Are there other groups in your community, or different approaches, that you think the department should consider to better support family wellbeing?</w:t>
                  </w:r>
                  <w:r w:rsidRPr="00AF64D5">
                    <w:t xml:space="preserve"> </w:t>
                  </w:r>
                </w:p>
              </w:tc>
            </w:tr>
            <w:tr w:rsidR="00AF64D5" w:rsidRPr="00AF64D5" w14:paraId="6A0F6597" w14:textId="77777777">
              <w:trPr>
                <w:tblCellSpacing w:w="0" w:type="dxa"/>
              </w:trPr>
              <w:tc>
                <w:tcPr>
                  <w:tcW w:w="300" w:type="dxa"/>
                  <w:shd w:val="clear" w:color="auto" w:fill="FFFFFF"/>
                  <w:vAlign w:val="center"/>
                  <w:hideMark/>
                </w:tcPr>
                <w:p w14:paraId="732FED29" w14:textId="77777777" w:rsidR="00AF64D5" w:rsidRPr="00AF64D5" w:rsidRDefault="00AF64D5" w:rsidP="00AF64D5"/>
              </w:tc>
              <w:tc>
                <w:tcPr>
                  <w:tcW w:w="0" w:type="auto"/>
                  <w:shd w:val="clear" w:color="auto" w:fill="FFFFFF"/>
                  <w:vAlign w:val="center"/>
                  <w:hideMark/>
                </w:tcPr>
                <w:p w14:paraId="10AA230D" w14:textId="77777777" w:rsidR="00AF64D5" w:rsidRPr="00AF64D5" w:rsidRDefault="00AF64D5" w:rsidP="00AF64D5">
                  <w:r w:rsidRPr="00AF64D5">
                    <w:t>Yes. The department should consider supporting a range of community-based groups and frontline services that play a critical role in family wellbeing. This includes mothers’ groups, youth groups, churches and faith-based organisations that offer outreach programs such as food, clothing, housing assistance, and emotional support; and other **frontline services** like Salvation Army, Anglicare, and local not-for-profits that respond directly to immediate needs.</w:t>
                  </w:r>
                  <w:r w:rsidRPr="00AF64D5">
                    <w:br/>
                  </w:r>
                  <w:r w:rsidRPr="00AF64D5">
                    <w:br/>
                    <w:t xml:space="preserve">These groups are often the most effective at engaging families, providing practical support, and fostering community connections that strengthen family wellbeing. </w:t>
                  </w:r>
                </w:p>
              </w:tc>
            </w:tr>
            <w:tr w:rsidR="00AF64D5" w:rsidRPr="00AF64D5" w14:paraId="3A8EB4AC" w14:textId="77777777">
              <w:trPr>
                <w:tblCellSpacing w:w="0" w:type="dxa"/>
              </w:trPr>
              <w:tc>
                <w:tcPr>
                  <w:tcW w:w="0" w:type="auto"/>
                  <w:gridSpan w:val="2"/>
                  <w:shd w:val="clear" w:color="auto" w:fill="EAF2FA"/>
                  <w:vAlign w:val="center"/>
                  <w:hideMark/>
                </w:tcPr>
                <w:p w14:paraId="6BB930B6" w14:textId="77777777" w:rsidR="00AF64D5" w:rsidRPr="00AF64D5" w:rsidRDefault="00AF64D5" w:rsidP="00AF64D5">
                  <w:r w:rsidRPr="00AF64D5">
                    <w:rPr>
                      <w:b/>
                      <w:bCs/>
                    </w:rPr>
                    <w:t>10. What are other effective ways, beyond co-location, that you’ve seen work well to connect and coordinate services for families?</w:t>
                  </w:r>
                  <w:r w:rsidRPr="00AF64D5">
                    <w:t xml:space="preserve"> </w:t>
                  </w:r>
                </w:p>
              </w:tc>
            </w:tr>
            <w:tr w:rsidR="00AF64D5" w:rsidRPr="00AF64D5" w14:paraId="3CB460A2" w14:textId="77777777">
              <w:trPr>
                <w:tblCellSpacing w:w="0" w:type="dxa"/>
              </w:trPr>
              <w:tc>
                <w:tcPr>
                  <w:tcW w:w="300" w:type="dxa"/>
                  <w:shd w:val="clear" w:color="auto" w:fill="FFFFFF"/>
                  <w:vAlign w:val="center"/>
                  <w:hideMark/>
                </w:tcPr>
                <w:p w14:paraId="0FB5FC62" w14:textId="77777777" w:rsidR="00AF64D5" w:rsidRPr="00AF64D5" w:rsidRDefault="00AF64D5" w:rsidP="00AF64D5"/>
              </w:tc>
              <w:tc>
                <w:tcPr>
                  <w:tcW w:w="0" w:type="auto"/>
                  <w:shd w:val="clear" w:color="auto" w:fill="FFFFFF"/>
                  <w:vAlign w:val="center"/>
                  <w:hideMark/>
                </w:tcPr>
                <w:p w14:paraId="53A00388" w14:textId="77777777" w:rsidR="00AF64D5" w:rsidRPr="00AF64D5" w:rsidRDefault="00AF64D5" w:rsidP="00AF64D5">
                  <w:r w:rsidRPr="00AF64D5">
                    <w:t xml:space="preserve">Beyond co-location, strong community connections have proven to be very effective in coordinating services for families. </w:t>
                  </w:r>
                  <w:proofErr w:type="gramStart"/>
                  <w:r w:rsidRPr="00AF64D5">
                    <w:t>In particular, churches</w:t>
                  </w:r>
                  <w:proofErr w:type="gramEnd"/>
                  <w:r w:rsidRPr="00AF64D5">
                    <w:t xml:space="preserve"> and frontline organisations like the Salvation Army and Anglicare are often the only services actively providing immediate, practical support—such as food, housing, and clothing. They excel at creating community connections and meeting urgent needs </w:t>
                  </w:r>
                  <w:r w:rsidRPr="00AF64D5">
                    <w:lastRenderedPageBreak/>
                    <w:t xml:space="preserve">directly. In areas where government organisations or departments lack this hands-on presence, these frontline services are frequently the only ones truly helping the community with tangible, practical solutions. </w:t>
                  </w:r>
                </w:p>
              </w:tc>
            </w:tr>
            <w:tr w:rsidR="00AF64D5" w:rsidRPr="00AF64D5" w14:paraId="6CF20E58" w14:textId="77777777">
              <w:trPr>
                <w:tblCellSpacing w:w="0" w:type="dxa"/>
              </w:trPr>
              <w:tc>
                <w:tcPr>
                  <w:tcW w:w="0" w:type="auto"/>
                  <w:gridSpan w:val="2"/>
                  <w:shd w:val="clear" w:color="auto" w:fill="EAF2FA"/>
                  <w:vAlign w:val="center"/>
                  <w:hideMark/>
                </w:tcPr>
                <w:p w14:paraId="6EEBF3BA" w14:textId="77777777" w:rsidR="00AF64D5" w:rsidRPr="00AF64D5" w:rsidRDefault="00AF64D5" w:rsidP="00AF64D5">
                  <w:r w:rsidRPr="00AF64D5">
                    <w:rPr>
                      <w:b/>
                      <w:bCs/>
                    </w:rPr>
                    <w:lastRenderedPageBreak/>
                    <w:t>11. What would you highlight in a grant application to demonstrate a service is connected to the community it serves? What should applicants be assessed on?</w:t>
                  </w:r>
                  <w:r w:rsidRPr="00AF64D5">
                    <w:t xml:space="preserve"> </w:t>
                  </w:r>
                </w:p>
              </w:tc>
            </w:tr>
            <w:tr w:rsidR="00AF64D5" w:rsidRPr="00AF64D5" w14:paraId="1D7FD521" w14:textId="77777777">
              <w:trPr>
                <w:tblCellSpacing w:w="0" w:type="dxa"/>
              </w:trPr>
              <w:tc>
                <w:tcPr>
                  <w:tcW w:w="300" w:type="dxa"/>
                  <w:shd w:val="clear" w:color="auto" w:fill="FFFFFF"/>
                  <w:vAlign w:val="center"/>
                  <w:hideMark/>
                </w:tcPr>
                <w:p w14:paraId="1D1D35D7" w14:textId="77777777" w:rsidR="00AF64D5" w:rsidRPr="00AF64D5" w:rsidRDefault="00AF64D5" w:rsidP="00AF64D5"/>
              </w:tc>
              <w:tc>
                <w:tcPr>
                  <w:tcW w:w="0" w:type="auto"/>
                  <w:shd w:val="clear" w:color="auto" w:fill="FFFFFF"/>
                  <w:vAlign w:val="center"/>
                  <w:hideMark/>
                </w:tcPr>
                <w:p w14:paraId="04A733EE" w14:textId="77777777" w:rsidR="00AF64D5" w:rsidRPr="00AF64D5" w:rsidRDefault="00AF64D5" w:rsidP="00AF64D5">
                  <w:r w:rsidRPr="00AF64D5">
                    <w:t xml:space="preserve">In a grant application, a service’s connection to the community can be demonstrated by the number of clients they see, the tangible help clients receive, and the number of returning clients who found the service useful and have reengaged. Applicants should be assessed on their reach, the effectiveness of their support, and evidence of ongoing engagement and trust within the community. </w:t>
                  </w:r>
                </w:p>
              </w:tc>
            </w:tr>
            <w:tr w:rsidR="00AF64D5" w:rsidRPr="00AF64D5" w14:paraId="064B3663" w14:textId="77777777">
              <w:trPr>
                <w:tblCellSpacing w:w="0" w:type="dxa"/>
              </w:trPr>
              <w:tc>
                <w:tcPr>
                  <w:tcW w:w="0" w:type="auto"/>
                  <w:gridSpan w:val="2"/>
                  <w:shd w:val="clear" w:color="auto" w:fill="EAF2FA"/>
                  <w:vAlign w:val="center"/>
                  <w:hideMark/>
                </w:tcPr>
                <w:p w14:paraId="4C201826" w14:textId="77777777" w:rsidR="00AF64D5" w:rsidRPr="00AF64D5" w:rsidRDefault="00AF64D5" w:rsidP="00AF64D5">
                  <w:r w:rsidRPr="00AF64D5">
                    <w:rPr>
                      <w:b/>
                      <w:bCs/>
                    </w:rPr>
                    <w:t xml:space="preserve">12. Beyond locational disadvantage, what other factors should the department consider </w:t>
                  </w:r>
                  <w:proofErr w:type="gramStart"/>
                  <w:r w:rsidRPr="00AF64D5">
                    <w:rPr>
                      <w:b/>
                      <w:bCs/>
                    </w:rPr>
                    <w:t>to make sure</w:t>
                  </w:r>
                  <w:proofErr w:type="gramEnd"/>
                  <w:r w:rsidRPr="00AF64D5">
                    <w:rPr>
                      <w:b/>
                      <w:bCs/>
                    </w:rPr>
                    <w:t xml:space="preserve"> funding reflects the needs of communities?</w:t>
                  </w:r>
                  <w:r w:rsidRPr="00AF64D5">
                    <w:t xml:space="preserve"> </w:t>
                  </w:r>
                </w:p>
              </w:tc>
            </w:tr>
            <w:tr w:rsidR="00AF64D5" w:rsidRPr="00AF64D5" w14:paraId="77BA01EE" w14:textId="77777777">
              <w:trPr>
                <w:tblCellSpacing w:w="0" w:type="dxa"/>
              </w:trPr>
              <w:tc>
                <w:tcPr>
                  <w:tcW w:w="300" w:type="dxa"/>
                  <w:shd w:val="clear" w:color="auto" w:fill="FFFFFF"/>
                  <w:vAlign w:val="center"/>
                  <w:hideMark/>
                </w:tcPr>
                <w:p w14:paraId="0E721982" w14:textId="77777777" w:rsidR="00AF64D5" w:rsidRPr="00AF64D5" w:rsidRDefault="00AF64D5" w:rsidP="00AF64D5"/>
              </w:tc>
              <w:tc>
                <w:tcPr>
                  <w:tcW w:w="0" w:type="auto"/>
                  <w:shd w:val="clear" w:color="auto" w:fill="FFFFFF"/>
                  <w:vAlign w:val="center"/>
                  <w:hideMark/>
                </w:tcPr>
                <w:p w14:paraId="4A4943C7" w14:textId="77777777" w:rsidR="00AF64D5" w:rsidRPr="00AF64D5" w:rsidRDefault="00AF64D5" w:rsidP="00AF64D5">
                  <w:r w:rsidRPr="00AF64D5">
                    <w:t xml:space="preserve">The department should </w:t>
                  </w:r>
                  <w:proofErr w:type="gramStart"/>
                  <w:r w:rsidRPr="00AF64D5">
                    <w:t>take into account</w:t>
                  </w:r>
                  <w:proofErr w:type="gramEnd"/>
                  <w:r w:rsidRPr="00AF64D5">
                    <w:t xml:space="preserve"> the demand versus capacity of local organisations to meet complex and emerging needs. Additionally, funding should be distributed equitably across communities, ensuring it is not concentrated in specific groups, and across organisations, so it does not remain with the same organisations each time, allowing more services to contribute. Considering these factors would help ensure funding is targeted to communities with the greatest need and allocated in a way that maximises positive impact for all families. </w:t>
                  </w:r>
                </w:p>
              </w:tc>
            </w:tr>
            <w:tr w:rsidR="00AF64D5" w:rsidRPr="00AF64D5" w14:paraId="47287E78" w14:textId="77777777">
              <w:trPr>
                <w:tblCellSpacing w:w="0" w:type="dxa"/>
              </w:trPr>
              <w:tc>
                <w:tcPr>
                  <w:tcW w:w="0" w:type="auto"/>
                  <w:gridSpan w:val="2"/>
                  <w:shd w:val="clear" w:color="auto" w:fill="EAF2FA"/>
                  <w:vAlign w:val="center"/>
                  <w:hideMark/>
                </w:tcPr>
                <w:p w14:paraId="35E90318" w14:textId="77777777" w:rsidR="00AF64D5" w:rsidRPr="00AF64D5" w:rsidRDefault="00AF64D5" w:rsidP="00AF64D5">
                  <w:r w:rsidRPr="00AF64D5">
                    <w:rPr>
                      <w:b/>
                      <w:bCs/>
                    </w:rPr>
                    <w:t>13. What’s the best way for organisations to show in grant applications, that their service is genuinely meeting the needs of the community?</w:t>
                  </w:r>
                  <w:r w:rsidRPr="00AF64D5">
                    <w:t xml:space="preserve"> </w:t>
                  </w:r>
                </w:p>
              </w:tc>
            </w:tr>
            <w:tr w:rsidR="00AF64D5" w:rsidRPr="00AF64D5" w14:paraId="122E4576" w14:textId="77777777">
              <w:trPr>
                <w:tblCellSpacing w:w="0" w:type="dxa"/>
              </w:trPr>
              <w:tc>
                <w:tcPr>
                  <w:tcW w:w="300" w:type="dxa"/>
                  <w:shd w:val="clear" w:color="auto" w:fill="FFFFFF"/>
                  <w:vAlign w:val="center"/>
                  <w:hideMark/>
                </w:tcPr>
                <w:p w14:paraId="778897C2" w14:textId="77777777" w:rsidR="00AF64D5" w:rsidRPr="00AF64D5" w:rsidRDefault="00AF64D5" w:rsidP="00AF64D5"/>
              </w:tc>
              <w:tc>
                <w:tcPr>
                  <w:tcW w:w="0" w:type="auto"/>
                  <w:shd w:val="clear" w:color="auto" w:fill="FFFFFF"/>
                  <w:vAlign w:val="center"/>
                  <w:hideMark/>
                </w:tcPr>
                <w:p w14:paraId="4E32E955" w14:textId="77777777" w:rsidR="00AF64D5" w:rsidRPr="00AF64D5" w:rsidRDefault="00AF64D5" w:rsidP="00AF64D5">
                  <w:r w:rsidRPr="00AF64D5">
                    <w:t xml:space="preserve">The best way for organisations to show that their service is genuinely meeting the needs of the community is through evidence of direct impact and ongoing engagement. This can be captured by tracking the number of clients served, the type and effectiveness of support provided, and the number of returning clients who have reengaged because they found the service valuable. Collecting client feedback, testimonials, and case studies, as well as demonstrating partnerships with other local services, further illustrates that the organisation is responsive, effective, and trusted within the community. </w:t>
                  </w:r>
                </w:p>
              </w:tc>
            </w:tr>
            <w:tr w:rsidR="00AF64D5" w:rsidRPr="00AF64D5" w14:paraId="64420E20" w14:textId="77777777">
              <w:trPr>
                <w:tblCellSpacing w:w="0" w:type="dxa"/>
              </w:trPr>
              <w:tc>
                <w:tcPr>
                  <w:tcW w:w="0" w:type="auto"/>
                  <w:gridSpan w:val="2"/>
                  <w:shd w:val="clear" w:color="auto" w:fill="EAF2FA"/>
                  <w:vAlign w:val="center"/>
                  <w:hideMark/>
                </w:tcPr>
                <w:p w14:paraId="142B82B5" w14:textId="77777777" w:rsidR="00AF64D5" w:rsidRPr="00AF64D5" w:rsidRDefault="00AF64D5" w:rsidP="00AF64D5">
                  <w:r w:rsidRPr="00AF64D5">
                    <w:rPr>
                      <w:b/>
                      <w:bCs/>
                    </w:rPr>
                    <w:t>14. How could the grant process be designed to support and increase the number of ACCOs delivering services to children and families?</w:t>
                  </w:r>
                  <w:r w:rsidRPr="00AF64D5">
                    <w:t xml:space="preserve"> </w:t>
                  </w:r>
                </w:p>
              </w:tc>
            </w:tr>
            <w:tr w:rsidR="00AF64D5" w:rsidRPr="00AF64D5" w14:paraId="39025830" w14:textId="77777777">
              <w:trPr>
                <w:tblCellSpacing w:w="0" w:type="dxa"/>
              </w:trPr>
              <w:tc>
                <w:tcPr>
                  <w:tcW w:w="300" w:type="dxa"/>
                  <w:shd w:val="clear" w:color="auto" w:fill="FFFFFF"/>
                  <w:vAlign w:val="center"/>
                  <w:hideMark/>
                </w:tcPr>
                <w:p w14:paraId="5524E08D" w14:textId="77777777" w:rsidR="00AF64D5" w:rsidRPr="00AF64D5" w:rsidRDefault="00AF64D5" w:rsidP="00AF64D5"/>
              </w:tc>
              <w:tc>
                <w:tcPr>
                  <w:tcW w:w="0" w:type="auto"/>
                  <w:shd w:val="clear" w:color="auto" w:fill="FFFFFF"/>
                  <w:vAlign w:val="center"/>
                  <w:hideMark/>
                </w:tcPr>
                <w:p w14:paraId="02C775E4" w14:textId="77777777" w:rsidR="00AF64D5" w:rsidRPr="00AF64D5" w:rsidRDefault="00AF64D5" w:rsidP="00AF64D5">
                  <w:r w:rsidRPr="00AF64D5">
                    <w:t xml:space="preserve">The grant process could better support and increase the number of ACCOs delivering services to children and families by making the system more accessible, </w:t>
                  </w:r>
                  <w:r w:rsidRPr="00AF64D5">
                    <w:lastRenderedPageBreak/>
                    <w:t xml:space="preserve">flexible, and supportive of cultural leadership. This could include simplifying application requirements, offering hands-on guidance during the application stage, and providing longer lead times so smaller ACCOs can prepare strong proposals. Providing capacity-building support—such as training, mentoring, and help with governance or reporting—would also enable ACCOs to compete fairly. Finally, ensuring transparent processes and equitable fund distribution would help create a more supportive environment where more ACCOs are able to deliver impactful services for children and families. </w:t>
                  </w:r>
                </w:p>
              </w:tc>
            </w:tr>
            <w:tr w:rsidR="00AF64D5" w:rsidRPr="00AF64D5" w14:paraId="0E1EC282" w14:textId="77777777">
              <w:trPr>
                <w:tblCellSpacing w:w="0" w:type="dxa"/>
              </w:trPr>
              <w:tc>
                <w:tcPr>
                  <w:tcW w:w="0" w:type="auto"/>
                  <w:gridSpan w:val="2"/>
                  <w:shd w:val="clear" w:color="auto" w:fill="EAF2FA"/>
                  <w:vAlign w:val="center"/>
                  <w:hideMark/>
                </w:tcPr>
                <w:p w14:paraId="29FDF14C" w14:textId="77777777" w:rsidR="00AF64D5" w:rsidRPr="00AF64D5" w:rsidRDefault="00AF64D5" w:rsidP="00AF64D5">
                  <w:r w:rsidRPr="00AF64D5">
                    <w:rPr>
                      <w:b/>
                      <w:bCs/>
                    </w:rPr>
                    <w:lastRenderedPageBreak/>
                    <w:t>15. What else should be built into the program design to help improve outcomes for Aboriginal and Torres Strait Islander children and families?</w:t>
                  </w:r>
                  <w:r w:rsidRPr="00AF64D5">
                    <w:t xml:space="preserve"> </w:t>
                  </w:r>
                </w:p>
              </w:tc>
            </w:tr>
            <w:tr w:rsidR="00AF64D5" w:rsidRPr="00AF64D5" w14:paraId="0E20D25B" w14:textId="77777777">
              <w:trPr>
                <w:tblCellSpacing w:w="0" w:type="dxa"/>
              </w:trPr>
              <w:tc>
                <w:tcPr>
                  <w:tcW w:w="300" w:type="dxa"/>
                  <w:shd w:val="clear" w:color="auto" w:fill="FFFFFF"/>
                  <w:vAlign w:val="center"/>
                  <w:hideMark/>
                </w:tcPr>
                <w:p w14:paraId="4D18BD28" w14:textId="77777777" w:rsidR="00AF64D5" w:rsidRPr="00AF64D5" w:rsidRDefault="00AF64D5" w:rsidP="00AF64D5"/>
              </w:tc>
              <w:tc>
                <w:tcPr>
                  <w:tcW w:w="0" w:type="auto"/>
                  <w:shd w:val="clear" w:color="auto" w:fill="FFFFFF"/>
                  <w:vAlign w:val="center"/>
                  <w:hideMark/>
                </w:tcPr>
                <w:p w14:paraId="491D8FC2" w14:textId="77777777" w:rsidR="00AF64D5" w:rsidRPr="00AF64D5" w:rsidRDefault="00AF64D5" w:rsidP="00AF64D5">
                  <w:r w:rsidRPr="00AF64D5">
                    <w:t xml:space="preserve">To improve outcomes for Aboriginal and Torres Strait Islander children and families, programs should be community-led and holistic, incorporating family and community engagement, flexible locally tailored approaches, strengths-based practices, and evaluation methods that meaningfully involve the community. </w:t>
                  </w:r>
                </w:p>
              </w:tc>
            </w:tr>
            <w:tr w:rsidR="00AF64D5" w:rsidRPr="00AF64D5" w14:paraId="5F5C2163" w14:textId="77777777">
              <w:trPr>
                <w:tblCellSpacing w:w="0" w:type="dxa"/>
              </w:trPr>
              <w:tc>
                <w:tcPr>
                  <w:tcW w:w="0" w:type="auto"/>
                  <w:gridSpan w:val="2"/>
                  <w:shd w:val="clear" w:color="auto" w:fill="EAF2FA"/>
                  <w:vAlign w:val="center"/>
                  <w:hideMark/>
                </w:tcPr>
                <w:p w14:paraId="1C32AE79" w14:textId="77777777" w:rsidR="00AF64D5" w:rsidRPr="00AF64D5" w:rsidRDefault="00AF64D5" w:rsidP="00AF64D5">
                  <w:r w:rsidRPr="00AF64D5">
                    <w:rPr>
                      <w:b/>
                      <w:bCs/>
                    </w:rPr>
                    <w:t>16. What types of data would help your organisation better understand its impact and continuously improve its services?</w:t>
                  </w:r>
                  <w:r w:rsidRPr="00AF64D5">
                    <w:t xml:space="preserve"> </w:t>
                  </w:r>
                </w:p>
              </w:tc>
            </w:tr>
            <w:tr w:rsidR="00AF64D5" w:rsidRPr="00AF64D5" w14:paraId="02BCF855" w14:textId="77777777">
              <w:trPr>
                <w:tblCellSpacing w:w="0" w:type="dxa"/>
              </w:trPr>
              <w:tc>
                <w:tcPr>
                  <w:tcW w:w="300" w:type="dxa"/>
                  <w:shd w:val="clear" w:color="auto" w:fill="FFFFFF"/>
                  <w:vAlign w:val="center"/>
                  <w:hideMark/>
                </w:tcPr>
                <w:p w14:paraId="6C79AD1A" w14:textId="77777777" w:rsidR="00AF64D5" w:rsidRPr="00AF64D5" w:rsidRDefault="00AF64D5" w:rsidP="00AF64D5"/>
              </w:tc>
              <w:tc>
                <w:tcPr>
                  <w:tcW w:w="0" w:type="auto"/>
                  <w:shd w:val="clear" w:color="auto" w:fill="FFFFFF"/>
                  <w:vAlign w:val="center"/>
                  <w:hideMark/>
                </w:tcPr>
                <w:p w14:paraId="12F2ABFE" w14:textId="77777777" w:rsidR="00AF64D5" w:rsidRPr="00AF64D5" w:rsidRDefault="00AF64D5" w:rsidP="00AF64D5">
                  <w:r w:rsidRPr="00AF64D5">
                    <w:t xml:space="preserve">It would be useful to collect data on client outcomes and success rates after using our support, including follow-up results over time. Information on who uses our services, the type and intensity of support they receive, and which clients benefit most from specific interventions would help us identify what works well. Gathering client feedback, staff insights, and operational data such as waiting times or engagement patterns would also strengthen our ability to refine services, address gaps, and demonstrate meaningful impact. </w:t>
                  </w:r>
                </w:p>
              </w:tc>
            </w:tr>
            <w:tr w:rsidR="00AF64D5" w:rsidRPr="00AF64D5" w14:paraId="6C017623" w14:textId="77777777">
              <w:trPr>
                <w:tblCellSpacing w:w="0" w:type="dxa"/>
              </w:trPr>
              <w:tc>
                <w:tcPr>
                  <w:tcW w:w="0" w:type="auto"/>
                  <w:gridSpan w:val="2"/>
                  <w:shd w:val="clear" w:color="auto" w:fill="EAF2FA"/>
                  <w:vAlign w:val="center"/>
                  <w:hideMark/>
                </w:tcPr>
                <w:p w14:paraId="268F8C2E" w14:textId="77777777" w:rsidR="00AF64D5" w:rsidRPr="00AF64D5" w:rsidRDefault="00AF64D5" w:rsidP="00AF64D5">
                  <w:r w:rsidRPr="00AF64D5">
                    <w:rPr>
                      <w:b/>
                      <w:bCs/>
                    </w:rPr>
                    <w:t>17. What kinds of data or information would be most valuable for you to share, to show how your service is positively impacting children and families?</w:t>
                  </w:r>
                  <w:r w:rsidRPr="00AF64D5">
                    <w:t xml:space="preserve"> </w:t>
                  </w:r>
                </w:p>
              </w:tc>
            </w:tr>
            <w:tr w:rsidR="00AF64D5" w:rsidRPr="00AF64D5" w14:paraId="2CBE021E" w14:textId="77777777">
              <w:trPr>
                <w:tblCellSpacing w:w="0" w:type="dxa"/>
              </w:trPr>
              <w:tc>
                <w:tcPr>
                  <w:tcW w:w="300" w:type="dxa"/>
                  <w:shd w:val="clear" w:color="auto" w:fill="FFFFFF"/>
                  <w:vAlign w:val="center"/>
                  <w:hideMark/>
                </w:tcPr>
                <w:p w14:paraId="0F1DFAC1" w14:textId="77777777" w:rsidR="00AF64D5" w:rsidRPr="00AF64D5" w:rsidRDefault="00AF64D5" w:rsidP="00AF64D5"/>
              </w:tc>
              <w:tc>
                <w:tcPr>
                  <w:tcW w:w="0" w:type="auto"/>
                  <w:shd w:val="clear" w:color="auto" w:fill="FFFFFF"/>
                  <w:vAlign w:val="center"/>
                  <w:hideMark/>
                </w:tcPr>
                <w:p w14:paraId="0C297018" w14:textId="77777777" w:rsidR="00AF64D5" w:rsidRPr="00AF64D5" w:rsidRDefault="00AF64D5" w:rsidP="00AF64D5">
                  <w:r w:rsidRPr="00AF64D5">
                    <w:t xml:space="preserve">It would include clear indicators of change in family circumstances. This could involve any reductions in family violence, signs of improved financial stability or decreased poverty-related stress, and noticeable improvements in children’s school behaviour, attendance, or engagement. Together, these data points would provide a strong picture of how our support is contributing to safer, more stable, and more positive outcomes for families. </w:t>
                  </w:r>
                </w:p>
              </w:tc>
            </w:tr>
            <w:tr w:rsidR="00AF64D5" w:rsidRPr="00AF64D5" w14:paraId="6539277E" w14:textId="77777777">
              <w:trPr>
                <w:tblCellSpacing w:w="0" w:type="dxa"/>
              </w:trPr>
              <w:tc>
                <w:tcPr>
                  <w:tcW w:w="0" w:type="auto"/>
                  <w:gridSpan w:val="2"/>
                  <w:shd w:val="clear" w:color="auto" w:fill="EAF2FA"/>
                  <w:vAlign w:val="center"/>
                  <w:hideMark/>
                </w:tcPr>
                <w:p w14:paraId="1063F19F" w14:textId="77777777" w:rsidR="00AF64D5" w:rsidRPr="00AF64D5" w:rsidRDefault="00AF64D5" w:rsidP="00AF64D5">
                  <w:r w:rsidRPr="00AF64D5">
                    <w:rPr>
                      <w:b/>
                      <w:bCs/>
                    </w:rPr>
                    <w:t>18. If your organisation currently reports in the Data Exchange (DEX), what SCORE Circumstances domain is most relevant to the service you deliver?</w:t>
                  </w:r>
                  <w:r w:rsidRPr="00AF64D5">
                    <w:t xml:space="preserve"> </w:t>
                  </w:r>
                </w:p>
              </w:tc>
            </w:tr>
            <w:tr w:rsidR="00AF64D5" w:rsidRPr="00AF64D5" w14:paraId="41FDCCE7" w14:textId="77777777">
              <w:trPr>
                <w:tblCellSpacing w:w="0" w:type="dxa"/>
              </w:trPr>
              <w:tc>
                <w:tcPr>
                  <w:tcW w:w="300" w:type="dxa"/>
                  <w:shd w:val="clear" w:color="auto" w:fill="FFFFFF"/>
                  <w:vAlign w:val="center"/>
                  <w:hideMark/>
                </w:tcPr>
                <w:p w14:paraId="5CACF898" w14:textId="77777777" w:rsidR="00AF64D5" w:rsidRPr="00AF64D5" w:rsidRDefault="00AF64D5" w:rsidP="00AF64D5"/>
              </w:tc>
              <w:tc>
                <w:tcPr>
                  <w:tcW w:w="0" w:type="auto"/>
                  <w:shd w:val="clear" w:color="auto" w:fill="FFFFFF"/>
                  <w:vAlign w:val="center"/>
                  <w:hideMark/>
                </w:tcPr>
                <w:p w14:paraId="72C9C7AA" w14:textId="77777777" w:rsidR="00AF64D5" w:rsidRPr="00AF64D5" w:rsidRDefault="00AF64D5" w:rsidP="00AF64D5">
                  <w:proofErr w:type="gramStart"/>
                  <w:r w:rsidRPr="00AF64D5">
                    <w:t>No</w:t>
                  </w:r>
                  <w:proofErr w:type="gramEnd"/>
                  <w:r w:rsidRPr="00AF64D5">
                    <w:t xml:space="preserve"> we do not. </w:t>
                  </w:r>
                </w:p>
              </w:tc>
            </w:tr>
            <w:tr w:rsidR="00AF64D5" w:rsidRPr="00AF64D5" w14:paraId="6B32884D" w14:textId="77777777">
              <w:trPr>
                <w:tblCellSpacing w:w="0" w:type="dxa"/>
              </w:trPr>
              <w:tc>
                <w:tcPr>
                  <w:tcW w:w="0" w:type="auto"/>
                  <w:gridSpan w:val="2"/>
                  <w:shd w:val="clear" w:color="auto" w:fill="EAF2FA"/>
                  <w:vAlign w:val="center"/>
                  <w:hideMark/>
                </w:tcPr>
                <w:p w14:paraId="40AA9568" w14:textId="77777777" w:rsidR="00AF64D5" w:rsidRPr="00AF64D5" w:rsidRDefault="00AF64D5" w:rsidP="00AF64D5">
                  <w:r w:rsidRPr="00AF64D5">
                    <w:rPr>
                      <w:b/>
                      <w:bCs/>
                    </w:rPr>
                    <w:lastRenderedPageBreak/>
                    <w:t>19. What kinds of templates or guidance would help you prepare strong case studies that show the impact of your service?</w:t>
                  </w:r>
                  <w:r w:rsidRPr="00AF64D5">
                    <w:t xml:space="preserve"> </w:t>
                  </w:r>
                </w:p>
              </w:tc>
            </w:tr>
            <w:tr w:rsidR="00AF64D5" w:rsidRPr="00AF64D5" w14:paraId="281F6012" w14:textId="77777777">
              <w:trPr>
                <w:tblCellSpacing w:w="0" w:type="dxa"/>
              </w:trPr>
              <w:tc>
                <w:tcPr>
                  <w:tcW w:w="300" w:type="dxa"/>
                  <w:shd w:val="clear" w:color="auto" w:fill="FFFFFF"/>
                  <w:vAlign w:val="center"/>
                  <w:hideMark/>
                </w:tcPr>
                <w:p w14:paraId="0CA3E3CB" w14:textId="77777777" w:rsidR="00AF64D5" w:rsidRPr="00AF64D5" w:rsidRDefault="00AF64D5" w:rsidP="00AF64D5"/>
              </w:tc>
              <w:tc>
                <w:tcPr>
                  <w:tcW w:w="0" w:type="auto"/>
                  <w:shd w:val="clear" w:color="auto" w:fill="FFFFFF"/>
                  <w:vAlign w:val="center"/>
                  <w:hideMark/>
                </w:tcPr>
                <w:p w14:paraId="066692EE" w14:textId="77777777" w:rsidR="00AF64D5" w:rsidRPr="00AF64D5" w:rsidRDefault="00AF64D5" w:rsidP="00AF64D5">
                  <w:r w:rsidRPr="00AF64D5">
                    <w:t xml:space="preserve">Templates and guidance that help us prepare strong, consistent case studies would be very valuable. This could include a clear structure with sections for background, presenting issues, interventions, and outcomes, along with guidance on the types of evidence to include—such as changes in safety, wellbeing, school behaviour, or family stability. </w:t>
                  </w:r>
                </w:p>
              </w:tc>
            </w:tr>
            <w:tr w:rsidR="00AF64D5" w:rsidRPr="00AF64D5" w14:paraId="0767E9CC" w14:textId="77777777">
              <w:trPr>
                <w:tblCellSpacing w:w="0" w:type="dxa"/>
              </w:trPr>
              <w:tc>
                <w:tcPr>
                  <w:tcW w:w="0" w:type="auto"/>
                  <w:gridSpan w:val="2"/>
                  <w:shd w:val="clear" w:color="auto" w:fill="EAF2FA"/>
                  <w:vAlign w:val="center"/>
                  <w:hideMark/>
                </w:tcPr>
                <w:p w14:paraId="56B56170" w14:textId="77777777" w:rsidR="00AF64D5" w:rsidRPr="00AF64D5" w:rsidRDefault="00AF64D5" w:rsidP="00AF64D5">
                  <w:r w:rsidRPr="00AF64D5">
                    <w:rPr>
                      <w:b/>
                      <w:bCs/>
                    </w:rPr>
                    <w:t>20. What does a relational contracting approach mean to you in practice? What criteria would you like to see included in a relational contract?</w:t>
                  </w:r>
                  <w:r w:rsidRPr="00AF64D5">
                    <w:t xml:space="preserve"> </w:t>
                  </w:r>
                </w:p>
              </w:tc>
            </w:tr>
            <w:tr w:rsidR="00AF64D5" w:rsidRPr="00AF64D5" w14:paraId="75F1FD03" w14:textId="77777777">
              <w:trPr>
                <w:tblCellSpacing w:w="0" w:type="dxa"/>
              </w:trPr>
              <w:tc>
                <w:tcPr>
                  <w:tcW w:w="300" w:type="dxa"/>
                  <w:shd w:val="clear" w:color="auto" w:fill="FFFFFF"/>
                  <w:vAlign w:val="center"/>
                  <w:hideMark/>
                </w:tcPr>
                <w:p w14:paraId="3880DDFF" w14:textId="77777777" w:rsidR="00AF64D5" w:rsidRPr="00AF64D5" w:rsidRDefault="00AF64D5" w:rsidP="00AF64D5"/>
              </w:tc>
              <w:tc>
                <w:tcPr>
                  <w:tcW w:w="0" w:type="auto"/>
                  <w:shd w:val="clear" w:color="auto" w:fill="FFFFFF"/>
                  <w:vAlign w:val="center"/>
                  <w:hideMark/>
                </w:tcPr>
                <w:p w14:paraId="42D163E4" w14:textId="77777777" w:rsidR="00AF64D5" w:rsidRPr="00AF64D5" w:rsidRDefault="00AF64D5" w:rsidP="00AF64D5">
                  <w:r w:rsidRPr="00AF64D5">
                    <w:t xml:space="preserve">In practice, a relational contracting approach should mean fairness, transparency, and genuine partnership between all organisations involved—but based on past experiences, where five organisations participated and only one benefited, we have little confidence that funds would be distributed equally or fairly. For us, a relational contract would need to include clear criteria that explain how funding decisions are made, how equity between partners is ensured, and how it is determined which organisations receive more support or resources. It should outline transparent allocation methods, shared decision-making processes, and mechanisms to prevent imbalance so that all partners can benefit, not just one. </w:t>
                  </w:r>
                </w:p>
              </w:tc>
            </w:tr>
            <w:tr w:rsidR="00AF64D5" w:rsidRPr="00AF64D5" w14:paraId="7428D72A" w14:textId="77777777">
              <w:trPr>
                <w:tblCellSpacing w:w="0" w:type="dxa"/>
              </w:trPr>
              <w:tc>
                <w:tcPr>
                  <w:tcW w:w="0" w:type="auto"/>
                  <w:gridSpan w:val="2"/>
                  <w:shd w:val="clear" w:color="auto" w:fill="EAF2FA"/>
                  <w:vAlign w:val="center"/>
                  <w:hideMark/>
                </w:tcPr>
                <w:p w14:paraId="5F845E77" w14:textId="77777777" w:rsidR="00AF64D5" w:rsidRPr="00AF64D5" w:rsidRDefault="00AF64D5" w:rsidP="00AF64D5">
                  <w:r w:rsidRPr="00AF64D5">
                    <w:rPr>
                      <w:b/>
                      <w:bCs/>
                    </w:rPr>
                    <w:t>21. What’s the best way for the department to decide which organisations should be offered a relational contract?</w:t>
                  </w:r>
                  <w:r w:rsidRPr="00AF64D5">
                    <w:t xml:space="preserve"> </w:t>
                  </w:r>
                </w:p>
              </w:tc>
            </w:tr>
            <w:tr w:rsidR="00AF64D5" w:rsidRPr="00AF64D5" w14:paraId="53A3FA5F" w14:textId="77777777">
              <w:trPr>
                <w:tblCellSpacing w:w="0" w:type="dxa"/>
              </w:trPr>
              <w:tc>
                <w:tcPr>
                  <w:tcW w:w="300" w:type="dxa"/>
                  <w:shd w:val="clear" w:color="auto" w:fill="FFFFFF"/>
                  <w:vAlign w:val="center"/>
                  <w:hideMark/>
                </w:tcPr>
                <w:p w14:paraId="5DD36197" w14:textId="77777777" w:rsidR="00AF64D5" w:rsidRPr="00AF64D5" w:rsidRDefault="00AF64D5" w:rsidP="00AF64D5"/>
              </w:tc>
              <w:tc>
                <w:tcPr>
                  <w:tcW w:w="0" w:type="auto"/>
                  <w:shd w:val="clear" w:color="auto" w:fill="FFFFFF"/>
                  <w:vAlign w:val="center"/>
                  <w:hideMark/>
                </w:tcPr>
                <w:p w14:paraId="1153B719" w14:textId="77777777" w:rsidR="00AF64D5" w:rsidRPr="00AF64D5" w:rsidRDefault="00AF64D5" w:rsidP="00AF64D5">
                  <w:r w:rsidRPr="00AF64D5">
                    <w:t xml:space="preserve">The best way for the department to decide which organisations should be offered a relational contract is to prioritise those that provide similar services across different WA locations, ensuring broad and complementary coverage. It would also make sense to include organisations where a strong working relationship or connection has already been established, as this can support smoother collaboration and better outcomes. </w:t>
                  </w:r>
                </w:p>
              </w:tc>
            </w:tr>
            <w:tr w:rsidR="00AF64D5" w:rsidRPr="00AF64D5" w14:paraId="39A66075" w14:textId="77777777">
              <w:trPr>
                <w:tblCellSpacing w:w="0" w:type="dxa"/>
              </w:trPr>
              <w:tc>
                <w:tcPr>
                  <w:tcW w:w="0" w:type="auto"/>
                  <w:gridSpan w:val="2"/>
                  <w:shd w:val="clear" w:color="auto" w:fill="EAF2FA"/>
                  <w:vAlign w:val="center"/>
                  <w:hideMark/>
                </w:tcPr>
                <w:p w14:paraId="54C8E281" w14:textId="77777777" w:rsidR="00AF64D5" w:rsidRPr="00AF64D5" w:rsidRDefault="00AF64D5" w:rsidP="00AF64D5">
                  <w:r w:rsidRPr="00AF64D5">
                    <w:rPr>
                      <w:b/>
                      <w:bCs/>
                    </w:rPr>
                    <w:t>22. Is your organisation interested in a relational contracting approach? Why/why not?</w:t>
                  </w:r>
                  <w:r w:rsidRPr="00AF64D5">
                    <w:t xml:space="preserve"> </w:t>
                  </w:r>
                </w:p>
              </w:tc>
            </w:tr>
            <w:tr w:rsidR="00AF64D5" w:rsidRPr="00AF64D5" w14:paraId="51149764" w14:textId="77777777">
              <w:trPr>
                <w:tblCellSpacing w:w="0" w:type="dxa"/>
              </w:trPr>
              <w:tc>
                <w:tcPr>
                  <w:tcW w:w="300" w:type="dxa"/>
                  <w:shd w:val="clear" w:color="auto" w:fill="FFFFFF"/>
                  <w:vAlign w:val="center"/>
                  <w:hideMark/>
                </w:tcPr>
                <w:p w14:paraId="3ECF2A11" w14:textId="77777777" w:rsidR="00AF64D5" w:rsidRPr="00AF64D5" w:rsidRDefault="00AF64D5" w:rsidP="00AF64D5"/>
              </w:tc>
              <w:tc>
                <w:tcPr>
                  <w:tcW w:w="0" w:type="auto"/>
                  <w:shd w:val="clear" w:color="auto" w:fill="FFFFFF"/>
                  <w:vAlign w:val="center"/>
                  <w:hideMark/>
                </w:tcPr>
                <w:p w14:paraId="2C8DA58B" w14:textId="77777777" w:rsidR="00AF64D5" w:rsidRPr="00AF64D5" w:rsidRDefault="00AF64D5" w:rsidP="00AF64D5">
                  <w:r w:rsidRPr="00AF64D5">
                    <w:t xml:space="preserve">Our organisation has reservations about a relational contracting approach. As mentioned earlier, we have previously experienced situations where multiple organisations were involved but only one ended up benefiting, which makes us doubtful that funds would be distributed fairly or transparently. While the idea of partnership and shared goals is positive in theory, in practice it rarely works the way it is intended. Without clear criteria, equitable allocation processes, and </w:t>
                  </w:r>
                  <w:r w:rsidRPr="00AF64D5">
                    <w:lastRenderedPageBreak/>
                    <w:t xml:space="preserve">genuine accountability, we do not feel confident that a relational contracting model would support all partners equally. </w:t>
                  </w:r>
                </w:p>
              </w:tc>
            </w:tr>
            <w:tr w:rsidR="00AF64D5" w:rsidRPr="00AF64D5" w14:paraId="1EAA4CFD" w14:textId="77777777">
              <w:trPr>
                <w:tblCellSpacing w:w="0" w:type="dxa"/>
              </w:trPr>
              <w:tc>
                <w:tcPr>
                  <w:tcW w:w="0" w:type="auto"/>
                  <w:gridSpan w:val="2"/>
                  <w:shd w:val="clear" w:color="auto" w:fill="EAF2FA"/>
                  <w:vAlign w:val="center"/>
                  <w:hideMark/>
                </w:tcPr>
                <w:p w14:paraId="1E00C5A0" w14:textId="77777777" w:rsidR="00AF64D5" w:rsidRPr="00AF64D5" w:rsidRDefault="00AF64D5" w:rsidP="00AF64D5">
                  <w:r w:rsidRPr="00AF64D5">
                    <w:rPr>
                      <w:b/>
                      <w:bCs/>
                    </w:rPr>
                    <w:lastRenderedPageBreak/>
                    <w:t>23. Is there anything else you think the department should understand or consider about this proposed approach?</w:t>
                  </w:r>
                  <w:r w:rsidRPr="00AF64D5">
                    <w:t xml:space="preserve"> </w:t>
                  </w:r>
                </w:p>
              </w:tc>
            </w:tr>
            <w:tr w:rsidR="00AF64D5" w:rsidRPr="00AF64D5" w14:paraId="3A92EB8A" w14:textId="77777777">
              <w:trPr>
                <w:tblCellSpacing w:w="0" w:type="dxa"/>
              </w:trPr>
              <w:tc>
                <w:tcPr>
                  <w:tcW w:w="300" w:type="dxa"/>
                  <w:shd w:val="clear" w:color="auto" w:fill="FFFFFF"/>
                  <w:vAlign w:val="center"/>
                  <w:hideMark/>
                </w:tcPr>
                <w:p w14:paraId="065852CA" w14:textId="77777777" w:rsidR="00AF64D5" w:rsidRPr="00AF64D5" w:rsidRDefault="00AF64D5" w:rsidP="00AF64D5"/>
              </w:tc>
              <w:tc>
                <w:tcPr>
                  <w:tcW w:w="0" w:type="auto"/>
                  <w:shd w:val="clear" w:color="auto" w:fill="FFFFFF"/>
                  <w:vAlign w:val="center"/>
                  <w:hideMark/>
                </w:tcPr>
                <w:p w14:paraId="056CD0CD" w14:textId="77777777" w:rsidR="00AF64D5" w:rsidRPr="00AF64D5" w:rsidRDefault="00AF64D5" w:rsidP="00AF64D5">
                  <w:r w:rsidRPr="00AF64D5">
                    <w:t xml:space="preserve">no </w:t>
                  </w:r>
                </w:p>
              </w:tc>
            </w:tr>
          </w:tbl>
          <w:p w14:paraId="3162E746" w14:textId="77777777" w:rsidR="00AF64D5" w:rsidRPr="00AF64D5" w:rsidRDefault="00AF64D5" w:rsidP="00AF64D5"/>
        </w:tc>
      </w:tr>
    </w:tbl>
    <w:p w14:paraId="32AAD26B" w14:textId="77777777" w:rsidR="00390C4B" w:rsidRDefault="00390C4B"/>
    <w:sectPr w:rsidR="00390C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1E5B0" w14:textId="77777777" w:rsidR="00E405AE" w:rsidRDefault="00E405AE" w:rsidP="003C362D">
      <w:pPr>
        <w:spacing w:after="0" w:line="240" w:lineRule="auto"/>
      </w:pPr>
      <w:r>
        <w:separator/>
      </w:r>
    </w:p>
  </w:endnote>
  <w:endnote w:type="continuationSeparator" w:id="0">
    <w:p w14:paraId="6271885D" w14:textId="77777777" w:rsidR="00E405AE" w:rsidRDefault="00E405AE" w:rsidP="003C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484B" w14:textId="77777777" w:rsidR="00E405AE" w:rsidRDefault="00E405AE" w:rsidP="003C362D">
      <w:pPr>
        <w:spacing w:after="0" w:line="240" w:lineRule="auto"/>
      </w:pPr>
      <w:r>
        <w:separator/>
      </w:r>
    </w:p>
  </w:footnote>
  <w:footnote w:type="continuationSeparator" w:id="0">
    <w:p w14:paraId="3744640C" w14:textId="77777777" w:rsidR="00E405AE" w:rsidRDefault="00E405AE" w:rsidP="003C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EE0"/>
    <w:multiLevelType w:val="multilevel"/>
    <w:tmpl w:val="7C183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72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D5"/>
    <w:rsid w:val="00390C4B"/>
    <w:rsid w:val="003C362D"/>
    <w:rsid w:val="00603D97"/>
    <w:rsid w:val="00A50B94"/>
    <w:rsid w:val="00AF64D5"/>
    <w:rsid w:val="00E405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4533B"/>
  <w15:chartTrackingRefBased/>
  <w15:docId w15:val="{5D351F93-5938-4653-86E4-9EDCE9F5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4D5"/>
    <w:rPr>
      <w:rFonts w:eastAsiaTheme="majorEastAsia" w:cstheme="majorBidi"/>
      <w:color w:val="272727" w:themeColor="text1" w:themeTint="D8"/>
    </w:rPr>
  </w:style>
  <w:style w:type="paragraph" w:styleId="Title">
    <w:name w:val="Title"/>
    <w:basedOn w:val="Normal"/>
    <w:next w:val="Normal"/>
    <w:link w:val="TitleChar"/>
    <w:uiPriority w:val="10"/>
    <w:qFormat/>
    <w:rsid w:val="00AF6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4D5"/>
    <w:pPr>
      <w:spacing w:before="160"/>
      <w:jc w:val="center"/>
    </w:pPr>
    <w:rPr>
      <w:i/>
      <w:iCs/>
      <w:color w:val="404040" w:themeColor="text1" w:themeTint="BF"/>
    </w:rPr>
  </w:style>
  <w:style w:type="character" w:customStyle="1" w:styleId="QuoteChar">
    <w:name w:val="Quote Char"/>
    <w:basedOn w:val="DefaultParagraphFont"/>
    <w:link w:val="Quote"/>
    <w:uiPriority w:val="29"/>
    <w:rsid w:val="00AF64D5"/>
    <w:rPr>
      <w:i/>
      <w:iCs/>
      <w:color w:val="404040" w:themeColor="text1" w:themeTint="BF"/>
    </w:rPr>
  </w:style>
  <w:style w:type="paragraph" w:styleId="ListParagraph">
    <w:name w:val="List Paragraph"/>
    <w:basedOn w:val="Normal"/>
    <w:uiPriority w:val="34"/>
    <w:qFormat/>
    <w:rsid w:val="00AF64D5"/>
    <w:pPr>
      <w:ind w:left="720"/>
      <w:contextualSpacing/>
    </w:pPr>
  </w:style>
  <w:style w:type="character" w:styleId="IntenseEmphasis">
    <w:name w:val="Intense Emphasis"/>
    <w:basedOn w:val="DefaultParagraphFont"/>
    <w:uiPriority w:val="21"/>
    <w:qFormat/>
    <w:rsid w:val="00AF64D5"/>
    <w:rPr>
      <w:i/>
      <w:iCs/>
      <w:color w:val="0F4761" w:themeColor="accent1" w:themeShade="BF"/>
    </w:rPr>
  </w:style>
  <w:style w:type="paragraph" w:styleId="IntenseQuote">
    <w:name w:val="Intense Quote"/>
    <w:basedOn w:val="Normal"/>
    <w:next w:val="Normal"/>
    <w:link w:val="IntenseQuoteChar"/>
    <w:uiPriority w:val="30"/>
    <w:qFormat/>
    <w:rsid w:val="00AF6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4D5"/>
    <w:rPr>
      <w:i/>
      <w:iCs/>
      <w:color w:val="0F4761" w:themeColor="accent1" w:themeShade="BF"/>
    </w:rPr>
  </w:style>
  <w:style w:type="character" w:styleId="IntenseReference">
    <w:name w:val="Intense Reference"/>
    <w:basedOn w:val="DefaultParagraphFont"/>
    <w:uiPriority w:val="32"/>
    <w:qFormat/>
    <w:rsid w:val="00AF64D5"/>
    <w:rPr>
      <w:b/>
      <w:bCs/>
      <w:smallCaps/>
      <w:color w:val="0F4761" w:themeColor="accent1" w:themeShade="BF"/>
      <w:spacing w:val="5"/>
    </w:rPr>
  </w:style>
  <w:style w:type="character" w:styleId="Hyperlink">
    <w:name w:val="Hyperlink"/>
    <w:basedOn w:val="DefaultParagraphFont"/>
    <w:uiPriority w:val="99"/>
    <w:unhideWhenUsed/>
    <w:rsid w:val="00AF64D5"/>
    <w:rPr>
      <w:color w:val="467886" w:themeColor="hyperlink"/>
      <w:u w:val="single"/>
    </w:rPr>
  </w:style>
  <w:style w:type="character" w:styleId="UnresolvedMention">
    <w:name w:val="Unresolved Mention"/>
    <w:basedOn w:val="DefaultParagraphFont"/>
    <w:uiPriority w:val="99"/>
    <w:semiHidden/>
    <w:unhideWhenUsed/>
    <w:rsid w:val="00AF6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1988</Words>
  <Characters>11356</Characters>
  <Application>Microsoft Office Word</Application>
  <DocSecurity>0</DocSecurity>
  <Lines>241</Lines>
  <Paragraphs>70</Paragraphs>
  <ScaleCrop>false</ScaleCrop>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2</cp:revision>
  <dcterms:created xsi:type="dcterms:W3CDTF">2025-11-26T00:42:00Z</dcterms:created>
  <dcterms:modified xsi:type="dcterms:W3CDTF">2025-11-26T00:44:00Z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v=2024.1;a=SHA256;h=63C8255B135F3795B66F45CBD5B2E83F355EC024FA5786D231D2BFB443C904F3</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2025-11-26T00:42:51Z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2025-11-26T00:42:51Z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c5bf056f4a7746449b34d3dd058c4a85</vt:lpwstr>
  </property>
  <property fmtid="{D5CDD505-2E9C-101B-9397-08002B2CF9AE}" pid="24" name="PM_Originator_Hash_SHA1">
    <vt:lpwstr>3FE9F257DA3A007F985036DE6AEDBA622E1840C0</vt:lpwstr>
  </property>
  <property fmtid="{D5CDD505-2E9C-101B-9397-08002B2CF9AE}" pid="25" name="PM_Originating_FileId">
    <vt:lpwstr>646003DB9C5F460C97563AA09D7509FC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02A35CFE661E56DE050F8CD1A25A7E63</vt:lpwstr>
  </property>
  <property fmtid="{D5CDD505-2E9C-101B-9397-08002B2CF9AE}" pid="33" name="PM_Hash_Salt">
    <vt:lpwstr>3C71E730CDB3DD6809BC704CFDE6F53B</vt:lpwstr>
  </property>
  <property fmtid="{D5CDD505-2E9C-101B-9397-08002B2CF9AE}" pid="34" name="PM_Hash_SHA1">
    <vt:lpwstr>5DD35A0BF4E28F97CB320887CBDE370486A4BAF9</vt:lpwstr>
  </property>
</Properties>
</file>