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A0F5" w14:textId="2822A52D" w:rsidR="000E25DC" w:rsidRPr="007E58EA" w:rsidRDefault="007E58EA" w:rsidP="007E58EA">
      <w:pPr>
        <w:spacing w:before="120" w:after="240"/>
        <w:ind w:left="720" w:hanging="360"/>
        <w:jc w:val="center"/>
        <w:rPr>
          <w:b/>
          <w:bCs/>
          <w:color w:val="000000" w:themeColor="text1"/>
          <w:sz w:val="32"/>
          <w:szCs w:val="32"/>
          <w:u w:val="single"/>
        </w:rPr>
      </w:pPr>
      <w:r w:rsidRPr="007E58EA">
        <w:rPr>
          <w:b/>
          <w:bCs/>
          <w:color w:val="000000" w:themeColor="text1"/>
          <w:sz w:val="32"/>
          <w:szCs w:val="32"/>
          <w:u w:val="single"/>
        </w:rPr>
        <w:t xml:space="preserve">Feedback on NDIS Supports Rule. </w:t>
      </w:r>
    </w:p>
    <w:p w14:paraId="152DFEC5" w14:textId="77777777"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r w:rsidRPr="007E58EA">
        <w:rPr>
          <w:rFonts w:ascii="AppleSystemUIFont" w:hAnsi="AppleSystemUIFont" w:cs="AppleSystemUIFont"/>
          <w:i/>
          <w:szCs w:val="24"/>
          <w:lang w:eastAsia="zh-CN"/>
        </w:rPr>
        <w:t>Deafblindness is a combined vision and hearing impairment of such severity that it is hard for the impaired senses to compensate for each other. Thus, deafblindness is a distinct disability.</w:t>
      </w:r>
    </w:p>
    <w:p w14:paraId="20937E85" w14:textId="77777777"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p>
    <w:p w14:paraId="55697B92" w14:textId="77777777"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r w:rsidRPr="007E58EA">
        <w:rPr>
          <w:rFonts w:ascii="AppleSystemUIFont" w:hAnsi="AppleSystemUIFont" w:cs="AppleSystemUIFont"/>
          <w:i/>
          <w:szCs w:val="24"/>
          <w:lang w:eastAsia="zh-CN"/>
        </w:rPr>
        <w:t>To varying degrees, deafblindness limits activities and restricts full participation in society. It affects social life, communication, access to information, orientation and the ability to move around freely and safely.</w:t>
      </w:r>
    </w:p>
    <w:p w14:paraId="51569018" w14:textId="00E2D1D9"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p>
    <w:p w14:paraId="3347B543" w14:textId="610189D4"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r w:rsidRPr="007E58EA">
        <w:rPr>
          <w:rFonts w:ascii="AppleSystemUIFont" w:hAnsi="AppleSystemUIFont" w:cs="AppleSystemUIFont"/>
          <w:i/>
          <w:szCs w:val="24"/>
          <w:lang w:eastAsia="zh-CN"/>
        </w:rPr>
        <w:t>Because deafblindness is less well-known and often misunderstood, people struggle to obtain the right support, and are often excluded from both development and disability programmes.</w:t>
      </w:r>
    </w:p>
    <w:p w14:paraId="18991F3E" w14:textId="13117697"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p>
    <w:p w14:paraId="3A1EF6C2" w14:textId="088F9F50" w:rsidR="000E25DC" w:rsidRPr="007E58EA" w:rsidRDefault="000E25DC" w:rsidP="00C8653B">
      <w:pPr>
        <w:autoSpaceDE w:val="0"/>
        <w:autoSpaceDN w:val="0"/>
        <w:adjustRightInd w:val="0"/>
        <w:spacing w:after="0"/>
        <w:ind w:left="0"/>
        <w:rPr>
          <w:rFonts w:ascii="AppleSystemUIFont" w:hAnsi="AppleSystemUIFont" w:cs="AppleSystemUIFont"/>
          <w:i/>
          <w:szCs w:val="24"/>
          <w:lang w:eastAsia="zh-CN"/>
        </w:rPr>
      </w:pPr>
      <w:r w:rsidRPr="007E58EA">
        <w:rPr>
          <w:rFonts w:ascii="AppleSystemUIFont" w:hAnsi="AppleSystemUIFont" w:cs="AppleSystemUIFont"/>
          <w:i/>
          <w:szCs w:val="24"/>
          <w:lang w:eastAsia="zh-CN"/>
        </w:rPr>
        <w:t xml:space="preserve">Deafblind Australia is the national peak body representing all people with combined vision and hearing loss/impairment and we are grateful for the opportunity to provide feedback on </w:t>
      </w:r>
      <w:r w:rsidR="007E58EA">
        <w:rPr>
          <w:rFonts w:ascii="AppleSystemUIFont" w:hAnsi="AppleSystemUIFont" w:cs="AppleSystemUIFont"/>
          <w:i/>
          <w:szCs w:val="24"/>
          <w:lang w:eastAsia="zh-CN"/>
        </w:rPr>
        <w:t>this</w:t>
      </w:r>
      <w:r w:rsidRPr="007E58EA">
        <w:rPr>
          <w:rFonts w:ascii="AppleSystemUIFont" w:hAnsi="AppleSystemUIFont" w:cs="AppleSystemUIFont"/>
          <w:i/>
          <w:szCs w:val="24"/>
          <w:lang w:eastAsia="zh-CN"/>
        </w:rPr>
        <w:t xml:space="preserve"> rule. </w:t>
      </w:r>
    </w:p>
    <w:p w14:paraId="4B86FBC3" w14:textId="77777777" w:rsidR="000E25DC" w:rsidRPr="000E25DC" w:rsidRDefault="000E25DC" w:rsidP="00C8653B">
      <w:pPr>
        <w:autoSpaceDE w:val="0"/>
        <w:autoSpaceDN w:val="0"/>
        <w:adjustRightInd w:val="0"/>
        <w:spacing w:after="0"/>
        <w:ind w:left="0"/>
        <w:rPr>
          <w:rFonts w:ascii="AppleSystemUIFont" w:hAnsi="AppleSystemUIFont" w:cs="AppleSystemUIFont"/>
          <w:iCs w:val="0"/>
          <w:szCs w:val="24"/>
          <w:lang w:eastAsia="zh-CN"/>
        </w:rPr>
      </w:pPr>
    </w:p>
    <w:p w14:paraId="7971AB67" w14:textId="77777777" w:rsidR="000E25DC" w:rsidRDefault="000E25DC" w:rsidP="00C8653B">
      <w:pPr>
        <w:pStyle w:val="ListParagraph"/>
        <w:numPr>
          <w:ilvl w:val="0"/>
          <w:numId w:val="0"/>
        </w:numPr>
        <w:spacing w:before="120" w:after="240"/>
        <w:rPr>
          <w:b/>
          <w:bCs/>
          <w:i/>
          <w:iCs w:val="0"/>
          <w:color w:val="0070C0"/>
          <w:szCs w:val="24"/>
        </w:rPr>
      </w:pPr>
      <w:r w:rsidRPr="000E25DC">
        <w:rPr>
          <w:b/>
          <w:bCs/>
          <w:i/>
          <w:iCs w:val="0"/>
          <w:color w:val="0070C0"/>
          <w:szCs w:val="24"/>
        </w:rPr>
        <w:t>How well do you understand the NDIS Support rule?</w:t>
      </w:r>
    </w:p>
    <w:p w14:paraId="0560534F" w14:textId="77777777" w:rsidR="000E25DC" w:rsidRDefault="000E25DC" w:rsidP="00C8653B">
      <w:pPr>
        <w:pStyle w:val="ListParagraph"/>
        <w:numPr>
          <w:ilvl w:val="0"/>
          <w:numId w:val="0"/>
        </w:numPr>
        <w:spacing w:before="120" w:after="240"/>
        <w:rPr>
          <w:b/>
          <w:bCs/>
          <w:i/>
          <w:iCs w:val="0"/>
          <w:color w:val="0070C0"/>
          <w:szCs w:val="24"/>
        </w:rPr>
      </w:pPr>
    </w:p>
    <w:p w14:paraId="27AE9E56" w14:textId="18C980D6" w:rsidR="000E25DC" w:rsidRPr="000E25DC" w:rsidRDefault="000E25DC" w:rsidP="00C8653B">
      <w:pPr>
        <w:pStyle w:val="ListParagraph"/>
        <w:numPr>
          <w:ilvl w:val="0"/>
          <w:numId w:val="0"/>
        </w:numPr>
        <w:spacing w:before="120" w:after="240"/>
        <w:rPr>
          <w:b/>
          <w:bCs/>
          <w:i/>
          <w:iCs w:val="0"/>
          <w:color w:val="0070C0"/>
          <w:szCs w:val="24"/>
        </w:rPr>
      </w:pPr>
      <w:r>
        <w:t xml:space="preserve">Feedback from community members is that the rule is not well understood in terms of its origins, rationale or intended outcomes. It is mostly seen to have the effect of limiting what people can access. It is seen as a reduction in choice and control and there is little understanding how this relates to previous Scheme priorities such as a focus on participant goals and the use of reasonable and necessary as a framework to allow the broadest and most flexible approach to providing support. </w:t>
      </w:r>
    </w:p>
    <w:p w14:paraId="356F2565" w14:textId="77777777" w:rsidR="000E25DC" w:rsidRDefault="000E25DC" w:rsidP="00C8653B">
      <w:pPr>
        <w:ind w:left="0"/>
      </w:pPr>
    </w:p>
    <w:p w14:paraId="159502A7" w14:textId="77777777" w:rsidR="000E25DC" w:rsidRDefault="000E25DC" w:rsidP="00C8653B">
      <w:pPr>
        <w:ind w:left="0"/>
        <w:rPr>
          <w:i/>
          <w:iCs w:val="0"/>
          <w:color w:val="0070C0"/>
        </w:rPr>
      </w:pPr>
      <w:r w:rsidRPr="000E25DC">
        <w:rPr>
          <w:b/>
          <w:bCs/>
          <w:i/>
          <w:iCs w:val="0"/>
          <w:color w:val="0070C0"/>
          <w:szCs w:val="24"/>
        </w:rPr>
        <w:t>What would help make the rule easier to understand?</w:t>
      </w:r>
    </w:p>
    <w:p w14:paraId="066DC380" w14:textId="77777777" w:rsidR="000E25DC" w:rsidRDefault="000E25DC" w:rsidP="00C8653B">
      <w:pPr>
        <w:ind w:left="0"/>
        <w:rPr>
          <w:i/>
          <w:iCs w:val="0"/>
          <w:color w:val="0070C0"/>
        </w:rPr>
      </w:pPr>
    </w:p>
    <w:p w14:paraId="15E29C95" w14:textId="1093854E" w:rsidR="000E25DC" w:rsidRPr="000E25DC" w:rsidRDefault="000E25DC" w:rsidP="00C8653B">
      <w:pPr>
        <w:ind w:left="0"/>
        <w:rPr>
          <w:i/>
          <w:iCs w:val="0"/>
          <w:color w:val="0070C0"/>
        </w:rPr>
      </w:pPr>
      <w:r>
        <w:t xml:space="preserve">Clear communication about the desired goal of these changes, in terms of improving participant outcomes, and a clear demonstration about how these changes achieve that goal. The NDIS Review is frequently referenced in the origin story of these reforms but it is difficult to see how the spirit and intent of those recommendations is carried through in what is currently being proposed. This clarity represents a vital step in restoring participant trust in the Scheme. </w:t>
      </w:r>
    </w:p>
    <w:p w14:paraId="319DC417" w14:textId="77777777" w:rsidR="000E25DC" w:rsidRDefault="000E25DC" w:rsidP="00C8653B">
      <w:pPr>
        <w:pStyle w:val="ListParagraph"/>
        <w:numPr>
          <w:ilvl w:val="0"/>
          <w:numId w:val="0"/>
        </w:numPr>
        <w:spacing w:after="240"/>
        <w:rPr>
          <w:b/>
          <w:bCs/>
          <w:sz w:val="28"/>
          <w:szCs w:val="21"/>
        </w:rPr>
      </w:pPr>
    </w:p>
    <w:p w14:paraId="0C787688" w14:textId="77777777" w:rsidR="000E25DC" w:rsidRPr="000E25DC" w:rsidRDefault="000E25DC" w:rsidP="00C8653B">
      <w:pPr>
        <w:pStyle w:val="ListParagraph"/>
        <w:numPr>
          <w:ilvl w:val="0"/>
          <w:numId w:val="0"/>
        </w:numPr>
        <w:spacing w:after="240"/>
        <w:rPr>
          <w:b/>
          <w:bCs/>
          <w:i/>
          <w:iCs w:val="0"/>
          <w:color w:val="0070C0"/>
          <w:szCs w:val="24"/>
        </w:rPr>
      </w:pPr>
      <w:r w:rsidRPr="000E25DC">
        <w:rPr>
          <w:b/>
          <w:bCs/>
          <w:i/>
          <w:iCs w:val="0"/>
          <w:color w:val="0070C0"/>
          <w:szCs w:val="24"/>
        </w:rPr>
        <w:t>How have the lists of NDIS Supports helped you to know what the NDIS can and cannot fund?</w:t>
      </w:r>
    </w:p>
    <w:p w14:paraId="04680086" w14:textId="75D38C81" w:rsidR="000E25DC" w:rsidRPr="00894FAF" w:rsidRDefault="000E25DC" w:rsidP="00C8653B">
      <w:pPr>
        <w:ind w:left="0"/>
      </w:pPr>
      <w:r>
        <w:t xml:space="preserve">Feedback from the Deafblind community is that the introduction of the lists has not had this effect. Instead, they have created confusion, fear and undermined trust in the spirit and intent of the NDIS. </w:t>
      </w:r>
    </w:p>
    <w:p w14:paraId="24E8C23D" w14:textId="77777777" w:rsidR="000E25DC" w:rsidRDefault="000E25DC" w:rsidP="00C8653B">
      <w:pPr>
        <w:pStyle w:val="ListParagraph"/>
        <w:numPr>
          <w:ilvl w:val="0"/>
          <w:numId w:val="0"/>
        </w:numPr>
        <w:spacing w:after="240"/>
        <w:rPr>
          <w:b/>
          <w:bCs/>
          <w:sz w:val="28"/>
          <w:szCs w:val="21"/>
        </w:rPr>
      </w:pPr>
    </w:p>
    <w:p w14:paraId="7E28015E" w14:textId="77777777" w:rsidR="006D534C" w:rsidRDefault="006D534C" w:rsidP="00C8653B">
      <w:pPr>
        <w:pStyle w:val="ListParagraph"/>
        <w:numPr>
          <w:ilvl w:val="0"/>
          <w:numId w:val="0"/>
        </w:numPr>
        <w:spacing w:after="240"/>
        <w:rPr>
          <w:b/>
          <w:bCs/>
          <w:i/>
          <w:iCs w:val="0"/>
          <w:color w:val="0070C0"/>
          <w:szCs w:val="24"/>
        </w:rPr>
      </w:pPr>
    </w:p>
    <w:p w14:paraId="1070626C" w14:textId="590DB6BB" w:rsidR="000E25DC" w:rsidRPr="000E25DC" w:rsidRDefault="000E25DC" w:rsidP="00C8653B">
      <w:pPr>
        <w:pStyle w:val="ListParagraph"/>
        <w:numPr>
          <w:ilvl w:val="0"/>
          <w:numId w:val="0"/>
        </w:numPr>
        <w:spacing w:after="240"/>
        <w:rPr>
          <w:b/>
          <w:bCs/>
          <w:i/>
          <w:iCs w:val="0"/>
          <w:color w:val="0070C0"/>
          <w:szCs w:val="24"/>
        </w:rPr>
      </w:pPr>
      <w:r w:rsidRPr="000E25DC">
        <w:rPr>
          <w:b/>
          <w:bCs/>
          <w:i/>
          <w:iCs w:val="0"/>
          <w:color w:val="0070C0"/>
          <w:szCs w:val="24"/>
        </w:rPr>
        <w:t>What have you found hard about using or understanding the lists for:</w:t>
      </w:r>
    </w:p>
    <w:p w14:paraId="427C8EEB" w14:textId="77777777" w:rsidR="000E25DC" w:rsidRPr="000E25DC" w:rsidRDefault="000E25DC" w:rsidP="00C8653B">
      <w:pPr>
        <w:pStyle w:val="ListParagraph"/>
        <w:numPr>
          <w:ilvl w:val="1"/>
          <w:numId w:val="1"/>
        </w:numPr>
        <w:spacing w:after="240"/>
        <w:ind w:left="0"/>
        <w:rPr>
          <w:i/>
          <w:iCs w:val="0"/>
          <w:color w:val="0070C0"/>
          <w:szCs w:val="24"/>
        </w:rPr>
      </w:pPr>
      <w:r w:rsidRPr="000E25DC">
        <w:rPr>
          <w:i/>
          <w:iCs w:val="0"/>
          <w:color w:val="0070C0"/>
          <w:szCs w:val="24"/>
        </w:rPr>
        <w:t>supports that are NDIS supports</w:t>
      </w:r>
    </w:p>
    <w:p w14:paraId="3F83A45D" w14:textId="77777777" w:rsidR="000E25DC" w:rsidRPr="000E25DC" w:rsidRDefault="000E25DC" w:rsidP="00C8653B">
      <w:pPr>
        <w:pStyle w:val="ListParagraph"/>
        <w:numPr>
          <w:ilvl w:val="1"/>
          <w:numId w:val="1"/>
        </w:numPr>
        <w:spacing w:after="240"/>
        <w:ind w:left="0"/>
        <w:rPr>
          <w:i/>
          <w:iCs w:val="0"/>
          <w:color w:val="0070C0"/>
          <w:szCs w:val="24"/>
        </w:rPr>
      </w:pPr>
      <w:r w:rsidRPr="000E25DC">
        <w:rPr>
          <w:i/>
          <w:iCs w:val="0"/>
          <w:color w:val="0070C0"/>
          <w:szCs w:val="24"/>
        </w:rPr>
        <w:t>supports that are not NDIS supports?</w:t>
      </w:r>
    </w:p>
    <w:p w14:paraId="36A0FCC4" w14:textId="77777777" w:rsidR="006D534C" w:rsidRDefault="006D534C" w:rsidP="00C8653B">
      <w:pPr>
        <w:ind w:left="0"/>
      </w:pPr>
    </w:p>
    <w:p w14:paraId="38455934" w14:textId="0CC9D946" w:rsidR="000E25DC" w:rsidRDefault="000E25DC" w:rsidP="00C8653B">
      <w:pPr>
        <w:ind w:left="0"/>
      </w:pPr>
      <w:r>
        <w:t xml:space="preserve">Deafblind people and their supporters have told us that they have had difficulty understanding why previously funded supports are now declared to not be NDIS supports. There is also confusion around certain funding decisions since the introduction of these lists including the funding of equipment but the denial of funding for component parts of said equipment. </w:t>
      </w:r>
    </w:p>
    <w:p w14:paraId="577BFC6D" w14:textId="77777777" w:rsidR="000E25DC" w:rsidRDefault="000E25DC" w:rsidP="00C8653B">
      <w:pPr>
        <w:ind w:left="0"/>
      </w:pPr>
    </w:p>
    <w:p w14:paraId="4A8FC7F3" w14:textId="3210CCE7" w:rsidR="000E25DC" w:rsidRDefault="000E25DC" w:rsidP="00C8653B">
      <w:pPr>
        <w:ind w:left="0"/>
      </w:pPr>
      <w:r>
        <w:t xml:space="preserve">The removal of smartphones and other mainstream devices is also problematic and difficult to understand for several reasons. The first is that there is an ever increasing level of integration between disability-specific and mainstream technologies particularly in the area of assistive listening devices. Phone apps are now the primary control mechanism for a range of hearing aids and other devices from leading brands including Phonak, </w:t>
      </w:r>
      <w:proofErr w:type="spellStart"/>
      <w:r>
        <w:t>ReSound</w:t>
      </w:r>
      <w:proofErr w:type="spellEnd"/>
      <w:r>
        <w:t xml:space="preserve">, Signia, Starkey and </w:t>
      </w:r>
      <w:proofErr w:type="spellStart"/>
      <w:r>
        <w:t>Widex</w:t>
      </w:r>
      <w:proofErr w:type="spellEnd"/>
      <w:r>
        <w:t>. This is part of a broader trend for utilizing mainstream devices to run apps and hardware with specific disability-related functions (</w:t>
      </w:r>
      <w:hyperlink r:id="rId10" w:history="1">
        <w:r w:rsidRPr="00350918">
          <w:rPr>
            <w:rStyle w:val="Hyperlink"/>
            <w:rFonts w:asciiTheme="minorHAnsi" w:hAnsiTheme="minorHAnsi"/>
          </w:rPr>
          <w:t>https://www.hearingtracker.com/resources/10-best-hearing-loss-apps-for-smartphones</w:t>
        </w:r>
      </w:hyperlink>
      <w:r>
        <w:t xml:space="preserve">). </w:t>
      </w:r>
    </w:p>
    <w:p w14:paraId="7983B6A5" w14:textId="77777777" w:rsidR="000E25DC" w:rsidRDefault="000E25DC" w:rsidP="00C8653B">
      <w:pPr>
        <w:pStyle w:val="ListParagraph"/>
        <w:numPr>
          <w:ilvl w:val="0"/>
          <w:numId w:val="0"/>
        </w:numPr>
        <w:spacing w:after="240"/>
        <w:rPr>
          <w:b/>
          <w:bCs/>
          <w:sz w:val="28"/>
          <w:szCs w:val="21"/>
        </w:rPr>
      </w:pPr>
    </w:p>
    <w:p w14:paraId="17F0A84E" w14:textId="77777777" w:rsidR="006D534C" w:rsidRDefault="006D534C" w:rsidP="00C8653B">
      <w:pPr>
        <w:pStyle w:val="ListParagraph"/>
        <w:numPr>
          <w:ilvl w:val="0"/>
          <w:numId w:val="0"/>
        </w:numPr>
        <w:spacing w:after="240"/>
        <w:rPr>
          <w:b/>
          <w:bCs/>
          <w:i/>
          <w:iCs w:val="0"/>
          <w:color w:val="0070C0"/>
          <w:szCs w:val="24"/>
        </w:rPr>
      </w:pPr>
    </w:p>
    <w:p w14:paraId="4D02E3D5" w14:textId="58ADA06F" w:rsidR="000E25DC" w:rsidRPr="000E25DC" w:rsidRDefault="000E25DC" w:rsidP="00C8653B">
      <w:pPr>
        <w:pStyle w:val="ListParagraph"/>
        <w:numPr>
          <w:ilvl w:val="0"/>
          <w:numId w:val="0"/>
        </w:numPr>
        <w:spacing w:after="240"/>
        <w:rPr>
          <w:b/>
          <w:bCs/>
          <w:i/>
          <w:iCs w:val="0"/>
          <w:color w:val="0070C0"/>
          <w:szCs w:val="24"/>
        </w:rPr>
      </w:pPr>
      <w:r w:rsidRPr="000E25DC">
        <w:rPr>
          <w:b/>
          <w:bCs/>
          <w:i/>
          <w:iCs w:val="0"/>
          <w:color w:val="0070C0"/>
          <w:szCs w:val="24"/>
        </w:rPr>
        <w:t>What are some examples of things in the NDIS Supports lists that aren’t clear?</w:t>
      </w:r>
    </w:p>
    <w:p w14:paraId="62EF2E23" w14:textId="77777777" w:rsidR="006D534C" w:rsidRDefault="006D534C" w:rsidP="00C8653B">
      <w:pPr>
        <w:ind w:left="0"/>
      </w:pPr>
    </w:p>
    <w:p w14:paraId="02EB4104" w14:textId="5FC96064" w:rsidR="000E25DC" w:rsidRDefault="000E25DC" w:rsidP="00C8653B">
      <w:pPr>
        <w:ind w:left="0"/>
      </w:pPr>
      <w:r>
        <w:t xml:space="preserve">The introduction of the substitute supports pathway as a mechanism for accessing otherwise prohibited items appears to be based on a misunderstanding of the role of these devices particularly when it comes to using them as communication devices (for in-person interactions). </w:t>
      </w:r>
    </w:p>
    <w:p w14:paraId="1629F9BE" w14:textId="77777777" w:rsidR="000E25DC" w:rsidRDefault="000E25DC" w:rsidP="00C8653B">
      <w:pPr>
        <w:ind w:left="0"/>
      </w:pPr>
    </w:p>
    <w:p w14:paraId="635EA5D8" w14:textId="77777777" w:rsidR="000E25DC" w:rsidRDefault="000E25DC" w:rsidP="00C8653B">
      <w:pPr>
        <w:ind w:left="0"/>
      </w:pPr>
      <w:r>
        <w:t xml:space="preserve">People who use Australian Sign Language (Auslan) including many Deafblind people are frequently in positions where access to an interpreter is not practical, possible or the most efficient method of navigating an interaction. Smartphones can be used to type short messages back and forth with members of the public and the user can take advantage of inbuilt accessibility functions. Auslan users require a range of communication options to navigate and participate in different situations. </w:t>
      </w:r>
    </w:p>
    <w:p w14:paraId="410D4CAD" w14:textId="77777777" w:rsidR="000E25DC" w:rsidRDefault="000E25DC" w:rsidP="00C8653B">
      <w:pPr>
        <w:ind w:left="0"/>
      </w:pPr>
    </w:p>
    <w:p w14:paraId="40553BD0" w14:textId="77777777" w:rsidR="000E25DC" w:rsidRDefault="000E25DC" w:rsidP="00C8653B">
      <w:pPr>
        <w:ind w:left="0"/>
      </w:pPr>
      <w:r>
        <w:t xml:space="preserve">Accessing a smartphone via the substitute supports pathway requires demonstrating how access to that device can reduce the need for a support already in someone’s plan. In the case of many Auslan users the only other communication support they receive is Auslan interpreting. Demonstrating how possession of a phone reduces a person’s need for interpreting services is next to impossible as they are two different supports required for different contexts. </w:t>
      </w:r>
    </w:p>
    <w:p w14:paraId="797A4C42" w14:textId="77777777" w:rsidR="000E25DC" w:rsidRDefault="000E25DC" w:rsidP="00C8653B">
      <w:pPr>
        <w:ind w:left="0"/>
      </w:pPr>
    </w:p>
    <w:p w14:paraId="1DECE237" w14:textId="77777777" w:rsidR="00C8653B" w:rsidRDefault="000E25DC" w:rsidP="00C8653B">
      <w:pPr>
        <w:ind w:left="0"/>
      </w:pPr>
      <w:r>
        <w:t xml:space="preserve">This approach also creates unique difficulties for Auslan users in regional and remote areas. A person in an area where there are no or very few Auslan interpreters must use Video Remote Interpreting (VRI) out of necessity. This requires hardware (computer/tablet, keyboards, large monitor, lighting) and connectivity beyond what may be desired or sufficient for personal use. These items can now only be funded if they can be shown to lead to a reduced need for communication support, i.e. the interpreting service. </w:t>
      </w:r>
    </w:p>
    <w:p w14:paraId="0FB5DDE4" w14:textId="77777777" w:rsidR="00C8653B" w:rsidRDefault="00C8653B" w:rsidP="00C8653B">
      <w:pPr>
        <w:ind w:left="0"/>
      </w:pPr>
    </w:p>
    <w:p w14:paraId="73308554" w14:textId="23AF1B45" w:rsidR="000E25DC" w:rsidRPr="000E25DC" w:rsidRDefault="000E25DC" w:rsidP="00C8653B">
      <w:pPr>
        <w:ind w:left="0"/>
      </w:pPr>
      <w:r>
        <w:t xml:space="preserve">It is difficult to understand how the necessary mechanics of engaging a support are expected to reduce the need for that support. This approach feels akin to telling someone who uses a mobility aid in a regional area where there is no specialist supplier available that they can only be funded to by commercially available nuts and bolts to repair their equipment if this investment can be shown to reduce their need for the mobility aid overall. </w:t>
      </w:r>
    </w:p>
    <w:p w14:paraId="615B3D2C" w14:textId="77777777" w:rsidR="000E25DC" w:rsidRPr="000E25DC" w:rsidRDefault="000E25DC" w:rsidP="00C8653B">
      <w:pPr>
        <w:pStyle w:val="ListParagraph"/>
        <w:numPr>
          <w:ilvl w:val="0"/>
          <w:numId w:val="0"/>
        </w:numPr>
        <w:spacing w:after="360"/>
        <w:ind w:right="-142"/>
        <w:rPr>
          <w:szCs w:val="24"/>
        </w:rPr>
      </w:pPr>
    </w:p>
    <w:p w14:paraId="2777EB77" w14:textId="43319CDA" w:rsidR="000E25DC" w:rsidRPr="000E25DC" w:rsidRDefault="000E25DC" w:rsidP="00C8653B">
      <w:pPr>
        <w:pStyle w:val="ListParagraph"/>
        <w:numPr>
          <w:ilvl w:val="0"/>
          <w:numId w:val="0"/>
        </w:numPr>
        <w:spacing w:after="360"/>
        <w:ind w:right="-142"/>
        <w:rPr>
          <w:i/>
          <w:iCs w:val="0"/>
          <w:color w:val="0070C0"/>
          <w:szCs w:val="24"/>
        </w:rPr>
      </w:pPr>
      <w:r w:rsidRPr="000E25DC">
        <w:rPr>
          <w:b/>
          <w:bCs/>
          <w:i/>
          <w:iCs w:val="0"/>
          <w:color w:val="0070C0"/>
          <w:szCs w:val="24"/>
        </w:rPr>
        <w:t xml:space="preserve">Are there any areas of the NDIS Supports rule (or lists) you think need to be changed? </w:t>
      </w:r>
      <w:r w:rsidRPr="000E25DC">
        <w:rPr>
          <w:i/>
          <w:iCs w:val="0"/>
          <w:color w:val="0070C0"/>
          <w:szCs w:val="24"/>
        </w:rPr>
        <w:t>This might include things that should be included in the lists.</w:t>
      </w:r>
    </w:p>
    <w:p w14:paraId="78629638" w14:textId="2999EAA4" w:rsidR="000E25DC" w:rsidRDefault="000E25DC" w:rsidP="00C8653B">
      <w:pPr>
        <w:ind w:left="0"/>
      </w:pPr>
      <w:r>
        <w:t>Steps must be taken to allow flexibility for certain cohorts around access to mainstream devices and everyday equipment. This flexibility can and should be balanced with the goal of ensuring NDIS funds are spent on disability related supports but must take a broader approach to decision making that factors in context and how the device will be used rather than solely what it is. Many participants navigate a paltry support landscape by coming up with new and innovative ways to use existing devices and supports to</w:t>
      </w:r>
      <w:r w:rsidR="006871E4">
        <w:t xml:space="preserve"> bridge</w:t>
      </w:r>
      <w:r>
        <w:t xml:space="preserve"> gaps. To be penalised for this or have it presented to the public as a misuse of plan funds is disingenuous and goes against everything the NDIS stands for. </w:t>
      </w:r>
    </w:p>
    <w:p w14:paraId="6EE0F7AB" w14:textId="77777777" w:rsidR="00C8653B" w:rsidRDefault="00C8653B" w:rsidP="00C8653B">
      <w:pPr>
        <w:ind w:left="0"/>
      </w:pPr>
    </w:p>
    <w:p w14:paraId="7929E491" w14:textId="19E0C351" w:rsidR="000E25DC" w:rsidRDefault="000E25DC" w:rsidP="00C8653B">
      <w:pPr>
        <w:ind w:left="0"/>
      </w:pPr>
      <w:r>
        <w:t>We implore the Department to take heed of the chorus of voices advising against the use of these lists to achieve growth moderation</w:t>
      </w:r>
      <w:r w:rsidR="00281551">
        <w:t xml:space="preserve"> or improve participant outcomes</w:t>
      </w:r>
      <w:r>
        <w:t>. These voices do not only originate in the disability sector. We humbly request the Department to please give some thought to the recent statements from the Grattan Institute about this in their Saving the NDIS report (</w:t>
      </w:r>
      <w:r w:rsidRPr="001859C9">
        <w:t>https://grattan.edu.au/wp-content/uploads/2025/06/Saving-the-NDIS-Grattan-Institute-Report.pdf</w:t>
      </w:r>
      <w:r>
        <w:t xml:space="preserve">). </w:t>
      </w:r>
    </w:p>
    <w:p w14:paraId="1DA2A1BB" w14:textId="77777777" w:rsidR="00C8653B" w:rsidRDefault="00C8653B" w:rsidP="00C8653B">
      <w:pPr>
        <w:ind w:left="0"/>
        <w:jc w:val="center"/>
        <w:rPr>
          <w:i/>
          <w:iCs w:val="0"/>
          <w:color w:val="0070C0"/>
        </w:rPr>
      </w:pPr>
    </w:p>
    <w:p w14:paraId="57328330" w14:textId="478A3F13" w:rsidR="000E25DC" w:rsidRPr="000E25DC" w:rsidRDefault="000E25DC" w:rsidP="00C8653B">
      <w:pPr>
        <w:ind w:left="0"/>
        <w:jc w:val="center"/>
        <w:rPr>
          <w:i/>
          <w:iCs w:val="0"/>
          <w:color w:val="0070C0"/>
        </w:rPr>
      </w:pPr>
      <w:r w:rsidRPr="000E25DC">
        <w:rPr>
          <w:i/>
          <w:iCs w:val="0"/>
          <w:color w:val="0070C0"/>
        </w:rPr>
        <w:t xml:space="preserve">“It will be important that growth moderation is achieved through measures that do not result in vital supports being delayed or disabled people’s experience and the prospects of meaningful results from the NDIS being undermined. This will remain a risk even as current reform measures begin to bear fruit, since the current package of reforms does not address the full gamut of changes needed to ensure the NDIS really delivers for disabled Australians. Growth moderation is a necessary goal, but it should not mean that the people who need support from the NDIS get sub-optimal results. Without further bold policy decisions, government risks hitting the target but missing the point” </w:t>
      </w:r>
      <w:r w:rsidR="00085960">
        <w:rPr>
          <w:i/>
          <w:iCs w:val="0"/>
          <w:color w:val="0070C0"/>
        </w:rPr>
        <w:t>P</w:t>
      </w:r>
      <w:r w:rsidR="00A86DB3">
        <w:rPr>
          <w:i/>
          <w:iCs w:val="0"/>
          <w:color w:val="0070C0"/>
        </w:rPr>
        <w:t xml:space="preserve">ages </w:t>
      </w:r>
      <w:r w:rsidRPr="000E25DC">
        <w:rPr>
          <w:i/>
          <w:iCs w:val="0"/>
          <w:color w:val="0070C0"/>
        </w:rPr>
        <w:t>16-17</w:t>
      </w:r>
    </w:p>
    <w:p w14:paraId="117C0B77" w14:textId="77777777" w:rsidR="000E25DC" w:rsidRDefault="000E25DC" w:rsidP="00C8653B">
      <w:pPr>
        <w:ind w:left="0"/>
      </w:pPr>
    </w:p>
    <w:p w14:paraId="47DFB3A9" w14:textId="01B709B5" w:rsidR="000E25DC" w:rsidRPr="000E25DC" w:rsidRDefault="000E25DC" w:rsidP="00C8653B">
      <w:pPr>
        <w:ind w:left="0"/>
        <w:jc w:val="center"/>
        <w:rPr>
          <w:i/>
          <w:iCs w:val="0"/>
          <w:color w:val="0070C0"/>
        </w:rPr>
      </w:pPr>
      <w:r w:rsidRPr="000E25DC">
        <w:rPr>
          <w:i/>
          <w:iCs w:val="0"/>
          <w:color w:val="0070C0"/>
        </w:rPr>
        <w:t xml:space="preserve">“That the NDIS is demand-driven is a good thing — it means that people with disability can get the reasonable and necessary supports they need. But the NDIS has to contain costs and growth, just like every other government program. Any time a government decides to spend money on one program, it means that it can’t spend that dollar on another program. The opportunity cost of spending more on the NDIS gets higher as the scheme grows each year. Higher costs also strain the social licence on which the NDIS is built. Claims management and budget-setting are two of the main levers government has to contain costs and growth in the NDIS. Instead of rationing the NDIS through increased administrative hurdles, or inadequate funding, well-implemented claims management and budget setting can ensure that people with disability get what they need, in a way that is affordable to governments.” </w:t>
      </w:r>
      <w:r w:rsidR="00085960">
        <w:rPr>
          <w:i/>
          <w:iCs w:val="0"/>
          <w:color w:val="0070C0"/>
        </w:rPr>
        <w:t>P</w:t>
      </w:r>
      <w:r w:rsidR="00A86DB3">
        <w:rPr>
          <w:i/>
          <w:iCs w:val="0"/>
          <w:color w:val="0070C0"/>
        </w:rPr>
        <w:t>age</w:t>
      </w:r>
      <w:r w:rsidRPr="000E25DC">
        <w:rPr>
          <w:i/>
          <w:iCs w:val="0"/>
          <w:color w:val="0070C0"/>
        </w:rPr>
        <w:t xml:space="preserve"> 34.</w:t>
      </w:r>
    </w:p>
    <w:p w14:paraId="43B670D3" w14:textId="77777777" w:rsidR="00085960" w:rsidRDefault="00085960" w:rsidP="00C8653B">
      <w:pPr>
        <w:ind w:left="0"/>
        <w:jc w:val="center"/>
        <w:rPr>
          <w:i/>
          <w:iCs w:val="0"/>
          <w:color w:val="0070C0"/>
        </w:rPr>
      </w:pPr>
    </w:p>
    <w:p w14:paraId="6BFC3175" w14:textId="26A84753" w:rsidR="000E25DC" w:rsidRPr="00085960" w:rsidRDefault="000E25DC" w:rsidP="00C8653B">
      <w:pPr>
        <w:ind w:left="0"/>
        <w:jc w:val="center"/>
        <w:rPr>
          <w:i/>
          <w:iCs w:val="0"/>
          <w:color w:val="0070C0"/>
        </w:rPr>
      </w:pPr>
      <w:r w:rsidRPr="00085960">
        <w:rPr>
          <w:i/>
          <w:iCs w:val="0"/>
          <w:color w:val="0070C0"/>
        </w:rPr>
        <w:t xml:space="preserve">“The NDIS should allow people with disability greater flexibility in how they choose to use their plans. The evidence is clear that the most successful individualised funding schemes enable people to be creative and flexible, and make their own decisions day-to-day about how they are supported. More flexibility allows people with disability, as experts in their conditions, to spend their funding entitlements on goods and services that suit their individual needs, goals and circumstances. The NDIS does not need spending guardrails, but it is this new planning framework that will do the heavy lifting on controlling the costs in the reformed system, rather than a list of permissible support items. Grattan Institute has previously argued that when the NDIA is confident that it is setting budgets correctly at the ‘front door’ in a way that fits within the funding set by government, barricading the ‘back door’ with extensive rules on spending is unnecessary and counterproductive.” </w:t>
      </w:r>
      <w:r w:rsidR="00085960">
        <w:rPr>
          <w:i/>
          <w:iCs w:val="0"/>
          <w:color w:val="0070C0"/>
        </w:rPr>
        <w:t>P</w:t>
      </w:r>
      <w:r w:rsidR="00A86DB3">
        <w:rPr>
          <w:i/>
          <w:iCs w:val="0"/>
          <w:color w:val="0070C0"/>
        </w:rPr>
        <w:t>age</w:t>
      </w:r>
      <w:r w:rsidRPr="00085960">
        <w:rPr>
          <w:i/>
          <w:iCs w:val="0"/>
          <w:color w:val="0070C0"/>
        </w:rPr>
        <w:t xml:space="preserve"> 39.</w:t>
      </w:r>
    </w:p>
    <w:p w14:paraId="7EE2BCFE" w14:textId="77777777" w:rsidR="00085960" w:rsidRDefault="00085960" w:rsidP="00C8653B">
      <w:pPr>
        <w:ind w:left="0"/>
      </w:pPr>
    </w:p>
    <w:p w14:paraId="45025841" w14:textId="534BB026" w:rsidR="000E25DC" w:rsidRPr="00167715" w:rsidRDefault="000E25DC" w:rsidP="00C8653B">
      <w:pPr>
        <w:ind w:left="0"/>
        <w:jc w:val="center"/>
        <w:rPr>
          <w:i/>
          <w:iCs w:val="0"/>
          <w:color w:val="0070C0"/>
        </w:rPr>
      </w:pPr>
      <w:r w:rsidRPr="00167715">
        <w:rPr>
          <w:i/>
          <w:iCs w:val="0"/>
          <w:color w:val="0070C0"/>
        </w:rPr>
        <w:t>“The NDIS does not need a Medicare Benefits Schedule for disability that extensively codifies everything that can (be) bought with NDIS funding. The objectives of increasing people’s social and economic participation are not the same as the objectives of medical treatment, and do not lend themselves to similar policy settings. Rather than reducing growth in the cost of the NDIS, the lists are more likely to temporarily reduce how much of their plans people spend (that is, a drop in plan utilisation rates); however, this effect would disappear once people start to substitute prohibited supports with permitted supports.”</w:t>
      </w:r>
      <w:r w:rsidR="00167715" w:rsidRPr="00167715">
        <w:rPr>
          <w:i/>
          <w:iCs w:val="0"/>
          <w:color w:val="0070C0"/>
        </w:rPr>
        <w:t xml:space="preserve"> </w:t>
      </w:r>
      <w:r w:rsidR="00085960" w:rsidRPr="00167715">
        <w:rPr>
          <w:i/>
          <w:iCs w:val="0"/>
          <w:color w:val="0070C0"/>
        </w:rPr>
        <w:t>P</w:t>
      </w:r>
      <w:r w:rsidR="00A86DB3">
        <w:rPr>
          <w:i/>
          <w:iCs w:val="0"/>
          <w:color w:val="0070C0"/>
        </w:rPr>
        <w:t>age</w:t>
      </w:r>
      <w:r w:rsidR="00167715" w:rsidRPr="00167715">
        <w:rPr>
          <w:i/>
          <w:iCs w:val="0"/>
          <w:color w:val="0070C0"/>
        </w:rPr>
        <w:t xml:space="preserve"> </w:t>
      </w:r>
      <w:r w:rsidR="00085960" w:rsidRPr="00167715">
        <w:rPr>
          <w:i/>
          <w:iCs w:val="0"/>
          <w:color w:val="0070C0"/>
        </w:rPr>
        <w:t>39</w:t>
      </w:r>
      <w:r w:rsidR="00167715">
        <w:rPr>
          <w:i/>
          <w:iCs w:val="0"/>
          <w:color w:val="0070C0"/>
        </w:rPr>
        <w:t>.</w:t>
      </w:r>
    </w:p>
    <w:p w14:paraId="38B59D88" w14:textId="77777777" w:rsidR="003D667F" w:rsidRDefault="003D667F" w:rsidP="00C8653B">
      <w:pPr>
        <w:ind w:left="0"/>
        <w:jc w:val="center"/>
        <w:rPr>
          <w:i/>
          <w:iCs w:val="0"/>
          <w:color w:val="0070C0"/>
        </w:rPr>
      </w:pPr>
    </w:p>
    <w:p w14:paraId="06008E1C" w14:textId="62F05339" w:rsidR="000E25DC" w:rsidRPr="00167715" w:rsidRDefault="000E25DC" w:rsidP="00C8653B">
      <w:pPr>
        <w:ind w:left="0"/>
        <w:jc w:val="center"/>
        <w:rPr>
          <w:i/>
          <w:iCs w:val="0"/>
          <w:color w:val="0070C0"/>
        </w:rPr>
      </w:pPr>
      <w:r w:rsidRPr="00167715">
        <w:rPr>
          <w:i/>
          <w:iCs w:val="0"/>
          <w:color w:val="0070C0"/>
        </w:rPr>
        <w:t>“The federal government should rethink the current ‘in and out’ lists contained in the interim Section 10 Rules that now govern the use of NDIS funds. The current rules are unnecessarily complex, overbearing, bureaucratically burdensome, and will prove impossible for the NDIA to properly police. The current rules could also have a chilling effect on much-needed innovation, for example by undermining the viability of cost-effective alternatives to expensive housing and living supports. The government should work with the disability community on a replacement Rule. The new Rule should reflect the overall policy objectives of these changes: to ensure sustainable resource allocation while enhancing people’s planning experience and flexibility.”</w:t>
      </w:r>
      <w:r w:rsidR="00167715" w:rsidRPr="00167715">
        <w:rPr>
          <w:i/>
          <w:iCs w:val="0"/>
          <w:color w:val="0070C0"/>
        </w:rPr>
        <w:t xml:space="preserve"> P</w:t>
      </w:r>
      <w:r w:rsidR="00A86DB3">
        <w:rPr>
          <w:i/>
          <w:iCs w:val="0"/>
          <w:color w:val="0070C0"/>
        </w:rPr>
        <w:t>age</w:t>
      </w:r>
      <w:r w:rsidR="00167715" w:rsidRPr="00167715">
        <w:rPr>
          <w:i/>
          <w:iCs w:val="0"/>
          <w:color w:val="0070C0"/>
        </w:rPr>
        <w:t xml:space="preserve"> 40.</w:t>
      </w:r>
    </w:p>
    <w:p w14:paraId="5376EF6A" w14:textId="77777777" w:rsidR="0084045E" w:rsidRDefault="0084045E" w:rsidP="00C8653B">
      <w:pPr>
        <w:ind w:left="0"/>
      </w:pPr>
    </w:p>
    <w:sectPr w:rsidR="009B71A3" w:rsidSect="00C8653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Borders w:offsetFrom="page">
        <w:top w:val="single" w:sz="12" w:space="24" w:color="7030A0"/>
        <w:left w:val="single" w:sz="12" w:space="24" w:color="7030A0"/>
        <w:bottom w:val="single" w:sz="12" w:space="24" w:color="7030A0"/>
        <w:right w:val="single" w:sz="12"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3A8EC" w14:textId="77777777" w:rsidR="00237261" w:rsidRDefault="00237261" w:rsidP="00C8653B">
      <w:pPr>
        <w:spacing w:after="0" w:line="240" w:lineRule="auto"/>
      </w:pPr>
      <w:r>
        <w:separator/>
      </w:r>
    </w:p>
  </w:endnote>
  <w:endnote w:type="continuationSeparator" w:id="0">
    <w:p w14:paraId="6796D3DE" w14:textId="77777777" w:rsidR="00237261" w:rsidRDefault="00237261" w:rsidP="00C8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5274" w14:textId="28011178" w:rsidR="00C8653B" w:rsidRDefault="0084045E" w:rsidP="00350918">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4C07F099" wp14:editId="29EF8609">
              <wp:simplePos x="635" y="635"/>
              <wp:positionH relativeFrom="page">
                <wp:align>center</wp:align>
              </wp:positionH>
              <wp:positionV relativeFrom="page">
                <wp:align>bottom</wp:align>
              </wp:positionV>
              <wp:extent cx="790575" cy="409575"/>
              <wp:effectExtent l="0" t="0" r="9525" b="0"/>
              <wp:wrapNone/>
              <wp:docPr id="19978123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0575" cy="409575"/>
                      </a:xfrm>
                      <a:prstGeom prst="rect">
                        <a:avLst/>
                      </a:prstGeom>
                      <a:noFill/>
                      <a:ln>
                        <a:noFill/>
                      </a:ln>
                    </wps:spPr>
                    <wps:txbx>
                      <w:txbxContent>
                        <w:p w14:paraId="38C66F83" w14:textId="2FB0BA80"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7F099" id="_x0000_t202" coordsize="21600,21600" o:spt="202" path="m,l,21600r21600,l21600,xe">
              <v:stroke joinstyle="miter"/>
              <v:path gradientshapeok="t" o:connecttype="rect"/>
            </v:shapetype>
            <v:shape id="Text Box 5" o:spid="_x0000_s1028" type="#_x0000_t202" alt="OFFICIAL" style="position:absolute;left:0;text-align:left;margin-left:0;margin-top:0;width:62.25pt;height:32.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" filled="f" stroked="f">
              <v:fill o:detectmouseclick="t"/>
              <v:textbox style="mso-fit-shape-to-text:t" inset="0,0,0,15pt">
                <w:txbxContent>
                  <w:p w14:paraId="38C66F83" w14:textId="2FB0BA80"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858273722"/>
      <w:docPartObj>
        <w:docPartGallery w:val="Page Numbers (Bottom of Page)"/>
        <w:docPartUnique/>
      </w:docPartObj>
    </w:sdtPr>
    <w:sdtEndPr>
      <w:rPr>
        <w:rStyle w:val="PageNumber"/>
      </w:rPr>
    </w:sdtEndPr>
    <w:sdtContent>
      <w:p w14:paraId="4BD15274" w14:textId="28011178" w:rsidR="00C8653B" w:rsidRDefault="00C8653B" w:rsidP="003509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20547" w14:textId="77777777" w:rsidR="00C8653B" w:rsidRDefault="00C8653B" w:rsidP="00C86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11C6" w14:textId="4545DDD0" w:rsidR="00C8653B" w:rsidRDefault="0084045E" w:rsidP="00350918">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245B505A" wp14:editId="5EE1B9AB">
              <wp:simplePos x="635" y="635"/>
              <wp:positionH relativeFrom="page">
                <wp:align>center</wp:align>
              </wp:positionH>
              <wp:positionV relativeFrom="page">
                <wp:align>bottom</wp:align>
              </wp:positionV>
              <wp:extent cx="790575" cy="409575"/>
              <wp:effectExtent l="0" t="0" r="9525" b="0"/>
              <wp:wrapNone/>
              <wp:docPr id="95097366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0575" cy="409575"/>
                      </a:xfrm>
                      <a:prstGeom prst="rect">
                        <a:avLst/>
                      </a:prstGeom>
                      <a:noFill/>
                      <a:ln>
                        <a:noFill/>
                      </a:ln>
                    </wps:spPr>
                    <wps:txbx>
                      <w:txbxContent>
                        <w:p w14:paraId="29DB60E3" w14:textId="6020A188"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5B505A" id="_x0000_t202" coordsize="21600,21600" o:spt="202" path="m,l,21600r21600,l21600,xe">
              <v:stroke joinstyle="miter"/>
              <v:path gradientshapeok="t" o:connecttype="rect"/>
            </v:shapetype>
            <v:shape id="Text Box 6" o:spid="_x0000_s1029" type="#_x0000_t202" alt="OFFICIAL" style="position:absolute;left:0;text-align:left;margin-left:0;margin-top:0;width:62.25pt;height:32.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" filled="f" stroked="f">
              <v:fill o:detectmouseclick="t"/>
              <v:textbox style="mso-fit-shape-to-text:t" inset="0,0,0,15pt">
                <w:txbxContent>
                  <w:p w14:paraId="29DB60E3" w14:textId="6020A188"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518700323"/>
      <w:docPartObj>
        <w:docPartGallery w:val="Page Numbers (Bottom of Page)"/>
        <w:docPartUnique/>
      </w:docPartObj>
    </w:sdtPr>
    <w:sdtEndPr>
      <w:rPr>
        <w:rStyle w:val="PageNumber"/>
      </w:rPr>
    </w:sdtEndPr>
    <w:sdtContent>
      <w:p w14:paraId="607F11C6" w14:textId="4545DDD0" w:rsidR="00C8653B" w:rsidRDefault="00C8653B" w:rsidP="003509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739DF2" w14:textId="77777777" w:rsidR="00C8653B" w:rsidRDefault="00C8653B" w:rsidP="00C8653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E64A" w14:textId="26193E42" w:rsidR="0084045E" w:rsidRDefault="0084045E">
    <w:pPr>
      <w:pStyle w:val="Footer"/>
    </w:pPr>
    <w:r>
      <w:rPr>
        <w:noProof/>
      </w:rPr>
      <mc:AlternateContent>
        <mc:Choice Requires="wps">
          <w:drawing>
            <wp:anchor distT="0" distB="0" distL="0" distR="0" simplePos="0" relativeHeight="251661312" behindDoc="0" locked="0" layoutInCell="1" allowOverlap="1" wp14:anchorId="31763162" wp14:editId="186FEE83">
              <wp:simplePos x="635" y="635"/>
              <wp:positionH relativeFrom="page">
                <wp:align>center</wp:align>
              </wp:positionH>
              <wp:positionV relativeFrom="page">
                <wp:align>bottom</wp:align>
              </wp:positionV>
              <wp:extent cx="790575" cy="409575"/>
              <wp:effectExtent l="0" t="0" r="9525" b="0"/>
              <wp:wrapNone/>
              <wp:docPr id="20027354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0575" cy="409575"/>
                      </a:xfrm>
                      <a:prstGeom prst="rect">
                        <a:avLst/>
                      </a:prstGeom>
                      <a:noFill/>
                      <a:ln>
                        <a:noFill/>
                      </a:ln>
                    </wps:spPr>
                    <wps:txbx>
                      <w:txbxContent>
                        <w:p w14:paraId="3865C4CD" w14:textId="333BCE8E"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763162" id="_x0000_t202" coordsize="21600,21600" o:spt="202" path="m,l,21600r21600,l21600,xe">
              <v:stroke joinstyle="miter"/>
              <v:path gradientshapeok="t" o:connecttype="rect"/>
            </v:shapetype>
            <v:shape id="Text Box 4" o:spid="_x0000_s1031" type="#_x0000_t202" alt="OFFICIAL" style="position:absolute;left:0;text-align:left;margin-left:0;margin-top:0;width:62.25pt;height:32.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" filled="f" stroked="f">
              <v:fill o:detectmouseclick="t"/>
              <v:textbox style="mso-fit-shape-to-text:t" inset="0,0,0,15pt">
                <w:txbxContent>
                  <w:p w14:paraId="3865C4CD" w14:textId="333BCE8E"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6CC40" w14:textId="77777777" w:rsidR="00237261" w:rsidRDefault="00237261" w:rsidP="00C8653B">
      <w:pPr>
        <w:spacing w:after="0" w:line="240" w:lineRule="auto"/>
      </w:pPr>
      <w:r>
        <w:separator/>
      </w:r>
    </w:p>
  </w:footnote>
  <w:footnote w:type="continuationSeparator" w:id="0">
    <w:p w14:paraId="3C39305B" w14:textId="77777777" w:rsidR="00237261" w:rsidRDefault="00237261" w:rsidP="00C86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5075" w14:textId="6C365254" w:rsidR="0084045E" w:rsidRDefault="0084045E">
    <w:pPr>
      <w:pStyle w:val="Header"/>
    </w:pPr>
    <w:r>
      <w:rPr>
        <w:noProof/>
      </w:rPr>
      <mc:AlternateContent>
        <mc:Choice Requires="wps">
          <w:drawing>
            <wp:anchor distT="0" distB="0" distL="0" distR="0" simplePos="0" relativeHeight="251659264" behindDoc="0" locked="0" layoutInCell="1" allowOverlap="1" wp14:anchorId="7B0147B0" wp14:editId="3881E60F">
              <wp:simplePos x="635" y="635"/>
              <wp:positionH relativeFrom="page">
                <wp:align>center</wp:align>
              </wp:positionH>
              <wp:positionV relativeFrom="page">
                <wp:align>top</wp:align>
              </wp:positionV>
              <wp:extent cx="790575" cy="409575"/>
              <wp:effectExtent l="0" t="0" r="9525" b="9525"/>
              <wp:wrapNone/>
              <wp:docPr id="1258408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409575"/>
                      </a:xfrm>
                      <a:prstGeom prst="rect">
                        <a:avLst/>
                      </a:prstGeom>
                      <a:noFill/>
                      <a:ln>
                        <a:noFill/>
                      </a:ln>
                    </wps:spPr>
                    <wps:txbx>
                      <w:txbxContent>
                        <w:p w14:paraId="4924854E" w14:textId="191AE9A4"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0147B0" id="_x0000_t202" coordsize="21600,21600" o:spt="202" path="m,l,21600r21600,l21600,xe">
              <v:stroke joinstyle="miter"/>
              <v:path gradientshapeok="t" o:connecttype="rect"/>
            </v:shapetype>
            <v:shape id="Text Box 2" o:spid="_x0000_s1026" type="#_x0000_t202" alt="OFFICIAL" style="position:absolute;left:0;text-align:left;margin-left:0;margin-top:0;width:62.25pt;height:32.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" filled="f" stroked="f">
              <v:fill o:detectmouseclick="t"/>
              <v:textbox style="mso-fit-shape-to-text:t" inset="0,15pt,0,0">
                <w:txbxContent>
                  <w:p w14:paraId="4924854E" w14:textId="191AE9A4"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32D3" w14:textId="0D8E229E" w:rsidR="00C8653B" w:rsidRDefault="0084045E">
    <w:pPr>
      <w:pStyle w:val="Header"/>
    </w:pPr>
    <w:r>
      <w:rPr>
        <w:noProof/>
      </w:rPr>
      <mc:AlternateContent>
        <mc:Choice Requires="wps">
          <w:drawing>
            <wp:anchor distT="0" distB="0" distL="0" distR="0" simplePos="0" relativeHeight="251660288" behindDoc="0" locked="0" layoutInCell="1" allowOverlap="1" wp14:anchorId="20D2B7A8" wp14:editId="3CC51946">
              <wp:simplePos x="635" y="635"/>
              <wp:positionH relativeFrom="page">
                <wp:align>center</wp:align>
              </wp:positionH>
              <wp:positionV relativeFrom="page">
                <wp:align>top</wp:align>
              </wp:positionV>
              <wp:extent cx="790575" cy="409575"/>
              <wp:effectExtent l="0" t="0" r="9525" b="9525"/>
              <wp:wrapNone/>
              <wp:docPr id="17279684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409575"/>
                      </a:xfrm>
                      <a:prstGeom prst="rect">
                        <a:avLst/>
                      </a:prstGeom>
                      <a:noFill/>
                      <a:ln>
                        <a:noFill/>
                      </a:ln>
                    </wps:spPr>
                    <wps:txbx>
                      <w:txbxContent>
                        <w:p w14:paraId="15186942" w14:textId="648AD2C7"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D2B7A8" id="_x0000_t202" coordsize="21600,21600" o:spt="202" path="m,l,21600r21600,l21600,xe">
              <v:stroke joinstyle="miter"/>
              <v:path gradientshapeok="t" o:connecttype="rect"/>
            </v:shapetype>
            <v:shape id="Text Box 3" o:spid="_x0000_s1027" type="#_x0000_t202" alt="OFFICIAL" style="position:absolute;left:0;text-align:left;margin-left:0;margin-top:0;width:62.25pt;height:32.2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" filled="f" stroked="f">
              <v:fill o:detectmouseclick="t"/>
              <v:textbox style="mso-fit-shape-to-text:t" inset="0,15pt,0,0">
                <w:txbxContent>
                  <w:p w14:paraId="15186942" w14:textId="648AD2C7"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v:textbox>
              <w10:wrap anchorx="page" anchory="page"/>
            </v:shape>
          </w:pict>
        </mc:Fallback>
      </mc:AlternateContent>
    </w:r>
    <w:r w:rsidR="00C8653B">
      <w:rPr>
        <w:noProof/>
      </w:rPr>
      <w:drawing>
        <wp:inline distT="0" distB="0" distL="0" distR="0" wp14:anchorId="28F1B518" wp14:editId="5AF1BE87">
          <wp:extent cx="702734" cy="702734"/>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2848" cy="722848"/>
                  </a:xfrm>
                  <a:prstGeom prst="rect">
                    <a:avLst/>
                  </a:prstGeom>
                </pic:spPr>
              </pic:pic>
            </a:graphicData>
          </a:graphic>
        </wp:inline>
      </w:drawing>
    </w:r>
  </w:p>
  <w:p w14:paraId="7184E8D7" w14:textId="77777777" w:rsidR="00C8653B" w:rsidRDefault="00C86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5F09" w14:textId="46132EDC" w:rsidR="0084045E" w:rsidRDefault="0084045E">
    <w:pPr>
      <w:pStyle w:val="Header"/>
    </w:pPr>
    <w:r>
      <w:rPr>
        <w:noProof/>
      </w:rPr>
      <mc:AlternateContent>
        <mc:Choice Requires="wps">
          <w:drawing>
            <wp:anchor distT="0" distB="0" distL="0" distR="0" simplePos="0" relativeHeight="251658240" behindDoc="0" locked="0" layoutInCell="1" allowOverlap="1" wp14:anchorId="68F9947F" wp14:editId="298446A1">
              <wp:simplePos x="635" y="635"/>
              <wp:positionH relativeFrom="page">
                <wp:align>center</wp:align>
              </wp:positionH>
              <wp:positionV relativeFrom="page">
                <wp:align>top</wp:align>
              </wp:positionV>
              <wp:extent cx="790575" cy="409575"/>
              <wp:effectExtent l="0" t="0" r="9525" b="9525"/>
              <wp:wrapNone/>
              <wp:docPr id="548513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0575" cy="409575"/>
                      </a:xfrm>
                      <a:prstGeom prst="rect">
                        <a:avLst/>
                      </a:prstGeom>
                      <a:noFill/>
                      <a:ln>
                        <a:noFill/>
                      </a:ln>
                    </wps:spPr>
                    <wps:txbx>
                      <w:txbxContent>
                        <w:p w14:paraId="0F837CE2" w14:textId="425A9EA0"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F9947F" id="_x0000_t202" coordsize="21600,21600" o:spt="202" path="m,l,21600r21600,l21600,xe">
              <v:stroke joinstyle="miter"/>
              <v:path gradientshapeok="t" o:connecttype="rect"/>
            </v:shapetype>
            <v:shape id="Text Box 1" o:spid="_x0000_s1030" type="#_x0000_t202" alt="OFFICIAL" style="position:absolute;left:0;text-align:left;margin-left:0;margin-top:0;width:62.25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" filled="f" stroked="f">
              <v:fill o:detectmouseclick="t"/>
              <v:textbox style="mso-fit-shape-to-text:t" inset="0,15pt,0,0">
                <w:txbxContent>
                  <w:p w14:paraId="0F837CE2" w14:textId="425A9EA0" w:rsidR="0084045E" w:rsidRPr="0084045E" w:rsidRDefault="0084045E" w:rsidP="0084045E">
                    <w:pPr>
                      <w:spacing w:after="0"/>
                      <w:rPr>
                        <w:rFonts w:ascii="Aptos" w:eastAsia="Aptos" w:hAnsi="Aptos" w:cs="Aptos"/>
                        <w:noProof/>
                        <w:color w:val="FF0000"/>
                        <w:szCs w:val="24"/>
                      </w:rPr>
                    </w:pPr>
                    <w:r w:rsidRPr="0084045E">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461F42"/>
    <w:multiLevelType w:val="hybridMultilevel"/>
    <w:tmpl w:val="ECF4EE0A"/>
    <w:lvl w:ilvl="0" w:tplc="83A26F4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A63217"/>
    <w:multiLevelType w:val="hybridMultilevel"/>
    <w:tmpl w:val="CD3E6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435610">
    <w:abstractNumId w:val="2"/>
  </w:num>
  <w:num w:numId="2" w16cid:durableId="2067533494">
    <w:abstractNumId w:val="1"/>
  </w:num>
  <w:num w:numId="3" w16cid:durableId="91154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84"/>
    <w:rsid w:val="00085960"/>
    <w:rsid w:val="000E25DC"/>
    <w:rsid w:val="00136505"/>
    <w:rsid w:val="00167715"/>
    <w:rsid w:val="001A72F1"/>
    <w:rsid w:val="00237261"/>
    <w:rsid w:val="00281551"/>
    <w:rsid w:val="00382614"/>
    <w:rsid w:val="003D667F"/>
    <w:rsid w:val="005A43FD"/>
    <w:rsid w:val="005F47FB"/>
    <w:rsid w:val="006871E4"/>
    <w:rsid w:val="006D534C"/>
    <w:rsid w:val="007E58EA"/>
    <w:rsid w:val="0084045E"/>
    <w:rsid w:val="008F3659"/>
    <w:rsid w:val="008F720E"/>
    <w:rsid w:val="00971786"/>
    <w:rsid w:val="00A86DB3"/>
    <w:rsid w:val="00C32466"/>
    <w:rsid w:val="00C8653B"/>
    <w:rsid w:val="00E7141A"/>
    <w:rsid w:val="00EB50B5"/>
    <w:rsid w:val="00EE2A22"/>
    <w:rsid w:val="00F57BE1"/>
    <w:rsid w:val="00FE4384"/>
    <w:rsid w:val="3162A6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5E19F8"/>
  <w15:chartTrackingRefBased/>
  <w15:docId w15:val="{9710AA6B-A5A7-C34E-9A4A-622B89F0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5DC"/>
    <w:pPr>
      <w:spacing w:after="80" w:line="276" w:lineRule="auto"/>
      <w:ind w:left="284"/>
    </w:pPr>
    <w:rPr>
      <w:iCs/>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SD_List Paragraph,0Bullet,Bullet point,Bullets,CAB - List Bullet,CV text,Dot pt,F5 List Paragraph,FooterText,L,List Bullet Cab,List Paragraph1,List Paragraph11,List Paragraph111,List Paragraph2,Medium Grid 1 - Accent 21,NAST Quote,列出段"/>
    <w:basedOn w:val="Normal"/>
    <w:next w:val="Normal"/>
    <w:link w:val="ListParagraphChar"/>
    <w:uiPriority w:val="34"/>
    <w:qFormat/>
    <w:rsid w:val="000E25DC"/>
    <w:pPr>
      <w:numPr>
        <w:numId w:val="2"/>
      </w:numPr>
      <w:contextualSpacing/>
    </w:pPr>
  </w:style>
  <w:style w:type="character" w:customStyle="1" w:styleId="ListParagraphChar">
    <w:name w:val="List Paragraph Char"/>
    <w:aliases w:val="TSD_List Paragraph Char,0Bullet Char,Bullet point Char,Bullets Char,CAB - List Bullet Char,CV text Char,Dot pt Char,F5 List Paragraph Char,FooterText Char,L Char,List Bullet Cab Char,List Paragraph1 Char,List Paragraph11 Char"/>
    <w:link w:val="ListParagraph"/>
    <w:uiPriority w:val="34"/>
    <w:qFormat/>
    <w:locked/>
    <w:rsid w:val="000E25DC"/>
    <w:rPr>
      <w:iCs/>
      <w:szCs w:val="20"/>
      <w:lang w:val="en-GB" w:eastAsia="en-US"/>
    </w:rPr>
  </w:style>
  <w:style w:type="character" w:styleId="Hyperlink">
    <w:name w:val="Hyperlink"/>
    <w:basedOn w:val="DefaultParagraphFont"/>
    <w:uiPriority w:val="99"/>
    <w:unhideWhenUsed/>
    <w:rsid w:val="000E25DC"/>
    <w:rPr>
      <w:rFonts w:ascii="Arial" w:hAnsi="Arial"/>
      <w:color w:val="3344DD"/>
      <w:u w:val="single"/>
    </w:rPr>
  </w:style>
  <w:style w:type="paragraph" w:styleId="Header">
    <w:name w:val="header"/>
    <w:basedOn w:val="Normal"/>
    <w:link w:val="HeaderChar"/>
    <w:uiPriority w:val="99"/>
    <w:unhideWhenUsed/>
    <w:rsid w:val="00C865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53B"/>
    <w:rPr>
      <w:iCs/>
      <w:szCs w:val="20"/>
      <w:lang w:val="en-GB" w:eastAsia="en-US"/>
    </w:rPr>
  </w:style>
  <w:style w:type="paragraph" w:styleId="Footer">
    <w:name w:val="footer"/>
    <w:basedOn w:val="Normal"/>
    <w:link w:val="FooterChar"/>
    <w:uiPriority w:val="99"/>
    <w:unhideWhenUsed/>
    <w:rsid w:val="00C86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53B"/>
    <w:rPr>
      <w:iCs/>
      <w:szCs w:val="20"/>
      <w:lang w:val="en-GB" w:eastAsia="en-US"/>
    </w:rPr>
  </w:style>
  <w:style w:type="character" w:styleId="PageNumber">
    <w:name w:val="page number"/>
    <w:basedOn w:val="DefaultParagraphFont"/>
    <w:uiPriority w:val="99"/>
    <w:semiHidden/>
    <w:unhideWhenUsed/>
    <w:rsid w:val="00C86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hearingtracker.com/resources/10-best-hearing-loss-apps-for-smartpho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A6D25-57C3-4747-B3D7-E2DBF6F496B5}"/>
</file>

<file path=customXml/itemProps2.xml><?xml version="1.0" encoding="utf-8"?>
<ds:datastoreItem xmlns:ds="http://schemas.openxmlformats.org/officeDocument/2006/customXml" ds:itemID="{C753BB7D-32B2-452B-B0AF-14618FAA9FB4}">
  <ds:schemaRefs>
    <ds:schemaRef ds:uri="http://schemas.microsoft.com/sharepoint/v3/contenttype/forms"/>
  </ds:schemaRefs>
</ds:datastoreItem>
</file>

<file path=customXml/itemProps3.xml><?xml version="1.0" encoding="utf-8"?>
<ds:datastoreItem xmlns:ds="http://schemas.openxmlformats.org/officeDocument/2006/customXml" ds:itemID="{A8E159F6-CBFD-4192-B86F-5E957B4E40BD}">
  <ds:schemaRefs>
    <ds:schemaRef ds:uri="http://schemas.microsoft.com/office/2006/metadata/properties"/>
    <ds:schemaRef ds:uri="http://schemas.microsoft.com/office/2006/documentManagement/types"/>
    <ds:schemaRef ds:uri="cc8c9c71-d856-4691-9063-a8af247ca0df"/>
    <ds:schemaRef ds:uri="http://purl.org/dc/elements/1.1/"/>
    <ds:schemaRef ds:uri="http://schemas.openxmlformats.org/package/2006/metadata/core-properties"/>
    <ds:schemaRef ds:uri="http://purl.org/dc/terms/"/>
    <ds:schemaRef ds:uri="8523546c-af22-4d02-a47d-9b5b2a51f7ec"/>
    <ds:schemaRef ds:uri="http://schemas.microsoft.com/office/infopath/2007/PartnerControls"/>
    <ds:schemaRef ds:uri="http://www.w3.org/XML/1998/namespace"/>
    <ds:schemaRef ds:uri="http://purl.org/dc/dcmitype/"/>
    <ds:schemaRef ds:uri="ca41f60b-6f45-47a3-a09e-1a2b0003c8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1654</Words>
  <Characters>9428</Characters>
  <Application>Microsoft Office Word</Application>
  <DocSecurity>0</DocSecurity>
  <Lines>78</Lines>
  <Paragraphs>22</Paragraphs>
  <ScaleCrop>false</ScaleCrop>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McAtamney</dc:creator>
  <cp:keywords/>
  <dc:description/>
  <cp:lastModifiedBy>ZLABUR, Alex</cp:lastModifiedBy>
  <cp:revision>18</cp:revision>
  <dcterms:created xsi:type="dcterms:W3CDTF">2025-09-30T00:28:00Z</dcterms:created>
  <dcterms:modified xsi:type="dcterms:W3CDTF">2025-09-30T00:28:00Z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MediaServiceImageTags">
    <vt:lpwstr/>
  </property>
  <property fmtid="{D5CDD505-2E9C-101B-9397-08002B2CF9AE}" pid="4" name="_ExtendedDescription">
    <vt:lpwstr/>
  </property>
  <property fmtid="{D5CDD505-2E9C-101B-9397-08002B2CF9AE}" pid="5" name="ClassificationContentMarkingHeaderShapeIds">
    <vt:lpwstr>344f715,7802db7,66feb4e5</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775f512e,77143289,38aeb4df</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2025-09-30T00:28:58Z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948690af-13db-4b46-a9c5-a02fb352ed13</vt:lpwstr>
  </property>
  <property fmtid="{D5CDD505-2E9C-101B-9397-08002B2CF9AE}" pid="17" name="MSIP_Label_7cd3e8b9-ffed-43a8-b7f4-cc2fa0382d36_ContentBits">
    <vt:lpwstr>3</vt:lpwstr>
  </property>
  <property fmtid="{D5CDD505-2E9C-101B-9397-08002B2CF9AE}" pid="18" name="MSIP_Label_7cd3e8b9-ffed-43a8-b7f4-cc2fa0382d36_Tag">
    <vt:lpwstr>10, 0, 1, 2</vt:lpwstr>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TriggerFlowInfo">
    <vt:lpwstr/>
  </property>
  <property fmtid="{D5CDD505-2E9C-101B-9397-08002B2CF9AE}" pid="25" name="xd_Signature">
    <vt:bool>false</vt:bool>
  </property>
  <property fmtid="{D5CDD505-2E9C-101B-9397-08002B2CF9AE}" pid="26" name="Order">
    <vt:r8>1338100</vt:r8>
  </property>
</Properties>
</file>