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597A" w14:textId="784337FC" w:rsidR="001D0F6D" w:rsidRDefault="00B15BF7" w:rsidP="00EA4560">
      <w:pPr>
        <w:rPr>
          <w:noProof/>
          <w:color w:val="000000" w:themeColor="text1"/>
          <w:sz w:val="28"/>
        </w:rPr>
      </w:pPr>
      <w:r>
        <w:rPr>
          <w:noProof/>
        </w:rPr>
        <w:drawing>
          <wp:anchor distT="0" distB="0" distL="114300" distR="114300" simplePos="0" relativeHeight="251658242" behindDoc="0" locked="0" layoutInCell="1" allowOverlap="1" wp14:anchorId="1C6D2229" wp14:editId="6209617E">
            <wp:simplePos x="0" y="0"/>
            <wp:positionH relativeFrom="column">
              <wp:posOffset>-18868</wp:posOffset>
            </wp:positionH>
            <wp:positionV relativeFrom="paragraph">
              <wp:posOffset>150313</wp:posOffset>
            </wp:positionV>
            <wp:extent cx="2808654" cy="571500"/>
            <wp:effectExtent l="0" t="0" r="0" b="0"/>
            <wp:wrapSquare wrapText="bothSides"/>
            <wp:docPr id="90520070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00701"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8654"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themeColor="text1"/>
          <w:sz w:val="28"/>
        </w:rPr>
        <w:drawing>
          <wp:anchor distT="0" distB="0" distL="114300" distR="114300" simplePos="0" relativeHeight="251658241" behindDoc="1" locked="0" layoutInCell="1" allowOverlap="1" wp14:anchorId="1D92012A" wp14:editId="59F22844">
            <wp:simplePos x="0" y="0"/>
            <wp:positionH relativeFrom="column">
              <wp:posOffset>-528277</wp:posOffset>
            </wp:positionH>
            <wp:positionV relativeFrom="paragraph">
              <wp:posOffset>-150947</wp:posOffset>
            </wp:positionV>
            <wp:extent cx="7613196" cy="10755555"/>
            <wp:effectExtent l="0" t="0" r="6985" b="8255"/>
            <wp:wrapNone/>
            <wp:docPr id="246365249" name="Picture 1" descr="Cover page with the title 'A new approach to programs for families and children' and a picture of a baby holding a leaf walking with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5249" name="Picture 1" descr="Cover page with the title 'A new approach to programs for families and children' and a picture of a baby holding a leaf walking with parents."/>
                    <pic:cNvPicPr/>
                  </pic:nvPicPr>
                  <pic:blipFill>
                    <a:blip r:embed="rId12">
                      <a:extLst>
                        <a:ext uri="{28A0092B-C50C-407E-A947-70E740481C1C}">
                          <a14:useLocalDpi xmlns:a14="http://schemas.microsoft.com/office/drawing/2010/main" val="0"/>
                        </a:ext>
                      </a:extLst>
                    </a:blip>
                    <a:stretch>
                      <a:fillRect/>
                    </a:stretch>
                  </pic:blipFill>
                  <pic:spPr>
                    <a:xfrm>
                      <a:off x="0" y="0"/>
                      <a:ext cx="7613196" cy="10755555"/>
                    </a:xfrm>
                    <a:prstGeom prst="rect">
                      <a:avLst/>
                    </a:prstGeom>
                  </pic:spPr>
                </pic:pic>
              </a:graphicData>
            </a:graphic>
            <wp14:sizeRelH relativeFrom="page">
              <wp14:pctWidth>0</wp14:pctWidth>
            </wp14:sizeRelH>
            <wp14:sizeRelV relativeFrom="page">
              <wp14:pctHeight>0</wp14:pctHeight>
            </wp14:sizeRelV>
          </wp:anchor>
        </w:drawing>
      </w:r>
      <w:r w:rsidR="008D0A2B" w:rsidRPr="00CB1058">
        <w:rPr>
          <w:noProof/>
          <w:lang w:eastAsia="en-AU"/>
        </w:rPr>
        <w:drawing>
          <wp:anchor distT="0" distB="0" distL="114300" distR="114300" simplePos="0" relativeHeight="251658240" behindDoc="0" locked="0" layoutInCell="1" allowOverlap="1" wp14:anchorId="33DDA96F" wp14:editId="2C4ECE65">
            <wp:simplePos x="0" y="0"/>
            <wp:positionH relativeFrom="column">
              <wp:posOffset>8255</wp:posOffset>
            </wp:positionH>
            <wp:positionV relativeFrom="paragraph">
              <wp:posOffset>148590</wp:posOffset>
            </wp:positionV>
            <wp:extent cx="2779395" cy="560705"/>
            <wp:effectExtent l="0" t="0" r="1905"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9395" cy="560705"/>
                    </a:xfrm>
                    <a:prstGeom prst="rect">
                      <a:avLst/>
                    </a:prstGeom>
                  </pic:spPr>
                </pic:pic>
              </a:graphicData>
            </a:graphic>
            <wp14:sizeRelH relativeFrom="margin">
              <wp14:pctWidth>0</wp14:pctWidth>
            </wp14:sizeRelH>
            <wp14:sizeRelV relativeFrom="margin">
              <wp14:pctHeight>0</wp14:pctHeight>
            </wp14:sizeRelV>
          </wp:anchor>
        </w:drawing>
      </w:r>
      <w:r w:rsidR="005C3D90">
        <w:br w:type="textWrapping" w:clear="all"/>
      </w:r>
    </w:p>
    <w:p w14:paraId="46F1490C" w14:textId="6EEA3D72" w:rsidR="00EC1BBD" w:rsidRPr="00EC1BBD" w:rsidRDefault="00EC1BBD" w:rsidP="00EC1BBD">
      <w:pPr>
        <w:sectPr w:rsidR="00EC1BBD" w:rsidRPr="00EC1BBD" w:rsidSect="003F6174">
          <w:headerReference w:type="default" r:id="rId14"/>
          <w:footerReference w:type="default" r:id="rId15"/>
          <w:footerReference w:type="first" r:id="rId16"/>
          <w:pgSz w:w="11906" w:h="16838"/>
          <w:pgMar w:top="284" w:right="851" w:bottom="1134" w:left="851" w:header="0" w:footer="0" w:gutter="0"/>
          <w:cols w:space="708"/>
          <w:titlePg/>
          <w:docGrid w:linePitch="360"/>
        </w:sectPr>
      </w:pPr>
    </w:p>
    <w:p w14:paraId="1ECB7C6A" w14:textId="6832010C" w:rsidR="00C177E7" w:rsidRDefault="00EA4560" w:rsidP="00C177E7">
      <w:pPr>
        <w:pStyle w:val="Heading1withsubtitle"/>
        <w:spacing w:before="2160"/>
        <w:rPr>
          <w:color w:val="005A70" w:themeColor="accent1"/>
        </w:rPr>
      </w:pPr>
      <w:r w:rsidRPr="00B15BF7">
        <w:rPr>
          <w:color w:val="005A70" w:themeColor="accent1"/>
        </w:rPr>
        <w:t xml:space="preserve">A new approach to </w:t>
      </w:r>
      <w:r w:rsidR="00C177E7">
        <w:rPr>
          <w:color w:val="005A70" w:themeColor="accent1"/>
        </w:rPr>
        <w:t>programs</w:t>
      </w:r>
    </w:p>
    <w:p w14:paraId="078E6AE1" w14:textId="16B45271" w:rsidR="00C177E7" w:rsidRPr="00C177E7" w:rsidRDefault="00C177E7" w:rsidP="00C177E7">
      <w:pPr>
        <w:pStyle w:val="Heading1withsubtitle"/>
        <w:spacing w:before="2160"/>
        <w:rPr>
          <w:color w:val="005A70" w:themeColor="accent1"/>
        </w:rPr>
      </w:pPr>
      <w:r>
        <w:rPr>
          <w:color w:val="005A70" w:themeColor="accent1"/>
        </w:rPr>
        <w:t>for families and children</w:t>
      </w:r>
    </w:p>
    <w:p w14:paraId="6C281541" w14:textId="55443818" w:rsidR="00F148C2" w:rsidRPr="00B15BF7" w:rsidRDefault="00913686" w:rsidP="005A591A">
      <w:pPr>
        <w:pStyle w:val="Subtitle"/>
        <w:rPr>
          <w:color w:val="005A70" w:themeColor="accent1"/>
        </w:rPr>
      </w:pPr>
      <w:bookmarkStart w:id="0" w:name="_Toc395536189"/>
      <w:r w:rsidRPr="00B15BF7">
        <w:rPr>
          <w:color w:val="005A70" w:themeColor="accent1"/>
        </w:rPr>
        <w:t xml:space="preserve">Consultation Summary </w:t>
      </w:r>
    </w:p>
    <w:p w14:paraId="7D544DAD" w14:textId="3EF54D48" w:rsidR="000D5965" w:rsidRPr="000D5965" w:rsidRDefault="000D5965" w:rsidP="000D5965"/>
    <w:bookmarkEnd w:id="0"/>
    <w:p w14:paraId="2511B872" w14:textId="45C7C425" w:rsidR="00DA7B4A" w:rsidRDefault="008F74E5" w:rsidP="005114AA">
      <w:pPr>
        <w:spacing w:before="8040" w:after="0"/>
        <w:rPr>
          <w:rFonts w:asciiTheme="majorHAnsi" w:eastAsiaTheme="majorEastAsia" w:hAnsiTheme="majorHAnsi" w:cstheme="majorBidi"/>
          <w:b/>
          <w:bCs/>
          <w:color w:val="005A70" w:themeColor="accent1"/>
          <w:sz w:val="48"/>
          <w:szCs w:val="40"/>
        </w:rPr>
      </w:pPr>
      <w:r w:rsidRPr="00983B02">
        <w:rPr>
          <w:noProof/>
          <w:color w:val="000000" w:themeColor="text1"/>
          <w:sz w:val="28"/>
        </w:rPr>
        <w:drawing>
          <wp:anchor distT="0" distB="0" distL="114300" distR="114300" simplePos="0" relativeHeight="251660290" behindDoc="0" locked="0" layoutInCell="1" allowOverlap="1" wp14:anchorId="444E1E16" wp14:editId="604544E5">
            <wp:simplePos x="0" y="0"/>
            <wp:positionH relativeFrom="column">
              <wp:posOffset>278802</wp:posOffset>
            </wp:positionH>
            <wp:positionV relativeFrom="paragraph">
              <wp:posOffset>4994853</wp:posOffset>
            </wp:positionV>
            <wp:extent cx="1543792" cy="534390"/>
            <wp:effectExtent l="0" t="0" r="0" b="0"/>
            <wp:wrapSquare wrapText="bothSides"/>
            <wp:docPr id="7022394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39413" name="Picture 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543792" cy="534390"/>
                    </a:xfrm>
                    <a:prstGeom prst="rect">
                      <a:avLst/>
                    </a:prstGeom>
                  </pic:spPr>
                </pic:pic>
              </a:graphicData>
            </a:graphic>
            <wp14:sizeRelH relativeFrom="page">
              <wp14:pctWidth>0</wp14:pctWidth>
            </wp14:sizeRelH>
            <wp14:sizeRelV relativeFrom="page">
              <wp14:pctHeight>0</wp14:pctHeight>
            </wp14:sizeRelV>
          </wp:anchor>
        </w:drawing>
      </w:r>
    </w:p>
    <w:p w14:paraId="70DBFF05" w14:textId="6DE13F2F" w:rsidR="0022734D" w:rsidRPr="00B44E93" w:rsidRDefault="0022734D" w:rsidP="0022734D">
      <w:pPr>
        <w:pStyle w:val="Heading1withsubtitle"/>
        <w:rPr>
          <w:rFonts w:ascii="Open Sans" w:hAnsi="Open Sans" w:cs="Open Sans"/>
          <w:i/>
          <w:iCs/>
          <w:smallCaps/>
          <w:color w:val="005A70" w:themeColor="accent1"/>
          <w:sz w:val="48"/>
          <w:szCs w:val="24"/>
        </w:rPr>
      </w:pPr>
      <w:bookmarkStart w:id="1" w:name="_Hlk210132152"/>
      <w:bookmarkStart w:id="2" w:name="_Hlk210132296"/>
      <w:r>
        <w:rPr>
          <w:rFonts w:ascii="Open Sans" w:hAnsi="Open Sans" w:cs="Open Sans"/>
          <w:color w:val="005A70" w:themeColor="accent1"/>
          <w:sz w:val="48"/>
          <w:szCs w:val="24"/>
        </w:rPr>
        <w:lastRenderedPageBreak/>
        <w:t>Consultation</w:t>
      </w:r>
      <w:r w:rsidRPr="00B44E93">
        <w:rPr>
          <w:rFonts w:ascii="Open Sans" w:hAnsi="Open Sans" w:cs="Open Sans"/>
          <w:color w:val="005A70" w:themeColor="accent1"/>
          <w:sz w:val="48"/>
          <w:szCs w:val="24"/>
        </w:rPr>
        <w:t xml:space="preserve"> Summary</w:t>
      </w:r>
    </w:p>
    <w:p w14:paraId="6977C034" w14:textId="160DED58" w:rsidR="00BD2209" w:rsidRDefault="00913686" w:rsidP="00913686">
      <w:pPr>
        <w:rPr>
          <w:rFonts w:ascii="Open Sans" w:hAnsi="Open Sans" w:cs="Open Sans"/>
        </w:rPr>
      </w:pPr>
      <w:bookmarkStart w:id="3" w:name="_Hlk210132168"/>
      <w:bookmarkEnd w:id="1"/>
      <w:r w:rsidRPr="00620C16">
        <w:rPr>
          <w:rFonts w:ascii="Open Sans" w:hAnsi="Open Sans" w:cs="Open Sans"/>
          <w:lang w:val="en-US"/>
        </w:rPr>
        <w:t xml:space="preserve">The </w:t>
      </w:r>
      <w:r w:rsidR="00C177E7">
        <w:rPr>
          <w:rFonts w:ascii="Open Sans" w:hAnsi="Open Sans" w:cs="Open Sans"/>
          <w:lang w:val="en-US"/>
        </w:rPr>
        <w:t>Australian Government</w:t>
      </w:r>
      <w:r w:rsidRPr="00620C16">
        <w:rPr>
          <w:rFonts w:ascii="Open Sans" w:hAnsi="Open Sans" w:cs="Open Sans"/>
          <w:lang w:val="en-US"/>
        </w:rPr>
        <w:t xml:space="preserve"> </w:t>
      </w:r>
      <w:r w:rsidR="00727D8B" w:rsidRPr="00727D8B">
        <w:rPr>
          <w:rFonts w:ascii="Open Sans" w:hAnsi="Open Sans" w:cs="Open Sans"/>
        </w:rPr>
        <w:t xml:space="preserve">is asking for feedback on </w:t>
      </w:r>
      <w:r w:rsidR="00C177E7">
        <w:rPr>
          <w:rFonts w:ascii="Open Sans" w:hAnsi="Open Sans" w:cs="Open Sans"/>
        </w:rPr>
        <w:t xml:space="preserve">proposed changes to </w:t>
      </w:r>
      <w:r w:rsidR="00311C94">
        <w:rPr>
          <w:rFonts w:ascii="Open Sans" w:hAnsi="Open Sans" w:cs="Open Sans"/>
        </w:rPr>
        <w:t xml:space="preserve">programs for </w:t>
      </w:r>
      <w:r w:rsidR="00C177E7">
        <w:rPr>
          <w:rFonts w:ascii="Open Sans" w:hAnsi="Open Sans" w:cs="Open Sans"/>
        </w:rPr>
        <w:t>famil</w:t>
      </w:r>
      <w:r w:rsidR="00311C94">
        <w:rPr>
          <w:rFonts w:ascii="Open Sans" w:hAnsi="Open Sans" w:cs="Open Sans"/>
        </w:rPr>
        <w:t>ies</w:t>
      </w:r>
      <w:r w:rsidR="00C177E7">
        <w:rPr>
          <w:rFonts w:ascii="Open Sans" w:hAnsi="Open Sans" w:cs="Open Sans"/>
        </w:rPr>
        <w:t xml:space="preserve"> and children.</w:t>
      </w:r>
      <w:r w:rsidR="00727D8B">
        <w:rPr>
          <w:rFonts w:ascii="Open Sans" w:hAnsi="Open Sans" w:cs="Open Sans"/>
        </w:rPr>
        <w:t xml:space="preserve"> </w:t>
      </w:r>
    </w:p>
    <w:p w14:paraId="5399AED0" w14:textId="4B28D5F7" w:rsidR="00C177E7" w:rsidRDefault="00311C94" w:rsidP="00913686">
      <w:pPr>
        <w:rPr>
          <w:rFonts w:ascii="Open Sans" w:hAnsi="Open Sans" w:cs="Open Sans"/>
        </w:rPr>
      </w:pPr>
      <w:r>
        <w:rPr>
          <w:rFonts w:ascii="Open Sans" w:hAnsi="Open Sans" w:cs="Open Sans"/>
        </w:rPr>
        <w:t xml:space="preserve">We </w:t>
      </w:r>
      <w:r w:rsidR="00C177E7">
        <w:rPr>
          <w:rFonts w:ascii="Open Sans" w:hAnsi="Open Sans" w:cs="Open Sans"/>
        </w:rPr>
        <w:t>propose creating a single national program to support children and families. It will replace these five existing Australian Government programs:</w:t>
      </w:r>
    </w:p>
    <w:p w14:paraId="1C1B65F6" w14:textId="77777777" w:rsidR="00C177E7" w:rsidRPr="009D02D2" w:rsidRDefault="00C177E7" w:rsidP="008F74E5">
      <w:pPr>
        <w:numPr>
          <w:ilvl w:val="0"/>
          <w:numId w:val="5"/>
        </w:numPr>
        <w:spacing w:before="240" w:after="120" w:line="240" w:lineRule="auto"/>
        <w:ind w:left="714" w:hanging="357"/>
        <w:rPr>
          <w:rFonts w:ascii="Open Sans" w:hAnsi="Open Sans" w:cs="Open Sans"/>
        </w:rPr>
      </w:pPr>
      <w:r w:rsidRPr="009D02D2">
        <w:rPr>
          <w:rFonts w:ascii="Open Sans" w:hAnsi="Open Sans" w:cs="Open Sans"/>
        </w:rPr>
        <w:t>Children and Parenting Support (CaPS)</w:t>
      </w:r>
    </w:p>
    <w:p w14:paraId="6223565F" w14:textId="77777777" w:rsidR="00C177E7" w:rsidRPr="009D02D2" w:rsidRDefault="00C177E7" w:rsidP="008F74E5">
      <w:pPr>
        <w:numPr>
          <w:ilvl w:val="0"/>
          <w:numId w:val="5"/>
        </w:numPr>
        <w:spacing w:before="240" w:after="120" w:line="240" w:lineRule="auto"/>
        <w:ind w:left="714" w:hanging="357"/>
        <w:rPr>
          <w:rFonts w:ascii="Open Sans" w:hAnsi="Open Sans" w:cs="Open Sans"/>
        </w:rPr>
      </w:pPr>
      <w:r w:rsidRPr="009D02D2">
        <w:rPr>
          <w:rFonts w:ascii="Open Sans" w:hAnsi="Open Sans" w:cs="Open Sans"/>
        </w:rPr>
        <w:t>Communities for Children Facilitating Partners (</w:t>
      </w:r>
      <w:proofErr w:type="spellStart"/>
      <w:r w:rsidRPr="009D02D2">
        <w:rPr>
          <w:rFonts w:ascii="Open Sans" w:hAnsi="Open Sans" w:cs="Open Sans"/>
        </w:rPr>
        <w:t>CfC</w:t>
      </w:r>
      <w:proofErr w:type="spellEnd"/>
      <w:r w:rsidRPr="009D02D2">
        <w:rPr>
          <w:rFonts w:ascii="Open Sans" w:hAnsi="Open Sans" w:cs="Open Sans"/>
        </w:rPr>
        <w:t xml:space="preserve"> FP)</w:t>
      </w:r>
    </w:p>
    <w:p w14:paraId="00B569B6" w14:textId="77777777" w:rsidR="00C177E7" w:rsidRPr="009D02D2" w:rsidRDefault="00C177E7" w:rsidP="008F74E5">
      <w:pPr>
        <w:numPr>
          <w:ilvl w:val="0"/>
          <w:numId w:val="5"/>
        </w:numPr>
        <w:spacing w:before="240" w:after="120" w:line="240" w:lineRule="auto"/>
        <w:ind w:left="714" w:hanging="357"/>
        <w:rPr>
          <w:rFonts w:ascii="Open Sans" w:hAnsi="Open Sans" w:cs="Open Sans"/>
        </w:rPr>
      </w:pPr>
      <w:r w:rsidRPr="009D02D2">
        <w:rPr>
          <w:rFonts w:ascii="Open Sans" w:hAnsi="Open Sans" w:cs="Open Sans"/>
        </w:rPr>
        <w:t>Family Mental Health Support Services (FMHSS)</w:t>
      </w:r>
    </w:p>
    <w:p w14:paraId="4AA50D82" w14:textId="77777777" w:rsidR="00C177E7" w:rsidRPr="009D02D2" w:rsidRDefault="00C177E7" w:rsidP="008F74E5">
      <w:pPr>
        <w:numPr>
          <w:ilvl w:val="0"/>
          <w:numId w:val="5"/>
        </w:numPr>
        <w:spacing w:before="240" w:after="120" w:line="240" w:lineRule="auto"/>
        <w:ind w:left="714" w:hanging="357"/>
        <w:rPr>
          <w:rFonts w:ascii="Open Sans" w:hAnsi="Open Sans" w:cs="Open Sans"/>
        </w:rPr>
      </w:pPr>
      <w:r w:rsidRPr="009D02D2">
        <w:rPr>
          <w:rFonts w:ascii="Open Sans" w:hAnsi="Open Sans" w:cs="Open Sans"/>
        </w:rPr>
        <w:t>Family and Relationship Services (FaRS)</w:t>
      </w:r>
    </w:p>
    <w:p w14:paraId="4FEC207E" w14:textId="6211B091" w:rsidR="00C177E7" w:rsidRPr="00311C94" w:rsidRDefault="00C177E7" w:rsidP="008F74E5">
      <w:pPr>
        <w:numPr>
          <w:ilvl w:val="0"/>
          <w:numId w:val="5"/>
        </w:numPr>
        <w:spacing w:before="240" w:after="120" w:line="240" w:lineRule="auto"/>
        <w:ind w:left="714" w:hanging="357"/>
        <w:rPr>
          <w:rFonts w:ascii="Open Sans" w:hAnsi="Open Sans" w:cs="Open Sans"/>
        </w:rPr>
      </w:pPr>
      <w:r w:rsidRPr="009D02D2">
        <w:rPr>
          <w:rFonts w:ascii="Open Sans" w:hAnsi="Open Sans" w:cs="Open Sans"/>
        </w:rPr>
        <w:t>Specialised Family Violence Services (SFVS)</w:t>
      </w:r>
    </w:p>
    <w:p w14:paraId="74ABA0F7" w14:textId="7FD45C2D" w:rsidR="00311C94" w:rsidRDefault="00C177E7" w:rsidP="00C177E7">
      <w:pPr>
        <w:spacing w:before="240" w:after="120" w:line="240" w:lineRule="auto"/>
        <w:rPr>
          <w:rFonts w:ascii="Open Sans" w:hAnsi="Open Sans" w:cs="Open Sans"/>
          <w:color w:val="000000" w:themeColor="text1"/>
          <w:szCs w:val="22"/>
        </w:rPr>
      </w:pPr>
      <w:r>
        <w:rPr>
          <w:rFonts w:ascii="Open Sans" w:hAnsi="Open Sans" w:cs="Open Sans"/>
          <w:color w:val="000000" w:themeColor="text1"/>
          <w:szCs w:val="22"/>
        </w:rPr>
        <w:t xml:space="preserve">This reform is </w:t>
      </w:r>
      <w:r w:rsidR="00311C94">
        <w:rPr>
          <w:rFonts w:ascii="Open Sans" w:hAnsi="Open Sans" w:cs="Open Sans"/>
          <w:color w:val="000000" w:themeColor="text1"/>
          <w:szCs w:val="22"/>
        </w:rPr>
        <w:t xml:space="preserve">about making sure every child and every family has access to the tools they need to lead healthier, more resilient lives. </w:t>
      </w:r>
      <w:r>
        <w:rPr>
          <w:rFonts w:ascii="Open Sans" w:hAnsi="Open Sans" w:cs="Open Sans"/>
          <w:color w:val="000000" w:themeColor="text1"/>
          <w:szCs w:val="22"/>
        </w:rPr>
        <w:t xml:space="preserve"> </w:t>
      </w:r>
    </w:p>
    <w:p w14:paraId="43DB04FB" w14:textId="77777777" w:rsidR="00311C94" w:rsidRDefault="00755225" w:rsidP="00311C94">
      <w:pPr>
        <w:spacing w:before="240" w:after="120" w:line="240" w:lineRule="auto"/>
        <w:rPr>
          <w:rFonts w:ascii="Open Sans" w:hAnsi="Open Sans" w:cs="Open Sans"/>
          <w:lang w:val="en-US"/>
        </w:rPr>
      </w:pPr>
      <w:r w:rsidRPr="00755225">
        <w:rPr>
          <w:rFonts w:ascii="Open Sans" w:hAnsi="Open Sans" w:cs="Open Sans"/>
        </w:rPr>
        <w:t>More details are available on</w:t>
      </w:r>
      <w:r w:rsidR="009A4611">
        <w:rPr>
          <w:rFonts w:ascii="Open Sans" w:hAnsi="Open Sans" w:cs="Open Sans"/>
          <w:lang w:val="en-US"/>
        </w:rPr>
        <w:t xml:space="preserve"> </w:t>
      </w:r>
      <w:hyperlink r:id="rId18" w:history="1">
        <w:r w:rsidR="009A4611" w:rsidRPr="009A4611">
          <w:rPr>
            <w:rStyle w:val="Hyperlink"/>
            <w:rFonts w:ascii="Open Sans" w:hAnsi="Open Sans" w:cs="Open Sans"/>
            <w:lang w:val="en-US"/>
          </w:rPr>
          <w:t>DSS Engage</w:t>
        </w:r>
      </w:hyperlink>
      <w:r w:rsidR="00913686" w:rsidRPr="00620C16">
        <w:rPr>
          <w:rFonts w:ascii="Open Sans" w:hAnsi="Open Sans" w:cs="Open Sans"/>
          <w:lang w:val="en-US"/>
        </w:rPr>
        <w:t>.</w:t>
      </w:r>
    </w:p>
    <w:p w14:paraId="2A7BBBA1" w14:textId="68EFB9BA" w:rsidR="00913686" w:rsidRPr="000E32A1" w:rsidRDefault="000E32A1" w:rsidP="00311C94">
      <w:pPr>
        <w:spacing w:before="240" w:after="120" w:line="240" w:lineRule="auto"/>
        <w:rPr>
          <w:rFonts w:ascii="Open Sans" w:hAnsi="Open Sans" w:cs="Open Sans"/>
          <w:lang w:val="en-US"/>
        </w:rPr>
      </w:pPr>
      <w:r>
        <w:rPr>
          <w:rFonts w:ascii="Open Sans" w:hAnsi="Open Sans" w:cs="Open Sans"/>
        </w:rPr>
        <w:t xml:space="preserve">The proposal </w:t>
      </w:r>
      <w:r w:rsidR="00311C94">
        <w:rPr>
          <w:rFonts w:ascii="Open Sans" w:hAnsi="Open Sans" w:cs="Open Sans"/>
        </w:rPr>
        <w:t>has been shaped by feedback from previous consultations</w:t>
      </w:r>
      <w:r w:rsidR="00727D8B" w:rsidRPr="00727D8B">
        <w:rPr>
          <w:rFonts w:ascii="Open Sans" w:hAnsi="Open Sans" w:cs="Open Sans"/>
        </w:rPr>
        <w:t>.</w:t>
      </w:r>
      <w:r w:rsidR="00727D8B">
        <w:rPr>
          <w:rFonts w:ascii="Open Sans" w:hAnsi="Open Sans" w:cs="Open Sans"/>
        </w:rPr>
        <w:t xml:space="preserve"> </w:t>
      </w:r>
      <w:r>
        <w:rPr>
          <w:rFonts w:ascii="Open Sans" w:hAnsi="Open Sans" w:cs="Open Sans"/>
        </w:rPr>
        <w:t>This</w:t>
      </w:r>
      <w:r w:rsidR="003A6CAB">
        <w:rPr>
          <w:rFonts w:ascii="Open Sans" w:hAnsi="Open Sans" w:cs="Open Sans"/>
        </w:rPr>
        <w:t> </w:t>
      </w:r>
      <w:r>
        <w:rPr>
          <w:rFonts w:ascii="Open Sans" w:hAnsi="Open Sans" w:cs="Open Sans"/>
        </w:rPr>
        <w:t>document summarises what we heard</w:t>
      </w:r>
      <w:r w:rsidR="00311C94">
        <w:rPr>
          <w:rFonts w:ascii="Open Sans" w:hAnsi="Open Sans" w:cs="Open Sans"/>
        </w:rPr>
        <w:t xml:space="preserve"> and is divided into two parts</w:t>
      </w:r>
      <w:r w:rsidR="00913686" w:rsidRPr="00620C16">
        <w:rPr>
          <w:rFonts w:ascii="Open Sans" w:hAnsi="Open Sans" w:cs="Open Sans"/>
        </w:rPr>
        <w:t>:</w:t>
      </w:r>
    </w:p>
    <w:p w14:paraId="19B2D9DD" w14:textId="3F5F118F" w:rsidR="00F76A4B" w:rsidRPr="008F74E5" w:rsidRDefault="00913686" w:rsidP="008F74E5">
      <w:pPr>
        <w:pStyle w:val="ListParagraph"/>
        <w:spacing w:before="240" w:line="240" w:lineRule="auto"/>
        <w:contextualSpacing w:val="0"/>
        <w:rPr>
          <w:rFonts w:ascii="Open Sans" w:hAnsi="Open Sans" w:cs="Open Sans"/>
          <w:lang w:val="en-US"/>
        </w:rPr>
      </w:pPr>
      <w:hyperlink w:anchor="_Part_1:_2024">
        <w:r w:rsidRPr="2CAEF761">
          <w:rPr>
            <w:rStyle w:val="Hyperlink"/>
            <w:rFonts w:ascii="Open Sans" w:hAnsi="Open Sans" w:cs="Open Sans"/>
          </w:rPr>
          <w:t>Part 1</w:t>
        </w:r>
      </w:hyperlink>
      <w:r w:rsidR="00755225">
        <w:t xml:space="preserve"> –</w:t>
      </w:r>
      <w:r w:rsidRPr="2CAEF761">
        <w:rPr>
          <w:rFonts w:ascii="Open Sans" w:hAnsi="Open Sans" w:cs="Open Sans"/>
        </w:rPr>
        <w:t xml:space="preserve"> </w:t>
      </w:r>
      <w:r w:rsidR="00311C94" w:rsidRPr="2CAEF761">
        <w:rPr>
          <w:rFonts w:ascii="Open Sans" w:hAnsi="Open Sans" w:cs="Open Sans"/>
        </w:rPr>
        <w:t xml:space="preserve">key </w:t>
      </w:r>
      <w:r w:rsidR="00755225" w:rsidRPr="2CAEF761">
        <w:rPr>
          <w:rFonts w:ascii="Open Sans" w:hAnsi="Open Sans" w:cs="Open Sans"/>
        </w:rPr>
        <w:t>findings from the most recent consultation (late 2024 to early 2025</w:t>
      </w:r>
      <w:r w:rsidR="00AD3116">
        <w:rPr>
          <w:rFonts w:ascii="Open Sans" w:hAnsi="Open Sans" w:cs="Open Sans"/>
        </w:rPr>
        <w:t>)</w:t>
      </w:r>
      <w:r w:rsidR="4BDD9A53" w:rsidRPr="2CAEF761">
        <w:rPr>
          <w:rFonts w:ascii="Open Sans" w:hAnsi="Open Sans" w:cs="Open Sans"/>
        </w:rPr>
        <w:t xml:space="preserve"> </w:t>
      </w:r>
      <w:r w:rsidR="00E8565D">
        <w:rPr>
          <w:rFonts w:ascii="Open Sans" w:hAnsi="Open Sans" w:cs="Open Sans"/>
        </w:rPr>
        <w:t>on programs for children, young people and families</w:t>
      </w:r>
      <w:r w:rsidR="00311C94" w:rsidRPr="2CAEF761">
        <w:rPr>
          <w:rFonts w:ascii="Open Sans" w:hAnsi="Open Sans" w:cs="Open Sans"/>
        </w:rPr>
        <w:t>.</w:t>
      </w:r>
    </w:p>
    <w:p w14:paraId="68925254" w14:textId="3C443A67" w:rsidR="00900849" w:rsidRDefault="00913686" w:rsidP="008F74E5">
      <w:pPr>
        <w:pStyle w:val="ListParagraph"/>
        <w:spacing w:before="240" w:line="240" w:lineRule="auto"/>
        <w:contextualSpacing w:val="0"/>
        <w:rPr>
          <w:rFonts w:ascii="Open Sans" w:hAnsi="Open Sans" w:cs="Open Sans"/>
        </w:rPr>
      </w:pPr>
      <w:hyperlink w:anchor="_Part_2:_Summary">
        <w:r w:rsidRPr="2CAEF761">
          <w:rPr>
            <w:rStyle w:val="Hyperlink"/>
            <w:rFonts w:ascii="Open Sans" w:hAnsi="Open Sans" w:cs="Open Sans"/>
          </w:rPr>
          <w:t>Part 2</w:t>
        </w:r>
      </w:hyperlink>
      <w:r w:rsidRPr="2CAEF761">
        <w:rPr>
          <w:rFonts w:ascii="Open Sans" w:hAnsi="Open Sans" w:cs="Open Sans"/>
          <w:b/>
          <w:bCs/>
        </w:rPr>
        <w:t xml:space="preserve"> </w:t>
      </w:r>
      <w:r w:rsidR="00755225">
        <w:t>–</w:t>
      </w:r>
      <w:r w:rsidR="00755225" w:rsidRPr="2CAEF761">
        <w:rPr>
          <w:rFonts w:ascii="Open Sans" w:hAnsi="Open Sans" w:cs="Open Sans"/>
        </w:rPr>
        <w:t xml:space="preserve"> </w:t>
      </w:r>
      <w:r w:rsidR="00311C94" w:rsidRPr="2CAEF761">
        <w:rPr>
          <w:rFonts w:ascii="Open Sans" w:hAnsi="Open Sans" w:cs="Open Sans"/>
        </w:rPr>
        <w:t xml:space="preserve">key </w:t>
      </w:r>
      <w:r w:rsidR="00755225" w:rsidRPr="2CAEF761">
        <w:rPr>
          <w:rFonts w:ascii="Open Sans" w:hAnsi="Open Sans" w:cs="Open Sans"/>
        </w:rPr>
        <w:t>findings from earlier consultations</w:t>
      </w:r>
      <w:r w:rsidR="00311C94" w:rsidRPr="2CAEF761">
        <w:rPr>
          <w:rFonts w:ascii="Open Sans" w:hAnsi="Open Sans" w:cs="Open Sans"/>
        </w:rPr>
        <w:t xml:space="preserve"> conducted</w:t>
      </w:r>
      <w:r w:rsidR="00755225" w:rsidRPr="2CAEF761">
        <w:rPr>
          <w:rFonts w:ascii="Open Sans" w:hAnsi="Open Sans" w:cs="Open Sans"/>
        </w:rPr>
        <w:t xml:space="preserve"> since 20</w:t>
      </w:r>
      <w:r w:rsidR="00631CE8" w:rsidRPr="2CAEF761">
        <w:rPr>
          <w:rFonts w:ascii="Open Sans" w:hAnsi="Open Sans" w:cs="Open Sans"/>
        </w:rPr>
        <w:t>22</w:t>
      </w:r>
      <w:r w:rsidR="71C36B09" w:rsidRPr="2CAEF761">
        <w:rPr>
          <w:rFonts w:ascii="Open Sans" w:hAnsi="Open Sans" w:cs="Open Sans"/>
        </w:rPr>
        <w:t xml:space="preserve"> </w:t>
      </w:r>
      <w:r w:rsidR="00477CDA">
        <w:rPr>
          <w:rFonts w:ascii="Open Sans" w:hAnsi="Open Sans" w:cs="Open Sans"/>
        </w:rPr>
        <w:t xml:space="preserve">on the community sector and </w:t>
      </w:r>
      <w:r w:rsidR="003E0788">
        <w:rPr>
          <w:rFonts w:ascii="Open Sans" w:hAnsi="Open Sans" w:cs="Open Sans"/>
        </w:rPr>
        <w:t>government priorities.</w:t>
      </w:r>
    </w:p>
    <w:p w14:paraId="1A2A0C18" w14:textId="77777777" w:rsidR="00284614" w:rsidRDefault="00284614" w:rsidP="00284614">
      <w:pPr>
        <w:pStyle w:val="ListParagraph"/>
        <w:numPr>
          <w:ilvl w:val="0"/>
          <w:numId w:val="0"/>
        </w:numPr>
        <w:spacing w:line="480" w:lineRule="auto"/>
        <w:ind w:left="720"/>
        <w:rPr>
          <w:rFonts w:ascii="Open Sans" w:hAnsi="Open Sans" w:cs="Open Sans"/>
        </w:rPr>
      </w:pPr>
    </w:p>
    <w:p w14:paraId="14603EAD" w14:textId="77777777" w:rsidR="00284614" w:rsidRPr="00284614" w:rsidRDefault="00284614" w:rsidP="00284614">
      <w:pPr>
        <w:pStyle w:val="ListParagraph"/>
        <w:numPr>
          <w:ilvl w:val="0"/>
          <w:numId w:val="0"/>
        </w:numPr>
        <w:spacing w:line="480" w:lineRule="auto"/>
        <w:ind w:left="720"/>
        <w:rPr>
          <w:rFonts w:ascii="Open Sans" w:hAnsi="Open Sans" w:cs="Open Sans"/>
        </w:rPr>
      </w:pPr>
    </w:p>
    <w:p w14:paraId="0267CA91" w14:textId="77777777" w:rsidR="00900849" w:rsidRDefault="00900849" w:rsidP="00900849">
      <w:pPr>
        <w:spacing w:line="480" w:lineRule="auto"/>
        <w:rPr>
          <w:rFonts w:ascii="Open Sans" w:hAnsi="Open Sans" w:cs="Open Sans"/>
        </w:rPr>
      </w:pPr>
    </w:p>
    <w:p w14:paraId="6AC5B619" w14:textId="77777777" w:rsidR="00900849" w:rsidRDefault="00900849" w:rsidP="00900849">
      <w:pPr>
        <w:spacing w:line="480" w:lineRule="auto"/>
        <w:rPr>
          <w:rFonts w:ascii="Open Sans" w:hAnsi="Open Sans" w:cs="Open Sans"/>
        </w:rPr>
      </w:pPr>
    </w:p>
    <w:p w14:paraId="4DA4195F" w14:textId="77777777" w:rsidR="00900849" w:rsidRDefault="00900849" w:rsidP="00900849">
      <w:pPr>
        <w:spacing w:line="480" w:lineRule="auto"/>
        <w:rPr>
          <w:rFonts w:ascii="Open Sans" w:hAnsi="Open Sans" w:cs="Open Sans"/>
        </w:rPr>
      </w:pPr>
    </w:p>
    <w:p w14:paraId="27515F13" w14:textId="77777777" w:rsidR="004A0C11" w:rsidRDefault="004A0C11" w:rsidP="00900849">
      <w:pPr>
        <w:spacing w:line="480" w:lineRule="auto"/>
        <w:rPr>
          <w:rFonts w:ascii="Open Sans" w:hAnsi="Open Sans" w:cs="Open Sans"/>
        </w:rPr>
      </w:pPr>
    </w:p>
    <w:p w14:paraId="008D8884" w14:textId="56890D18" w:rsidR="003C6850" w:rsidRPr="00B44E93" w:rsidRDefault="003C6850" w:rsidP="003C6850">
      <w:pPr>
        <w:pStyle w:val="Heading1withsubtitle"/>
        <w:rPr>
          <w:rFonts w:ascii="Open Sans" w:hAnsi="Open Sans" w:cs="Open Sans"/>
          <w:i/>
          <w:iCs/>
          <w:smallCaps/>
          <w:color w:val="005A70" w:themeColor="accent1"/>
          <w:sz w:val="48"/>
          <w:szCs w:val="24"/>
        </w:rPr>
      </w:pPr>
      <w:r>
        <w:rPr>
          <w:rFonts w:ascii="Open Sans" w:hAnsi="Open Sans" w:cs="Open Sans"/>
          <w:color w:val="005A70" w:themeColor="accent1"/>
          <w:sz w:val="48"/>
          <w:szCs w:val="24"/>
        </w:rPr>
        <w:lastRenderedPageBreak/>
        <w:t xml:space="preserve">What we heard across the </w:t>
      </w:r>
      <w:r w:rsidR="00900849">
        <w:rPr>
          <w:rFonts w:ascii="Open Sans" w:hAnsi="Open Sans" w:cs="Open Sans"/>
          <w:color w:val="005A70" w:themeColor="accent1"/>
          <w:sz w:val="48"/>
          <w:szCs w:val="24"/>
        </w:rPr>
        <w:t>two processes</w:t>
      </w:r>
    </w:p>
    <w:p w14:paraId="574CCB05" w14:textId="59DA4D71" w:rsidR="00845208" w:rsidRPr="008F74E5" w:rsidRDefault="1FDF2B19" w:rsidP="008F74E5">
      <w:pPr>
        <w:pStyle w:val="ListParagraph"/>
        <w:numPr>
          <w:ilvl w:val="0"/>
          <w:numId w:val="27"/>
        </w:numPr>
        <w:spacing w:before="240" w:line="240" w:lineRule="auto"/>
        <w:contextualSpacing w:val="0"/>
        <w:rPr>
          <w:rFonts w:ascii="Open Sans" w:hAnsi="Open Sans" w:cs="Open Sans"/>
        </w:rPr>
      </w:pPr>
      <w:r w:rsidRPr="00900849">
        <w:rPr>
          <w:rFonts w:ascii="Open Sans" w:hAnsi="Open Sans" w:cs="Open Sans"/>
        </w:rPr>
        <w:t>Programs need to respond to local co</w:t>
      </w:r>
      <w:r w:rsidR="00115CC7">
        <w:rPr>
          <w:rFonts w:ascii="Open Sans" w:hAnsi="Open Sans" w:cs="Open Sans"/>
        </w:rPr>
        <w:t>mmunities</w:t>
      </w:r>
      <w:r w:rsidR="00900849">
        <w:rPr>
          <w:rFonts w:ascii="Open Sans" w:hAnsi="Open Sans" w:cs="Open Sans"/>
        </w:rPr>
        <w:t>.</w:t>
      </w:r>
    </w:p>
    <w:p w14:paraId="260B15CD" w14:textId="2CCDF43A" w:rsidR="00845208" w:rsidRPr="008F74E5" w:rsidRDefault="1FDF2B19" w:rsidP="008F74E5">
      <w:pPr>
        <w:pStyle w:val="ListParagraph"/>
        <w:numPr>
          <w:ilvl w:val="0"/>
          <w:numId w:val="27"/>
        </w:numPr>
        <w:spacing w:before="240" w:line="240" w:lineRule="auto"/>
        <w:contextualSpacing w:val="0"/>
        <w:rPr>
          <w:rFonts w:ascii="Open Sans" w:hAnsi="Open Sans" w:cs="Open Sans"/>
        </w:rPr>
      </w:pPr>
      <w:r w:rsidRPr="00900849">
        <w:rPr>
          <w:rFonts w:ascii="Open Sans" w:hAnsi="Open Sans" w:cs="Open Sans"/>
        </w:rPr>
        <w:t>Local needs should be determined through shared decision making</w:t>
      </w:r>
      <w:r w:rsidR="00900849">
        <w:rPr>
          <w:rFonts w:ascii="Open Sans" w:hAnsi="Open Sans" w:cs="Open Sans"/>
        </w:rPr>
        <w:t>.</w:t>
      </w:r>
    </w:p>
    <w:p w14:paraId="49078E93" w14:textId="52677F55" w:rsidR="00845208" w:rsidRPr="008F74E5" w:rsidRDefault="00BC5D91" w:rsidP="008F74E5">
      <w:pPr>
        <w:pStyle w:val="ListParagraph"/>
        <w:numPr>
          <w:ilvl w:val="0"/>
          <w:numId w:val="27"/>
        </w:numPr>
        <w:spacing w:before="240" w:line="240" w:lineRule="auto"/>
        <w:contextualSpacing w:val="0"/>
        <w:rPr>
          <w:rFonts w:ascii="Open Sans" w:hAnsi="Open Sans" w:cs="Open Sans"/>
        </w:rPr>
      </w:pPr>
      <w:r>
        <w:rPr>
          <w:rFonts w:ascii="Open Sans" w:hAnsi="Open Sans" w:cs="Open Sans"/>
        </w:rPr>
        <w:t xml:space="preserve">Aboriginal </w:t>
      </w:r>
      <w:r w:rsidR="00FE6022">
        <w:rPr>
          <w:rFonts w:ascii="Open Sans" w:hAnsi="Open Sans" w:cs="Open Sans"/>
        </w:rPr>
        <w:t>and Torres Strait Islander c</w:t>
      </w:r>
      <w:r>
        <w:rPr>
          <w:rFonts w:ascii="Open Sans" w:hAnsi="Open Sans" w:cs="Open Sans"/>
        </w:rPr>
        <w:t>ommunity</w:t>
      </w:r>
      <w:r w:rsidR="00FE6022">
        <w:rPr>
          <w:rFonts w:ascii="Open Sans" w:hAnsi="Open Sans" w:cs="Open Sans"/>
        </w:rPr>
        <w:t>-c</w:t>
      </w:r>
      <w:r>
        <w:rPr>
          <w:rFonts w:ascii="Open Sans" w:hAnsi="Open Sans" w:cs="Open Sans"/>
        </w:rPr>
        <w:t xml:space="preserve">ontrolled </w:t>
      </w:r>
      <w:r w:rsidR="00FE6022">
        <w:rPr>
          <w:rFonts w:ascii="Open Sans" w:hAnsi="Open Sans" w:cs="Open Sans"/>
        </w:rPr>
        <w:t>o</w:t>
      </w:r>
      <w:r>
        <w:rPr>
          <w:rFonts w:ascii="Open Sans" w:hAnsi="Open Sans" w:cs="Open Sans"/>
        </w:rPr>
        <w:t>rganisation</w:t>
      </w:r>
      <w:r w:rsidR="006B36EF" w:rsidRPr="00900849">
        <w:rPr>
          <w:rFonts w:ascii="Open Sans" w:hAnsi="Open Sans" w:cs="Open Sans"/>
        </w:rPr>
        <w:t xml:space="preserve">s </w:t>
      </w:r>
      <w:r w:rsidR="00957176">
        <w:rPr>
          <w:rFonts w:ascii="Open Sans" w:hAnsi="Open Sans" w:cs="Open Sans"/>
        </w:rPr>
        <w:t>need</w:t>
      </w:r>
      <w:r w:rsidR="006B36EF" w:rsidRPr="00900849">
        <w:rPr>
          <w:rFonts w:ascii="Open Sans" w:hAnsi="Open Sans" w:cs="Open Sans"/>
        </w:rPr>
        <w:t xml:space="preserve"> greater resourcing</w:t>
      </w:r>
      <w:r w:rsidR="00900849">
        <w:rPr>
          <w:rFonts w:ascii="Open Sans" w:hAnsi="Open Sans" w:cs="Open Sans"/>
        </w:rPr>
        <w:t>.</w:t>
      </w:r>
    </w:p>
    <w:p w14:paraId="66ED6B4C" w14:textId="678CAE54" w:rsidR="00845208" w:rsidRPr="008F74E5" w:rsidRDefault="051415AE" w:rsidP="008F74E5">
      <w:pPr>
        <w:pStyle w:val="ListParagraph"/>
        <w:numPr>
          <w:ilvl w:val="0"/>
          <w:numId w:val="27"/>
        </w:numPr>
        <w:spacing w:before="240" w:line="240" w:lineRule="auto"/>
        <w:contextualSpacing w:val="0"/>
        <w:rPr>
          <w:rFonts w:ascii="Open Sans" w:hAnsi="Open Sans" w:cs="Open Sans"/>
        </w:rPr>
      </w:pPr>
      <w:r w:rsidRPr="00900849">
        <w:rPr>
          <w:rFonts w:ascii="Open Sans" w:hAnsi="Open Sans" w:cs="Open Sans"/>
        </w:rPr>
        <w:t>Programs should be adaptable</w:t>
      </w:r>
      <w:r w:rsidR="004A0C11">
        <w:rPr>
          <w:rFonts w:ascii="Open Sans" w:hAnsi="Open Sans" w:cs="Open Sans"/>
        </w:rPr>
        <w:t>,</w:t>
      </w:r>
      <w:r w:rsidRPr="00900849">
        <w:rPr>
          <w:rFonts w:ascii="Open Sans" w:hAnsi="Open Sans" w:cs="Open Sans"/>
        </w:rPr>
        <w:t xml:space="preserve"> integrated</w:t>
      </w:r>
      <w:r w:rsidR="00FE6022">
        <w:rPr>
          <w:rFonts w:ascii="Open Sans" w:hAnsi="Open Sans" w:cs="Open Sans"/>
        </w:rPr>
        <w:t>,</w:t>
      </w:r>
      <w:r w:rsidRPr="00900849">
        <w:rPr>
          <w:rFonts w:ascii="Open Sans" w:hAnsi="Open Sans" w:cs="Open Sans"/>
        </w:rPr>
        <w:t xml:space="preserve"> </w:t>
      </w:r>
      <w:r w:rsidR="4BBB39B0" w:rsidRPr="00900849">
        <w:rPr>
          <w:rFonts w:ascii="Open Sans" w:hAnsi="Open Sans" w:cs="Open Sans"/>
        </w:rPr>
        <w:t>and</w:t>
      </w:r>
      <w:r w:rsidR="4BBB39B0" w:rsidRPr="00900849">
        <w:rPr>
          <w:rFonts w:ascii="Open Sans" w:hAnsi="Open Sans" w:cs="Open Sans"/>
          <w:b/>
          <w:bCs/>
        </w:rPr>
        <w:t xml:space="preserve"> </w:t>
      </w:r>
      <w:r w:rsidR="4BBB39B0" w:rsidRPr="00900849">
        <w:rPr>
          <w:rFonts w:ascii="Open Sans" w:hAnsi="Open Sans" w:cs="Open Sans"/>
        </w:rPr>
        <w:t>funded over longer periods</w:t>
      </w:r>
      <w:r w:rsidR="00900849">
        <w:rPr>
          <w:rFonts w:ascii="Open Sans" w:hAnsi="Open Sans" w:cs="Open Sans"/>
        </w:rPr>
        <w:t>.</w:t>
      </w:r>
    </w:p>
    <w:p w14:paraId="7F79E688" w14:textId="11E28D7E" w:rsidR="00845208" w:rsidRPr="008F74E5" w:rsidRDefault="659018D3" w:rsidP="008F74E5">
      <w:pPr>
        <w:pStyle w:val="ListParagraph"/>
        <w:numPr>
          <w:ilvl w:val="0"/>
          <w:numId w:val="27"/>
        </w:numPr>
        <w:spacing w:before="240" w:line="240" w:lineRule="auto"/>
        <w:contextualSpacing w:val="0"/>
        <w:rPr>
          <w:rFonts w:ascii="Open Sans" w:hAnsi="Open Sans" w:cs="Open Sans"/>
        </w:rPr>
      </w:pPr>
      <w:r w:rsidRPr="00900849">
        <w:rPr>
          <w:rFonts w:ascii="Open Sans" w:hAnsi="Open Sans" w:cs="Open Sans"/>
        </w:rPr>
        <w:t>Workforce development is critical to reliable and broad service delivery</w:t>
      </w:r>
      <w:r w:rsidR="00900849">
        <w:rPr>
          <w:rFonts w:ascii="Open Sans" w:hAnsi="Open Sans" w:cs="Open Sans"/>
        </w:rPr>
        <w:t>.</w:t>
      </w:r>
    </w:p>
    <w:p w14:paraId="7E7702B5" w14:textId="1AAC6BF2" w:rsidR="00900849" w:rsidRDefault="1FDF2B19" w:rsidP="008F74E5">
      <w:pPr>
        <w:pStyle w:val="ListParagraph"/>
        <w:numPr>
          <w:ilvl w:val="0"/>
          <w:numId w:val="27"/>
        </w:numPr>
        <w:spacing w:before="240" w:line="240" w:lineRule="auto"/>
        <w:contextualSpacing w:val="0"/>
        <w:rPr>
          <w:rFonts w:ascii="Open Sans" w:hAnsi="Open Sans" w:cs="Open Sans"/>
        </w:rPr>
      </w:pPr>
      <w:r w:rsidRPr="00900849">
        <w:rPr>
          <w:rFonts w:ascii="Open Sans" w:hAnsi="Open Sans" w:cs="Open Sans"/>
        </w:rPr>
        <w:t>Resources should be balanced towards prevention and early intervention</w:t>
      </w:r>
      <w:r w:rsidR="008F74E5">
        <w:rPr>
          <w:rFonts w:ascii="Open Sans" w:hAnsi="Open Sans" w:cs="Open Sans"/>
        </w:rPr>
        <w:t>.</w:t>
      </w:r>
    </w:p>
    <w:p w14:paraId="42E36CC9" w14:textId="1B08AD2D" w:rsidR="004A0C11" w:rsidRPr="004A0C11" w:rsidRDefault="1FDF2B19" w:rsidP="008F74E5">
      <w:pPr>
        <w:pStyle w:val="ListParagraph"/>
        <w:numPr>
          <w:ilvl w:val="0"/>
          <w:numId w:val="27"/>
        </w:numPr>
        <w:spacing w:before="240" w:line="240" w:lineRule="auto"/>
        <w:contextualSpacing w:val="0"/>
        <w:rPr>
          <w:rFonts w:ascii="Open Sans" w:hAnsi="Open Sans" w:cs="Open Sans"/>
        </w:rPr>
      </w:pPr>
      <w:r w:rsidRPr="00900849">
        <w:rPr>
          <w:rFonts w:ascii="Open Sans" w:hAnsi="Open Sans" w:cs="Open Sans"/>
        </w:rPr>
        <w:t>Service offerings should be integrated</w:t>
      </w:r>
      <w:r w:rsidR="00FE6022">
        <w:rPr>
          <w:rFonts w:ascii="Open Sans" w:hAnsi="Open Sans" w:cs="Open Sans"/>
        </w:rPr>
        <w:t>,</w:t>
      </w:r>
      <w:r w:rsidRPr="00900849">
        <w:rPr>
          <w:rFonts w:ascii="Open Sans" w:hAnsi="Open Sans" w:cs="Open Sans"/>
        </w:rPr>
        <w:t xml:space="preserve"> and provide referral pathways</w:t>
      </w:r>
      <w:r w:rsidR="00845208">
        <w:rPr>
          <w:rFonts w:ascii="Open Sans" w:hAnsi="Open Sans" w:cs="Open Sans"/>
        </w:rPr>
        <w:t xml:space="preserve"> to appropriate supports</w:t>
      </w:r>
      <w:r w:rsidR="004A0C11">
        <w:rPr>
          <w:rFonts w:ascii="Open Sans" w:hAnsi="Open Sans" w:cs="Open Sans"/>
        </w:rPr>
        <w:t>.</w:t>
      </w:r>
    </w:p>
    <w:p w14:paraId="1680DC02" w14:textId="5ACE831E" w:rsidR="1FDF2B19" w:rsidRPr="00900849" w:rsidRDefault="004A0C11" w:rsidP="008F74E5">
      <w:pPr>
        <w:pStyle w:val="ListParagraph"/>
        <w:numPr>
          <w:ilvl w:val="0"/>
          <w:numId w:val="27"/>
        </w:numPr>
        <w:spacing w:before="240" w:line="240" w:lineRule="auto"/>
        <w:contextualSpacing w:val="0"/>
        <w:rPr>
          <w:rFonts w:ascii="Open Sans" w:hAnsi="Open Sans" w:cs="Open Sans"/>
        </w:rPr>
      </w:pPr>
      <w:r>
        <w:rPr>
          <w:rFonts w:ascii="Open Sans" w:hAnsi="Open Sans" w:cs="Open Sans"/>
        </w:rPr>
        <w:t>G</w:t>
      </w:r>
      <w:r w:rsidR="4DB79AF2" w:rsidRPr="00900849">
        <w:rPr>
          <w:rFonts w:ascii="Open Sans" w:hAnsi="Open Sans" w:cs="Open Sans"/>
        </w:rPr>
        <w:t>rants administration is time consuming and fragmented</w:t>
      </w:r>
      <w:r w:rsidR="00900849">
        <w:rPr>
          <w:rFonts w:ascii="Open Sans" w:hAnsi="Open Sans" w:cs="Open Sans"/>
        </w:rPr>
        <w:t xml:space="preserve">. </w:t>
      </w:r>
    </w:p>
    <w:p w14:paraId="0C90AEDF" w14:textId="4F8A5561" w:rsidR="2CAEF761" w:rsidRDefault="2CAEF761" w:rsidP="2CAEF761">
      <w:pPr>
        <w:spacing w:line="480" w:lineRule="auto"/>
        <w:rPr>
          <w:rFonts w:ascii="Open Sans" w:hAnsi="Open Sans" w:cs="Open Sans"/>
        </w:rPr>
      </w:pPr>
    </w:p>
    <w:p w14:paraId="368FDA4A" w14:textId="77777777" w:rsidR="00311C94" w:rsidRPr="00311C94" w:rsidRDefault="00311C94" w:rsidP="00311C94">
      <w:pPr>
        <w:spacing w:line="480" w:lineRule="auto"/>
        <w:rPr>
          <w:rFonts w:ascii="Open Sans" w:hAnsi="Open Sans" w:cs="Open Sans"/>
        </w:rPr>
      </w:pPr>
    </w:p>
    <w:bookmarkEnd w:id="3"/>
    <w:p w14:paraId="4057ACA1" w14:textId="77777777" w:rsidR="00913686" w:rsidRPr="00620C16" w:rsidRDefault="00913686" w:rsidP="00913686">
      <w:pPr>
        <w:pStyle w:val="Heading2"/>
        <w:rPr>
          <w:rFonts w:ascii="Open Sans" w:hAnsi="Open Sans" w:cs="Open Sans"/>
          <w:lang w:val="en-US"/>
        </w:rPr>
      </w:pPr>
      <w:r w:rsidRPr="00620C16">
        <w:rPr>
          <w:rFonts w:ascii="Open Sans" w:hAnsi="Open Sans" w:cs="Open Sans"/>
          <w:lang w:val="en-US"/>
        </w:rPr>
        <w:br w:type="page"/>
      </w:r>
    </w:p>
    <w:p w14:paraId="7E866D68" w14:textId="5199E55D" w:rsidR="00913686" w:rsidRPr="00620C16" w:rsidRDefault="00913686" w:rsidP="00913686">
      <w:pPr>
        <w:pStyle w:val="Heading2"/>
        <w:rPr>
          <w:rFonts w:ascii="Open Sans" w:hAnsi="Open Sans" w:cs="Open Sans"/>
          <w:lang w:val="en-US"/>
        </w:rPr>
      </w:pPr>
      <w:bookmarkStart w:id="4" w:name="_Hlk210132194"/>
      <w:r w:rsidRPr="2CAEF761">
        <w:rPr>
          <w:rFonts w:ascii="Open Sans" w:hAnsi="Open Sans" w:cs="Open Sans"/>
          <w:lang w:val="en-US"/>
        </w:rPr>
        <w:lastRenderedPageBreak/>
        <w:t xml:space="preserve">Part 1: Consultation </w:t>
      </w:r>
      <w:r w:rsidR="00311C94" w:rsidRPr="2CAEF761">
        <w:rPr>
          <w:rFonts w:ascii="Open Sans" w:hAnsi="Open Sans" w:cs="Open Sans"/>
          <w:lang w:val="en-US"/>
        </w:rPr>
        <w:t>conducted</w:t>
      </w:r>
      <w:r w:rsidRPr="2CAEF761">
        <w:rPr>
          <w:rFonts w:ascii="Open Sans" w:hAnsi="Open Sans" w:cs="Open Sans"/>
          <w:lang w:val="en-US"/>
        </w:rPr>
        <w:t xml:space="preserve"> in late 2024</w:t>
      </w:r>
      <w:r w:rsidR="02C8589A" w:rsidRPr="2CAEF761">
        <w:rPr>
          <w:rFonts w:ascii="Open Sans" w:hAnsi="Open Sans" w:cs="Open Sans"/>
          <w:lang w:val="en-US"/>
        </w:rPr>
        <w:t xml:space="preserve"> on Children, Young People and Parents Programs</w:t>
      </w:r>
    </w:p>
    <w:p w14:paraId="06203595" w14:textId="4DFDFFDB" w:rsidR="00913686" w:rsidRDefault="00311C94" w:rsidP="00913686">
      <w:pPr>
        <w:rPr>
          <w:rFonts w:ascii="Open Sans" w:hAnsi="Open Sans" w:cs="Open Sans"/>
          <w:lang w:val="en-US"/>
        </w:rPr>
      </w:pPr>
      <w:r>
        <w:rPr>
          <w:rFonts w:ascii="Open Sans" w:hAnsi="Open Sans" w:cs="Open Sans"/>
          <w:lang w:val="en-US"/>
        </w:rPr>
        <w:t xml:space="preserve">Between late 2024 and early 2025, the Department of Social Services (the department) ran a three-month consultation on three programs that support children, young people, and parents: </w:t>
      </w:r>
      <w:r w:rsidR="00913686" w:rsidRPr="00620C16">
        <w:rPr>
          <w:rFonts w:ascii="Open Sans" w:hAnsi="Open Sans" w:cs="Open Sans"/>
          <w:lang w:val="en-US"/>
        </w:rPr>
        <w:t>Children and Parenting Support (CaPS)</w:t>
      </w:r>
      <w:r w:rsidR="00913686">
        <w:rPr>
          <w:rFonts w:ascii="Open Sans" w:hAnsi="Open Sans" w:cs="Open Sans"/>
          <w:lang w:val="en-US"/>
        </w:rPr>
        <w:t>,</w:t>
      </w:r>
      <w:r w:rsidR="00913686" w:rsidRPr="00620C16">
        <w:rPr>
          <w:rFonts w:ascii="Open Sans" w:hAnsi="Open Sans" w:cs="Open Sans"/>
          <w:lang w:val="en-US"/>
        </w:rPr>
        <w:t xml:space="preserve"> Communities for Children Facilitating Partners (CfC FP)</w:t>
      </w:r>
      <w:r w:rsidR="00913686">
        <w:rPr>
          <w:rFonts w:ascii="Open Sans" w:hAnsi="Open Sans" w:cs="Open Sans"/>
          <w:lang w:val="en-US"/>
        </w:rPr>
        <w:t>,</w:t>
      </w:r>
      <w:r w:rsidR="00913686" w:rsidRPr="00620C16">
        <w:rPr>
          <w:rFonts w:ascii="Open Sans" w:hAnsi="Open Sans" w:cs="Open Sans"/>
          <w:lang w:val="en-US"/>
        </w:rPr>
        <w:t xml:space="preserve"> and Family Mental Health Support Services (FMHSS). </w:t>
      </w:r>
      <w:r>
        <w:rPr>
          <w:rFonts w:ascii="Open Sans" w:hAnsi="Open Sans" w:cs="Open Sans"/>
          <w:lang w:val="en-US"/>
        </w:rPr>
        <w:t xml:space="preserve">The consultation explored what’s working well in these programs, as well as the challenges services face in delivering them. </w:t>
      </w:r>
    </w:p>
    <w:p w14:paraId="5391F751" w14:textId="774FD7BF" w:rsidR="00395825" w:rsidRDefault="001A7494" w:rsidP="009A4611">
      <w:pPr>
        <w:rPr>
          <w:rFonts w:ascii="Open Sans" w:hAnsi="Open Sans" w:cs="Open Sans"/>
          <w:lang w:val="en-US"/>
        </w:rPr>
      </w:pPr>
      <w:r>
        <w:rPr>
          <w:rFonts w:ascii="Open Sans" w:hAnsi="Open Sans" w:cs="Open Sans"/>
          <w:lang w:val="en-US"/>
        </w:rPr>
        <w:t>The department</w:t>
      </w:r>
      <w:r w:rsidR="00913686">
        <w:rPr>
          <w:rFonts w:ascii="Open Sans" w:hAnsi="Open Sans" w:cs="Open Sans"/>
          <w:lang w:val="en-US"/>
        </w:rPr>
        <w:t xml:space="preserve"> </w:t>
      </w:r>
      <w:r w:rsidR="000C6BF2">
        <w:rPr>
          <w:rFonts w:ascii="Open Sans" w:hAnsi="Open Sans" w:cs="Open Sans"/>
          <w:lang w:val="en-US"/>
        </w:rPr>
        <w:t>heard from</w:t>
      </w:r>
      <w:r w:rsidR="00311C94">
        <w:rPr>
          <w:rFonts w:ascii="Open Sans" w:hAnsi="Open Sans" w:cs="Open Sans"/>
          <w:lang w:val="en-US"/>
        </w:rPr>
        <w:t xml:space="preserve"> a wide range of people across the community</w:t>
      </w:r>
      <w:r w:rsidR="00395825">
        <w:rPr>
          <w:rFonts w:ascii="Open Sans" w:hAnsi="Open Sans" w:cs="Open Sans"/>
          <w:lang w:val="en-US"/>
        </w:rPr>
        <w:t>:</w:t>
      </w:r>
    </w:p>
    <w:p w14:paraId="1C9FFF08" w14:textId="4CF929EB" w:rsidR="00845208" w:rsidRPr="008F74E5" w:rsidRDefault="00913686" w:rsidP="008F74E5">
      <w:pPr>
        <w:pStyle w:val="ListParagraph"/>
        <w:numPr>
          <w:ilvl w:val="0"/>
          <w:numId w:val="22"/>
        </w:numPr>
        <w:spacing w:before="240" w:line="240" w:lineRule="auto"/>
        <w:contextualSpacing w:val="0"/>
        <w:rPr>
          <w:rFonts w:ascii="Open Sans" w:hAnsi="Open Sans" w:cs="Open Sans"/>
          <w:lang w:val="en-US"/>
        </w:rPr>
      </w:pPr>
      <w:r w:rsidRPr="00395825">
        <w:rPr>
          <w:rFonts w:ascii="Open Sans" w:hAnsi="Open Sans" w:cs="Open Sans"/>
          <w:lang w:val="en-US"/>
        </w:rPr>
        <w:t>477 representatives from community organisations and experts</w:t>
      </w:r>
      <w:r w:rsidR="00311C94">
        <w:rPr>
          <w:rFonts w:ascii="Open Sans" w:hAnsi="Open Sans" w:cs="Open Sans"/>
          <w:lang w:val="en-US"/>
        </w:rPr>
        <w:t xml:space="preserve"> shared their views through surveys and interviews.</w:t>
      </w:r>
    </w:p>
    <w:p w14:paraId="0A3438A9" w14:textId="2DDD9717" w:rsidR="00845208" w:rsidRPr="008F74E5" w:rsidRDefault="00913686" w:rsidP="008F74E5">
      <w:pPr>
        <w:pStyle w:val="ListParagraph"/>
        <w:numPr>
          <w:ilvl w:val="0"/>
          <w:numId w:val="22"/>
        </w:numPr>
        <w:spacing w:before="240" w:line="240" w:lineRule="auto"/>
        <w:contextualSpacing w:val="0"/>
        <w:rPr>
          <w:rFonts w:ascii="Open Sans" w:hAnsi="Open Sans" w:cs="Open Sans"/>
          <w:lang w:val="en-US"/>
        </w:rPr>
      </w:pPr>
      <w:r w:rsidRPr="00395825">
        <w:rPr>
          <w:rFonts w:ascii="Open Sans" w:hAnsi="Open Sans" w:cs="Open Sans"/>
          <w:lang w:val="en-US"/>
        </w:rPr>
        <w:t>3,545 parents and carers</w:t>
      </w:r>
      <w:r w:rsidR="00444679">
        <w:rPr>
          <w:rFonts w:ascii="Open Sans" w:hAnsi="Open Sans" w:cs="Open Sans"/>
          <w:lang w:val="en-US"/>
        </w:rPr>
        <w:t xml:space="preserve"> </w:t>
      </w:r>
      <w:r w:rsidR="00311C94">
        <w:rPr>
          <w:rFonts w:ascii="Open Sans" w:hAnsi="Open Sans" w:cs="Open Sans"/>
          <w:lang w:val="en-US"/>
        </w:rPr>
        <w:t>took part in surveys, interviews, and focus groups</w:t>
      </w:r>
      <w:r w:rsidR="00444679" w:rsidRPr="00620C16">
        <w:rPr>
          <w:rFonts w:ascii="Open Sans" w:hAnsi="Open Sans" w:cs="Open Sans"/>
          <w:lang w:val="en-US"/>
        </w:rPr>
        <w:t>.</w:t>
      </w:r>
    </w:p>
    <w:p w14:paraId="3A71B34A" w14:textId="200C72BB" w:rsidR="00395825" w:rsidRDefault="00395825" w:rsidP="008F74E5">
      <w:pPr>
        <w:pStyle w:val="ListParagraph"/>
        <w:numPr>
          <w:ilvl w:val="0"/>
          <w:numId w:val="22"/>
        </w:numPr>
        <w:spacing w:before="240" w:line="240" w:lineRule="auto"/>
        <w:ind w:left="771" w:hanging="357"/>
        <w:contextualSpacing w:val="0"/>
        <w:rPr>
          <w:rFonts w:ascii="Open Sans" w:hAnsi="Open Sans" w:cs="Open Sans"/>
          <w:lang w:val="en-US"/>
        </w:rPr>
      </w:pPr>
      <w:r>
        <w:rPr>
          <w:rFonts w:ascii="Open Sans" w:hAnsi="Open Sans" w:cs="Open Sans"/>
          <w:lang w:val="en-US"/>
        </w:rPr>
        <w:t xml:space="preserve">277 people </w:t>
      </w:r>
      <w:r w:rsidR="00311C94">
        <w:rPr>
          <w:rFonts w:ascii="Open Sans" w:hAnsi="Open Sans" w:cs="Open Sans"/>
          <w:lang w:val="en-US"/>
        </w:rPr>
        <w:t xml:space="preserve">joined 18 information sessions, held both in person and online. </w:t>
      </w:r>
    </w:p>
    <w:p w14:paraId="47660748" w14:textId="1E876F80" w:rsidR="001A7494" w:rsidRPr="00395825" w:rsidRDefault="001A7494" w:rsidP="008F74E5">
      <w:pPr>
        <w:pStyle w:val="ListParagraph"/>
        <w:numPr>
          <w:ilvl w:val="0"/>
          <w:numId w:val="22"/>
        </w:numPr>
        <w:spacing w:before="240" w:line="240" w:lineRule="auto"/>
        <w:ind w:left="771" w:hanging="357"/>
        <w:contextualSpacing w:val="0"/>
        <w:rPr>
          <w:rFonts w:ascii="Open Sans" w:hAnsi="Open Sans" w:cs="Open Sans"/>
          <w:lang w:val="en-US"/>
        </w:rPr>
      </w:pPr>
      <w:r w:rsidRPr="001A7494">
        <w:rPr>
          <w:rFonts w:ascii="Open Sans" w:hAnsi="Open Sans" w:cs="Open Sans"/>
        </w:rPr>
        <w:t>112</w:t>
      </w:r>
      <w:r w:rsidR="00311C94">
        <w:rPr>
          <w:rFonts w:ascii="Open Sans" w:hAnsi="Open Sans" w:cs="Open Sans"/>
        </w:rPr>
        <w:t xml:space="preserve"> individuals</w:t>
      </w:r>
      <w:r w:rsidRPr="001A7494">
        <w:rPr>
          <w:rFonts w:ascii="Open Sans" w:hAnsi="Open Sans" w:cs="Open Sans"/>
        </w:rPr>
        <w:t xml:space="preserve"> respon</w:t>
      </w:r>
      <w:r w:rsidR="00311C94">
        <w:rPr>
          <w:rFonts w:ascii="Open Sans" w:hAnsi="Open Sans" w:cs="Open Sans"/>
        </w:rPr>
        <w:t>ded</w:t>
      </w:r>
      <w:r w:rsidRPr="001A7494">
        <w:rPr>
          <w:rFonts w:ascii="Open Sans" w:hAnsi="Open Sans" w:cs="Open Sans"/>
        </w:rPr>
        <w:t xml:space="preserve"> to a public </w:t>
      </w:r>
      <w:hyperlink r:id="rId19" w:history="1">
        <w:r w:rsidRPr="00620C16">
          <w:rPr>
            <w:rStyle w:val="Hyperlink"/>
            <w:rFonts w:ascii="Open Sans" w:hAnsi="Open Sans" w:cs="Open Sans"/>
          </w:rPr>
          <w:t>discussion paper</w:t>
        </w:r>
      </w:hyperlink>
      <w:r w:rsidR="00631CE8">
        <w:t>.</w:t>
      </w:r>
    </w:p>
    <w:p w14:paraId="1AA4B221" w14:textId="39448D92" w:rsidR="001A7494" w:rsidRPr="001A7494" w:rsidRDefault="001A7494" w:rsidP="001A7494">
      <w:pPr>
        <w:rPr>
          <w:rFonts w:ascii="Open Sans" w:hAnsi="Open Sans" w:cs="Open Sans"/>
          <w:lang w:val="en-US"/>
        </w:rPr>
      </w:pPr>
      <w:r w:rsidRPr="001A7494">
        <w:rPr>
          <w:rFonts w:ascii="Open Sans" w:hAnsi="Open Sans" w:cs="Open Sans"/>
          <w:lang w:val="en-US"/>
        </w:rPr>
        <w:t>Below is a summary of the key findings.</w:t>
      </w:r>
    </w:p>
    <w:p w14:paraId="5B98671B" w14:textId="77777777" w:rsidR="00913686" w:rsidRPr="00620C16" w:rsidRDefault="00913686" w:rsidP="00913686">
      <w:pPr>
        <w:pStyle w:val="Heading3"/>
        <w:rPr>
          <w:rFonts w:ascii="Open Sans" w:hAnsi="Open Sans" w:cs="Open Sans"/>
          <w:b/>
          <w:bCs w:val="0"/>
          <w:szCs w:val="32"/>
        </w:rPr>
      </w:pPr>
      <w:r>
        <w:rPr>
          <w:rFonts w:ascii="Open Sans" w:hAnsi="Open Sans" w:cs="Open Sans"/>
          <w:b/>
          <w:bCs w:val="0"/>
          <w:szCs w:val="32"/>
        </w:rPr>
        <w:t>Key findings</w:t>
      </w:r>
    </w:p>
    <w:p w14:paraId="00B85B71" w14:textId="77777777" w:rsidR="00913686" w:rsidRPr="00620C16" w:rsidRDefault="00913686" w:rsidP="001521DF">
      <w:pPr>
        <w:pStyle w:val="Heading4"/>
        <w:spacing w:before="120"/>
        <w:rPr>
          <w:rFonts w:ascii="Open Sans" w:hAnsi="Open Sans" w:cs="Open Sans"/>
        </w:rPr>
      </w:pPr>
      <w:bookmarkStart w:id="5" w:name="_Hlk212472551"/>
      <w:r w:rsidRPr="00620C16">
        <w:rPr>
          <w:rFonts w:ascii="Open Sans" w:hAnsi="Open Sans" w:cs="Open Sans"/>
        </w:rPr>
        <w:t>Inclusive, flexible and accessible program design and service delivery</w:t>
      </w:r>
    </w:p>
    <w:p w14:paraId="6B8BFD77" w14:textId="2C7115D5" w:rsidR="00913686" w:rsidRPr="009A4611" w:rsidRDefault="00311C94" w:rsidP="009A4611">
      <w:pPr>
        <w:rPr>
          <w:rFonts w:ascii="Open Sans" w:hAnsi="Open Sans" w:cs="Open Sans"/>
          <w:lang w:val="en-US"/>
        </w:rPr>
      </w:pPr>
      <w:r w:rsidRPr="2CAEF761">
        <w:rPr>
          <w:rFonts w:ascii="Open Sans" w:hAnsi="Open Sans" w:cs="Open Sans"/>
          <w:lang w:val="en-US"/>
        </w:rPr>
        <w:t>Across all responses there was a clear message: services offered under the three programs</w:t>
      </w:r>
      <w:r w:rsidR="00845208">
        <w:rPr>
          <w:rFonts w:ascii="Open Sans" w:hAnsi="Open Sans" w:cs="Open Sans"/>
          <w:lang w:val="en-US"/>
        </w:rPr>
        <w:t xml:space="preserve"> </w:t>
      </w:r>
      <w:r w:rsidRPr="2CAEF761">
        <w:rPr>
          <w:rFonts w:ascii="Open Sans" w:hAnsi="Open Sans" w:cs="Open Sans"/>
          <w:lang w:val="en-US"/>
        </w:rPr>
        <w:t>need to be more inclu</w:t>
      </w:r>
      <w:r w:rsidR="00DC417B" w:rsidRPr="2CAEF761">
        <w:rPr>
          <w:rFonts w:ascii="Open Sans" w:hAnsi="Open Sans" w:cs="Open Sans"/>
          <w:lang w:val="en-US"/>
        </w:rPr>
        <w:t>sive, flexible, and accessible</w:t>
      </w:r>
      <w:r w:rsidR="00FE6022">
        <w:rPr>
          <w:rFonts w:ascii="Open Sans" w:hAnsi="Open Sans" w:cs="Open Sans"/>
          <w:lang w:val="en-US"/>
        </w:rPr>
        <w:t>,</w:t>
      </w:r>
      <w:r w:rsidR="00DC417B" w:rsidRPr="2CAEF761">
        <w:rPr>
          <w:rFonts w:ascii="Open Sans" w:hAnsi="Open Sans" w:cs="Open Sans"/>
          <w:lang w:val="en-US"/>
        </w:rPr>
        <w:t xml:space="preserve"> to better meet community needs. Respondents highlighted that some families – such as Culturally and Linguistically Diverse (CALD) families, First</w:t>
      </w:r>
      <w:r w:rsidR="00FE6022">
        <w:rPr>
          <w:rFonts w:ascii="Open Sans" w:hAnsi="Open Sans" w:cs="Open Sans"/>
          <w:lang w:val="en-US"/>
        </w:rPr>
        <w:t> </w:t>
      </w:r>
      <w:r w:rsidR="00DC417B" w:rsidRPr="2CAEF761">
        <w:rPr>
          <w:rFonts w:ascii="Open Sans" w:hAnsi="Open Sans" w:cs="Open Sans"/>
          <w:lang w:val="en-US"/>
        </w:rPr>
        <w:t xml:space="preserve">Nations families, and families and children with disability – may require more tailored support to access and safely participate in services and programs. </w:t>
      </w:r>
    </w:p>
    <w:p w14:paraId="2CA9DEC7" w14:textId="0D171521" w:rsidR="00DC417B" w:rsidRDefault="00913686" w:rsidP="009A4611">
      <w:pPr>
        <w:rPr>
          <w:rFonts w:ascii="Open Sans" w:hAnsi="Open Sans" w:cs="Open Sans"/>
          <w:lang w:val="en-US"/>
        </w:rPr>
      </w:pPr>
      <w:r w:rsidRPr="009A4611">
        <w:rPr>
          <w:rFonts w:ascii="Open Sans" w:hAnsi="Open Sans" w:cs="Open Sans"/>
          <w:lang w:val="en-US"/>
        </w:rPr>
        <w:t>Many responses</w:t>
      </w:r>
      <w:r w:rsidR="00DC417B">
        <w:rPr>
          <w:rFonts w:ascii="Open Sans" w:hAnsi="Open Sans" w:cs="Open Sans"/>
          <w:lang w:val="en-US"/>
        </w:rPr>
        <w:t xml:space="preserve"> told us that the way programs are designed needs </w:t>
      </w:r>
      <w:r w:rsidR="00DC417B" w:rsidRPr="00845208">
        <w:rPr>
          <w:rFonts w:ascii="Open Sans" w:hAnsi="Open Sans" w:cs="Open Sans"/>
          <w:lang w:val="en-US"/>
        </w:rPr>
        <w:t>to</w:t>
      </w:r>
      <w:r w:rsidR="00DC417B">
        <w:rPr>
          <w:rFonts w:ascii="Open Sans" w:hAnsi="Open Sans" w:cs="Open Sans"/>
          <w:lang w:val="en-US"/>
        </w:rPr>
        <w:t xml:space="preserve"> change so that service providers can better support families – especially CALD and First Nations families. </w:t>
      </w:r>
    </w:p>
    <w:p w14:paraId="0DCDFC13" w14:textId="525E851A" w:rsidR="00DC417B" w:rsidRDefault="00DC417B" w:rsidP="009A4611">
      <w:pPr>
        <w:rPr>
          <w:rFonts w:ascii="Open Sans" w:hAnsi="Open Sans" w:cs="Open Sans"/>
          <w:lang w:val="en-US"/>
        </w:rPr>
      </w:pPr>
      <w:r>
        <w:rPr>
          <w:rFonts w:ascii="Open Sans" w:hAnsi="Open Sans" w:cs="Open Sans"/>
          <w:lang w:val="en-US"/>
        </w:rPr>
        <w:t>They called for services to be more trauma-informed, culturally appropriate, and responsive to different needs. Suggestions included:</w:t>
      </w:r>
    </w:p>
    <w:p w14:paraId="04251566" w14:textId="14F9160B" w:rsidR="00B85296" w:rsidRPr="0028446D" w:rsidRDefault="00DC417B" w:rsidP="008F74E5">
      <w:pPr>
        <w:pStyle w:val="ListParagraph"/>
        <w:numPr>
          <w:ilvl w:val="0"/>
          <w:numId w:val="25"/>
        </w:numPr>
        <w:spacing w:before="240" w:line="240" w:lineRule="auto"/>
        <w:ind w:left="714" w:hanging="357"/>
        <w:contextualSpacing w:val="0"/>
        <w:rPr>
          <w:rFonts w:ascii="Open Sans" w:hAnsi="Open Sans" w:cs="Open Sans"/>
          <w:lang w:val="en-US"/>
        </w:rPr>
      </w:pPr>
      <w:r>
        <w:rPr>
          <w:rFonts w:ascii="Open Sans" w:hAnsi="Open Sans" w:cs="Open Sans"/>
          <w:lang w:val="en-US"/>
        </w:rPr>
        <w:t xml:space="preserve">Building a more diverse and skilled workforce. </w:t>
      </w:r>
    </w:p>
    <w:p w14:paraId="6C6D0F0E" w14:textId="77777777" w:rsidR="0028446D" w:rsidRDefault="00DC417B" w:rsidP="008F74E5">
      <w:pPr>
        <w:pStyle w:val="ListParagraph"/>
        <w:numPr>
          <w:ilvl w:val="0"/>
          <w:numId w:val="25"/>
        </w:numPr>
        <w:spacing w:before="240" w:line="240" w:lineRule="auto"/>
        <w:ind w:left="714" w:hanging="357"/>
        <w:contextualSpacing w:val="0"/>
        <w:rPr>
          <w:rFonts w:ascii="Open Sans" w:hAnsi="Open Sans" w:cs="Open Sans"/>
          <w:lang w:val="en-US"/>
        </w:rPr>
      </w:pPr>
      <w:r>
        <w:rPr>
          <w:rFonts w:ascii="Open Sans" w:hAnsi="Open Sans" w:cs="Open Sans"/>
          <w:lang w:val="en-US"/>
        </w:rPr>
        <w:t>Developing a better understanding of different parenting styles and cultural practices.</w:t>
      </w:r>
    </w:p>
    <w:p w14:paraId="0E315CC7" w14:textId="29847999" w:rsidR="0028446D" w:rsidRPr="0028446D" w:rsidRDefault="00DC417B" w:rsidP="008F74E5">
      <w:pPr>
        <w:pStyle w:val="ListParagraph"/>
        <w:numPr>
          <w:ilvl w:val="0"/>
          <w:numId w:val="25"/>
        </w:numPr>
        <w:spacing w:before="240" w:line="240" w:lineRule="auto"/>
        <w:ind w:left="714" w:hanging="357"/>
        <w:contextualSpacing w:val="0"/>
        <w:rPr>
          <w:rFonts w:ascii="Open Sans" w:hAnsi="Open Sans" w:cs="Open Sans"/>
          <w:lang w:val="en-US"/>
        </w:rPr>
      </w:pPr>
      <w:r w:rsidRPr="0028446D">
        <w:rPr>
          <w:rFonts w:ascii="Open Sans" w:hAnsi="Open Sans" w:cs="Open Sans"/>
          <w:lang w:val="en-US"/>
        </w:rPr>
        <w:t xml:space="preserve">Providing resources and services in multiple languages. </w:t>
      </w:r>
    </w:p>
    <w:p w14:paraId="1331E1A6" w14:textId="52C2F1F9" w:rsidR="00913686" w:rsidRPr="0028446D" w:rsidRDefault="00DC417B" w:rsidP="0028446D">
      <w:pPr>
        <w:spacing w:line="240" w:lineRule="auto"/>
        <w:rPr>
          <w:rFonts w:ascii="Open Sans" w:hAnsi="Open Sans" w:cs="Open Sans"/>
          <w:lang w:val="en-US"/>
        </w:rPr>
      </w:pPr>
      <w:r w:rsidRPr="0028446D">
        <w:rPr>
          <w:rFonts w:ascii="Open Sans" w:hAnsi="Open Sans" w:cs="Open Sans"/>
          <w:lang w:val="en-US"/>
        </w:rPr>
        <w:t>There was also strong support for designing and delivering programs with communities</w:t>
      </w:r>
      <w:r w:rsidR="0028446D">
        <w:rPr>
          <w:rFonts w:ascii="Open Sans" w:hAnsi="Open Sans" w:cs="Open Sans"/>
          <w:lang w:val="en-US"/>
        </w:rPr>
        <w:t xml:space="preserve"> </w:t>
      </w:r>
      <w:r w:rsidRPr="0028446D">
        <w:rPr>
          <w:rFonts w:ascii="Open Sans" w:hAnsi="Open Sans" w:cs="Open Sans"/>
          <w:lang w:val="en-US"/>
        </w:rPr>
        <w:t xml:space="preserve">through community-led approaches and co-design. </w:t>
      </w:r>
    </w:p>
    <w:bookmarkEnd w:id="5"/>
    <w:p w14:paraId="7BAA526D" w14:textId="580302A0" w:rsidR="00913686" w:rsidRPr="00B5258C" w:rsidRDefault="00913686" w:rsidP="001521DF">
      <w:pPr>
        <w:spacing w:before="240"/>
        <w:jc w:val="center"/>
        <w:rPr>
          <w:rFonts w:ascii="Open Sans" w:hAnsi="Open Sans" w:cs="Open Sans"/>
          <w:bCs/>
          <w:i/>
          <w:iCs/>
          <w:color w:val="005C61" w:themeColor="accent6" w:themeShade="BF"/>
          <w:szCs w:val="22"/>
        </w:rPr>
      </w:pPr>
      <w:r w:rsidRPr="00B5258C">
        <w:rPr>
          <w:rFonts w:ascii="Open Sans" w:hAnsi="Open Sans" w:cs="Open Sans"/>
          <w:bCs/>
          <w:i/>
          <w:iCs/>
          <w:color w:val="005C61" w:themeColor="accent6" w:themeShade="BF"/>
          <w:szCs w:val="22"/>
        </w:rPr>
        <w:lastRenderedPageBreak/>
        <w:t>“Parents and carers say they want to know that no matter their needs, there is support available</w:t>
      </w:r>
      <w:r>
        <w:rPr>
          <w:rFonts w:ascii="Open Sans" w:hAnsi="Open Sans" w:cs="Open Sans"/>
          <w:bCs/>
          <w:i/>
          <w:iCs/>
          <w:color w:val="005C61" w:themeColor="accent6" w:themeShade="BF"/>
          <w:szCs w:val="22"/>
        </w:rPr>
        <w:t>.</w:t>
      </w:r>
      <w:r w:rsidRPr="00B5258C">
        <w:rPr>
          <w:rFonts w:ascii="Open Sans" w:hAnsi="Open Sans" w:cs="Open Sans"/>
          <w:bCs/>
          <w:i/>
          <w:iCs/>
          <w:color w:val="005C61" w:themeColor="accent6" w:themeShade="BF"/>
          <w:szCs w:val="22"/>
        </w:rPr>
        <w:t>” –</w:t>
      </w:r>
      <w:r w:rsidR="009A4611">
        <w:rPr>
          <w:rFonts w:ascii="Open Sans" w:hAnsi="Open Sans" w:cs="Open Sans"/>
          <w:bCs/>
          <w:i/>
          <w:iCs/>
          <w:color w:val="005C61" w:themeColor="accent6" w:themeShade="BF"/>
          <w:szCs w:val="22"/>
        </w:rPr>
        <w:t> </w:t>
      </w:r>
      <w:r w:rsidRPr="00B5258C">
        <w:rPr>
          <w:rFonts w:ascii="Open Sans" w:hAnsi="Open Sans" w:cs="Open Sans"/>
          <w:bCs/>
          <w:i/>
          <w:iCs/>
          <w:color w:val="005C61" w:themeColor="accent6" w:themeShade="BF"/>
          <w:szCs w:val="22"/>
        </w:rPr>
        <w:t xml:space="preserve">Current service </w:t>
      </w:r>
      <w:r w:rsidR="00DC417B">
        <w:rPr>
          <w:rFonts w:ascii="Open Sans" w:hAnsi="Open Sans" w:cs="Open Sans"/>
          <w:bCs/>
          <w:i/>
          <w:iCs/>
          <w:color w:val="005C61" w:themeColor="accent6" w:themeShade="BF"/>
          <w:szCs w:val="22"/>
        </w:rPr>
        <w:t>provider</w:t>
      </w:r>
      <w:r w:rsidRPr="00B5258C">
        <w:rPr>
          <w:rFonts w:ascii="Open Sans" w:hAnsi="Open Sans" w:cs="Open Sans"/>
          <w:bCs/>
          <w:i/>
          <w:iCs/>
          <w:color w:val="005C61" w:themeColor="accent6" w:themeShade="BF"/>
          <w:szCs w:val="22"/>
        </w:rPr>
        <w:t xml:space="preserve"> (VIC)</w:t>
      </w:r>
    </w:p>
    <w:p w14:paraId="0D03F3F8" w14:textId="4217B443" w:rsidR="00913686" w:rsidRPr="00B5258C" w:rsidRDefault="00913686" w:rsidP="00FE6022">
      <w:pPr>
        <w:pStyle w:val="ListBullet"/>
        <w:spacing w:after="240" w:line="300" w:lineRule="auto"/>
        <w:ind w:left="0" w:firstLine="0"/>
        <w:jc w:val="center"/>
        <w:rPr>
          <w:rFonts w:ascii="Open Sans" w:hAnsi="Open Sans" w:cs="Open Sans"/>
          <w:color w:val="005C61" w:themeColor="accent6" w:themeShade="BF"/>
        </w:rPr>
      </w:pPr>
      <w:r w:rsidRPr="00B5258C">
        <w:rPr>
          <w:rFonts w:ascii="Open Sans" w:hAnsi="Open Sans" w:cs="Open Sans"/>
          <w:i/>
          <w:iCs/>
          <w:color w:val="005C61" w:themeColor="accent6" w:themeShade="BF"/>
        </w:rPr>
        <w:t xml:space="preserve">“Cultural safety must be embedded across all programs </w:t>
      </w:r>
      <w:r w:rsidR="009A4611">
        <w:rPr>
          <w:rFonts w:ascii="Open Sans" w:hAnsi="Open Sans" w:cs="Open Sans"/>
          <w:i/>
          <w:iCs/>
          <w:color w:val="005C61" w:themeColor="accent6" w:themeShade="BF"/>
        </w:rPr>
        <w:t>–</w:t>
      </w:r>
      <w:r w:rsidRPr="00B5258C">
        <w:rPr>
          <w:rFonts w:ascii="Open Sans" w:hAnsi="Open Sans" w:cs="Open Sans"/>
          <w:i/>
          <w:iCs/>
          <w:color w:val="005C61" w:themeColor="accent6" w:themeShade="BF"/>
        </w:rPr>
        <w:t xml:space="preserve"> one-off training or single points of </w:t>
      </w:r>
      <w:r w:rsidRPr="00FE6022">
        <w:rPr>
          <w:rFonts w:ascii="Open Sans" w:eastAsiaTheme="minorHAnsi" w:hAnsi="Open Sans" w:cs="Open Sans"/>
          <w:i/>
          <w:iCs/>
          <w:color w:val="005C61" w:themeColor="accent6" w:themeShade="BF"/>
          <w:spacing w:val="3"/>
          <w:lang w:eastAsia="en-US"/>
        </w:rPr>
        <w:t xml:space="preserve">professional development </w:t>
      </w:r>
      <w:r w:rsidR="009A4611" w:rsidRPr="00FE6022">
        <w:rPr>
          <w:rFonts w:ascii="Open Sans" w:eastAsiaTheme="minorHAnsi" w:hAnsi="Open Sans" w:cs="Open Sans"/>
          <w:i/>
          <w:iCs/>
          <w:color w:val="005C61" w:themeColor="accent6" w:themeShade="BF"/>
          <w:spacing w:val="3"/>
          <w:lang w:eastAsia="en-US"/>
        </w:rPr>
        <w:t>[are]</w:t>
      </w:r>
      <w:r w:rsidRPr="00FE6022">
        <w:rPr>
          <w:rFonts w:ascii="Open Sans" w:eastAsiaTheme="minorHAnsi" w:hAnsi="Open Sans" w:cs="Open Sans"/>
          <w:i/>
          <w:iCs/>
          <w:color w:val="005C61" w:themeColor="accent6" w:themeShade="BF"/>
          <w:spacing w:val="3"/>
          <w:lang w:eastAsia="en-US"/>
        </w:rPr>
        <w:t xml:space="preserve"> not sufficient.” – Current service </w:t>
      </w:r>
      <w:r w:rsidR="00DC417B" w:rsidRPr="00FE6022">
        <w:rPr>
          <w:rFonts w:ascii="Open Sans" w:eastAsiaTheme="minorHAnsi" w:hAnsi="Open Sans" w:cs="Open Sans"/>
          <w:i/>
          <w:iCs/>
          <w:color w:val="005C61" w:themeColor="accent6" w:themeShade="BF"/>
          <w:spacing w:val="3"/>
          <w:lang w:eastAsia="en-US"/>
        </w:rPr>
        <w:t xml:space="preserve">provider </w:t>
      </w:r>
      <w:r w:rsidRPr="00FE6022">
        <w:rPr>
          <w:rFonts w:ascii="Open Sans" w:eastAsiaTheme="minorHAnsi" w:hAnsi="Open Sans" w:cs="Open Sans"/>
          <w:i/>
          <w:iCs/>
          <w:color w:val="005C61" w:themeColor="accent6" w:themeShade="BF"/>
          <w:spacing w:val="3"/>
          <w:lang w:eastAsia="en-US"/>
        </w:rPr>
        <w:t>(NSW)</w:t>
      </w:r>
    </w:p>
    <w:p w14:paraId="56155E1A" w14:textId="487BA000" w:rsidR="00913686" w:rsidRDefault="00DC417B" w:rsidP="00631CE8">
      <w:pPr>
        <w:keepNext/>
        <w:keepLines/>
        <w:rPr>
          <w:rFonts w:ascii="Open Sans" w:hAnsi="Open Sans" w:cs="Open Sans"/>
        </w:rPr>
      </w:pPr>
      <w:bookmarkStart w:id="6" w:name="_Hlk212473179"/>
      <w:r>
        <w:rPr>
          <w:rFonts w:ascii="Open Sans" w:hAnsi="Open Sans" w:cs="Open Sans"/>
        </w:rPr>
        <w:t xml:space="preserve">Many people highlighted the important role that fathers play in supporting their children’s wellbeing when they are actively involved and empowered. To help more fathers take part in parenting programs, respondents suggested making programs more flexible and accessible – for example, by offering sessions on weekends or after hours, and creating welcoming, low-pressure ways for fathers to get involved. </w:t>
      </w:r>
    </w:p>
    <w:p w14:paraId="68019EF6" w14:textId="5A9B4490" w:rsidR="00DC417B" w:rsidRDefault="00DC417B" w:rsidP="00631CE8">
      <w:pPr>
        <w:keepNext/>
        <w:keepLines/>
        <w:rPr>
          <w:rFonts w:ascii="Open Sans" w:hAnsi="Open Sans" w:cs="Open Sans"/>
        </w:rPr>
      </w:pPr>
      <w:r>
        <w:rPr>
          <w:rFonts w:ascii="Open Sans" w:hAnsi="Open Sans" w:cs="Open Sans"/>
        </w:rPr>
        <w:t xml:space="preserve">There was also strong support for public awareness campaigns to challenge outdated gender roles and reduce the stigma around fathers seeking support. Respondents emphasised that staff need the right training and resources to confidently engage with male caregivers, and that building a more diverse and culturally competent workforce would help make services more inclusive. </w:t>
      </w:r>
    </w:p>
    <w:bookmarkEnd w:id="6"/>
    <w:p w14:paraId="0CC7EF2E" w14:textId="405D1B08" w:rsidR="00913686" w:rsidRPr="00B5258C" w:rsidRDefault="00913686" w:rsidP="001521DF">
      <w:pPr>
        <w:pStyle w:val="FaCQuote"/>
      </w:pPr>
      <w:r>
        <w:t>“To strengthen the community sector further, […] children, youth, and parenting programs should consider additional changes that enhance inclusivity, collaboration, and engagement, with a particular emphasis on involving fathers as equal partners in parenting. Fathers play a critical role in family cohesion and child development, and their inclusion can amplify the effectiveness of community</w:t>
      </w:r>
      <w:r w:rsidR="48440DB1">
        <w:t>-</w:t>
      </w:r>
      <w:r>
        <w:t xml:space="preserve">based programs.” – Current service </w:t>
      </w:r>
      <w:r w:rsidR="00DC417B">
        <w:t>provider</w:t>
      </w:r>
      <w:r>
        <w:t xml:space="preserve"> (National)</w:t>
      </w:r>
    </w:p>
    <w:p w14:paraId="4DD411C2" w14:textId="6079EEC6" w:rsidR="00913686" w:rsidRDefault="00DC417B" w:rsidP="001521DF">
      <w:pPr>
        <w:rPr>
          <w:rFonts w:ascii="Open Sans" w:hAnsi="Open Sans" w:cs="Open Sans"/>
        </w:rPr>
      </w:pPr>
      <w:bookmarkStart w:id="7" w:name="_Hlk212473712"/>
      <w:r>
        <w:rPr>
          <w:rFonts w:ascii="Open Sans" w:hAnsi="Open Sans" w:cs="Open Sans"/>
        </w:rPr>
        <w:t>Some people shared that LGBTIQ+ families often don’t feel comfortable accessing services. They</w:t>
      </w:r>
      <w:r w:rsidR="00FE6022">
        <w:rPr>
          <w:rFonts w:ascii="Open Sans" w:hAnsi="Open Sans" w:cs="Open Sans"/>
        </w:rPr>
        <w:t> </w:t>
      </w:r>
      <w:r>
        <w:rPr>
          <w:rFonts w:ascii="Open Sans" w:hAnsi="Open Sans" w:cs="Open Sans"/>
        </w:rPr>
        <w:t>said services need to be more welcoming and inclusive of different family structures, and that families should feel safe, supported, and respected when seeking help.</w:t>
      </w:r>
    </w:p>
    <w:p w14:paraId="36D61119" w14:textId="7F611B23" w:rsidR="00DC417B" w:rsidRPr="00620C16" w:rsidRDefault="00DC417B" w:rsidP="001521DF">
      <w:pPr>
        <w:rPr>
          <w:rFonts w:ascii="Open Sans" w:hAnsi="Open Sans" w:cs="Open Sans"/>
        </w:rPr>
      </w:pPr>
      <w:r>
        <w:rPr>
          <w:rFonts w:ascii="Open Sans" w:hAnsi="Open Sans" w:cs="Open Sans"/>
        </w:rPr>
        <w:t xml:space="preserve">Suggestions included creating targeted programs specifically designed for LGBTIQ+ </w:t>
      </w:r>
      <w:r w:rsidR="004E765E">
        <w:rPr>
          <w:rFonts w:ascii="Open Sans" w:hAnsi="Open Sans" w:cs="Open Sans"/>
        </w:rPr>
        <w:t>families and</w:t>
      </w:r>
      <w:r>
        <w:rPr>
          <w:rFonts w:ascii="Open Sans" w:hAnsi="Open Sans" w:cs="Open Sans"/>
        </w:rPr>
        <w:t xml:space="preserve"> making sure these programs are delivered in ways that reflect their lived experiences. Respondents also emphasised the importance of involv</w:t>
      </w:r>
      <w:r w:rsidR="004E765E">
        <w:rPr>
          <w:rFonts w:ascii="Open Sans" w:hAnsi="Open Sans" w:cs="Open Sans"/>
        </w:rPr>
        <w:t>ing</w:t>
      </w:r>
      <w:r>
        <w:rPr>
          <w:rFonts w:ascii="Open Sans" w:hAnsi="Open Sans" w:cs="Open Sans"/>
        </w:rPr>
        <w:t xml:space="preserve"> LGBTIQ+ people in co-design so services are shaped by the communities they’re meant to support. </w:t>
      </w:r>
    </w:p>
    <w:p w14:paraId="264D849D" w14:textId="55DFFEB9" w:rsidR="00913686" w:rsidRDefault="00B43126" w:rsidP="001521DF">
      <w:pPr>
        <w:rPr>
          <w:rFonts w:ascii="Open Sans" w:hAnsi="Open Sans" w:cs="Open Sans"/>
        </w:rPr>
      </w:pPr>
      <w:r>
        <w:rPr>
          <w:rFonts w:ascii="Open Sans" w:hAnsi="Open Sans" w:cs="Open Sans"/>
        </w:rPr>
        <w:t>Some respondents shared that certain vulnerable groups, such as Care Leavers and victim survivors, may need more tailored and individualised support. They also stressed the importance of collecting data in ways that make people feel safe, respected, and supported.</w:t>
      </w:r>
    </w:p>
    <w:p w14:paraId="38E5E966" w14:textId="77777777" w:rsidR="008F74E5" w:rsidRDefault="008F74E5">
      <w:pPr>
        <w:rPr>
          <w:rFonts w:ascii="Open Sans" w:hAnsi="Open Sans" w:cs="Open Sans"/>
        </w:rPr>
      </w:pPr>
      <w:r>
        <w:rPr>
          <w:rFonts w:ascii="Open Sans" w:hAnsi="Open Sans" w:cs="Open Sans"/>
        </w:rPr>
        <w:br w:type="page"/>
      </w:r>
    </w:p>
    <w:p w14:paraId="4DF69C87" w14:textId="2727B20A" w:rsidR="00B43126" w:rsidRDefault="00B43126" w:rsidP="001521DF">
      <w:pPr>
        <w:rPr>
          <w:rFonts w:ascii="Open Sans" w:hAnsi="Open Sans" w:cs="Open Sans"/>
        </w:rPr>
      </w:pPr>
      <w:r w:rsidRPr="2CAEF761">
        <w:rPr>
          <w:rFonts w:ascii="Open Sans" w:hAnsi="Open Sans" w:cs="Open Sans"/>
        </w:rPr>
        <w:lastRenderedPageBreak/>
        <w:t xml:space="preserve">Many responses highlighted that children, young people, and families with disability are not getting enough support to access and participate in programs. </w:t>
      </w:r>
      <w:r w:rsidR="005955D7">
        <w:rPr>
          <w:rFonts w:ascii="Open Sans" w:hAnsi="Open Sans" w:cs="Open Sans"/>
        </w:rPr>
        <w:t>P</w:t>
      </w:r>
      <w:r w:rsidRPr="2CAEF761">
        <w:rPr>
          <w:rFonts w:ascii="Open Sans" w:hAnsi="Open Sans" w:cs="Open Sans"/>
        </w:rPr>
        <w:t>eople suggested making physical spaces more accessible, partnering more closely with Disability Representative Organ</w:t>
      </w:r>
      <w:r w:rsidR="7A1425E7" w:rsidRPr="2CAEF761">
        <w:rPr>
          <w:rFonts w:ascii="Open Sans" w:hAnsi="Open Sans" w:cs="Open Sans"/>
        </w:rPr>
        <w:t>is</w:t>
      </w:r>
      <w:r w:rsidRPr="2CAEF761">
        <w:rPr>
          <w:rFonts w:ascii="Open Sans" w:hAnsi="Open Sans" w:cs="Open Sans"/>
        </w:rPr>
        <w:t xml:space="preserve">ations, and providing staff with training to better understand and meet the needs of people with disability. </w:t>
      </w:r>
    </w:p>
    <w:p w14:paraId="3BB3783F" w14:textId="50809346" w:rsidR="00B43126" w:rsidRPr="00620C16" w:rsidRDefault="00B43126" w:rsidP="001521DF">
      <w:pPr>
        <w:rPr>
          <w:rFonts w:ascii="Open Sans" w:hAnsi="Open Sans" w:cs="Open Sans"/>
        </w:rPr>
      </w:pPr>
      <w:r>
        <w:rPr>
          <w:rFonts w:ascii="Open Sans" w:hAnsi="Open Sans" w:cs="Open Sans"/>
        </w:rPr>
        <w:t>There were also calls for stigma-reducing campaigns and for services to include Auslan as part of their delivery. Specific ideas for supporting children and young people with disability included offering whole-of-family and sibling supports, peer-led outreach programs, and structured play</w:t>
      </w:r>
      <w:r w:rsidR="00FE6022">
        <w:rPr>
          <w:rFonts w:ascii="Open Sans" w:hAnsi="Open Sans" w:cs="Open Sans"/>
        </w:rPr>
        <w:noBreakHyphen/>
      </w:r>
      <w:r>
        <w:rPr>
          <w:rFonts w:ascii="Open Sans" w:hAnsi="Open Sans" w:cs="Open Sans"/>
        </w:rPr>
        <w:t xml:space="preserve">based programs that are inclusive and engaging. </w:t>
      </w:r>
    </w:p>
    <w:bookmarkEnd w:id="7"/>
    <w:p w14:paraId="06E54F8F" w14:textId="77777777" w:rsidR="00913686" w:rsidRPr="00620C16" w:rsidRDefault="00913686" w:rsidP="00631CE8">
      <w:pPr>
        <w:pStyle w:val="Heading4"/>
        <w:keepNext/>
        <w:rPr>
          <w:rFonts w:ascii="Open Sans" w:hAnsi="Open Sans" w:cs="Open Sans"/>
        </w:rPr>
      </w:pPr>
      <w:r w:rsidRPr="00620C16">
        <w:rPr>
          <w:rFonts w:ascii="Open Sans" w:hAnsi="Open Sans" w:cs="Open Sans"/>
        </w:rPr>
        <w:t>Better outcomes for First Nations families, children and young people</w:t>
      </w:r>
    </w:p>
    <w:p w14:paraId="7455D29A" w14:textId="20D7DDDC" w:rsidR="00B43126" w:rsidRDefault="00B43126" w:rsidP="001521DF">
      <w:pPr>
        <w:rPr>
          <w:rFonts w:ascii="Open Sans" w:hAnsi="Open Sans" w:cs="Open Sans"/>
        </w:rPr>
      </w:pPr>
      <w:r>
        <w:rPr>
          <w:rFonts w:ascii="Open Sans" w:hAnsi="Open Sans" w:cs="Open Sans"/>
        </w:rPr>
        <w:t xml:space="preserve">The discussion paper pointed out that only a small number of services funded under the three programs are currently delivered by Aboriginal </w:t>
      </w:r>
      <w:r w:rsidR="00FE6022">
        <w:rPr>
          <w:rFonts w:ascii="Open Sans" w:hAnsi="Open Sans" w:cs="Open Sans"/>
        </w:rPr>
        <w:t>and</w:t>
      </w:r>
      <w:r>
        <w:rPr>
          <w:rFonts w:ascii="Open Sans" w:hAnsi="Open Sans" w:cs="Open Sans"/>
        </w:rPr>
        <w:t xml:space="preserve"> Torres Strait Islander community-controlled organisations (ACCOs)</w:t>
      </w:r>
      <w:r>
        <w:rPr>
          <w:rStyle w:val="FootnoteReference"/>
          <w:rFonts w:ascii="Open Sans" w:hAnsi="Open Sans" w:cs="Open Sans"/>
        </w:rPr>
        <w:footnoteReference w:id="2"/>
      </w:r>
      <w:r>
        <w:rPr>
          <w:rFonts w:ascii="Open Sans" w:hAnsi="Open Sans" w:cs="Open Sans"/>
        </w:rPr>
        <w:t xml:space="preserve">. Many respondents said this needs to change. </w:t>
      </w:r>
    </w:p>
    <w:p w14:paraId="438B525E" w14:textId="58DE9A38" w:rsidR="00B43126" w:rsidRDefault="00B43126" w:rsidP="001521DF">
      <w:pPr>
        <w:rPr>
          <w:rFonts w:ascii="Open Sans" w:hAnsi="Open Sans" w:cs="Open Sans"/>
        </w:rPr>
      </w:pPr>
      <w:r>
        <w:rPr>
          <w:rFonts w:ascii="Open Sans" w:hAnsi="Open Sans" w:cs="Open Sans"/>
        </w:rPr>
        <w:t>They emphasised the importance of increasing the role of ACCOs to improve outcomes for First</w:t>
      </w:r>
      <w:r w:rsidR="00FE6022">
        <w:rPr>
          <w:rFonts w:ascii="Open Sans" w:hAnsi="Open Sans" w:cs="Open Sans"/>
        </w:rPr>
        <w:t> </w:t>
      </w:r>
      <w:r>
        <w:rPr>
          <w:rFonts w:ascii="Open Sans" w:hAnsi="Open Sans" w:cs="Open Sans"/>
        </w:rPr>
        <w:t>Nations children, young people, and families. This aligns with the government’s commitment to Priority Reform 2: Building the Community Controlled Sector, under the National</w:t>
      </w:r>
      <w:r w:rsidR="00FE6022">
        <w:rPr>
          <w:rFonts w:ascii="Open Sans" w:hAnsi="Open Sans" w:cs="Open Sans"/>
        </w:rPr>
        <w:t> </w:t>
      </w:r>
      <w:r>
        <w:rPr>
          <w:rFonts w:ascii="Open Sans" w:hAnsi="Open Sans" w:cs="Open Sans"/>
        </w:rPr>
        <w:t xml:space="preserve">Agreement on Closing the Gap. Respondents suggested increasing funding for ACCOs to deliver services, transitioning services from mainstream providers to ACCOs, and supporting ACCOs through co-design, training opportunities, and ACCO-led research. </w:t>
      </w:r>
    </w:p>
    <w:p w14:paraId="0B69A802" w14:textId="12037F8E" w:rsidR="00B43126" w:rsidRDefault="00B43126" w:rsidP="001521DF">
      <w:pPr>
        <w:rPr>
          <w:rFonts w:ascii="Open Sans" w:hAnsi="Open Sans" w:cs="Open Sans"/>
        </w:rPr>
      </w:pPr>
      <w:r>
        <w:rPr>
          <w:rFonts w:ascii="Open Sans" w:hAnsi="Open Sans" w:cs="Open Sans"/>
        </w:rPr>
        <w:t xml:space="preserve">They also noted that shifting services to ACCOs may require additional support – such as help to set up new programs and manage changes to staffing and workloads – to ensure a smooth and sustainable transition. </w:t>
      </w:r>
    </w:p>
    <w:p w14:paraId="2D6CA595" w14:textId="520E7A99" w:rsidR="00913686" w:rsidRPr="005E32AF" w:rsidRDefault="00913686" w:rsidP="00B43126">
      <w:pPr>
        <w:pStyle w:val="FaCQuote"/>
        <w:rPr>
          <w:color w:val="007C82" w:themeColor="accent6"/>
        </w:rPr>
      </w:pPr>
      <w:r w:rsidRPr="00620C16">
        <w:rPr>
          <w:color w:val="007C82" w:themeColor="accent6"/>
        </w:rPr>
        <w:t>“</w:t>
      </w:r>
      <w:r w:rsidRPr="00B5258C">
        <w:t>It would be essential to provide co-designed resources for non-Aboriginal organisations to collaborate authentically, ensuring that the cultural burden does not fall solely on ACCOs and First Nations people</w:t>
      </w:r>
      <w:r>
        <w:t>.</w:t>
      </w:r>
      <w:r w:rsidRPr="00B5258C">
        <w:t xml:space="preserve">” – Current service </w:t>
      </w:r>
      <w:r w:rsidR="00B43126">
        <w:t>provider</w:t>
      </w:r>
      <w:r w:rsidRPr="00B5258C">
        <w:t xml:space="preserve"> (SA)</w:t>
      </w:r>
    </w:p>
    <w:p w14:paraId="25E37A06" w14:textId="32255D9E" w:rsidR="00913686" w:rsidRDefault="00B43126" w:rsidP="008A7E5F">
      <w:pPr>
        <w:rPr>
          <w:rFonts w:ascii="Open Sans" w:hAnsi="Open Sans" w:cs="Open Sans"/>
        </w:rPr>
      </w:pPr>
      <w:r w:rsidRPr="2CAEF761">
        <w:rPr>
          <w:rFonts w:ascii="Open Sans" w:hAnsi="Open Sans" w:cs="Open Sans"/>
        </w:rPr>
        <w:t xml:space="preserve">Many submissions </w:t>
      </w:r>
      <w:r w:rsidR="5426894A" w:rsidRPr="2CAEF761">
        <w:rPr>
          <w:rFonts w:ascii="Open Sans" w:hAnsi="Open Sans" w:cs="Open Sans"/>
        </w:rPr>
        <w:t>commented</w:t>
      </w:r>
      <w:r w:rsidRPr="2CAEF761">
        <w:rPr>
          <w:rFonts w:ascii="Open Sans" w:hAnsi="Open Sans" w:cs="Open Sans"/>
        </w:rPr>
        <w:t xml:space="preserve"> that First Nations families often find current services inaccessible or not inclusive. A strong theme across responses was the need for genuine shared decision</w:t>
      </w:r>
      <w:r w:rsidR="00FE6022">
        <w:rPr>
          <w:rFonts w:ascii="Open Sans" w:hAnsi="Open Sans" w:cs="Open Sans"/>
        </w:rPr>
        <w:noBreakHyphen/>
      </w:r>
      <w:r w:rsidRPr="2CAEF761">
        <w:rPr>
          <w:rFonts w:ascii="Open Sans" w:hAnsi="Open Sans" w:cs="Open Sans"/>
        </w:rPr>
        <w:t xml:space="preserve">making – embedding First Nations voices at every stage of the program lifecycle. </w:t>
      </w:r>
      <w:r w:rsidRPr="2CAEF761">
        <w:rPr>
          <w:rFonts w:ascii="Open Sans" w:hAnsi="Open Sans" w:cs="Open Sans"/>
        </w:rPr>
        <w:lastRenderedPageBreak/>
        <w:t>People</w:t>
      </w:r>
      <w:r w:rsidR="00FE6022">
        <w:rPr>
          <w:rFonts w:ascii="Open Sans" w:hAnsi="Open Sans" w:cs="Open Sans"/>
        </w:rPr>
        <w:t> </w:t>
      </w:r>
      <w:r w:rsidRPr="2CAEF761">
        <w:rPr>
          <w:rFonts w:ascii="Open Sans" w:hAnsi="Open Sans" w:cs="Open Sans"/>
        </w:rPr>
        <w:t xml:space="preserve">said this is essential for improving outcomes for First Nations children, young people and families, and for supporting progress on Closing the Gap reforms. </w:t>
      </w:r>
    </w:p>
    <w:p w14:paraId="744FB951" w14:textId="5E853509" w:rsidR="00B43126" w:rsidRDefault="00B43126" w:rsidP="008A7E5F">
      <w:pPr>
        <w:rPr>
          <w:rFonts w:ascii="Open Sans" w:hAnsi="Open Sans" w:cs="Open Sans"/>
        </w:rPr>
      </w:pPr>
      <w:r>
        <w:rPr>
          <w:rFonts w:ascii="Open Sans" w:hAnsi="Open Sans" w:cs="Open Sans"/>
        </w:rPr>
        <w:t xml:space="preserve">Respondents explained that shared decision-making would also help improve accountability, by allowing better scrutiny of how both ACCO and non-ACCO providers are performing. This would make it easier to see whether programs are meeting the needs of First Nations families, and where providers might need extra support. </w:t>
      </w:r>
    </w:p>
    <w:p w14:paraId="0FC426B8" w14:textId="6B1EB491" w:rsidR="00B43126" w:rsidRDefault="00B43126" w:rsidP="008A7E5F">
      <w:pPr>
        <w:rPr>
          <w:rFonts w:ascii="Open Sans" w:hAnsi="Open Sans" w:cs="Open Sans"/>
        </w:rPr>
      </w:pPr>
      <w:r>
        <w:rPr>
          <w:rFonts w:ascii="Open Sans" w:hAnsi="Open Sans" w:cs="Open Sans"/>
        </w:rPr>
        <w:t>To help non-ACCO providers improve, submissions suggested creating more roles</w:t>
      </w:r>
      <w:r w:rsidR="00172117">
        <w:rPr>
          <w:rFonts w:ascii="Open Sans" w:hAnsi="Open Sans" w:cs="Open Sans"/>
        </w:rPr>
        <w:t xml:space="preserve"> </w:t>
      </w:r>
      <w:r>
        <w:rPr>
          <w:rFonts w:ascii="Open Sans" w:hAnsi="Open Sans" w:cs="Open Sans"/>
        </w:rPr>
        <w:t xml:space="preserve">offering cultural competency training and building holistic, wraparound systems that combine targeted programs, strong partnerships and effective referral pathways. </w:t>
      </w:r>
    </w:p>
    <w:p w14:paraId="79426306" w14:textId="18C0D833" w:rsidR="00606F76" w:rsidRDefault="00606F76" w:rsidP="008A7E5F">
      <w:pPr>
        <w:rPr>
          <w:rFonts w:ascii="Open Sans" w:hAnsi="Open Sans" w:cs="Open Sans"/>
        </w:rPr>
      </w:pPr>
      <w:r>
        <w:rPr>
          <w:rFonts w:ascii="Open Sans" w:hAnsi="Open Sans" w:cs="Open Sans"/>
        </w:rPr>
        <w:t xml:space="preserve">While shared decision-making was most strongly recommended for First Nations communities, many respondents also supported using this approach to strengthen outcomes for non-First Nations families. </w:t>
      </w:r>
    </w:p>
    <w:p w14:paraId="2E984E3E" w14:textId="3932DD0B" w:rsidR="00913686" w:rsidRPr="00B5258C" w:rsidRDefault="00913686" w:rsidP="00631CE8">
      <w:pPr>
        <w:pStyle w:val="FaCQuote"/>
        <w:keepNext/>
        <w:keepLines/>
      </w:pPr>
      <w:r w:rsidRPr="00B5258C">
        <w:t>“For Aboriginal and Torres Strait Islander children and families, support services delivered by ACCOs are most effective, as these organisations employ more Aboriginal and Torres Strait Islander staff, are accountable to their local communities and deliver culturally safe services that address families’ holistic needs</w:t>
      </w:r>
      <w:r>
        <w:t>.</w:t>
      </w:r>
      <w:r w:rsidRPr="00B5258C">
        <w:t xml:space="preserve">“ – Peak </w:t>
      </w:r>
      <w:r>
        <w:t>b</w:t>
      </w:r>
      <w:r w:rsidRPr="00B5258C">
        <w:t>ody ACCO (National)</w:t>
      </w:r>
    </w:p>
    <w:p w14:paraId="7228104B" w14:textId="299C5B7A" w:rsidR="00913686" w:rsidRDefault="00913686" w:rsidP="001521DF">
      <w:pPr>
        <w:pStyle w:val="FaCQuote"/>
      </w:pPr>
      <w:r w:rsidRPr="00B5258C">
        <w:t xml:space="preserve">“While all organisations should improve their cultural awareness and culturally trauma-informed understandings, the Aboriginal community needs access to more organisations run by Aboriginal people for Aboriginal people, as this will always provide the highest quality and culturally appropriate service.” – Current service </w:t>
      </w:r>
      <w:r w:rsidR="00606F76">
        <w:t>provider</w:t>
      </w:r>
      <w:r w:rsidRPr="00B5258C">
        <w:t xml:space="preserve"> ACCO</w:t>
      </w:r>
    </w:p>
    <w:p w14:paraId="06060B48" w14:textId="77777777" w:rsidR="00913686" w:rsidRPr="00620C16" w:rsidRDefault="00913686" w:rsidP="00913686">
      <w:pPr>
        <w:pStyle w:val="Heading4"/>
        <w:rPr>
          <w:rFonts w:ascii="Open Sans" w:hAnsi="Open Sans" w:cs="Open Sans"/>
        </w:rPr>
      </w:pPr>
      <w:r w:rsidRPr="00620C16">
        <w:rPr>
          <w:rFonts w:ascii="Open Sans" w:hAnsi="Open Sans" w:cs="Open Sans"/>
        </w:rPr>
        <w:t>Program design driven by evidence and the voices of families, children and young people</w:t>
      </w:r>
    </w:p>
    <w:p w14:paraId="30EB6A5A" w14:textId="03F16E4C" w:rsidR="00913686" w:rsidRDefault="00606F76" w:rsidP="001521DF">
      <w:pPr>
        <w:rPr>
          <w:rFonts w:ascii="Open Sans" w:hAnsi="Open Sans" w:cs="Open Sans"/>
          <w:bCs/>
          <w:szCs w:val="22"/>
        </w:rPr>
      </w:pPr>
      <w:r>
        <w:rPr>
          <w:rFonts w:ascii="Open Sans" w:hAnsi="Open Sans" w:cs="Open Sans"/>
          <w:bCs/>
          <w:szCs w:val="22"/>
        </w:rPr>
        <w:t xml:space="preserve">Many people said that services should be available to all children and young people aged 0 to 18, and should focus on early intervention and prevention, using approaches that are backed by evidence. </w:t>
      </w:r>
    </w:p>
    <w:p w14:paraId="711F1E38" w14:textId="027FBD43" w:rsidR="00606F76" w:rsidRDefault="00606F76" w:rsidP="001521DF">
      <w:pPr>
        <w:rPr>
          <w:rFonts w:ascii="Open Sans" w:hAnsi="Open Sans" w:cs="Open Sans"/>
          <w:bCs/>
          <w:szCs w:val="22"/>
        </w:rPr>
      </w:pPr>
      <w:r>
        <w:rPr>
          <w:rFonts w:ascii="Open Sans" w:hAnsi="Open Sans" w:cs="Open Sans"/>
          <w:bCs/>
          <w:szCs w:val="22"/>
        </w:rPr>
        <w:t xml:space="preserve">Service providers shared that they’re seeing more clients in crisis or with complex needs, which has made it harder to focus on early support. Despite this, most agreed that prioritising early intervention is essential to help break the cycle of disadvantage. </w:t>
      </w:r>
    </w:p>
    <w:p w14:paraId="18404966" w14:textId="15ADF0E8" w:rsidR="00606F76" w:rsidRDefault="00606F76" w:rsidP="001521DF">
      <w:pPr>
        <w:rPr>
          <w:rFonts w:ascii="Open Sans" w:hAnsi="Open Sans" w:cs="Open Sans"/>
        </w:rPr>
      </w:pPr>
      <w:r>
        <w:rPr>
          <w:rFonts w:ascii="Open Sans" w:hAnsi="Open Sans" w:cs="Open Sans"/>
          <w:bCs/>
          <w:szCs w:val="22"/>
        </w:rPr>
        <w:t xml:space="preserve">To make this happen, respondents suggested removing barriers that prevent different community members from accessing services, promoting programs more widely, and improving referral pathways so families who need more intensive support can get it quickly and easily. </w:t>
      </w:r>
    </w:p>
    <w:p w14:paraId="41230D52" w14:textId="20C14A04" w:rsidR="00606F76" w:rsidRDefault="00CA7132" w:rsidP="001521DF">
      <w:pPr>
        <w:rPr>
          <w:rFonts w:ascii="Open Sans" w:hAnsi="Open Sans" w:cs="Open Sans"/>
        </w:rPr>
      </w:pPr>
      <w:r>
        <w:rPr>
          <w:rFonts w:ascii="Open Sans" w:hAnsi="Open Sans" w:cs="Open Sans"/>
        </w:rPr>
        <w:lastRenderedPageBreak/>
        <w:t>R</w:t>
      </w:r>
      <w:r w:rsidR="00913686" w:rsidRPr="00620C16">
        <w:rPr>
          <w:rFonts w:ascii="Open Sans" w:hAnsi="Open Sans" w:cs="Open Sans"/>
        </w:rPr>
        <w:t xml:space="preserve">esponses </w:t>
      </w:r>
      <w:r>
        <w:rPr>
          <w:rFonts w:ascii="Open Sans" w:hAnsi="Open Sans" w:cs="Open Sans"/>
        </w:rPr>
        <w:t xml:space="preserve">also </w:t>
      </w:r>
      <w:r w:rsidR="00913686" w:rsidRPr="00620C16">
        <w:rPr>
          <w:rFonts w:ascii="Open Sans" w:hAnsi="Open Sans" w:cs="Open Sans"/>
        </w:rPr>
        <w:t xml:space="preserve">noted </w:t>
      </w:r>
      <w:r w:rsidR="00572BB7" w:rsidRPr="00572BB7">
        <w:rPr>
          <w:rFonts w:ascii="Open Sans" w:hAnsi="Open Sans" w:cs="Open Sans"/>
        </w:rPr>
        <w:t xml:space="preserve">the value of </w:t>
      </w:r>
      <w:r w:rsidR="00913686" w:rsidRPr="00620C16">
        <w:rPr>
          <w:rFonts w:ascii="Open Sans" w:hAnsi="Open Sans" w:cs="Open Sans"/>
        </w:rPr>
        <w:t>proportionate universalism</w:t>
      </w:r>
      <w:r w:rsidR="00913686" w:rsidRPr="00620C16">
        <w:rPr>
          <w:rStyle w:val="FootnoteReference"/>
          <w:rFonts w:ascii="Open Sans" w:hAnsi="Open Sans" w:cs="Open Sans"/>
        </w:rPr>
        <w:footnoteReference w:id="3"/>
      </w:r>
      <w:r w:rsidR="0030277E">
        <w:rPr>
          <w:rFonts w:ascii="Open Sans" w:hAnsi="Open Sans" w:cs="Open Sans"/>
        </w:rPr>
        <w:t>–</w:t>
      </w:r>
      <w:r w:rsidR="00913686" w:rsidRPr="00620C16">
        <w:rPr>
          <w:rFonts w:ascii="Open Sans" w:hAnsi="Open Sans" w:cs="Open Sans"/>
        </w:rPr>
        <w:t xml:space="preserve"> </w:t>
      </w:r>
      <w:r w:rsidR="00606F76">
        <w:rPr>
          <w:rFonts w:ascii="Open Sans" w:hAnsi="Open Sans" w:cs="Open Sans"/>
        </w:rPr>
        <w:t xml:space="preserve">making services available to everyone, while also ensuring that extra support is provided to families, children and young people who need it most, and at the right time. </w:t>
      </w:r>
    </w:p>
    <w:p w14:paraId="13ACF6EC" w14:textId="67727621" w:rsidR="00913686" w:rsidRPr="00B5258C" w:rsidRDefault="00913686" w:rsidP="001521DF">
      <w:pPr>
        <w:pStyle w:val="FaCQuote"/>
      </w:pPr>
      <w:r w:rsidRPr="00B5258C">
        <w:t>“We believe every community should have access to proportionate universal and evidenced-based services</w:t>
      </w:r>
      <w:r>
        <w:t xml:space="preserve"> </w:t>
      </w:r>
      <w:r w:rsidRPr="00B5258C">
        <w:t xml:space="preserve">…” – Current service </w:t>
      </w:r>
      <w:r w:rsidR="00606F76">
        <w:t xml:space="preserve">provider </w:t>
      </w:r>
      <w:r w:rsidRPr="00B5258C">
        <w:t>(National)</w:t>
      </w:r>
    </w:p>
    <w:p w14:paraId="789B88C8" w14:textId="2EAC88FB" w:rsidR="00606F76" w:rsidRDefault="00913686" w:rsidP="00B609D3">
      <w:pPr>
        <w:keepNext/>
        <w:keepLines/>
        <w:rPr>
          <w:rFonts w:ascii="Open Sans" w:hAnsi="Open Sans" w:cs="Open Sans"/>
        </w:rPr>
      </w:pPr>
      <w:r w:rsidRPr="00620C16">
        <w:rPr>
          <w:rFonts w:ascii="Open Sans" w:hAnsi="Open Sans" w:cs="Open Sans"/>
        </w:rPr>
        <w:t xml:space="preserve">Many responses </w:t>
      </w:r>
      <w:r w:rsidR="00606F76">
        <w:rPr>
          <w:rFonts w:ascii="Open Sans" w:hAnsi="Open Sans" w:cs="Open Sans"/>
        </w:rPr>
        <w:t xml:space="preserve">pointed out that current programs don’t always meet the unique needs of different communities. People stressed how important it is to include the voices of families, children, and young people in both the design and delivery of services. </w:t>
      </w:r>
    </w:p>
    <w:p w14:paraId="76760BA9" w14:textId="29686F76" w:rsidR="00606F76" w:rsidRDefault="00606F76" w:rsidP="00B609D3">
      <w:pPr>
        <w:keepNext/>
        <w:keepLines/>
        <w:rPr>
          <w:rFonts w:ascii="Open Sans" w:hAnsi="Open Sans" w:cs="Open Sans"/>
        </w:rPr>
      </w:pPr>
      <w:r>
        <w:rPr>
          <w:rFonts w:ascii="Open Sans" w:hAnsi="Open Sans" w:cs="Open Sans"/>
        </w:rPr>
        <w:t>For example, while most programs are meant to support children up to 18 years old, many tend to focus on younger children aged 0 to 5. This creates a gap in support for those aged 6 to 18. To</w:t>
      </w:r>
      <w:r w:rsidR="00FE6022">
        <w:rPr>
          <w:rFonts w:ascii="Open Sans" w:hAnsi="Open Sans" w:cs="Open Sans"/>
        </w:rPr>
        <w:t> </w:t>
      </w:r>
      <w:r>
        <w:rPr>
          <w:rFonts w:ascii="Open Sans" w:hAnsi="Open Sans" w:cs="Open Sans"/>
        </w:rPr>
        <w:t xml:space="preserve">address this, respondents suggested introducing parenting programs tailored to adolescents, offering mental health checks during middle childhood and teenage years, and ensuring services are relevant and accessible for older children and young people. </w:t>
      </w:r>
    </w:p>
    <w:p w14:paraId="2065DF95" w14:textId="3100687D" w:rsidR="00913686" w:rsidRDefault="00913686" w:rsidP="001521DF">
      <w:pPr>
        <w:pStyle w:val="FaCQuote"/>
      </w:pPr>
      <w:r w:rsidRPr="00B5258C">
        <w:t xml:space="preserve">“For many mothers, challenges relating to parenting can arise or escalate as children grow older, … particularly </w:t>
      </w:r>
      <w:r w:rsidRPr="00496358">
        <w:rPr>
          <w:bCs/>
          <w:szCs w:val="22"/>
        </w:rPr>
        <w:t>during</w:t>
      </w:r>
      <w:r w:rsidRPr="00B5258C">
        <w:t xml:space="preserve"> the adolescent period</w:t>
      </w:r>
      <w:r>
        <w:t>.</w:t>
      </w:r>
      <w:r w:rsidRPr="00B5258C">
        <w:t xml:space="preserve">”– Current service </w:t>
      </w:r>
      <w:r w:rsidR="00606F76">
        <w:t>provider</w:t>
      </w:r>
      <w:r w:rsidRPr="00B5258C">
        <w:t xml:space="preserve"> (National)</w:t>
      </w:r>
    </w:p>
    <w:p w14:paraId="34C53D19" w14:textId="5C690DFC" w:rsidR="00913686" w:rsidRPr="00B5258C" w:rsidRDefault="00913686" w:rsidP="001521DF">
      <w:pPr>
        <w:pStyle w:val="FaCQuote"/>
      </w:pPr>
      <w:r w:rsidRPr="00B5258C">
        <w:t xml:space="preserve">“[We recommend] the </w:t>
      </w:r>
      <w:r>
        <w:t>d</w:t>
      </w:r>
      <w:r w:rsidRPr="00B5258C">
        <w:t xml:space="preserve">epartment encourages and funds organisations to </w:t>
      </w:r>
      <w:r w:rsidRPr="003003D4">
        <w:t>develop</w:t>
      </w:r>
      <w:r w:rsidRPr="00B5258C">
        <w:t xml:space="preserve"> programs focussed on parenting of older children and parenting across age ranges to fill a crucial support gap</w:t>
      </w:r>
      <w:r>
        <w:t>.</w:t>
      </w:r>
      <w:r w:rsidRPr="00B5258C">
        <w:t xml:space="preserve">” </w:t>
      </w:r>
      <w:r w:rsidR="001521DF">
        <w:br/>
      </w:r>
      <w:r w:rsidRPr="00B5258C">
        <w:t xml:space="preserve">– Current service </w:t>
      </w:r>
      <w:r w:rsidR="00606F76">
        <w:t>provider</w:t>
      </w:r>
      <w:r w:rsidRPr="00B5258C">
        <w:t xml:space="preserve"> (National)</w:t>
      </w:r>
    </w:p>
    <w:p w14:paraId="7C40BB64" w14:textId="1B2C77A9" w:rsidR="00606F76" w:rsidRDefault="00CA1C59" w:rsidP="001521DF">
      <w:pPr>
        <w:rPr>
          <w:rFonts w:ascii="Open Sans" w:hAnsi="Open Sans" w:cs="Open Sans"/>
        </w:rPr>
      </w:pPr>
      <w:r w:rsidRPr="00CA1C59">
        <w:rPr>
          <w:rFonts w:ascii="Open Sans" w:hAnsi="Open Sans" w:cs="Open Sans"/>
        </w:rPr>
        <w:t xml:space="preserve">Respondents </w:t>
      </w:r>
      <w:r w:rsidR="00606F76">
        <w:rPr>
          <w:rFonts w:ascii="Open Sans" w:hAnsi="Open Sans" w:cs="Open Sans"/>
        </w:rPr>
        <w:t xml:space="preserve">recommended making programs more responsive to community needs by using co-design, adapting services based on local evidence, and updating operational guidelines to allow for greater flexibility. </w:t>
      </w:r>
    </w:p>
    <w:p w14:paraId="13A62BA6" w14:textId="6681F88D" w:rsidR="00606F76" w:rsidRDefault="00606F76" w:rsidP="001521DF">
      <w:pPr>
        <w:rPr>
          <w:rFonts w:ascii="Open Sans" w:hAnsi="Open Sans" w:cs="Open Sans"/>
        </w:rPr>
      </w:pPr>
      <w:r>
        <w:rPr>
          <w:rFonts w:ascii="Open Sans" w:hAnsi="Open Sans" w:cs="Open Sans"/>
        </w:rPr>
        <w:t xml:space="preserve">They highlighted several key considerations. Programs should be able to respond to local needs and circumstances, with clear actions and outcomes defined from the start. Activities should be clearly linked to the program’s logic to show they are based on evidence. Reporting should include both quantitative and qualitative measures to give a fuller picture of impact. </w:t>
      </w:r>
      <w:r>
        <w:rPr>
          <w:rFonts w:ascii="Open Sans" w:hAnsi="Open Sans" w:cs="Open Sans"/>
        </w:rPr>
        <w:lastRenderedPageBreak/>
        <w:t>Families’</w:t>
      </w:r>
      <w:r w:rsidR="00FE6022">
        <w:rPr>
          <w:rFonts w:ascii="Open Sans" w:hAnsi="Open Sans" w:cs="Open Sans"/>
        </w:rPr>
        <w:t> </w:t>
      </w:r>
      <w:r>
        <w:rPr>
          <w:rFonts w:ascii="Open Sans" w:hAnsi="Open Sans" w:cs="Open Sans"/>
        </w:rPr>
        <w:t xml:space="preserve">feedback should be actively considered in service design, and long-term community outcomes should be tracked, including how programs connect to national wellbeing indicators. </w:t>
      </w:r>
    </w:p>
    <w:p w14:paraId="5CBA7ED5" w14:textId="06C37951" w:rsidR="00913686" w:rsidRDefault="00010938" w:rsidP="00B609D3">
      <w:pPr>
        <w:rPr>
          <w:rFonts w:ascii="Open Sans" w:hAnsi="Open Sans" w:cs="Open Sans"/>
        </w:rPr>
      </w:pPr>
      <w:r>
        <w:rPr>
          <w:rFonts w:ascii="Open Sans" w:hAnsi="Open Sans" w:cs="Open Sans"/>
        </w:rPr>
        <w:t>To strengthen program outcomes, some respondents recommended aligning changes with existing national frameworks and strategies – such as the</w:t>
      </w:r>
      <w:r w:rsidR="00913686" w:rsidRPr="00620C16">
        <w:rPr>
          <w:rFonts w:ascii="Open Sans" w:hAnsi="Open Sans" w:cs="Open Sans"/>
        </w:rPr>
        <w:t xml:space="preserve"> </w:t>
      </w:r>
      <w:r w:rsidR="00913686" w:rsidRPr="00FE3B52">
        <w:rPr>
          <w:rFonts w:ascii="Open Sans" w:hAnsi="Open Sans" w:cs="Open Sans"/>
          <w:i/>
          <w:iCs/>
        </w:rPr>
        <w:t>Early Years Strategy 2024-2034</w:t>
      </w:r>
      <w:r w:rsidR="00913686" w:rsidRPr="00620C16">
        <w:rPr>
          <w:rFonts w:ascii="Open Sans" w:hAnsi="Open Sans" w:cs="Open Sans"/>
        </w:rPr>
        <w:t xml:space="preserve">, the </w:t>
      </w:r>
      <w:r w:rsidR="00913686" w:rsidRPr="00FE3B52">
        <w:rPr>
          <w:rFonts w:ascii="Open Sans" w:hAnsi="Open Sans" w:cs="Open Sans"/>
          <w:i/>
          <w:iCs/>
        </w:rPr>
        <w:t>National Plan to End Violence Against Women and Children 2022-2032</w:t>
      </w:r>
      <w:r w:rsidR="00913686" w:rsidRPr="00620C16">
        <w:rPr>
          <w:rFonts w:ascii="Open Sans" w:hAnsi="Open Sans" w:cs="Open Sans"/>
        </w:rPr>
        <w:t>, an</w:t>
      </w:r>
      <w:r w:rsidR="003A6CAB">
        <w:rPr>
          <w:rFonts w:ascii="Open Sans" w:hAnsi="Open Sans" w:cs="Open Sans"/>
        </w:rPr>
        <w:t>d </w:t>
      </w:r>
      <w:r w:rsidR="00913686" w:rsidRPr="00FE3B52">
        <w:rPr>
          <w:rFonts w:ascii="Open Sans" w:hAnsi="Open Sans" w:cs="Open Sans"/>
          <w:i/>
          <w:iCs/>
        </w:rPr>
        <w:t>Safe and Supported: the National Framework for Protecting Australia’s Children 2021</w:t>
      </w:r>
      <w:r w:rsidR="00913686">
        <w:rPr>
          <w:rFonts w:ascii="Open Sans" w:hAnsi="Open Sans" w:cs="Open Sans"/>
          <w:i/>
          <w:iCs/>
        </w:rPr>
        <w:noBreakHyphen/>
      </w:r>
      <w:r w:rsidR="00913686" w:rsidRPr="00FE3B52">
        <w:rPr>
          <w:rFonts w:ascii="Open Sans" w:hAnsi="Open Sans" w:cs="Open Sans"/>
          <w:i/>
          <w:iCs/>
        </w:rPr>
        <w:t>2031</w:t>
      </w:r>
      <w:r w:rsidR="00913686" w:rsidRPr="00620C16">
        <w:rPr>
          <w:rFonts w:ascii="Open Sans" w:hAnsi="Open Sans" w:cs="Open Sans"/>
        </w:rPr>
        <w:t xml:space="preserve">. </w:t>
      </w:r>
      <w:r>
        <w:rPr>
          <w:rFonts w:ascii="Open Sans" w:hAnsi="Open Sans" w:cs="Open Sans"/>
        </w:rPr>
        <w:t>They emphasised the importance of building and maintaining strong, secure relationships – not just between children and their caregivers, but also between families and their broader communities. These connections were seen as essential for supporting healthy child development and creating a</w:t>
      </w:r>
      <w:r w:rsidR="008F74E5">
        <w:rPr>
          <w:rFonts w:ascii="Open Sans" w:hAnsi="Open Sans" w:cs="Open Sans"/>
        </w:rPr>
        <w:t> </w:t>
      </w:r>
      <w:r>
        <w:rPr>
          <w:rFonts w:ascii="Open Sans" w:hAnsi="Open Sans" w:cs="Open Sans"/>
        </w:rPr>
        <w:t xml:space="preserve">strong foundation for wellbeing. </w:t>
      </w:r>
      <w:r w:rsidR="00286F44">
        <w:rPr>
          <w:rFonts w:ascii="Open Sans" w:hAnsi="Open Sans" w:cs="Open Sans"/>
        </w:rPr>
        <w:t xml:space="preserve"> </w:t>
      </w:r>
    </w:p>
    <w:p w14:paraId="79A0A79D" w14:textId="77777777" w:rsidR="00913686" w:rsidRPr="00620C16" w:rsidRDefault="00913686" w:rsidP="00B609D3">
      <w:pPr>
        <w:pStyle w:val="Heading4"/>
        <w:keepNext/>
        <w:keepLines/>
        <w:rPr>
          <w:rFonts w:ascii="Open Sans" w:hAnsi="Open Sans" w:cs="Open Sans"/>
        </w:rPr>
      </w:pPr>
      <w:r w:rsidRPr="00620C16">
        <w:rPr>
          <w:rFonts w:ascii="Open Sans" w:hAnsi="Open Sans" w:cs="Open Sans"/>
        </w:rPr>
        <w:t>Integration and coordination between programs and systems</w:t>
      </w:r>
    </w:p>
    <w:p w14:paraId="5AFCC611" w14:textId="3C535C2C" w:rsidR="003240FD" w:rsidRDefault="00913686" w:rsidP="00B609D3">
      <w:pPr>
        <w:keepNext/>
        <w:keepLines/>
        <w:rPr>
          <w:rFonts w:ascii="Open Sans" w:hAnsi="Open Sans" w:cs="Open Sans"/>
        </w:rPr>
      </w:pPr>
      <w:r w:rsidRPr="00620C16">
        <w:rPr>
          <w:rFonts w:ascii="Open Sans" w:hAnsi="Open Sans" w:cs="Open Sans"/>
        </w:rPr>
        <w:t xml:space="preserve">Most responses </w:t>
      </w:r>
      <w:r w:rsidR="00010938">
        <w:rPr>
          <w:rFonts w:ascii="Open Sans" w:hAnsi="Open Sans" w:cs="Open Sans"/>
        </w:rPr>
        <w:t xml:space="preserve">shared that families often struggle to get the support they need because they have to navigate complex and disconnected systems. To make services easier to access and more effective, many respondents suggested using ‘hub’ models – where multiple services are offered in one place. </w:t>
      </w:r>
    </w:p>
    <w:p w14:paraId="608B6769" w14:textId="3136DAF5" w:rsidR="00010938" w:rsidRDefault="00010938" w:rsidP="00B609D3">
      <w:pPr>
        <w:keepNext/>
        <w:keepLines/>
        <w:rPr>
          <w:rFonts w:ascii="Open Sans" w:hAnsi="Open Sans" w:cs="Open Sans"/>
        </w:rPr>
      </w:pPr>
      <w:r>
        <w:rPr>
          <w:rFonts w:ascii="Open Sans" w:hAnsi="Open Sans" w:cs="Open Sans"/>
        </w:rPr>
        <w:t xml:space="preserve">They explained that building trust takes time, especially for vulnerable families. When that trust is built within an integrated service hub, families can more easily access other supports without having to start over with new providers. These hubs also create opportunities for families to connect with others and build peer networks, which many described as a valuable source of support. </w:t>
      </w:r>
    </w:p>
    <w:p w14:paraId="14B0F87B" w14:textId="09E55C30" w:rsidR="00913686" w:rsidRDefault="00913686" w:rsidP="001521DF">
      <w:pPr>
        <w:pStyle w:val="FaCQuote"/>
      </w:pPr>
      <w:r w:rsidRPr="00B5258C">
        <w:t xml:space="preserve">“A centralised, easily accessible </w:t>
      </w:r>
      <w:r w:rsidRPr="00496358">
        <w:rPr>
          <w:bCs/>
          <w:szCs w:val="22"/>
        </w:rPr>
        <w:t>information</w:t>
      </w:r>
      <w:r w:rsidRPr="00B5258C">
        <w:t xml:space="preserve"> hub is needed to increase awareness and improve navigation of available supports for families</w:t>
      </w:r>
      <w:r>
        <w:t>.</w:t>
      </w:r>
      <w:r w:rsidRPr="00B5258C">
        <w:t xml:space="preserve">” – Current service </w:t>
      </w:r>
      <w:r w:rsidR="00010938">
        <w:t>provider</w:t>
      </w:r>
      <w:r w:rsidRPr="00B5258C">
        <w:t xml:space="preserve"> (NSW)</w:t>
      </w:r>
    </w:p>
    <w:p w14:paraId="67FB5597" w14:textId="5A17C647" w:rsidR="00913686" w:rsidRDefault="00010938" w:rsidP="001521DF">
      <w:pPr>
        <w:rPr>
          <w:rFonts w:ascii="Open Sans" w:hAnsi="Open Sans" w:cs="Open Sans"/>
        </w:rPr>
      </w:pPr>
      <w:r>
        <w:rPr>
          <w:rFonts w:ascii="Open Sans" w:hAnsi="Open Sans" w:cs="Open Sans"/>
        </w:rPr>
        <w:t xml:space="preserve">Many responses acknowledged the broader social and economic pressures families are facing – especially around cost-of-living and housing affordability. These challenges are increasing demand for services and making support needs more complex, which in turn puts extra pressure on service providers. </w:t>
      </w:r>
    </w:p>
    <w:p w14:paraId="74616885" w14:textId="3924588F" w:rsidR="00010938" w:rsidRDefault="00010938" w:rsidP="001521DF">
      <w:pPr>
        <w:rPr>
          <w:rFonts w:ascii="Open Sans" w:hAnsi="Open Sans" w:cs="Open Sans"/>
        </w:rPr>
      </w:pPr>
      <w:r>
        <w:rPr>
          <w:rFonts w:ascii="Open Sans" w:hAnsi="Open Sans" w:cs="Open Sans"/>
        </w:rPr>
        <w:t xml:space="preserve">To help families get the right support, some submissions suggested offering soft referrals to crisis services and other programs outside the Families and Children (FaC) programs. This would ensure families can still access qualified help when needed. More broadly, respondents called for better referral processes and stressed that these should be delivered in a trauma-informed and respectful way. </w:t>
      </w:r>
    </w:p>
    <w:p w14:paraId="300F72A0" w14:textId="4D6C902D" w:rsidR="00913686" w:rsidRPr="00B5258C" w:rsidRDefault="00913686" w:rsidP="001521DF">
      <w:pPr>
        <w:pStyle w:val="FaCQuote"/>
      </w:pPr>
      <w:r w:rsidRPr="00B5258C">
        <w:t>“Integrated service offerings help to overcome the challenge of a disparate hard to navigate service system</w:t>
      </w:r>
      <w:r>
        <w:t>.</w:t>
      </w:r>
      <w:r w:rsidRPr="00B5258C">
        <w:t xml:space="preserve">” – Current </w:t>
      </w:r>
      <w:r w:rsidRPr="003240FD">
        <w:t>service</w:t>
      </w:r>
      <w:r w:rsidRPr="00B5258C">
        <w:t xml:space="preserve"> </w:t>
      </w:r>
      <w:r w:rsidR="00010938">
        <w:t>provider</w:t>
      </w:r>
      <w:r w:rsidRPr="00B5258C">
        <w:t xml:space="preserve"> (NSW)</w:t>
      </w:r>
    </w:p>
    <w:p w14:paraId="1C8E882D" w14:textId="6681141B" w:rsidR="00913686" w:rsidRPr="00B5258C" w:rsidRDefault="00913686" w:rsidP="001521DF">
      <w:pPr>
        <w:pStyle w:val="FaCQuote"/>
        <w:rPr>
          <w:b/>
        </w:rPr>
      </w:pPr>
      <w:r w:rsidRPr="00B5258C">
        <w:lastRenderedPageBreak/>
        <w:t xml:space="preserve">“There needs to be greater referral systems within our local networks and communities to allow families and children to have access to and increased awareness of the services available so that they are able to have choice and control over who they engage </w:t>
      </w:r>
      <w:r w:rsidR="00A30274">
        <w:t>with</w:t>
      </w:r>
      <w:r w:rsidRPr="00B5258C">
        <w:t xml:space="preserve"> and ensure that they are able to seek the most appropriate services to support their needs rather than being isolated due to lack of collaboration between services that exist for the benefit of families and children</w:t>
      </w:r>
      <w:r>
        <w:t>.</w:t>
      </w:r>
      <w:r w:rsidRPr="00B5258C">
        <w:t xml:space="preserve">” </w:t>
      </w:r>
      <w:r w:rsidR="001521DF">
        <w:br/>
      </w:r>
      <w:r w:rsidRPr="00B5258C">
        <w:t xml:space="preserve">– Service </w:t>
      </w:r>
      <w:r w:rsidR="00010938">
        <w:t>provider</w:t>
      </w:r>
      <w:r w:rsidRPr="00B5258C">
        <w:t xml:space="preserve"> (QLD)</w:t>
      </w:r>
    </w:p>
    <w:p w14:paraId="764437EE" w14:textId="77777777" w:rsidR="00913686" w:rsidRPr="00620C16" w:rsidRDefault="00913686" w:rsidP="00913686">
      <w:pPr>
        <w:pStyle w:val="Heading4"/>
        <w:rPr>
          <w:rFonts w:ascii="Open Sans" w:hAnsi="Open Sans" w:cs="Open Sans"/>
        </w:rPr>
      </w:pPr>
      <w:r w:rsidRPr="00620C16">
        <w:rPr>
          <w:rFonts w:ascii="Open Sans" w:hAnsi="Open Sans" w:cs="Open Sans"/>
        </w:rPr>
        <w:t>Improved grant processes, delivery and outcomes</w:t>
      </w:r>
    </w:p>
    <w:p w14:paraId="1C3B537B" w14:textId="145A6025" w:rsidR="00913686" w:rsidRDefault="00010938" w:rsidP="001521DF">
      <w:pPr>
        <w:rPr>
          <w:rFonts w:ascii="Open Sans" w:hAnsi="Open Sans" w:cs="Open Sans"/>
        </w:rPr>
      </w:pPr>
      <w:r>
        <w:rPr>
          <w:rFonts w:ascii="Open Sans" w:hAnsi="Open Sans" w:cs="Open Sans"/>
        </w:rPr>
        <w:t xml:space="preserve">Many responses raised concerns about how grants are currently managed – especially around reporting requirements, which they said take up too much time and resources and make it harder to deliver high-quality services. Respondents recommended simplifying the reporting process to ease the administrative burden on providers. </w:t>
      </w:r>
    </w:p>
    <w:p w14:paraId="7C833064" w14:textId="61302A7C" w:rsidR="00010938" w:rsidRPr="00620C16" w:rsidRDefault="00010938" w:rsidP="001521DF">
      <w:pPr>
        <w:rPr>
          <w:rFonts w:ascii="Open Sans" w:hAnsi="Open Sans" w:cs="Open Sans"/>
        </w:rPr>
      </w:pPr>
      <w:r>
        <w:rPr>
          <w:rFonts w:ascii="Open Sans" w:hAnsi="Open Sans" w:cs="Open Sans"/>
        </w:rPr>
        <w:t xml:space="preserve">There were also concerns about the way client data is collected through the Data Exchange (DEX). Some said the definitions used in DEX are too narrow and can lead to inaccurate reporting of client demographics. Others noted that DEX reflects a Western approach to data, which can be limiting for providers and clients who value other forms of knowledge – such as yarning, which is an important practice in First Nations cultures. </w:t>
      </w:r>
    </w:p>
    <w:p w14:paraId="78F5F3CE" w14:textId="53BB9748" w:rsidR="00913686" w:rsidRPr="00B5258C" w:rsidRDefault="00913686" w:rsidP="001521DF">
      <w:pPr>
        <w:pStyle w:val="FaCQuote"/>
      </w:pPr>
      <w:r w:rsidRPr="00B5258C">
        <w:t xml:space="preserve">“[M]any of our clients do not meet the narrow criteria prescribed by DEX, which defines CALD as being born outside of Australia and having a first language other than English. [The </w:t>
      </w:r>
      <w:r>
        <w:t>d</w:t>
      </w:r>
      <w:r w:rsidRPr="00B5258C">
        <w:t>epartment should broaden the] definition of CALD in DEX (by measuring) cultural and racial marginalisation, which better reflects the lived realities of many people we work with. This shift in measurement could lead to more inclusive program eligibility and data collection practices</w:t>
      </w:r>
      <w:r>
        <w:t>.</w:t>
      </w:r>
      <w:r w:rsidRPr="00B5258C">
        <w:t xml:space="preserve">” </w:t>
      </w:r>
      <w:r w:rsidR="001521DF">
        <w:br/>
      </w:r>
      <w:r w:rsidRPr="00B5258C">
        <w:t xml:space="preserve">– Current service </w:t>
      </w:r>
      <w:r w:rsidR="00010938">
        <w:t>provider</w:t>
      </w:r>
      <w:r w:rsidRPr="00B5258C" w:rsidDel="0029478A">
        <w:t xml:space="preserve"> </w:t>
      </w:r>
      <w:r w:rsidRPr="00B5258C">
        <w:t>(QLD)</w:t>
      </w:r>
    </w:p>
    <w:p w14:paraId="54FA7DA4" w14:textId="23292A71" w:rsidR="00913686" w:rsidRDefault="00010938" w:rsidP="001521DF">
      <w:pPr>
        <w:rPr>
          <w:rFonts w:ascii="Open Sans" w:hAnsi="Open Sans" w:cs="Open Sans"/>
        </w:rPr>
      </w:pPr>
      <w:r>
        <w:rPr>
          <w:rFonts w:ascii="Open Sans" w:hAnsi="Open Sans" w:cs="Open Sans"/>
        </w:rPr>
        <w:t>Some respondents recommended regular program evaluations to ensure families receive the best support. They also called for more flexible grant arrangements, such as allowing services to shift locations based on community needs</w:t>
      </w:r>
      <w:r w:rsidR="00FE6022">
        <w:rPr>
          <w:rFonts w:ascii="Open Sans" w:hAnsi="Open Sans" w:cs="Open Sans"/>
        </w:rPr>
        <w:t>,</w:t>
      </w:r>
      <w:r>
        <w:rPr>
          <w:rFonts w:ascii="Open Sans" w:hAnsi="Open Sans" w:cs="Open Sans"/>
        </w:rPr>
        <w:t xml:space="preserve"> and introducing longer-term funding to give providers more stability. Additional suggestions included broader system reforms like integrated service delivery and whole-of-government approaches to better connect services and respond to families’ needs. </w:t>
      </w:r>
    </w:p>
    <w:p w14:paraId="719BE43C" w14:textId="77777777" w:rsidR="00913686" w:rsidRDefault="00913686" w:rsidP="001521DF">
      <w:pPr>
        <w:pStyle w:val="FaCQuote"/>
      </w:pPr>
      <w:r w:rsidRPr="00B5258C">
        <w:t>“Flexibility regarding time of day, location, and low demand for engagement if a family is overwhelmed</w:t>
      </w:r>
      <w:r>
        <w:t>.</w:t>
      </w:r>
      <w:r w:rsidRPr="00B5258C">
        <w:t xml:space="preserve">” – </w:t>
      </w:r>
      <w:r w:rsidRPr="003240FD">
        <w:t>Individual</w:t>
      </w:r>
      <w:r w:rsidRPr="00B5258C">
        <w:t xml:space="preserve"> respondent (NT)</w:t>
      </w:r>
    </w:p>
    <w:p w14:paraId="57468EB6" w14:textId="3AADD72C" w:rsidR="007473D5" w:rsidRDefault="00913686" w:rsidP="001521DF">
      <w:pPr>
        <w:pStyle w:val="FaCQuote"/>
      </w:pPr>
      <w:r w:rsidRPr="00B5258C">
        <w:t>“We would like to offer greater flexibility in relation to hours of operation, but that kind of flexibility needs to be enabled by funding that supports shift and penalty rates</w:t>
      </w:r>
      <w:r>
        <w:t>.</w:t>
      </w:r>
      <w:r w:rsidRPr="00B5258C">
        <w:t xml:space="preserve">” </w:t>
      </w:r>
      <w:r w:rsidR="001521DF">
        <w:br/>
      </w:r>
      <w:r w:rsidRPr="00B5258C">
        <w:t xml:space="preserve">– Current service </w:t>
      </w:r>
      <w:r w:rsidR="003A7576">
        <w:t>provider</w:t>
      </w:r>
      <w:r w:rsidRPr="00B5258C">
        <w:t xml:space="preserve"> (NSW)</w:t>
      </w:r>
      <w:bookmarkEnd w:id="4"/>
    </w:p>
    <w:p w14:paraId="1D2D33AD" w14:textId="448CAB53" w:rsidR="00913686" w:rsidRPr="00620C16" w:rsidRDefault="00913686" w:rsidP="00913686">
      <w:pPr>
        <w:pStyle w:val="Heading2"/>
        <w:rPr>
          <w:rFonts w:ascii="Open Sans" w:hAnsi="Open Sans" w:cs="Open Sans"/>
        </w:rPr>
      </w:pPr>
      <w:r w:rsidRPr="2CAEF761">
        <w:rPr>
          <w:rFonts w:ascii="Open Sans" w:hAnsi="Open Sans" w:cs="Open Sans"/>
        </w:rPr>
        <w:lastRenderedPageBreak/>
        <w:t>Part 2: Consultation undertaken from 20</w:t>
      </w:r>
      <w:r w:rsidR="1183EA7C" w:rsidRPr="2CAEF761">
        <w:rPr>
          <w:rFonts w:ascii="Open Sans" w:hAnsi="Open Sans" w:cs="Open Sans"/>
        </w:rPr>
        <w:t>22</w:t>
      </w:r>
      <w:r w:rsidRPr="2CAEF761">
        <w:rPr>
          <w:rFonts w:ascii="Open Sans" w:hAnsi="Open Sans" w:cs="Open Sans"/>
        </w:rPr>
        <w:t xml:space="preserve"> to 202</w:t>
      </w:r>
      <w:r w:rsidR="003A7576" w:rsidRPr="2CAEF761">
        <w:rPr>
          <w:rFonts w:ascii="Open Sans" w:hAnsi="Open Sans" w:cs="Open Sans"/>
        </w:rPr>
        <w:t>5</w:t>
      </w:r>
    </w:p>
    <w:p w14:paraId="499AFD59" w14:textId="77777777" w:rsidR="0022734D" w:rsidRPr="00DA16B9" w:rsidRDefault="0022734D" w:rsidP="0022734D">
      <w:pPr>
        <w:pStyle w:val="Heading3"/>
        <w:rPr>
          <w:rFonts w:ascii="Open Sans" w:hAnsi="Open Sans" w:cs="Open Sans"/>
          <w:b/>
          <w:bCs w:val="0"/>
        </w:rPr>
      </w:pPr>
      <w:r w:rsidRPr="00DA16B9">
        <w:rPr>
          <w:rFonts w:ascii="Open Sans" w:hAnsi="Open Sans" w:cs="Open Sans"/>
          <w:b/>
          <w:bCs w:val="0"/>
        </w:rPr>
        <w:t>2025: Productivity Roundtables</w:t>
      </w:r>
    </w:p>
    <w:p w14:paraId="59F62349" w14:textId="31951BF8" w:rsidR="0022734D" w:rsidRPr="00DA16B9" w:rsidRDefault="0022734D" w:rsidP="00AD2C83">
      <w:pPr>
        <w:keepNext/>
        <w:keepLines/>
        <w:rPr>
          <w:rFonts w:ascii="Open Sans" w:hAnsi="Open Sans" w:cs="Open Sans"/>
        </w:rPr>
      </w:pPr>
      <w:r w:rsidRPr="00DA16B9">
        <w:rPr>
          <w:rFonts w:ascii="Open Sans" w:hAnsi="Open Sans" w:cs="Open Sans"/>
        </w:rPr>
        <w:t xml:space="preserve">In August 2025, the Minister for Social Services, the Hon Tanya Plibersek MP, </w:t>
      </w:r>
      <w:r w:rsidR="003A7576">
        <w:rPr>
          <w:rFonts w:ascii="Open Sans" w:hAnsi="Open Sans" w:cs="Open Sans"/>
        </w:rPr>
        <w:t>co-</w:t>
      </w:r>
      <w:r w:rsidRPr="00DA16B9">
        <w:rPr>
          <w:rFonts w:ascii="Open Sans" w:hAnsi="Open Sans" w:cs="Open Sans"/>
        </w:rPr>
        <w:t xml:space="preserve">hosted the </w:t>
      </w:r>
      <w:r w:rsidRPr="00DA16B9">
        <w:rPr>
          <w:rFonts w:ascii="Open Sans" w:hAnsi="Open Sans" w:cs="Open Sans"/>
          <w:i/>
          <w:iCs/>
        </w:rPr>
        <w:t>Boosting Social and Economic Outcomes by Expanding our Focus on Place</w:t>
      </w:r>
      <w:r w:rsidRPr="00DA16B9">
        <w:rPr>
          <w:rFonts w:ascii="Open Sans" w:hAnsi="Open Sans" w:cs="Open Sans"/>
        </w:rPr>
        <w:t xml:space="preserve"> </w:t>
      </w:r>
      <w:r>
        <w:rPr>
          <w:rFonts w:ascii="Open Sans" w:hAnsi="Open Sans" w:cs="Open Sans"/>
        </w:rPr>
        <w:t>r</w:t>
      </w:r>
      <w:r w:rsidRPr="00DA16B9">
        <w:rPr>
          <w:rFonts w:ascii="Open Sans" w:hAnsi="Open Sans" w:cs="Open Sans"/>
        </w:rPr>
        <w:t>oundtable</w:t>
      </w:r>
      <w:r w:rsidR="003A7576">
        <w:rPr>
          <w:rFonts w:ascii="Open Sans" w:hAnsi="Open Sans" w:cs="Open Sans"/>
        </w:rPr>
        <w:t xml:space="preserve"> with the Minister for Early Childhood Education and Youth, Senator the Hon Jess Walsh</w:t>
      </w:r>
      <w:r w:rsidRPr="00DA16B9">
        <w:rPr>
          <w:rFonts w:ascii="Open Sans" w:hAnsi="Open Sans" w:cs="Open Sans"/>
        </w:rPr>
        <w:t>. Minister</w:t>
      </w:r>
      <w:r w:rsidR="00FE6022">
        <w:rPr>
          <w:rFonts w:ascii="Open Sans" w:hAnsi="Open Sans" w:cs="Open Sans"/>
        </w:rPr>
        <w:t> </w:t>
      </w:r>
      <w:r w:rsidRPr="00DA16B9">
        <w:rPr>
          <w:rFonts w:ascii="Open Sans" w:hAnsi="Open Sans" w:cs="Open Sans"/>
        </w:rPr>
        <w:t>Plibersek also co-hosted a</w:t>
      </w:r>
      <w:r w:rsidR="003A7576">
        <w:rPr>
          <w:rFonts w:ascii="Open Sans" w:hAnsi="Open Sans" w:cs="Open Sans"/>
        </w:rPr>
        <w:t>nother</w:t>
      </w:r>
      <w:r w:rsidRPr="00DA16B9">
        <w:rPr>
          <w:rFonts w:ascii="Open Sans" w:hAnsi="Open Sans" w:cs="Open Sans"/>
        </w:rPr>
        <w:t xml:space="preserve"> roundtable with the Assistant Minister for Productivity, Competition, Charities and Treasury, the Hon Dr Andrew Leigh MP on </w:t>
      </w:r>
      <w:r w:rsidRPr="00DA16B9">
        <w:rPr>
          <w:rFonts w:ascii="Open Sans" w:hAnsi="Open Sans" w:cs="Open Sans"/>
          <w:i/>
          <w:iCs/>
        </w:rPr>
        <w:t>Boosting Productivity in the Not-for-Profit sector</w:t>
      </w:r>
      <w:r w:rsidRPr="00DA16B9">
        <w:rPr>
          <w:rFonts w:ascii="Open Sans" w:hAnsi="Open Sans" w:cs="Open Sans"/>
        </w:rPr>
        <w:t xml:space="preserve">. </w:t>
      </w:r>
    </w:p>
    <w:p w14:paraId="52B48D32" w14:textId="760E2A43" w:rsidR="0022734D" w:rsidRPr="00DA16B9" w:rsidRDefault="0022734D" w:rsidP="0022734D">
      <w:pPr>
        <w:rPr>
          <w:rFonts w:ascii="Open Sans" w:hAnsi="Open Sans" w:cs="Open Sans"/>
        </w:rPr>
      </w:pPr>
      <w:r w:rsidRPr="00DA16B9">
        <w:rPr>
          <w:rFonts w:ascii="Open Sans" w:hAnsi="Open Sans" w:cs="Open Sans"/>
        </w:rPr>
        <w:t>These roundtables were an opportunity to hear from a broad range of voices ahead of the larger Economic Reform Roundtable convened by the Treasurer. The Economic Reform Roundtable brought together leaders from the community and civil society to work on making the Australian economy stronger, fairer, more productive and more resilient into the future.</w:t>
      </w:r>
    </w:p>
    <w:p w14:paraId="7399A3A8" w14:textId="77777777" w:rsidR="0022734D" w:rsidRPr="00DA16B9" w:rsidRDefault="0022734D" w:rsidP="0022734D">
      <w:pPr>
        <w:rPr>
          <w:rFonts w:ascii="Open Sans" w:hAnsi="Open Sans" w:cs="Open Sans"/>
        </w:rPr>
      </w:pPr>
      <w:r w:rsidRPr="00DA16B9">
        <w:rPr>
          <w:rFonts w:ascii="Open Sans" w:hAnsi="Open Sans" w:cs="Open Sans"/>
        </w:rPr>
        <w:t>Through these roundtables, we heard:</w:t>
      </w:r>
    </w:p>
    <w:p w14:paraId="1780718F" w14:textId="5991A9C2" w:rsidR="00757705" w:rsidRPr="008F74E5" w:rsidRDefault="00FE6022" w:rsidP="008F74E5">
      <w:pPr>
        <w:pStyle w:val="ListParagraph"/>
        <w:numPr>
          <w:ilvl w:val="0"/>
          <w:numId w:val="16"/>
        </w:numPr>
        <w:spacing w:before="240" w:line="240" w:lineRule="auto"/>
        <w:contextualSpacing w:val="0"/>
        <w:rPr>
          <w:rFonts w:ascii="Open Sans" w:hAnsi="Open Sans" w:cs="Open Sans"/>
        </w:rPr>
      </w:pPr>
      <w:r>
        <w:rPr>
          <w:rFonts w:ascii="Open Sans" w:hAnsi="Open Sans" w:cs="Open Sans"/>
        </w:rPr>
        <w:t>A</w:t>
      </w:r>
      <w:r w:rsidR="0022734D" w:rsidRPr="00DA16B9">
        <w:rPr>
          <w:rFonts w:ascii="Open Sans" w:hAnsi="Open Sans" w:cs="Open Sans"/>
        </w:rPr>
        <w:t>dopting place-based approache</w:t>
      </w:r>
      <w:r w:rsidR="001521DF">
        <w:rPr>
          <w:rFonts w:ascii="Open Sans" w:hAnsi="Open Sans" w:cs="Open Sans"/>
        </w:rPr>
        <w:t>s</w:t>
      </w:r>
      <w:r w:rsidR="0022734D" w:rsidRPr="00DA16B9">
        <w:rPr>
          <w:rFonts w:ascii="Open Sans" w:hAnsi="Open Sans" w:cs="Open Sans"/>
        </w:rPr>
        <w:t xml:space="preserve"> more widely can boost productivity</w:t>
      </w:r>
      <w:r w:rsidR="0028053E">
        <w:rPr>
          <w:rFonts w:ascii="Open Sans" w:hAnsi="Open Sans" w:cs="Open Sans"/>
        </w:rPr>
        <w:t>,</w:t>
      </w:r>
      <w:r w:rsidR="0022734D" w:rsidRPr="00DA16B9">
        <w:rPr>
          <w:rFonts w:ascii="Open Sans" w:hAnsi="Open Sans" w:cs="Open Sans"/>
        </w:rPr>
        <w:t xml:space="preserve"> by making better use of government funding</w:t>
      </w:r>
      <w:r>
        <w:rPr>
          <w:rFonts w:ascii="Open Sans" w:hAnsi="Open Sans" w:cs="Open Sans"/>
        </w:rPr>
        <w:t>.</w:t>
      </w:r>
      <w:r w:rsidR="0022734D" w:rsidRPr="00DA16B9">
        <w:rPr>
          <w:rFonts w:ascii="Open Sans" w:hAnsi="Open Sans" w:cs="Open Sans"/>
        </w:rPr>
        <w:t xml:space="preserve"> </w:t>
      </w:r>
    </w:p>
    <w:p w14:paraId="1CF9C56B" w14:textId="3D239551" w:rsidR="00757705" w:rsidRPr="008F74E5" w:rsidRDefault="00FE6022" w:rsidP="008F74E5">
      <w:pPr>
        <w:pStyle w:val="ListParagraph"/>
        <w:numPr>
          <w:ilvl w:val="0"/>
          <w:numId w:val="16"/>
        </w:numPr>
        <w:spacing w:before="240" w:line="240" w:lineRule="auto"/>
        <w:contextualSpacing w:val="0"/>
        <w:rPr>
          <w:rFonts w:ascii="Open Sans" w:hAnsi="Open Sans" w:cs="Open Sans"/>
        </w:rPr>
      </w:pPr>
      <w:r>
        <w:rPr>
          <w:rFonts w:ascii="Open Sans" w:hAnsi="Open Sans" w:cs="Open Sans"/>
        </w:rPr>
        <w:t>T</w:t>
      </w:r>
      <w:r w:rsidR="0022734D" w:rsidRPr="00DA16B9">
        <w:rPr>
          <w:rFonts w:ascii="Open Sans" w:hAnsi="Open Sans" w:cs="Open Sans"/>
        </w:rPr>
        <w:t xml:space="preserve">o make government investment work better, place-based approaches </w:t>
      </w:r>
      <w:r w:rsidR="0028053E">
        <w:rPr>
          <w:rFonts w:ascii="Open Sans" w:hAnsi="Open Sans" w:cs="Open Sans"/>
        </w:rPr>
        <w:t>need</w:t>
      </w:r>
      <w:r w:rsidR="0028053E" w:rsidRPr="00DA16B9">
        <w:rPr>
          <w:rFonts w:ascii="Open Sans" w:hAnsi="Open Sans" w:cs="Open Sans"/>
        </w:rPr>
        <w:t xml:space="preserve"> </w:t>
      </w:r>
      <w:r w:rsidR="0022734D" w:rsidRPr="00DA16B9">
        <w:rPr>
          <w:rFonts w:ascii="Open Sans" w:hAnsi="Open Sans" w:cs="Open Sans"/>
        </w:rPr>
        <w:t>local and joint decision-making, guided by a locally developed and data-driven plan</w:t>
      </w:r>
      <w:r>
        <w:rPr>
          <w:rFonts w:ascii="Open Sans" w:hAnsi="Open Sans" w:cs="Open Sans"/>
        </w:rPr>
        <w:t>.</w:t>
      </w:r>
    </w:p>
    <w:p w14:paraId="5685BAFA" w14:textId="18B88A3E" w:rsidR="0022734D" w:rsidRPr="00D602C5" w:rsidRDefault="00FE6022" w:rsidP="008F74E5">
      <w:pPr>
        <w:pStyle w:val="ListParagraph"/>
        <w:numPr>
          <w:ilvl w:val="0"/>
          <w:numId w:val="16"/>
        </w:numPr>
        <w:spacing w:before="240" w:line="240" w:lineRule="auto"/>
        <w:contextualSpacing w:val="0"/>
        <w:rPr>
          <w:rFonts w:ascii="Open Sans" w:hAnsi="Open Sans" w:cs="Open Sans"/>
        </w:rPr>
      </w:pPr>
      <w:r>
        <w:rPr>
          <w:rFonts w:ascii="Open Sans" w:hAnsi="Open Sans" w:cs="Open Sans"/>
        </w:rPr>
        <w:t>R</w:t>
      </w:r>
      <w:r w:rsidR="0022734D" w:rsidRPr="00DA16B9">
        <w:rPr>
          <w:rFonts w:ascii="Open Sans" w:hAnsi="Open Sans" w:cs="Open Sans"/>
        </w:rPr>
        <w:t xml:space="preserve">eporting requirements should be simpler, and local data should be shared with communities </w:t>
      </w:r>
      <w:r w:rsidR="0028053E">
        <w:rPr>
          <w:rFonts w:ascii="Open Sans" w:hAnsi="Open Sans" w:cs="Open Sans"/>
        </w:rPr>
        <w:t xml:space="preserve">– </w:t>
      </w:r>
      <w:r w:rsidR="0022734D" w:rsidRPr="00D602C5">
        <w:rPr>
          <w:rFonts w:ascii="Open Sans" w:hAnsi="Open Sans" w:cs="Open Sans"/>
        </w:rPr>
        <w:t>to support decision-making and track progress.</w:t>
      </w:r>
    </w:p>
    <w:p w14:paraId="3109C6B4" w14:textId="77777777" w:rsidR="0022734D" w:rsidRPr="00620C16" w:rsidRDefault="0022734D" w:rsidP="0022734D">
      <w:pPr>
        <w:pStyle w:val="Heading3"/>
        <w:rPr>
          <w:rFonts w:ascii="Open Sans" w:hAnsi="Open Sans" w:cs="Open Sans"/>
          <w:b/>
          <w:bCs w:val="0"/>
        </w:rPr>
      </w:pPr>
      <w:r w:rsidRPr="00620C16">
        <w:rPr>
          <w:rFonts w:ascii="Open Sans" w:hAnsi="Open Sans" w:cs="Open Sans"/>
          <w:b/>
          <w:bCs w:val="0"/>
        </w:rPr>
        <w:t xml:space="preserve">2023: Community Sector Grants Engagement Framework </w:t>
      </w:r>
    </w:p>
    <w:p w14:paraId="5F18AB33" w14:textId="56F99E54" w:rsidR="0022734D" w:rsidRDefault="0022734D" w:rsidP="0022734D">
      <w:pPr>
        <w:rPr>
          <w:rFonts w:ascii="Open Sans" w:hAnsi="Open Sans" w:cs="Open Sans"/>
        </w:rPr>
      </w:pPr>
      <w:r w:rsidRPr="00620C16">
        <w:rPr>
          <w:rFonts w:ascii="Open Sans" w:hAnsi="Open Sans" w:cs="Open Sans"/>
        </w:rPr>
        <w:t xml:space="preserve">In March 2025, the Government released the </w:t>
      </w:r>
      <w:hyperlink r:id="rId20" w:history="1">
        <w:r w:rsidRPr="00620C16">
          <w:rPr>
            <w:rStyle w:val="Hyperlink"/>
            <w:rFonts w:ascii="Open Sans" w:hAnsi="Open Sans" w:cs="Open Sans"/>
          </w:rPr>
          <w:t>Community Sector Grants Engagement Framework</w:t>
        </w:r>
      </w:hyperlink>
      <w:r w:rsidR="001521DF">
        <w:t xml:space="preserve"> </w:t>
      </w:r>
      <w:r w:rsidR="001521DF" w:rsidRPr="00D602C5">
        <w:rPr>
          <w:rFonts w:ascii="Open Sans" w:hAnsi="Open Sans" w:cs="Open Sans"/>
        </w:rPr>
        <w:t>(</w:t>
      </w:r>
      <w:r w:rsidR="00FE6022">
        <w:rPr>
          <w:rFonts w:ascii="Open Sans" w:hAnsi="Open Sans" w:cs="Open Sans"/>
        </w:rPr>
        <w:t>t</w:t>
      </w:r>
      <w:r w:rsidR="001521DF" w:rsidRPr="00D602C5">
        <w:rPr>
          <w:rFonts w:ascii="Open Sans" w:hAnsi="Open Sans" w:cs="Open Sans"/>
        </w:rPr>
        <w:t>he Framework)</w:t>
      </w:r>
      <w:r w:rsidR="00D83B61">
        <w:rPr>
          <w:rFonts w:ascii="Open Sans" w:hAnsi="Open Sans" w:cs="Open Sans"/>
        </w:rPr>
        <w:t xml:space="preserve"> as part of its </w:t>
      </w:r>
      <w:r w:rsidRPr="00620C16">
        <w:rPr>
          <w:rFonts w:ascii="Open Sans" w:hAnsi="Open Sans" w:cs="Open Sans"/>
        </w:rPr>
        <w:t>election commitment to build a stronger, more diverse</w:t>
      </w:r>
      <w:r w:rsidR="00D83B61">
        <w:rPr>
          <w:rFonts w:ascii="Open Sans" w:hAnsi="Open Sans" w:cs="Open Sans"/>
        </w:rPr>
        <w:t>,</w:t>
      </w:r>
      <w:r w:rsidRPr="00620C16">
        <w:rPr>
          <w:rFonts w:ascii="Open Sans" w:hAnsi="Open Sans" w:cs="Open Sans"/>
        </w:rPr>
        <w:t xml:space="preserve"> and independent community sector. </w:t>
      </w:r>
    </w:p>
    <w:p w14:paraId="6656F36F" w14:textId="7E3F0016" w:rsidR="00D83B61" w:rsidRDefault="0022734D" w:rsidP="0022734D">
      <w:pPr>
        <w:rPr>
          <w:rFonts w:ascii="Open Sans" w:hAnsi="Open Sans" w:cs="Open Sans"/>
        </w:rPr>
      </w:pPr>
      <w:r w:rsidRPr="00620C16">
        <w:rPr>
          <w:rFonts w:ascii="Open Sans" w:hAnsi="Open Sans" w:cs="Open Sans"/>
        </w:rPr>
        <w:t xml:space="preserve">The Framework was </w:t>
      </w:r>
      <w:r w:rsidR="00D83B61">
        <w:rPr>
          <w:rFonts w:ascii="Open Sans" w:hAnsi="Open Sans" w:cs="Open Sans"/>
        </w:rPr>
        <w:t>shaped by</w:t>
      </w:r>
      <w:r w:rsidR="001849D5">
        <w:rPr>
          <w:rFonts w:ascii="Open Sans" w:hAnsi="Open Sans" w:cs="Open Sans"/>
        </w:rPr>
        <w:t xml:space="preserve"> a</w:t>
      </w:r>
      <w:r w:rsidR="00D83B61">
        <w:rPr>
          <w:rFonts w:ascii="Open Sans" w:hAnsi="Open Sans" w:cs="Open Sans"/>
        </w:rPr>
        <w:t xml:space="preserve"> </w:t>
      </w:r>
      <w:r w:rsidRPr="00620C16">
        <w:rPr>
          <w:rFonts w:ascii="Open Sans" w:hAnsi="Open Sans" w:cs="Open Sans"/>
        </w:rPr>
        <w:t xml:space="preserve">public consultation process </w:t>
      </w:r>
      <w:r w:rsidR="00D83B61">
        <w:rPr>
          <w:rFonts w:ascii="Open Sans" w:hAnsi="Open Sans" w:cs="Open Sans"/>
        </w:rPr>
        <w:t>led</w:t>
      </w:r>
      <w:r w:rsidRPr="00620C16">
        <w:rPr>
          <w:rFonts w:ascii="Open Sans" w:hAnsi="Open Sans" w:cs="Open Sans"/>
        </w:rPr>
        <w:t xml:space="preserve"> by the </w:t>
      </w:r>
      <w:r>
        <w:rPr>
          <w:rFonts w:ascii="Open Sans" w:hAnsi="Open Sans" w:cs="Open Sans"/>
        </w:rPr>
        <w:t>d</w:t>
      </w:r>
      <w:r w:rsidRPr="00620C16">
        <w:rPr>
          <w:rFonts w:ascii="Open Sans" w:hAnsi="Open Sans" w:cs="Open Sans"/>
        </w:rPr>
        <w:t xml:space="preserve">epartment in late 2023. </w:t>
      </w:r>
      <w:r w:rsidR="00D83B61">
        <w:rPr>
          <w:rFonts w:ascii="Open Sans" w:hAnsi="Open Sans" w:cs="Open Sans"/>
        </w:rPr>
        <w:t>As part of this, t</w:t>
      </w:r>
      <w:r w:rsidRPr="00620C16">
        <w:rPr>
          <w:rFonts w:ascii="Open Sans" w:hAnsi="Open Sans" w:cs="Open Sans"/>
        </w:rPr>
        <w:t xml:space="preserve">he </w:t>
      </w:r>
      <w:r>
        <w:rPr>
          <w:rFonts w:ascii="Open Sans" w:hAnsi="Open Sans" w:cs="Open Sans"/>
        </w:rPr>
        <w:t>d</w:t>
      </w:r>
      <w:r w:rsidRPr="00620C16">
        <w:rPr>
          <w:rFonts w:ascii="Open Sans" w:hAnsi="Open Sans" w:cs="Open Sans"/>
        </w:rPr>
        <w:t xml:space="preserve">epartment released a discussion paper, </w:t>
      </w:r>
      <w:hyperlink r:id="rId21" w:history="1">
        <w:r w:rsidRPr="00620C16">
          <w:rPr>
            <w:rStyle w:val="Hyperlink"/>
            <w:rFonts w:ascii="Open Sans" w:hAnsi="Open Sans" w:cs="Open Sans"/>
            <w:i/>
          </w:rPr>
          <w:t>A stronger, more diverse and independent community sector</w:t>
        </w:r>
      </w:hyperlink>
      <w:r w:rsidRPr="00620C16">
        <w:rPr>
          <w:rFonts w:ascii="Open Sans" w:hAnsi="Open Sans" w:cs="Open Sans"/>
        </w:rPr>
        <w:t xml:space="preserve">, </w:t>
      </w:r>
      <w:r w:rsidR="00D83B61">
        <w:rPr>
          <w:rFonts w:ascii="Open Sans" w:hAnsi="Open Sans" w:cs="Open Sans"/>
        </w:rPr>
        <w:t xml:space="preserve">which </w:t>
      </w:r>
      <w:r>
        <w:rPr>
          <w:rFonts w:ascii="Open Sans" w:hAnsi="Open Sans" w:cs="Open Sans"/>
        </w:rPr>
        <w:t>receiv</w:t>
      </w:r>
      <w:r w:rsidR="00D83B61">
        <w:rPr>
          <w:rFonts w:ascii="Open Sans" w:hAnsi="Open Sans" w:cs="Open Sans"/>
        </w:rPr>
        <w:t>ed</w:t>
      </w:r>
      <w:r w:rsidRPr="00620C16">
        <w:rPr>
          <w:rFonts w:ascii="Open Sans" w:hAnsi="Open Sans" w:cs="Open Sans"/>
        </w:rPr>
        <w:t xml:space="preserve"> 237 </w:t>
      </w:r>
      <w:r>
        <w:rPr>
          <w:rFonts w:ascii="Open Sans" w:hAnsi="Open Sans" w:cs="Open Sans"/>
        </w:rPr>
        <w:t>submissions</w:t>
      </w:r>
      <w:r w:rsidRPr="00620C16">
        <w:rPr>
          <w:rFonts w:ascii="Open Sans" w:hAnsi="Open Sans" w:cs="Open Sans"/>
        </w:rPr>
        <w:t xml:space="preserve">. </w:t>
      </w:r>
      <w:r w:rsidR="00D83B61">
        <w:rPr>
          <w:rFonts w:ascii="Open Sans" w:hAnsi="Open Sans" w:cs="Open Sans"/>
        </w:rPr>
        <w:t xml:space="preserve">These came from a wide range of individuals and organisations, including community sector organisations, peak bodies, intermediaries, research institutions, for-profit providers, and local governments. </w:t>
      </w:r>
    </w:p>
    <w:p w14:paraId="5C5C60A4" w14:textId="77777777" w:rsidR="008F74E5" w:rsidRDefault="008F74E5">
      <w:pPr>
        <w:rPr>
          <w:rFonts w:ascii="Open Sans" w:hAnsi="Open Sans" w:cs="Open Sans"/>
        </w:rPr>
      </w:pPr>
      <w:r>
        <w:rPr>
          <w:rFonts w:ascii="Open Sans" w:hAnsi="Open Sans" w:cs="Open Sans"/>
        </w:rPr>
        <w:br w:type="page"/>
      </w:r>
    </w:p>
    <w:p w14:paraId="51D0ACC2" w14:textId="4FFA9CC0" w:rsidR="00D83B61" w:rsidRDefault="0022734D" w:rsidP="0022734D">
      <w:pPr>
        <w:rPr>
          <w:rFonts w:ascii="Open Sans" w:hAnsi="Open Sans" w:cs="Open Sans"/>
        </w:rPr>
      </w:pPr>
      <w:r w:rsidRPr="2CAEF761">
        <w:rPr>
          <w:rFonts w:ascii="Open Sans" w:hAnsi="Open Sans" w:cs="Open Sans"/>
        </w:rPr>
        <w:lastRenderedPageBreak/>
        <w:t xml:space="preserve">For a summary of </w:t>
      </w:r>
      <w:r w:rsidR="00D83B61" w:rsidRPr="2CAEF761">
        <w:rPr>
          <w:rFonts w:ascii="Open Sans" w:hAnsi="Open Sans" w:cs="Open Sans"/>
        </w:rPr>
        <w:t xml:space="preserve">public consultation that informed the Framework, </w:t>
      </w:r>
      <w:r w:rsidRPr="2CAEF761">
        <w:rPr>
          <w:rFonts w:ascii="Open Sans" w:hAnsi="Open Sans" w:cs="Open Sans"/>
        </w:rPr>
        <w:t xml:space="preserve">see </w:t>
      </w:r>
      <w:hyperlink r:id="rId22">
        <w:r w:rsidRPr="2CAEF761">
          <w:rPr>
            <w:rStyle w:val="Hyperlink"/>
            <w:rFonts w:ascii="Open Sans" w:hAnsi="Open Sans" w:cs="Open Sans"/>
            <w:i/>
            <w:iCs/>
          </w:rPr>
          <w:t>A</w:t>
        </w:r>
        <w:r w:rsidR="001521DF" w:rsidRPr="2CAEF761">
          <w:rPr>
            <w:rStyle w:val="Hyperlink"/>
            <w:rFonts w:ascii="Open Sans" w:hAnsi="Open Sans" w:cs="Open Sans"/>
            <w:i/>
            <w:iCs/>
          </w:rPr>
          <w:t> </w:t>
        </w:r>
        <w:r w:rsidRPr="2CAEF761">
          <w:rPr>
            <w:rStyle w:val="Hyperlink"/>
            <w:rFonts w:ascii="Open Sans" w:hAnsi="Open Sans" w:cs="Open Sans"/>
            <w:i/>
            <w:iCs/>
          </w:rPr>
          <w:t>stronger, more diverse and independent community sector – Consultation summary report</w:t>
        </w:r>
      </w:hyperlink>
      <w:r w:rsidRPr="2CAEF761">
        <w:rPr>
          <w:rFonts w:ascii="Open Sans" w:hAnsi="Open Sans" w:cs="Open Sans"/>
        </w:rPr>
        <w:t xml:space="preserve">. </w:t>
      </w:r>
      <w:r w:rsidR="00D83B61" w:rsidRPr="2CAEF761">
        <w:rPr>
          <w:rFonts w:ascii="Open Sans" w:hAnsi="Open Sans" w:cs="Open Sans"/>
        </w:rPr>
        <w:t>Key issues raised included the need for greater transparency in grant processes, especially around indexation rates and timing of payments. Many respondents called for longer-term grant agreements, with f</w:t>
      </w:r>
      <w:r w:rsidR="2079ADB5" w:rsidRPr="2CAEF761">
        <w:rPr>
          <w:rFonts w:ascii="Open Sans" w:hAnsi="Open Sans" w:cs="Open Sans"/>
        </w:rPr>
        <w:t>iv</w:t>
      </w:r>
      <w:r w:rsidR="00D83B61" w:rsidRPr="2CAEF761">
        <w:rPr>
          <w:rFonts w:ascii="Open Sans" w:hAnsi="Open Sans" w:cs="Open Sans"/>
        </w:rPr>
        <w:t xml:space="preserve">e years being the most common suggestion, though some proposed up to 19 years. There were also calls for more flexible funding arrangements, such as </w:t>
      </w:r>
      <w:r w:rsidR="00E2480F" w:rsidRPr="2CAEF761">
        <w:rPr>
          <w:rFonts w:ascii="Open Sans" w:hAnsi="Open Sans" w:cs="Open Sans"/>
        </w:rPr>
        <w:t xml:space="preserve">allowing funds to be moved across financial years or used in response to emerging needs. Respondents emphasised the importance of focusing on outcomes and impact, rather than just inputs and outputs, and improving data access and sharing. </w:t>
      </w:r>
    </w:p>
    <w:p w14:paraId="27F59AF4" w14:textId="77777777" w:rsidR="0022734D" w:rsidRPr="00620C16" w:rsidRDefault="0022734D" w:rsidP="0022734D">
      <w:pPr>
        <w:pStyle w:val="Heading3"/>
        <w:rPr>
          <w:rFonts w:ascii="Open Sans" w:hAnsi="Open Sans" w:cs="Open Sans"/>
          <w:b/>
          <w:bCs w:val="0"/>
        </w:rPr>
      </w:pPr>
      <w:r w:rsidRPr="00620C16">
        <w:rPr>
          <w:rFonts w:ascii="Open Sans" w:hAnsi="Open Sans" w:cs="Open Sans"/>
          <w:b/>
          <w:bCs w:val="0"/>
        </w:rPr>
        <w:t>2023: Not-for-profit Sector Development Blueprint</w:t>
      </w:r>
    </w:p>
    <w:p w14:paraId="14463E70" w14:textId="2E1972AE" w:rsidR="0022734D" w:rsidRDefault="0022734D" w:rsidP="0022734D">
      <w:pPr>
        <w:rPr>
          <w:rFonts w:ascii="Open Sans" w:hAnsi="Open Sans" w:cs="Open Sans"/>
        </w:rPr>
      </w:pPr>
      <w:r w:rsidRPr="00620C16">
        <w:rPr>
          <w:rFonts w:ascii="Open Sans" w:hAnsi="Open Sans" w:cs="Open Sans"/>
        </w:rPr>
        <w:t xml:space="preserve">In November 2024, the </w:t>
      </w:r>
      <w:r>
        <w:rPr>
          <w:rFonts w:ascii="Open Sans" w:hAnsi="Open Sans" w:cs="Open Sans"/>
        </w:rPr>
        <w:t xml:space="preserve">Australian </w:t>
      </w:r>
      <w:r w:rsidRPr="00620C16">
        <w:rPr>
          <w:rFonts w:ascii="Open Sans" w:hAnsi="Open Sans" w:cs="Open Sans"/>
        </w:rPr>
        <w:t xml:space="preserve">Government delivered the </w:t>
      </w:r>
      <w:hyperlink r:id="rId23" w:history="1">
        <w:r w:rsidRPr="00620C16">
          <w:rPr>
            <w:rStyle w:val="Hyperlink"/>
            <w:rFonts w:ascii="Open Sans" w:hAnsi="Open Sans" w:cs="Open Sans"/>
          </w:rPr>
          <w:t>Not-for-profit Sector Development Blueprint</w:t>
        </w:r>
      </w:hyperlink>
      <w:r w:rsidRPr="00620C16">
        <w:rPr>
          <w:rFonts w:ascii="Open Sans" w:hAnsi="Open Sans" w:cs="Open Sans"/>
        </w:rPr>
        <w:t xml:space="preserve">. </w:t>
      </w:r>
      <w:r w:rsidR="00E2480F">
        <w:rPr>
          <w:rFonts w:ascii="Open Sans" w:hAnsi="Open Sans" w:cs="Open Sans"/>
        </w:rPr>
        <w:t>Developed</w:t>
      </w:r>
      <w:r w:rsidRPr="00620C16">
        <w:rPr>
          <w:rFonts w:ascii="Open Sans" w:hAnsi="Open Sans" w:cs="Open Sans"/>
        </w:rPr>
        <w:t xml:space="preserve"> independently by the Not-for-profit (NFP) Sector</w:t>
      </w:r>
      <w:r w:rsidR="00E2480F">
        <w:rPr>
          <w:rFonts w:ascii="Open Sans" w:hAnsi="Open Sans" w:cs="Open Sans"/>
        </w:rPr>
        <w:t xml:space="preserve"> – through </w:t>
      </w:r>
      <w:r w:rsidRPr="00620C16">
        <w:rPr>
          <w:rFonts w:ascii="Open Sans" w:hAnsi="Open Sans" w:cs="Open Sans"/>
        </w:rPr>
        <w:t xml:space="preserve">the </w:t>
      </w:r>
      <w:hyperlink r:id="rId24" w:history="1">
        <w:r w:rsidRPr="00620C16">
          <w:rPr>
            <w:rStyle w:val="Hyperlink"/>
            <w:rFonts w:ascii="Open Sans" w:hAnsi="Open Sans" w:cs="Open Sans"/>
          </w:rPr>
          <w:t>Blueprint Expert Reference Group</w:t>
        </w:r>
      </w:hyperlink>
      <w:r w:rsidRPr="00620C16">
        <w:rPr>
          <w:rFonts w:ascii="Open Sans" w:hAnsi="Open Sans" w:cs="Open Sans"/>
        </w:rPr>
        <w:t xml:space="preserve"> (BERG)</w:t>
      </w:r>
      <w:r w:rsidR="00E2480F">
        <w:rPr>
          <w:rFonts w:ascii="Open Sans" w:hAnsi="Open Sans" w:cs="Open Sans"/>
        </w:rPr>
        <w:t xml:space="preserve"> </w:t>
      </w:r>
      <w:r w:rsidRPr="00620C16">
        <w:rPr>
          <w:rFonts w:ascii="Open Sans" w:hAnsi="Open Sans" w:cs="Open Sans"/>
        </w:rPr>
        <w:t xml:space="preserve">with support </w:t>
      </w:r>
      <w:r w:rsidR="00E2480F">
        <w:rPr>
          <w:rFonts w:ascii="Open Sans" w:hAnsi="Open Sans" w:cs="Open Sans"/>
        </w:rPr>
        <w:t>from</w:t>
      </w:r>
      <w:r w:rsidRPr="00620C16">
        <w:rPr>
          <w:rFonts w:ascii="Open Sans" w:hAnsi="Open Sans" w:cs="Open Sans"/>
        </w:rPr>
        <w:t xml:space="preserve"> the </w:t>
      </w:r>
      <w:r>
        <w:rPr>
          <w:rFonts w:ascii="Open Sans" w:hAnsi="Open Sans" w:cs="Open Sans"/>
        </w:rPr>
        <w:t>d</w:t>
      </w:r>
      <w:r w:rsidRPr="00620C16">
        <w:rPr>
          <w:rFonts w:ascii="Open Sans" w:hAnsi="Open Sans" w:cs="Open Sans"/>
        </w:rPr>
        <w:t xml:space="preserve">epartment. </w:t>
      </w:r>
      <w:r w:rsidR="00E2480F">
        <w:rPr>
          <w:rFonts w:ascii="Open Sans" w:hAnsi="Open Sans" w:cs="Open Sans"/>
        </w:rPr>
        <w:t xml:space="preserve">It outlines reform options to strengthen social capital and build a vibrant, resilient NFP sector. </w:t>
      </w:r>
      <w:r w:rsidRPr="00620C16">
        <w:rPr>
          <w:rFonts w:ascii="Open Sans" w:hAnsi="Open Sans" w:cs="Open Sans"/>
        </w:rPr>
        <w:t xml:space="preserve"> </w:t>
      </w:r>
    </w:p>
    <w:p w14:paraId="65D60037" w14:textId="06EA88B2" w:rsidR="0022734D" w:rsidRDefault="00E2480F" w:rsidP="0022734D">
      <w:pPr>
        <w:rPr>
          <w:rFonts w:ascii="Open Sans" w:hAnsi="Open Sans" w:cs="Open Sans"/>
        </w:rPr>
      </w:pPr>
      <w:r>
        <w:rPr>
          <w:rFonts w:ascii="Open Sans" w:hAnsi="Open Sans" w:cs="Open Sans"/>
        </w:rPr>
        <w:t>As part of the consultation process,</w:t>
      </w:r>
      <w:r w:rsidR="0022734D">
        <w:rPr>
          <w:rFonts w:ascii="Open Sans" w:hAnsi="Open Sans" w:cs="Open Sans"/>
        </w:rPr>
        <w:t xml:space="preserve"> the BERG released the </w:t>
      </w:r>
      <w:hyperlink r:id="rId25" w:history="1">
        <w:r w:rsidR="0022734D" w:rsidRPr="00395825">
          <w:rPr>
            <w:rStyle w:val="Hyperlink"/>
            <w:rFonts w:ascii="Open Sans" w:hAnsi="Open Sans" w:cs="Open Sans"/>
          </w:rPr>
          <w:t>NFP Sector Development Blueprint Issues Paper</w:t>
        </w:r>
      </w:hyperlink>
      <w:r w:rsidR="0022734D">
        <w:rPr>
          <w:rFonts w:ascii="Open Sans" w:hAnsi="Open Sans" w:cs="Open Sans"/>
        </w:rPr>
        <w:t xml:space="preserve"> for public </w:t>
      </w:r>
      <w:r>
        <w:rPr>
          <w:rFonts w:ascii="Open Sans" w:hAnsi="Open Sans" w:cs="Open Sans"/>
        </w:rPr>
        <w:t>feedback</w:t>
      </w:r>
      <w:r w:rsidR="0022734D">
        <w:rPr>
          <w:rFonts w:ascii="Open Sans" w:hAnsi="Open Sans" w:cs="Open Sans"/>
        </w:rPr>
        <w:t xml:space="preserve">. </w:t>
      </w:r>
      <w:r>
        <w:rPr>
          <w:rFonts w:ascii="Open Sans" w:hAnsi="Open Sans" w:cs="Open Sans"/>
        </w:rPr>
        <w:t xml:space="preserve">A total of 163 written submissions were received. </w:t>
      </w:r>
    </w:p>
    <w:p w14:paraId="5DD31A4A" w14:textId="0645BA57" w:rsidR="0022734D" w:rsidRPr="00620C16" w:rsidRDefault="00E2480F" w:rsidP="0022734D">
      <w:pPr>
        <w:rPr>
          <w:rFonts w:ascii="Open Sans" w:hAnsi="Open Sans" w:cs="Open Sans"/>
        </w:rPr>
      </w:pPr>
      <w:r>
        <w:rPr>
          <w:rFonts w:ascii="Open Sans" w:hAnsi="Open Sans" w:cs="Open Sans"/>
        </w:rPr>
        <w:t xml:space="preserve">Consultation also involved key sector groups, including the </w:t>
      </w:r>
      <w:r w:rsidR="0022734D" w:rsidRPr="00620C16">
        <w:rPr>
          <w:rFonts w:ascii="Open Sans" w:hAnsi="Open Sans" w:cs="Open Sans"/>
        </w:rPr>
        <w:t>Australia</w:t>
      </w:r>
      <w:r>
        <w:rPr>
          <w:rFonts w:ascii="Open Sans" w:hAnsi="Open Sans" w:cs="Open Sans"/>
        </w:rPr>
        <w:t>n</w:t>
      </w:r>
      <w:r w:rsidR="0022734D" w:rsidRPr="00620C16">
        <w:rPr>
          <w:rFonts w:ascii="Open Sans" w:hAnsi="Open Sans" w:cs="Open Sans"/>
        </w:rPr>
        <w:t xml:space="preserve"> Charities and Not</w:t>
      </w:r>
      <w:r w:rsidR="00FE6022">
        <w:rPr>
          <w:rFonts w:ascii="Open Sans" w:hAnsi="Open Sans" w:cs="Open Sans"/>
        </w:rPr>
        <w:noBreakHyphen/>
      </w:r>
      <w:r w:rsidR="0022734D" w:rsidRPr="00620C16">
        <w:rPr>
          <w:rFonts w:ascii="Open Sans" w:hAnsi="Open Sans" w:cs="Open Sans"/>
        </w:rPr>
        <w:t>for</w:t>
      </w:r>
      <w:r w:rsidR="00FE6022">
        <w:rPr>
          <w:rFonts w:ascii="Open Sans" w:hAnsi="Open Sans" w:cs="Open Sans"/>
        </w:rPr>
        <w:noBreakHyphen/>
      </w:r>
      <w:r w:rsidR="0022734D" w:rsidRPr="00620C16">
        <w:rPr>
          <w:rFonts w:ascii="Open Sans" w:hAnsi="Open Sans" w:cs="Open Sans"/>
        </w:rPr>
        <w:t>profits Commission (ACNC) Virtual Adviser and Sector Forum, the Australian Taxation Office (ATO) NFP Stewardship Group, Blueprint</w:t>
      </w:r>
      <w:r>
        <w:rPr>
          <w:rFonts w:ascii="Open Sans" w:hAnsi="Open Sans" w:cs="Open Sans"/>
        </w:rPr>
        <w:t xml:space="preserve"> engagement allies</w:t>
      </w:r>
      <w:r w:rsidR="0022734D" w:rsidRPr="00620C16">
        <w:rPr>
          <w:rFonts w:ascii="Open Sans" w:hAnsi="Open Sans" w:cs="Open Sans"/>
        </w:rPr>
        <w:t>, and the NFP Blueprint Interjurisdictional Committee.</w:t>
      </w:r>
    </w:p>
    <w:p w14:paraId="06A480B2" w14:textId="755DB52B" w:rsidR="0022734D" w:rsidRPr="00620C16" w:rsidRDefault="00124201" w:rsidP="0022734D">
      <w:pPr>
        <w:rPr>
          <w:rFonts w:ascii="Open Sans" w:hAnsi="Open Sans" w:cs="Open Sans"/>
        </w:rPr>
      </w:pPr>
      <w:r w:rsidRPr="00124201">
        <w:rPr>
          <w:rFonts w:ascii="Open Sans" w:hAnsi="Open Sans" w:cs="Open Sans"/>
        </w:rPr>
        <w:t xml:space="preserve">Consultation and engagement processes, </w:t>
      </w:r>
      <w:r w:rsidR="00E2480F">
        <w:rPr>
          <w:rFonts w:ascii="Open Sans" w:hAnsi="Open Sans" w:cs="Open Sans"/>
        </w:rPr>
        <w:t>supported by evidence from previous inquiries, revealed several key areas where the NFP sector needs support and reform</w:t>
      </w:r>
      <w:r w:rsidR="0022734D" w:rsidRPr="00620C16">
        <w:rPr>
          <w:rFonts w:ascii="Open Sans" w:hAnsi="Open Sans" w:cs="Open Sans"/>
        </w:rPr>
        <w:t>:</w:t>
      </w:r>
    </w:p>
    <w:p w14:paraId="7C7CFA64" w14:textId="3C0A5813" w:rsidR="001849D5" w:rsidRPr="008F74E5" w:rsidRDefault="008F74E5" w:rsidP="008F74E5">
      <w:pPr>
        <w:pStyle w:val="ListParagraph"/>
        <w:numPr>
          <w:ilvl w:val="0"/>
          <w:numId w:val="17"/>
        </w:numPr>
        <w:spacing w:before="240" w:line="240" w:lineRule="auto"/>
        <w:contextualSpacing w:val="0"/>
        <w:rPr>
          <w:rFonts w:ascii="Open Sans" w:hAnsi="Open Sans" w:cs="Open Sans"/>
        </w:rPr>
      </w:pPr>
      <w:r>
        <w:rPr>
          <w:rFonts w:ascii="Open Sans" w:hAnsi="Open Sans" w:cs="Open Sans"/>
        </w:rPr>
        <w:t>s</w:t>
      </w:r>
      <w:r w:rsidR="0022734D" w:rsidRPr="00620C16">
        <w:rPr>
          <w:rFonts w:ascii="Open Sans" w:hAnsi="Open Sans" w:cs="Open Sans"/>
        </w:rPr>
        <w:t xml:space="preserve">trengthen relationships between governments and the NFP sector </w:t>
      </w:r>
    </w:p>
    <w:p w14:paraId="258E1BE9" w14:textId="73E19AC7" w:rsidR="001849D5" w:rsidRPr="008F74E5" w:rsidRDefault="0022734D" w:rsidP="008F74E5">
      <w:pPr>
        <w:pStyle w:val="ListParagraph"/>
        <w:numPr>
          <w:ilvl w:val="0"/>
          <w:numId w:val="17"/>
        </w:numPr>
        <w:spacing w:before="240" w:line="240" w:lineRule="auto"/>
        <w:contextualSpacing w:val="0"/>
        <w:rPr>
          <w:rFonts w:ascii="Open Sans" w:hAnsi="Open Sans" w:cs="Open Sans"/>
        </w:rPr>
      </w:pPr>
      <w:r w:rsidRPr="00620C16">
        <w:rPr>
          <w:rFonts w:ascii="Open Sans" w:hAnsi="Open Sans" w:cs="Open Sans"/>
        </w:rPr>
        <w:t>ma</w:t>
      </w:r>
      <w:r w:rsidR="00BB09E3">
        <w:rPr>
          <w:rFonts w:ascii="Open Sans" w:hAnsi="Open Sans" w:cs="Open Sans"/>
        </w:rPr>
        <w:t>ke</w:t>
      </w:r>
      <w:r w:rsidRPr="00620C16">
        <w:rPr>
          <w:rFonts w:ascii="Open Sans" w:hAnsi="Open Sans" w:cs="Open Sans"/>
        </w:rPr>
        <w:t xml:space="preserve"> the NFP sector’s work</w:t>
      </w:r>
      <w:r w:rsidR="00450AF8">
        <w:rPr>
          <w:rFonts w:ascii="Open Sans" w:hAnsi="Open Sans" w:cs="Open Sans"/>
        </w:rPr>
        <w:t xml:space="preserve"> </w:t>
      </w:r>
      <w:r w:rsidRPr="00620C16">
        <w:rPr>
          <w:rFonts w:ascii="Open Sans" w:hAnsi="Open Sans" w:cs="Open Sans"/>
        </w:rPr>
        <w:t xml:space="preserve">more visible </w:t>
      </w:r>
      <w:r w:rsidR="00D602C5">
        <w:rPr>
          <w:rFonts w:ascii="Open Sans" w:hAnsi="Open Sans" w:cs="Open Sans"/>
        </w:rPr>
        <w:t xml:space="preserve">to </w:t>
      </w:r>
      <w:r w:rsidR="00345879">
        <w:rPr>
          <w:rFonts w:ascii="Open Sans" w:hAnsi="Open Sans" w:cs="Open Sans"/>
        </w:rPr>
        <w:t xml:space="preserve">governments and </w:t>
      </w:r>
      <w:r w:rsidRPr="00620C16">
        <w:rPr>
          <w:rFonts w:ascii="Open Sans" w:hAnsi="Open Sans" w:cs="Open Sans"/>
        </w:rPr>
        <w:t xml:space="preserve">the public </w:t>
      </w:r>
    </w:p>
    <w:p w14:paraId="163C0266" w14:textId="4B1825FE" w:rsidR="0022734D" w:rsidRPr="00620C16" w:rsidRDefault="005116AC" w:rsidP="008F74E5">
      <w:pPr>
        <w:pStyle w:val="ListParagraph"/>
        <w:spacing w:before="240" w:line="240" w:lineRule="auto"/>
        <w:contextualSpacing w:val="0"/>
        <w:rPr>
          <w:rFonts w:ascii="Open Sans" w:hAnsi="Open Sans" w:cs="Open Sans"/>
        </w:rPr>
      </w:pPr>
      <w:r>
        <w:rPr>
          <w:rFonts w:ascii="Open Sans" w:hAnsi="Open Sans" w:cs="Open Sans"/>
        </w:rPr>
        <w:t>ensure</w:t>
      </w:r>
      <w:r w:rsidR="0022734D" w:rsidRPr="00620C16">
        <w:rPr>
          <w:rFonts w:ascii="Open Sans" w:hAnsi="Open Sans" w:cs="Open Sans"/>
        </w:rPr>
        <w:t xml:space="preserve"> NFP sector commitment to Aboriginal and Torres Strait Islander</w:t>
      </w:r>
      <w:r w:rsidR="00E2480F">
        <w:rPr>
          <w:rFonts w:ascii="Open Sans" w:hAnsi="Open Sans" w:cs="Open Sans"/>
        </w:rPr>
        <w:t xml:space="preserve"> </w:t>
      </w:r>
      <w:r w:rsidR="0022734D" w:rsidRPr="00620C16">
        <w:rPr>
          <w:rFonts w:ascii="Open Sans" w:hAnsi="Open Sans" w:cs="Open Sans"/>
        </w:rPr>
        <w:t>self</w:t>
      </w:r>
      <w:r w:rsidR="00FE6022">
        <w:rPr>
          <w:rFonts w:ascii="Open Sans" w:hAnsi="Open Sans" w:cs="Open Sans"/>
        </w:rPr>
        <w:noBreakHyphen/>
      </w:r>
      <w:r w:rsidR="0022734D" w:rsidRPr="00620C16">
        <w:rPr>
          <w:rFonts w:ascii="Open Sans" w:hAnsi="Open Sans" w:cs="Open Sans"/>
        </w:rPr>
        <w:t>determination and community control</w:t>
      </w:r>
    </w:p>
    <w:p w14:paraId="1734BA48" w14:textId="78765E1B" w:rsidR="0022734D" w:rsidRPr="00620C16" w:rsidRDefault="0022734D" w:rsidP="008F74E5">
      <w:pPr>
        <w:pStyle w:val="ListParagraph"/>
        <w:numPr>
          <w:ilvl w:val="0"/>
          <w:numId w:val="17"/>
        </w:numPr>
        <w:spacing w:before="240" w:line="240" w:lineRule="auto"/>
        <w:contextualSpacing w:val="0"/>
        <w:rPr>
          <w:rFonts w:ascii="Open Sans" w:hAnsi="Open Sans" w:cs="Open Sans"/>
        </w:rPr>
      </w:pPr>
      <w:r w:rsidRPr="00620C16">
        <w:rPr>
          <w:rFonts w:ascii="Open Sans" w:hAnsi="Open Sans" w:cs="Open Sans"/>
        </w:rPr>
        <w:t>create a more enabling regulatory and legal environment</w:t>
      </w:r>
      <w:r w:rsidR="00E2480F">
        <w:rPr>
          <w:rFonts w:ascii="Open Sans" w:hAnsi="Open Sans" w:cs="Open Sans"/>
        </w:rPr>
        <w:t>. This includes harmonising NFP and industry standards across all levels of government and broadening and simplifying the deductible gift recipient (DGR) system</w:t>
      </w:r>
      <w:r w:rsidRPr="00620C16">
        <w:rPr>
          <w:rFonts w:ascii="Open Sans" w:hAnsi="Open Sans" w:cs="Open Sans"/>
        </w:rPr>
        <w:t xml:space="preserve"> </w:t>
      </w:r>
    </w:p>
    <w:p w14:paraId="5CDB0A9C" w14:textId="70053408" w:rsidR="0022734D" w:rsidRPr="00620C16" w:rsidRDefault="0022734D" w:rsidP="008F74E5">
      <w:pPr>
        <w:pStyle w:val="ListParagraph"/>
        <w:numPr>
          <w:ilvl w:val="0"/>
          <w:numId w:val="17"/>
        </w:numPr>
        <w:spacing w:before="240" w:line="240" w:lineRule="auto"/>
        <w:contextualSpacing w:val="0"/>
        <w:rPr>
          <w:rFonts w:ascii="Open Sans" w:hAnsi="Open Sans" w:cs="Open Sans"/>
        </w:rPr>
      </w:pPr>
      <w:r w:rsidRPr="00620C16">
        <w:rPr>
          <w:rFonts w:ascii="Open Sans" w:hAnsi="Open Sans" w:cs="Open Sans"/>
        </w:rPr>
        <w:t xml:space="preserve">reform funding and procurement </w:t>
      </w:r>
      <w:r w:rsidR="006477F6">
        <w:rPr>
          <w:rFonts w:ascii="Open Sans" w:hAnsi="Open Sans" w:cs="Open Sans"/>
        </w:rPr>
        <w:t>processes</w:t>
      </w:r>
      <w:r w:rsidR="00F36F48">
        <w:rPr>
          <w:rFonts w:ascii="Open Sans" w:hAnsi="Open Sans" w:cs="Open Sans"/>
        </w:rPr>
        <w:t xml:space="preserve"> from the NFP sector</w:t>
      </w:r>
      <w:r w:rsidR="00450AF8">
        <w:rPr>
          <w:rFonts w:ascii="Open Sans" w:hAnsi="Open Sans" w:cs="Open Sans"/>
        </w:rPr>
        <w:t xml:space="preserve"> – </w:t>
      </w:r>
      <w:r w:rsidR="00A7762D" w:rsidRPr="00A7762D">
        <w:rPr>
          <w:rFonts w:ascii="Open Sans" w:hAnsi="Open Sans" w:cs="Open Sans"/>
        </w:rPr>
        <w:t>to provide full funding</w:t>
      </w:r>
      <w:r w:rsidR="00E2480F">
        <w:rPr>
          <w:rFonts w:ascii="Open Sans" w:hAnsi="Open Sans" w:cs="Open Sans"/>
        </w:rPr>
        <w:t xml:space="preserve"> and </w:t>
      </w:r>
      <w:r w:rsidRPr="00620C16">
        <w:rPr>
          <w:rFonts w:ascii="Open Sans" w:hAnsi="Open Sans" w:cs="Open Sans"/>
        </w:rPr>
        <w:t xml:space="preserve">use methods that maximise community </w:t>
      </w:r>
      <w:r w:rsidR="00AE3461">
        <w:rPr>
          <w:rFonts w:ascii="Open Sans" w:hAnsi="Open Sans" w:cs="Open Sans"/>
        </w:rPr>
        <w:t>benefit</w:t>
      </w:r>
      <w:r w:rsidR="00AE3461" w:rsidRPr="00620C16">
        <w:rPr>
          <w:rFonts w:ascii="Open Sans" w:hAnsi="Open Sans" w:cs="Open Sans"/>
        </w:rPr>
        <w:t xml:space="preserve"> </w:t>
      </w:r>
      <w:r w:rsidRPr="00620C16">
        <w:rPr>
          <w:rFonts w:ascii="Open Sans" w:hAnsi="Open Sans" w:cs="Open Sans"/>
        </w:rPr>
        <w:t xml:space="preserve">and support collaboration </w:t>
      </w:r>
    </w:p>
    <w:p w14:paraId="5A32F430" w14:textId="12AA0B6C" w:rsidR="0022734D" w:rsidRPr="00620C16" w:rsidRDefault="0022734D" w:rsidP="008F74E5">
      <w:pPr>
        <w:pStyle w:val="ListParagraph"/>
        <w:numPr>
          <w:ilvl w:val="0"/>
          <w:numId w:val="17"/>
        </w:numPr>
        <w:spacing w:before="240" w:line="240" w:lineRule="auto"/>
        <w:contextualSpacing w:val="0"/>
        <w:rPr>
          <w:rFonts w:ascii="Open Sans" w:hAnsi="Open Sans" w:cs="Open Sans"/>
        </w:rPr>
      </w:pPr>
      <w:r w:rsidRPr="00620C16">
        <w:rPr>
          <w:rFonts w:ascii="Open Sans" w:hAnsi="Open Sans" w:cs="Open Sans"/>
        </w:rPr>
        <w:t xml:space="preserve">invest in the development and wellbeing of the NFP workforce and volunteers </w:t>
      </w:r>
      <w:r w:rsidR="000F5F32">
        <w:rPr>
          <w:rFonts w:ascii="Open Sans" w:hAnsi="Open Sans" w:cs="Open Sans"/>
        </w:rPr>
        <w:br/>
      </w:r>
    </w:p>
    <w:p w14:paraId="6FCEB664" w14:textId="2084F319" w:rsidR="0022734D" w:rsidRPr="00620C16" w:rsidRDefault="003E0C81" w:rsidP="008F74E5">
      <w:pPr>
        <w:pStyle w:val="ListParagraph"/>
        <w:numPr>
          <w:ilvl w:val="0"/>
          <w:numId w:val="17"/>
        </w:numPr>
        <w:spacing w:before="240" w:line="240" w:lineRule="auto"/>
        <w:contextualSpacing w:val="0"/>
        <w:rPr>
          <w:rFonts w:ascii="Open Sans" w:hAnsi="Open Sans" w:cs="Open Sans"/>
        </w:rPr>
      </w:pPr>
      <w:r>
        <w:rPr>
          <w:rFonts w:ascii="Open Sans" w:hAnsi="Open Sans" w:cs="Open Sans"/>
        </w:rPr>
        <w:lastRenderedPageBreak/>
        <w:t>strengthen</w:t>
      </w:r>
      <w:r w:rsidR="0022734D" w:rsidRPr="00620C16">
        <w:rPr>
          <w:rFonts w:ascii="Open Sans" w:hAnsi="Open Sans" w:cs="Open Sans"/>
        </w:rPr>
        <w:t xml:space="preserve"> governance and operations in the NFP sector </w:t>
      </w:r>
      <w:r>
        <w:rPr>
          <w:rFonts w:ascii="Open Sans" w:hAnsi="Open Sans" w:cs="Open Sans"/>
        </w:rPr>
        <w:t>to</w:t>
      </w:r>
      <w:r w:rsidRPr="00620C16">
        <w:rPr>
          <w:rFonts w:ascii="Open Sans" w:hAnsi="Open Sans" w:cs="Open Sans"/>
        </w:rPr>
        <w:t xml:space="preserve"> </w:t>
      </w:r>
      <w:r w:rsidR="0022734D" w:rsidRPr="00620C16">
        <w:rPr>
          <w:rFonts w:ascii="Open Sans" w:hAnsi="Open Sans" w:cs="Open Sans"/>
        </w:rPr>
        <w:t>support divers</w:t>
      </w:r>
      <w:r w:rsidR="005055DF">
        <w:rPr>
          <w:rFonts w:ascii="Open Sans" w:hAnsi="Open Sans" w:cs="Open Sans"/>
        </w:rPr>
        <w:t>e</w:t>
      </w:r>
      <w:r w:rsidR="0022734D" w:rsidRPr="00620C16">
        <w:rPr>
          <w:rFonts w:ascii="Open Sans" w:hAnsi="Open Sans" w:cs="Open Sans"/>
        </w:rPr>
        <w:t xml:space="preserve"> leadership</w:t>
      </w:r>
      <w:r w:rsidR="00F5156F">
        <w:rPr>
          <w:rFonts w:ascii="Open Sans" w:hAnsi="Open Sans" w:cs="Open Sans"/>
        </w:rPr>
        <w:t>,</w:t>
      </w:r>
      <w:r w:rsidR="0022734D" w:rsidRPr="00620C16">
        <w:rPr>
          <w:rFonts w:ascii="Open Sans" w:hAnsi="Open Sans" w:cs="Open Sans"/>
        </w:rPr>
        <w:t xml:space="preserve"> and </w:t>
      </w:r>
      <w:r w:rsidR="00512ECC" w:rsidRPr="00512ECC">
        <w:rPr>
          <w:rFonts w:ascii="Open Sans" w:hAnsi="Open Sans" w:cs="Open Sans"/>
        </w:rPr>
        <w:t>ensure communities and the people organisations represent are central to sector design and decision-making</w:t>
      </w:r>
      <w:r w:rsidR="00512ECC">
        <w:rPr>
          <w:rFonts w:ascii="Open Sans" w:hAnsi="Open Sans" w:cs="Open Sans"/>
        </w:rPr>
        <w:t xml:space="preserve"> </w:t>
      </w:r>
    </w:p>
    <w:p w14:paraId="68381C2D" w14:textId="276EB6CA" w:rsidR="0022734D" w:rsidRPr="00620C16" w:rsidRDefault="0036131C" w:rsidP="008F74E5">
      <w:pPr>
        <w:pStyle w:val="ListParagraph"/>
        <w:numPr>
          <w:ilvl w:val="0"/>
          <w:numId w:val="17"/>
        </w:numPr>
        <w:spacing w:before="240" w:line="240" w:lineRule="auto"/>
        <w:contextualSpacing w:val="0"/>
        <w:rPr>
          <w:rFonts w:ascii="Open Sans" w:hAnsi="Open Sans" w:cs="Open Sans"/>
        </w:rPr>
      </w:pPr>
      <w:r w:rsidRPr="0036131C">
        <w:rPr>
          <w:rFonts w:ascii="Open Sans" w:hAnsi="Open Sans" w:cs="Open Sans"/>
        </w:rPr>
        <w:t>protect the NFP sector’s rights to advocacy</w:t>
      </w:r>
    </w:p>
    <w:p w14:paraId="4B9DE24F" w14:textId="664A6D2B" w:rsidR="0022734D" w:rsidRPr="00620C16" w:rsidRDefault="0022734D" w:rsidP="008F74E5">
      <w:pPr>
        <w:pStyle w:val="ListParagraph"/>
        <w:numPr>
          <w:ilvl w:val="0"/>
          <w:numId w:val="17"/>
        </w:numPr>
        <w:spacing w:before="240" w:line="240" w:lineRule="auto"/>
        <w:contextualSpacing w:val="0"/>
        <w:rPr>
          <w:rFonts w:ascii="Open Sans" w:hAnsi="Open Sans" w:cs="Open Sans"/>
        </w:rPr>
      </w:pPr>
      <w:r w:rsidRPr="00620C16">
        <w:rPr>
          <w:rFonts w:ascii="Open Sans" w:hAnsi="Open Sans" w:cs="Open Sans"/>
        </w:rPr>
        <w:t>rapidly uplift the NFP sector’s digital and data capabilities.</w:t>
      </w:r>
    </w:p>
    <w:p w14:paraId="064CDD4E" w14:textId="77777777" w:rsidR="0022734D" w:rsidRPr="00620C16" w:rsidRDefault="0022734D" w:rsidP="00D602C5">
      <w:pPr>
        <w:pStyle w:val="Heading3"/>
        <w:keepNext/>
        <w:rPr>
          <w:rFonts w:ascii="Open Sans" w:hAnsi="Open Sans" w:cs="Open Sans"/>
          <w:b/>
          <w:bCs w:val="0"/>
        </w:rPr>
      </w:pPr>
      <w:r w:rsidRPr="00620C16">
        <w:rPr>
          <w:rFonts w:ascii="Open Sans" w:hAnsi="Open Sans" w:cs="Open Sans"/>
          <w:b/>
          <w:bCs w:val="0"/>
        </w:rPr>
        <w:t xml:space="preserve">2023: Early Years Strategy </w:t>
      </w:r>
    </w:p>
    <w:p w14:paraId="4DD2A804" w14:textId="58BEA286" w:rsidR="0022734D" w:rsidRDefault="0022734D" w:rsidP="0022734D">
      <w:pPr>
        <w:rPr>
          <w:rFonts w:ascii="Open Sans" w:hAnsi="Open Sans" w:cs="Open Sans"/>
        </w:rPr>
      </w:pPr>
      <w:r w:rsidRPr="00620C16">
        <w:rPr>
          <w:rFonts w:ascii="Open Sans" w:hAnsi="Open Sans" w:cs="Open Sans"/>
        </w:rPr>
        <w:t xml:space="preserve">The Australian Government </w:t>
      </w:r>
      <w:r w:rsidR="004C0881">
        <w:rPr>
          <w:rFonts w:ascii="Open Sans" w:hAnsi="Open Sans" w:cs="Open Sans"/>
        </w:rPr>
        <w:t>undertook a comprehensive</w:t>
      </w:r>
      <w:r w:rsidRPr="00620C16">
        <w:rPr>
          <w:rFonts w:ascii="Open Sans" w:hAnsi="Open Sans" w:cs="Open Sans"/>
        </w:rPr>
        <w:t xml:space="preserve"> </w:t>
      </w:r>
      <w:r w:rsidR="004C0881">
        <w:rPr>
          <w:rFonts w:ascii="Open Sans" w:hAnsi="Open Sans" w:cs="Open Sans"/>
        </w:rPr>
        <w:t xml:space="preserve">seven-month consultation process </w:t>
      </w:r>
      <w:r w:rsidRPr="00620C16">
        <w:rPr>
          <w:rFonts w:ascii="Open Sans" w:hAnsi="Open Sans" w:cs="Open Sans"/>
        </w:rPr>
        <w:t xml:space="preserve">in 2023 to inform </w:t>
      </w:r>
      <w:r w:rsidR="004C0881">
        <w:rPr>
          <w:rFonts w:ascii="Open Sans" w:hAnsi="Open Sans" w:cs="Open Sans"/>
        </w:rPr>
        <w:t xml:space="preserve">the </w:t>
      </w:r>
      <w:r w:rsidRPr="00620C16">
        <w:rPr>
          <w:rFonts w:ascii="Open Sans" w:hAnsi="Open Sans" w:cs="Open Sans"/>
        </w:rPr>
        <w:t xml:space="preserve">development of its </w:t>
      </w:r>
      <w:hyperlink r:id="rId26" w:history="1">
        <w:r w:rsidRPr="00620C16">
          <w:rPr>
            <w:rStyle w:val="Hyperlink"/>
            <w:rFonts w:ascii="Open Sans" w:hAnsi="Open Sans" w:cs="Open Sans"/>
          </w:rPr>
          <w:t>Early Years Strategy</w:t>
        </w:r>
      </w:hyperlink>
      <w:r w:rsidRPr="00620C16">
        <w:rPr>
          <w:rFonts w:ascii="Open Sans" w:hAnsi="Open Sans" w:cs="Open Sans"/>
        </w:rPr>
        <w:t>.</w:t>
      </w:r>
      <w:r>
        <w:rPr>
          <w:rFonts w:ascii="Open Sans" w:hAnsi="Open Sans" w:cs="Open Sans"/>
        </w:rPr>
        <w:t xml:space="preserve"> This included:</w:t>
      </w:r>
    </w:p>
    <w:p w14:paraId="543E637C" w14:textId="7ED2CD16" w:rsidR="00F83149" w:rsidRDefault="0022734D" w:rsidP="008F74E5">
      <w:pPr>
        <w:pStyle w:val="ListParagraph"/>
        <w:numPr>
          <w:ilvl w:val="0"/>
          <w:numId w:val="23"/>
        </w:numPr>
        <w:spacing w:before="240" w:line="240" w:lineRule="auto"/>
        <w:ind w:left="714" w:hanging="357"/>
        <w:contextualSpacing w:val="0"/>
        <w:rPr>
          <w:rFonts w:ascii="Open Sans" w:hAnsi="Open Sans" w:cs="Open Sans"/>
        </w:rPr>
      </w:pPr>
      <w:r w:rsidRPr="00395825">
        <w:rPr>
          <w:rFonts w:ascii="Open Sans" w:hAnsi="Open Sans" w:cs="Open Sans"/>
        </w:rPr>
        <w:t xml:space="preserve">A </w:t>
      </w:r>
      <w:hyperlink r:id="rId27" w:history="1">
        <w:r w:rsidRPr="00395825">
          <w:rPr>
            <w:rStyle w:val="Hyperlink"/>
            <w:rFonts w:ascii="Open Sans" w:hAnsi="Open Sans" w:cs="Open Sans"/>
          </w:rPr>
          <w:t>National Early Years summit</w:t>
        </w:r>
      </w:hyperlink>
      <w:r w:rsidRPr="00395825">
        <w:rPr>
          <w:rFonts w:ascii="Open Sans" w:hAnsi="Open Sans" w:cs="Open Sans"/>
        </w:rPr>
        <w:t xml:space="preserve"> on 17 February 2023, </w:t>
      </w:r>
      <w:r w:rsidR="004C0881">
        <w:rPr>
          <w:rFonts w:ascii="Open Sans" w:hAnsi="Open Sans" w:cs="Open Sans"/>
        </w:rPr>
        <w:t>attended by over 100 delegates.</w:t>
      </w:r>
      <w:r w:rsidRPr="00395825">
        <w:rPr>
          <w:rFonts w:ascii="Open Sans" w:hAnsi="Open Sans" w:cs="Open Sans"/>
        </w:rPr>
        <w:t xml:space="preserve"> </w:t>
      </w:r>
    </w:p>
    <w:p w14:paraId="25848183" w14:textId="7812C664" w:rsidR="0022734D" w:rsidRDefault="0022734D" w:rsidP="008F74E5">
      <w:pPr>
        <w:pStyle w:val="ListParagraph"/>
        <w:numPr>
          <w:ilvl w:val="0"/>
          <w:numId w:val="23"/>
        </w:numPr>
        <w:spacing w:before="240" w:line="240" w:lineRule="auto"/>
        <w:ind w:left="714" w:hanging="357"/>
        <w:contextualSpacing w:val="0"/>
        <w:rPr>
          <w:rFonts w:ascii="Open Sans" w:hAnsi="Open Sans" w:cs="Open Sans"/>
        </w:rPr>
      </w:pPr>
      <w:r w:rsidRPr="00395825">
        <w:rPr>
          <w:rFonts w:ascii="Open Sans" w:hAnsi="Open Sans" w:cs="Open Sans"/>
        </w:rPr>
        <w:t>An online pulse survey</w:t>
      </w:r>
      <w:r w:rsidR="004C0881">
        <w:rPr>
          <w:rFonts w:ascii="Open Sans" w:hAnsi="Open Sans" w:cs="Open Sans"/>
        </w:rPr>
        <w:t>,</w:t>
      </w:r>
      <w:r w:rsidRPr="00395825">
        <w:rPr>
          <w:rFonts w:ascii="Open Sans" w:hAnsi="Open Sans" w:cs="Open Sans"/>
        </w:rPr>
        <w:t xml:space="preserve"> </w:t>
      </w:r>
      <w:r>
        <w:rPr>
          <w:rFonts w:ascii="Open Sans" w:hAnsi="Open Sans" w:cs="Open Sans"/>
        </w:rPr>
        <w:t>which received</w:t>
      </w:r>
      <w:r w:rsidRPr="00395825">
        <w:rPr>
          <w:rFonts w:ascii="Open Sans" w:hAnsi="Open Sans" w:cs="Open Sans"/>
        </w:rPr>
        <w:t xml:space="preserve"> 2,243 responses</w:t>
      </w:r>
      <w:r w:rsidR="000F5F32">
        <w:rPr>
          <w:rFonts w:ascii="Open Sans" w:hAnsi="Open Sans" w:cs="Open Sans"/>
        </w:rPr>
        <w:t>.</w:t>
      </w:r>
    </w:p>
    <w:p w14:paraId="2F7F5878" w14:textId="0351DED8" w:rsidR="00F83149" w:rsidRDefault="0022734D" w:rsidP="008F74E5">
      <w:pPr>
        <w:pStyle w:val="ListParagraph"/>
        <w:numPr>
          <w:ilvl w:val="0"/>
          <w:numId w:val="23"/>
        </w:numPr>
        <w:spacing w:before="240" w:line="240" w:lineRule="auto"/>
        <w:ind w:left="714" w:hanging="357"/>
        <w:contextualSpacing w:val="0"/>
        <w:rPr>
          <w:rFonts w:ascii="Open Sans" w:hAnsi="Open Sans" w:cs="Open Sans"/>
        </w:rPr>
      </w:pPr>
      <w:r>
        <w:rPr>
          <w:rFonts w:ascii="Open Sans" w:hAnsi="Open Sans" w:cs="Open Sans"/>
        </w:rPr>
        <w:t xml:space="preserve">A </w:t>
      </w:r>
      <w:hyperlink r:id="rId28" w:history="1">
        <w:r w:rsidRPr="00395825">
          <w:rPr>
            <w:rStyle w:val="Hyperlink"/>
            <w:rFonts w:ascii="Open Sans" w:hAnsi="Open Sans" w:cs="Open Sans"/>
          </w:rPr>
          <w:t>discussion paper</w:t>
        </w:r>
      </w:hyperlink>
      <w:r w:rsidR="004C0881">
        <w:t>,</w:t>
      </w:r>
      <w:r>
        <w:rPr>
          <w:rFonts w:ascii="Open Sans" w:hAnsi="Open Sans" w:cs="Open Sans"/>
        </w:rPr>
        <w:t xml:space="preserve"> which received</w:t>
      </w:r>
      <w:r w:rsidRPr="00395825">
        <w:rPr>
          <w:rFonts w:ascii="Open Sans" w:hAnsi="Open Sans" w:cs="Open Sans"/>
        </w:rPr>
        <w:t xml:space="preserve"> 352 submissions.</w:t>
      </w:r>
    </w:p>
    <w:p w14:paraId="15A94162" w14:textId="76DEC953" w:rsidR="00E2707B" w:rsidRDefault="0022734D" w:rsidP="008F74E5">
      <w:pPr>
        <w:pStyle w:val="ListParagraph"/>
        <w:numPr>
          <w:ilvl w:val="0"/>
          <w:numId w:val="23"/>
        </w:numPr>
        <w:spacing w:before="240" w:line="240" w:lineRule="auto"/>
        <w:ind w:left="714" w:hanging="357"/>
        <w:contextualSpacing w:val="0"/>
        <w:rPr>
          <w:rFonts w:ascii="Open Sans" w:hAnsi="Open Sans" w:cs="Open Sans"/>
        </w:rPr>
      </w:pPr>
      <w:r w:rsidRPr="00395825">
        <w:rPr>
          <w:rFonts w:ascii="Open Sans" w:hAnsi="Open Sans" w:cs="Open Sans"/>
        </w:rPr>
        <w:t xml:space="preserve">39 roundtables held </w:t>
      </w:r>
      <w:r w:rsidR="004C0881">
        <w:rPr>
          <w:rFonts w:ascii="Open Sans" w:hAnsi="Open Sans" w:cs="Open Sans"/>
        </w:rPr>
        <w:t xml:space="preserve">both </w:t>
      </w:r>
      <w:r w:rsidRPr="00395825">
        <w:rPr>
          <w:rFonts w:ascii="Open Sans" w:hAnsi="Open Sans" w:cs="Open Sans"/>
        </w:rPr>
        <w:t xml:space="preserve">in-person and </w:t>
      </w:r>
      <w:r w:rsidR="00AF778A">
        <w:rPr>
          <w:rFonts w:ascii="Open Sans" w:hAnsi="Open Sans" w:cs="Open Sans"/>
        </w:rPr>
        <w:t>online</w:t>
      </w:r>
      <w:r w:rsidR="00AF778A" w:rsidRPr="00395825">
        <w:rPr>
          <w:rFonts w:ascii="Open Sans" w:hAnsi="Open Sans" w:cs="Open Sans"/>
        </w:rPr>
        <w:t xml:space="preserve"> </w:t>
      </w:r>
      <w:r w:rsidRPr="00395825">
        <w:rPr>
          <w:rFonts w:ascii="Open Sans" w:hAnsi="Open Sans" w:cs="Open Sans"/>
        </w:rPr>
        <w:t xml:space="preserve">across Australia, with </w:t>
      </w:r>
      <w:r w:rsidR="004C0881">
        <w:rPr>
          <w:rFonts w:ascii="Open Sans" w:hAnsi="Open Sans" w:cs="Open Sans"/>
        </w:rPr>
        <w:t>more than</w:t>
      </w:r>
      <w:r w:rsidRPr="00395825">
        <w:rPr>
          <w:rFonts w:ascii="Open Sans" w:hAnsi="Open Sans" w:cs="Open Sans"/>
        </w:rPr>
        <w:t xml:space="preserve"> 750 participants. </w:t>
      </w:r>
    </w:p>
    <w:p w14:paraId="6769532F" w14:textId="66EC6345" w:rsidR="0022734D" w:rsidRPr="00395825" w:rsidRDefault="0022734D" w:rsidP="008F74E5">
      <w:pPr>
        <w:pStyle w:val="ListParagraph"/>
        <w:numPr>
          <w:ilvl w:val="0"/>
          <w:numId w:val="23"/>
        </w:numPr>
        <w:spacing w:before="240" w:line="240" w:lineRule="auto"/>
        <w:ind w:left="714" w:hanging="357"/>
        <w:contextualSpacing w:val="0"/>
        <w:rPr>
          <w:rFonts w:ascii="Open Sans" w:hAnsi="Open Sans" w:cs="Open Sans"/>
        </w:rPr>
      </w:pPr>
      <w:r w:rsidRPr="00395825">
        <w:rPr>
          <w:rFonts w:ascii="Open Sans" w:hAnsi="Open Sans" w:cs="Open Sans"/>
        </w:rPr>
        <w:t>Consultations with children aged 3 to 5 years, with 115 participants.</w:t>
      </w:r>
    </w:p>
    <w:p w14:paraId="4EA90EAF" w14:textId="51D747E4" w:rsidR="0022734D" w:rsidRPr="00620C16" w:rsidRDefault="0022734D" w:rsidP="0022734D">
      <w:pPr>
        <w:spacing w:after="0"/>
        <w:rPr>
          <w:rFonts w:ascii="Open Sans" w:hAnsi="Open Sans" w:cs="Open Sans"/>
        </w:rPr>
      </w:pPr>
      <w:r w:rsidRPr="00620C16">
        <w:rPr>
          <w:rFonts w:ascii="Open Sans" w:hAnsi="Open Sans" w:cs="Open Sans"/>
        </w:rPr>
        <w:t xml:space="preserve">The </w:t>
      </w:r>
      <w:hyperlink r:id="rId29" w:history="1">
        <w:r w:rsidRPr="00620C16">
          <w:rPr>
            <w:rStyle w:val="Hyperlink"/>
            <w:rFonts w:ascii="Open Sans" w:hAnsi="Open Sans" w:cs="Open Sans"/>
          </w:rPr>
          <w:t>Early Years Strategy Consultation Report 2023</w:t>
        </w:r>
      </w:hyperlink>
      <w:r w:rsidRPr="00620C16">
        <w:rPr>
          <w:rFonts w:ascii="Open Sans" w:hAnsi="Open Sans" w:cs="Open Sans"/>
        </w:rPr>
        <w:t xml:space="preserve"> </w:t>
      </w:r>
      <w:r w:rsidR="006108DE" w:rsidRPr="006108DE">
        <w:rPr>
          <w:rFonts w:ascii="Open Sans" w:hAnsi="Open Sans" w:cs="Open Sans"/>
        </w:rPr>
        <w:t xml:space="preserve">summarises </w:t>
      </w:r>
      <w:r w:rsidR="006108DE">
        <w:rPr>
          <w:rFonts w:ascii="Open Sans" w:hAnsi="Open Sans" w:cs="Open Sans"/>
        </w:rPr>
        <w:t xml:space="preserve">stakeholder </w:t>
      </w:r>
      <w:r w:rsidR="006108DE" w:rsidRPr="006108DE">
        <w:rPr>
          <w:rFonts w:ascii="Open Sans" w:hAnsi="Open Sans" w:cs="Open Sans"/>
        </w:rPr>
        <w:t xml:space="preserve">views gathered </w:t>
      </w:r>
      <w:r w:rsidR="004C0881">
        <w:rPr>
          <w:rFonts w:ascii="Open Sans" w:hAnsi="Open Sans" w:cs="Open Sans"/>
        </w:rPr>
        <w:t xml:space="preserve">throughout the consultation process to inform the draft Strategy. </w:t>
      </w:r>
      <w:r w:rsidR="000F5F32">
        <w:rPr>
          <w:rFonts w:ascii="Open Sans" w:hAnsi="Open Sans" w:cs="Open Sans"/>
        </w:rPr>
        <w:t>S</w:t>
      </w:r>
      <w:r w:rsidR="004C0881">
        <w:rPr>
          <w:rFonts w:ascii="Open Sans" w:hAnsi="Open Sans" w:cs="Open Sans"/>
        </w:rPr>
        <w:t>takeholder</w:t>
      </w:r>
      <w:r w:rsidR="000F5F32">
        <w:rPr>
          <w:rFonts w:ascii="Open Sans" w:hAnsi="Open Sans" w:cs="Open Sans"/>
        </w:rPr>
        <w:t>s</w:t>
      </w:r>
      <w:r w:rsidR="004C0881">
        <w:rPr>
          <w:rFonts w:ascii="Open Sans" w:hAnsi="Open Sans" w:cs="Open Sans"/>
        </w:rPr>
        <w:t xml:space="preserve"> emphasised that services should be: </w:t>
      </w:r>
    </w:p>
    <w:p w14:paraId="46A53CE5" w14:textId="5D671968" w:rsidR="0022734D" w:rsidRPr="00620C16"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20C16">
        <w:rPr>
          <w:rFonts w:ascii="Open Sans" w:hAnsi="Open Sans" w:cs="Open Sans"/>
        </w:rPr>
        <w:t>accessible, inclusive and flexible</w:t>
      </w:r>
    </w:p>
    <w:p w14:paraId="4C1DF78E" w14:textId="57468332" w:rsidR="0022734D" w:rsidRPr="00620C16"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20C16">
        <w:rPr>
          <w:rFonts w:ascii="Open Sans" w:hAnsi="Open Sans" w:cs="Open Sans"/>
        </w:rPr>
        <w:t>readily available and easy to access, with minimal gatekeeping and reduced complexity</w:t>
      </w:r>
    </w:p>
    <w:p w14:paraId="34AEDEAC" w14:textId="4723FBE4" w:rsidR="0022734D" w:rsidRPr="00620C16"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20C16">
        <w:rPr>
          <w:rFonts w:ascii="Open Sans" w:hAnsi="Open Sans" w:cs="Open Sans"/>
        </w:rPr>
        <w:t xml:space="preserve">trusted, safe places that welcome children and families no matter their circumstances </w:t>
      </w:r>
    </w:p>
    <w:p w14:paraId="33A14F64" w14:textId="4A8334CA" w:rsidR="0022734D" w:rsidRPr="00620C16"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20C16">
        <w:rPr>
          <w:rFonts w:ascii="Open Sans" w:hAnsi="Open Sans" w:cs="Open Sans"/>
        </w:rPr>
        <w:t>responsive to local and family/child priorities, circumstances and characteristics</w:t>
      </w:r>
    </w:p>
    <w:p w14:paraId="4E6F802D" w14:textId="268D16DB" w:rsidR="0022734D" w:rsidRPr="00620C16"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20C16">
        <w:rPr>
          <w:rFonts w:ascii="Open Sans" w:hAnsi="Open Sans" w:cs="Open Sans"/>
        </w:rPr>
        <w:t>universal but not uniform</w:t>
      </w:r>
    </w:p>
    <w:p w14:paraId="70474F91" w14:textId="0DB29180" w:rsidR="009D4858"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51C2C">
        <w:rPr>
          <w:rFonts w:ascii="Open Sans" w:hAnsi="Open Sans" w:cs="Open Sans"/>
        </w:rPr>
        <w:t xml:space="preserve">evidence-based and outcomes-focused </w:t>
      </w:r>
    </w:p>
    <w:p w14:paraId="269517D0" w14:textId="168488FC" w:rsidR="0022734D"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51C2C">
        <w:rPr>
          <w:rFonts w:ascii="Open Sans" w:hAnsi="Open Sans" w:cs="Open Sans"/>
        </w:rPr>
        <w:t xml:space="preserve">investment </w:t>
      </w:r>
      <w:r w:rsidR="00B609D3">
        <w:rPr>
          <w:rFonts w:ascii="Open Sans" w:hAnsi="Open Sans" w:cs="Open Sans"/>
        </w:rPr>
        <w:t xml:space="preserve">should be </w:t>
      </w:r>
      <w:r w:rsidRPr="00651C2C">
        <w:rPr>
          <w:rFonts w:ascii="Open Sans" w:hAnsi="Open Sans" w:cs="Open Sans"/>
        </w:rPr>
        <w:t>prevention-focused</w:t>
      </w:r>
    </w:p>
    <w:p w14:paraId="082FE91D" w14:textId="77777777" w:rsidR="0022734D" w:rsidRPr="00620C16" w:rsidRDefault="0022734D" w:rsidP="008F74E5">
      <w:pPr>
        <w:pStyle w:val="ListParagraph"/>
        <w:numPr>
          <w:ilvl w:val="0"/>
          <w:numId w:val="19"/>
        </w:numPr>
        <w:spacing w:before="240" w:line="240" w:lineRule="auto"/>
        <w:ind w:left="714" w:hanging="357"/>
        <w:contextualSpacing w:val="0"/>
        <w:rPr>
          <w:rFonts w:ascii="Open Sans" w:hAnsi="Open Sans" w:cs="Open Sans"/>
        </w:rPr>
      </w:pPr>
      <w:r w:rsidRPr="00620C16">
        <w:rPr>
          <w:rFonts w:ascii="Open Sans" w:hAnsi="Open Sans" w:cs="Open Sans"/>
        </w:rPr>
        <w:t>accountable and adaptive.</w:t>
      </w:r>
    </w:p>
    <w:p w14:paraId="75861C71" w14:textId="60A3848B" w:rsidR="00D602C5" w:rsidRDefault="00CF6FF2" w:rsidP="0022734D">
      <w:pPr>
        <w:rPr>
          <w:rFonts w:ascii="Open Sans" w:hAnsi="Open Sans" w:cs="Open Sans"/>
        </w:rPr>
      </w:pPr>
      <w:r w:rsidRPr="00CF6FF2">
        <w:rPr>
          <w:rFonts w:ascii="Open Sans" w:hAnsi="Open Sans" w:cs="Open Sans"/>
        </w:rPr>
        <w:t xml:space="preserve">Stakeholders </w:t>
      </w:r>
      <w:r w:rsidR="004C0881">
        <w:rPr>
          <w:rFonts w:ascii="Open Sans" w:hAnsi="Open Sans" w:cs="Open Sans"/>
        </w:rPr>
        <w:t>also stressed the importance of policy and services being responsive to local context</w:t>
      </w:r>
      <w:r w:rsidR="0000262A">
        <w:rPr>
          <w:rFonts w:ascii="Open Sans" w:hAnsi="Open Sans" w:cs="Open Sans"/>
        </w:rPr>
        <w:t>s</w:t>
      </w:r>
      <w:r w:rsidR="004C0881">
        <w:rPr>
          <w:rFonts w:ascii="Open Sans" w:hAnsi="Open Sans" w:cs="Open Sans"/>
        </w:rPr>
        <w:t xml:space="preserve">. They recommended that services be Aboriginal and Torres Strait Islander controlled or led wherever possible, grounded in cultural knowledge, and designed in active partnership with Aboriginal and Torres Strait Islander children, families and communities. Flexible funding models were also suggested to support community self-determination. </w:t>
      </w:r>
    </w:p>
    <w:p w14:paraId="20EEDE42" w14:textId="77777777" w:rsidR="00AD2C83" w:rsidRDefault="0022734D" w:rsidP="00AD2C83">
      <w:pPr>
        <w:pStyle w:val="Heading3"/>
        <w:keepNext/>
        <w:rPr>
          <w:rFonts w:ascii="Open Sans" w:hAnsi="Open Sans" w:cs="Open Sans"/>
          <w:b/>
        </w:rPr>
      </w:pPr>
      <w:r w:rsidRPr="00D602C5">
        <w:rPr>
          <w:rFonts w:ascii="Open Sans" w:hAnsi="Open Sans" w:cs="Open Sans"/>
          <w:b/>
        </w:rPr>
        <w:lastRenderedPageBreak/>
        <w:t>202</w:t>
      </w:r>
      <w:r w:rsidR="00B609D3">
        <w:rPr>
          <w:rFonts w:ascii="Open Sans" w:hAnsi="Open Sans" w:cs="Open Sans"/>
          <w:b/>
        </w:rPr>
        <w:t>2</w:t>
      </w:r>
      <w:r w:rsidRPr="00D602C5">
        <w:rPr>
          <w:rFonts w:ascii="Open Sans" w:hAnsi="Open Sans" w:cs="Open Sans"/>
          <w:b/>
        </w:rPr>
        <w:t>–</w:t>
      </w:r>
      <w:r w:rsidRPr="00AD2C83">
        <w:rPr>
          <w:rFonts w:ascii="Open Sans" w:hAnsi="Open Sans" w:cs="Open Sans"/>
          <w:b/>
          <w:bCs w:val="0"/>
        </w:rPr>
        <w:t>2024</w:t>
      </w:r>
      <w:r w:rsidRPr="00D602C5">
        <w:rPr>
          <w:rFonts w:ascii="Open Sans" w:hAnsi="Open Sans" w:cs="Open Sans"/>
          <w:b/>
        </w:rPr>
        <w:t>: Stronger ACCOs, Stronger Families (SASF)</w:t>
      </w:r>
    </w:p>
    <w:p w14:paraId="64BCD18A" w14:textId="3F4617FE" w:rsidR="0022734D" w:rsidRPr="00620C16" w:rsidRDefault="0022734D" w:rsidP="00AD2C83">
      <w:pPr>
        <w:rPr>
          <w:rFonts w:ascii="Open Sans" w:hAnsi="Open Sans" w:cs="Open Sans"/>
          <w:lang w:val="en-US"/>
        </w:rPr>
      </w:pPr>
      <w:r w:rsidRPr="00620C16">
        <w:rPr>
          <w:rFonts w:ascii="Open Sans" w:hAnsi="Open Sans" w:cs="Open Sans"/>
        </w:rPr>
        <w:t xml:space="preserve">The </w:t>
      </w:r>
      <w:r w:rsidR="0084409C" w:rsidRPr="0084409C">
        <w:rPr>
          <w:rFonts w:ascii="Open Sans" w:hAnsi="Open Sans" w:cs="Open Sans"/>
        </w:rPr>
        <w:t xml:space="preserve">department led the </w:t>
      </w:r>
      <w:r w:rsidRPr="00620C16">
        <w:rPr>
          <w:rFonts w:ascii="Open Sans" w:hAnsi="Open Sans" w:cs="Open Sans"/>
        </w:rPr>
        <w:t>Stronger ACCOs, Stronger Families (SASF) initiative as part of</w:t>
      </w:r>
      <w:r w:rsidR="00F83149">
        <w:rPr>
          <w:rFonts w:ascii="Open Sans" w:hAnsi="Open Sans" w:cs="Open Sans"/>
        </w:rPr>
        <w:t> </w:t>
      </w:r>
      <w:r w:rsidRPr="00620C16">
        <w:rPr>
          <w:rFonts w:ascii="Open Sans" w:hAnsi="Open Sans" w:cs="Open Sans"/>
        </w:rPr>
        <w:t>the</w:t>
      </w:r>
      <w:r w:rsidR="00F83149">
        <w:rPr>
          <w:rFonts w:ascii="Open Sans" w:hAnsi="Open Sans" w:cs="Open Sans"/>
        </w:rPr>
        <w:t> </w:t>
      </w:r>
      <w:r w:rsidRPr="00620C16">
        <w:rPr>
          <w:rFonts w:ascii="Open Sans" w:hAnsi="Open Sans" w:cs="Open Sans"/>
        </w:rPr>
        <w:t>Australian Government’s Implementation Plan for Closing the Gap.</w:t>
      </w:r>
      <w:r w:rsidR="0084409C">
        <w:rPr>
          <w:rFonts w:ascii="Open Sans" w:hAnsi="Open Sans" w:cs="Open Sans"/>
        </w:rPr>
        <w:t xml:space="preserve"> The initiative aimed</w:t>
      </w:r>
      <w:r w:rsidRPr="00620C16">
        <w:rPr>
          <w:rFonts w:ascii="Open Sans" w:hAnsi="Open Sans" w:cs="Open Sans"/>
        </w:rPr>
        <w:t xml:space="preserve"> to</w:t>
      </w:r>
      <w:r w:rsidR="00F83149">
        <w:rPr>
          <w:rFonts w:ascii="Open Sans" w:hAnsi="Open Sans" w:cs="Open Sans"/>
        </w:rPr>
        <w:t> </w:t>
      </w:r>
      <w:r w:rsidRPr="00620C16">
        <w:rPr>
          <w:rFonts w:ascii="Open Sans" w:hAnsi="Open Sans" w:cs="Open Sans"/>
        </w:rPr>
        <w:t xml:space="preserve">assess the needs </w:t>
      </w:r>
      <w:r w:rsidR="004C0881">
        <w:rPr>
          <w:rFonts w:ascii="Open Sans" w:hAnsi="Open Sans" w:cs="Open Sans"/>
        </w:rPr>
        <w:t>of ACCOs and increase their involvement in the child and family sector.</w:t>
      </w:r>
    </w:p>
    <w:p w14:paraId="3ABF9305" w14:textId="7AC5B1C5" w:rsidR="0022734D" w:rsidRDefault="0094462C" w:rsidP="0022734D">
      <w:pPr>
        <w:keepNext/>
        <w:keepLines/>
        <w:rPr>
          <w:rFonts w:ascii="Open Sans" w:hAnsi="Open Sans" w:cs="Open Sans"/>
        </w:rPr>
      </w:pPr>
      <w:r w:rsidRPr="0094462C">
        <w:rPr>
          <w:rFonts w:ascii="Open Sans" w:hAnsi="Open Sans" w:cs="Open Sans"/>
        </w:rPr>
        <w:t xml:space="preserve">In 2022, the department engaged </w:t>
      </w:r>
      <w:r w:rsidR="0022734D" w:rsidRPr="00620C16">
        <w:rPr>
          <w:rFonts w:ascii="Open Sans" w:hAnsi="Open Sans" w:cs="Open Sans"/>
        </w:rPr>
        <w:t>SNAICC – National Voice for our Children</w:t>
      </w:r>
      <w:r w:rsidR="00FE6022">
        <w:rPr>
          <w:rFonts w:ascii="Open Sans" w:hAnsi="Open Sans" w:cs="Open Sans"/>
        </w:rPr>
        <w:t xml:space="preserve"> (SNAICC)</w:t>
      </w:r>
      <w:r w:rsidR="004C0881">
        <w:rPr>
          <w:rFonts w:ascii="Open Sans" w:hAnsi="Open Sans" w:cs="Open Sans"/>
        </w:rPr>
        <w:t>,</w:t>
      </w:r>
      <w:r w:rsidR="0022734D" w:rsidRPr="00620C16">
        <w:rPr>
          <w:rFonts w:ascii="Open Sans" w:hAnsi="Open Sans" w:cs="Open Sans"/>
        </w:rPr>
        <w:t xml:space="preserve"> the national peak body for Aboriginal and Torres Strait Islander children and families, to </w:t>
      </w:r>
      <w:r w:rsidR="0022734D">
        <w:rPr>
          <w:rFonts w:ascii="Open Sans" w:hAnsi="Open Sans" w:cs="Open Sans"/>
        </w:rPr>
        <w:t>identify</w:t>
      </w:r>
      <w:r w:rsidR="0022734D" w:rsidRPr="00620C16">
        <w:rPr>
          <w:rFonts w:ascii="Open Sans" w:hAnsi="Open Sans" w:cs="Open Sans"/>
        </w:rPr>
        <w:t xml:space="preserve"> the strengths, needs, barriers and opportunities of ACCOs currently delivering</w:t>
      </w:r>
      <w:r w:rsidR="00104C2D" w:rsidRPr="00620C16">
        <w:rPr>
          <w:rFonts w:ascii="Open Sans" w:hAnsi="Open Sans" w:cs="Open Sans"/>
        </w:rPr>
        <w:t xml:space="preserve"> – </w:t>
      </w:r>
      <w:r w:rsidR="0022734D" w:rsidRPr="00620C16">
        <w:rPr>
          <w:rFonts w:ascii="Open Sans" w:hAnsi="Open Sans" w:cs="Open Sans"/>
        </w:rPr>
        <w:t xml:space="preserve">or </w:t>
      </w:r>
      <w:r w:rsidR="004C0881">
        <w:rPr>
          <w:rFonts w:ascii="Open Sans" w:hAnsi="Open Sans" w:cs="Open Sans"/>
        </w:rPr>
        <w:t>with the</w:t>
      </w:r>
      <w:r w:rsidR="0022734D" w:rsidRPr="00620C16">
        <w:rPr>
          <w:rFonts w:ascii="Open Sans" w:hAnsi="Open Sans" w:cs="Open Sans"/>
        </w:rPr>
        <w:t xml:space="preserve"> potential to deliver</w:t>
      </w:r>
      <w:r w:rsidR="00104C2D" w:rsidRPr="00620C16">
        <w:rPr>
          <w:rFonts w:ascii="Open Sans" w:hAnsi="Open Sans" w:cs="Open Sans"/>
        </w:rPr>
        <w:t xml:space="preserve"> –</w:t>
      </w:r>
      <w:r w:rsidR="0000262A">
        <w:rPr>
          <w:rFonts w:ascii="Open Sans" w:hAnsi="Open Sans" w:cs="Open Sans"/>
        </w:rPr>
        <w:t xml:space="preserve"> </w:t>
      </w:r>
      <w:r w:rsidR="0022734D" w:rsidRPr="00620C16">
        <w:rPr>
          <w:rFonts w:ascii="Open Sans" w:hAnsi="Open Sans" w:cs="Open Sans"/>
        </w:rPr>
        <w:t xml:space="preserve">programs </w:t>
      </w:r>
      <w:r w:rsidR="004C0881">
        <w:rPr>
          <w:rFonts w:ascii="Open Sans" w:hAnsi="Open Sans" w:cs="Open Sans"/>
        </w:rPr>
        <w:t>for children and families, including those funded by the department</w:t>
      </w:r>
      <w:r w:rsidR="0022734D" w:rsidRPr="00620C16">
        <w:rPr>
          <w:rFonts w:ascii="Open Sans" w:hAnsi="Open Sans" w:cs="Open Sans"/>
        </w:rPr>
        <w:t>.</w:t>
      </w:r>
    </w:p>
    <w:p w14:paraId="100D190B" w14:textId="77777777" w:rsidR="004C0881" w:rsidRDefault="0022734D" w:rsidP="0022734D">
      <w:pPr>
        <w:rPr>
          <w:rFonts w:ascii="Open Sans" w:hAnsi="Open Sans" w:cs="Open Sans"/>
        </w:rPr>
      </w:pPr>
      <w:r w:rsidRPr="00620C16">
        <w:rPr>
          <w:rFonts w:ascii="Open Sans" w:hAnsi="Open Sans" w:cs="Open Sans"/>
        </w:rPr>
        <w:t xml:space="preserve">To inform this </w:t>
      </w:r>
      <w:r w:rsidR="004C0881">
        <w:rPr>
          <w:rFonts w:ascii="Open Sans" w:hAnsi="Open Sans" w:cs="Open Sans"/>
        </w:rPr>
        <w:t>work</w:t>
      </w:r>
      <w:r w:rsidRPr="00620C16">
        <w:rPr>
          <w:rFonts w:ascii="Open Sans" w:hAnsi="Open Sans" w:cs="Open Sans"/>
        </w:rPr>
        <w:t xml:space="preserve">, SNAICC </w:t>
      </w:r>
      <w:r w:rsidR="004C0881">
        <w:rPr>
          <w:rFonts w:ascii="Open Sans" w:hAnsi="Open Sans" w:cs="Open Sans"/>
        </w:rPr>
        <w:t xml:space="preserve">undertook several engagement activities: </w:t>
      </w:r>
    </w:p>
    <w:p w14:paraId="41F88BD5" w14:textId="325394E6" w:rsidR="004C0881" w:rsidRDefault="004C0881" w:rsidP="008F74E5">
      <w:pPr>
        <w:pStyle w:val="ListParagraph"/>
        <w:numPr>
          <w:ilvl w:val="0"/>
          <w:numId w:val="26"/>
        </w:numPr>
        <w:spacing w:before="240" w:line="240" w:lineRule="auto"/>
        <w:ind w:left="714" w:hanging="357"/>
        <w:contextualSpacing w:val="0"/>
        <w:rPr>
          <w:rFonts w:ascii="Open Sans" w:hAnsi="Open Sans" w:cs="Open Sans"/>
        </w:rPr>
      </w:pPr>
      <w:r>
        <w:rPr>
          <w:rFonts w:ascii="Open Sans" w:hAnsi="Open Sans" w:cs="Open Sans"/>
        </w:rPr>
        <w:t>A</w:t>
      </w:r>
      <w:r w:rsidR="0022734D" w:rsidRPr="004C0881">
        <w:rPr>
          <w:rFonts w:ascii="Open Sans" w:hAnsi="Open Sans" w:cs="Open Sans"/>
        </w:rPr>
        <w:t>n online survey which received 304 responses</w:t>
      </w:r>
      <w:r>
        <w:rPr>
          <w:rFonts w:ascii="Open Sans" w:hAnsi="Open Sans" w:cs="Open Sans"/>
        </w:rPr>
        <w:t>, including 135 Aboriginal and/or Torres</w:t>
      </w:r>
      <w:r w:rsidR="00FE6022">
        <w:rPr>
          <w:rFonts w:ascii="Open Sans" w:hAnsi="Open Sans" w:cs="Open Sans"/>
        </w:rPr>
        <w:t> </w:t>
      </w:r>
      <w:r>
        <w:rPr>
          <w:rFonts w:ascii="Open Sans" w:hAnsi="Open Sans" w:cs="Open Sans"/>
        </w:rPr>
        <w:t>Strait Islander participants and 107 respondents currently employed by an ACCO.</w:t>
      </w:r>
    </w:p>
    <w:p w14:paraId="25EE9AC5" w14:textId="77777777" w:rsidR="004C0881" w:rsidRDefault="004C0881" w:rsidP="008F74E5">
      <w:pPr>
        <w:pStyle w:val="ListParagraph"/>
        <w:numPr>
          <w:ilvl w:val="0"/>
          <w:numId w:val="26"/>
        </w:numPr>
        <w:spacing w:before="240" w:line="240" w:lineRule="auto"/>
        <w:ind w:left="714" w:hanging="357"/>
        <w:contextualSpacing w:val="0"/>
        <w:rPr>
          <w:rFonts w:ascii="Open Sans" w:hAnsi="Open Sans" w:cs="Open Sans"/>
        </w:rPr>
      </w:pPr>
      <w:r w:rsidRPr="004C0881">
        <w:rPr>
          <w:rFonts w:ascii="Open Sans" w:hAnsi="Open Sans" w:cs="Open Sans"/>
        </w:rPr>
        <w:t xml:space="preserve">Five </w:t>
      </w:r>
      <w:r>
        <w:rPr>
          <w:rFonts w:ascii="Open Sans" w:hAnsi="Open Sans" w:cs="Open Sans"/>
        </w:rPr>
        <w:t xml:space="preserve">in-depth, semi-structured focus group discussions with ACCOs from across Australia, held in May 2022. </w:t>
      </w:r>
    </w:p>
    <w:p w14:paraId="2E961789" w14:textId="4DB43681" w:rsidR="0022734D" w:rsidRPr="004C0881" w:rsidRDefault="0022734D" w:rsidP="004C0881">
      <w:pPr>
        <w:rPr>
          <w:rFonts w:ascii="Open Sans" w:hAnsi="Open Sans" w:cs="Open Sans"/>
        </w:rPr>
      </w:pPr>
      <w:r w:rsidRPr="004C0881">
        <w:rPr>
          <w:rFonts w:ascii="Open Sans" w:hAnsi="Open Sans" w:cs="Open Sans"/>
        </w:rPr>
        <w:t xml:space="preserve">SNAICC published </w:t>
      </w:r>
      <w:r w:rsidR="00BB7638" w:rsidRPr="004C0881">
        <w:rPr>
          <w:rFonts w:ascii="Open Sans" w:hAnsi="Open Sans" w:cs="Open Sans"/>
        </w:rPr>
        <w:t xml:space="preserve">the </w:t>
      </w:r>
      <w:hyperlink r:id="rId30" w:history="1">
        <w:r w:rsidRPr="004C0881">
          <w:rPr>
            <w:rStyle w:val="Hyperlink"/>
            <w:rFonts w:ascii="Open Sans" w:hAnsi="Open Sans" w:cs="Open Sans"/>
          </w:rPr>
          <w:t>Stronger ACCOs, Stronger Families Final Report</w:t>
        </w:r>
      </w:hyperlink>
      <w:r w:rsidRPr="004C0881">
        <w:rPr>
          <w:rFonts w:ascii="Open Sans" w:hAnsi="Open Sans" w:cs="Open Sans"/>
        </w:rPr>
        <w:t xml:space="preserve"> in 2023. A summary </w:t>
      </w:r>
      <w:r w:rsidR="00BB7638" w:rsidRPr="004C0881">
        <w:rPr>
          <w:rFonts w:ascii="Open Sans" w:hAnsi="Open Sans" w:cs="Open Sans"/>
        </w:rPr>
        <w:t>of the report is provided below</w:t>
      </w:r>
      <w:r w:rsidRPr="004C0881">
        <w:rPr>
          <w:rFonts w:ascii="Open Sans" w:hAnsi="Open Sans" w:cs="Open Sans"/>
        </w:rPr>
        <w:t>:</w:t>
      </w:r>
    </w:p>
    <w:tbl>
      <w:tblPr>
        <w:tblStyle w:val="TableGrid"/>
        <w:tblW w:w="0" w:type="auto"/>
        <w:tblLayout w:type="fixed"/>
        <w:tblLook w:val="04A0" w:firstRow="1" w:lastRow="0" w:firstColumn="1" w:lastColumn="0" w:noHBand="0" w:noVBand="1"/>
      </w:tblPr>
      <w:tblGrid>
        <w:gridCol w:w="1838"/>
        <w:gridCol w:w="8356"/>
      </w:tblGrid>
      <w:tr w:rsidR="0022734D" w:rsidRPr="00620C16" w14:paraId="746DC292" w14:textId="77777777" w:rsidTr="00D20BCA">
        <w:tc>
          <w:tcPr>
            <w:tcW w:w="1838" w:type="dxa"/>
            <w:tcBorders>
              <w:top w:val="single" w:sz="4" w:space="0" w:color="auto"/>
              <w:left w:val="single" w:sz="4" w:space="0" w:color="auto"/>
              <w:bottom w:val="single" w:sz="4" w:space="0" w:color="auto"/>
              <w:right w:val="single" w:sz="4" w:space="0" w:color="auto"/>
            </w:tcBorders>
            <w:shd w:val="clear" w:color="auto" w:fill="EFF9F9" w:themeFill="accent3" w:themeFillTint="33"/>
            <w:vAlign w:val="center"/>
            <w:hideMark/>
          </w:tcPr>
          <w:p w14:paraId="4F11ADC6" w14:textId="77777777" w:rsidR="0022734D" w:rsidRPr="00620C16" w:rsidRDefault="0022734D" w:rsidP="00D20BCA">
            <w:pPr>
              <w:spacing w:line="300" w:lineRule="auto"/>
              <w:rPr>
                <w:rFonts w:ascii="Open Sans" w:hAnsi="Open Sans" w:cs="Open Sans"/>
              </w:rPr>
            </w:pPr>
            <w:r w:rsidRPr="00620C16">
              <w:rPr>
                <w:rFonts w:ascii="Open Sans" w:hAnsi="Open Sans" w:cs="Open Sans"/>
              </w:rPr>
              <w:t>Strengths</w:t>
            </w:r>
          </w:p>
        </w:tc>
        <w:tc>
          <w:tcPr>
            <w:tcW w:w="8356" w:type="dxa"/>
            <w:tcBorders>
              <w:top w:val="single" w:sz="4" w:space="0" w:color="auto"/>
              <w:left w:val="single" w:sz="4" w:space="0" w:color="auto"/>
              <w:bottom w:val="single" w:sz="4" w:space="0" w:color="auto"/>
              <w:right w:val="single" w:sz="4" w:space="0" w:color="auto"/>
            </w:tcBorders>
            <w:hideMark/>
          </w:tcPr>
          <w:p w14:paraId="587F531C" w14:textId="22210516" w:rsidR="009D4858" w:rsidRPr="009D4858" w:rsidRDefault="0022734D" w:rsidP="008F74E5">
            <w:pPr>
              <w:numPr>
                <w:ilvl w:val="0"/>
                <w:numId w:val="15"/>
              </w:numPr>
              <w:rPr>
                <w:rFonts w:ascii="Open Sans" w:hAnsi="Open Sans" w:cs="Open Sans"/>
              </w:rPr>
            </w:pPr>
            <w:r w:rsidRPr="00620C16">
              <w:rPr>
                <w:rFonts w:ascii="Open Sans" w:hAnsi="Open Sans" w:cs="Open Sans"/>
              </w:rPr>
              <w:t>ACCOs are inextricably connected to the communities they serve</w:t>
            </w:r>
            <w:r w:rsidR="009D4858">
              <w:rPr>
                <w:rFonts w:ascii="Open Sans" w:hAnsi="Open Sans" w:cs="Open Sans"/>
              </w:rPr>
              <w:t>.</w:t>
            </w:r>
          </w:p>
          <w:p w14:paraId="7CEEE901" w14:textId="51CF8C1A" w:rsidR="0022734D" w:rsidRPr="00620C16" w:rsidRDefault="0022734D" w:rsidP="008F74E5">
            <w:pPr>
              <w:numPr>
                <w:ilvl w:val="0"/>
                <w:numId w:val="15"/>
              </w:numPr>
              <w:spacing w:before="240"/>
              <w:rPr>
                <w:rFonts w:ascii="Open Sans" w:hAnsi="Open Sans" w:cs="Open Sans"/>
              </w:rPr>
            </w:pPr>
            <w:r w:rsidRPr="00620C16">
              <w:rPr>
                <w:rFonts w:ascii="Open Sans" w:hAnsi="Open Sans" w:cs="Open Sans"/>
              </w:rPr>
              <w:t>ACCOs use a holistic model of care to deliver integrated and culturally safe services</w:t>
            </w:r>
            <w:r w:rsidR="009D4858">
              <w:rPr>
                <w:rFonts w:ascii="Open Sans" w:hAnsi="Open Sans" w:cs="Open Sans"/>
              </w:rPr>
              <w:t>.</w:t>
            </w:r>
          </w:p>
        </w:tc>
      </w:tr>
      <w:tr w:rsidR="0022734D" w:rsidRPr="00620C16" w14:paraId="5E659396" w14:textId="77777777" w:rsidTr="00D20BCA">
        <w:tc>
          <w:tcPr>
            <w:tcW w:w="1838" w:type="dxa"/>
            <w:tcBorders>
              <w:top w:val="single" w:sz="4" w:space="0" w:color="auto"/>
              <w:left w:val="single" w:sz="4" w:space="0" w:color="auto"/>
              <w:bottom w:val="single" w:sz="4" w:space="0" w:color="auto"/>
              <w:right w:val="single" w:sz="4" w:space="0" w:color="auto"/>
            </w:tcBorders>
            <w:shd w:val="clear" w:color="auto" w:fill="EFF9F9" w:themeFill="accent3" w:themeFillTint="33"/>
            <w:vAlign w:val="center"/>
            <w:hideMark/>
          </w:tcPr>
          <w:p w14:paraId="31CE5AF1" w14:textId="77777777" w:rsidR="0022734D" w:rsidRPr="00620C16" w:rsidRDefault="0022734D" w:rsidP="00D20BCA">
            <w:pPr>
              <w:spacing w:line="300" w:lineRule="auto"/>
              <w:rPr>
                <w:rFonts w:ascii="Open Sans" w:hAnsi="Open Sans" w:cs="Open Sans"/>
              </w:rPr>
            </w:pPr>
            <w:r w:rsidRPr="00620C16">
              <w:rPr>
                <w:rFonts w:ascii="Open Sans" w:hAnsi="Open Sans" w:cs="Open Sans"/>
              </w:rPr>
              <w:t>Barriers</w:t>
            </w:r>
          </w:p>
        </w:tc>
        <w:tc>
          <w:tcPr>
            <w:tcW w:w="8356" w:type="dxa"/>
            <w:tcBorders>
              <w:top w:val="single" w:sz="4" w:space="0" w:color="auto"/>
              <w:left w:val="single" w:sz="4" w:space="0" w:color="auto"/>
              <w:bottom w:val="single" w:sz="4" w:space="0" w:color="auto"/>
              <w:right w:val="single" w:sz="4" w:space="0" w:color="auto"/>
            </w:tcBorders>
            <w:hideMark/>
          </w:tcPr>
          <w:p w14:paraId="12D769D9" w14:textId="11C9B743" w:rsidR="009D4858" w:rsidRPr="009D4858" w:rsidRDefault="0022734D" w:rsidP="008F74E5">
            <w:pPr>
              <w:numPr>
                <w:ilvl w:val="0"/>
                <w:numId w:val="15"/>
              </w:numPr>
              <w:rPr>
                <w:rFonts w:ascii="Open Sans" w:hAnsi="Open Sans" w:cs="Open Sans"/>
              </w:rPr>
            </w:pPr>
            <w:r w:rsidRPr="00620C16">
              <w:rPr>
                <w:rFonts w:ascii="Open Sans" w:hAnsi="Open Sans" w:cs="Open Sans"/>
              </w:rPr>
              <w:t>Lack of community control in program design and funding allocation processes</w:t>
            </w:r>
            <w:r w:rsidR="009D4858">
              <w:rPr>
                <w:rFonts w:ascii="Open Sans" w:hAnsi="Open Sans" w:cs="Open Sans"/>
              </w:rPr>
              <w:t>.</w:t>
            </w:r>
          </w:p>
          <w:p w14:paraId="54030836" w14:textId="02882EB4" w:rsidR="009D4858" w:rsidRPr="009D4858" w:rsidRDefault="0022734D" w:rsidP="008F74E5">
            <w:pPr>
              <w:numPr>
                <w:ilvl w:val="0"/>
                <w:numId w:val="15"/>
              </w:numPr>
              <w:spacing w:before="240"/>
              <w:rPr>
                <w:rFonts w:ascii="Open Sans" w:hAnsi="Open Sans" w:cs="Open Sans"/>
              </w:rPr>
            </w:pPr>
            <w:r w:rsidRPr="00620C16">
              <w:rPr>
                <w:rFonts w:ascii="Open Sans" w:hAnsi="Open Sans" w:cs="Open Sans"/>
              </w:rPr>
              <w:t>Funding processes</w:t>
            </w:r>
            <w:r w:rsidR="009D4858">
              <w:rPr>
                <w:rFonts w:ascii="Open Sans" w:hAnsi="Open Sans" w:cs="Open Sans"/>
              </w:rPr>
              <w:t>.</w:t>
            </w:r>
          </w:p>
          <w:p w14:paraId="03AC9CE5" w14:textId="3D746D0F" w:rsidR="0022734D" w:rsidRPr="00620C16" w:rsidRDefault="0022734D" w:rsidP="008F74E5">
            <w:pPr>
              <w:numPr>
                <w:ilvl w:val="0"/>
                <w:numId w:val="15"/>
              </w:numPr>
              <w:spacing w:before="240"/>
              <w:rPr>
                <w:rFonts w:ascii="Open Sans" w:hAnsi="Open Sans" w:cs="Open Sans"/>
              </w:rPr>
            </w:pPr>
            <w:r w:rsidRPr="00620C16">
              <w:rPr>
                <w:rFonts w:ascii="Open Sans" w:hAnsi="Open Sans" w:cs="Open Sans"/>
              </w:rPr>
              <w:t>Funding didn’t match the model of care</w:t>
            </w:r>
            <w:r w:rsidR="009D4858">
              <w:rPr>
                <w:rFonts w:ascii="Open Sans" w:hAnsi="Open Sans" w:cs="Open Sans"/>
              </w:rPr>
              <w:t>.</w:t>
            </w:r>
          </w:p>
          <w:p w14:paraId="100BB10C" w14:textId="36889EBC" w:rsidR="0022734D" w:rsidRPr="00620C16" w:rsidRDefault="0022734D" w:rsidP="008F74E5">
            <w:pPr>
              <w:numPr>
                <w:ilvl w:val="0"/>
                <w:numId w:val="15"/>
              </w:numPr>
              <w:spacing w:before="240"/>
              <w:rPr>
                <w:rFonts w:ascii="Open Sans" w:hAnsi="Open Sans" w:cs="Open Sans"/>
              </w:rPr>
            </w:pPr>
            <w:r w:rsidRPr="00620C16">
              <w:rPr>
                <w:rFonts w:ascii="Open Sans" w:hAnsi="Open Sans" w:cs="Open Sans"/>
              </w:rPr>
              <w:t>Poor partnerships</w:t>
            </w:r>
            <w:r w:rsidR="009D4858">
              <w:rPr>
                <w:rFonts w:ascii="Open Sans" w:hAnsi="Open Sans" w:cs="Open Sans"/>
              </w:rPr>
              <w:t>.</w:t>
            </w:r>
          </w:p>
          <w:p w14:paraId="2B93C126" w14:textId="516F5AF8" w:rsidR="0022734D" w:rsidRPr="00620C16" w:rsidRDefault="0022734D" w:rsidP="008F74E5">
            <w:pPr>
              <w:numPr>
                <w:ilvl w:val="0"/>
                <w:numId w:val="15"/>
              </w:numPr>
              <w:spacing w:before="240"/>
              <w:rPr>
                <w:rFonts w:ascii="Open Sans" w:hAnsi="Open Sans" w:cs="Open Sans"/>
              </w:rPr>
            </w:pPr>
            <w:r w:rsidRPr="00620C16">
              <w:rPr>
                <w:rFonts w:ascii="Open Sans" w:hAnsi="Open Sans" w:cs="Open Sans"/>
              </w:rPr>
              <w:t>Reporting burdens</w:t>
            </w:r>
            <w:r w:rsidR="009D4858">
              <w:rPr>
                <w:rFonts w:ascii="Open Sans" w:hAnsi="Open Sans" w:cs="Open Sans"/>
              </w:rPr>
              <w:t>.</w:t>
            </w:r>
          </w:p>
        </w:tc>
      </w:tr>
      <w:tr w:rsidR="0022734D" w:rsidRPr="00620C16" w14:paraId="7638E80C" w14:textId="77777777" w:rsidTr="00D20BCA">
        <w:tc>
          <w:tcPr>
            <w:tcW w:w="1838" w:type="dxa"/>
            <w:tcBorders>
              <w:top w:val="single" w:sz="4" w:space="0" w:color="auto"/>
              <w:left w:val="single" w:sz="4" w:space="0" w:color="auto"/>
              <w:bottom w:val="single" w:sz="4" w:space="0" w:color="auto"/>
              <w:right w:val="single" w:sz="4" w:space="0" w:color="auto"/>
            </w:tcBorders>
            <w:shd w:val="clear" w:color="auto" w:fill="EFF9F9" w:themeFill="accent3" w:themeFillTint="33"/>
            <w:vAlign w:val="center"/>
            <w:hideMark/>
          </w:tcPr>
          <w:p w14:paraId="79DBD7F3" w14:textId="77777777" w:rsidR="0022734D" w:rsidRPr="00620C16" w:rsidRDefault="0022734D" w:rsidP="00D20BCA">
            <w:pPr>
              <w:spacing w:line="300" w:lineRule="auto"/>
              <w:rPr>
                <w:rFonts w:ascii="Open Sans" w:hAnsi="Open Sans" w:cs="Open Sans"/>
              </w:rPr>
            </w:pPr>
            <w:r w:rsidRPr="00620C16">
              <w:rPr>
                <w:rFonts w:ascii="Open Sans" w:hAnsi="Open Sans" w:cs="Open Sans"/>
              </w:rPr>
              <w:t>Needs</w:t>
            </w:r>
          </w:p>
        </w:tc>
        <w:tc>
          <w:tcPr>
            <w:tcW w:w="8356" w:type="dxa"/>
            <w:tcBorders>
              <w:top w:val="single" w:sz="4" w:space="0" w:color="auto"/>
              <w:left w:val="single" w:sz="4" w:space="0" w:color="auto"/>
              <w:bottom w:val="single" w:sz="4" w:space="0" w:color="auto"/>
              <w:right w:val="single" w:sz="4" w:space="0" w:color="auto"/>
            </w:tcBorders>
            <w:hideMark/>
          </w:tcPr>
          <w:p w14:paraId="01F88C27" w14:textId="323E6B50" w:rsidR="0022734D" w:rsidRPr="00620C16" w:rsidRDefault="0022734D" w:rsidP="008F74E5">
            <w:pPr>
              <w:numPr>
                <w:ilvl w:val="0"/>
                <w:numId w:val="15"/>
              </w:numPr>
              <w:rPr>
                <w:rFonts w:ascii="Open Sans" w:hAnsi="Open Sans" w:cs="Open Sans"/>
              </w:rPr>
            </w:pPr>
            <w:r w:rsidRPr="00620C16">
              <w:rPr>
                <w:rFonts w:ascii="Open Sans" w:hAnsi="Open Sans" w:cs="Open Sans"/>
              </w:rPr>
              <w:t>Resources for core operational functions and infrastructure</w:t>
            </w:r>
            <w:r w:rsidR="009D4858">
              <w:rPr>
                <w:rFonts w:ascii="Open Sans" w:hAnsi="Open Sans" w:cs="Open Sans"/>
              </w:rPr>
              <w:t>.</w:t>
            </w:r>
          </w:p>
          <w:p w14:paraId="372565D9" w14:textId="1FA7ADD0" w:rsidR="0022734D" w:rsidRPr="00620C16" w:rsidRDefault="0022734D" w:rsidP="008F74E5">
            <w:pPr>
              <w:numPr>
                <w:ilvl w:val="0"/>
                <w:numId w:val="15"/>
              </w:numPr>
              <w:spacing w:before="240"/>
              <w:rPr>
                <w:rFonts w:ascii="Open Sans" w:hAnsi="Open Sans" w:cs="Open Sans"/>
              </w:rPr>
            </w:pPr>
            <w:r w:rsidRPr="00620C16">
              <w:rPr>
                <w:rFonts w:ascii="Open Sans" w:hAnsi="Open Sans" w:cs="Open Sans"/>
              </w:rPr>
              <w:t>Data, evaluation, and research</w:t>
            </w:r>
            <w:r w:rsidR="009D4858">
              <w:rPr>
                <w:rFonts w:ascii="Open Sans" w:hAnsi="Open Sans" w:cs="Open Sans"/>
              </w:rPr>
              <w:t>.</w:t>
            </w:r>
          </w:p>
          <w:p w14:paraId="30C0F9B8" w14:textId="6609C782" w:rsidR="0022734D" w:rsidRPr="0022734D" w:rsidRDefault="0022734D" w:rsidP="008F74E5">
            <w:pPr>
              <w:numPr>
                <w:ilvl w:val="0"/>
                <w:numId w:val="15"/>
              </w:numPr>
              <w:spacing w:before="240"/>
              <w:rPr>
                <w:rFonts w:ascii="Open Sans" w:hAnsi="Open Sans" w:cs="Open Sans"/>
              </w:rPr>
            </w:pPr>
            <w:r w:rsidRPr="00620C16">
              <w:rPr>
                <w:rFonts w:ascii="Open Sans" w:hAnsi="Open Sans" w:cs="Open Sans"/>
              </w:rPr>
              <w:t>Stability in funding agreements</w:t>
            </w:r>
            <w:r w:rsidR="009D4858">
              <w:rPr>
                <w:rFonts w:ascii="Open Sans" w:hAnsi="Open Sans" w:cs="Open Sans"/>
              </w:rPr>
              <w:t>.</w:t>
            </w:r>
          </w:p>
        </w:tc>
      </w:tr>
      <w:tr w:rsidR="0022734D" w:rsidRPr="00620C16" w14:paraId="1E9FF232" w14:textId="77777777" w:rsidTr="008F74E5">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EFF9F9" w:themeFill="accent3" w:themeFillTint="33"/>
            <w:vAlign w:val="center"/>
            <w:hideMark/>
          </w:tcPr>
          <w:p w14:paraId="002B1D42" w14:textId="77777777" w:rsidR="0022734D" w:rsidRPr="00620C16" w:rsidRDefault="0022734D" w:rsidP="00D20BCA">
            <w:pPr>
              <w:spacing w:line="300" w:lineRule="auto"/>
              <w:rPr>
                <w:rFonts w:ascii="Open Sans" w:hAnsi="Open Sans" w:cs="Open Sans"/>
              </w:rPr>
            </w:pPr>
            <w:r w:rsidRPr="00620C16">
              <w:rPr>
                <w:rFonts w:ascii="Open Sans" w:hAnsi="Open Sans" w:cs="Open Sans"/>
              </w:rPr>
              <w:t>Opportunities</w:t>
            </w:r>
          </w:p>
        </w:tc>
        <w:tc>
          <w:tcPr>
            <w:tcW w:w="8356" w:type="dxa"/>
            <w:tcBorders>
              <w:top w:val="single" w:sz="4" w:space="0" w:color="auto"/>
              <w:left w:val="single" w:sz="4" w:space="0" w:color="auto"/>
              <w:bottom w:val="single" w:sz="4" w:space="0" w:color="auto"/>
              <w:right w:val="single" w:sz="4" w:space="0" w:color="auto"/>
            </w:tcBorders>
            <w:hideMark/>
          </w:tcPr>
          <w:p w14:paraId="110E1B10" w14:textId="65E69532" w:rsidR="0022734D" w:rsidRPr="00620C16" w:rsidRDefault="0022734D" w:rsidP="008F74E5">
            <w:pPr>
              <w:numPr>
                <w:ilvl w:val="0"/>
                <w:numId w:val="15"/>
              </w:numPr>
              <w:rPr>
                <w:rFonts w:ascii="Open Sans" w:hAnsi="Open Sans" w:cs="Open Sans"/>
              </w:rPr>
            </w:pPr>
            <w:r w:rsidRPr="00620C16">
              <w:rPr>
                <w:rFonts w:ascii="Open Sans" w:hAnsi="Open Sans" w:cs="Open Sans"/>
              </w:rPr>
              <w:t>Improving navigation and support resources</w:t>
            </w:r>
            <w:r w:rsidR="009D4858">
              <w:rPr>
                <w:rFonts w:ascii="Open Sans" w:hAnsi="Open Sans" w:cs="Open Sans"/>
              </w:rPr>
              <w:t>.</w:t>
            </w:r>
          </w:p>
          <w:p w14:paraId="6530DD20" w14:textId="0AB3E870" w:rsidR="0022734D" w:rsidRPr="00620C16" w:rsidRDefault="0022734D" w:rsidP="008F74E5">
            <w:pPr>
              <w:numPr>
                <w:ilvl w:val="0"/>
                <w:numId w:val="15"/>
              </w:numPr>
              <w:spacing w:before="240"/>
              <w:rPr>
                <w:rFonts w:ascii="Open Sans" w:hAnsi="Open Sans" w:cs="Open Sans"/>
              </w:rPr>
            </w:pPr>
            <w:r w:rsidRPr="00620C16">
              <w:rPr>
                <w:rFonts w:ascii="Open Sans" w:hAnsi="Open Sans" w:cs="Open Sans"/>
              </w:rPr>
              <w:t>Building government capacity to support ACCOs and undertake funding reform</w:t>
            </w:r>
            <w:r w:rsidR="009D4858">
              <w:rPr>
                <w:rFonts w:ascii="Open Sans" w:hAnsi="Open Sans" w:cs="Open Sans"/>
              </w:rPr>
              <w:t>.</w:t>
            </w:r>
          </w:p>
        </w:tc>
      </w:tr>
      <w:bookmarkEnd w:id="2"/>
    </w:tbl>
    <w:p w14:paraId="791B1E7C" w14:textId="77777777" w:rsidR="0022734D" w:rsidRDefault="0022734D" w:rsidP="0022734D">
      <w:pPr>
        <w:rPr>
          <w:rFonts w:ascii="Open Sans" w:hAnsi="Open Sans" w:cs="Open Sans"/>
        </w:rPr>
      </w:pPr>
    </w:p>
    <w:sectPr w:rsidR="0022734D" w:rsidSect="00DC08E5">
      <w:headerReference w:type="default" r:id="rId31"/>
      <w:type w:val="continuous"/>
      <w:pgSz w:w="11906" w:h="16838"/>
      <w:pgMar w:top="851" w:right="851" w:bottom="851" w:left="851" w:header="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11C7" w14:textId="77777777" w:rsidR="00E9225A" w:rsidRDefault="00E9225A" w:rsidP="008F3023">
      <w:pPr>
        <w:spacing w:after="0" w:line="240" w:lineRule="auto"/>
      </w:pPr>
      <w:r>
        <w:separator/>
      </w:r>
    </w:p>
  </w:endnote>
  <w:endnote w:type="continuationSeparator" w:id="0">
    <w:p w14:paraId="7A854E14" w14:textId="77777777" w:rsidR="00E9225A" w:rsidRDefault="00E9225A" w:rsidP="008F3023">
      <w:pPr>
        <w:spacing w:after="0" w:line="240" w:lineRule="auto"/>
      </w:pPr>
      <w:r>
        <w:continuationSeparator/>
      </w:r>
    </w:p>
  </w:endnote>
  <w:endnote w:type="continuationNotice" w:id="1">
    <w:p w14:paraId="1E8D13D4" w14:textId="77777777" w:rsidR="00E9225A" w:rsidRDefault="00E92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841F" w14:textId="148A3CC7" w:rsidR="00B71EDF" w:rsidRPr="00880992" w:rsidRDefault="002608ED" w:rsidP="00880992">
    <w:pPr>
      <w:pStyle w:val="PageNumber2"/>
    </w:pPr>
    <w:r w:rsidRPr="00880992">
      <w:drawing>
        <wp:anchor distT="0" distB="0" distL="114300" distR="114300" simplePos="0" relativeHeight="251658240" behindDoc="1" locked="0" layoutInCell="1" allowOverlap="1" wp14:anchorId="55B7B09D" wp14:editId="02FF5885">
          <wp:simplePos x="0" y="0"/>
          <wp:positionH relativeFrom="page">
            <wp:align>right</wp:align>
          </wp:positionH>
          <wp:positionV relativeFrom="page">
            <wp:align>bottom</wp:align>
          </wp:positionV>
          <wp:extent cx="7549200" cy="1180800"/>
          <wp:effectExtent l="0" t="0" r="0" b="635"/>
          <wp:wrapNone/>
          <wp:docPr id="1691704480" name="Picture 169170448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sidR="004C2B8C" w:rsidRPr="00880992">
      <w:rPr>
        <w:noProof w:val="0"/>
      </w:rPr>
      <w:fldChar w:fldCharType="begin"/>
    </w:r>
    <w:r w:rsidR="004C2B8C" w:rsidRPr="00880992">
      <w:instrText xml:space="preserve"> PAGE   \* MERGEFORMAT </w:instrText>
    </w:r>
    <w:r w:rsidR="004C2B8C" w:rsidRPr="00880992">
      <w:rPr>
        <w:noProof w:val="0"/>
      </w:rPr>
      <w:fldChar w:fldCharType="separate"/>
    </w:r>
    <w:r w:rsidR="009C79B5">
      <w:t>2</w:t>
    </w:r>
    <w:r w:rsidR="004C2B8C" w:rsidRPr="00880992">
      <w:fldChar w:fldCharType="end"/>
    </w:r>
    <w:r w:rsidR="004C2B8C" w:rsidRPr="00880992">
      <w:t xml:space="preserve"> </w:t>
    </w:r>
    <w:r w:rsidR="000937D2">
      <w:t>–</w:t>
    </w:r>
    <w:r w:rsidR="004C2B8C" w:rsidRPr="0088099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B436" w14:textId="7E3F8A76" w:rsidR="00F85669" w:rsidRDefault="005E53B9" w:rsidP="00273ED3">
    <w:pPr>
      <w:ind w:left="-1417"/>
      <w:jc w:val="center"/>
    </w:pPr>
    <w:r w:rsidRPr="00880992">
      <w:rPr>
        <w:noProof/>
      </w:rPr>
      <w:drawing>
        <wp:anchor distT="0" distB="0" distL="114300" distR="114300" simplePos="0" relativeHeight="251658243" behindDoc="1" locked="0" layoutInCell="1" allowOverlap="1" wp14:anchorId="66AFC767" wp14:editId="7817C1BF">
          <wp:simplePos x="0" y="0"/>
          <wp:positionH relativeFrom="page">
            <wp:posOffset>18661</wp:posOffset>
          </wp:positionH>
          <wp:positionV relativeFrom="page">
            <wp:posOffset>6634065</wp:posOffset>
          </wp:positionV>
          <wp:extent cx="10669505" cy="946785"/>
          <wp:effectExtent l="0" t="0" r="0" b="5715"/>
          <wp:wrapNone/>
          <wp:docPr id="1016720662" name="Picture 101672066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8543" cy="9520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9215" w14:textId="77777777" w:rsidR="00E9225A" w:rsidRDefault="00E9225A" w:rsidP="008F3023">
      <w:pPr>
        <w:spacing w:after="0" w:line="240" w:lineRule="auto"/>
      </w:pPr>
      <w:r>
        <w:separator/>
      </w:r>
    </w:p>
  </w:footnote>
  <w:footnote w:type="continuationSeparator" w:id="0">
    <w:p w14:paraId="408DB6F0" w14:textId="77777777" w:rsidR="00E9225A" w:rsidRDefault="00E9225A" w:rsidP="008F3023">
      <w:pPr>
        <w:spacing w:after="0" w:line="240" w:lineRule="auto"/>
      </w:pPr>
      <w:r>
        <w:continuationSeparator/>
      </w:r>
    </w:p>
  </w:footnote>
  <w:footnote w:type="continuationNotice" w:id="1">
    <w:p w14:paraId="539CCF46" w14:textId="77777777" w:rsidR="00E9225A" w:rsidRDefault="00E9225A">
      <w:pPr>
        <w:spacing w:after="0" w:line="240" w:lineRule="auto"/>
      </w:pPr>
    </w:p>
  </w:footnote>
  <w:footnote w:id="2">
    <w:p w14:paraId="3828F47F" w14:textId="60D670C8" w:rsidR="00B43126" w:rsidRPr="00B43126" w:rsidRDefault="00B43126">
      <w:pPr>
        <w:pStyle w:val="FootnoteText"/>
        <w:rPr>
          <w:lang w:val="en-US"/>
        </w:rPr>
      </w:pPr>
      <w:r>
        <w:rPr>
          <w:rStyle w:val="FootnoteReference"/>
        </w:rPr>
        <w:footnoteRef/>
      </w:r>
      <w:r>
        <w:t xml:space="preserve"> </w:t>
      </w:r>
      <w:r w:rsidRPr="007473D5">
        <w:rPr>
          <w:rFonts w:ascii="Open Sans" w:hAnsi="Open Sans" w:cs="Open Sans"/>
          <w:sz w:val="18"/>
          <w:szCs w:val="18"/>
        </w:rPr>
        <w:t xml:space="preserve">The National Agreement on Closing the Gap defines an Aboriginal and/or Torres Strait Islander Community-Controlled Organisation as one that delivers services, including land and resource management, that builds the strength and empowerment of Aboriginal and Torres Strait Islander communities and people and is: a) incorporated under relevant legislation and not-for-profit; b) </w:t>
      </w:r>
      <w:r w:rsidRPr="00AD2C83">
        <w:rPr>
          <w:rFonts w:ascii="Open Sans" w:hAnsi="Open Sans" w:cs="Open Sans"/>
          <w:sz w:val="18"/>
        </w:rPr>
        <w:t>controlled</w:t>
      </w:r>
      <w:r w:rsidRPr="007473D5">
        <w:rPr>
          <w:rFonts w:ascii="Open Sans" w:hAnsi="Open Sans" w:cs="Open Sans"/>
          <w:sz w:val="18"/>
          <w:szCs w:val="18"/>
        </w:rPr>
        <w:t xml:space="preserve"> and operated by Aboriginal and/or Torres Strait Islander people; c) connected to the community, or communities, in which they deliver the services; and d) governed by a majority Aboriginal and/or Torres Strait Islander governing body.</w:t>
      </w:r>
    </w:p>
  </w:footnote>
  <w:footnote w:id="3">
    <w:p w14:paraId="00A6D467" w14:textId="68381FD3" w:rsidR="00913686" w:rsidRPr="00D55879" w:rsidRDefault="00913686" w:rsidP="00913686">
      <w:pPr>
        <w:rPr>
          <w:rFonts w:ascii="Open Sans" w:hAnsi="Open Sans" w:cs="Open Sans"/>
          <w:sz w:val="18"/>
          <w:szCs w:val="20"/>
        </w:rPr>
      </w:pPr>
      <w:r w:rsidRPr="00FE3B52">
        <w:rPr>
          <w:rStyle w:val="FootnoteReference"/>
          <w:rFonts w:ascii="Open Sans" w:hAnsi="Open Sans" w:cs="Open Sans"/>
          <w:sz w:val="18"/>
          <w:szCs w:val="20"/>
        </w:rPr>
        <w:footnoteRef/>
      </w:r>
      <w:r w:rsidRPr="00FE3B52">
        <w:rPr>
          <w:rFonts w:ascii="Open Sans" w:hAnsi="Open Sans" w:cs="Open Sans"/>
          <w:sz w:val="18"/>
          <w:szCs w:val="20"/>
        </w:rPr>
        <w:t xml:space="preserve">  “Proportionate universalism is the resourcing and delivering of universal services at a scale and intensity proportionate to the degree of need. Services are therefore universally available, not only for the most disadvantaged, and are able to respond to the level of presenting need.</w:t>
      </w:r>
      <w:r>
        <w:rPr>
          <w:rFonts w:ascii="Open Sans" w:hAnsi="Open Sans" w:cs="Open Sans"/>
          <w:sz w:val="18"/>
          <w:szCs w:val="20"/>
        </w:rPr>
        <w:t>”</w:t>
      </w:r>
      <w:r w:rsidRPr="00FE3B52">
        <w:rPr>
          <w:rFonts w:ascii="Open Sans" w:hAnsi="Open Sans" w:cs="Open Sans"/>
          <w:sz w:val="18"/>
          <w:szCs w:val="20"/>
        </w:rPr>
        <w:t xml:space="preserve"> (</w:t>
      </w:r>
      <w:r>
        <w:rPr>
          <w:rFonts w:ascii="Open Sans" w:hAnsi="Open Sans" w:cs="Open Sans"/>
          <w:sz w:val="18"/>
          <w:szCs w:val="20"/>
        </w:rPr>
        <w:t xml:space="preserve">Marmot, M (2010), ‘Fair Society, Healthy Lives’ (the Marmot Review), </w:t>
      </w:r>
      <w:r>
        <w:rPr>
          <w:rFonts w:ascii="Open Sans" w:hAnsi="Open Sans" w:cs="Open Sans"/>
          <w:i/>
          <w:iCs/>
          <w:sz w:val="18"/>
          <w:szCs w:val="20"/>
        </w:rPr>
        <w:t xml:space="preserve">Institute of Health Equity, </w:t>
      </w:r>
      <w:hyperlink r:id="rId1" w:history="1">
        <w:r w:rsidRPr="00D55879">
          <w:rPr>
            <w:rStyle w:val="Hyperlink"/>
            <w:rFonts w:ascii="Open Sans" w:hAnsi="Open Sans" w:cs="Open Sans"/>
            <w:sz w:val="18"/>
            <w:szCs w:val="20"/>
          </w:rPr>
          <w:t>https://www.instituteofhealthequity.org/resources-reports/fair-society-healthy-lives-the-marmot-review</w:t>
        </w:r>
      </w:hyperlink>
      <w:r>
        <w:rPr>
          <w:rFonts w:ascii="Open Sans" w:hAnsi="Open Sans" w:cs="Open Sans"/>
          <w:sz w:val="18"/>
          <w:szCs w:val="20"/>
        </w:rPr>
        <w:t>, accessed 16 October 2025).</w:t>
      </w:r>
    </w:p>
    <w:p w14:paraId="1B2F17FC" w14:textId="77777777" w:rsidR="00913686" w:rsidRDefault="00913686" w:rsidP="00913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593" w14:textId="7EA6D3DD" w:rsidR="00CF2913" w:rsidRDefault="00CF2913">
    <w:pPr>
      <w:pStyle w:val="Header"/>
    </w:pPr>
    <w:r w:rsidRPr="00EB1D4F">
      <w:rPr>
        <w:rFonts w:ascii="Open Sans" w:hAnsi="Open Sans" w:cs="Open Sans"/>
        <w:noProof/>
        <w:lang w:eastAsia="en-AU"/>
      </w:rPr>
      <w:drawing>
        <wp:anchor distT="0" distB="0" distL="114300" distR="114300" simplePos="0" relativeHeight="251658242" behindDoc="0" locked="0" layoutInCell="1" allowOverlap="1" wp14:anchorId="611AB24E" wp14:editId="5A6F35B8">
          <wp:simplePos x="0" y="0"/>
          <wp:positionH relativeFrom="column">
            <wp:posOffset>-371061</wp:posOffset>
          </wp:positionH>
          <wp:positionV relativeFrom="paragraph">
            <wp:posOffset>159136</wp:posOffset>
          </wp:positionV>
          <wp:extent cx="3235960" cy="768868"/>
          <wp:effectExtent l="0" t="0" r="2540" b="0"/>
          <wp:wrapSquare wrapText="bothSides"/>
          <wp:docPr id="1681548129" name="Picture 168154812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29A" w14:textId="40235929" w:rsidR="000937D2" w:rsidRDefault="00DF6E8F" w:rsidP="00EE4885">
    <w:pPr>
      <w:pStyle w:val="Header"/>
      <w:pBdr>
        <w:bottom w:val="none" w:sz="0" w:space="0" w:color="auto"/>
      </w:pBdr>
    </w:pPr>
    <w:r w:rsidRPr="00EB1D4F">
      <w:rPr>
        <w:rFonts w:ascii="Open Sans" w:hAnsi="Open Sans" w:cs="Open Sans"/>
        <w:noProof/>
        <w:lang w:eastAsia="en-AU"/>
      </w:rPr>
      <w:drawing>
        <wp:anchor distT="0" distB="0" distL="114300" distR="114300" simplePos="0" relativeHeight="251658241" behindDoc="0" locked="0" layoutInCell="1" allowOverlap="1" wp14:anchorId="27204A4B" wp14:editId="40610999">
          <wp:simplePos x="0" y="0"/>
          <wp:positionH relativeFrom="column">
            <wp:posOffset>-384175</wp:posOffset>
          </wp:positionH>
          <wp:positionV relativeFrom="paragraph">
            <wp:posOffset>227734</wp:posOffset>
          </wp:positionV>
          <wp:extent cx="3235960" cy="768868"/>
          <wp:effectExtent l="0" t="0" r="2540" b="0"/>
          <wp:wrapSquare wrapText="bothSides"/>
          <wp:docPr id="500365846" name="Picture 500365846"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9A"/>
    <w:multiLevelType w:val="hybridMultilevel"/>
    <w:tmpl w:val="B0F67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000EA2"/>
    <w:multiLevelType w:val="hybridMultilevel"/>
    <w:tmpl w:val="00E80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733B5"/>
    <w:multiLevelType w:val="hybridMultilevel"/>
    <w:tmpl w:val="D966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90F01"/>
    <w:multiLevelType w:val="hybridMultilevel"/>
    <w:tmpl w:val="AF7A8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E61DA"/>
    <w:multiLevelType w:val="hybridMultilevel"/>
    <w:tmpl w:val="70B2C71E"/>
    <w:lvl w:ilvl="0" w:tplc="4D1696A4">
      <w:start w:val="1"/>
      <w:numFmt w:val="bullet"/>
      <w:lvlText w:val="•"/>
      <w:lvlJc w:val="left"/>
      <w:pPr>
        <w:tabs>
          <w:tab w:val="num" w:pos="360"/>
        </w:tabs>
        <w:ind w:left="360" w:hanging="360"/>
      </w:pPr>
      <w:rPr>
        <w:rFonts w:ascii="Arial" w:hAnsi="Arial" w:hint="default"/>
      </w:rPr>
    </w:lvl>
    <w:lvl w:ilvl="1" w:tplc="9BDCC88E" w:tentative="1">
      <w:start w:val="1"/>
      <w:numFmt w:val="bullet"/>
      <w:lvlText w:val="•"/>
      <w:lvlJc w:val="left"/>
      <w:pPr>
        <w:tabs>
          <w:tab w:val="num" w:pos="1080"/>
        </w:tabs>
        <w:ind w:left="1080" w:hanging="360"/>
      </w:pPr>
      <w:rPr>
        <w:rFonts w:ascii="Arial" w:hAnsi="Arial" w:hint="default"/>
      </w:rPr>
    </w:lvl>
    <w:lvl w:ilvl="2" w:tplc="9DAE94BA" w:tentative="1">
      <w:start w:val="1"/>
      <w:numFmt w:val="bullet"/>
      <w:lvlText w:val="•"/>
      <w:lvlJc w:val="left"/>
      <w:pPr>
        <w:tabs>
          <w:tab w:val="num" w:pos="1800"/>
        </w:tabs>
        <w:ind w:left="1800" w:hanging="360"/>
      </w:pPr>
      <w:rPr>
        <w:rFonts w:ascii="Arial" w:hAnsi="Arial" w:hint="default"/>
      </w:rPr>
    </w:lvl>
    <w:lvl w:ilvl="3" w:tplc="51187E30" w:tentative="1">
      <w:start w:val="1"/>
      <w:numFmt w:val="bullet"/>
      <w:lvlText w:val="•"/>
      <w:lvlJc w:val="left"/>
      <w:pPr>
        <w:tabs>
          <w:tab w:val="num" w:pos="2520"/>
        </w:tabs>
        <w:ind w:left="2520" w:hanging="360"/>
      </w:pPr>
      <w:rPr>
        <w:rFonts w:ascii="Arial" w:hAnsi="Arial" w:hint="default"/>
      </w:rPr>
    </w:lvl>
    <w:lvl w:ilvl="4" w:tplc="91AE6216" w:tentative="1">
      <w:start w:val="1"/>
      <w:numFmt w:val="bullet"/>
      <w:lvlText w:val="•"/>
      <w:lvlJc w:val="left"/>
      <w:pPr>
        <w:tabs>
          <w:tab w:val="num" w:pos="3240"/>
        </w:tabs>
        <w:ind w:left="3240" w:hanging="360"/>
      </w:pPr>
      <w:rPr>
        <w:rFonts w:ascii="Arial" w:hAnsi="Arial" w:hint="default"/>
      </w:rPr>
    </w:lvl>
    <w:lvl w:ilvl="5" w:tplc="5FA25558" w:tentative="1">
      <w:start w:val="1"/>
      <w:numFmt w:val="bullet"/>
      <w:lvlText w:val="•"/>
      <w:lvlJc w:val="left"/>
      <w:pPr>
        <w:tabs>
          <w:tab w:val="num" w:pos="3960"/>
        </w:tabs>
        <w:ind w:left="3960" w:hanging="360"/>
      </w:pPr>
      <w:rPr>
        <w:rFonts w:ascii="Arial" w:hAnsi="Arial" w:hint="default"/>
      </w:rPr>
    </w:lvl>
    <w:lvl w:ilvl="6" w:tplc="7DB8889A" w:tentative="1">
      <w:start w:val="1"/>
      <w:numFmt w:val="bullet"/>
      <w:lvlText w:val="•"/>
      <w:lvlJc w:val="left"/>
      <w:pPr>
        <w:tabs>
          <w:tab w:val="num" w:pos="4680"/>
        </w:tabs>
        <w:ind w:left="4680" w:hanging="360"/>
      </w:pPr>
      <w:rPr>
        <w:rFonts w:ascii="Arial" w:hAnsi="Arial" w:hint="default"/>
      </w:rPr>
    </w:lvl>
    <w:lvl w:ilvl="7" w:tplc="17CAE684" w:tentative="1">
      <w:start w:val="1"/>
      <w:numFmt w:val="bullet"/>
      <w:lvlText w:val="•"/>
      <w:lvlJc w:val="left"/>
      <w:pPr>
        <w:tabs>
          <w:tab w:val="num" w:pos="5400"/>
        </w:tabs>
        <w:ind w:left="5400" w:hanging="360"/>
      </w:pPr>
      <w:rPr>
        <w:rFonts w:ascii="Arial" w:hAnsi="Arial" w:hint="default"/>
      </w:rPr>
    </w:lvl>
    <w:lvl w:ilvl="8" w:tplc="F4C6170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C9E0630"/>
    <w:multiLevelType w:val="multilevel"/>
    <w:tmpl w:val="6EFE8BB2"/>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CC3606"/>
    <w:multiLevelType w:val="hybridMultilevel"/>
    <w:tmpl w:val="70B8D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776E2"/>
    <w:multiLevelType w:val="hybridMultilevel"/>
    <w:tmpl w:val="F87C6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7D48BB"/>
    <w:multiLevelType w:val="multilevel"/>
    <w:tmpl w:val="9E5A88FE"/>
    <w:lvl w:ilvl="0">
      <w:start w:val="1"/>
      <w:numFmt w:val="bullet"/>
      <w:pStyle w:val="ListParagraph"/>
      <w:lvlText w:val=""/>
      <w:lvlJc w:val="left"/>
      <w:pPr>
        <w:ind w:left="720" w:hanging="363"/>
      </w:pPr>
      <w:rPr>
        <w:rFonts w:ascii="Symbol" w:hAnsi="Symbol" w:hint="default"/>
      </w:rPr>
    </w:lvl>
    <w:lvl w:ilvl="1">
      <w:numFmt w:val="bullet"/>
      <w:lvlText w:val="–"/>
      <w:lvlJc w:val="left"/>
      <w:pPr>
        <w:tabs>
          <w:tab w:val="num" w:pos="1077"/>
        </w:tabs>
        <w:ind w:left="1440" w:hanging="363"/>
      </w:pPr>
      <w:rPr>
        <w:rFonts w:ascii="Courier New" w:hAnsi="Courier New" w:hint="default"/>
      </w:rPr>
    </w:lvl>
    <w:lvl w:ilvl="2">
      <w:numFmt w:val="bullet"/>
      <w:lvlText w:val="▪"/>
      <w:lvlJc w:val="left"/>
      <w:pPr>
        <w:ind w:left="2160" w:hanging="363"/>
      </w:pPr>
      <w:rPr>
        <w:rFonts w:ascii="Courier New" w:hAnsi="Courier New" w:hint="default"/>
      </w:rPr>
    </w:lvl>
    <w:lvl w:ilvl="3">
      <w:numFmt w:val="bullet"/>
      <w:lvlText w:val=""/>
      <w:lvlJc w:val="left"/>
      <w:pPr>
        <w:ind w:left="2880" w:hanging="363"/>
      </w:pPr>
      <w:rPr>
        <w:rFonts w:ascii="Symbol" w:hAnsi="Symbol" w:hint="default"/>
      </w:rPr>
    </w:lvl>
    <w:lvl w:ilvl="4">
      <w:numFmt w:val="bullet"/>
      <w:lvlText w:val="–"/>
      <w:lvlJc w:val="left"/>
      <w:pPr>
        <w:ind w:left="3600" w:hanging="362"/>
      </w:pPr>
      <w:rPr>
        <w:rFonts w:ascii="Courier New" w:hAnsi="Courier New" w:hint="default"/>
      </w:rPr>
    </w:lvl>
    <w:lvl w:ilvl="5">
      <w:numFmt w:val="bullet"/>
      <w:lvlText w:val=""/>
      <w:lvlJc w:val="left"/>
      <w:pPr>
        <w:ind w:left="4321" w:hanging="363"/>
      </w:pPr>
      <w:rPr>
        <w:rFonts w:ascii="Wingdings" w:hAnsi="Wingdings" w:hint="default"/>
      </w:rPr>
    </w:lvl>
    <w:lvl w:ilvl="6">
      <w:numFmt w:val="bullet"/>
      <w:lvlText w:val=""/>
      <w:lvlJc w:val="left"/>
      <w:pPr>
        <w:tabs>
          <w:tab w:val="num" w:pos="4678"/>
        </w:tabs>
        <w:ind w:left="5041" w:hanging="363"/>
      </w:pPr>
      <w:rPr>
        <w:rFonts w:ascii="Symbol" w:hAnsi="Symbol" w:hint="default"/>
      </w:rPr>
    </w:lvl>
    <w:lvl w:ilvl="7">
      <w:numFmt w:val="bullet"/>
      <w:lvlText w:val="–"/>
      <w:lvlJc w:val="left"/>
      <w:pPr>
        <w:tabs>
          <w:tab w:val="num" w:pos="5398"/>
        </w:tabs>
        <w:ind w:left="5761" w:hanging="363"/>
      </w:pPr>
      <w:rPr>
        <w:rFonts w:ascii="Courier New" w:hAnsi="Courier New" w:hint="default"/>
      </w:rPr>
    </w:lvl>
    <w:lvl w:ilvl="8">
      <w:numFmt w:val="bullet"/>
      <w:lvlText w:val=""/>
      <w:lvlJc w:val="left"/>
      <w:pPr>
        <w:ind w:left="6481" w:hanging="363"/>
      </w:pPr>
      <w:rPr>
        <w:rFonts w:ascii="Wingdings" w:hAnsi="Wingdings" w:hint="default"/>
      </w:rPr>
    </w:lvl>
  </w:abstractNum>
  <w:abstractNum w:abstractNumId="9"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DC28FD"/>
    <w:multiLevelType w:val="hybridMultilevel"/>
    <w:tmpl w:val="4622115E"/>
    <w:lvl w:ilvl="0" w:tplc="8FE497DA">
      <w:start w:val="1"/>
      <w:numFmt w:val="bullet"/>
      <w:lvlText w:val="•"/>
      <w:lvlJc w:val="left"/>
      <w:pPr>
        <w:tabs>
          <w:tab w:val="num" w:pos="360"/>
        </w:tabs>
        <w:ind w:left="360" w:hanging="360"/>
      </w:pPr>
      <w:rPr>
        <w:rFonts w:ascii="Arial" w:hAnsi="Arial" w:hint="default"/>
      </w:rPr>
    </w:lvl>
    <w:lvl w:ilvl="1" w:tplc="0160265A" w:tentative="1">
      <w:start w:val="1"/>
      <w:numFmt w:val="bullet"/>
      <w:lvlText w:val="•"/>
      <w:lvlJc w:val="left"/>
      <w:pPr>
        <w:tabs>
          <w:tab w:val="num" w:pos="1080"/>
        </w:tabs>
        <w:ind w:left="1080" w:hanging="360"/>
      </w:pPr>
      <w:rPr>
        <w:rFonts w:ascii="Arial" w:hAnsi="Arial" w:hint="default"/>
      </w:rPr>
    </w:lvl>
    <w:lvl w:ilvl="2" w:tplc="BC2C69CE" w:tentative="1">
      <w:start w:val="1"/>
      <w:numFmt w:val="bullet"/>
      <w:lvlText w:val="•"/>
      <w:lvlJc w:val="left"/>
      <w:pPr>
        <w:tabs>
          <w:tab w:val="num" w:pos="1800"/>
        </w:tabs>
        <w:ind w:left="1800" w:hanging="360"/>
      </w:pPr>
      <w:rPr>
        <w:rFonts w:ascii="Arial" w:hAnsi="Arial" w:hint="default"/>
      </w:rPr>
    </w:lvl>
    <w:lvl w:ilvl="3" w:tplc="6422DF6A" w:tentative="1">
      <w:start w:val="1"/>
      <w:numFmt w:val="bullet"/>
      <w:lvlText w:val="•"/>
      <w:lvlJc w:val="left"/>
      <w:pPr>
        <w:tabs>
          <w:tab w:val="num" w:pos="2520"/>
        </w:tabs>
        <w:ind w:left="2520" w:hanging="360"/>
      </w:pPr>
      <w:rPr>
        <w:rFonts w:ascii="Arial" w:hAnsi="Arial" w:hint="default"/>
      </w:rPr>
    </w:lvl>
    <w:lvl w:ilvl="4" w:tplc="A3103C58" w:tentative="1">
      <w:start w:val="1"/>
      <w:numFmt w:val="bullet"/>
      <w:lvlText w:val="•"/>
      <w:lvlJc w:val="left"/>
      <w:pPr>
        <w:tabs>
          <w:tab w:val="num" w:pos="3240"/>
        </w:tabs>
        <w:ind w:left="3240" w:hanging="360"/>
      </w:pPr>
      <w:rPr>
        <w:rFonts w:ascii="Arial" w:hAnsi="Arial" w:hint="default"/>
      </w:rPr>
    </w:lvl>
    <w:lvl w:ilvl="5" w:tplc="49CCAED0" w:tentative="1">
      <w:start w:val="1"/>
      <w:numFmt w:val="bullet"/>
      <w:lvlText w:val="•"/>
      <w:lvlJc w:val="left"/>
      <w:pPr>
        <w:tabs>
          <w:tab w:val="num" w:pos="3960"/>
        </w:tabs>
        <w:ind w:left="3960" w:hanging="360"/>
      </w:pPr>
      <w:rPr>
        <w:rFonts w:ascii="Arial" w:hAnsi="Arial" w:hint="default"/>
      </w:rPr>
    </w:lvl>
    <w:lvl w:ilvl="6" w:tplc="CCF0870A" w:tentative="1">
      <w:start w:val="1"/>
      <w:numFmt w:val="bullet"/>
      <w:lvlText w:val="•"/>
      <w:lvlJc w:val="left"/>
      <w:pPr>
        <w:tabs>
          <w:tab w:val="num" w:pos="4680"/>
        </w:tabs>
        <w:ind w:left="4680" w:hanging="360"/>
      </w:pPr>
      <w:rPr>
        <w:rFonts w:ascii="Arial" w:hAnsi="Arial" w:hint="default"/>
      </w:rPr>
    </w:lvl>
    <w:lvl w:ilvl="7" w:tplc="E9E6BF92" w:tentative="1">
      <w:start w:val="1"/>
      <w:numFmt w:val="bullet"/>
      <w:lvlText w:val="•"/>
      <w:lvlJc w:val="left"/>
      <w:pPr>
        <w:tabs>
          <w:tab w:val="num" w:pos="5400"/>
        </w:tabs>
        <w:ind w:left="5400" w:hanging="360"/>
      </w:pPr>
      <w:rPr>
        <w:rFonts w:ascii="Arial" w:hAnsi="Arial" w:hint="default"/>
      </w:rPr>
    </w:lvl>
    <w:lvl w:ilvl="8" w:tplc="EE9ED77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2C20A22"/>
    <w:multiLevelType w:val="hybridMultilevel"/>
    <w:tmpl w:val="E9B41BB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2" w15:restartNumberingAfterBreak="0">
    <w:nsid w:val="3329623B"/>
    <w:multiLevelType w:val="hybridMultilevel"/>
    <w:tmpl w:val="6B343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5276E5"/>
    <w:multiLevelType w:val="hybridMultilevel"/>
    <w:tmpl w:val="E3FCD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D16477"/>
    <w:multiLevelType w:val="hybridMultilevel"/>
    <w:tmpl w:val="071AE0E0"/>
    <w:lvl w:ilvl="0" w:tplc="98FA33D4">
      <w:start w:val="1"/>
      <w:numFmt w:val="bullet"/>
      <w:lvlText w:val=""/>
      <w:lvlJc w:val="left"/>
      <w:pPr>
        <w:ind w:left="1020" w:hanging="360"/>
      </w:pPr>
      <w:rPr>
        <w:rFonts w:ascii="Symbol" w:hAnsi="Symbol"/>
      </w:rPr>
    </w:lvl>
    <w:lvl w:ilvl="1" w:tplc="A4DAD764">
      <w:start w:val="1"/>
      <w:numFmt w:val="bullet"/>
      <w:lvlText w:val=""/>
      <w:lvlJc w:val="left"/>
      <w:pPr>
        <w:ind w:left="1020" w:hanging="360"/>
      </w:pPr>
      <w:rPr>
        <w:rFonts w:ascii="Symbol" w:hAnsi="Symbol"/>
      </w:rPr>
    </w:lvl>
    <w:lvl w:ilvl="2" w:tplc="ADC635A6">
      <w:start w:val="1"/>
      <w:numFmt w:val="bullet"/>
      <w:lvlText w:val=""/>
      <w:lvlJc w:val="left"/>
      <w:pPr>
        <w:ind w:left="1020" w:hanging="360"/>
      </w:pPr>
      <w:rPr>
        <w:rFonts w:ascii="Symbol" w:hAnsi="Symbol"/>
      </w:rPr>
    </w:lvl>
    <w:lvl w:ilvl="3" w:tplc="6AFCD5DA">
      <w:start w:val="1"/>
      <w:numFmt w:val="bullet"/>
      <w:lvlText w:val=""/>
      <w:lvlJc w:val="left"/>
      <w:pPr>
        <w:ind w:left="1020" w:hanging="360"/>
      </w:pPr>
      <w:rPr>
        <w:rFonts w:ascii="Symbol" w:hAnsi="Symbol"/>
      </w:rPr>
    </w:lvl>
    <w:lvl w:ilvl="4" w:tplc="AAF62EF4">
      <w:start w:val="1"/>
      <w:numFmt w:val="bullet"/>
      <w:lvlText w:val=""/>
      <w:lvlJc w:val="left"/>
      <w:pPr>
        <w:ind w:left="1020" w:hanging="360"/>
      </w:pPr>
      <w:rPr>
        <w:rFonts w:ascii="Symbol" w:hAnsi="Symbol"/>
      </w:rPr>
    </w:lvl>
    <w:lvl w:ilvl="5" w:tplc="94F2B276">
      <w:start w:val="1"/>
      <w:numFmt w:val="bullet"/>
      <w:lvlText w:val=""/>
      <w:lvlJc w:val="left"/>
      <w:pPr>
        <w:ind w:left="1020" w:hanging="360"/>
      </w:pPr>
      <w:rPr>
        <w:rFonts w:ascii="Symbol" w:hAnsi="Symbol"/>
      </w:rPr>
    </w:lvl>
    <w:lvl w:ilvl="6" w:tplc="00E007F0">
      <w:start w:val="1"/>
      <w:numFmt w:val="bullet"/>
      <w:lvlText w:val=""/>
      <w:lvlJc w:val="left"/>
      <w:pPr>
        <w:ind w:left="1020" w:hanging="360"/>
      </w:pPr>
      <w:rPr>
        <w:rFonts w:ascii="Symbol" w:hAnsi="Symbol"/>
      </w:rPr>
    </w:lvl>
    <w:lvl w:ilvl="7" w:tplc="E0A477C0">
      <w:start w:val="1"/>
      <w:numFmt w:val="bullet"/>
      <w:lvlText w:val=""/>
      <w:lvlJc w:val="left"/>
      <w:pPr>
        <w:ind w:left="1020" w:hanging="360"/>
      </w:pPr>
      <w:rPr>
        <w:rFonts w:ascii="Symbol" w:hAnsi="Symbol"/>
      </w:rPr>
    </w:lvl>
    <w:lvl w:ilvl="8" w:tplc="9790EE3A">
      <w:start w:val="1"/>
      <w:numFmt w:val="bullet"/>
      <w:lvlText w:val=""/>
      <w:lvlJc w:val="left"/>
      <w:pPr>
        <w:ind w:left="1020" w:hanging="360"/>
      </w:pPr>
      <w:rPr>
        <w:rFonts w:ascii="Symbol" w:hAnsi="Symbol"/>
      </w:rPr>
    </w:lvl>
  </w:abstractNum>
  <w:abstractNum w:abstractNumId="15" w15:restartNumberingAfterBreak="0">
    <w:nsid w:val="3F572A37"/>
    <w:multiLevelType w:val="hybridMultilevel"/>
    <w:tmpl w:val="75D26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8F1BD8"/>
    <w:multiLevelType w:val="hybridMultilevel"/>
    <w:tmpl w:val="AE3CC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91080"/>
    <w:multiLevelType w:val="hybridMultilevel"/>
    <w:tmpl w:val="6E9CF23E"/>
    <w:lvl w:ilvl="0" w:tplc="CE449494">
      <w:start w:val="1"/>
      <w:numFmt w:val="bullet"/>
      <w:lvlText w:val="•"/>
      <w:lvlJc w:val="left"/>
      <w:pPr>
        <w:tabs>
          <w:tab w:val="num" w:pos="360"/>
        </w:tabs>
        <w:ind w:left="360" w:hanging="360"/>
      </w:pPr>
      <w:rPr>
        <w:rFonts w:ascii="Arial" w:hAnsi="Arial" w:hint="default"/>
      </w:rPr>
    </w:lvl>
    <w:lvl w:ilvl="1" w:tplc="6E6A58E6" w:tentative="1">
      <w:start w:val="1"/>
      <w:numFmt w:val="bullet"/>
      <w:lvlText w:val="•"/>
      <w:lvlJc w:val="left"/>
      <w:pPr>
        <w:tabs>
          <w:tab w:val="num" w:pos="1080"/>
        </w:tabs>
        <w:ind w:left="1080" w:hanging="360"/>
      </w:pPr>
      <w:rPr>
        <w:rFonts w:ascii="Arial" w:hAnsi="Arial" w:hint="default"/>
      </w:rPr>
    </w:lvl>
    <w:lvl w:ilvl="2" w:tplc="0B9C9BE6" w:tentative="1">
      <w:start w:val="1"/>
      <w:numFmt w:val="bullet"/>
      <w:lvlText w:val="•"/>
      <w:lvlJc w:val="left"/>
      <w:pPr>
        <w:tabs>
          <w:tab w:val="num" w:pos="1800"/>
        </w:tabs>
        <w:ind w:left="1800" w:hanging="360"/>
      </w:pPr>
      <w:rPr>
        <w:rFonts w:ascii="Arial" w:hAnsi="Arial" w:hint="default"/>
      </w:rPr>
    </w:lvl>
    <w:lvl w:ilvl="3" w:tplc="51E64228" w:tentative="1">
      <w:start w:val="1"/>
      <w:numFmt w:val="bullet"/>
      <w:lvlText w:val="•"/>
      <w:lvlJc w:val="left"/>
      <w:pPr>
        <w:tabs>
          <w:tab w:val="num" w:pos="2520"/>
        </w:tabs>
        <w:ind w:left="2520" w:hanging="360"/>
      </w:pPr>
      <w:rPr>
        <w:rFonts w:ascii="Arial" w:hAnsi="Arial" w:hint="default"/>
      </w:rPr>
    </w:lvl>
    <w:lvl w:ilvl="4" w:tplc="7C72A2B2" w:tentative="1">
      <w:start w:val="1"/>
      <w:numFmt w:val="bullet"/>
      <w:lvlText w:val="•"/>
      <w:lvlJc w:val="left"/>
      <w:pPr>
        <w:tabs>
          <w:tab w:val="num" w:pos="3240"/>
        </w:tabs>
        <w:ind w:left="3240" w:hanging="360"/>
      </w:pPr>
      <w:rPr>
        <w:rFonts w:ascii="Arial" w:hAnsi="Arial" w:hint="default"/>
      </w:rPr>
    </w:lvl>
    <w:lvl w:ilvl="5" w:tplc="26E20678" w:tentative="1">
      <w:start w:val="1"/>
      <w:numFmt w:val="bullet"/>
      <w:lvlText w:val="•"/>
      <w:lvlJc w:val="left"/>
      <w:pPr>
        <w:tabs>
          <w:tab w:val="num" w:pos="3960"/>
        </w:tabs>
        <w:ind w:left="3960" w:hanging="360"/>
      </w:pPr>
      <w:rPr>
        <w:rFonts w:ascii="Arial" w:hAnsi="Arial" w:hint="default"/>
      </w:rPr>
    </w:lvl>
    <w:lvl w:ilvl="6" w:tplc="9782023E" w:tentative="1">
      <w:start w:val="1"/>
      <w:numFmt w:val="bullet"/>
      <w:lvlText w:val="•"/>
      <w:lvlJc w:val="left"/>
      <w:pPr>
        <w:tabs>
          <w:tab w:val="num" w:pos="4680"/>
        </w:tabs>
        <w:ind w:left="4680" w:hanging="360"/>
      </w:pPr>
      <w:rPr>
        <w:rFonts w:ascii="Arial" w:hAnsi="Arial" w:hint="default"/>
      </w:rPr>
    </w:lvl>
    <w:lvl w:ilvl="7" w:tplc="538A408C" w:tentative="1">
      <w:start w:val="1"/>
      <w:numFmt w:val="bullet"/>
      <w:lvlText w:val="•"/>
      <w:lvlJc w:val="left"/>
      <w:pPr>
        <w:tabs>
          <w:tab w:val="num" w:pos="5400"/>
        </w:tabs>
        <w:ind w:left="5400" w:hanging="360"/>
      </w:pPr>
      <w:rPr>
        <w:rFonts w:ascii="Arial" w:hAnsi="Arial" w:hint="default"/>
      </w:rPr>
    </w:lvl>
    <w:lvl w:ilvl="8" w:tplc="9496EAA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4E13713"/>
    <w:multiLevelType w:val="hybridMultilevel"/>
    <w:tmpl w:val="3ADEC5C8"/>
    <w:lvl w:ilvl="0" w:tplc="39783BC6">
      <w:start w:val="1"/>
      <w:numFmt w:val="bullet"/>
      <w:lvlText w:val=""/>
      <w:lvlJc w:val="left"/>
      <w:pPr>
        <w:ind w:left="1020" w:hanging="360"/>
      </w:pPr>
      <w:rPr>
        <w:rFonts w:ascii="Symbol" w:hAnsi="Symbol"/>
      </w:rPr>
    </w:lvl>
    <w:lvl w:ilvl="1" w:tplc="A1085718">
      <w:start w:val="1"/>
      <w:numFmt w:val="bullet"/>
      <w:lvlText w:val=""/>
      <w:lvlJc w:val="left"/>
      <w:pPr>
        <w:ind w:left="1020" w:hanging="360"/>
      </w:pPr>
      <w:rPr>
        <w:rFonts w:ascii="Symbol" w:hAnsi="Symbol"/>
      </w:rPr>
    </w:lvl>
    <w:lvl w:ilvl="2" w:tplc="C9DA4014">
      <w:start w:val="1"/>
      <w:numFmt w:val="bullet"/>
      <w:lvlText w:val=""/>
      <w:lvlJc w:val="left"/>
      <w:pPr>
        <w:ind w:left="1020" w:hanging="360"/>
      </w:pPr>
      <w:rPr>
        <w:rFonts w:ascii="Symbol" w:hAnsi="Symbol"/>
      </w:rPr>
    </w:lvl>
    <w:lvl w:ilvl="3" w:tplc="B17C816C">
      <w:start w:val="1"/>
      <w:numFmt w:val="bullet"/>
      <w:lvlText w:val=""/>
      <w:lvlJc w:val="left"/>
      <w:pPr>
        <w:ind w:left="1020" w:hanging="360"/>
      </w:pPr>
      <w:rPr>
        <w:rFonts w:ascii="Symbol" w:hAnsi="Symbol"/>
      </w:rPr>
    </w:lvl>
    <w:lvl w:ilvl="4" w:tplc="6F44F856">
      <w:start w:val="1"/>
      <w:numFmt w:val="bullet"/>
      <w:lvlText w:val=""/>
      <w:lvlJc w:val="left"/>
      <w:pPr>
        <w:ind w:left="1020" w:hanging="360"/>
      </w:pPr>
      <w:rPr>
        <w:rFonts w:ascii="Symbol" w:hAnsi="Symbol"/>
      </w:rPr>
    </w:lvl>
    <w:lvl w:ilvl="5" w:tplc="AE8A9B1C">
      <w:start w:val="1"/>
      <w:numFmt w:val="bullet"/>
      <w:lvlText w:val=""/>
      <w:lvlJc w:val="left"/>
      <w:pPr>
        <w:ind w:left="1020" w:hanging="360"/>
      </w:pPr>
      <w:rPr>
        <w:rFonts w:ascii="Symbol" w:hAnsi="Symbol"/>
      </w:rPr>
    </w:lvl>
    <w:lvl w:ilvl="6" w:tplc="050CEDE2">
      <w:start w:val="1"/>
      <w:numFmt w:val="bullet"/>
      <w:lvlText w:val=""/>
      <w:lvlJc w:val="left"/>
      <w:pPr>
        <w:ind w:left="1020" w:hanging="360"/>
      </w:pPr>
      <w:rPr>
        <w:rFonts w:ascii="Symbol" w:hAnsi="Symbol"/>
      </w:rPr>
    </w:lvl>
    <w:lvl w:ilvl="7" w:tplc="BBE4B67A">
      <w:start w:val="1"/>
      <w:numFmt w:val="bullet"/>
      <w:lvlText w:val=""/>
      <w:lvlJc w:val="left"/>
      <w:pPr>
        <w:ind w:left="1020" w:hanging="360"/>
      </w:pPr>
      <w:rPr>
        <w:rFonts w:ascii="Symbol" w:hAnsi="Symbol"/>
      </w:rPr>
    </w:lvl>
    <w:lvl w:ilvl="8" w:tplc="1E46D526">
      <w:start w:val="1"/>
      <w:numFmt w:val="bullet"/>
      <w:lvlText w:val=""/>
      <w:lvlJc w:val="left"/>
      <w:pPr>
        <w:ind w:left="1020" w:hanging="360"/>
      </w:pPr>
      <w:rPr>
        <w:rFonts w:ascii="Symbol" w:hAnsi="Symbol"/>
      </w:rPr>
    </w:lvl>
  </w:abstractNum>
  <w:abstractNum w:abstractNumId="19" w15:restartNumberingAfterBreak="0">
    <w:nsid w:val="45C3088F"/>
    <w:multiLevelType w:val="hybridMultilevel"/>
    <w:tmpl w:val="31168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65422F"/>
    <w:multiLevelType w:val="hybridMultilevel"/>
    <w:tmpl w:val="97508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033F57"/>
    <w:multiLevelType w:val="hybridMultilevel"/>
    <w:tmpl w:val="4220163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2" w15:restartNumberingAfterBreak="0">
    <w:nsid w:val="67BE22A9"/>
    <w:multiLevelType w:val="hybridMultilevel"/>
    <w:tmpl w:val="E91A2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CD6C86"/>
    <w:multiLevelType w:val="hybridMultilevel"/>
    <w:tmpl w:val="1DD6FDA0"/>
    <w:lvl w:ilvl="0" w:tplc="A65E0FD4">
      <w:start w:val="1"/>
      <w:numFmt w:val="bullet"/>
      <w:lvlText w:val="•"/>
      <w:lvlJc w:val="left"/>
      <w:pPr>
        <w:tabs>
          <w:tab w:val="num" w:pos="360"/>
        </w:tabs>
        <w:ind w:left="360" w:hanging="360"/>
      </w:pPr>
      <w:rPr>
        <w:rFonts w:ascii="Arial" w:hAnsi="Arial" w:hint="default"/>
      </w:rPr>
    </w:lvl>
    <w:lvl w:ilvl="1" w:tplc="82381BE0" w:tentative="1">
      <w:start w:val="1"/>
      <w:numFmt w:val="bullet"/>
      <w:lvlText w:val="•"/>
      <w:lvlJc w:val="left"/>
      <w:pPr>
        <w:tabs>
          <w:tab w:val="num" w:pos="1080"/>
        </w:tabs>
        <w:ind w:left="1080" w:hanging="360"/>
      </w:pPr>
      <w:rPr>
        <w:rFonts w:ascii="Arial" w:hAnsi="Arial" w:hint="default"/>
      </w:rPr>
    </w:lvl>
    <w:lvl w:ilvl="2" w:tplc="C7F482DE" w:tentative="1">
      <w:start w:val="1"/>
      <w:numFmt w:val="bullet"/>
      <w:lvlText w:val="•"/>
      <w:lvlJc w:val="left"/>
      <w:pPr>
        <w:tabs>
          <w:tab w:val="num" w:pos="1800"/>
        </w:tabs>
        <w:ind w:left="1800" w:hanging="360"/>
      </w:pPr>
      <w:rPr>
        <w:rFonts w:ascii="Arial" w:hAnsi="Arial" w:hint="default"/>
      </w:rPr>
    </w:lvl>
    <w:lvl w:ilvl="3" w:tplc="EB92E6B4" w:tentative="1">
      <w:start w:val="1"/>
      <w:numFmt w:val="bullet"/>
      <w:lvlText w:val="•"/>
      <w:lvlJc w:val="left"/>
      <w:pPr>
        <w:tabs>
          <w:tab w:val="num" w:pos="2520"/>
        </w:tabs>
        <w:ind w:left="2520" w:hanging="360"/>
      </w:pPr>
      <w:rPr>
        <w:rFonts w:ascii="Arial" w:hAnsi="Arial" w:hint="default"/>
      </w:rPr>
    </w:lvl>
    <w:lvl w:ilvl="4" w:tplc="4EFC7224" w:tentative="1">
      <w:start w:val="1"/>
      <w:numFmt w:val="bullet"/>
      <w:lvlText w:val="•"/>
      <w:lvlJc w:val="left"/>
      <w:pPr>
        <w:tabs>
          <w:tab w:val="num" w:pos="3240"/>
        </w:tabs>
        <w:ind w:left="3240" w:hanging="360"/>
      </w:pPr>
      <w:rPr>
        <w:rFonts w:ascii="Arial" w:hAnsi="Arial" w:hint="default"/>
      </w:rPr>
    </w:lvl>
    <w:lvl w:ilvl="5" w:tplc="6EC4E8C2" w:tentative="1">
      <w:start w:val="1"/>
      <w:numFmt w:val="bullet"/>
      <w:lvlText w:val="•"/>
      <w:lvlJc w:val="left"/>
      <w:pPr>
        <w:tabs>
          <w:tab w:val="num" w:pos="3960"/>
        </w:tabs>
        <w:ind w:left="3960" w:hanging="360"/>
      </w:pPr>
      <w:rPr>
        <w:rFonts w:ascii="Arial" w:hAnsi="Arial" w:hint="default"/>
      </w:rPr>
    </w:lvl>
    <w:lvl w:ilvl="6" w:tplc="082A94D4" w:tentative="1">
      <w:start w:val="1"/>
      <w:numFmt w:val="bullet"/>
      <w:lvlText w:val="•"/>
      <w:lvlJc w:val="left"/>
      <w:pPr>
        <w:tabs>
          <w:tab w:val="num" w:pos="4680"/>
        </w:tabs>
        <w:ind w:left="4680" w:hanging="360"/>
      </w:pPr>
      <w:rPr>
        <w:rFonts w:ascii="Arial" w:hAnsi="Arial" w:hint="default"/>
      </w:rPr>
    </w:lvl>
    <w:lvl w:ilvl="7" w:tplc="2E5E5C2E" w:tentative="1">
      <w:start w:val="1"/>
      <w:numFmt w:val="bullet"/>
      <w:lvlText w:val="•"/>
      <w:lvlJc w:val="left"/>
      <w:pPr>
        <w:tabs>
          <w:tab w:val="num" w:pos="5400"/>
        </w:tabs>
        <w:ind w:left="5400" w:hanging="360"/>
      </w:pPr>
      <w:rPr>
        <w:rFonts w:ascii="Arial" w:hAnsi="Arial" w:hint="default"/>
      </w:rPr>
    </w:lvl>
    <w:lvl w:ilvl="8" w:tplc="B05AEF3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B2C539A"/>
    <w:multiLevelType w:val="hybridMultilevel"/>
    <w:tmpl w:val="F12A9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A55A89"/>
    <w:multiLevelType w:val="multilevel"/>
    <w:tmpl w:val="EBE674DA"/>
    <w:lvl w:ilvl="0">
      <w:start w:val="1"/>
      <w:numFmt w:val="bullet"/>
      <w:lvlText w:val=""/>
      <w:lvlJc w:val="left"/>
      <w:pPr>
        <w:ind w:left="284" w:hanging="284"/>
      </w:pPr>
      <w:rPr>
        <w:rFonts w:ascii="Symbol" w:hAnsi="Symbol" w:hint="default"/>
        <w:b/>
        <w:i w:val="0"/>
        <w:color w:val="auto"/>
        <w:sz w:val="18"/>
      </w:rPr>
    </w:lvl>
    <w:lvl w:ilvl="1">
      <w:start w:val="1"/>
      <w:numFmt w:val="bullet"/>
      <w:lvlText w:val="–"/>
      <w:lvlJc w:val="left"/>
      <w:pPr>
        <w:ind w:left="567" w:hanging="283"/>
      </w:pPr>
      <w:rPr>
        <w:rFonts w:ascii="Barlow" w:hAnsi="Barlow" w:hint="default"/>
        <w:color w:val="005A70" w:themeColor="accent1"/>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num w:numId="1" w16cid:durableId="924001684">
    <w:abstractNumId w:val="26"/>
  </w:num>
  <w:num w:numId="2" w16cid:durableId="1516722866">
    <w:abstractNumId w:val="5"/>
  </w:num>
  <w:num w:numId="3" w16cid:durableId="1314525174">
    <w:abstractNumId w:val="9"/>
  </w:num>
  <w:num w:numId="4" w16cid:durableId="1255433390">
    <w:abstractNumId w:val="8"/>
  </w:num>
  <w:num w:numId="5" w16cid:durableId="1992173843">
    <w:abstractNumId w:val="2"/>
  </w:num>
  <w:num w:numId="6" w16cid:durableId="1911386661">
    <w:abstractNumId w:val="20"/>
  </w:num>
  <w:num w:numId="7" w16cid:durableId="239146041">
    <w:abstractNumId w:val="0"/>
  </w:num>
  <w:num w:numId="8" w16cid:durableId="1616018161">
    <w:abstractNumId w:val="13"/>
  </w:num>
  <w:num w:numId="9" w16cid:durableId="1101754362">
    <w:abstractNumId w:val="17"/>
  </w:num>
  <w:num w:numId="10" w16cid:durableId="1610234585">
    <w:abstractNumId w:val="4"/>
  </w:num>
  <w:num w:numId="11" w16cid:durableId="1980912866">
    <w:abstractNumId w:val="23"/>
  </w:num>
  <w:num w:numId="12" w16cid:durableId="2036466900">
    <w:abstractNumId w:val="10"/>
  </w:num>
  <w:num w:numId="13" w16cid:durableId="2038771349">
    <w:abstractNumId w:val="21"/>
  </w:num>
  <w:num w:numId="14" w16cid:durableId="891431339">
    <w:abstractNumId w:val="12"/>
  </w:num>
  <w:num w:numId="15" w16cid:durableId="1595939211">
    <w:abstractNumId w:val="25"/>
  </w:num>
  <w:num w:numId="16" w16cid:durableId="1818104188">
    <w:abstractNumId w:val="24"/>
  </w:num>
  <w:num w:numId="17" w16cid:durableId="1468813368">
    <w:abstractNumId w:val="7"/>
  </w:num>
  <w:num w:numId="18" w16cid:durableId="619454485">
    <w:abstractNumId w:val="1"/>
  </w:num>
  <w:num w:numId="19" w16cid:durableId="1050181401">
    <w:abstractNumId w:val="16"/>
  </w:num>
  <w:num w:numId="20" w16cid:durableId="1659572761">
    <w:abstractNumId w:val="18"/>
  </w:num>
  <w:num w:numId="21" w16cid:durableId="1990597454">
    <w:abstractNumId w:val="14"/>
  </w:num>
  <w:num w:numId="22" w16cid:durableId="458256475">
    <w:abstractNumId w:val="11"/>
  </w:num>
  <w:num w:numId="23" w16cid:durableId="1385520204">
    <w:abstractNumId w:val="6"/>
  </w:num>
  <w:num w:numId="24" w16cid:durableId="190535006">
    <w:abstractNumId w:val="15"/>
  </w:num>
  <w:num w:numId="25" w16cid:durableId="454368946">
    <w:abstractNumId w:val="19"/>
  </w:num>
  <w:num w:numId="26" w16cid:durableId="1556431579">
    <w:abstractNumId w:val="3"/>
  </w:num>
  <w:num w:numId="27" w16cid:durableId="160113478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0"/>
    <w:rsid w:val="0000262A"/>
    <w:rsid w:val="00010938"/>
    <w:rsid w:val="00011816"/>
    <w:rsid w:val="000140B8"/>
    <w:rsid w:val="00030A36"/>
    <w:rsid w:val="000355BE"/>
    <w:rsid w:val="00035B23"/>
    <w:rsid w:val="00036A28"/>
    <w:rsid w:val="000607B8"/>
    <w:rsid w:val="0006283D"/>
    <w:rsid w:val="00064140"/>
    <w:rsid w:val="00074285"/>
    <w:rsid w:val="000744B7"/>
    <w:rsid w:val="00074F32"/>
    <w:rsid w:val="00081610"/>
    <w:rsid w:val="0009231E"/>
    <w:rsid w:val="000937D2"/>
    <w:rsid w:val="000A4A4B"/>
    <w:rsid w:val="000B1BB7"/>
    <w:rsid w:val="000B6075"/>
    <w:rsid w:val="000B7C03"/>
    <w:rsid w:val="000C4279"/>
    <w:rsid w:val="000C4A0F"/>
    <w:rsid w:val="000C600A"/>
    <w:rsid w:val="000C6BF2"/>
    <w:rsid w:val="000D5965"/>
    <w:rsid w:val="000E01CB"/>
    <w:rsid w:val="000E0927"/>
    <w:rsid w:val="000E182C"/>
    <w:rsid w:val="000E32A1"/>
    <w:rsid w:val="000F5F32"/>
    <w:rsid w:val="000F7266"/>
    <w:rsid w:val="000F75FC"/>
    <w:rsid w:val="00104C2D"/>
    <w:rsid w:val="00106273"/>
    <w:rsid w:val="00106CFB"/>
    <w:rsid w:val="00114013"/>
    <w:rsid w:val="0011417A"/>
    <w:rsid w:val="00115CC7"/>
    <w:rsid w:val="00124201"/>
    <w:rsid w:val="00126AC4"/>
    <w:rsid w:val="00127605"/>
    <w:rsid w:val="001354CE"/>
    <w:rsid w:val="00140C99"/>
    <w:rsid w:val="001510D7"/>
    <w:rsid w:val="001521DF"/>
    <w:rsid w:val="0015656B"/>
    <w:rsid w:val="0016045F"/>
    <w:rsid w:val="00161696"/>
    <w:rsid w:val="001652AB"/>
    <w:rsid w:val="00166CA9"/>
    <w:rsid w:val="00172117"/>
    <w:rsid w:val="00175BA5"/>
    <w:rsid w:val="001849D5"/>
    <w:rsid w:val="00195DDA"/>
    <w:rsid w:val="001A0CA4"/>
    <w:rsid w:val="001A6CC9"/>
    <w:rsid w:val="001A7461"/>
    <w:rsid w:val="001A7494"/>
    <w:rsid w:val="001B1F51"/>
    <w:rsid w:val="001B38CF"/>
    <w:rsid w:val="001B43C8"/>
    <w:rsid w:val="001D0F6D"/>
    <w:rsid w:val="001D533C"/>
    <w:rsid w:val="001D6E07"/>
    <w:rsid w:val="001E630D"/>
    <w:rsid w:val="001F6AB5"/>
    <w:rsid w:val="00221000"/>
    <w:rsid w:val="00225FBD"/>
    <w:rsid w:val="0022734D"/>
    <w:rsid w:val="00233B29"/>
    <w:rsid w:val="002346B5"/>
    <w:rsid w:val="002349F5"/>
    <w:rsid w:val="00236108"/>
    <w:rsid w:val="00240A6E"/>
    <w:rsid w:val="00260612"/>
    <w:rsid w:val="002608ED"/>
    <w:rsid w:val="00273ED3"/>
    <w:rsid w:val="00275EA9"/>
    <w:rsid w:val="002763BD"/>
    <w:rsid w:val="0028053E"/>
    <w:rsid w:val="00281DFB"/>
    <w:rsid w:val="00282835"/>
    <w:rsid w:val="0028446D"/>
    <w:rsid w:val="00284614"/>
    <w:rsid w:val="00286F44"/>
    <w:rsid w:val="00295248"/>
    <w:rsid w:val="0029538E"/>
    <w:rsid w:val="002B152B"/>
    <w:rsid w:val="002B3CC6"/>
    <w:rsid w:val="002B6490"/>
    <w:rsid w:val="002B675E"/>
    <w:rsid w:val="002B7002"/>
    <w:rsid w:val="002D2CEF"/>
    <w:rsid w:val="002D7BC1"/>
    <w:rsid w:val="002E3052"/>
    <w:rsid w:val="002F09C6"/>
    <w:rsid w:val="003003D4"/>
    <w:rsid w:val="0030277E"/>
    <w:rsid w:val="00302F03"/>
    <w:rsid w:val="00311C94"/>
    <w:rsid w:val="00311FC7"/>
    <w:rsid w:val="003240FD"/>
    <w:rsid w:val="00335A14"/>
    <w:rsid w:val="00337926"/>
    <w:rsid w:val="00343097"/>
    <w:rsid w:val="00345879"/>
    <w:rsid w:val="00347FE0"/>
    <w:rsid w:val="00350718"/>
    <w:rsid w:val="0035290C"/>
    <w:rsid w:val="003556A0"/>
    <w:rsid w:val="0036131C"/>
    <w:rsid w:val="00361D9D"/>
    <w:rsid w:val="0038044C"/>
    <w:rsid w:val="00381A13"/>
    <w:rsid w:val="003869BF"/>
    <w:rsid w:val="00394EF1"/>
    <w:rsid w:val="00395825"/>
    <w:rsid w:val="003A1FBE"/>
    <w:rsid w:val="003A55FB"/>
    <w:rsid w:val="003A6CAB"/>
    <w:rsid w:val="003A70C3"/>
    <w:rsid w:val="003A7576"/>
    <w:rsid w:val="003B0D19"/>
    <w:rsid w:val="003B2BB8"/>
    <w:rsid w:val="003B2C8B"/>
    <w:rsid w:val="003B7424"/>
    <w:rsid w:val="003C0072"/>
    <w:rsid w:val="003C3936"/>
    <w:rsid w:val="003C5F2A"/>
    <w:rsid w:val="003C6850"/>
    <w:rsid w:val="003D34FF"/>
    <w:rsid w:val="003D6FB6"/>
    <w:rsid w:val="003D774E"/>
    <w:rsid w:val="003E055F"/>
    <w:rsid w:val="003E0788"/>
    <w:rsid w:val="003E0A57"/>
    <w:rsid w:val="003E0C81"/>
    <w:rsid w:val="003E2B62"/>
    <w:rsid w:val="003F46A6"/>
    <w:rsid w:val="003F6174"/>
    <w:rsid w:val="003F73E9"/>
    <w:rsid w:val="004021C6"/>
    <w:rsid w:val="00403055"/>
    <w:rsid w:val="0040476B"/>
    <w:rsid w:val="004057B1"/>
    <w:rsid w:val="00411360"/>
    <w:rsid w:val="00415B6C"/>
    <w:rsid w:val="0041646E"/>
    <w:rsid w:val="00416DE4"/>
    <w:rsid w:val="004231A4"/>
    <w:rsid w:val="004243F2"/>
    <w:rsid w:val="004354E6"/>
    <w:rsid w:val="00440CB8"/>
    <w:rsid w:val="00444679"/>
    <w:rsid w:val="00450AF8"/>
    <w:rsid w:val="004536D6"/>
    <w:rsid w:val="00471456"/>
    <w:rsid w:val="0047261D"/>
    <w:rsid w:val="00477CDA"/>
    <w:rsid w:val="00492E43"/>
    <w:rsid w:val="00494740"/>
    <w:rsid w:val="00496358"/>
    <w:rsid w:val="004A0C11"/>
    <w:rsid w:val="004A2151"/>
    <w:rsid w:val="004B1824"/>
    <w:rsid w:val="004B54CA"/>
    <w:rsid w:val="004C0881"/>
    <w:rsid w:val="004C0E8A"/>
    <w:rsid w:val="004C2B8C"/>
    <w:rsid w:val="004C4806"/>
    <w:rsid w:val="004C585D"/>
    <w:rsid w:val="004D51BC"/>
    <w:rsid w:val="004D5826"/>
    <w:rsid w:val="004E5CBF"/>
    <w:rsid w:val="004E65EC"/>
    <w:rsid w:val="004E765E"/>
    <w:rsid w:val="004F53F7"/>
    <w:rsid w:val="004F77F4"/>
    <w:rsid w:val="004F7C79"/>
    <w:rsid w:val="005044F6"/>
    <w:rsid w:val="005055DF"/>
    <w:rsid w:val="005072B0"/>
    <w:rsid w:val="00510FE5"/>
    <w:rsid w:val="005114AA"/>
    <w:rsid w:val="005116AC"/>
    <w:rsid w:val="00512ECC"/>
    <w:rsid w:val="005158E1"/>
    <w:rsid w:val="00515ED5"/>
    <w:rsid w:val="00517AE4"/>
    <w:rsid w:val="005278DA"/>
    <w:rsid w:val="005312DA"/>
    <w:rsid w:val="00534237"/>
    <w:rsid w:val="00542B39"/>
    <w:rsid w:val="00546008"/>
    <w:rsid w:val="0054713E"/>
    <w:rsid w:val="005543A8"/>
    <w:rsid w:val="005622F6"/>
    <w:rsid w:val="00565FF5"/>
    <w:rsid w:val="00567053"/>
    <w:rsid w:val="0056769F"/>
    <w:rsid w:val="00572BB7"/>
    <w:rsid w:val="00575F33"/>
    <w:rsid w:val="00584FC1"/>
    <w:rsid w:val="00586246"/>
    <w:rsid w:val="00586C03"/>
    <w:rsid w:val="005877DC"/>
    <w:rsid w:val="005955D7"/>
    <w:rsid w:val="00597852"/>
    <w:rsid w:val="00597ACE"/>
    <w:rsid w:val="005A591A"/>
    <w:rsid w:val="005A59C6"/>
    <w:rsid w:val="005B06DE"/>
    <w:rsid w:val="005B7B20"/>
    <w:rsid w:val="005C3AA9"/>
    <w:rsid w:val="005C3D90"/>
    <w:rsid w:val="005D6069"/>
    <w:rsid w:val="005E53B9"/>
    <w:rsid w:val="005F2041"/>
    <w:rsid w:val="005F59F8"/>
    <w:rsid w:val="00601E93"/>
    <w:rsid w:val="00606F76"/>
    <w:rsid w:val="006108DE"/>
    <w:rsid w:val="0061406C"/>
    <w:rsid w:val="00614EEE"/>
    <w:rsid w:val="00631A2C"/>
    <w:rsid w:val="00631C41"/>
    <w:rsid w:val="00631CE8"/>
    <w:rsid w:val="006477F6"/>
    <w:rsid w:val="006509ED"/>
    <w:rsid w:val="00655CFB"/>
    <w:rsid w:val="00656E9B"/>
    <w:rsid w:val="00682C61"/>
    <w:rsid w:val="0068631A"/>
    <w:rsid w:val="00686716"/>
    <w:rsid w:val="00692895"/>
    <w:rsid w:val="006A4CE7"/>
    <w:rsid w:val="006A65BF"/>
    <w:rsid w:val="006A7DD3"/>
    <w:rsid w:val="006B1DE9"/>
    <w:rsid w:val="006B2D84"/>
    <w:rsid w:val="006B36EF"/>
    <w:rsid w:val="006B6F1A"/>
    <w:rsid w:val="006B7439"/>
    <w:rsid w:val="006B7CAE"/>
    <w:rsid w:val="006D2DA3"/>
    <w:rsid w:val="006D622A"/>
    <w:rsid w:val="006D6523"/>
    <w:rsid w:val="006E3B5D"/>
    <w:rsid w:val="006F3D9C"/>
    <w:rsid w:val="006F7F1A"/>
    <w:rsid w:val="007064E1"/>
    <w:rsid w:val="007065F3"/>
    <w:rsid w:val="00707EE9"/>
    <w:rsid w:val="0072190A"/>
    <w:rsid w:val="00727D8B"/>
    <w:rsid w:val="0073320E"/>
    <w:rsid w:val="0073603C"/>
    <w:rsid w:val="00745374"/>
    <w:rsid w:val="007473D5"/>
    <w:rsid w:val="00755225"/>
    <w:rsid w:val="00757705"/>
    <w:rsid w:val="00777C86"/>
    <w:rsid w:val="00785261"/>
    <w:rsid w:val="0079571F"/>
    <w:rsid w:val="00795CEA"/>
    <w:rsid w:val="007A1AB4"/>
    <w:rsid w:val="007B0256"/>
    <w:rsid w:val="007B5253"/>
    <w:rsid w:val="007B54CD"/>
    <w:rsid w:val="007C3A3A"/>
    <w:rsid w:val="007C422F"/>
    <w:rsid w:val="007D1C2F"/>
    <w:rsid w:val="007D1F6F"/>
    <w:rsid w:val="007D30A2"/>
    <w:rsid w:val="007E1A68"/>
    <w:rsid w:val="007E359D"/>
    <w:rsid w:val="007E3959"/>
    <w:rsid w:val="007E3B8B"/>
    <w:rsid w:val="008005A9"/>
    <w:rsid w:val="0080363D"/>
    <w:rsid w:val="008142D6"/>
    <w:rsid w:val="00815A31"/>
    <w:rsid w:val="00820E10"/>
    <w:rsid w:val="00837F4E"/>
    <w:rsid w:val="0084227C"/>
    <w:rsid w:val="0084409C"/>
    <w:rsid w:val="008444D5"/>
    <w:rsid w:val="00844B16"/>
    <w:rsid w:val="00845208"/>
    <w:rsid w:val="008565DF"/>
    <w:rsid w:val="0085710F"/>
    <w:rsid w:val="00861AD3"/>
    <w:rsid w:val="008628FA"/>
    <w:rsid w:val="00864513"/>
    <w:rsid w:val="008675DB"/>
    <w:rsid w:val="00874643"/>
    <w:rsid w:val="00876CA6"/>
    <w:rsid w:val="00877018"/>
    <w:rsid w:val="00880992"/>
    <w:rsid w:val="00884C6A"/>
    <w:rsid w:val="008916D6"/>
    <w:rsid w:val="00895631"/>
    <w:rsid w:val="00896680"/>
    <w:rsid w:val="008A1810"/>
    <w:rsid w:val="008A7E5F"/>
    <w:rsid w:val="008B19DB"/>
    <w:rsid w:val="008B5AF5"/>
    <w:rsid w:val="008B72EE"/>
    <w:rsid w:val="008C29AD"/>
    <w:rsid w:val="008C3726"/>
    <w:rsid w:val="008C5F09"/>
    <w:rsid w:val="008D0A2B"/>
    <w:rsid w:val="008D23EC"/>
    <w:rsid w:val="008E0C72"/>
    <w:rsid w:val="008E6B7C"/>
    <w:rsid w:val="008F2B63"/>
    <w:rsid w:val="008F3023"/>
    <w:rsid w:val="008F3585"/>
    <w:rsid w:val="008F5593"/>
    <w:rsid w:val="008F74E5"/>
    <w:rsid w:val="00900849"/>
    <w:rsid w:val="0090344F"/>
    <w:rsid w:val="009127A3"/>
    <w:rsid w:val="00913686"/>
    <w:rsid w:val="009158D6"/>
    <w:rsid w:val="00920D25"/>
    <w:rsid w:val="009225F0"/>
    <w:rsid w:val="00927A40"/>
    <w:rsid w:val="00927F08"/>
    <w:rsid w:val="0094462C"/>
    <w:rsid w:val="0094563F"/>
    <w:rsid w:val="00957176"/>
    <w:rsid w:val="00966377"/>
    <w:rsid w:val="00966E10"/>
    <w:rsid w:val="0097256D"/>
    <w:rsid w:val="00987714"/>
    <w:rsid w:val="00994854"/>
    <w:rsid w:val="00995DD6"/>
    <w:rsid w:val="009A4611"/>
    <w:rsid w:val="009B1FF0"/>
    <w:rsid w:val="009B23B6"/>
    <w:rsid w:val="009B4347"/>
    <w:rsid w:val="009B5AB3"/>
    <w:rsid w:val="009C79B5"/>
    <w:rsid w:val="009D02D2"/>
    <w:rsid w:val="009D2DF8"/>
    <w:rsid w:val="009D3CCB"/>
    <w:rsid w:val="009D4858"/>
    <w:rsid w:val="009E4DF7"/>
    <w:rsid w:val="00A0168F"/>
    <w:rsid w:val="00A019BC"/>
    <w:rsid w:val="00A01CB9"/>
    <w:rsid w:val="00A01F74"/>
    <w:rsid w:val="00A10CF2"/>
    <w:rsid w:val="00A13549"/>
    <w:rsid w:val="00A23E7E"/>
    <w:rsid w:val="00A30274"/>
    <w:rsid w:val="00A345D3"/>
    <w:rsid w:val="00A346EE"/>
    <w:rsid w:val="00A37D9C"/>
    <w:rsid w:val="00A43E66"/>
    <w:rsid w:val="00A4462B"/>
    <w:rsid w:val="00A5350B"/>
    <w:rsid w:val="00A611D6"/>
    <w:rsid w:val="00A647FB"/>
    <w:rsid w:val="00A64905"/>
    <w:rsid w:val="00A74769"/>
    <w:rsid w:val="00A757BD"/>
    <w:rsid w:val="00A7762D"/>
    <w:rsid w:val="00A80DE0"/>
    <w:rsid w:val="00A978E8"/>
    <w:rsid w:val="00AA509F"/>
    <w:rsid w:val="00AA7226"/>
    <w:rsid w:val="00AB1B09"/>
    <w:rsid w:val="00AD0683"/>
    <w:rsid w:val="00AD2C83"/>
    <w:rsid w:val="00AD3116"/>
    <w:rsid w:val="00AE1727"/>
    <w:rsid w:val="00AE3461"/>
    <w:rsid w:val="00AF6293"/>
    <w:rsid w:val="00AF778A"/>
    <w:rsid w:val="00B02E8F"/>
    <w:rsid w:val="00B04069"/>
    <w:rsid w:val="00B0672F"/>
    <w:rsid w:val="00B10994"/>
    <w:rsid w:val="00B10EB1"/>
    <w:rsid w:val="00B15BF7"/>
    <w:rsid w:val="00B246E8"/>
    <w:rsid w:val="00B2491C"/>
    <w:rsid w:val="00B25125"/>
    <w:rsid w:val="00B276E4"/>
    <w:rsid w:val="00B31D33"/>
    <w:rsid w:val="00B35BE0"/>
    <w:rsid w:val="00B37603"/>
    <w:rsid w:val="00B413E1"/>
    <w:rsid w:val="00B4177A"/>
    <w:rsid w:val="00B43126"/>
    <w:rsid w:val="00B44F9B"/>
    <w:rsid w:val="00B52555"/>
    <w:rsid w:val="00B56A8B"/>
    <w:rsid w:val="00B609D3"/>
    <w:rsid w:val="00B71EDF"/>
    <w:rsid w:val="00B76841"/>
    <w:rsid w:val="00B772ED"/>
    <w:rsid w:val="00B820CD"/>
    <w:rsid w:val="00B85296"/>
    <w:rsid w:val="00B85379"/>
    <w:rsid w:val="00B8570A"/>
    <w:rsid w:val="00B94AF9"/>
    <w:rsid w:val="00B969DC"/>
    <w:rsid w:val="00B96D60"/>
    <w:rsid w:val="00BA2DB9"/>
    <w:rsid w:val="00BA699C"/>
    <w:rsid w:val="00BA6A09"/>
    <w:rsid w:val="00BB03A8"/>
    <w:rsid w:val="00BB09E3"/>
    <w:rsid w:val="00BB7638"/>
    <w:rsid w:val="00BC04D2"/>
    <w:rsid w:val="00BC0A30"/>
    <w:rsid w:val="00BC0F61"/>
    <w:rsid w:val="00BC4D2C"/>
    <w:rsid w:val="00BC5D91"/>
    <w:rsid w:val="00BC79CD"/>
    <w:rsid w:val="00BD2209"/>
    <w:rsid w:val="00BE0D62"/>
    <w:rsid w:val="00BE7148"/>
    <w:rsid w:val="00C027B8"/>
    <w:rsid w:val="00C16FF4"/>
    <w:rsid w:val="00C175D2"/>
    <w:rsid w:val="00C177E7"/>
    <w:rsid w:val="00C32F26"/>
    <w:rsid w:val="00C35596"/>
    <w:rsid w:val="00C36523"/>
    <w:rsid w:val="00C4058D"/>
    <w:rsid w:val="00C438A6"/>
    <w:rsid w:val="00C46741"/>
    <w:rsid w:val="00C55DE7"/>
    <w:rsid w:val="00C57001"/>
    <w:rsid w:val="00C63094"/>
    <w:rsid w:val="00C653BA"/>
    <w:rsid w:val="00C76B3D"/>
    <w:rsid w:val="00C8776E"/>
    <w:rsid w:val="00C908F4"/>
    <w:rsid w:val="00C91F2F"/>
    <w:rsid w:val="00C92DD1"/>
    <w:rsid w:val="00C9330A"/>
    <w:rsid w:val="00C961CA"/>
    <w:rsid w:val="00CA1C59"/>
    <w:rsid w:val="00CA363F"/>
    <w:rsid w:val="00CA5D88"/>
    <w:rsid w:val="00CA61C7"/>
    <w:rsid w:val="00CA7132"/>
    <w:rsid w:val="00CB1058"/>
    <w:rsid w:val="00CB718C"/>
    <w:rsid w:val="00CB74B3"/>
    <w:rsid w:val="00CC032C"/>
    <w:rsid w:val="00CC308D"/>
    <w:rsid w:val="00CE0E55"/>
    <w:rsid w:val="00CE1CB4"/>
    <w:rsid w:val="00CF2913"/>
    <w:rsid w:val="00CF2B8A"/>
    <w:rsid w:val="00CF6FF2"/>
    <w:rsid w:val="00D22A8A"/>
    <w:rsid w:val="00D24D5C"/>
    <w:rsid w:val="00D34B59"/>
    <w:rsid w:val="00D40593"/>
    <w:rsid w:val="00D50E78"/>
    <w:rsid w:val="00D56865"/>
    <w:rsid w:val="00D602C5"/>
    <w:rsid w:val="00D64099"/>
    <w:rsid w:val="00D71C54"/>
    <w:rsid w:val="00D81C50"/>
    <w:rsid w:val="00D83B61"/>
    <w:rsid w:val="00D86E50"/>
    <w:rsid w:val="00D90D3C"/>
    <w:rsid w:val="00D95C5E"/>
    <w:rsid w:val="00DA33DB"/>
    <w:rsid w:val="00DA4AF4"/>
    <w:rsid w:val="00DA7B4A"/>
    <w:rsid w:val="00DB159D"/>
    <w:rsid w:val="00DB33E4"/>
    <w:rsid w:val="00DC08E5"/>
    <w:rsid w:val="00DC3C21"/>
    <w:rsid w:val="00DC417B"/>
    <w:rsid w:val="00DC4CFD"/>
    <w:rsid w:val="00DC61A0"/>
    <w:rsid w:val="00DD0BC1"/>
    <w:rsid w:val="00DE00BF"/>
    <w:rsid w:val="00DF2092"/>
    <w:rsid w:val="00DF52AB"/>
    <w:rsid w:val="00DF6E8F"/>
    <w:rsid w:val="00E01FBA"/>
    <w:rsid w:val="00E2480F"/>
    <w:rsid w:val="00E2707B"/>
    <w:rsid w:val="00E30C3C"/>
    <w:rsid w:val="00E42AD1"/>
    <w:rsid w:val="00E46A97"/>
    <w:rsid w:val="00E47311"/>
    <w:rsid w:val="00E51EF1"/>
    <w:rsid w:val="00E56E42"/>
    <w:rsid w:val="00E618A0"/>
    <w:rsid w:val="00E6261D"/>
    <w:rsid w:val="00E643E0"/>
    <w:rsid w:val="00E65DFC"/>
    <w:rsid w:val="00E708BB"/>
    <w:rsid w:val="00E761A2"/>
    <w:rsid w:val="00E82B90"/>
    <w:rsid w:val="00E8565D"/>
    <w:rsid w:val="00E858A7"/>
    <w:rsid w:val="00E9225A"/>
    <w:rsid w:val="00E9285A"/>
    <w:rsid w:val="00E956B6"/>
    <w:rsid w:val="00E976B5"/>
    <w:rsid w:val="00EA062F"/>
    <w:rsid w:val="00EA4560"/>
    <w:rsid w:val="00EA550A"/>
    <w:rsid w:val="00EA66F0"/>
    <w:rsid w:val="00EB437C"/>
    <w:rsid w:val="00EB44AE"/>
    <w:rsid w:val="00EB4A2F"/>
    <w:rsid w:val="00EC1BBD"/>
    <w:rsid w:val="00EE3834"/>
    <w:rsid w:val="00EE4885"/>
    <w:rsid w:val="00EE67D9"/>
    <w:rsid w:val="00EE6FB0"/>
    <w:rsid w:val="00EF56DF"/>
    <w:rsid w:val="00F07D2D"/>
    <w:rsid w:val="00F148C2"/>
    <w:rsid w:val="00F212CF"/>
    <w:rsid w:val="00F30908"/>
    <w:rsid w:val="00F34ECB"/>
    <w:rsid w:val="00F36F48"/>
    <w:rsid w:val="00F4070F"/>
    <w:rsid w:val="00F43C3C"/>
    <w:rsid w:val="00F5156F"/>
    <w:rsid w:val="00F65AD6"/>
    <w:rsid w:val="00F71EA2"/>
    <w:rsid w:val="00F72BA2"/>
    <w:rsid w:val="00F76A4B"/>
    <w:rsid w:val="00F83149"/>
    <w:rsid w:val="00F84F6A"/>
    <w:rsid w:val="00F85669"/>
    <w:rsid w:val="00FA1012"/>
    <w:rsid w:val="00FC143A"/>
    <w:rsid w:val="00FD00FB"/>
    <w:rsid w:val="00FD2AD0"/>
    <w:rsid w:val="00FD33D5"/>
    <w:rsid w:val="00FD614D"/>
    <w:rsid w:val="00FE36DE"/>
    <w:rsid w:val="00FE6022"/>
    <w:rsid w:val="00FF0C54"/>
    <w:rsid w:val="02C8589A"/>
    <w:rsid w:val="051415AE"/>
    <w:rsid w:val="1183EA7C"/>
    <w:rsid w:val="118EEB76"/>
    <w:rsid w:val="15BAE336"/>
    <w:rsid w:val="1FDF2B19"/>
    <w:rsid w:val="2079ADB5"/>
    <w:rsid w:val="23874E2E"/>
    <w:rsid w:val="23F511CC"/>
    <w:rsid w:val="24B27B43"/>
    <w:rsid w:val="254C9CF1"/>
    <w:rsid w:val="2CAEF761"/>
    <w:rsid w:val="3123D006"/>
    <w:rsid w:val="333E5C66"/>
    <w:rsid w:val="3688BA6C"/>
    <w:rsid w:val="394B3BDA"/>
    <w:rsid w:val="3988C471"/>
    <w:rsid w:val="444D9D23"/>
    <w:rsid w:val="44D9475E"/>
    <w:rsid w:val="458FB51D"/>
    <w:rsid w:val="48440DB1"/>
    <w:rsid w:val="485AE349"/>
    <w:rsid w:val="49C1921C"/>
    <w:rsid w:val="4BBB39B0"/>
    <w:rsid w:val="4BDD9A53"/>
    <w:rsid w:val="4DB79AF2"/>
    <w:rsid w:val="5006D4B2"/>
    <w:rsid w:val="506C8A54"/>
    <w:rsid w:val="5143B12B"/>
    <w:rsid w:val="5426894A"/>
    <w:rsid w:val="5D546CFC"/>
    <w:rsid w:val="62E6A28D"/>
    <w:rsid w:val="659018D3"/>
    <w:rsid w:val="67037B96"/>
    <w:rsid w:val="693F07DB"/>
    <w:rsid w:val="6F095F68"/>
    <w:rsid w:val="71C36B09"/>
    <w:rsid w:val="7A1425E7"/>
    <w:rsid w:val="7A4A230D"/>
    <w:rsid w:val="7C88D11D"/>
    <w:rsid w:val="7CF6EF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BD81"/>
  <w15:docId w15:val="{E021F118-B9DC-6447-9E9B-5B4EDF1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2"/>
    <w:rPr>
      <w:spacing w:val="3"/>
      <w:sz w:val="22"/>
    </w:rPr>
  </w:style>
  <w:style w:type="paragraph" w:styleId="Heading1">
    <w:name w:val="heading 1"/>
    <w:basedOn w:val="Normal"/>
    <w:next w:val="Normal"/>
    <w:link w:val="Heading1Char"/>
    <w:uiPriority w:val="9"/>
    <w:qFormat/>
    <w:rsid w:val="009158D6"/>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2"/>
    <w:qFormat/>
    <w:rsid w:val="004231A4"/>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231A4"/>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231A4"/>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231A4"/>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231A4"/>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231A4"/>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231A4"/>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231A4"/>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8D6"/>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2"/>
    <w:rsid w:val="004231A4"/>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231A4"/>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231A4"/>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231A4"/>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231A4"/>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231A4"/>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231A4"/>
    <w:rPr>
      <w:rFonts w:eastAsiaTheme="majorEastAsia" w:cstheme="majorBidi"/>
      <w:iCs/>
      <w:spacing w:val="3"/>
      <w:sz w:val="22"/>
    </w:rPr>
  </w:style>
  <w:style w:type="character" w:customStyle="1" w:styleId="Heading8Char">
    <w:name w:val="Heading 8 Char"/>
    <w:basedOn w:val="DefaultParagraphFont"/>
    <w:link w:val="Heading8"/>
    <w:uiPriority w:val="10"/>
    <w:rsid w:val="004231A4"/>
    <w:rPr>
      <w:rFonts w:eastAsiaTheme="majorEastAsia" w:cstheme="majorBidi"/>
      <w:spacing w:val="3"/>
      <w:sz w:val="22"/>
      <w:szCs w:val="20"/>
    </w:rPr>
  </w:style>
  <w:style w:type="character" w:customStyle="1" w:styleId="Heading9Char">
    <w:name w:val="Heading 9 Char"/>
    <w:basedOn w:val="DefaultParagraphFont"/>
    <w:link w:val="Heading9"/>
    <w:uiPriority w:val="10"/>
    <w:rsid w:val="004231A4"/>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231A4"/>
    <w:rPr>
      <w:rFonts w:ascii="Tahoma" w:hAnsi="Tahoma" w:cs="Tahoma"/>
      <w:spacing w:val="3"/>
      <w:sz w:val="16"/>
      <w:szCs w:val="16"/>
    </w:rPr>
  </w:style>
  <w:style w:type="numbering" w:customStyle="1" w:styleId="BulletsList">
    <w:name w:val="Bullets List"/>
    <w:uiPriority w:val="99"/>
    <w:rsid w:val="004231A4"/>
    <w:pPr>
      <w:numPr>
        <w:numId w:val="1"/>
      </w:numPr>
    </w:pPr>
  </w:style>
  <w:style w:type="paragraph" w:styleId="Caption">
    <w:name w:val="caption"/>
    <w:aliases w:val="Caption Table title"/>
    <w:basedOn w:val="Normal"/>
    <w:next w:val="Normal"/>
    <w:uiPriority w:val="35"/>
    <w:unhideWhenUsed/>
    <w:rsid w:val="004231A4"/>
    <w:pPr>
      <w:spacing w:before="360" w:after="120" w:line="240" w:lineRule="atLeast"/>
    </w:pPr>
    <w:rPr>
      <w:b/>
      <w:bCs/>
      <w:szCs w:val="18"/>
    </w:rPr>
  </w:style>
  <w:style w:type="paragraph" w:customStyle="1" w:styleId="Horizontalrule">
    <w:name w:val="Horizontal rule"/>
    <w:basedOn w:val="Normal"/>
    <w:uiPriority w:val="4"/>
    <w:semiHidden/>
    <w:qFormat/>
    <w:rsid w:val="004231A4"/>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231A4"/>
    <w:pPr>
      <w:pBdr>
        <w:bottom w:val="single" w:sz="24" w:space="1" w:color="00B0B9" w:themeColor="accent2"/>
      </w:pBdr>
      <w:ind w:right="-425" w:hanging="284"/>
    </w:pPr>
  </w:style>
  <w:style w:type="table" w:customStyle="1" w:styleId="DSSDatatablestyle">
    <w:name w:val="DSS Data table style"/>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106CFB"/>
    <w:pPr>
      <w:spacing w:after="0" w:line="240" w:lineRule="auto"/>
    </w:pPr>
    <w:rPr>
      <w:sz w:val="2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231A4"/>
    <w:rPr>
      <w:b/>
      <w:bCs/>
      <w:i/>
      <w:iCs/>
      <w:spacing w:val="10"/>
      <w:bdr w:val="none" w:sz="0" w:space="0" w:color="auto"/>
      <w:shd w:val="clear" w:color="auto" w:fill="auto"/>
    </w:rPr>
  </w:style>
  <w:style w:type="paragraph" w:customStyle="1" w:styleId="Focus-teal">
    <w:name w:val="Focus - teal"/>
    <w:basedOn w:val="Normal"/>
    <w:uiPriority w:val="7"/>
    <w:qFormat/>
    <w:rsid w:val="004231A4"/>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231A4"/>
    <w:pPr>
      <w:shd w:val="clear" w:color="auto" w:fill="FFEFEF"/>
    </w:pPr>
  </w:style>
  <w:style w:type="paragraph" w:customStyle="1" w:styleId="Focus-grey">
    <w:name w:val="Focus - grey"/>
    <w:basedOn w:val="Focus-teal"/>
    <w:next w:val="Normal"/>
    <w:uiPriority w:val="7"/>
    <w:qFormat/>
    <w:rsid w:val="004231A4"/>
    <w:pPr>
      <w:shd w:val="clear" w:color="auto" w:fill="F2F2F2" w:themeFill="background1" w:themeFillShade="F2"/>
    </w:pPr>
  </w:style>
  <w:style w:type="paragraph" w:customStyle="1" w:styleId="Focus-warning">
    <w:name w:val="Focus - warning"/>
    <w:basedOn w:val="Focus-teal"/>
    <w:next w:val="Normal"/>
    <w:uiPriority w:val="7"/>
    <w:qFormat/>
    <w:rsid w:val="004231A4"/>
    <w:pPr>
      <w:shd w:val="clear" w:color="auto" w:fill="FDF7DB"/>
    </w:pPr>
  </w:style>
  <w:style w:type="character" w:styleId="FollowedHyperlink">
    <w:name w:val="FollowedHyperlink"/>
    <w:basedOn w:val="DefaultParagraphFont"/>
    <w:uiPriority w:val="99"/>
    <w:semiHidden/>
    <w:unhideWhenUsed/>
    <w:rsid w:val="004231A4"/>
    <w:rPr>
      <w:color w:val="000000" w:themeColor="followedHyperlink"/>
      <w:u w:val="single"/>
    </w:rPr>
  </w:style>
  <w:style w:type="paragraph" w:styleId="Footer">
    <w:name w:val="footer"/>
    <w:basedOn w:val="Normal"/>
    <w:link w:val="FooterChar"/>
    <w:uiPriority w:val="99"/>
    <w:unhideWhenUsed/>
    <w:rsid w:val="00423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A4"/>
    <w:rPr>
      <w:spacing w:val="3"/>
      <w:sz w:val="22"/>
    </w:rPr>
  </w:style>
  <w:style w:type="table" w:styleId="GridTable4">
    <w:name w:val="Grid Table 4"/>
    <w:basedOn w:val="TableNormal"/>
    <w:uiPriority w:val="49"/>
    <w:rsid w:val="004231A4"/>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Header">
    <w:name w:val="header"/>
    <w:basedOn w:val="Normal"/>
    <w:link w:val="HeaderChar"/>
    <w:uiPriority w:val="99"/>
    <w:unhideWhenUsed/>
    <w:rsid w:val="004231A4"/>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231A4"/>
    <w:rPr>
      <w:rFonts w:ascii="Georgia" w:hAnsi="Georgia"/>
      <w:color w:val="24596E"/>
      <w:spacing w:val="3"/>
      <w:sz w:val="22"/>
    </w:rPr>
  </w:style>
  <w:style w:type="paragraph" w:customStyle="1" w:styleId="Heading1withsubtitle">
    <w:name w:val="Heading 1 (with subtitle)"/>
    <w:basedOn w:val="Heading1"/>
    <w:next w:val="Subtitle"/>
    <w:uiPriority w:val="9"/>
    <w:qFormat/>
    <w:rsid w:val="00EA4560"/>
    <w:rPr>
      <w:color w:val="FFFFFF" w:themeColor="background1"/>
      <w:sz w:val="56"/>
    </w:rPr>
  </w:style>
  <w:style w:type="paragraph" w:styleId="Subtitle">
    <w:name w:val="Subtitle"/>
    <w:basedOn w:val="Normal"/>
    <w:next w:val="Normal"/>
    <w:link w:val="SubtitleChar"/>
    <w:uiPriority w:val="9"/>
    <w:qFormat/>
    <w:rsid w:val="00EA4560"/>
    <w:pPr>
      <w:spacing w:after="480" w:line="240" w:lineRule="auto"/>
    </w:pPr>
    <w:rPr>
      <w:rFonts w:asciiTheme="majorHAnsi" w:eastAsiaTheme="majorEastAsia" w:hAnsiTheme="majorHAnsi" w:cstheme="majorBidi"/>
      <w:b/>
      <w:iCs/>
      <w:color w:val="FFFFFF" w:themeColor="background1"/>
      <w:spacing w:val="6"/>
      <w:sz w:val="32"/>
    </w:rPr>
  </w:style>
  <w:style w:type="character" w:customStyle="1" w:styleId="SubtitleChar">
    <w:name w:val="Subtitle Char"/>
    <w:basedOn w:val="DefaultParagraphFont"/>
    <w:link w:val="Subtitle"/>
    <w:uiPriority w:val="9"/>
    <w:rsid w:val="00EA4560"/>
    <w:rPr>
      <w:rFonts w:asciiTheme="majorHAnsi" w:eastAsiaTheme="majorEastAsia" w:hAnsiTheme="majorHAnsi" w:cstheme="majorBidi"/>
      <w:b/>
      <w:iCs/>
      <w:color w:val="FFFFFF" w:themeColor="background1"/>
      <w:spacing w:val="6"/>
      <w:sz w:val="32"/>
    </w:rPr>
  </w:style>
  <w:style w:type="character" w:styleId="Hyperlink">
    <w:name w:val="Hyperlink"/>
    <w:uiPriority w:val="99"/>
    <w:rsid w:val="004231A4"/>
    <w:rPr>
      <w:rFonts w:asciiTheme="minorHAnsi" w:hAnsiTheme="minorHAnsi"/>
      <w:b w:val="0"/>
      <w:color w:val="0070C0"/>
      <w:u w:val="single"/>
    </w:rPr>
  </w:style>
  <w:style w:type="character" w:styleId="IntenseEmphasis">
    <w:name w:val="Intense Emphasis"/>
    <w:uiPriority w:val="21"/>
    <w:qFormat/>
    <w:rsid w:val="004231A4"/>
    <w:rPr>
      <w:b/>
      <w:bCs/>
    </w:rPr>
  </w:style>
  <w:style w:type="paragraph" w:customStyle="1" w:styleId="IntroductionQuote">
    <w:name w:val="Introduction / Quote"/>
    <w:basedOn w:val="Normal"/>
    <w:uiPriority w:val="1"/>
    <w:qFormat/>
    <w:rsid w:val="004231A4"/>
    <w:pPr>
      <w:spacing w:line="288" w:lineRule="auto"/>
    </w:pPr>
    <w:rPr>
      <w:color w:val="000000" w:themeColor="text1"/>
      <w:sz w:val="28"/>
    </w:rPr>
  </w:style>
  <w:style w:type="paragraph" w:styleId="ListBullet">
    <w:name w:val="List Bullet"/>
    <w:basedOn w:val="Normal"/>
    <w:uiPriority w:val="99"/>
    <w:unhideWhenUsed/>
    <w:qFormat/>
    <w:rsid w:val="004231A4"/>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0A4A4B"/>
    <w:pPr>
      <w:numPr>
        <w:numId w:val="4"/>
      </w:numPr>
      <w:contextualSpacing/>
    </w:pPr>
  </w:style>
  <w:style w:type="table" w:styleId="ListTable3-Accent6">
    <w:name w:val="List Table 3 Accent 6"/>
    <w:basedOn w:val="TableNormal"/>
    <w:uiPriority w:val="48"/>
    <w:rsid w:val="004231A4"/>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231A4"/>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231A4"/>
    <w:pPr>
      <w:spacing w:after="0" w:line="240" w:lineRule="auto"/>
    </w:pPr>
    <w:rPr>
      <w:rFonts w:ascii="Arial" w:hAnsi="Arial"/>
    </w:rPr>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231A4"/>
    <w:pPr>
      <w:spacing w:after="0" w:line="240" w:lineRule="auto"/>
    </w:pPr>
  </w:style>
  <w:style w:type="character" w:customStyle="1" w:styleId="NoSpacingChar">
    <w:name w:val="No Spacing Char"/>
    <w:basedOn w:val="DefaultParagraphFont"/>
    <w:link w:val="NoSpacing"/>
    <w:uiPriority w:val="5"/>
    <w:rsid w:val="004231A4"/>
    <w:rPr>
      <w:spacing w:val="3"/>
      <w:sz w:val="22"/>
    </w:rPr>
  </w:style>
  <w:style w:type="paragraph" w:styleId="NormalWeb">
    <w:name w:val="Normal (Web)"/>
    <w:basedOn w:val="Normal"/>
    <w:uiPriority w:val="99"/>
    <w:unhideWhenUsed/>
    <w:rsid w:val="004231A4"/>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1"/>
    <w:semiHidden/>
    <w:unhideWhenUsed/>
    <w:qFormat/>
    <w:rsid w:val="004231A4"/>
    <w:rPr>
      <w:color w:val="005A70" w:themeColor="accent1"/>
      <w:sz w:val="18"/>
    </w:rPr>
  </w:style>
  <w:style w:type="table" w:styleId="PlainTable1">
    <w:name w:val="Plain Table 1"/>
    <w:basedOn w:val="TableNormal"/>
    <w:uiPriority w:val="41"/>
    <w:rsid w:val="004231A4"/>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656E9B"/>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656E9B"/>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231A4"/>
    <w:pPr>
      <w:spacing w:after="120" w:line="240" w:lineRule="auto"/>
    </w:pPr>
    <w:rPr>
      <w:sz w:val="12"/>
      <w:szCs w:val="16"/>
      <w:lang w:val="en-US"/>
    </w:rPr>
  </w:style>
  <w:style w:type="character" w:styleId="Strong">
    <w:name w:val="Strong"/>
    <w:aliases w:val="Bold"/>
    <w:uiPriority w:val="22"/>
    <w:qFormat/>
    <w:rsid w:val="004231A4"/>
    <w:rPr>
      <w:b/>
      <w:bCs/>
    </w:rPr>
  </w:style>
  <w:style w:type="character" w:styleId="SubtleEmphasis">
    <w:name w:val="Subtle Emphasis"/>
    <w:uiPriority w:val="19"/>
    <w:qFormat/>
    <w:rsid w:val="004231A4"/>
    <w:rPr>
      <w:i/>
      <w:iCs/>
    </w:rPr>
  </w:style>
  <w:style w:type="table" w:styleId="TableGrid">
    <w:name w:val="Table Grid"/>
    <w:basedOn w:val="TableNormal"/>
    <w:uiPriority w:val="39"/>
    <w:rsid w:val="004231A4"/>
    <w:pPr>
      <w:spacing w:after="0" w:line="240" w:lineRule="auto"/>
    </w:pPr>
    <w:tblPr/>
  </w:style>
  <w:style w:type="table" w:styleId="TableGridLight">
    <w:name w:val="Grid Table Light"/>
    <w:basedOn w:val="TableNormal"/>
    <w:uiPriority w:val="40"/>
    <w:rsid w:val="004231A4"/>
    <w:pPr>
      <w:spacing w:after="0" w:line="240" w:lineRule="auto"/>
    </w:pPr>
    <w:tblPr/>
    <w:tblStylePr w:type="firstRow">
      <w:rPr>
        <w:color w:val="FFFFFF" w:themeColor="background1"/>
      </w:rPr>
    </w:tblStylePr>
  </w:style>
  <w:style w:type="paragraph" w:customStyle="1" w:styleId="Tabletext-detailed">
    <w:name w:val="Table text - detailed"/>
    <w:basedOn w:val="NoSpacing"/>
    <w:uiPriority w:val="4"/>
    <w:qFormat/>
    <w:rsid w:val="004231A4"/>
    <w:pPr>
      <w:spacing w:line="312" w:lineRule="auto"/>
    </w:pPr>
    <w:rPr>
      <w:sz w:val="20"/>
    </w:rPr>
  </w:style>
  <w:style w:type="paragraph" w:customStyle="1" w:styleId="TableChartheading">
    <w:name w:val="Table/Chart heading"/>
    <w:basedOn w:val="Caption"/>
    <w:next w:val="Normal"/>
    <w:uiPriority w:val="4"/>
    <w:qFormat/>
    <w:rsid w:val="004231A4"/>
    <w:pPr>
      <w:spacing w:line="288" w:lineRule="auto"/>
    </w:pPr>
    <w:rPr>
      <w:rFonts w:asciiTheme="majorHAnsi" w:hAnsiTheme="majorHAnsi"/>
    </w:rPr>
  </w:style>
  <w:style w:type="paragraph" w:customStyle="1" w:styleId="Tableimagenote">
    <w:name w:val="Table/image note"/>
    <w:basedOn w:val="Normal"/>
    <w:next w:val="Normal"/>
    <w:uiPriority w:val="4"/>
    <w:qFormat/>
    <w:rsid w:val="004231A4"/>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231A4"/>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231A4"/>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231A4"/>
    <w:pPr>
      <w:spacing w:before="4000"/>
      <w:jc w:val="center"/>
    </w:pPr>
    <w:rPr>
      <w:sz w:val="72"/>
    </w:rPr>
  </w:style>
  <w:style w:type="paragraph" w:styleId="TOC1">
    <w:name w:val="toc 1"/>
    <w:basedOn w:val="Normal"/>
    <w:next w:val="Normal"/>
    <w:autoRedefine/>
    <w:uiPriority w:val="39"/>
    <w:unhideWhenUsed/>
    <w:rsid w:val="004231A4"/>
    <w:pPr>
      <w:spacing w:after="100"/>
    </w:pPr>
  </w:style>
  <w:style w:type="paragraph" w:styleId="TOC2">
    <w:name w:val="toc 2"/>
    <w:basedOn w:val="Normal"/>
    <w:next w:val="Normal"/>
    <w:autoRedefine/>
    <w:uiPriority w:val="39"/>
    <w:unhideWhenUsed/>
    <w:rsid w:val="004231A4"/>
    <w:pPr>
      <w:spacing w:after="100"/>
      <w:ind w:left="200"/>
    </w:pPr>
  </w:style>
  <w:style w:type="paragraph" w:styleId="TOC3">
    <w:name w:val="toc 3"/>
    <w:basedOn w:val="Normal"/>
    <w:next w:val="Normal"/>
    <w:autoRedefine/>
    <w:uiPriority w:val="39"/>
    <w:unhideWhenUsed/>
    <w:rsid w:val="004231A4"/>
    <w:pPr>
      <w:spacing w:after="100"/>
      <w:ind w:left="400"/>
    </w:pPr>
  </w:style>
  <w:style w:type="paragraph" w:styleId="TOCHeading">
    <w:name w:val="TOC Heading"/>
    <w:basedOn w:val="Heading2"/>
    <w:next w:val="Normal"/>
    <w:uiPriority w:val="39"/>
    <w:unhideWhenUsed/>
    <w:qFormat/>
    <w:rsid w:val="004231A4"/>
  </w:style>
  <w:style w:type="paragraph" w:customStyle="1" w:styleId="PageNumber2">
    <w:name w:val="Page Number2"/>
    <w:basedOn w:val="Normal"/>
    <w:uiPriority w:val="97"/>
    <w:qFormat/>
    <w:rsid w:val="00880992"/>
    <w:pPr>
      <w:spacing w:after="120"/>
    </w:pPr>
    <w:rPr>
      <w:noProof/>
      <w:color w:val="005A70" w:themeColor="accent1"/>
      <w:sz w:val="18"/>
      <w:lang w:eastAsia="en-AU"/>
    </w:rPr>
  </w:style>
  <w:style w:type="character" w:styleId="CommentReference">
    <w:name w:val="annotation reference"/>
    <w:basedOn w:val="DefaultParagraphFont"/>
    <w:uiPriority w:val="99"/>
    <w:semiHidden/>
    <w:unhideWhenUsed/>
    <w:rsid w:val="005C3D90"/>
    <w:rPr>
      <w:sz w:val="16"/>
      <w:szCs w:val="16"/>
    </w:rPr>
  </w:style>
  <w:style w:type="paragraph" w:styleId="CommentText">
    <w:name w:val="annotation text"/>
    <w:basedOn w:val="Normal"/>
    <w:link w:val="CommentTextChar"/>
    <w:uiPriority w:val="99"/>
    <w:unhideWhenUsed/>
    <w:rsid w:val="005C3D90"/>
    <w:pPr>
      <w:spacing w:line="240" w:lineRule="auto"/>
    </w:pPr>
    <w:rPr>
      <w:sz w:val="20"/>
      <w:szCs w:val="20"/>
    </w:rPr>
  </w:style>
  <w:style w:type="character" w:customStyle="1" w:styleId="CommentTextChar">
    <w:name w:val="Comment Text Char"/>
    <w:basedOn w:val="DefaultParagraphFont"/>
    <w:link w:val="CommentText"/>
    <w:uiPriority w:val="99"/>
    <w:rsid w:val="005C3D90"/>
    <w:rPr>
      <w:spacing w:val="3"/>
      <w:sz w:val="20"/>
      <w:szCs w:val="20"/>
    </w:rPr>
  </w:style>
  <w:style w:type="paragraph" w:styleId="CommentSubject">
    <w:name w:val="annotation subject"/>
    <w:basedOn w:val="CommentText"/>
    <w:next w:val="CommentText"/>
    <w:link w:val="CommentSubjectChar"/>
    <w:uiPriority w:val="99"/>
    <w:semiHidden/>
    <w:unhideWhenUsed/>
    <w:rsid w:val="005C3D90"/>
    <w:rPr>
      <w:b/>
      <w:bCs/>
    </w:rPr>
  </w:style>
  <w:style w:type="character" w:customStyle="1" w:styleId="CommentSubjectChar">
    <w:name w:val="Comment Subject Char"/>
    <w:basedOn w:val="CommentTextChar"/>
    <w:link w:val="CommentSubject"/>
    <w:uiPriority w:val="99"/>
    <w:semiHidden/>
    <w:rsid w:val="005C3D90"/>
    <w:rPr>
      <w:b/>
      <w:bCs/>
      <w:spacing w:val="3"/>
      <w:sz w:val="20"/>
      <w:szCs w:val="20"/>
    </w:rPr>
  </w:style>
  <w:style w:type="paragraph" w:styleId="Revision">
    <w:name w:val="Revision"/>
    <w:hidden/>
    <w:uiPriority w:val="99"/>
    <w:semiHidden/>
    <w:rsid w:val="00C653BA"/>
    <w:pPr>
      <w:spacing w:after="0" w:line="240" w:lineRule="auto"/>
    </w:pPr>
    <w:rPr>
      <w:spacing w:val="3"/>
      <w:sz w:val="22"/>
    </w:rPr>
  </w:style>
  <w:style w:type="paragraph" w:styleId="ListNumber">
    <w:name w:val="List Number"/>
    <w:basedOn w:val="Normal"/>
    <w:uiPriority w:val="99"/>
    <w:unhideWhenUsed/>
    <w:qFormat/>
    <w:rsid w:val="005A59C6"/>
    <w:pPr>
      <w:numPr>
        <w:numId w:val="2"/>
      </w:numPr>
      <w:contextualSpacing/>
    </w:pPr>
  </w:style>
  <w:style w:type="numbering" w:customStyle="1" w:styleId="DSSBulletList">
    <w:name w:val="DSS Bullet List"/>
    <w:uiPriority w:val="99"/>
    <w:rsid w:val="00E6261D"/>
    <w:pPr>
      <w:numPr>
        <w:numId w:val="3"/>
      </w:numPr>
    </w:pPr>
  </w:style>
  <w:style w:type="character" w:styleId="UnresolvedMention">
    <w:name w:val="Unresolved Mention"/>
    <w:basedOn w:val="DefaultParagraphFont"/>
    <w:uiPriority w:val="99"/>
    <w:semiHidden/>
    <w:unhideWhenUsed/>
    <w:rsid w:val="004C585D"/>
    <w:rPr>
      <w:color w:val="605E5C"/>
      <w:shd w:val="clear" w:color="auto" w:fill="E1DFDD"/>
    </w:rPr>
  </w:style>
  <w:style w:type="paragraph" w:styleId="FootnoteText">
    <w:name w:val="footnote text"/>
    <w:basedOn w:val="Normal"/>
    <w:link w:val="FootnoteTextChar"/>
    <w:uiPriority w:val="99"/>
    <w:semiHidden/>
    <w:rsid w:val="00913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686"/>
    <w:rPr>
      <w:spacing w:val="3"/>
      <w:sz w:val="20"/>
      <w:szCs w:val="20"/>
    </w:rPr>
  </w:style>
  <w:style w:type="character" w:styleId="FootnoteReference">
    <w:name w:val="footnote reference"/>
    <w:basedOn w:val="DefaultParagraphFont"/>
    <w:uiPriority w:val="99"/>
    <w:semiHidden/>
    <w:rsid w:val="00913686"/>
    <w:rPr>
      <w:vertAlign w:val="superscript"/>
    </w:rPr>
  </w:style>
  <w:style w:type="paragraph" w:customStyle="1" w:styleId="FaCQuote">
    <w:name w:val="FaC Quote"/>
    <w:basedOn w:val="Normal"/>
    <w:link w:val="FaCQuoteChar"/>
    <w:qFormat/>
    <w:rsid w:val="001521DF"/>
    <w:pPr>
      <w:spacing w:before="240" w:after="240"/>
      <w:jc w:val="center"/>
    </w:pPr>
    <w:rPr>
      <w:rFonts w:ascii="Open Sans" w:hAnsi="Open Sans" w:cs="Open Sans"/>
      <w:i/>
      <w:iCs/>
      <w:color w:val="005C61" w:themeColor="accent6" w:themeShade="BF"/>
    </w:rPr>
  </w:style>
  <w:style w:type="character" w:customStyle="1" w:styleId="FaCQuoteChar">
    <w:name w:val="FaC Quote Char"/>
    <w:basedOn w:val="DefaultParagraphFont"/>
    <w:link w:val="FaCQuote"/>
    <w:rsid w:val="001521DF"/>
    <w:rPr>
      <w:rFonts w:ascii="Open Sans" w:hAnsi="Open Sans" w:cs="Open Sans"/>
      <w:i/>
      <w:iCs/>
      <w:color w:val="005C61" w:themeColor="accent6" w:themeShade="BF"/>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5578">
      <w:bodyDiv w:val="1"/>
      <w:marLeft w:val="0"/>
      <w:marRight w:val="0"/>
      <w:marTop w:val="0"/>
      <w:marBottom w:val="0"/>
      <w:divBdr>
        <w:top w:val="none" w:sz="0" w:space="0" w:color="auto"/>
        <w:left w:val="none" w:sz="0" w:space="0" w:color="auto"/>
        <w:bottom w:val="none" w:sz="0" w:space="0" w:color="auto"/>
        <w:right w:val="none" w:sz="0" w:space="0" w:color="auto"/>
      </w:divBdr>
    </w:div>
    <w:div w:id="502663925">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35322209">
      <w:bodyDiv w:val="1"/>
      <w:marLeft w:val="0"/>
      <w:marRight w:val="0"/>
      <w:marTop w:val="0"/>
      <w:marBottom w:val="0"/>
      <w:divBdr>
        <w:top w:val="none" w:sz="0" w:space="0" w:color="auto"/>
        <w:left w:val="none" w:sz="0" w:space="0" w:color="auto"/>
        <w:bottom w:val="none" w:sz="0" w:space="0" w:color="auto"/>
        <w:right w:val="none" w:sz="0" w:space="0" w:color="auto"/>
      </w:divBdr>
    </w:div>
    <w:div w:id="960381360">
      <w:bodyDiv w:val="1"/>
      <w:marLeft w:val="0"/>
      <w:marRight w:val="0"/>
      <w:marTop w:val="0"/>
      <w:marBottom w:val="0"/>
      <w:divBdr>
        <w:top w:val="none" w:sz="0" w:space="0" w:color="auto"/>
        <w:left w:val="none" w:sz="0" w:space="0" w:color="auto"/>
        <w:bottom w:val="none" w:sz="0" w:space="0" w:color="auto"/>
        <w:right w:val="none" w:sz="0" w:space="0" w:color="auto"/>
      </w:divBdr>
    </w:div>
    <w:div w:id="1356152301">
      <w:bodyDiv w:val="1"/>
      <w:marLeft w:val="0"/>
      <w:marRight w:val="0"/>
      <w:marTop w:val="0"/>
      <w:marBottom w:val="0"/>
      <w:divBdr>
        <w:top w:val="none" w:sz="0" w:space="0" w:color="auto"/>
        <w:left w:val="none" w:sz="0" w:space="0" w:color="auto"/>
        <w:bottom w:val="none" w:sz="0" w:space="0" w:color="auto"/>
        <w:right w:val="none" w:sz="0" w:space="0" w:color="auto"/>
      </w:divBdr>
    </w:div>
    <w:div w:id="1595046465">
      <w:bodyDiv w:val="1"/>
      <w:marLeft w:val="0"/>
      <w:marRight w:val="0"/>
      <w:marTop w:val="0"/>
      <w:marBottom w:val="0"/>
      <w:divBdr>
        <w:top w:val="none" w:sz="0" w:space="0" w:color="auto"/>
        <w:left w:val="none" w:sz="0" w:space="0" w:color="auto"/>
        <w:bottom w:val="none" w:sz="0" w:space="0" w:color="auto"/>
        <w:right w:val="none" w:sz="0" w:space="0" w:color="auto"/>
      </w:divBdr>
    </w:div>
    <w:div w:id="1595674105">
      <w:bodyDiv w:val="1"/>
      <w:marLeft w:val="0"/>
      <w:marRight w:val="0"/>
      <w:marTop w:val="0"/>
      <w:marBottom w:val="0"/>
      <w:divBdr>
        <w:top w:val="none" w:sz="0" w:space="0" w:color="auto"/>
        <w:left w:val="none" w:sz="0" w:space="0" w:color="auto"/>
        <w:bottom w:val="none" w:sz="0" w:space="0" w:color="auto"/>
        <w:right w:val="none" w:sz="0" w:space="0" w:color="auto"/>
      </w:divBdr>
    </w:div>
    <w:div w:id="1863931358">
      <w:bodyDiv w:val="1"/>
      <w:marLeft w:val="0"/>
      <w:marRight w:val="0"/>
      <w:marTop w:val="0"/>
      <w:marBottom w:val="0"/>
      <w:divBdr>
        <w:top w:val="none" w:sz="0" w:space="0" w:color="auto"/>
        <w:left w:val="none" w:sz="0" w:space="0" w:color="auto"/>
        <w:bottom w:val="none" w:sz="0" w:space="0" w:color="auto"/>
        <w:right w:val="none" w:sz="0" w:space="0" w:color="auto"/>
      </w:divBdr>
    </w:div>
    <w:div w:id="18757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engage.dss.gov.au/a-new-approach-to-children-and-family-programs/" TargetMode="External"/><Relationship Id="rId26" Type="http://schemas.openxmlformats.org/officeDocument/2006/relationships/hyperlink" Target="https://www.dss.gov.au/early-years-strategy" TargetMode="External"/><Relationship Id="rId3" Type="http://schemas.openxmlformats.org/officeDocument/2006/relationships/customXml" Target="../customXml/item3.xml"/><Relationship Id="rId21" Type="http://schemas.openxmlformats.org/officeDocument/2006/relationships/hyperlink" Target="https://engage.dss.gov.au/a-stronger-more-diverse-and-independent-community-secto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engage.dss.gov.au/wp-content/uploads/2023/11/not-for-profit-sector-development-blueprint-issues-paper.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ss.gov.au/strengthening-community-sector" TargetMode="External"/><Relationship Id="rId29" Type="http://schemas.openxmlformats.org/officeDocument/2006/relationships/hyperlink" Target="https://www.dss.gov.au/early-years-strategy/resource/early-years-strategy-consultation-report-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ss.gov.au/panels-and-other-groups/blueprint-expert-reference-grou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ss.gov.au/panels-and-other-groups/resource/not-profit-sector-development-blueprint" TargetMode="External"/><Relationship Id="rId28" Type="http://schemas.openxmlformats.org/officeDocument/2006/relationships/hyperlink" Target="https://engage.dss.gov.au/early-years-strategy/" TargetMode="External"/><Relationship Id="rId10" Type="http://schemas.openxmlformats.org/officeDocument/2006/relationships/endnotes" Target="endnotes.xml"/><Relationship Id="rId19" Type="http://schemas.openxmlformats.org/officeDocument/2006/relationships/hyperlink" Target="https://engage.dss.gov.au/families-and-children-fac-activity-children-youth-and-parenting-programs-discussion-pape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ngage.dss.gov.au/a-stronger-more-diverse-and-independent-community-sector/a-stronger-more-diverse-and-independent-community-sector-consultation-summary-report/" TargetMode="External"/><Relationship Id="rId27" Type="http://schemas.openxmlformats.org/officeDocument/2006/relationships/hyperlink" Target="https://www.dss.gov.au/system/files/resources/national-early-years-summit-summary.pdf" TargetMode="External"/><Relationship Id="rId30" Type="http://schemas.openxmlformats.org/officeDocument/2006/relationships/hyperlink" Target="https://www.snaicc.org.au/resources/stronger-accos-stronger-families-report/"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instituteofhealthequity.org/resources-reports/fair-society-healthy-lives-the-marmot-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6E2252DCA7D46B69FFBE4B2481081" ma:contentTypeVersion="13" ma:contentTypeDescription="Create a new document." ma:contentTypeScope="" ma:versionID="b58681cbbb5a30e6771c2c021f048d5d">
  <xsd:schema xmlns:xsd="http://www.w3.org/2001/XMLSchema" xmlns:xs="http://www.w3.org/2001/XMLSchema" xmlns:p="http://schemas.microsoft.com/office/2006/metadata/properties" xmlns:ns2="99179653-7849-48fa-a1da-e588ac703dc4" xmlns:ns3="c42a9b34-f9f7-469d-9fef-5e7959e68c82" targetNamespace="http://schemas.microsoft.com/office/2006/metadata/properties" ma:root="true" ma:fieldsID="56fc24f5e5e26d9f34ec719078da4e6a" ns2:_="" ns3:_="">
    <xsd:import namespace="99179653-7849-48fa-a1da-e588ac703dc4"/>
    <xsd:import namespace="c42a9b34-f9f7-469d-9fef-5e7959e68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9653-7849-48fa-a1da-e588ac703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a9b34-f9f7-469d-9fef-5e7959e68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f6612-ecc5-4b44-95bb-4a668ad02e75}" ma:internalName="TaxCatchAll" ma:showField="CatchAllData" ma:web="c42a9b34-f9f7-469d-9fef-5e7959e68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2a9b34-f9f7-469d-9fef-5e7959e68c82"/>
    <lcf76f155ced4ddcb4097134ff3c332f xmlns="99179653-7849-48fa-a1da-e588ac703d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4BCDB-6307-435C-B675-AA10F12A1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9653-7849-48fa-a1da-e588ac703dc4"/>
    <ds:schemaRef ds:uri="c42a9b34-f9f7-469d-9fef-5e7959e68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c42a9b34-f9f7-469d-9fef-5e7959e68c82"/>
    <ds:schemaRef ds:uri="99179653-7849-48fa-a1da-e588ac703dc4"/>
  </ds:schemaRefs>
</ds:datastoreItem>
</file>

<file path=customXml/itemProps3.xml><?xml version="1.0" encoding="utf-8"?>
<ds:datastoreItem xmlns:ds="http://schemas.openxmlformats.org/officeDocument/2006/customXml" ds:itemID="{95FA32ED-F2E1-40B6-9717-E9B34F6AEFED}">
  <ds:schemaRefs>
    <ds:schemaRef ds:uri="http://schemas.openxmlformats.org/officeDocument/2006/bibliography"/>
  </ds:schemaRefs>
</ds:datastoreItem>
</file>

<file path=customXml/itemProps4.xml><?xml version="1.0" encoding="utf-8"?>
<ds:datastoreItem xmlns:ds="http://schemas.openxmlformats.org/officeDocument/2006/customXml" ds:itemID="{D5053444-966A-467A-B01C-180A1F1F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3773</Words>
  <Characters>22794</Characters>
  <Application>Microsoft Office Word</Application>
  <DocSecurity>4</DocSecurity>
  <Lines>383</Lines>
  <Paragraphs>157</Paragraphs>
  <ScaleCrop>false</ScaleCrop>
  <Company>Department of Social Services</Company>
  <LinksUpToDate>false</LinksUpToDate>
  <CharactersWithSpaces>26576</CharactersWithSpaces>
  <SharedDoc>false</SharedDoc>
  <HLinks>
    <vt:vector size="96" baseType="variant">
      <vt:variant>
        <vt:i4>5046283</vt:i4>
      </vt:variant>
      <vt:variant>
        <vt:i4>42</vt:i4>
      </vt:variant>
      <vt:variant>
        <vt:i4>0</vt:i4>
      </vt:variant>
      <vt:variant>
        <vt:i4>5</vt:i4>
      </vt:variant>
      <vt:variant>
        <vt:lpwstr>https://www.snaicc.org.au/resources/stronger-accos-stronger-families-report/</vt:lpwstr>
      </vt:variant>
      <vt:variant>
        <vt:lpwstr/>
      </vt:variant>
      <vt:variant>
        <vt:i4>7733364</vt:i4>
      </vt:variant>
      <vt:variant>
        <vt:i4>39</vt:i4>
      </vt:variant>
      <vt:variant>
        <vt:i4>0</vt:i4>
      </vt:variant>
      <vt:variant>
        <vt:i4>5</vt:i4>
      </vt:variant>
      <vt:variant>
        <vt:lpwstr>https://www.dss.gov.au/early-years-strategy/resource/early-years-strategy-consultation-report-2023</vt:lpwstr>
      </vt:variant>
      <vt:variant>
        <vt:lpwstr/>
      </vt:variant>
      <vt:variant>
        <vt:i4>2097269</vt:i4>
      </vt:variant>
      <vt:variant>
        <vt:i4>36</vt:i4>
      </vt:variant>
      <vt:variant>
        <vt:i4>0</vt:i4>
      </vt:variant>
      <vt:variant>
        <vt:i4>5</vt:i4>
      </vt:variant>
      <vt:variant>
        <vt:lpwstr>https://engage.dss.gov.au/early-years-strategy/</vt:lpwstr>
      </vt:variant>
      <vt:variant>
        <vt:lpwstr/>
      </vt:variant>
      <vt:variant>
        <vt:i4>983116</vt:i4>
      </vt:variant>
      <vt:variant>
        <vt:i4>33</vt:i4>
      </vt:variant>
      <vt:variant>
        <vt:i4>0</vt:i4>
      </vt:variant>
      <vt:variant>
        <vt:i4>5</vt:i4>
      </vt:variant>
      <vt:variant>
        <vt:lpwstr>https://www.dss.gov.au/system/files/resources/national-early-years-summit-summary.pdf</vt:lpwstr>
      </vt:variant>
      <vt:variant>
        <vt:lpwstr/>
      </vt:variant>
      <vt:variant>
        <vt:i4>3539042</vt:i4>
      </vt:variant>
      <vt:variant>
        <vt:i4>30</vt:i4>
      </vt:variant>
      <vt:variant>
        <vt:i4>0</vt:i4>
      </vt:variant>
      <vt:variant>
        <vt:i4>5</vt:i4>
      </vt:variant>
      <vt:variant>
        <vt:lpwstr>https://www.dss.gov.au/early-years-strategy</vt:lpwstr>
      </vt:variant>
      <vt:variant>
        <vt:lpwstr/>
      </vt:variant>
      <vt:variant>
        <vt:i4>327703</vt:i4>
      </vt:variant>
      <vt:variant>
        <vt:i4>27</vt:i4>
      </vt:variant>
      <vt:variant>
        <vt:i4>0</vt:i4>
      </vt:variant>
      <vt:variant>
        <vt:i4>5</vt:i4>
      </vt:variant>
      <vt:variant>
        <vt:lpwstr>https://engage.dss.gov.au/wp-content/uploads/2023/11/not-for-profit-sector-development-blueprint-issues-paper.pdf</vt:lpwstr>
      </vt:variant>
      <vt:variant>
        <vt:lpwstr/>
      </vt:variant>
      <vt:variant>
        <vt:i4>6881388</vt:i4>
      </vt:variant>
      <vt:variant>
        <vt:i4>24</vt:i4>
      </vt:variant>
      <vt:variant>
        <vt:i4>0</vt:i4>
      </vt:variant>
      <vt:variant>
        <vt:i4>5</vt:i4>
      </vt:variant>
      <vt:variant>
        <vt:lpwstr>https://www.dss.gov.au/panels-and-other-groups/blueprint-expert-reference-group</vt:lpwstr>
      </vt:variant>
      <vt:variant>
        <vt:lpwstr/>
      </vt:variant>
      <vt:variant>
        <vt:i4>6881398</vt:i4>
      </vt:variant>
      <vt:variant>
        <vt:i4>21</vt:i4>
      </vt:variant>
      <vt:variant>
        <vt:i4>0</vt:i4>
      </vt:variant>
      <vt:variant>
        <vt:i4>5</vt:i4>
      </vt:variant>
      <vt:variant>
        <vt:lpwstr>https://www.dss.gov.au/panels-and-other-groups/resource/not-profit-sector-development-blueprint</vt:lpwstr>
      </vt:variant>
      <vt:variant>
        <vt:lpwstr/>
      </vt:variant>
      <vt:variant>
        <vt:i4>1310731</vt:i4>
      </vt:variant>
      <vt:variant>
        <vt:i4>18</vt:i4>
      </vt:variant>
      <vt:variant>
        <vt:i4>0</vt:i4>
      </vt:variant>
      <vt:variant>
        <vt:i4>5</vt:i4>
      </vt:variant>
      <vt:variant>
        <vt:lpwstr>https://engage.dss.gov.au/a-stronger-more-diverse-and-independent-community-sector/a-stronger-more-diverse-and-independent-community-sector-consultation-summary-report/</vt:lpwstr>
      </vt:variant>
      <vt:variant>
        <vt:lpwstr/>
      </vt:variant>
      <vt:variant>
        <vt:i4>2883640</vt:i4>
      </vt:variant>
      <vt:variant>
        <vt:i4>15</vt:i4>
      </vt:variant>
      <vt:variant>
        <vt:i4>0</vt:i4>
      </vt:variant>
      <vt:variant>
        <vt:i4>5</vt:i4>
      </vt:variant>
      <vt:variant>
        <vt:lpwstr>https://engage.dss.gov.au/a-stronger-more-diverse-and-independent-community-sector/</vt:lpwstr>
      </vt:variant>
      <vt:variant>
        <vt:lpwstr/>
      </vt:variant>
      <vt:variant>
        <vt:i4>4522015</vt:i4>
      </vt:variant>
      <vt:variant>
        <vt:i4>12</vt:i4>
      </vt:variant>
      <vt:variant>
        <vt:i4>0</vt:i4>
      </vt:variant>
      <vt:variant>
        <vt:i4>5</vt:i4>
      </vt:variant>
      <vt:variant>
        <vt:lpwstr>https://www.dss.gov.au/strengthening-community-sector</vt:lpwstr>
      </vt:variant>
      <vt:variant>
        <vt:lpwstr/>
      </vt:variant>
      <vt:variant>
        <vt:i4>4915219</vt:i4>
      </vt:variant>
      <vt:variant>
        <vt:i4>9</vt:i4>
      </vt:variant>
      <vt:variant>
        <vt:i4>0</vt:i4>
      </vt:variant>
      <vt:variant>
        <vt:i4>5</vt:i4>
      </vt:variant>
      <vt:variant>
        <vt:lpwstr>https://engage.dss.gov.au/families-and-children-fac-activity-children-youth-and-parenting-programs-discussion-paper/</vt:lpwstr>
      </vt:variant>
      <vt:variant>
        <vt:lpwstr/>
      </vt:variant>
      <vt:variant>
        <vt:i4>6357069</vt:i4>
      </vt:variant>
      <vt:variant>
        <vt:i4>6</vt:i4>
      </vt:variant>
      <vt:variant>
        <vt:i4>0</vt:i4>
      </vt:variant>
      <vt:variant>
        <vt:i4>5</vt:i4>
      </vt:variant>
      <vt:variant>
        <vt:lpwstr/>
      </vt:variant>
      <vt:variant>
        <vt:lpwstr>_Part_2:_Summary</vt:lpwstr>
      </vt:variant>
      <vt:variant>
        <vt:i4>6750228</vt:i4>
      </vt:variant>
      <vt:variant>
        <vt:i4>3</vt:i4>
      </vt:variant>
      <vt:variant>
        <vt:i4>0</vt:i4>
      </vt:variant>
      <vt:variant>
        <vt:i4>5</vt:i4>
      </vt:variant>
      <vt:variant>
        <vt:lpwstr/>
      </vt:variant>
      <vt:variant>
        <vt:lpwstr>_Part_1:_2024</vt:lpwstr>
      </vt:variant>
      <vt:variant>
        <vt:i4>5505105</vt:i4>
      </vt:variant>
      <vt:variant>
        <vt:i4>0</vt:i4>
      </vt:variant>
      <vt:variant>
        <vt:i4>0</vt:i4>
      </vt:variant>
      <vt:variant>
        <vt:i4>5</vt:i4>
      </vt:variant>
      <vt:variant>
        <vt:lpwstr>https://engage.dss.gov.au/a-new-approach-to-children-and-family-programs/</vt:lpwstr>
      </vt:variant>
      <vt:variant>
        <vt:lpwstr/>
      </vt:variant>
      <vt:variant>
        <vt:i4>7536742</vt:i4>
      </vt:variant>
      <vt:variant>
        <vt:i4>0</vt:i4>
      </vt:variant>
      <vt:variant>
        <vt:i4>0</vt:i4>
      </vt:variant>
      <vt:variant>
        <vt:i4>5</vt:i4>
      </vt:variant>
      <vt:variant>
        <vt:lpwstr>https://www.instituteofhealthequity.org/resources-reports/fair-society-healthy-lives-the-marmot-review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Report Template</dc:title>
  <dc:subject/>
  <dc:creator>Kira Rose</dc:creator>
  <cp:keywords>[SEC=OFFICIAL]</cp:keywords>
  <cp:lastModifiedBy>BEHRINGER, Maddy</cp:lastModifiedBy>
  <cp:revision>2</cp:revision>
  <cp:lastPrinted>2025-10-23T23:06:00Z</cp:lastPrinted>
  <dcterms:created xsi:type="dcterms:W3CDTF">2025-11-03T00:55:00Z</dcterms:created>
  <dcterms:modified xsi:type="dcterms:W3CDTF">2025-11-03T00:55:00Z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AB7C61AC866BA6B951A12916051A7E40C273E8E6</vt:lpwstr>
  </property>
  <property fmtid="{D5CDD505-2E9C-101B-9397-08002B2CF9AE}" pid="11" name="PM_OriginationTimeStamp">
    <vt:lpwstr>2024-03-05T03:17:34Z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723F4DEFFCD8FC5116BE29CC158EF079</vt:lpwstr>
  </property>
  <property fmtid="{D5CDD505-2E9C-101B-9397-08002B2CF9AE}" pid="21" name="PM_Hash_Salt">
    <vt:lpwstr>48B855017942B4CBF6D0E180D7E2E471</vt:lpwstr>
  </property>
  <property fmtid="{D5CDD505-2E9C-101B-9397-08002B2CF9AE}" pid="22" name="PM_Hash_SHA1">
    <vt:lpwstr>239FB76279EABD6C146F6C65757E6477EA22EED6</vt:lpwstr>
  </property>
  <property fmtid="{D5CDD505-2E9C-101B-9397-08002B2CF9AE}" pid="23" name="PM_OriginatorUserAccountName_SHA256">
    <vt:lpwstr>44728B628D3590496E4200A08F0CF4F360D2BB2C8A61988EDA7AFDEA3B03F748</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0x010100CBB6E2252DCA7D46B69FFBE4B2481081</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2024-03-05T03:17:34Z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af7aa006ac4f4ab08903e8fd63fe8079</vt:lpwstr>
  </property>
  <property fmtid="{D5CDD505-2E9C-101B-9397-08002B2CF9AE}" pid="35" name="MSIP_Label_eb34d90b-fc41-464d-af60-f74d721d0790_ContentBits">
    <vt:lpwstr>3</vt:lpwstr>
  </property>
  <property fmtid="{D5CDD505-2E9C-101B-9397-08002B2CF9AE}" pid="36" name="PMHMAC">
    <vt:lpwstr>v=2024.1;a=SHA256;h=535980154AFFFF470F88292A1C1D7DD4E19F63DE0C04F9B6A0B65FBBB359A1F6</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