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490C" w14:textId="4EDECD9C" w:rsidR="001D0F6D" w:rsidRDefault="0051762A" w:rsidP="00EA4560">
      <w:pPr>
        <w:sectPr w:rsidR="001D0F6D" w:rsidSect="003F6174">
          <w:headerReference w:type="default" r:id="rId11"/>
          <w:footerReference w:type="default" r:id="rId12"/>
          <w:footerReference w:type="first" r:id="rId13"/>
          <w:pgSz w:w="11906" w:h="16838"/>
          <w:pgMar w:top="284" w:right="851" w:bottom="1134" w:left="851" w:header="0" w:footer="0" w:gutter="0"/>
          <w:cols w:space="708"/>
          <w:titlePg/>
          <w:docGrid w:linePitch="360"/>
        </w:sectPr>
      </w:pPr>
      <w:r>
        <w:rPr>
          <w:noProof/>
          <w:color w:val="000000" w:themeColor="text1"/>
          <w:sz w:val="28"/>
        </w:rPr>
        <w:drawing>
          <wp:anchor distT="0" distB="0" distL="114300" distR="114300" simplePos="0" relativeHeight="251658241" behindDoc="1" locked="0" layoutInCell="1" allowOverlap="1" wp14:anchorId="09954D1C" wp14:editId="593CAE22">
            <wp:simplePos x="0" y="0"/>
            <wp:positionH relativeFrom="column">
              <wp:posOffset>-528277</wp:posOffset>
            </wp:positionH>
            <wp:positionV relativeFrom="paragraph">
              <wp:posOffset>-163473</wp:posOffset>
            </wp:positionV>
            <wp:extent cx="7622540" cy="10768330"/>
            <wp:effectExtent l="0" t="0" r="0" b="0"/>
            <wp:wrapNone/>
            <wp:docPr id="246365249" name="Picture 1" descr="Cover page with the title 'A new approach to programs for families and children' and a picture of a baby holding a leaf walking with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65249" name="Picture 1" descr="Cover page with the title 'A new approach to programs for families and children' and a picture of a baby holding a leaf walking with parents."/>
                    <pic:cNvPicPr/>
                  </pic:nvPicPr>
                  <pic:blipFill>
                    <a:blip r:embed="rId14">
                      <a:extLst>
                        <a:ext uri="{28A0092B-C50C-407E-A947-70E740481C1C}">
                          <a14:useLocalDpi xmlns:a14="http://schemas.microsoft.com/office/drawing/2010/main" val="0"/>
                        </a:ext>
                      </a:extLst>
                    </a:blip>
                    <a:stretch>
                      <a:fillRect/>
                    </a:stretch>
                  </pic:blipFill>
                  <pic:spPr>
                    <a:xfrm>
                      <a:off x="0" y="0"/>
                      <a:ext cx="7622540" cy="10768330"/>
                    </a:xfrm>
                    <a:prstGeom prst="rect">
                      <a:avLst/>
                    </a:prstGeom>
                  </pic:spPr>
                </pic:pic>
              </a:graphicData>
            </a:graphic>
            <wp14:sizeRelH relativeFrom="page">
              <wp14:pctWidth>0</wp14:pctWidth>
            </wp14:sizeRelH>
            <wp14:sizeRelV relativeFrom="page">
              <wp14:pctHeight>0</wp14:pctHeight>
            </wp14:sizeRelV>
          </wp:anchor>
        </w:drawing>
      </w:r>
      <w:r w:rsidR="008D0A2B" w:rsidRPr="00CB1058">
        <w:rPr>
          <w:noProof/>
          <w:lang w:eastAsia="en-AU"/>
        </w:rPr>
        <w:drawing>
          <wp:anchor distT="0" distB="0" distL="114300" distR="114300" simplePos="0" relativeHeight="251658240" behindDoc="0" locked="0" layoutInCell="1" allowOverlap="1" wp14:anchorId="33DDA96F" wp14:editId="130727C4">
            <wp:simplePos x="0" y="0"/>
            <wp:positionH relativeFrom="column">
              <wp:posOffset>8255</wp:posOffset>
            </wp:positionH>
            <wp:positionV relativeFrom="paragraph">
              <wp:posOffset>148590</wp:posOffset>
            </wp:positionV>
            <wp:extent cx="2779395" cy="560705"/>
            <wp:effectExtent l="0" t="0" r="1905"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79395" cy="560705"/>
                    </a:xfrm>
                    <a:prstGeom prst="rect">
                      <a:avLst/>
                    </a:prstGeom>
                  </pic:spPr>
                </pic:pic>
              </a:graphicData>
            </a:graphic>
            <wp14:sizeRelH relativeFrom="margin">
              <wp14:pctWidth>0</wp14:pctWidth>
            </wp14:sizeRelH>
            <wp14:sizeRelV relativeFrom="margin">
              <wp14:pctHeight>0</wp14:pctHeight>
            </wp14:sizeRelV>
          </wp:anchor>
        </w:drawing>
      </w:r>
      <w:r w:rsidR="005C3D90">
        <w:br w:type="textWrapping" w:clear="all"/>
      </w:r>
    </w:p>
    <w:p w14:paraId="4B5D8275" w14:textId="76A71766" w:rsidR="00A03EE9" w:rsidRDefault="00EA4560" w:rsidP="00EA4560">
      <w:pPr>
        <w:pStyle w:val="Heading1withsubtitle"/>
        <w:spacing w:before="2160"/>
      </w:pPr>
      <w:r>
        <w:t xml:space="preserve">A new approach to </w:t>
      </w:r>
      <w:r w:rsidR="00A03EE9">
        <w:t>programs</w:t>
      </w:r>
    </w:p>
    <w:p w14:paraId="318C3DB5" w14:textId="3ACFA79A" w:rsidR="00C57001" w:rsidRPr="00C175D2" w:rsidRDefault="00A03EE9" w:rsidP="00EA4560">
      <w:pPr>
        <w:pStyle w:val="Heading1withsubtitle"/>
        <w:spacing w:before="2160"/>
        <w:rPr>
          <w:i/>
          <w:iCs/>
          <w:smallCaps/>
        </w:rPr>
      </w:pPr>
      <w:r>
        <w:t>for families and children</w:t>
      </w:r>
    </w:p>
    <w:p w14:paraId="6C281541" w14:textId="2D9525D9" w:rsidR="00F148C2" w:rsidRDefault="00E244D2" w:rsidP="005A591A">
      <w:pPr>
        <w:pStyle w:val="Subtitle"/>
      </w:pPr>
      <w:bookmarkStart w:id="0" w:name="_Toc395536189"/>
      <w:r>
        <w:t xml:space="preserve">Evidence Summary </w:t>
      </w:r>
    </w:p>
    <w:p w14:paraId="7D544DAD" w14:textId="3EF54D48" w:rsidR="000D5965" w:rsidRPr="000D5965" w:rsidRDefault="000D5965" w:rsidP="000D5965"/>
    <w:bookmarkEnd w:id="0"/>
    <w:p w14:paraId="2511B872" w14:textId="5482C2B8" w:rsidR="00DA7B4A" w:rsidRDefault="007E74C0" w:rsidP="005114AA">
      <w:pPr>
        <w:spacing w:before="8040" w:after="0"/>
        <w:rPr>
          <w:rFonts w:asciiTheme="majorHAnsi" w:eastAsiaTheme="majorEastAsia" w:hAnsiTheme="majorHAnsi" w:cstheme="majorBidi"/>
          <w:b/>
          <w:bCs/>
          <w:color w:val="005A70" w:themeColor="accent1"/>
          <w:sz w:val="48"/>
          <w:szCs w:val="40"/>
        </w:rPr>
      </w:pPr>
      <w:r w:rsidRPr="00983B02">
        <w:rPr>
          <w:noProof/>
          <w:color w:val="000000" w:themeColor="text1"/>
          <w:sz w:val="28"/>
        </w:rPr>
        <w:drawing>
          <wp:anchor distT="0" distB="0" distL="114300" distR="114300" simplePos="0" relativeHeight="251660289" behindDoc="0" locked="0" layoutInCell="1" allowOverlap="1" wp14:anchorId="78F47BC5" wp14:editId="365898FE">
            <wp:simplePos x="0" y="0"/>
            <wp:positionH relativeFrom="column">
              <wp:posOffset>374213</wp:posOffset>
            </wp:positionH>
            <wp:positionV relativeFrom="paragraph">
              <wp:posOffset>5064447</wp:posOffset>
            </wp:positionV>
            <wp:extent cx="1543792" cy="534390"/>
            <wp:effectExtent l="0" t="0" r="0" b="0"/>
            <wp:wrapSquare wrapText="bothSides"/>
            <wp:docPr id="7022394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39413" name="Picture 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543792" cy="534390"/>
                    </a:xfrm>
                    <a:prstGeom prst="rect">
                      <a:avLst/>
                    </a:prstGeom>
                  </pic:spPr>
                </pic:pic>
              </a:graphicData>
            </a:graphic>
            <wp14:sizeRelH relativeFrom="page">
              <wp14:pctWidth>0</wp14:pctWidth>
            </wp14:sizeRelH>
            <wp14:sizeRelV relativeFrom="page">
              <wp14:pctHeight>0</wp14:pctHeight>
            </wp14:sizeRelV>
          </wp:anchor>
        </w:drawing>
      </w:r>
    </w:p>
    <w:p w14:paraId="4302564F" w14:textId="77777777" w:rsidR="00B44E93" w:rsidRPr="00B44E93" w:rsidRDefault="00B44E93" w:rsidP="006F4684">
      <w:pPr>
        <w:pStyle w:val="Heading1withsubtitle"/>
        <w:spacing w:before="0" w:after="0"/>
        <w:contextualSpacing w:val="0"/>
        <w:rPr>
          <w:rFonts w:ascii="Open Sans" w:hAnsi="Open Sans" w:cs="Open Sans"/>
          <w:i/>
          <w:iCs/>
          <w:smallCaps/>
          <w:color w:val="005A70" w:themeColor="accent1"/>
          <w:sz w:val="48"/>
          <w:szCs w:val="24"/>
        </w:rPr>
      </w:pPr>
      <w:r w:rsidRPr="00B44E93">
        <w:rPr>
          <w:rFonts w:ascii="Open Sans" w:hAnsi="Open Sans" w:cs="Open Sans"/>
          <w:color w:val="005A70" w:themeColor="accent1"/>
          <w:sz w:val="48"/>
          <w:szCs w:val="24"/>
        </w:rPr>
        <w:lastRenderedPageBreak/>
        <w:t>Evidence Summary</w:t>
      </w:r>
    </w:p>
    <w:p w14:paraId="1FA95D7E" w14:textId="6C3F52C8" w:rsidR="00B44E93" w:rsidRDefault="00B44E93" w:rsidP="00671733">
      <w:pPr>
        <w:spacing w:before="240" w:line="240" w:lineRule="auto"/>
        <w:rPr>
          <w:rFonts w:ascii="Open Sans" w:hAnsi="Open Sans" w:cs="Open Sans"/>
          <w:i/>
          <w:iCs/>
        </w:rPr>
      </w:pPr>
      <w:bookmarkStart w:id="1" w:name="_Toc391890681"/>
      <w:r>
        <w:rPr>
          <w:rFonts w:ascii="Open Sans" w:hAnsi="Open Sans" w:cs="Open Sans"/>
        </w:rPr>
        <w:t xml:space="preserve">This paper </w:t>
      </w:r>
      <w:r w:rsidR="009A6D41">
        <w:rPr>
          <w:rFonts w:ascii="Open Sans" w:hAnsi="Open Sans" w:cs="Open Sans"/>
        </w:rPr>
        <w:t>outlines</w:t>
      </w:r>
      <w:r w:rsidR="007F4E68">
        <w:rPr>
          <w:rFonts w:ascii="Open Sans" w:hAnsi="Open Sans" w:cs="Open Sans"/>
        </w:rPr>
        <w:t xml:space="preserve"> </w:t>
      </w:r>
      <w:r>
        <w:rPr>
          <w:rFonts w:ascii="Open Sans" w:hAnsi="Open Sans" w:cs="Open Sans"/>
        </w:rPr>
        <w:t xml:space="preserve">the research and evidence </w:t>
      </w:r>
      <w:r w:rsidR="007F4E68">
        <w:rPr>
          <w:rFonts w:ascii="Open Sans" w:hAnsi="Open Sans" w:cs="Open Sans"/>
        </w:rPr>
        <w:t>the Department of Social Services (the</w:t>
      </w:r>
      <w:r w:rsidR="0000579E">
        <w:rPr>
          <w:rFonts w:ascii="Open Sans" w:hAnsi="Open Sans" w:cs="Open Sans"/>
        </w:rPr>
        <w:t> </w:t>
      </w:r>
      <w:r w:rsidR="007F4E68">
        <w:rPr>
          <w:rFonts w:ascii="Open Sans" w:hAnsi="Open Sans" w:cs="Open Sans"/>
        </w:rPr>
        <w:t xml:space="preserve">department) used to </w:t>
      </w:r>
      <w:r w:rsidR="009A6D41">
        <w:rPr>
          <w:rFonts w:ascii="Open Sans" w:hAnsi="Open Sans" w:cs="Open Sans"/>
        </w:rPr>
        <w:t>shape</w:t>
      </w:r>
      <w:r w:rsidR="007F4E68">
        <w:rPr>
          <w:rFonts w:ascii="Open Sans" w:hAnsi="Open Sans" w:cs="Open Sans"/>
        </w:rPr>
        <w:t xml:space="preserve"> </w:t>
      </w:r>
      <w:r>
        <w:rPr>
          <w:rFonts w:ascii="Open Sans" w:hAnsi="Open Sans" w:cs="Open Sans"/>
        </w:rPr>
        <w:t xml:space="preserve">the proposed reforms in the Discussion Paper: </w:t>
      </w:r>
      <w:r w:rsidRPr="00640E95">
        <w:rPr>
          <w:rFonts w:ascii="Open Sans" w:hAnsi="Open Sans" w:cs="Open Sans"/>
          <w:i/>
          <w:iCs/>
        </w:rPr>
        <w:t>A new approach to</w:t>
      </w:r>
      <w:r w:rsidR="006B0F16">
        <w:rPr>
          <w:rFonts w:ascii="Open Sans" w:hAnsi="Open Sans" w:cs="Open Sans"/>
          <w:i/>
          <w:iCs/>
        </w:rPr>
        <w:t> </w:t>
      </w:r>
      <w:r w:rsidRPr="00640E95">
        <w:rPr>
          <w:rFonts w:ascii="Open Sans" w:hAnsi="Open Sans" w:cs="Open Sans"/>
          <w:i/>
          <w:iCs/>
        </w:rPr>
        <w:t>children and family programs</w:t>
      </w:r>
      <w:r>
        <w:rPr>
          <w:rFonts w:ascii="Open Sans" w:hAnsi="Open Sans" w:cs="Open Sans"/>
          <w:i/>
          <w:iCs/>
        </w:rPr>
        <w:t>.</w:t>
      </w:r>
    </w:p>
    <w:p w14:paraId="6D0A5117" w14:textId="4789FBAB" w:rsidR="007F4E68" w:rsidRPr="007F4E68" w:rsidRDefault="00A82235" w:rsidP="00671733">
      <w:pPr>
        <w:spacing w:before="240" w:line="240" w:lineRule="auto"/>
        <w:rPr>
          <w:rFonts w:ascii="Open Sans" w:hAnsi="Open Sans" w:cs="Open Sans"/>
        </w:rPr>
      </w:pPr>
      <w:r>
        <w:rPr>
          <w:rFonts w:ascii="Open Sans" w:hAnsi="Open Sans" w:cs="Open Sans"/>
        </w:rPr>
        <w:t xml:space="preserve">It is structured into three </w:t>
      </w:r>
      <w:proofErr w:type="gramStart"/>
      <w:r>
        <w:rPr>
          <w:rFonts w:ascii="Open Sans" w:hAnsi="Open Sans" w:cs="Open Sans"/>
        </w:rPr>
        <w:t>sections,</w:t>
      </w:r>
      <w:proofErr w:type="gramEnd"/>
      <w:r>
        <w:rPr>
          <w:rFonts w:ascii="Open Sans" w:hAnsi="Open Sans" w:cs="Open Sans"/>
        </w:rPr>
        <w:t xml:space="preserve"> each presenting evidence related to</w:t>
      </w:r>
      <w:r w:rsidR="007F4E68">
        <w:rPr>
          <w:rFonts w:ascii="Open Sans" w:hAnsi="Open Sans" w:cs="Open Sans"/>
        </w:rPr>
        <w:t xml:space="preserve">: </w:t>
      </w:r>
    </w:p>
    <w:p w14:paraId="3F747CAC" w14:textId="3A0FDA93" w:rsidR="00B44E93" w:rsidRPr="003F3249" w:rsidRDefault="00B44E93" w:rsidP="006B0F16">
      <w:pPr>
        <w:pStyle w:val="ListParagraph"/>
        <w:numPr>
          <w:ilvl w:val="0"/>
          <w:numId w:val="13"/>
        </w:numPr>
        <w:spacing w:before="240" w:line="240" w:lineRule="auto"/>
        <w:ind w:left="714" w:hanging="357"/>
        <w:contextualSpacing w:val="0"/>
        <w:rPr>
          <w:rFonts w:ascii="Open Sans" w:hAnsi="Open Sans" w:cs="Open Sans"/>
        </w:rPr>
      </w:pPr>
      <w:r w:rsidRPr="003F3249">
        <w:rPr>
          <w:rFonts w:ascii="Open Sans" w:hAnsi="Open Sans" w:cs="Open Sans"/>
          <w:b/>
          <w:bCs/>
        </w:rPr>
        <w:t xml:space="preserve">Section A </w:t>
      </w:r>
      <w:r w:rsidR="00E96FBF">
        <w:rPr>
          <w:rFonts w:ascii="Open Sans" w:hAnsi="Open Sans" w:cs="Open Sans"/>
        </w:rPr>
        <w:t>cover</w:t>
      </w:r>
      <w:r w:rsidR="00B80314">
        <w:rPr>
          <w:rFonts w:ascii="Open Sans" w:hAnsi="Open Sans" w:cs="Open Sans"/>
        </w:rPr>
        <w:t>s</w:t>
      </w:r>
      <w:r w:rsidR="007F4E68">
        <w:rPr>
          <w:rFonts w:ascii="Open Sans" w:hAnsi="Open Sans" w:cs="Open Sans"/>
        </w:rPr>
        <w:t xml:space="preserve"> </w:t>
      </w:r>
      <w:r w:rsidRPr="003F3249">
        <w:rPr>
          <w:rFonts w:ascii="Open Sans" w:hAnsi="Open Sans" w:cs="Open Sans"/>
        </w:rPr>
        <w:t xml:space="preserve">the new program structure, including the </w:t>
      </w:r>
      <w:r w:rsidR="002713E3">
        <w:rPr>
          <w:rFonts w:ascii="Open Sans" w:hAnsi="Open Sans" w:cs="Open Sans"/>
        </w:rPr>
        <w:t>three</w:t>
      </w:r>
      <w:r w:rsidRPr="003F3249">
        <w:rPr>
          <w:rFonts w:ascii="Open Sans" w:hAnsi="Open Sans" w:cs="Open Sans"/>
        </w:rPr>
        <w:t xml:space="preserve"> streams of the </w:t>
      </w:r>
      <w:r w:rsidR="00E96FBF">
        <w:rPr>
          <w:rFonts w:ascii="Open Sans" w:hAnsi="Open Sans" w:cs="Open Sans"/>
        </w:rPr>
        <w:t>proposed</w:t>
      </w:r>
      <w:r w:rsidRPr="003F3249">
        <w:rPr>
          <w:rFonts w:ascii="Open Sans" w:hAnsi="Open Sans" w:cs="Open Sans"/>
        </w:rPr>
        <w:t xml:space="preserve"> single national program</w:t>
      </w:r>
      <w:r w:rsidR="00E96FBF">
        <w:rPr>
          <w:rFonts w:ascii="Open Sans" w:hAnsi="Open Sans" w:cs="Open Sans"/>
        </w:rPr>
        <w:t>.</w:t>
      </w:r>
    </w:p>
    <w:p w14:paraId="72DF9A6A" w14:textId="53B60C49" w:rsidR="00B44E93" w:rsidRPr="003F3249" w:rsidRDefault="00B44E93" w:rsidP="006B0F16">
      <w:pPr>
        <w:pStyle w:val="ListParagraph"/>
        <w:numPr>
          <w:ilvl w:val="0"/>
          <w:numId w:val="13"/>
        </w:numPr>
        <w:spacing w:before="240" w:line="240" w:lineRule="auto"/>
        <w:ind w:left="714" w:hanging="357"/>
        <w:contextualSpacing w:val="0"/>
        <w:rPr>
          <w:rFonts w:ascii="Open Sans" w:hAnsi="Open Sans" w:cs="Open Sans"/>
        </w:rPr>
      </w:pPr>
      <w:r w:rsidRPr="003F3249">
        <w:rPr>
          <w:rFonts w:ascii="Open Sans" w:hAnsi="Open Sans" w:cs="Open Sans"/>
          <w:b/>
          <w:bCs/>
        </w:rPr>
        <w:t xml:space="preserve">Section B </w:t>
      </w:r>
      <w:r w:rsidR="003C3D28">
        <w:rPr>
          <w:rFonts w:ascii="Open Sans" w:hAnsi="Open Sans" w:cs="Open Sans"/>
        </w:rPr>
        <w:t xml:space="preserve">outlines the </w:t>
      </w:r>
      <w:r w:rsidR="0055374A">
        <w:rPr>
          <w:rFonts w:ascii="Open Sans" w:hAnsi="Open Sans" w:cs="Open Sans"/>
        </w:rPr>
        <w:t xml:space="preserve">Australian Government’s </w:t>
      </w:r>
      <w:r w:rsidR="003C3D28">
        <w:rPr>
          <w:rFonts w:ascii="Open Sans" w:hAnsi="Open Sans" w:cs="Open Sans"/>
        </w:rPr>
        <w:t>investment priorities.</w:t>
      </w:r>
    </w:p>
    <w:p w14:paraId="0733BCBD" w14:textId="385BAA5F" w:rsidR="00B44E93" w:rsidRDefault="00B44E93" w:rsidP="006B0F16">
      <w:pPr>
        <w:pStyle w:val="ListParagraph"/>
        <w:numPr>
          <w:ilvl w:val="0"/>
          <w:numId w:val="13"/>
        </w:numPr>
        <w:spacing w:before="240" w:line="240" w:lineRule="auto"/>
        <w:ind w:left="714" w:hanging="357"/>
        <w:contextualSpacing w:val="0"/>
        <w:rPr>
          <w:rFonts w:ascii="Open Sans" w:hAnsi="Open Sans" w:cs="Open Sans"/>
        </w:rPr>
      </w:pPr>
      <w:r w:rsidRPr="003F3249">
        <w:rPr>
          <w:rFonts w:ascii="Open Sans" w:hAnsi="Open Sans" w:cs="Open Sans"/>
          <w:b/>
          <w:bCs/>
        </w:rPr>
        <w:t xml:space="preserve">Section C </w:t>
      </w:r>
      <w:r w:rsidR="003C3D28">
        <w:rPr>
          <w:rFonts w:ascii="Open Sans" w:hAnsi="Open Sans" w:cs="Open Sans"/>
        </w:rPr>
        <w:t xml:space="preserve">details changes to how the department and service providers will work together. </w:t>
      </w:r>
    </w:p>
    <w:p w14:paraId="66DC453F" w14:textId="32D76227" w:rsidR="00B44E93" w:rsidRDefault="00B44E93" w:rsidP="00B44E93">
      <w:pPr>
        <w:rPr>
          <w:rFonts w:ascii="Open Sans" w:hAnsi="Open Sans" w:cs="Open Sans"/>
        </w:rPr>
      </w:pPr>
      <w:r>
        <w:rPr>
          <w:rFonts w:ascii="Open Sans" w:hAnsi="Open Sans" w:cs="Open Sans"/>
        </w:rPr>
        <w:t xml:space="preserve">This paper should be read </w:t>
      </w:r>
      <w:r w:rsidR="008708D2">
        <w:rPr>
          <w:rFonts w:ascii="Open Sans" w:hAnsi="Open Sans" w:cs="Open Sans"/>
        </w:rPr>
        <w:t>alongside</w:t>
      </w:r>
      <w:r>
        <w:rPr>
          <w:rFonts w:ascii="Open Sans" w:hAnsi="Open Sans" w:cs="Open Sans"/>
        </w:rPr>
        <w:t xml:space="preserve"> the </w:t>
      </w:r>
      <w:r>
        <w:rPr>
          <w:rFonts w:ascii="Open Sans" w:hAnsi="Open Sans" w:cs="Open Sans"/>
          <w:b/>
          <w:bCs/>
        </w:rPr>
        <w:t xml:space="preserve">Consultation </w:t>
      </w:r>
      <w:r w:rsidRPr="00431DC5">
        <w:rPr>
          <w:rFonts w:ascii="Open Sans" w:hAnsi="Open Sans" w:cs="Open Sans"/>
          <w:b/>
          <w:bCs/>
        </w:rPr>
        <w:t>Summary</w:t>
      </w:r>
      <w:r w:rsidR="008708D2">
        <w:rPr>
          <w:rFonts w:ascii="Open Sans" w:hAnsi="Open Sans" w:cs="Open Sans"/>
        </w:rPr>
        <w:t xml:space="preserve">, which captures what </w:t>
      </w:r>
      <w:r w:rsidR="00B80314">
        <w:rPr>
          <w:rFonts w:ascii="Open Sans" w:hAnsi="Open Sans" w:cs="Open Sans"/>
        </w:rPr>
        <w:t>we have heard through</w:t>
      </w:r>
      <w:r w:rsidR="008708D2">
        <w:rPr>
          <w:rFonts w:ascii="Open Sans" w:hAnsi="Open Sans" w:cs="Open Sans"/>
        </w:rPr>
        <w:t xml:space="preserve"> previous consultations. These insights have directly informed the proposed changes. </w:t>
      </w:r>
      <w:r>
        <w:rPr>
          <w:rFonts w:ascii="Open Sans" w:hAnsi="Open Sans" w:cs="Open Sans"/>
        </w:rPr>
        <w:t xml:space="preserve"> </w:t>
      </w:r>
    </w:p>
    <w:p w14:paraId="2B5970A2" w14:textId="56EF0D1D" w:rsidR="00B44E93" w:rsidRDefault="00B44E93" w:rsidP="00B44E93">
      <w:pPr>
        <w:rPr>
          <w:rFonts w:ascii="Open Sans" w:hAnsi="Open Sans" w:cs="Open Sans"/>
        </w:rPr>
      </w:pPr>
      <w:r>
        <w:rPr>
          <w:rFonts w:ascii="Open Sans" w:hAnsi="Open Sans" w:cs="Open Sans"/>
        </w:rPr>
        <w:t xml:space="preserve">If </w:t>
      </w:r>
      <w:r w:rsidR="008708D2">
        <w:rPr>
          <w:rFonts w:ascii="Open Sans" w:hAnsi="Open Sans" w:cs="Open Sans"/>
        </w:rPr>
        <w:t xml:space="preserve">you’re using this paper to support your own research, we encourage you to refer to the original sources listed in the reference section at the end of the document. </w:t>
      </w:r>
      <w:r w:rsidR="00580049">
        <w:rPr>
          <w:rFonts w:ascii="Open Sans" w:hAnsi="Open Sans" w:cs="Open Sans"/>
        </w:rPr>
        <w:t xml:space="preserve"> </w:t>
      </w:r>
    </w:p>
    <w:bookmarkEnd w:id="1"/>
    <w:p w14:paraId="2142BC2A" w14:textId="5286D853" w:rsidR="00B44E93" w:rsidRPr="00C75C8C" w:rsidRDefault="00B44E93" w:rsidP="00B44E93">
      <w:pPr>
        <w:pStyle w:val="Heading2"/>
        <w:numPr>
          <w:ilvl w:val="0"/>
          <w:numId w:val="14"/>
        </w:numPr>
        <w:ind w:left="0" w:firstLine="0"/>
        <w:rPr>
          <w:rFonts w:ascii="Open Sans" w:hAnsi="Open Sans" w:cs="Open Sans"/>
        </w:rPr>
      </w:pPr>
      <w:r>
        <w:rPr>
          <w:rFonts w:ascii="Open Sans" w:hAnsi="Open Sans" w:cs="Open Sans"/>
        </w:rPr>
        <w:t xml:space="preserve">A single national program with </w:t>
      </w:r>
      <w:r w:rsidR="008708D2">
        <w:rPr>
          <w:rFonts w:ascii="Open Sans" w:hAnsi="Open Sans" w:cs="Open Sans"/>
        </w:rPr>
        <w:t>three</w:t>
      </w:r>
      <w:r>
        <w:rPr>
          <w:rFonts w:ascii="Open Sans" w:hAnsi="Open Sans" w:cs="Open Sans"/>
        </w:rPr>
        <w:t xml:space="preserve"> streams</w:t>
      </w:r>
    </w:p>
    <w:p w14:paraId="18394B69" w14:textId="5C47D036" w:rsidR="00B44E93" w:rsidRPr="00354AD2" w:rsidRDefault="007F4E68" w:rsidP="00B44E93">
      <w:pPr>
        <w:rPr>
          <w:rFonts w:ascii="Open Sans" w:hAnsi="Open Sans" w:cs="Open Sans"/>
          <w:b/>
          <w:bCs/>
        </w:rPr>
      </w:pPr>
      <w:r>
        <w:rPr>
          <w:rFonts w:ascii="Open Sans" w:hAnsi="Open Sans" w:cs="Open Sans"/>
        </w:rPr>
        <w:t>A</w:t>
      </w:r>
      <w:r w:rsidRPr="00354AD2">
        <w:rPr>
          <w:rFonts w:ascii="Open Sans" w:hAnsi="Open Sans" w:cs="Open Sans"/>
        </w:rPr>
        <w:t>ll families and children</w:t>
      </w:r>
      <w:r>
        <w:rPr>
          <w:rFonts w:ascii="Open Sans" w:hAnsi="Open Sans" w:cs="Open Sans"/>
        </w:rPr>
        <w:t xml:space="preserve"> should have access to s</w:t>
      </w:r>
      <w:r w:rsidR="00B44E93" w:rsidRPr="00354AD2">
        <w:rPr>
          <w:rFonts w:ascii="Open Sans" w:hAnsi="Open Sans" w:cs="Open Sans"/>
        </w:rPr>
        <w:t>upports and appropriate interventions, with targeted ‘back-ups’ for those requiring more intensive supports.</w:t>
      </w:r>
      <w:r w:rsidR="00B44E93" w:rsidRPr="00354AD2">
        <w:rPr>
          <w:rStyle w:val="EndnoteReference"/>
          <w:rFonts w:ascii="Open Sans" w:hAnsi="Open Sans" w:cs="Open Sans"/>
        </w:rPr>
        <w:endnoteReference w:id="2"/>
      </w:r>
      <w:r w:rsidR="00B44E93" w:rsidRPr="00354AD2">
        <w:rPr>
          <w:rFonts w:ascii="Open Sans" w:hAnsi="Open Sans" w:cs="Open Sans"/>
        </w:rPr>
        <w:t xml:space="preserve"> This</w:t>
      </w:r>
      <w:r w:rsidR="00B44E93">
        <w:rPr>
          <w:rFonts w:ascii="Open Sans" w:hAnsi="Open Sans" w:cs="Open Sans"/>
        </w:rPr>
        <w:t xml:space="preserve"> </w:t>
      </w:r>
      <w:r w:rsidR="00B44E93" w:rsidRPr="00354AD2">
        <w:rPr>
          <w:rFonts w:ascii="Open Sans" w:hAnsi="Open Sans" w:cs="Open Sans"/>
        </w:rPr>
        <w:t>is known as a</w:t>
      </w:r>
      <w:r w:rsidR="00B44E93">
        <w:rPr>
          <w:rFonts w:ascii="Open Sans" w:hAnsi="Open Sans" w:cs="Open Sans"/>
        </w:rPr>
        <w:t xml:space="preserve"> </w:t>
      </w:r>
      <w:r w:rsidR="00B44E93" w:rsidRPr="00354AD2">
        <w:rPr>
          <w:rFonts w:ascii="Open Sans" w:hAnsi="Open Sans" w:cs="Open Sans"/>
        </w:rPr>
        <w:t>public health approach</w:t>
      </w:r>
      <w:r w:rsidR="008708D2">
        <w:rPr>
          <w:rFonts w:ascii="Open Sans" w:hAnsi="Open Sans" w:cs="Open Sans"/>
        </w:rPr>
        <w:t>, which</w:t>
      </w:r>
      <w:r w:rsidR="00B44E93" w:rsidRPr="00354AD2">
        <w:rPr>
          <w:rFonts w:ascii="Open Sans" w:hAnsi="Open Sans" w:cs="Open Sans"/>
        </w:rPr>
        <w:t xml:space="preserve"> aims to prevent problems occurring in the first place, quickly</w:t>
      </w:r>
      <w:r w:rsidR="00580049">
        <w:rPr>
          <w:rFonts w:ascii="Open Sans" w:hAnsi="Open Sans" w:cs="Open Sans"/>
        </w:rPr>
        <w:t> </w:t>
      </w:r>
      <w:r w:rsidR="00B44E93" w:rsidRPr="00354AD2">
        <w:rPr>
          <w:rFonts w:ascii="Open Sans" w:hAnsi="Open Sans" w:cs="Open Sans"/>
        </w:rPr>
        <w:t>respond t</w:t>
      </w:r>
      <w:r w:rsidR="0000579E">
        <w:rPr>
          <w:rFonts w:ascii="Open Sans" w:hAnsi="Open Sans" w:cs="Open Sans"/>
        </w:rPr>
        <w:t>o </w:t>
      </w:r>
      <w:r w:rsidR="00B44E93" w:rsidRPr="00354AD2">
        <w:rPr>
          <w:rFonts w:ascii="Open Sans" w:hAnsi="Open Sans" w:cs="Open Sans"/>
        </w:rPr>
        <w:t>problems if they do occur, minimise any long-term effect</w:t>
      </w:r>
      <w:r w:rsidR="00DC2FA4">
        <w:rPr>
          <w:rFonts w:ascii="Open Sans" w:hAnsi="Open Sans" w:cs="Open Sans"/>
        </w:rPr>
        <w:t>s</w:t>
      </w:r>
      <w:r w:rsidR="00B44E93">
        <w:rPr>
          <w:rFonts w:ascii="Open Sans" w:hAnsi="Open Sans" w:cs="Open Sans"/>
        </w:rPr>
        <w:t>,</w:t>
      </w:r>
      <w:r w:rsidR="00B44E93" w:rsidRPr="00354AD2">
        <w:rPr>
          <w:rFonts w:ascii="Open Sans" w:hAnsi="Open Sans" w:cs="Open Sans"/>
        </w:rPr>
        <w:t xml:space="preserve"> and prevent </w:t>
      </w:r>
      <w:r>
        <w:rPr>
          <w:rFonts w:ascii="Open Sans" w:hAnsi="Open Sans" w:cs="Open Sans"/>
        </w:rPr>
        <w:t>them occurring again</w:t>
      </w:r>
      <w:r w:rsidR="00B44E93" w:rsidRPr="00354AD2">
        <w:rPr>
          <w:rFonts w:ascii="Open Sans" w:hAnsi="Open Sans" w:cs="Open Sans"/>
        </w:rPr>
        <w:t>.</w:t>
      </w:r>
      <w:r w:rsidR="00B44E93" w:rsidRPr="00E93877">
        <w:rPr>
          <w:rStyle w:val="EndnoteReference"/>
          <w:rFonts w:ascii="Open Sans" w:hAnsi="Open Sans" w:cs="Open Sans"/>
        </w:rPr>
        <w:endnoteReference w:id="3"/>
      </w:r>
    </w:p>
    <w:p w14:paraId="75BABF7F" w14:textId="38580152" w:rsidR="00B44E93" w:rsidRDefault="00B44E93" w:rsidP="00B44E93">
      <w:pPr>
        <w:rPr>
          <w:rFonts w:ascii="Open Sans" w:hAnsi="Open Sans" w:cs="Open Sans"/>
        </w:rPr>
      </w:pPr>
      <w:r>
        <w:rPr>
          <w:rFonts w:ascii="Open Sans" w:hAnsi="Open Sans" w:cs="Open Sans"/>
        </w:rPr>
        <w:t>C</w:t>
      </w:r>
      <w:r w:rsidRPr="00354AD2">
        <w:rPr>
          <w:rFonts w:ascii="Open Sans" w:hAnsi="Open Sans" w:cs="Open Sans"/>
        </w:rPr>
        <w:t xml:space="preserve">ombining </w:t>
      </w:r>
      <w:r w:rsidR="34CE1721" w:rsidRPr="00354AD2">
        <w:rPr>
          <w:rFonts w:ascii="Open Sans" w:hAnsi="Open Sans" w:cs="Open Sans"/>
        </w:rPr>
        <w:t xml:space="preserve">interventions </w:t>
      </w:r>
      <w:r w:rsidRPr="00354AD2">
        <w:rPr>
          <w:rFonts w:ascii="Open Sans" w:hAnsi="Open Sans" w:cs="Open Sans"/>
        </w:rPr>
        <w:t>at different points in the system, and providing both prevention and treatment supports</w:t>
      </w:r>
      <w:r>
        <w:rPr>
          <w:rFonts w:ascii="Open Sans" w:hAnsi="Open Sans" w:cs="Open Sans"/>
        </w:rPr>
        <w:t>,</w:t>
      </w:r>
      <w:r w:rsidRPr="00354AD2">
        <w:rPr>
          <w:rFonts w:ascii="Open Sans" w:hAnsi="Open Sans" w:cs="Open Sans"/>
        </w:rPr>
        <w:t xml:space="preserve"> generates stronger effects than one option alone.</w:t>
      </w:r>
      <w:r w:rsidRPr="00D12D81">
        <w:rPr>
          <w:rStyle w:val="EndnoteReference"/>
          <w:rFonts w:ascii="Open Sans" w:hAnsi="Open Sans" w:cs="Open Sans"/>
        </w:rPr>
        <w:endnoteReference w:id="4"/>
      </w:r>
      <w:r>
        <w:rPr>
          <w:rFonts w:ascii="Open Sans" w:hAnsi="Open Sans" w:cs="Open Sans"/>
        </w:rPr>
        <w:t xml:space="preserve"> </w:t>
      </w:r>
      <w:r w:rsidR="260AAA0E">
        <w:rPr>
          <w:rFonts w:ascii="Open Sans" w:hAnsi="Open Sans" w:cs="Open Sans"/>
        </w:rPr>
        <w:t xml:space="preserve"> </w:t>
      </w:r>
      <w:r w:rsidR="00C9761A">
        <w:rPr>
          <w:rFonts w:ascii="Open Sans" w:hAnsi="Open Sans" w:cs="Open Sans"/>
        </w:rPr>
        <w:t xml:space="preserve">Service providers have shared that more families </w:t>
      </w:r>
      <w:r w:rsidR="00DE39E6">
        <w:rPr>
          <w:rFonts w:ascii="Open Sans" w:hAnsi="Open Sans" w:cs="Open Sans"/>
        </w:rPr>
        <w:t>are coming to them in crisis or with complex needs. This has made it</w:t>
      </w:r>
      <w:r w:rsidR="0000579E">
        <w:rPr>
          <w:rFonts w:ascii="Open Sans" w:hAnsi="Open Sans" w:cs="Open Sans"/>
        </w:rPr>
        <w:t> </w:t>
      </w:r>
      <w:r w:rsidR="00DE39E6">
        <w:rPr>
          <w:rFonts w:ascii="Open Sans" w:hAnsi="Open Sans" w:cs="Open Sans"/>
        </w:rPr>
        <w:t xml:space="preserve">harder to focus on prevention and early intervention. Providers also said that strict grant requirements can limit their ability to offer flexible support – making it harder for children and families to get help when they need it most </w:t>
      </w:r>
      <w:r>
        <w:rPr>
          <w:rFonts w:ascii="Open Sans" w:hAnsi="Open Sans" w:cs="Open Sans"/>
        </w:rPr>
        <w:t xml:space="preserve">(see </w:t>
      </w:r>
      <w:r>
        <w:rPr>
          <w:rFonts w:ascii="Open Sans" w:hAnsi="Open Sans" w:cs="Open Sans"/>
          <w:b/>
          <w:bCs/>
        </w:rPr>
        <w:t>Consultation Summary</w:t>
      </w:r>
      <w:r>
        <w:rPr>
          <w:rFonts w:ascii="Open Sans" w:hAnsi="Open Sans" w:cs="Open Sans"/>
        </w:rPr>
        <w:t xml:space="preserve">). </w:t>
      </w:r>
    </w:p>
    <w:p w14:paraId="1851631A" w14:textId="74697853" w:rsidR="00B44E93" w:rsidRDefault="00DE39E6" w:rsidP="00B44E93">
      <w:pPr>
        <w:rPr>
          <w:rFonts w:ascii="Open Sans" w:hAnsi="Open Sans" w:cs="Open Sans"/>
        </w:rPr>
      </w:pPr>
      <w:r w:rsidRPr="69026B43">
        <w:rPr>
          <w:rFonts w:ascii="Open Sans" w:hAnsi="Open Sans" w:cs="Open Sans"/>
        </w:rPr>
        <w:t xml:space="preserve">The proposed single national program aims to better organise how the department funds child and family services. It is designed </w:t>
      </w:r>
      <w:r w:rsidR="33CD47FE" w:rsidRPr="69026B43">
        <w:rPr>
          <w:rFonts w:ascii="Open Sans" w:hAnsi="Open Sans" w:cs="Open Sans"/>
        </w:rPr>
        <w:t xml:space="preserve">with flexibility in mind and </w:t>
      </w:r>
      <w:r w:rsidRPr="69026B43">
        <w:rPr>
          <w:rFonts w:ascii="Open Sans" w:hAnsi="Open Sans" w:cs="Open Sans"/>
        </w:rPr>
        <w:t xml:space="preserve">to reflect what the evidence shows works best </w:t>
      </w:r>
      <w:r w:rsidR="539444B3" w:rsidRPr="69026B43">
        <w:rPr>
          <w:rFonts w:ascii="Open Sans" w:hAnsi="Open Sans" w:cs="Open Sans"/>
        </w:rPr>
        <w:t>in deli</w:t>
      </w:r>
      <w:r w:rsidR="00BF488D">
        <w:rPr>
          <w:rFonts w:ascii="Open Sans" w:hAnsi="Open Sans" w:cs="Open Sans"/>
        </w:rPr>
        <w:t>ve</w:t>
      </w:r>
      <w:r w:rsidR="539444B3" w:rsidRPr="69026B43">
        <w:rPr>
          <w:rFonts w:ascii="Open Sans" w:hAnsi="Open Sans" w:cs="Open Sans"/>
        </w:rPr>
        <w:t xml:space="preserve">ring </w:t>
      </w:r>
      <w:r w:rsidRPr="69026B43">
        <w:rPr>
          <w:rFonts w:ascii="Open Sans" w:hAnsi="Open Sans" w:cs="Open Sans"/>
        </w:rPr>
        <w:t xml:space="preserve">positive outcomes for children, families, and communities. </w:t>
      </w:r>
    </w:p>
    <w:p w14:paraId="5640EE85" w14:textId="77777777" w:rsidR="006B0F16" w:rsidRDefault="006B0F16">
      <w:pPr>
        <w:spacing w:after="240"/>
        <w:rPr>
          <w:rFonts w:ascii="Open Sans" w:hAnsi="Open Sans" w:cs="Open Sans"/>
        </w:rPr>
      </w:pPr>
      <w:r>
        <w:rPr>
          <w:rFonts w:ascii="Open Sans" w:hAnsi="Open Sans" w:cs="Open Sans"/>
        </w:rPr>
        <w:br w:type="page"/>
      </w:r>
    </w:p>
    <w:p w14:paraId="05538895" w14:textId="6D64FCBE" w:rsidR="00B44E93" w:rsidRPr="00BF07A6" w:rsidRDefault="00B44E93" w:rsidP="00B44E93">
      <w:pPr>
        <w:rPr>
          <w:rFonts w:ascii="Open Sans" w:hAnsi="Open Sans" w:cs="Open Sans"/>
        </w:rPr>
      </w:pPr>
      <w:r>
        <w:rPr>
          <w:rFonts w:ascii="Open Sans" w:hAnsi="Open Sans" w:cs="Open Sans"/>
        </w:rPr>
        <w:lastRenderedPageBreak/>
        <w:t xml:space="preserve">The </w:t>
      </w:r>
      <w:r w:rsidR="00DE39E6">
        <w:rPr>
          <w:rFonts w:ascii="Open Sans" w:hAnsi="Open Sans" w:cs="Open Sans"/>
        </w:rPr>
        <w:t>three</w:t>
      </w:r>
      <w:r w:rsidR="00580049">
        <w:rPr>
          <w:rFonts w:ascii="Open Sans" w:hAnsi="Open Sans" w:cs="Open Sans"/>
        </w:rPr>
        <w:t xml:space="preserve"> streams within the </w:t>
      </w:r>
      <w:r>
        <w:rPr>
          <w:rFonts w:ascii="Open Sans" w:hAnsi="Open Sans" w:cs="Open Sans"/>
        </w:rPr>
        <w:t xml:space="preserve">single national program </w:t>
      </w:r>
      <w:r w:rsidR="00636383">
        <w:rPr>
          <w:rFonts w:ascii="Open Sans" w:hAnsi="Open Sans" w:cs="Open Sans"/>
        </w:rPr>
        <w:t>are based on</w:t>
      </w:r>
      <w:r>
        <w:rPr>
          <w:rFonts w:ascii="Open Sans" w:hAnsi="Open Sans" w:cs="Open Sans"/>
        </w:rPr>
        <w:t xml:space="preserve"> a proportionate universalism approach.</w:t>
      </w:r>
      <w:r w:rsidR="00636383">
        <w:rPr>
          <w:rFonts w:ascii="Open Sans" w:hAnsi="Open Sans" w:cs="Open Sans"/>
        </w:rPr>
        <w:t xml:space="preserve"> This means mainstream services are delivered at a scale and intensity that matches </w:t>
      </w:r>
      <w:r w:rsidR="00F77206">
        <w:rPr>
          <w:rFonts w:ascii="Open Sans" w:hAnsi="Open Sans" w:cs="Open Sans"/>
        </w:rPr>
        <w:t>community need</w:t>
      </w:r>
      <w:r w:rsidR="00115A26">
        <w:rPr>
          <w:rFonts w:ascii="Open Sans" w:hAnsi="Open Sans" w:cs="Open Sans"/>
        </w:rPr>
        <w:t xml:space="preserve">. </w:t>
      </w:r>
      <w:r w:rsidRPr="00940C6A">
        <w:rPr>
          <w:rFonts w:ascii="Open Sans" w:hAnsi="Open Sans" w:cs="Open Sans"/>
        </w:rPr>
        <w:t xml:space="preserve">Services are therefore widely available, not only for the most disadvantaged, and </w:t>
      </w:r>
      <w:r w:rsidR="005964FC">
        <w:rPr>
          <w:rFonts w:ascii="Open Sans" w:hAnsi="Open Sans" w:cs="Open Sans"/>
        </w:rPr>
        <w:t>can</w:t>
      </w:r>
      <w:r w:rsidRPr="00940C6A">
        <w:rPr>
          <w:rFonts w:ascii="Open Sans" w:hAnsi="Open Sans" w:cs="Open Sans"/>
        </w:rPr>
        <w:t xml:space="preserve"> respond to the level of need.</w:t>
      </w:r>
      <w:r>
        <w:rPr>
          <w:rStyle w:val="EndnoteReference"/>
          <w:rFonts w:ascii="Open Sans" w:hAnsi="Open Sans" w:cs="Open Sans"/>
        </w:rPr>
        <w:endnoteReference w:id="5"/>
      </w:r>
      <w:r>
        <w:rPr>
          <w:rFonts w:ascii="Open Sans" w:hAnsi="Open Sans" w:cs="Open Sans"/>
        </w:rPr>
        <w:t xml:space="preserve"> These streams are covered in more detail below.</w:t>
      </w:r>
    </w:p>
    <w:p w14:paraId="70AB6F14" w14:textId="77777777" w:rsidR="00B44E93" w:rsidRDefault="00B44E93" w:rsidP="00482F04">
      <w:pPr>
        <w:pStyle w:val="Heading4"/>
        <w:spacing w:after="200" w:line="240" w:lineRule="auto"/>
        <w:rPr>
          <w:rFonts w:ascii="Open Sans" w:hAnsi="Open Sans" w:cs="Open Sans"/>
        </w:rPr>
      </w:pPr>
      <w:r>
        <w:rPr>
          <w:rFonts w:ascii="Open Sans" w:hAnsi="Open Sans" w:cs="Open Sans"/>
        </w:rPr>
        <w:t>Stream 1: National programs and information services</w:t>
      </w:r>
    </w:p>
    <w:p w14:paraId="7BD13FE2" w14:textId="0799E471" w:rsidR="00B44E93" w:rsidRDefault="00B44E93" w:rsidP="00B44E93">
      <w:pPr>
        <w:rPr>
          <w:rFonts w:ascii="Open Sans" w:hAnsi="Open Sans" w:cs="Open Sans"/>
        </w:rPr>
      </w:pPr>
      <w:r w:rsidRPr="69026B43">
        <w:rPr>
          <w:rFonts w:ascii="Open Sans" w:hAnsi="Open Sans" w:cs="Open Sans"/>
        </w:rPr>
        <w:t xml:space="preserve">Families, children and young people in Australia need support at different </w:t>
      </w:r>
      <w:r w:rsidR="00681058" w:rsidRPr="69026B43">
        <w:rPr>
          <w:rFonts w:ascii="Open Sans" w:hAnsi="Open Sans" w:cs="Open Sans"/>
        </w:rPr>
        <w:t>stages of their lives. Providing h</w:t>
      </w:r>
      <w:r w:rsidRPr="69026B43">
        <w:rPr>
          <w:rFonts w:ascii="Open Sans" w:hAnsi="Open Sans" w:cs="Open Sans"/>
        </w:rPr>
        <w:t>igh-quality</w:t>
      </w:r>
      <w:r w:rsidR="00681058" w:rsidRPr="69026B43">
        <w:rPr>
          <w:rFonts w:ascii="Open Sans" w:hAnsi="Open Sans" w:cs="Open Sans"/>
        </w:rPr>
        <w:t xml:space="preserve">, </w:t>
      </w:r>
      <w:r w:rsidRPr="69026B43">
        <w:rPr>
          <w:rFonts w:ascii="Open Sans" w:hAnsi="Open Sans" w:cs="Open Sans"/>
        </w:rPr>
        <w:t xml:space="preserve">broad-based supports and services </w:t>
      </w:r>
      <w:r w:rsidR="29C25037" w:rsidRPr="69026B43">
        <w:rPr>
          <w:rFonts w:ascii="Open Sans" w:hAnsi="Open Sans" w:cs="Open Sans"/>
        </w:rPr>
        <w:t>is</w:t>
      </w:r>
      <w:r w:rsidRPr="69026B43">
        <w:rPr>
          <w:rFonts w:ascii="Open Sans" w:hAnsi="Open Sans" w:cs="Open Sans"/>
        </w:rPr>
        <w:t xml:space="preserve"> </w:t>
      </w:r>
      <w:r w:rsidR="00681058" w:rsidRPr="69026B43">
        <w:rPr>
          <w:rFonts w:ascii="Open Sans" w:hAnsi="Open Sans" w:cs="Open Sans"/>
        </w:rPr>
        <w:t xml:space="preserve">essential to helping them thrive. </w:t>
      </w:r>
    </w:p>
    <w:p w14:paraId="258CB76A" w14:textId="0DE04691" w:rsidR="00B44E93" w:rsidRDefault="00B44E93" w:rsidP="00B44E93">
      <w:pPr>
        <w:rPr>
          <w:rFonts w:ascii="Open Sans" w:hAnsi="Open Sans" w:cs="Open Sans"/>
        </w:rPr>
      </w:pPr>
      <w:r>
        <w:rPr>
          <w:rFonts w:ascii="Open Sans" w:hAnsi="Open Sans" w:cs="Open Sans"/>
        </w:rPr>
        <w:t xml:space="preserve">When services are widely available to everyone, </w:t>
      </w:r>
      <w:r w:rsidRPr="00C75C8C">
        <w:rPr>
          <w:rFonts w:ascii="Open Sans" w:hAnsi="Open Sans" w:cs="Open Sans"/>
        </w:rPr>
        <w:t xml:space="preserve">they </w:t>
      </w:r>
      <w:r>
        <w:rPr>
          <w:rFonts w:ascii="Open Sans" w:hAnsi="Open Sans" w:cs="Open Sans"/>
        </w:rPr>
        <w:t>are more likely to be accessed. Broad</w:t>
      </w:r>
      <w:r w:rsidR="0000579E">
        <w:rPr>
          <w:rFonts w:ascii="Open Sans" w:hAnsi="Open Sans" w:cs="Open Sans"/>
        </w:rPr>
        <w:noBreakHyphen/>
      </w:r>
      <w:r>
        <w:rPr>
          <w:rFonts w:ascii="Open Sans" w:hAnsi="Open Sans" w:cs="Open Sans"/>
        </w:rPr>
        <w:t>based services, such as those available online, allow parents to access the information at</w:t>
      </w:r>
      <w:r w:rsidR="0000579E">
        <w:rPr>
          <w:rFonts w:ascii="Open Sans" w:hAnsi="Open Sans" w:cs="Open Sans"/>
        </w:rPr>
        <w:t> </w:t>
      </w:r>
      <w:r>
        <w:rPr>
          <w:rFonts w:ascii="Open Sans" w:hAnsi="Open Sans" w:cs="Open Sans"/>
        </w:rPr>
        <w:t>times most convenient to them. This</w:t>
      </w:r>
      <w:r w:rsidR="00580049">
        <w:rPr>
          <w:rFonts w:ascii="Open Sans" w:hAnsi="Open Sans" w:cs="Open Sans"/>
        </w:rPr>
        <w:t> </w:t>
      </w:r>
      <w:r>
        <w:rPr>
          <w:rFonts w:ascii="Open Sans" w:hAnsi="Open Sans" w:cs="Open Sans"/>
        </w:rPr>
        <w:t>reflects the preferences of parents and caregivers, with 85% of parents saying they had accessed online information for parenting advice over the past 12 months.</w:t>
      </w:r>
      <w:r>
        <w:rPr>
          <w:rStyle w:val="EndnoteReference"/>
          <w:rFonts w:ascii="Open Sans" w:hAnsi="Open Sans" w:cs="Open Sans"/>
        </w:rPr>
        <w:endnoteReference w:id="6"/>
      </w:r>
    </w:p>
    <w:p w14:paraId="22653028" w14:textId="62463941" w:rsidR="00B44E93" w:rsidRDefault="005964FC" w:rsidP="00B44E93">
      <w:pPr>
        <w:rPr>
          <w:rFonts w:ascii="Open Sans" w:hAnsi="Open Sans" w:cs="Open Sans"/>
        </w:rPr>
      </w:pPr>
      <w:r>
        <w:rPr>
          <w:rFonts w:ascii="Open Sans" w:hAnsi="Open Sans" w:cs="Open Sans"/>
        </w:rPr>
        <w:t>S</w:t>
      </w:r>
      <w:r w:rsidR="00B44E93" w:rsidRPr="00C75C8C">
        <w:rPr>
          <w:rFonts w:ascii="Open Sans" w:hAnsi="Open Sans" w:cs="Open Sans"/>
        </w:rPr>
        <w:t xml:space="preserve">ervices that focus on </w:t>
      </w:r>
      <w:r w:rsidR="00B44E93">
        <w:rPr>
          <w:rFonts w:ascii="Open Sans" w:hAnsi="Open Sans" w:cs="Open Sans"/>
        </w:rPr>
        <w:t xml:space="preserve">‘primary’ </w:t>
      </w:r>
      <w:r w:rsidR="00B44E93" w:rsidRPr="00C75C8C">
        <w:rPr>
          <w:rFonts w:ascii="Open Sans" w:hAnsi="Open Sans" w:cs="Open Sans"/>
        </w:rPr>
        <w:t>prevention</w:t>
      </w:r>
      <w:r w:rsidR="0024537F">
        <w:rPr>
          <w:rFonts w:ascii="Open Sans" w:hAnsi="Open Sans" w:cs="Open Sans"/>
        </w:rPr>
        <w:t xml:space="preserve"> are especially effective at reaching children early and improving wellbeing across the population. By making support available </w:t>
      </w:r>
      <w:r w:rsidR="003B1FCE">
        <w:rPr>
          <w:rFonts w:ascii="Open Sans" w:hAnsi="Open Sans" w:cs="Open Sans"/>
        </w:rPr>
        <w:t xml:space="preserve">before problems </w:t>
      </w:r>
      <w:r w:rsidR="00F76517">
        <w:rPr>
          <w:rFonts w:ascii="Open Sans" w:hAnsi="Open Sans" w:cs="Open Sans"/>
        </w:rPr>
        <w:t>arise, local</w:t>
      </w:r>
      <w:r w:rsidR="42721E6C">
        <w:rPr>
          <w:rFonts w:ascii="Open Sans" w:hAnsi="Open Sans" w:cs="Open Sans"/>
        </w:rPr>
        <w:t xml:space="preserve"> </w:t>
      </w:r>
      <w:r w:rsidR="003B1FCE">
        <w:rPr>
          <w:rFonts w:ascii="Open Sans" w:hAnsi="Open Sans" w:cs="Open Sans"/>
        </w:rPr>
        <w:t xml:space="preserve">services </w:t>
      </w:r>
      <w:r w:rsidR="2C835D4A">
        <w:rPr>
          <w:rFonts w:ascii="Open Sans" w:hAnsi="Open Sans" w:cs="Open Sans"/>
        </w:rPr>
        <w:t>have a</w:t>
      </w:r>
      <w:r w:rsidR="5D836BC0">
        <w:rPr>
          <w:rFonts w:ascii="Open Sans" w:hAnsi="Open Sans" w:cs="Open Sans"/>
        </w:rPr>
        <w:t xml:space="preserve"> </w:t>
      </w:r>
      <w:r w:rsidR="2C835D4A">
        <w:rPr>
          <w:rFonts w:ascii="Open Sans" w:hAnsi="Open Sans" w:cs="Open Sans"/>
        </w:rPr>
        <w:t xml:space="preserve">greater chance of </w:t>
      </w:r>
      <w:r w:rsidR="00B44E93" w:rsidRPr="00C75C8C">
        <w:rPr>
          <w:rFonts w:ascii="Open Sans" w:hAnsi="Open Sans" w:cs="Open Sans"/>
        </w:rPr>
        <w:t>reach</w:t>
      </w:r>
      <w:r w:rsidR="4CEF6BBC" w:rsidRPr="00C75C8C">
        <w:rPr>
          <w:rFonts w:ascii="Open Sans" w:hAnsi="Open Sans" w:cs="Open Sans"/>
        </w:rPr>
        <w:t>ing</w:t>
      </w:r>
      <w:r w:rsidR="00B44E93" w:rsidRPr="00C75C8C">
        <w:rPr>
          <w:rFonts w:ascii="Open Sans" w:hAnsi="Open Sans" w:cs="Open Sans"/>
        </w:rPr>
        <w:t xml:space="preserve"> children in need, </w:t>
      </w:r>
      <w:r>
        <w:rPr>
          <w:rFonts w:ascii="Open Sans" w:hAnsi="Open Sans" w:cs="Open Sans"/>
        </w:rPr>
        <w:t>which improves</w:t>
      </w:r>
      <w:r w:rsidR="00B44E93" w:rsidRPr="00C75C8C">
        <w:rPr>
          <w:rFonts w:ascii="Open Sans" w:hAnsi="Open Sans" w:cs="Open Sans"/>
        </w:rPr>
        <w:t xml:space="preserve"> wellbeing and outcomes at a population level</w:t>
      </w:r>
      <w:r w:rsidR="7FC13F82" w:rsidRPr="00C75C8C">
        <w:rPr>
          <w:rFonts w:ascii="Open Sans" w:hAnsi="Open Sans" w:cs="Open Sans"/>
        </w:rPr>
        <w:t>.</w:t>
      </w:r>
      <w:r w:rsidR="00B44E93" w:rsidRPr="00C75C8C">
        <w:rPr>
          <w:rStyle w:val="EndnoteReference"/>
          <w:rFonts w:ascii="Open Sans" w:hAnsi="Open Sans" w:cs="Open Sans"/>
        </w:rPr>
        <w:endnoteReference w:id="7"/>
      </w:r>
      <w:r w:rsidR="00B44E93">
        <w:rPr>
          <w:rFonts w:ascii="Open Sans" w:hAnsi="Open Sans" w:cs="Open Sans"/>
        </w:rPr>
        <w:t xml:space="preserve"> </w:t>
      </w:r>
      <w:r w:rsidR="00B91349">
        <w:rPr>
          <w:rFonts w:ascii="Open Sans" w:hAnsi="Open Sans" w:cs="Open Sans"/>
        </w:rPr>
        <w:t xml:space="preserve">Regular contact with general community services also helps providers identify families and children who may need extra support and connect them with the right services at the right time. </w:t>
      </w:r>
    </w:p>
    <w:p w14:paraId="3F290140" w14:textId="3FB282C9" w:rsidR="00B44E93" w:rsidRDefault="00B44E93" w:rsidP="00B44E93">
      <w:pPr>
        <w:rPr>
          <w:rFonts w:ascii="Open Sans" w:hAnsi="Open Sans" w:cs="Open Sans"/>
        </w:rPr>
      </w:pPr>
      <w:r w:rsidRPr="00450E7A">
        <w:rPr>
          <w:rFonts w:ascii="Open Sans" w:hAnsi="Open Sans" w:cs="Open Sans"/>
        </w:rPr>
        <w:t>Access to up-to-date and evidence-</w:t>
      </w:r>
      <w:r w:rsidR="002D2C59">
        <w:rPr>
          <w:rFonts w:ascii="Open Sans" w:hAnsi="Open Sans" w:cs="Open Sans"/>
        </w:rPr>
        <w:t>informed</w:t>
      </w:r>
      <w:r w:rsidR="002D2C59" w:rsidRPr="00450E7A">
        <w:rPr>
          <w:rFonts w:ascii="Open Sans" w:hAnsi="Open Sans" w:cs="Open Sans"/>
        </w:rPr>
        <w:t xml:space="preserve"> </w:t>
      </w:r>
      <w:r w:rsidRPr="00450E7A">
        <w:rPr>
          <w:rFonts w:ascii="Open Sans" w:hAnsi="Open Sans" w:cs="Open Sans"/>
        </w:rPr>
        <w:t xml:space="preserve">information is essential </w:t>
      </w:r>
      <w:r w:rsidR="002D2C59">
        <w:rPr>
          <w:rFonts w:ascii="Open Sans" w:hAnsi="Open Sans" w:cs="Open Sans"/>
        </w:rPr>
        <w:t>for</w:t>
      </w:r>
      <w:r w:rsidRPr="00450E7A">
        <w:rPr>
          <w:rFonts w:ascii="Open Sans" w:hAnsi="Open Sans" w:cs="Open Sans"/>
        </w:rPr>
        <w:t xml:space="preserve"> parents to feel empowered and make informed decisions. </w:t>
      </w:r>
      <w:r>
        <w:rPr>
          <w:rFonts w:ascii="Open Sans" w:hAnsi="Open Sans" w:cs="Open Sans"/>
        </w:rPr>
        <w:t>S</w:t>
      </w:r>
      <w:r w:rsidRPr="00450E7A">
        <w:rPr>
          <w:rFonts w:ascii="Open Sans" w:hAnsi="Open Sans" w:cs="Open Sans"/>
        </w:rPr>
        <w:t>ome parent</w:t>
      </w:r>
      <w:r>
        <w:rPr>
          <w:rFonts w:ascii="Open Sans" w:hAnsi="Open Sans" w:cs="Open Sans"/>
        </w:rPr>
        <w:t>s</w:t>
      </w:r>
      <w:r w:rsidRPr="00450E7A">
        <w:rPr>
          <w:rFonts w:ascii="Open Sans" w:hAnsi="Open Sans" w:cs="Open Sans"/>
        </w:rPr>
        <w:t xml:space="preserve"> and caregivers believe there is </w:t>
      </w:r>
      <w:r w:rsidR="002D2C59">
        <w:rPr>
          <w:rFonts w:ascii="Open Sans" w:hAnsi="Open Sans" w:cs="Open Sans"/>
        </w:rPr>
        <w:t>not enough</w:t>
      </w:r>
      <w:r w:rsidRPr="00450E7A">
        <w:rPr>
          <w:rFonts w:ascii="Open Sans" w:hAnsi="Open Sans" w:cs="Open Sans"/>
        </w:rPr>
        <w:t xml:space="preserve"> clear, evidence-</w:t>
      </w:r>
      <w:r w:rsidR="002D2C59">
        <w:rPr>
          <w:rFonts w:ascii="Open Sans" w:hAnsi="Open Sans" w:cs="Open Sans"/>
        </w:rPr>
        <w:t>informed</w:t>
      </w:r>
      <w:r w:rsidR="002D2C59" w:rsidRPr="00450E7A">
        <w:rPr>
          <w:rFonts w:ascii="Open Sans" w:hAnsi="Open Sans" w:cs="Open Sans"/>
        </w:rPr>
        <w:t xml:space="preserve"> </w:t>
      </w:r>
      <w:r w:rsidRPr="00450E7A">
        <w:rPr>
          <w:rFonts w:ascii="Open Sans" w:hAnsi="Open Sans" w:cs="Open Sans"/>
        </w:rPr>
        <w:t>and high-quality information.</w:t>
      </w:r>
      <w:r>
        <w:rPr>
          <w:rStyle w:val="EndnoteReference"/>
          <w:rFonts w:ascii="Open Sans" w:hAnsi="Open Sans" w:cs="Open Sans"/>
        </w:rPr>
        <w:endnoteReference w:id="8"/>
      </w:r>
      <w:r w:rsidRPr="00450E7A">
        <w:rPr>
          <w:rFonts w:ascii="Open Sans" w:hAnsi="Open Sans" w:cs="Open Sans"/>
        </w:rPr>
        <w:t xml:space="preserve"> O</w:t>
      </w:r>
      <w:r w:rsidR="00580049">
        <w:rPr>
          <w:rFonts w:ascii="Open Sans" w:hAnsi="Open Sans" w:cs="Open Sans"/>
        </w:rPr>
        <w:t xml:space="preserve">ther </w:t>
      </w:r>
      <w:r w:rsidRPr="00450E7A">
        <w:rPr>
          <w:rFonts w:ascii="Open Sans" w:hAnsi="Open Sans" w:cs="Open Sans"/>
        </w:rPr>
        <w:t xml:space="preserve">parents and caregivers </w:t>
      </w:r>
      <w:r w:rsidR="00580049">
        <w:rPr>
          <w:rFonts w:ascii="Open Sans" w:hAnsi="Open Sans" w:cs="Open Sans"/>
        </w:rPr>
        <w:t>report</w:t>
      </w:r>
      <w:r w:rsidR="002D2C59">
        <w:rPr>
          <w:rFonts w:ascii="Open Sans" w:hAnsi="Open Sans" w:cs="Open Sans"/>
        </w:rPr>
        <w:t xml:space="preserve"> there is</w:t>
      </w:r>
      <w:r w:rsidRPr="00450E7A">
        <w:rPr>
          <w:rFonts w:ascii="Open Sans" w:hAnsi="Open Sans" w:cs="Open Sans"/>
        </w:rPr>
        <w:t xml:space="preserve"> an overwhelming </w:t>
      </w:r>
      <w:r w:rsidR="002D2C59">
        <w:rPr>
          <w:rFonts w:ascii="Open Sans" w:hAnsi="Open Sans" w:cs="Open Sans"/>
        </w:rPr>
        <w:t>amount</w:t>
      </w:r>
      <w:r w:rsidR="002D2C59" w:rsidRPr="00450E7A">
        <w:rPr>
          <w:rFonts w:ascii="Open Sans" w:hAnsi="Open Sans" w:cs="Open Sans"/>
        </w:rPr>
        <w:t xml:space="preserve"> </w:t>
      </w:r>
      <w:r w:rsidRPr="00450E7A">
        <w:rPr>
          <w:rFonts w:ascii="Open Sans" w:hAnsi="Open Sans" w:cs="Open Sans"/>
        </w:rPr>
        <w:t xml:space="preserve">of information that is not tailored to their needs, </w:t>
      </w:r>
      <w:r w:rsidR="002D2C59">
        <w:rPr>
          <w:rFonts w:ascii="Open Sans" w:hAnsi="Open Sans" w:cs="Open Sans"/>
        </w:rPr>
        <w:t>making it hard</w:t>
      </w:r>
      <w:r w:rsidR="00EC39BB">
        <w:rPr>
          <w:rFonts w:ascii="Open Sans" w:hAnsi="Open Sans" w:cs="Open Sans"/>
        </w:rPr>
        <w:t>er</w:t>
      </w:r>
      <w:r w:rsidR="002D2C59">
        <w:rPr>
          <w:rFonts w:ascii="Open Sans" w:hAnsi="Open Sans" w:cs="Open Sans"/>
        </w:rPr>
        <w:t xml:space="preserve"> for</w:t>
      </w:r>
      <w:r w:rsidRPr="00450E7A">
        <w:rPr>
          <w:rFonts w:ascii="Open Sans" w:hAnsi="Open Sans" w:cs="Open Sans"/>
        </w:rPr>
        <w:t xml:space="preserve"> them to navigate.</w:t>
      </w:r>
      <w:r>
        <w:rPr>
          <w:rStyle w:val="EndnoteReference"/>
          <w:rFonts w:ascii="Open Sans" w:hAnsi="Open Sans" w:cs="Open Sans"/>
        </w:rPr>
        <w:endnoteReference w:id="9"/>
      </w:r>
      <w:r w:rsidRPr="00450E7A">
        <w:rPr>
          <w:rFonts w:ascii="Open Sans" w:hAnsi="Open Sans" w:cs="Open Sans"/>
        </w:rPr>
        <w:t xml:space="preserve"> This has negative consequences for parents and caregivers, such as increas</w:t>
      </w:r>
      <w:r w:rsidR="00A42EAE">
        <w:rPr>
          <w:rFonts w:ascii="Open Sans" w:hAnsi="Open Sans" w:cs="Open Sans"/>
        </w:rPr>
        <w:t>ed</w:t>
      </w:r>
      <w:r w:rsidRPr="00450E7A">
        <w:rPr>
          <w:rFonts w:ascii="Open Sans" w:hAnsi="Open Sans" w:cs="Open Sans"/>
        </w:rPr>
        <w:t xml:space="preserve"> stress </w:t>
      </w:r>
      <w:r w:rsidR="00A42EAE">
        <w:rPr>
          <w:rFonts w:ascii="Open Sans" w:hAnsi="Open Sans" w:cs="Open Sans"/>
        </w:rPr>
        <w:t>and/</w:t>
      </w:r>
      <w:r w:rsidRPr="00450E7A">
        <w:rPr>
          <w:rFonts w:ascii="Open Sans" w:hAnsi="Open Sans" w:cs="Open Sans"/>
        </w:rPr>
        <w:t xml:space="preserve">or anxiety, delayed decision-making, difficulty </w:t>
      </w:r>
      <w:r w:rsidR="002D2C59">
        <w:rPr>
          <w:rFonts w:ascii="Open Sans" w:hAnsi="Open Sans" w:cs="Open Sans"/>
        </w:rPr>
        <w:t>with</w:t>
      </w:r>
      <w:r w:rsidRPr="00450E7A">
        <w:rPr>
          <w:rFonts w:ascii="Open Sans" w:hAnsi="Open Sans" w:cs="Open Sans"/>
        </w:rPr>
        <w:t xml:space="preserve"> parenting strategies, </w:t>
      </w:r>
      <w:r w:rsidR="1DF5BC12" w:rsidRPr="00450E7A">
        <w:rPr>
          <w:rFonts w:ascii="Open Sans" w:hAnsi="Open Sans" w:cs="Open Sans"/>
        </w:rPr>
        <w:t xml:space="preserve">and </w:t>
      </w:r>
      <w:r w:rsidRPr="00450E7A">
        <w:rPr>
          <w:rFonts w:ascii="Open Sans" w:hAnsi="Open Sans" w:cs="Open Sans"/>
        </w:rPr>
        <w:t>reduced confidence in their parenting abilities.</w:t>
      </w:r>
      <w:r>
        <w:rPr>
          <w:rStyle w:val="EndnoteReference"/>
          <w:rFonts w:ascii="Open Sans" w:hAnsi="Open Sans" w:cs="Open Sans"/>
        </w:rPr>
        <w:endnoteReference w:id="10"/>
      </w:r>
      <w:r w:rsidRPr="00450E7A">
        <w:rPr>
          <w:rFonts w:ascii="Open Sans" w:hAnsi="Open Sans" w:cs="Open Sans"/>
        </w:rPr>
        <w:t xml:space="preserve"> </w:t>
      </w:r>
    </w:p>
    <w:p w14:paraId="2EE56697" w14:textId="225A1D28" w:rsidR="00B44C13" w:rsidRPr="00176C79" w:rsidRDefault="00C41A0D" w:rsidP="00B44E93">
      <w:r>
        <w:rPr>
          <w:rFonts w:ascii="Open Sans" w:hAnsi="Open Sans" w:cs="Open Sans"/>
        </w:rPr>
        <w:t>Making sure parents and caregivers have access to clear, high-quality information as early as</w:t>
      </w:r>
      <w:r w:rsidR="0000579E">
        <w:rPr>
          <w:rFonts w:ascii="Open Sans" w:hAnsi="Open Sans" w:cs="Open Sans"/>
        </w:rPr>
        <w:t> </w:t>
      </w:r>
      <w:r>
        <w:rPr>
          <w:rFonts w:ascii="Open Sans" w:hAnsi="Open Sans" w:cs="Open Sans"/>
        </w:rPr>
        <w:t>possible can make a meaningful difference in their children’s lives. Early access to the right information can also help reduce the need for high-</w:t>
      </w:r>
      <w:r w:rsidR="00B44C13">
        <w:rPr>
          <w:rFonts w:ascii="Open Sans" w:hAnsi="Open Sans" w:cs="Open Sans"/>
        </w:rPr>
        <w:t xml:space="preserve">intensity or crisis services over time. </w:t>
      </w:r>
    </w:p>
    <w:p w14:paraId="618A89EF" w14:textId="77777777" w:rsidR="00B44E93" w:rsidRDefault="00B44E93" w:rsidP="00482F04">
      <w:pPr>
        <w:pStyle w:val="Heading4"/>
        <w:spacing w:after="200" w:line="240" w:lineRule="auto"/>
        <w:rPr>
          <w:rFonts w:ascii="Open Sans" w:hAnsi="Open Sans" w:cs="Open Sans"/>
        </w:rPr>
      </w:pPr>
      <w:r>
        <w:rPr>
          <w:rFonts w:ascii="Open Sans" w:hAnsi="Open Sans" w:cs="Open Sans"/>
        </w:rPr>
        <w:t xml:space="preserve">Stream 2: </w:t>
      </w:r>
      <w:r>
        <w:rPr>
          <w:rFonts w:ascii="Open Sans" w:hAnsi="Open Sans" w:cs="Open Sans"/>
        </w:rPr>
        <w:tab/>
        <w:t>Prevention and early intervention</w:t>
      </w:r>
    </w:p>
    <w:p w14:paraId="1ADA7762" w14:textId="7EB0EEE0" w:rsidR="00B44E93" w:rsidRDefault="00B44E93" w:rsidP="00B44E93">
      <w:pPr>
        <w:spacing w:after="240"/>
        <w:rPr>
          <w:rFonts w:ascii="Open Sans" w:hAnsi="Open Sans" w:cs="Open Sans"/>
        </w:rPr>
      </w:pPr>
      <w:r>
        <w:rPr>
          <w:rFonts w:ascii="Open Sans" w:hAnsi="Open Sans" w:cs="Open Sans"/>
        </w:rPr>
        <w:t xml:space="preserve">While the focus of a public health approach </w:t>
      </w:r>
      <w:r w:rsidR="3BEA842A">
        <w:rPr>
          <w:rFonts w:ascii="Open Sans" w:hAnsi="Open Sans" w:cs="Open Sans"/>
        </w:rPr>
        <w:t xml:space="preserve">is to </w:t>
      </w:r>
      <w:r>
        <w:rPr>
          <w:rFonts w:ascii="Open Sans" w:hAnsi="Open Sans" w:cs="Open Sans"/>
        </w:rPr>
        <w:t xml:space="preserve">prevent problems before they happen </w:t>
      </w:r>
      <w:r w:rsidR="002D2C59">
        <w:rPr>
          <w:rFonts w:ascii="Open Sans" w:hAnsi="Open Sans" w:cs="Open Sans"/>
        </w:rPr>
        <w:t>by</w:t>
      </w:r>
      <w:r w:rsidR="0000579E">
        <w:rPr>
          <w:rFonts w:ascii="Open Sans" w:hAnsi="Open Sans" w:cs="Open Sans"/>
        </w:rPr>
        <w:t> </w:t>
      </w:r>
      <w:r>
        <w:rPr>
          <w:rFonts w:ascii="Open Sans" w:hAnsi="Open Sans" w:cs="Open Sans"/>
        </w:rPr>
        <w:t>reaching the entire population, it also seeks to identify and address issues early when they do</w:t>
      </w:r>
      <w:r w:rsidR="0000579E">
        <w:rPr>
          <w:rFonts w:ascii="Open Sans" w:hAnsi="Open Sans" w:cs="Open Sans"/>
        </w:rPr>
        <w:t> </w:t>
      </w:r>
      <w:r>
        <w:rPr>
          <w:rFonts w:ascii="Open Sans" w:hAnsi="Open Sans" w:cs="Open Sans"/>
        </w:rPr>
        <w:t>arise.</w:t>
      </w:r>
      <w:r w:rsidR="00482F04">
        <w:rPr>
          <w:rStyle w:val="EndnoteReference"/>
          <w:rFonts w:ascii="Open Sans" w:hAnsi="Open Sans" w:cs="Open Sans"/>
        </w:rPr>
        <w:endnoteReference w:id="11"/>
      </w:r>
    </w:p>
    <w:p w14:paraId="2FF15617" w14:textId="028D2416" w:rsidR="00B44E93" w:rsidRPr="00C75C8C" w:rsidRDefault="007E3FAE" w:rsidP="00B44E93">
      <w:pPr>
        <w:rPr>
          <w:rFonts w:ascii="Open Sans" w:hAnsi="Open Sans" w:cs="Open Sans"/>
        </w:rPr>
      </w:pPr>
      <w:r>
        <w:rPr>
          <w:rFonts w:ascii="Open Sans" w:hAnsi="Open Sans" w:cs="Open Sans"/>
        </w:rPr>
        <w:lastRenderedPageBreak/>
        <w:t xml:space="preserve">Early intervention programs – also known as selective or indicated prevention – are designed for specific groups who show signs of being at risk of poor outcomes. </w:t>
      </w:r>
      <w:r w:rsidR="32A3D12A" w:rsidRPr="69026B43">
        <w:rPr>
          <w:rFonts w:ascii="Open Sans" w:hAnsi="Open Sans" w:cs="Open Sans"/>
        </w:rPr>
        <w:t>It is accepted that services should ‘intervene wherever there is an effective intervention’ and ‘at strategic points in time’.</w:t>
      </w:r>
      <w:r w:rsidRPr="69026B43">
        <w:rPr>
          <w:rStyle w:val="EndnoteReference"/>
          <w:rFonts w:ascii="Open Sans" w:hAnsi="Open Sans" w:cs="Open Sans"/>
        </w:rPr>
        <w:endnoteReference w:id="12"/>
      </w:r>
      <w:r w:rsidR="32A3D12A" w:rsidRPr="69026B43">
        <w:rPr>
          <w:rFonts w:ascii="Open Sans" w:hAnsi="Open Sans" w:cs="Open Sans"/>
        </w:rPr>
        <w:t xml:space="preserve"> </w:t>
      </w:r>
      <w:r>
        <w:rPr>
          <w:rFonts w:ascii="Open Sans" w:hAnsi="Open Sans" w:cs="Open Sans"/>
        </w:rPr>
        <w:t>These programs aim to provide support early, before challenges become more serious.</w:t>
      </w:r>
      <w:r w:rsidR="002D2C59">
        <w:rPr>
          <w:rFonts w:ascii="Open Sans" w:hAnsi="Open Sans" w:cs="Open Sans"/>
        </w:rPr>
        <w:t xml:space="preserve"> </w:t>
      </w:r>
      <w:r w:rsidR="00B44E93">
        <w:rPr>
          <w:rStyle w:val="EndnoteReference"/>
          <w:rFonts w:ascii="Open Sans" w:hAnsi="Open Sans" w:cs="Open Sans"/>
        </w:rPr>
        <w:endnoteReference w:id="13"/>
      </w:r>
      <w:r w:rsidR="00B44E93">
        <w:rPr>
          <w:rFonts w:ascii="Open Sans" w:hAnsi="Open Sans" w:cs="Open Sans"/>
        </w:rPr>
        <w:t xml:space="preserve"> </w:t>
      </w:r>
      <w:r w:rsidR="78AB87BE" w:rsidRPr="00C75C8C">
        <w:rPr>
          <w:rFonts w:ascii="Open Sans" w:hAnsi="Open Sans" w:cs="Open Sans"/>
        </w:rPr>
        <w:t xml:space="preserve">This approach drives </w:t>
      </w:r>
      <w:r w:rsidR="00153D53">
        <w:rPr>
          <w:rFonts w:ascii="Open Sans" w:hAnsi="Open Sans" w:cs="Open Sans"/>
        </w:rPr>
        <w:t xml:space="preserve">social and economic benefits by reducing long-term demand for more intensive services and improving overall wellbeing. </w:t>
      </w:r>
      <w:r w:rsidR="19D56A2E" w:rsidRPr="69026B43">
        <w:rPr>
          <w:rFonts w:ascii="Open Sans" w:hAnsi="Open Sans" w:cs="Open Sans"/>
        </w:rPr>
        <w:t>For example, in 2024 Australia spent $22.3 billion on</w:t>
      </w:r>
      <w:r w:rsidR="0000579E">
        <w:rPr>
          <w:rFonts w:ascii="Open Sans" w:hAnsi="Open Sans" w:cs="Open Sans"/>
        </w:rPr>
        <w:t> </w:t>
      </w:r>
      <w:r w:rsidR="19D56A2E" w:rsidRPr="69026B43">
        <w:rPr>
          <w:rFonts w:ascii="Open Sans" w:hAnsi="Open Sans" w:cs="Open Sans"/>
        </w:rPr>
        <w:t>late intervention for children and young people experiencing serious issues.</w:t>
      </w:r>
      <w:r w:rsidR="002D2C59" w:rsidRPr="69026B43">
        <w:rPr>
          <w:rStyle w:val="EndnoteReference"/>
          <w:rFonts w:ascii="Open Sans" w:hAnsi="Open Sans" w:cs="Open Sans"/>
        </w:rPr>
        <w:endnoteReference w:id="14"/>
      </w:r>
      <w:r w:rsidR="19D56A2E" w:rsidRPr="69026B43">
        <w:rPr>
          <w:rFonts w:ascii="Open Sans" w:hAnsi="Open Sans" w:cs="Open Sans"/>
        </w:rPr>
        <w:t xml:space="preserve"> This is</w:t>
      </w:r>
      <w:r w:rsidR="0000579E">
        <w:rPr>
          <w:rFonts w:ascii="Open Sans" w:hAnsi="Open Sans" w:cs="Open Sans"/>
        </w:rPr>
        <w:t> </w:t>
      </w:r>
      <w:r w:rsidR="19D56A2E" w:rsidRPr="69026B43">
        <w:rPr>
          <w:rFonts w:ascii="Open Sans" w:hAnsi="Open Sans" w:cs="Open Sans"/>
        </w:rPr>
        <w:t>equivalent to $838 for every person in Australia every year, or $2,704 for every child and young person.</w:t>
      </w:r>
      <w:r w:rsidR="002D2C59" w:rsidRPr="69026B43">
        <w:rPr>
          <w:rStyle w:val="EndnoteReference"/>
          <w:rFonts w:ascii="Open Sans" w:hAnsi="Open Sans" w:cs="Open Sans"/>
        </w:rPr>
        <w:endnoteReference w:id="15"/>
      </w:r>
    </w:p>
    <w:p w14:paraId="13BAD1E6" w14:textId="4A210577" w:rsidR="00A05B6B" w:rsidRDefault="00B44E93" w:rsidP="00B44E93">
      <w:pPr>
        <w:rPr>
          <w:rFonts w:ascii="Open Sans" w:hAnsi="Open Sans" w:cs="Open Sans"/>
        </w:rPr>
      </w:pPr>
      <w:r>
        <w:rPr>
          <w:rFonts w:ascii="Open Sans" w:hAnsi="Open Sans" w:cs="Open Sans"/>
        </w:rPr>
        <w:t xml:space="preserve">Investing in children </w:t>
      </w:r>
      <w:r w:rsidR="0FA0DF26">
        <w:rPr>
          <w:rFonts w:ascii="Open Sans" w:hAnsi="Open Sans" w:cs="Open Sans"/>
        </w:rPr>
        <w:t xml:space="preserve">and families before problems worsen </w:t>
      </w:r>
      <w:r w:rsidRPr="00C75C8C">
        <w:rPr>
          <w:rFonts w:ascii="Open Sans" w:hAnsi="Open Sans" w:cs="Open Sans"/>
        </w:rPr>
        <w:t>will support them to become productive and engaged citizens</w:t>
      </w:r>
      <w:r w:rsidR="002D2C59">
        <w:rPr>
          <w:rFonts w:ascii="Open Sans" w:hAnsi="Open Sans" w:cs="Open Sans"/>
        </w:rPr>
        <w:t xml:space="preserve">. </w:t>
      </w:r>
      <w:r w:rsidR="1EF8CA5F">
        <w:rPr>
          <w:rFonts w:ascii="Open Sans" w:hAnsi="Open Sans" w:cs="Open Sans"/>
        </w:rPr>
        <w:t xml:space="preserve">That </w:t>
      </w:r>
      <w:r w:rsidR="002D2C59">
        <w:rPr>
          <w:rFonts w:ascii="Open Sans" w:hAnsi="Open Sans" w:cs="Open Sans"/>
        </w:rPr>
        <w:t>mean</w:t>
      </w:r>
      <w:r w:rsidR="5273BF7F">
        <w:rPr>
          <w:rFonts w:ascii="Open Sans" w:hAnsi="Open Sans" w:cs="Open Sans"/>
        </w:rPr>
        <w:t>s</w:t>
      </w:r>
      <w:r w:rsidR="002D2C59">
        <w:rPr>
          <w:rFonts w:ascii="Open Sans" w:hAnsi="Open Sans" w:cs="Open Sans"/>
        </w:rPr>
        <w:t xml:space="preserve"> </w:t>
      </w:r>
      <w:r w:rsidRPr="00C75C8C">
        <w:rPr>
          <w:rFonts w:ascii="Open Sans" w:hAnsi="Open Sans" w:cs="Open Sans"/>
        </w:rPr>
        <w:t xml:space="preserve">increased social cohesion, </w:t>
      </w:r>
      <w:r w:rsidR="002D2C59">
        <w:rPr>
          <w:rFonts w:ascii="Open Sans" w:hAnsi="Open Sans" w:cs="Open Sans"/>
        </w:rPr>
        <w:t>reduced</w:t>
      </w:r>
      <w:r w:rsidRPr="00C75C8C">
        <w:rPr>
          <w:rFonts w:ascii="Open Sans" w:hAnsi="Open Sans" w:cs="Open Sans"/>
        </w:rPr>
        <w:t xml:space="preserve"> inequality and</w:t>
      </w:r>
      <w:r>
        <w:rPr>
          <w:rFonts w:ascii="Open Sans" w:hAnsi="Open Sans" w:cs="Open Sans"/>
        </w:rPr>
        <w:t xml:space="preserve"> </w:t>
      </w:r>
      <w:r w:rsidRPr="00C75C8C">
        <w:rPr>
          <w:rFonts w:ascii="Open Sans" w:hAnsi="Open Sans" w:cs="Open Sans"/>
        </w:rPr>
        <w:t>cycles of disadvantage, improved social values</w:t>
      </w:r>
      <w:r w:rsidR="002D2C59">
        <w:rPr>
          <w:rFonts w:ascii="Open Sans" w:hAnsi="Open Sans" w:cs="Open Sans"/>
        </w:rPr>
        <w:t>,</w:t>
      </w:r>
      <w:r w:rsidRPr="00C75C8C">
        <w:rPr>
          <w:rFonts w:ascii="Open Sans" w:hAnsi="Open Sans" w:cs="Open Sans"/>
        </w:rPr>
        <w:t xml:space="preserve"> and better societal health.</w:t>
      </w:r>
      <w:r w:rsidRPr="00C75C8C">
        <w:rPr>
          <w:rStyle w:val="EndnoteReference"/>
          <w:rFonts w:ascii="Open Sans" w:hAnsi="Open Sans" w:cs="Open Sans"/>
        </w:rPr>
        <w:endnoteReference w:id="16"/>
      </w:r>
      <w:r w:rsidRPr="00C75C8C">
        <w:rPr>
          <w:rFonts w:ascii="Open Sans" w:hAnsi="Open Sans" w:cs="Open Sans"/>
        </w:rPr>
        <w:t xml:space="preserve"> </w:t>
      </w:r>
      <w:r w:rsidR="002D2C59">
        <w:rPr>
          <w:rFonts w:ascii="Open Sans" w:hAnsi="Open Sans" w:cs="Open Sans"/>
        </w:rPr>
        <w:t>S</w:t>
      </w:r>
      <w:r w:rsidRPr="00C75C8C">
        <w:rPr>
          <w:rFonts w:ascii="Open Sans" w:hAnsi="Open Sans" w:cs="Open Sans"/>
        </w:rPr>
        <w:t xml:space="preserve">upporting </w:t>
      </w:r>
      <w:r w:rsidR="00580049">
        <w:rPr>
          <w:rFonts w:ascii="Open Sans" w:hAnsi="Open Sans" w:cs="Open Sans"/>
        </w:rPr>
        <w:t xml:space="preserve">positive </w:t>
      </w:r>
      <w:r w:rsidRPr="00C75C8C">
        <w:rPr>
          <w:rFonts w:ascii="Open Sans" w:hAnsi="Open Sans" w:cs="Open Sans"/>
        </w:rPr>
        <w:t xml:space="preserve">parenting behaviours can also </w:t>
      </w:r>
      <w:r w:rsidR="002D2C59">
        <w:rPr>
          <w:rFonts w:ascii="Open Sans" w:hAnsi="Open Sans" w:cs="Open Sans"/>
        </w:rPr>
        <w:t>have</w:t>
      </w:r>
      <w:r w:rsidRPr="00C75C8C">
        <w:rPr>
          <w:rFonts w:ascii="Open Sans" w:hAnsi="Open Sans" w:cs="Open Sans"/>
        </w:rPr>
        <w:t xml:space="preserve"> significant returns on investment, </w:t>
      </w:r>
      <w:r w:rsidR="002D2C59">
        <w:rPr>
          <w:rFonts w:ascii="Open Sans" w:hAnsi="Open Sans" w:cs="Open Sans"/>
        </w:rPr>
        <w:t>including</w:t>
      </w:r>
      <w:r w:rsidRPr="00C75C8C">
        <w:rPr>
          <w:rFonts w:ascii="Open Sans" w:hAnsi="Open Sans" w:cs="Open Sans"/>
        </w:rPr>
        <w:t xml:space="preserve"> increased productivity gains, health cost savings, child welfare savings, and reductions in crime.</w:t>
      </w:r>
      <w:r w:rsidRPr="00C75C8C">
        <w:rPr>
          <w:rStyle w:val="EndnoteReference"/>
          <w:rFonts w:ascii="Open Sans" w:hAnsi="Open Sans" w:cs="Open Sans"/>
        </w:rPr>
        <w:endnoteReference w:id="17"/>
      </w:r>
    </w:p>
    <w:p w14:paraId="544718C0" w14:textId="77777777" w:rsidR="00B44E93" w:rsidRPr="00AE4954" w:rsidRDefault="00B44E93" w:rsidP="00482F04">
      <w:pPr>
        <w:pStyle w:val="Heading4"/>
        <w:spacing w:after="200" w:line="240" w:lineRule="auto"/>
        <w:rPr>
          <w:rFonts w:ascii="Open Sans" w:hAnsi="Open Sans" w:cs="Open Sans"/>
        </w:rPr>
      </w:pPr>
      <w:r w:rsidRPr="00AE4954">
        <w:rPr>
          <w:rFonts w:ascii="Open Sans" w:hAnsi="Open Sans" w:cs="Open Sans"/>
        </w:rPr>
        <w:t xml:space="preserve">Stream 3: Intensive family supports </w:t>
      </w:r>
    </w:p>
    <w:p w14:paraId="551CE384" w14:textId="5FE2F7A1" w:rsidR="00B44E93" w:rsidRDefault="008F5E05" w:rsidP="00B44E93">
      <w:pPr>
        <w:rPr>
          <w:rFonts w:ascii="Open Sans" w:hAnsi="Open Sans" w:cs="Open Sans"/>
        </w:rPr>
      </w:pPr>
      <w:r>
        <w:rPr>
          <w:rFonts w:ascii="Open Sans" w:hAnsi="Open Sans" w:cs="Open Sans"/>
        </w:rPr>
        <w:t>Some families, children and young people will need high-intensity support. These intensive family services are targeted interventions for those experiencing, or at greater risk of</w:t>
      </w:r>
      <w:r w:rsidR="0000579E">
        <w:rPr>
          <w:rFonts w:ascii="Open Sans" w:hAnsi="Open Sans" w:cs="Open Sans"/>
        </w:rPr>
        <w:t> </w:t>
      </w:r>
      <w:r>
        <w:rPr>
          <w:rFonts w:ascii="Open Sans" w:hAnsi="Open Sans" w:cs="Open Sans"/>
        </w:rPr>
        <w:t>experiencing disadvantage or vulnerability. They provide help for people facing one or more existing challenge</w:t>
      </w:r>
      <w:r w:rsidR="00306C34">
        <w:rPr>
          <w:rFonts w:ascii="Open Sans" w:hAnsi="Open Sans" w:cs="Open Sans"/>
        </w:rPr>
        <w:t>s</w:t>
      </w:r>
      <w:r>
        <w:rPr>
          <w:rFonts w:ascii="Open Sans" w:hAnsi="Open Sans" w:cs="Open Sans"/>
        </w:rPr>
        <w:t xml:space="preserve"> and build on the support already offered through broad-based and early intervention systems.</w:t>
      </w:r>
      <w:r w:rsidR="00542C39">
        <w:rPr>
          <w:rFonts w:ascii="Open Sans" w:hAnsi="Open Sans" w:cs="Open Sans"/>
        </w:rPr>
        <w:t xml:space="preserve"> </w:t>
      </w:r>
    </w:p>
    <w:p w14:paraId="18D57B2E" w14:textId="140B5AEE" w:rsidR="00542C39" w:rsidRPr="00C75C8C" w:rsidRDefault="00542C39" w:rsidP="00B44E93">
      <w:pPr>
        <w:rPr>
          <w:rFonts w:ascii="Open Sans" w:hAnsi="Open Sans" w:cs="Open Sans"/>
        </w:rPr>
      </w:pPr>
      <w:r>
        <w:rPr>
          <w:rFonts w:ascii="Open Sans" w:hAnsi="Open Sans" w:cs="Open Sans"/>
        </w:rPr>
        <w:t xml:space="preserve">While investing in early intervention and prevention delivers the greatest long-term benefits and should be prioritised, it’s important to recognise that this doesn’t replace the need for late-stage and intensive services. These supports remain essential for families with more complex needs. </w:t>
      </w:r>
    </w:p>
    <w:p w14:paraId="50510FA6" w14:textId="77777777" w:rsidR="00B44E93" w:rsidRPr="00354AD2" w:rsidRDefault="00B44E93" w:rsidP="00B44E93">
      <w:pPr>
        <w:pStyle w:val="Heading2"/>
        <w:keepNext/>
        <w:numPr>
          <w:ilvl w:val="0"/>
          <w:numId w:val="14"/>
        </w:numPr>
        <w:ind w:left="0" w:firstLine="0"/>
        <w:rPr>
          <w:rFonts w:ascii="Open Sans" w:hAnsi="Open Sans" w:cs="Open Sans"/>
        </w:rPr>
      </w:pPr>
      <w:r>
        <w:rPr>
          <w:rFonts w:ascii="Open Sans" w:hAnsi="Open Sans" w:cs="Open Sans"/>
        </w:rPr>
        <w:t xml:space="preserve">Prioritising investment </w:t>
      </w:r>
    </w:p>
    <w:p w14:paraId="24290C72" w14:textId="77777777" w:rsidR="008926E4" w:rsidRPr="009D02D2" w:rsidRDefault="008926E4" w:rsidP="008926E4">
      <w:pPr>
        <w:spacing w:after="120" w:line="240" w:lineRule="auto"/>
        <w:rPr>
          <w:rFonts w:ascii="Open Sans" w:hAnsi="Open Sans" w:cs="Open Sans"/>
        </w:rPr>
      </w:pPr>
      <w:r w:rsidRPr="009D02D2">
        <w:rPr>
          <w:rFonts w:ascii="Open Sans" w:hAnsi="Open Sans" w:cs="Open Sans"/>
        </w:rPr>
        <w:t xml:space="preserve">The </w:t>
      </w:r>
      <w:r>
        <w:rPr>
          <w:rFonts w:ascii="Open Sans" w:hAnsi="Open Sans" w:cs="Open Sans"/>
        </w:rPr>
        <w:t>Australian Government’s priorities are to:</w:t>
      </w:r>
    </w:p>
    <w:p w14:paraId="55CF3539" w14:textId="43625B5D" w:rsidR="008926E4" w:rsidRPr="009D02D2" w:rsidRDefault="008926E4" w:rsidP="006B0F16">
      <w:pPr>
        <w:numPr>
          <w:ilvl w:val="0"/>
          <w:numId w:val="18"/>
        </w:numPr>
        <w:spacing w:before="240" w:after="120" w:line="240" w:lineRule="auto"/>
        <w:ind w:left="714" w:hanging="357"/>
        <w:rPr>
          <w:rFonts w:ascii="Open Sans" w:hAnsi="Open Sans" w:cs="Open Sans"/>
        </w:rPr>
      </w:pPr>
      <w:r w:rsidRPr="009D02D2">
        <w:rPr>
          <w:rFonts w:ascii="Open Sans" w:hAnsi="Open Sans" w:cs="Open Sans"/>
        </w:rPr>
        <w:t>Invest early to improve family wellbeing, break cycles of disadvantage</w:t>
      </w:r>
      <w:r>
        <w:rPr>
          <w:rFonts w:ascii="Open Sans" w:hAnsi="Open Sans" w:cs="Open Sans"/>
        </w:rPr>
        <w:t>,</w:t>
      </w:r>
      <w:r w:rsidRPr="009D02D2">
        <w:rPr>
          <w:rFonts w:ascii="Open Sans" w:hAnsi="Open Sans" w:cs="Open Sans"/>
        </w:rPr>
        <w:t xml:space="preserve"> and reduce the need for later interventions </w:t>
      </w:r>
      <w:r w:rsidR="006E5FFF">
        <w:rPr>
          <w:rFonts w:ascii="Open Sans" w:hAnsi="Open Sans" w:cs="Open Sans"/>
        </w:rPr>
        <w:t>– like child protection.</w:t>
      </w:r>
      <w:r w:rsidRPr="009D02D2">
        <w:rPr>
          <w:rFonts w:ascii="Open Sans" w:hAnsi="Open Sans" w:cs="Open Sans"/>
        </w:rPr>
        <w:t xml:space="preserve"> </w:t>
      </w:r>
    </w:p>
    <w:p w14:paraId="0939B450" w14:textId="77777777" w:rsidR="008926E4" w:rsidRPr="009D02D2" w:rsidRDefault="008926E4" w:rsidP="006B0F16">
      <w:pPr>
        <w:numPr>
          <w:ilvl w:val="0"/>
          <w:numId w:val="18"/>
        </w:numPr>
        <w:spacing w:before="240" w:after="120" w:line="240" w:lineRule="auto"/>
        <w:ind w:left="714" w:hanging="357"/>
        <w:rPr>
          <w:rFonts w:ascii="Open Sans" w:hAnsi="Open Sans" w:cs="Open Sans"/>
        </w:rPr>
      </w:pPr>
      <w:r w:rsidRPr="009D02D2">
        <w:rPr>
          <w:rFonts w:ascii="Open Sans" w:hAnsi="Open Sans" w:cs="Open Sans"/>
        </w:rPr>
        <w:t>Prioritis</w:t>
      </w:r>
      <w:r>
        <w:rPr>
          <w:rFonts w:ascii="Open Sans" w:hAnsi="Open Sans" w:cs="Open Sans"/>
        </w:rPr>
        <w:t>e</w:t>
      </w:r>
      <w:r w:rsidRPr="009D02D2">
        <w:rPr>
          <w:rFonts w:ascii="Open Sans" w:hAnsi="Open Sans" w:cs="Open Sans"/>
        </w:rPr>
        <w:t xml:space="preserve"> connected, co-located, and integrated services</w:t>
      </w:r>
      <w:r>
        <w:rPr>
          <w:rFonts w:ascii="Open Sans" w:hAnsi="Open Sans" w:cs="Open Sans"/>
        </w:rPr>
        <w:t xml:space="preserve"> that work together to meet family needs.</w:t>
      </w:r>
    </w:p>
    <w:p w14:paraId="05C7040F" w14:textId="77777777" w:rsidR="008926E4" w:rsidRPr="0064522B" w:rsidRDefault="008926E4" w:rsidP="006B0F16">
      <w:pPr>
        <w:numPr>
          <w:ilvl w:val="0"/>
          <w:numId w:val="18"/>
        </w:numPr>
        <w:spacing w:before="240" w:after="120" w:line="240" w:lineRule="auto"/>
        <w:ind w:left="714" w:hanging="357"/>
        <w:rPr>
          <w:rFonts w:ascii="Open Sans" w:hAnsi="Open Sans" w:cs="Open Sans"/>
        </w:rPr>
      </w:pPr>
      <w:r w:rsidRPr="0064522B">
        <w:rPr>
          <w:rFonts w:ascii="Open Sans" w:hAnsi="Open Sans" w:cs="Open Sans"/>
        </w:rPr>
        <w:t>Ensure services are informed by, and respond to, community need</w:t>
      </w:r>
      <w:r>
        <w:rPr>
          <w:rFonts w:ascii="Open Sans" w:hAnsi="Open Sans" w:cs="Open Sans"/>
        </w:rPr>
        <w:t>s.</w:t>
      </w:r>
    </w:p>
    <w:p w14:paraId="3EF36042" w14:textId="19668FD8" w:rsidR="008926E4" w:rsidRDefault="008926E4" w:rsidP="006B0F16">
      <w:pPr>
        <w:numPr>
          <w:ilvl w:val="0"/>
          <w:numId w:val="18"/>
        </w:numPr>
        <w:spacing w:before="240" w:after="120" w:line="240" w:lineRule="auto"/>
        <w:ind w:left="714" w:hanging="357"/>
        <w:rPr>
          <w:rFonts w:ascii="Open Sans" w:hAnsi="Open Sans" w:cs="Open Sans"/>
        </w:rPr>
      </w:pPr>
      <w:r w:rsidRPr="0064522B">
        <w:rPr>
          <w:rFonts w:ascii="Open Sans" w:hAnsi="Open Sans" w:cs="Open Sans"/>
        </w:rPr>
        <w:t>Improve outcomes for First Nations children and families by increasing the number of</w:t>
      </w:r>
      <w:r w:rsidR="0000579E">
        <w:rPr>
          <w:rFonts w:ascii="Open Sans" w:hAnsi="Open Sans" w:cs="Open Sans"/>
        </w:rPr>
        <w:t> </w:t>
      </w:r>
      <w:r w:rsidRPr="0064522B">
        <w:rPr>
          <w:rFonts w:ascii="Open Sans" w:hAnsi="Open Sans" w:cs="Open Sans"/>
        </w:rPr>
        <w:t xml:space="preserve">Aboriginal and Torres Strait </w:t>
      </w:r>
      <w:r>
        <w:rPr>
          <w:rFonts w:ascii="Open Sans" w:hAnsi="Open Sans" w:cs="Open Sans"/>
        </w:rPr>
        <w:t xml:space="preserve">Islander </w:t>
      </w:r>
      <w:r w:rsidRPr="0064522B">
        <w:rPr>
          <w:rFonts w:ascii="Open Sans" w:hAnsi="Open Sans" w:cs="Open Sans"/>
        </w:rPr>
        <w:t>community-controlled organisations</w:t>
      </w:r>
      <w:r>
        <w:rPr>
          <w:rFonts w:ascii="Open Sans" w:hAnsi="Open Sans" w:cs="Open Sans"/>
        </w:rPr>
        <w:t xml:space="preserve"> (ACCOs)</w:t>
      </w:r>
      <w:r w:rsidRPr="0064522B">
        <w:rPr>
          <w:rFonts w:ascii="Open Sans" w:hAnsi="Open Sans" w:cs="Open Sans"/>
        </w:rPr>
        <w:t xml:space="preserve"> delivering supports in locations with high First Nations populations.</w:t>
      </w:r>
    </w:p>
    <w:p w14:paraId="08C0E4F0" w14:textId="12AC248C" w:rsidR="003E7784" w:rsidRDefault="00222D30" w:rsidP="006B0F16">
      <w:pPr>
        <w:rPr>
          <w:rFonts w:ascii="Open Sans" w:hAnsi="Open Sans" w:cs="Open Sans"/>
        </w:rPr>
      </w:pPr>
      <w:r>
        <w:rPr>
          <w:rFonts w:ascii="Open Sans" w:hAnsi="Open Sans" w:cs="Open Sans"/>
        </w:rPr>
        <w:lastRenderedPageBreak/>
        <w:t xml:space="preserve">These priorities will guide decisions about which programs and services are funded under the proposed single national program. They have been chosen based on strong evidence of where support can make the greatest positive difference for children, young people and families. </w:t>
      </w:r>
    </w:p>
    <w:p w14:paraId="1A457271" w14:textId="42E29026" w:rsidR="00B44E93" w:rsidRDefault="00B44E93" w:rsidP="00482F04">
      <w:pPr>
        <w:pStyle w:val="Heading4"/>
        <w:spacing w:after="200" w:line="240" w:lineRule="auto"/>
        <w:rPr>
          <w:rFonts w:ascii="Open Sans" w:hAnsi="Open Sans" w:cs="Open Sans"/>
        </w:rPr>
      </w:pPr>
      <w:r w:rsidRPr="00B30A93">
        <w:rPr>
          <w:rFonts w:ascii="Open Sans" w:hAnsi="Open Sans" w:cs="Open Sans"/>
        </w:rPr>
        <w:t>Improving family wellbeing</w:t>
      </w:r>
      <w:r w:rsidRPr="004E094B">
        <w:rPr>
          <w:rFonts w:ascii="Open Sans" w:hAnsi="Open Sans" w:cs="Open Sans"/>
        </w:rPr>
        <w:t xml:space="preserve"> </w:t>
      </w:r>
    </w:p>
    <w:p w14:paraId="16D4A885" w14:textId="183F69AB" w:rsidR="00B44E93" w:rsidRDefault="00B44E93" w:rsidP="69026B43">
      <w:pPr>
        <w:rPr>
          <w:rFonts w:ascii="Open Sans" w:hAnsi="Open Sans" w:cs="Open Sans"/>
        </w:rPr>
      </w:pPr>
      <w:r>
        <w:rPr>
          <w:rFonts w:ascii="Open Sans" w:hAnsi="Open Sans" w:cs="Open Sans"/>
        </w:rPr>
        <w:t xml:space="preserve">Within the public health approach, interventions </w:t>
      </w:r>
      <w:r w:rsidR="00A37CCC">
        <w:rPr>
          <w:rFonts w:ascii="Open Sans" w:hAnsi="Open Sans" w:cs="Open Sans"/>
        </w:rPr>
        <w:t>are generally focused</w:t>
      </w:r>
      <w:r>
        <w:rPr>
          <w:rFonts w:ascii="Open Sans" w:hAnsi="Open Sans" w:cs="Open Sans"/>
        </w:rPr>
        <w:t xml:space="preserve"> on addressing risk and </w:t>
      </w:r>
      <w:r w:rsidR="00580049">
        <w:rPr>
          <w:rFonts w:ascii="Open Sans" w:hAnsi="Open Sans" w:cs="Open Sans"/>
        </w:rPr>
        <w:t xml:space="preserve">increasing </w:t>
      </w:r>
      <w:r>
        <w:rPr>
          <w:rFonts w:ascii="Open Sans" w:hAnsi="Open Sans" w:cs="Open Sans"/>
        </w:rPr>
        <w:t>protective factors.</w:t>
      </w:r>
      <w:r>
        <w:rPr>
          <w:rStyle w:val="EndnoteReference"/>
          <w:rFonts w:ascii="Open Sans" w:hAnsi="Open Sans" w:cs="Open Sans"/>
        </w:rPr>
        <w:endnoteReference w:id="18"/>
      </w:r>
      <w:r>
        <w:rPr>
          <w:rFonts w:ascii="Open Sans" w:hAnsi="Open Sans" w:cs="Open Sans"/>
        </w:rPr>
        <w:t xml:space="preserve"> Protective factors are conditions or attributes that support the healthy development and wellbeing of children, young people and families.</w:t>
      </w:r>
      <w:r>
        <w:rPr>
          <w:rStyle w:val="EndnoteReference"/>
          <w:rFonts w:ascii="Open Sans" w:hAnsi="Open Sans" w:cs="Open Sans"/>
        </w:rPr>
        <w:endnoteReference w:id="19"/>
      </w:r>
    </w:p>
    <w:p w14:paraId="51A985CC" w14:textId="48BB72AA" w:rsidR="00B44E93" w:rsidRDefault="00B44E93" w:rsidP="00B44E93">
      <w:pPr>
        <w:rPr>
          <w:rFonts w:ascii="Open Sans" w:hAnsi="Open Sans" w:cs="Open Sans"/>
        </w:rPr>
      </w:pPr>
      <w:r>
        <w:rPr>
          <w:rFonts w:ascii="Open Sans" w:hAnsi="Open Sans" w:cs="Open Sans"/>
        </w:rPr>
        <w:t xml:space="preserve"> </w:t>
      </w:r>
      <w:r w:rsidR="13BC63EF">
        <w:rPr>
          <w:rFonts w:ascii="Open Sans" w:hAnsi="Open Sans" w:cs="Open Sans"/>
        </w:rPr>
        <w:t>P</w:t>
      </w:r>
      <w:r w:rsidR="004A7480">
        <w:rPr>
          <w:rFonts w:ascii="Open Sans" w:hAnsi="Open Sans" w:cs="Open Sans"/>
        </w:rPr>
        <w:t xml:space="preserve">rotective factors exist at different levels – including individual, family, community, and broader society – and each plays a role in supporting positive outcomes for children and families. </w:t>
      </w:r>
      <w:r>
        <w:rPr>
          <w:rFonts w:ascii="Open Sans" w:hAnsi="Open Sans" w:cs="Open Sans"/>
        </w:rPr>
        <w:t>The</w:t>
      </w:r>
      <w:r w:rsidR="26D6B620">
        <w:rPr>
          <w:rFonts w:ascii="Open Sans" w:hAnsi="Open Sans" w:cs="Open Sans"/>
        </w:rPr>
        <w:t xml:space="preserve">ir absence or </w:t>
      </w:r>
      <w:r w:rsidR="000946DF">
        <w:rPr>
          <w:rFonts w:ascii="Open Sans" w:hAnsi="Open Sans" w:cs="Open Sans"/>
        </w:rPr>
        <w:t>presence directly</w:t>
      </w:r>
      <w:r>
        <w:rPr>
          <w:rFonts w:ascii="Open Sans" w:hAnsi="Open Sans" w:cs="Open Sans"/>
        </w:rPr>
        <w:t xml:space="preserve"> affect</w:t>
      </w:r>
      <w:r w:rsidR="760A1082">
        <w:rPr>
          <w:rFonts w:ascii="Open Sans" w:hAnsi="Open Sans" w:cs="Open Sans"/>
        </w:rPr>
        <w:t>s</w:t>
      </w:r>
      <w:r>
        <w:rPr>
          <w:rFonts w:ascii="Open Sans" w:hAnsi="Open Sans" w:cs="Open Sans"/>
        </w:rPr>
        <w:t xml:space="preserve"> prenatal development, wellbeing and family dynamics.</w:t>
      </w:r>
      <w:r>
        <w:rPr>
          <w:rStyle w:val="EndnoteReference"/>
          <w:rFonts w:ascii="Open Sans" w:hAnsi="Open Sans" w:cs="Open Sans"/>
        </w:rPr>
        <w:endnoteReference w:id="20"/>
      </w:r>
      <w:r>
        <w:rPr>
          <w:rFonts w:ascii="Open Sans" w:hAnsi="Open Sans" w:cs="Open Sans"/>
        </w:rPr>
        <w:t xml:space="preserve"> </w:t>
      </w:r>
      <w:r w:rsidR="005A2C2C">
        <w:rPr>
          <w:rFonts w:ascii="Open Sans" w:hAnsi="Open Sans" w:cs="Open Sans"/>
        </w:rPr>
        <w:t xml:space="preserve">Safe, secure environments and relationships, especially in the early years, are a key protective factor in supporting the wellbeing </w:t>
      </w:r>
      <w:r w:rsidR="65C93549">
        <w:rPr>
          <w:rFonts w:ascii="Open Sans" w:hAnsi="Open Sans" w:cs="Open Sans"/>
        </w:rPr>
        <w:t xml:space="preserve">and resilience </w:t>
      </w:r>
      <w:r w:rsidR="005A2C2C">
        <w:rPr>
          <w:rFonts w:ascii="Open Sans" w:hAnsi="Open Sans" w:cs="Open Sans"/>
        </w:rPr>
        <w:t>of children and families</w:t>
      </w:r>
      <w:r w:rsidR="51F8B706">
        <w:rPr>
          <w:rFonts w:ascii="Open Sans" w:hAnsi="Open Sans" w:cs="Open Sans"/>
        </w:rPr>
        <w:t xml:space="preserve"> and lay</w:t>
      </w:r>
      <w:r w:rsidR="000946DF">
        <w:rPr>
          <w:rFonts w:ascii="Open Sans" w:hAnsi="Open Sans" w:cs="Open Sans"/>
        </w:rPr>
        <w:t xml:space="preserve"> </w:t>
      </w:r>
      <w:r w:rsidR="005A2C2C">
        <w:rPr>
          <w:rFonts w:ascii="Open Sans" w:hAnsi="Open Sans" w:cs="Open Sans"/>
        </w:rPr>
        <w:t>the foundation</w:t>
      </w:r>
      <w:r w:rsidR="67CF491C">
        <w:rPr>
          <w:rFonts w:ascii="Open Sans" w:hAnsi="Open Sans" w:cs="Open Sans"/>
        </w:rPr>
        <w:t>s</w:t>
      </w:r>
      <w:r w:rsidR="005A2C2C">
        <w:rPr>
          <w:rFonts w:ascii="Open Sans" w:hAnsi="Open Sans" w:cs="Open Sans"/>
        </w:rPr>
        <w:t xml:space="preserve"> for healthy development and long-term positive outcomes. </w:t>
      </w:r>
    </w:p>
    <w:p w14:paraId="6C0C88FB" w14:textId="77777777" w:rsidR="00B44E93" w:rsidRPr="00B30A93" w:rsidRDefault="00B44E93" w:rsidP="00482F04">
      <w:pPr>
        <w:pStyle w:val="Heading4"/>
        <w:keepNext/>
        <w:keepLines/>
        <w:spacing w:after="200"/>
        <w:rPr>
          <w:rFonts w:ascii="Open Sans" w:hAnsi="Open Sans" w:cs="Open Sans"/>
          <w:b w:val="0"/>
          <w:bCs w:val="0"/>
          <w:i/>
          <w:iCs w:val="0"/>
          <w:sz w:val="22"/>
          <w:szCs w:val="20"/>
        </w:rPr>
      </w:pPr>
      <w:r>
        <w:rPr>
          <w:rFonts w:ascii="Open Sans" w:hAnsi="Open Sans" w:cs="Open Sans"/>
          <w:b w:val="0"/>
          <w:bCs w:val="0"/>
          <w:i/>
          <w:iCs w:val="0"/>
          <w:sz w:val="22"/>
          <w:szCs w:val="20"/>
        </w:rPr>
        <w:t>Early intervention supports in t</w:t>
      </w:r>
      <w:r w:rsidRPr="00B30A93">
        <w:rPr>
          <w:rFonts w:ascii="Open Sans" w:hAnsi="Open Sans" w:cs="Open Sans"/>
          <w:b w:val="0"/>
          <w:bCs w:val="0"/>
          <w:i/>
          <w:iCs w:val="0"/>
          <w:sz w:val="22"/>
          <w:szCs w:val="20"/>
        </w:rPr>
        <w:t>he early years</w:t>
      </w:r>
      <w:r>
        <w:rPr>
          <w:rFonts w:ascii="Open Sans" w:hAnsi="Open Sans" w:cs="Open Sans"/>
          <w:b w:val="0"/>
          <w:bCs w:val="0"/>
          <w:i/>
          <w:iCs w:val="0"/>
          <w:sz w:val="22"/>
          <w:szCs w:val="20"/>
        </w:rPr>
        <w:t xml:space="preserve"> of a child’s life</w:t>
      </w:r>
      <w:r w:rsidRPr="00B30A93">
        <w:rPr>
          <w:rFonts w:ascii="Open Sans" w:hAnsi="Open Sans" w:cs="Open Sans"/>
          <w:b w:val="0"/>
          <w:bCs w:val="0"/>
          <w:i/>
          <w:iCs w:val="0"/>
          <w:sz w:val="22"/>
          <w:szCs w:val="20"/>
        </w:rPr>
        <w:t xml:space="preserve"> (0-5 years)</w:t>
      </w:r>
    </w:p>
    <w:p w14:paraId="37EFFFB1" w14:textId="405E5E3A" w:rsidR="00B44E93" w:rsidRPr="00B72473" w:rsidRDefault="475C6D44" w:rsidP="69026B43">
      <w:pPr>
        <w:keepNext/>
        <w:keepLines/>
        <w:rPr>
          <w:rFonts w:ascii="Open Sans" w:hAnsi="Open Sans" w:cs="Open Sans"/>
        </w:rPr>
      </w:pPr>
      <w:r>
        <w:rPr>
          <w:rFonts w:ascii="Open Sans" w:hAnsi="Open Sans" w:cs="Open Sans"/>
        </w:rPr>
        <w:t>As is well-known, t</w:t>
      </w:r>
      <w:r w:rsidR="005B391B">
        <w:rPr>
          <w:rFonts w:ascii="Open Sans" w:hAnsi="Open Sans" w:cs="Open Sans"/>
        </w:rPr>
        <w:t xml:space="preserve">he early years, from </w:t>
      </w:r>
      <w:r w:rsidR="00E124DB">
        <w:rPr>
          <w:rFonts w:ascii="Open Sans" w:hAnsi="Open Sans" w:cs="Open Sans"/>
        </w:rPr>
        <w:t>before</w:t>
      </w:r>
      <w:r w:rsidR="00A16073">
        <w:rPr>
          <w:rFonts w:ascii="Open Sans" w:hAnsi="Open Sans" w:cs="Open Sans"/>
        </w:rPr>
        <w:t xml:space="preserve"> </w:t>
      </w:r>
      <w:r w:rsidR="005B391B">
        <w:rPr>
          <w:rFonts w:ascii="Open Sans" w:hAnsi="Open Sans" w:cs="Open Sans"/>
        </w:rPr>
        <w:t>birth to age five, are especially important for a</w:t>
      </w:r>
      <w:r w:rsidR="0000579E">
        <w:rPr>
          <w:rFonts w:ascii="Open Sans" w:hAnsi="Open Sans" w:cs="Open Sans"/>
        </w:rPr>
        <w:t> </w:t>
      </w:r>
      <w:r w:rsidR="005B391B">
        <w:rPr>
          <w:rFonts w:ascii="Open Sans" w:hAnsi="Open Sans" w:cs="Open Sans"/>
        </w:rPr>
        <w:t xml:space="preserve">child’s development. Experiences during this time lay the foundation for lifelong learning, wellbeing and health. </w:t>
      </w:r>
      <w:r w:rsidR="00B44E93" w:rsidRPr="003F3249">
        <w:rPr>
          <w:rFonts w:ascii="Open Sans" w:hAnsi="Open Sans" w:cs="Open Sans"/>
        </w:rPr>
        <w:t>Improving outcomes in the early years helps to break cycles of</w:t>
      </w:r>
      <w:r w:rsidR="0000579E">
        <w:rPr>
          <w:rFonts w:ascii="Open Sans" w:hAnsi="Open Sans" w:cs="Open Sans"/>
        </w:rPr>
        <w:t> </w:t>
      </w:r>
      <w:r w:rsidR="00B44E93" w:rsidRPr="003F3249">
        <w:rPr>
          <w:rFonts w:ascii="Open Sans" w:hAnsi="Open Sans" w:cs="Open Sans"/>
        </w:rPr>
        <w:t xml:space="preserve">disadvantage, prevent experiences of violence, address inequality and </w:t>
      </w:r>
      <w:r w:rsidR="00B44E93" w:rsidRPr="69026B43">
        <w:rPr>
          <w:rFonts w:ascii="Open Sans" w:hAnsi="Open Sans" w:cs="Open Sans"/>
        </w:rPr>
        <w:t>boost productivity.</w:t>
      </w:r>
      <w:r w:rsidR="00B44E93" w:rsidRPr="003F3249">
        <w:rPr>
          <w:rStyle w:val="EndnoteReference"/>
          <w:rFonts w:ascii="Open Sans" w:hAnsi="Open Sans" w:cs="Open Sans"/>
        </w:rPr>
        <w:endnoteReference w:id="21"/>
      </w:r>
      <w:r w:rsidR="00B44E93" w:rsidRPr="69026B43">
        <w:rPr>
          <w:rFonts w:ascii="Open Sans" w:hAnsi="Open Sans" w:cs="Open Sans"/>
        </w:rPr>
        <w:t xml:space="preserve"> </w:t>
      </w:r>
      <w:r w:rsidR="00580049" w:rsidRPr="69026B43">
        <w:rPr>
          <w:rFonts w:ascii="Open Sans" w:hAnsi="Open Sans" w:cs="Open Sans"/>
        </w:rPr>
        <w:t xml:space="preserve">Nationally, the early years is a period where </w:t>
      </w:r>
      <w:r w:rsidR="00B44E93" w:rsidRPr="69026B43">
        <w:rPr>
          <w:rFonts w:ascii="Open Sans" w:hAnsi="Open Sans" w:cs="Open Sans"/>
        </w:rPr>
        <w:t xml:space="preserve">children are </w:t>
      </w:r>
      <w:r w:rsidR="00580049" w:rsidRPr="69026B43">
        <w:rPr>
          <w:rFonts w:ascii="Open Sans" w:hAnsi="Open Sans" w:cs="Open Sans"/>
        </w:rPr>
        <w:t xml:space="preserve">more </w:t>
      </w:r>
      <w:r w:rsidR="00B44E93" w:rsidRPr="69026B43">
        <w:rPr>
          <w:rFonts w:ascii="Open Sans" w:hAnsi="Open Sans" w:cs="Open Sans"/>
        </w:rPr>
        <w:t>likely to enter the statutory out</w:t>
      </w:r>
      <w:r w:rsidR="0000579E">
        <w:rPr>
          <w:rFonts w:ascii="Open Sans" w:hAnsi="Open Sans" w:cs="Open Sans"/>
        </w:rPr>
        <w:noBreakHyphen/>
      </w:r>
      <w:r w:rsidR="00B44E93" w:rsidRPr="69026B43">
        <w:rPr>
          <w:rFonts w:ascii="Open Sans" w:hAnsi="Open Sans" w:cs="Open Sans"/>
        </w:rPr>
        <w:t>of-home care system.</w:t>
      </w:r>
      <w:r w:rsidR="00B44E93" w:rsidRPr="69026B43">
        <w:rPr>
          <w:rStyle w:val="EndnoteReference"/>
          <w:rFonts w:ascii="Open Sans" w:hAnsi="Open Sans" w:cs="Open Sans"/>
        </w:rPr>
        <w:endnoteReference w:id="22"/>
      </w:r>
    </w:p>
    <w:p w14:paraId="0D31028B" w14:textId="6829053F" w:rsidR="00B44E93" w:rsidRPr="005106D1" w:rsidRDefault="00B44E93" w:rsidP="00B44E93">
      <w:pPr>
        <w:rPr>
          <w:rFonts w:ascii="Open Sans" w:hAnsi="Open Sans" w:cs="Open Sans"/>
        </w:rPr>
      </w:pPr>
      <w:r w:rsidRPr="003F3249">
        <w:rPr>
          <w:rFonts w:ascii="Open Sans" w:hAnsi="Open Sans" w:cs="Open Sans"/>
        </w:rPr>
        <w:t>What happens during childhood and adolescence sets the foundation for outcomes across the life course.</w:t>
      </w:r>
      <w:r w:rsidRPr="003F3249">
        <w:rPr>
          <w:rStyle w:val="EndnoteReference"/>
          <w:rFonts w:ascii="Open Sans" w:hAnsi="Open Sans" w:cs="Open Sans"/>
        </w:rPr>
        <w:endnoteReference w:id="23"/>
      </w:r>
      <w:r w:rsidRPr="003F3249">
        <w:rPr>
          <w:rFonts w:ascii="Open Sans" w:hAnsi="Open Sans" w:cs="Open Sans"/>
        </w:rPr>
        <w:t xml:space="preserve"> </w:t>
      </w:r>
      <w:r w:rsidR="00A37CCC">
        <w:rPr>
          <w:rFonts w:ascii="Open Sans" w:hAnsi="Open Sans" w:cs="Open Sans"/>
        </w:rPr>
        <w:t>P</w:t>
      </w:r>
      <w:r w:rsidRPr="003F3249">
        <w:rPr>
          <w:rFonts w:ascii="Open Sans" w:hAnsi="Open Sans" w:cs="Open Sans"/>
        </w:rPr>
        <w:t>oor early childhood experiences can lead to physiological and behavioural changes, including to children’s brain development</w:t>
      </w:r>
      <w:r w:rsidR="00D3797A">
        <w:rPr>
          <w:rFonts w:ascii="Open Sans" w:hAnsi="Open Sans" w:cs="Open Sans"/>
        </w:rPr>
        <w:t xml:space="preserve"> and </w:t>
      </w:r>
      <w:r w:rsidRPr="003F3249">
        <w:rPr>
          <w:rFonts w:ascii="Open Sans" w:hAnsi="Open Sans" w:cs="Open Sans"/>
        </w:rPr>
        <w:t>long-term outcomes.</w:t>
      </w:r>
      <w:r w:rsidRPr="003F3249">
        <w:rPr>
          <w:rStyle w:val="EndnoteReference"/>
          <w:rFonts w:ascii="Open Sans" w:hAnsi="Open Sans" w:cs="Open Sans"/>
        </w:rPr>
        <w:endnoteReference w:id="24"/>
      </w:r>
      <w:r w:rsidRPr="003F3249">
        <w:rPr>
          <w:rFonts w:ascii="Open Sans" w:hAnsi="Open Sans" w:cs="Open Sans"/>
        </w:rPr>
        <w:t xml:space="preserve"> This </w:t>
      </w:r>
      <w:r w:rsidR="00A37CCC">
        <w:rPr>
          <w:rFonts w:ascii="Open Sans" w:hAnsi="Open Sans" w:cs="Open Sans"/>
        </w:rPr>
        <w:t xml:space="preserve">can </w:t>
      </w:r>
      <w:r w:rsidRPr="003F3249">
        <w:rPr>
          <w:rFonts w:ascii="Open Sans" w:hAnsi="Open Sans" w:cs="Open Sans"/>
        </w:rPr>
        <w:t>include impairments in learning, memory and regulating behaviour, and chronic health conditions later in life such as heart disease, diabetes, depression and dementia.</w:t>
      </w:r>
      <w:r w:rsidRPr="003F3249">
        <w:rPr>
          <w:rStyle w:val="EndnoteReference"/>
          <w:rFonts w:ascii="Open Sans" w:hAnsi="Open Sans" w:cs="Open Sans"/>
        </w:rPr>
        <w:endnoteReference w:id="25"/>
      </w:r>
      <w:r w:rsidRPr="003F3249">
        <w:rPr>
          <w:rFonts w:ascii="Open Sans" w:hAnsi="Open Sans" w:cs="Open Sans"/>
        </w:rPr>
        <w:t xml:space="preserve"> </w:t>
      </w:r>
    </w:p>
    <w:p w14:paraId="2C3B4EC9" w14:textId="793F4BDE" w:rsidR="00B44E93" w:rsidRPr="005106D1" w:rsidRDefault="00B932A7" w:rsidP="00B44E93">
      <w:pPr>
        <w:rPr>
          <w:color w:val="7030A0"/>
        </w:rPr>
      </w:pPr>
      <w:r w:rsidRPr="69026B43">
        <w:rPr>
          <w:rFonts w:ascii="Open Sans" w:hAnsi="Open Sans" w:cs="Open Sans"/>
        </w:rPr>
        <w:t>Investing in proven, evidence-based interventions during the early years delivers the strongest return on investment compared to interventions later in life.</w:t>
      </w:r>
      <w:r w:rsidR="00B44E93" w:rsidRPr="69026B43">
        <w:rPr>
          <w:rFonts w:ascii="Open Sans" w:hAnsi="Open Sans" w:cs="Open Sans"/>
        </w:rPr>
        <w:t xml:space="preserve"> Some studies propose a return of</w:t>
      </w:r>
      <w:r w:rsidR="0000579E">
        <w:rPr>
          <w:rFonts w:ascii="Open Sans" w:hAnsi="Open Sans" w:cs="Open Sans"/>
        </w:rPr>
        <w:t> </w:t>
      </w:r>
      <w:r w:rsidR="00B44E93" w:rsidRPr="69026B43">
        <w:rPr>
          <w:rFonts w:ascii="Open Sans" w:hAnsi="Open Sans" w:cs="Open Sans"/>
        </w:rPr>
        <w:t>15-17% for every dollar invested in preschool aged children</w:t>
      </w:r>
      <w:r w:rsidR="00D3797A" w:rsidRPr="69026B43">
        <w:rPr>
          <w:rFonts w:ascii="Open Sans" w:hAnsi="Open Sans" w:cs="Open Sans"/>
        </w:rPr>
        <w:t>.</w:t>
      </w:r>
      <w:r w:rsidR="00B44E93" w:rsidRPr="69026B43">
        <w:rPr>
          <w:rFonts w:ascii="Open Sans" w:hAnsi="Open Sans" w:cs="Open Sans"/>
        </w:rPr>
        <w:t xml:space="preserve"> Antenatal interventions may have an even stronger return on investment.</w:t>
      </w:r>
      <w:r w:rsidR="00B44E93" w:rsidRPr="69026B43">
        <w:rPr>
          <w:rStyle w:val="EndnoteReference"/>
          <w:rFonts w:ascii="Open Sans" w:hAnsi="Open Sans" w:cs="Open Sans"/>
        </w:rPr>
        <w:endnoteReference w:id="26"/>
      </w:r>
      <w:r w:rsidR="00B44E93" w:rsidRPr="69026B43">
        <w:rPr>
          <w:rFonts w:ascii="Open Sans" w:hAnsi="Open Sans" w:cs="Open Sans"/>
        </w:rPr>
        <w:t xml:space="preserve"> </w:t>
      </w:r>
    </w:p>
    <w:p w14:paraId="7A4A4903" w14:textId="77777777" w:rsidR="00B44E93" w:rsidRDefault="00B44E93" w:rsidP="00B44E93">
      <w:pPr>
        <w:rPr>
          <w:rFonts w:ascii="Open Sans" w:hAnsi="Open Sans" w:cs="Open Sans"/>
        </w:rPr>
      </w:pPr>
      <w:r w:rsidRPr="003F3249">
        <w:rPr>
          <w:rFonts w:ascii="Open Sans" w:hAnsi="Open Sans" w:cs="Open Sans"/>
        </w:rPr>
        <w:t xml:space="preserve">Further information on the importance of the early years is outlined in the </w:t>
      </w:r>
      <w:hyperlink r:id="rId17" w:history="1">
        <w:r w:rsidRPr="003F3249">
          <w:rPr>
            <w:rStyle w:val="Hyperlink"/>
            <w:rFonts w:ascii="Open Sans" w:hAnsi="Open Sans" w:cs="Open Sans"/>
          </w:rPr>
          <w:t>Evidence Summary - Why Children and their Early Years Matter | Department of Social Services</w:t>
        </w:r>
      </w:hyperlink>
      <w:r w:rsidRPr="003F3249">
        <w:rPr>
          <w:rFonts w:ascii="Open Sans" w:hAnsi="Open Sans" w:cs="Open Sans"/>
        </w:rPr>
        <w:t>.</w:t>
      </w:r>
    </w:p>
    <w:p w14:paraId="509616FF" w14:textId="77777777" w:rsidR="006B0F16" w:rsidRDefault="006B0F16">
      <w:pPr>
        <w:spacing w:after="240"/>
        <w:rPr>
          <w:rFonts w:ascii="Open Sans" w:hAnsi="Open Sans" w:cs="Open Sans"/>
        </w:rPr>
      </w:pPr>
      <w:r>
        <w:rPr>
          <w:rFonts w:ascii="Open Sans" w:hAnsi="Open Sans" w:cs="Open Sans"/>
        </w:rPr>
        <w:br w:type="page"/>
      </w:r>
    </w:p>
    <w:p w14:paraId="0EDFE9AF" w14:textId="14AD1DD7" w:rsidR="00B44E93" w:rsidRPr="00354AD2" w:rsidRDefault="00084596" w:rsidP="00B44E93">
      <w:pPr>
        <w:rPr>
          <w:rFonts w:ascii="Open Sans" w:hAnsi="Open Sans" w:cs="Open Sans"/>
        </w:rPr>
      </w:pPr>
      <w:r>
        <w:rPr>
          <w:rFonts w:ascii="Open Sans" w:hAnsi="Open Sans" w:cs="Open Sans"/>
        </w:rPr>
        <w:lastRenderedPageBreak/>
        <w:t>While the early years are critical, it’s never too late to intervene. Support provided later in life can still be effective and deliver strong social and economic benefits, especially when tailored to</w:t>
      </w:r>
      <w:r w:rsidR="0000579E">
        <w:rPr>
          <w:rFonts w:ascii="Open Sans" w:hAnsi="Open Sans" w:cs="Open Sans"/>
        </w:rPr>
        <w:t> </w:t>
      </w:r>
      <w:r>
        <w:rPr>
          <w:rFonts w:ascii="Open Sans" w:hAnsi="Open Sans" w:cs="Open Sans"/>
        </w:rPr>
        <w:t>individual needs.</w:t>
      </w:r>
      <w:r w:rsidR="00B44E93">
        <w:rPr>
          <w:rFonts w:ascii="Open Sans" w:hAnsi="Open Sans" w:cs="Open Sans"/>
        </w:rPr>
        <w:t xml:space="preserve"> For example, </w:t>
      </w:r>
      <w:r w:rsidR="00B44E93" w:rsidRPr="00354AD2">
        <w:rPr>
          <w:rFonts w:ascii="Open Sans" w:hAnsi="Open Sans" w:cs="Open Sans"/>
        </w:rPr>
        <w:t>middle childhood and adolescence are also crucial periods of</w:t>
      </w:r>
      <w:r w:rsidR="0000579E">
        <w:rPr>
          <w:rFonts w:ascii="Open Sans" w:hAnsi="Open Sans" w:cs="Open Sans"/>
        </w:rPr>
        <w:t> </w:t>
      </w:r>
      <w:r w:rsidR="00B44E93" w:rsidRPr="00354AD2">
        <w:rPr>
          <w:rFonts w:ascii="Open Sans" w:hAnsi="Open Sans" w:cs="Open Sans"/>
        </w:rPr>
        <w:t xml:space="preserve">development that offer </w:t>
      </w:r>
      <w:r w:rsidR="00B44E93" w:rsidRPr="00354AD2">
        <w:rPr>
          <w:rFonts w:ascii="Open Sans" w:hAnsi="Open Sans" w:cs="Open Sans"/>
          <w:color w:val="000000" w:themeColor="text1"/>
        </w:rPr>
        <w:t>opportunities to build strong cognitive, social, and emotional foundations that support children and young people.</w:t>
      </w:r>
      <w:r w:rsidR="00B44E93" w:rsidRPr="00354AD2">
        <w:rPr>
          <w:rStyle w:val="EndnoteReference"/>
          <w:rFonts w:ascii="Open Sans" w:hAnsi="Open Sans" w:cs="Open Sans"/>
        </w:rPr>
        <w:endnoteReference w:id="27"/>
      </w:r>
      <w:r w:rsidR="00B44E93">
        <w:rPr>
          <w:rFonts w:ascii="Open Sans" w:hAnsi="Open Sans" w:cs="Open Sans"/>
          <w:color w:val="000000" w:themeColor="text1"/>
        </w:rPr>
        <w:t xml:space="preserve"> </w:t>
      </w:r>
    </w:p>
    <w:p w14:paraId="3F14A023" w14:textId="77777777" w:rsidR="00B44E93" w:rsidRPr="00B30A93" w:rsidRDefault="00B44E93" w:rsidP="00482F04">
      <w:pPr>
        <w:pStyle w:val="Heading4"/>
        <w:keepNext/>
        <w:keepLines/>
        <w:spacing w:after="200"/>
        <w:rPr>
          <w:rFonts w:ascii="Open Sans" w:hAnsi="Open Sans" w:cs="Open Sans"/>
          <w:b w:val="0"/>
          <w:bCs w:val="0"/>
          <w:i/>
          <w:iCs w:val="0"/>
          <w:sz w:val="22"/>
          <w:szCs w:val="20"/>
        </w:rPr>
      </w:pPr>
      <w:r>
        <w:rPr>
          <w:rFonts w:ascii="Open Sans" w:hAnsi="Open Sans" w:cs="Open Sans"/>
          <w:b w:val="0"/>
          <w:bCs w:val="0"/>
          <w:i/>
          <w:iCs w:val="0"/>
          <w:sz w:val="22"/>
          <w:szCs w:val="20"/>
        </w:rPr>
        <w:t>Breaking entrenched cycles of disadvantage by supporting young parents (under 25)</w:t>
      </w:r>
    </w:p>
    <w:p w14:paraId="15503616" w14:textId="2C73D8A3" w:rsidR="00B44E93" w:rsidRPr="003F3249" w:rsidRDefault="00B44E93" w:rsidP="00B44E93">
      <w:pPr>
        <w:rPr>
          <w:rFonts w:ascii="Open Sans" w:hAnsi="Open Sans" w:cs="Open Sans"/>
        </w:rPr>
      </w:pPr>
      <w:r w:rsidRPr="003F3249">
        <w:rPr>
          <w:rFonts w:ascii="Open Sans" w:hAnsi="Open Sans" w:cs="Open Sans"/>
        </w:rPr>
        <w:t xml:space="preserve">Young parents are a </w:t>
      </w:r>
      <w:r w:rsidR="00A37CCC">
        <w:rPr>
          <w:rFonts w:ascii="Open Sans" w:hAnsi="Open Sans" w:cs="Open Sans"/>
        </w:rPr>
        <w:t>group</w:t>
      </w:r>
      <w:r w:rsidR="00A37CCC" w:rsidRPr="003F3249">
        <w:rPr>
          <w:rFonts w:ascii="Open Sans" w:hAnsi="Open Sans" w:cs="Open Sans"/>
        </w:rPr>
        <w:t xml:space="preserve"> </w:t>
      </w:r>
      <w:r w:rsidRPr="003F3249">
        <w:rPr>
          <w:rFonts w:ascii="Open Sans" w:hAnsi="Open Sans" w:cs="Open Sans"/>
        </w:rPr>
        <w:t xml:space="preserve">particularly at risk of </w:t>
      </w:r>
      <w:r w:rsidR="00A37CCC">
        <w:rPr>
          <w:rFonts w:ascii="Open Sans" w:hAnsi="Open Sans" w:cs="Open Sans"/>
        </w:rPr>
        <w:t>negative</w:t>
      </w:r>
      <w:r w:rsidR="00A37CCC" w:rsidRPr="003F3249">
        <w:rPr>
          <w:rFonts w:ascii="Open Sans" w:hAnsi="Open Sans" w:cs="Open Sans"/>
        </w:rPr>
        <w:t xml:space="preserve"> </w:t>
      </w:r>
      <w:r w:rsidRPr="003F3249">
        <w:rPr>
          <w:rFonts w:ascii="Open Sans" w:hAnsi="Open Sans" w:cs="Open Sans"/>
        </w:rPr>
        <w:t>outcomes, including social, economic and health disadvantage.</w:t>
      </w:r>
      <w:r w:rsidRPr="003F3249">
        <w:rPr>
          <w:rStyle w:val="EndnoteReference"/>
          <w:rFonts w:ascii="Open Sans" w:hAnsi="Open Sans" w:cs="Open Sans"/>
        </w:rPr>
        <w:endnoteReference w:id="28"/>
      </w:r>
      <w:r w:rsidRPr="003F3249">
        <w:rPr>
          <w:rFonts w:ascii="Open Sans" w:hAnsi="Open Sans" w:cs="Open Sans"/>
        </w:rPr>
        <w:t xml:space="preserve"> Compared to older mothers, young mothers </w:t>
      </w:r>
      <w:r w:rsidR="00A37CCC">
        <w:rPr>
          <w:rFonts w:ascii="Open Sans" w:hAnsi="Open Sans" w:cs="Open Sans"/>
        </w:rPr>
        <w:t>are more likely</w:t>
      </w:r>
      <w:r w:rsidR="00A37CCC" w:rsidRPr="003F3249">
        <w:rPr>
          <w:rFonts w:ascii="Open Sans" w:hAnsi="Open Sans" w:cs="Open Sans"/>
        </w:rPr>
        <w:t xml:space="preserve"> </w:t>
      </w:r>
      <w:r w:rsidRPr="003F3249">
        <w:rPr>
          <w:rFonts w:ascii="Open Sans" w:hAnsi="Open Sans" w:cs="Open Sans"/>
        </w:rPr>
        <w:t>to have lower educational attainment, lower earnings and poorer health.</w:t>
      </w:r>
      <w:r w:rsidRPr="003F3249">
        <w:rPr>
          <w:rStyle w:val="EndnoteReference"/>
          <w:rFonts w:ascii="Open Sans" w:hAnsi="Open Sans" w:cs="Open Sans"/>
        </w:rPr>
        <w:endnoteReference w:id="29"/>
      </w:r>
      <w:r w:rsidRPr="003F3249">
        <w:rPr>
          <w:rFonts w:ascii="Open Sans" w:hAnsi="Open Sans" w:cs="Open Sans"/>
        </w:rPr>
        <w:t xml:space="preserve"> </w:t>
      </w:r>
      <w:proofErr w:type="gramStart"/>
      <w:r w:rsidRPr="003F3249">
        <w:rPr>
          <w:rFonts w:ascii="Open Sans" w:hAnsi="Open Sans" w:cs="Open Sans"/>
        </w:rPr>
        <w:t>Young</w:t>
      </w:r>
      <w:proofErr w:type="gramEnd"/>
      <w:r w:rsidRPr="003F3249">
        <w:rPr>
          <w:rFonts w:ascii="Open Sans" w:hAnsi="Open Sans" w:cs="Open Sans"/>
        </w:rPr>
        <w:t xml:space="preserve"> mothers also experience more difficulties adjusting to </w:t>
      </w:r>
      <w:r w:rsidR="00A37CCC">
        <w:rPr>
          <w:rFonts w:ascii="Open Sans" w:hAnsi="Open Sans" w:cs="Open Sans"/>
        </w:rPr>
        <w:t>be</w:t>
      </w:r>
      <w:r w:rsidR="00D3797A">
        <w:rPr>
          <w:rFonts w:ascii="Open Sans" w:hAnsi="Open Sans" w:cs="Open Sans"/>
        </w:rPr>
        <w:t>coming</w:t>
      </w:r>
      <w:r w:rsidR="00A37CCC">
        <w:rPr>
          <w:rFonts w:ascii="Open Sans" w:hAnsi="Open Sans" w:cs="Open Sans"/>
        </w:rPr>
        <w:t xml:space="preserve"> parents</w:t>
      </w:r>
      <w:r w:rsidRPr="003F3249">
        <w:rPr>
          <w:rFonts w:ascii="Open Sans" w:hAnsi="Open Sans" w:cs="Open Sans"/>
        </w:rPr>
        <w:t xml:space="preserve">, possibly </w:t>
      </w:r>
      <w:r w:rsidR="00877427">
        <w:rPr>
          <w:rFonts w:ascii="Open Sans" w:hAnsi="Open Sans" w:cs="Open Sans"/>
        </w:rPr>
        <w:t>because they have</w:t>
      </w:r>
      <w:r w:rsidRPr="003F3249">
        <w:rPr>
          <w:rFonts w:ascii="Open Sans" w:hAnsi="Open Sans" w:cs="Open Sans"/>
        </w:rPr>
        <w:t xml:space="preserve"> fewer resources and life experiences to draw on.</w:t>
      </w:r>
      <w:r w:rsidRPr="003F3249">
        <w:rPr>
          <w:rStyle w:val="EndnoteReference"/>
          <w:rFonts w:ascii="Open Sans" w:hAnsi="Open Sans" w:cs="Open Sans"/>
        </w:rPr>
        <w:endnoteReference w:id="30"/>
      </w:r>
    </w:p>
    <w:p w14:paraId="41379587" w14:textId="1D29D1DD" w:rsidR="00B44E93" w:rsidRPr="003F3249" w:rsidRDefault="00B44E93" w:rsidP="004337D0">
      <w:pPr>
        <w:rPr>
          <w:rFonts w:ascii="Open Sans" w:hAnsi="Open Sans" w:cs="Open Sans"/>
        </w:rPr>
      </w:pPr>
      <w:r w:rsidRPr="003F3249">
        <w:rPr>
          <w:rFonts w:ascii="Open Sans" w:hAnsi="Open Sans" w:cs="Open Sans"/>
        </w:rPr>
        <w:t xml:space="preserve">Children of young parents </w:t>
      </w:r>
      <w:r w:rsidR="00877427">
        <w:rPr>
          <w:rFonts w:ascii="Open Sans" w:hAnsi="Open Sans" w:cs="Open Sans"/>
        </w:rPr>
        <w:t>also have a</w:t>
      </w:r>
      <w:r w:rsidRPr="003F3249">
        <w:rPr>
          <w:rFonts w:ascii="Open Sans" w:hAnsi="Open Sans" w:cs="Open Sans"/>
        </w:rPr>
        <w:t xml:space="preserve"> greater risk of experiencing poorer life outcomes.</w:t>
      </w:r>
      <w:r w:rsidRPr="003F3249">
        <w:rPr>
          <w:rStyle w:val="EndnoteReference"/>
          <w:rFonts w:ascii="Open Sans" w:hAnsi="Open Sans" w:cs="Open Sans"/>
        </w:rPr>
        <w:endnoteReference w:id="31"/>
      </w:r>
      <w:r w:rsidRPr="003F3249">
        <w:rPr>
          <w:rFonts w:ascii="Open Sans" w:hAnsi="Open Sans" w:cs="Open Sans"/>
        </w:rPr>
        <w:t xml:space="preserve"> Children born to teenage mothers are </w:t>
      </w:r>
      <w:r w:rsidR="00877427">
        <w:rPr>
          <w:rFonts w:ascii="Open Sans" w:hAnsi="Open Sans" w:cs="Open Sans"/>
        </w:rPr>
        <w:t>more likely to have</w:t>
      </w:r>
      <w:r w:rsidRPr="003F3249">
        <w:rPr>
          <w:rFonts w:ascii="Open Sans" w:hAnsi="Open Sans" w:cs="Open Sans"/>
        </w:rPr>
        <w:t xml:space="preserve"> low birth-weight and increased morbidity during their first year of life, to develop more behaviour</w:t>
      </w:r>
      <w:r>
        <w:rPr>
          <w:rFonts w:ascii="Open Sans" w:hAnsi="Open Sans" w:cs="Open Sans"/>
        </w:rPr>
        <w:t>al</w:t>
      </w:r>
      <w:r w:rsidRPr="003F3249">
        <w:rPr>
          <w:rFonts w:ascii="Open Sans" w:hAnsi="Open Sans" w:cs="Open Sans"/>
        </w:rPr>
        <w:t xml:space="preserve"> problems than children of</w:t>
      </w:r>
      <w:r w:rsidR="0000579E">
        <w:rPr>
          <w:rFonts w:ascii="Open Sans" w:hAnsi="Open Sans" w:cs="Open Sans"/>
        </w:rPr>
        <w:t> </w:t>
      </w:r>
      <w:r w:rsidRPr="003F3249">
        <w:rPr>
          <w:rFonts w:ascii="Open Sans" w:hAnsi="Open Sans" w:cs="Open Sans"/>
        </w:rPr>
        <w:t>older mothers</w:t>
      </w:r>
      <w:r>
        <w:rPr>
          <w:rFonts w:ascii="Open Sans" w:hAnsi="Open Sans" w:cs="Open Sans"/>
        </w:rPr>
        <w:t>,</w:t>
      </w:r>
      <w:r w:rsidRPr="003F3249">
        <w:rPr>
          <w:rFonts w:ascii="Open Sans" w:hAnsi="Open Sans" w:cs="Open Sans"/>
        </w:rPr>
        <w:t xml:space="preserve"> and to be born into, and continue </w:t>
      </w:r>
      <w:r w:rsidR="00877427">
        <w:rPr>
          <w:rFonts w:ascii="Open Sans" w:hAnsi="Open Sans" w:cs="Open Sans"/>
        </w:rPr>
        <w:t>living</w:t>
      </w:r>
      <w:r w:rsidRPr="003F3249">
        <w:rPr>
          <w:rFonts w:ascii="Open Sans" w:hAnsi="Open Sans" w:cs="Open Sans"/>
        </w:rPr>
        <w:t xml:space="preserve"> in</w:t>
      </w:r>
      <w:r>
        <w:rPr>
          <w:rFonts w:ascii="Open Sans" w:hAnsi="Open Sans" w:cs="Open Sans"/>
        </w:rPr>
        <w:t>,</w:t>
      </w:r>
      <w:r w:rsidRPr="003F3249">
        <w:rPr>
          <w:rFonts w:ascii="Open Sans" w:hAnsi="Open Sans" w:cs="Open Sans"/>
        </w:rPr>
        <w:t xml:space="preserve"> social and economic disadvantage.</w:t>
      </w:r>
      <w:r w:rsidRPr="003F3249">
        <w:rPr>
          <w:rStyle w:val="EndnoteReference"/>
          <w:rFonts w:ascii="Open Sans" w:hAnsi="Open Sans" w:cs="Open Sans"/>
        </w:rPr>
        <w:endnoteReference w:id="32"/>
      </w:r>
      <w:r w:rsidRPr="003F3249">
        <w:rPr>
          <w:rFonts w:ascii="Open Sans" w:hAnsi="Open Sans" w:cs="Open Sans"/>
        </w:rPr>
        <w:t xml:space="preserve"> </w:t>
      </w:r>
      <w:r w:rsidR="00877427">
        <w:rPr>
          <w:rFonts w:ascii="Open Sans" w:hAnsi="Open Sans" w:cs="Open Sans"/>
        </w:rPr>
        <w:t>C</w:t>
      </w:r>
      <w:r w:rsidRPr="003F3249">
        <w:rPr>
          <w:rFonts w:ascii="Open Sans" w:hAnsi="Open Sans" w:cs="Open Sans"/>
        </w:rPr>
        <w:t xml:space="preserve">hildren of vulnerable young parents </w:t>
      </w:r>
      <w:r>
        <w:rPr>
          <w:rFonts w:ascii="Open Sans" w:hAnsi="Open Sans" w:cs="Open Sans"/>
        </w:rPr>
        <w:t xml:space="preserve">are </w:t>
      </w:r>
      <w:r w:rsidR="00877427">
        <w:rPr>
          <w:rFonts w:ascii="Open Sans" w:hAnsi="Open Sans" w:cs="Open Sans"/>
        </w:rPr>
        <w:t xml:space="preserve">also </w:t>
      </w:r>
      <w:r w:rsidRPr="003F3249">
        <w:rPr>
          <w:rFonts w:ascii="Open Sans" w:hAnsi="Open Sans" w:cs="Open Sans"/>
        </w:rPr>
        <w:t>more likely to become young parents themselves</w:t>
      </w:r>
      <w:r>
        <w:rPr>
          <w:rFonts w:ascii="Open Sans" w:hAnsi="Open Sans" w:cs="Open Sans"/>
        </w:rPr>
        <w:t xml:space="preserve"> and are more </w:t>
      </w:r>
      <w:r w:rsidRPr="003F3249">
        <w:rPr>
          <w:rFonts w:ascii="Open Sans" w:hAnsi="Open Sans" w:cs="Open Sans"/>
        </w:rPr>
        <w:t xml:space="preserve">at risk of </w:t>
      </w:r>
      <w:r>
        <w:rPr>
          <w:rFonts w:ascii="Open Sans" w:hAnsi="Open Sans" w:cs="Open Sans"/>
        </w:rPr>
        <w:t>entering</w:t>
      </w:r>
      <w:r w:rsidRPr="003F3249">
        <w:rPr>
          <w:rFonts w:ascii="Open Sans" w:hAnsi="Open Sans" w:cs="Open Sans"/>
        </w:rPr>
        <w:t xml:space="preserve"> the care and protection system.</w:t>
      </w:r>
      <w:r w:rsidRPr="003F3249">
        <w:rPr>
          <w:rStyle w:val="EndnoteReference"/>
          <w:rFonts w:ascii="Open Sans" w:hAnsi="Open Sans" w:cs="Open Sans"/>
        </w:rPr>
        <w:endnoteReference w:id="33"/>
      </w:r>
      <w:r>
        <w:rPr>
          <w:rFonts w:ascii="Open Sans" w:hAnsi="Open Sans" w:cs="Open Sans"/>
        </w:rPr>
        <w:t xml:space="preserve"> For</w:t>
      </w:r>
      <w:r w:rsidR="0000579E">
        <w:rPr>
          <w:rFonts w:ascii="Open Sans" w:hAnsi="Open Sans" w:cs="Open Sans"/>
        </w:rPr>
        <w:t> </w:t>
      </w:r>
      <w:r>
        <w:rPr>
          <w:rFonts w:ascii="Open Sans" w:hAnsi="Open Sans" w:cs="Open Sans"/>
        </w:rPr>
        <w:t xml:space="preserve">example, in New South Wales, there is a </w:t>
      </w:r>
      <w:r w:rsidR="00172A3B">
        <w:rPr>
          <w:rFonts w:ascii="Open Sans" w:hAnsi="Open Sans" w:cs="Open Sans"/>
        </w:rPr>
        <w:t>three</w:t>
      </w:r>
      <w:r w:rsidR="00877427">
        <w:rPr>
          <w:rFonts w:ascii="Open Sans" w:hAnsi="Open Sans" w:cs="Open Sans"/>
        </w:rPr>
        <w:t xml:space="preserve"> in </w:t>
      </w:r>
      <w:r w:rsidR="00172A3B">
        <w:rPr>
          <w:rFonts w:ascii="Open Sans" w:hAnsi="Open Sans" w:cs="Open Sans"/>
        </w:rPr>
        <w:t>five</w:t>
      </w:r>
      <w:r>
        <w:rPr>
          <w:rFonts w:ascii="Open Sans" w:hAnsi="Open Sans" w:cs="Open Sans"/>
        </w:rPr>
        <w:t xml:space="preserve"> chance a child born to a 20-year old mother will be known to child protection</w:t>
      </w:r>
      <w:r w:rsidR="00D3797A">
        <w:rPr>
          <w:rFonts w:ascii="Open Sans" w:hAnsi="Open Sans" w:cs="Open Sans"/>
        </w:rPr>
        <w:t xml:space="preserve">, </w:t>
      </w:r>
      <w:r>
        <w:rPr>
          <w:rFonts w:ascii="Open Sans" w:hAnsi="Open Sans" w:cs="Open Sans"/>
        </w:rPr>
        <w:t xml:space="preserve">a one in </w:t>
      </w:r>
      <w:r w:rsidR="00172A3B">
        <w:rPr>
          <w:rFonts w:ascii="Open Sans" w:hAnsi="Open Sans" w:cs="Open Sans"/>
        </w:rPr>
        <w:t>three</w:t>
      </w:r>
      <w:r>
        <w:rPr>
          <w:rFonts w:ascii="Open Sans" w:hAnsi="Open Sans" w:cs="Open Sans"/>
        </w:rPr>
        <w:t xml:space="preserve"> chance they will be reported at risk of</w:t>
      </w:r>
      <w:r w:rsidR="0000579E">
        <w:rPr>
          <w:rFonts w:ascii="Open Sans" w:hAnsi="Open Sans" w:cs="Open Sans"/>
        </w:rPr>
        <w:t> </w:t>
      </w:r>
      <w:r>
        <w:rPr>
          <w:rFonts w:ascii="Open Sans" w:hAnsi="Open Sans" w:cs="Open Sans"/>
        </w:rPr>
        <w:t>significant harm</w:t>
      </w:r>
      <w:r w:rsidR="00D3797A">
        <w:rPr>
          <w:rFonts w:ascii="Open Sans" w:hAnsi="Open Sans" w:cs="Open Sans"/>
        </w:rPr>
        <w:t>,</w:t>
      </w:r>
      <w:r>
        <w:rPr>
          <w:rFonts w:ascii="Open Sans" w:hAnsi="Open Sans" w:cs="Open Sans"/>
        </w:rPr>
        <w:t xml:space="preserve"> and a one in 20 chance of being in out-of-home care. For children born to</w:t>
      </w:r>
      <w:r w:rsidR="0000579E">
        <w:rPr>
          <w:rFonts w:ascii="Open Sans" w:hAnsi="Open Sans" w:cs="Open Sans"/>
        </w:rPr>
        <w:t> </w:t>
      </w:r>
      <w:r>
        <w:rPr>
          <w:rFonts w:ascii="Open Sans" w:hAnsi="Open Sans" w:cs="Open Sans"/>
        </w:rPr>
        <w:t>mothers younger than 20 years of age, the chance is even higher.</w:t>
      </w:r>
      <w:r>
        <w:rPr>
          <w:rStyle w:val="EndnoteReference"/>
          <w:rFonts w:ascii="Open Sans" w:hAnsi="Open Sans" w:cs="Open Sans"/>
        </w:rPr>
        <w:endnoteReference w:id="34"/>
      </w:r>
    </w:p>
    <w:p w14:paraId="0C7023FA" w14:textId="7DAEDCB9" w:rsidR="00B44E93" w:rsidRPr="00354AD2" w:rsidRDefault="00B44E93" w:rsidP="00B44E93">
      <w:pPr>
        <w:rPr>
          <w:b/>
          <w:bCs/>
          <w:iCs/>
        </w:rPr>
      </w:pPr>
      <w:r w:rsidRPr="003F3249">
        <w:rPr>
          <w:rFonts w:ascii="Open Sans" w:hAnsi="Open Sans" w:cs="Open Sans"/>
        </w:rPr>
        <w:t>Young parenthood can further entrench problems and perpetuate a cycle of disadvantage for both the parent and child</w:t>
      </w:r>
      <w:r>
        <w:rPr>
          <w:rFonts w:ascii="Open Sans" w:hAnsi="Open Sans" w:cs="Open Sans"/>
        </w:rPr>
        <w:t>.</w:t>
      </w:r>
      <w:r w:rsidRPr="003F3249">
        <w:rPr>
          <w:rStyle w:val="EndnoteReference"/>
          <w:rFonts w:ascii="Open Sans" w:hAnsi="Open Sans" w:cs="Open Sans"/>
        </w:rPr>
        <w:endnoteReference w:id="35"/>
      </w:r>
      <w:r w:rsidRPr="003F3249">
        <w:rPr>
          <w:rFonts w:ascii="Open Sans" w:hAnsi="Open Sans" w:cs="Open Sans"/>
        </w:rPr>
        <w:t xml:space="preserve"> Supporting young parents in their parenting role has the potential to</w:t>
      </w:r>
      <w:r w:rsidR="0000579E">
        <w:rPr>
          <w:rFonts w:ascii="Open Sans" w:hAnsi="Open Sans" w:cs="Open Sans"/>
        </w:rPr>
        <w:t> </w:t>
      </w:r>
      <w:r w:rsidRPr="003F3249">
        <w:rPr>
          <w:rFonts w:ascii="Open Sans" w:hAnsi="Open Sans" w:cs="Open Sans"/>
        </w:rPr>
        <w:t>break cycles of disadvantage and improve outcomes for them and their children.</w:t>
      </w:r>
      <w:r w:rsidRPr="003F3249">
        <w:rPr>
          <w:rStyle w:val="EndnoteReference"/>
          <w:rFonts w:ascii="Open Sans" w:hAnsi="Open Sans" w:cs="Open Sans"/>
        </w:rPr>
        <w:endnoteReference w:id="36"/>
      </w:r>
    </w:p>
    <w:p w14:paraId="4520EFAF" w14:textId="77777777" w:rsidR="00B44E93" w:rsidRPr="00B30A93" w:rsidRDefault="00B44E93" w:rsidP="00482F04">
      <w:pPr>
        <w:pStyle w:val="Heading4"/>
        <w:keepNext/>
        <w:keepLines/>
        <w:spacing w:after="200"/>
        <w:rPr>
          <w:rFonts w:ascii="Open Sans" w:hAnsi="Open Sans" w:cs="Open Sans"/>
          <w:b w:val="0"/>
          <w:bCs w:val="0"/>
          <w:i/>
          <w:iCs w:val="0"/>
          <w:sz w:val="22"/>
          <w:szCs w:val="20"/>
        </w:rPr>
      </w:pPr>
      <w:r w:rsidRPr="00B30A93">
        <w:rPr>
          <w:rFonts w:ascii="Open Sans" w:hAnsi="Open Sans" w:cs="Open Sans"/>
          <w:b w:val="0"/>
          <w:bCs w:val="0"/>
          <w:i/>
          <w:iCs w:val="0"/>
          <w:sz w:val="22"/>
          <w:szCs w:val="20"/>
        </w:rPr>
        <w:t xml:space="preserve">Families at risk of </w:t>
      </w:r>
      <w:r>
        <w:rPr>
          <w:rFonts w:ascii="Open Sans" w:hAnsi="Open Sans" w:cs="Open Sans"/>
          <w:b w:val="0"/>
          <w:bCs w:val="0"/>
          <w:i/>
          <w:iCs w:val="0"/>
          <w:sz w:val="22"/>
          <w:szCs w:val="20"/>
        </w:rPr>
        <w:t>vulnerability, leading to interaction</w:t>
      </w:r>
      <w:r w:rsidRPr="00B30A93">
        <w:rPr>
          <w:rFonts w:ascii="Open Sans" w:hAnsi="Open Sans" w:cs="Open Sans"/>
          <w:b w:val="0"/>
          <w:bCs w:val="0"/>
          <w:i/>
          <w:iCs w:val="0"/>
          <w:sz w:val="22"/>
          <w:szCs w:val="20"/>
        </w:rPr>
        <w:t xml:space="preserve"> with the child protection system</w:t>
      </w:r>
    </w:p>
    <w:p w14:paraId="1B97D974" w14:textId="77777777" w:rsidR="00B44E93" w:rsidRDefault="00B44E93" w:rsidP="00B44E93">
      <w:pPr>
        <w:rPr>
          <w:rFonts w:ascii="Open Sans" w:hAnsi="Open Sans" w:cs="Open Sans"/>
        </w:rPr>
      </w:pPr>
      <w:r>
        <w:rPr>
          <w:rFonts w:ascii="Open Sans" w:hAnsi="Open Sans" w:cs="Open Sans"/>
        </w:rPr>
        <w:t xml:space="preserve">Some families and children may be at risk of single or multiple factors that increase their vulnerability. For these families and children, addressing problems early </w:t>
      </w:r>
      <w:r w:rsidRPr="00784F08">
        <w:rPr>
          <w:rFonts w:ascii="Open Sans" w:hAnsi="Open Sans" w:cs="Open Sans"/>
        </w:rPr>
        <w:t>can</w:t>
      </w:r>
      <w:r>
        <w:rPr>
          <w:rFonts w:ascii="Open Sans" w:hAnsi="Open Sans" w:cs="Open Sans"/>
        </w:rPr>
        <w:t>…</w:t>
      </w:r>
    </w:p>
    <w:p w14:paraId="2B7DF88E" w14:textId="6EC93761" w:rsidR="00B44E93" w:rsidRPr="007F0846" w:rsidRDefault="00B44E93" w:rsidP="00B44E93">
      <w:pPr>
        <w:ind w:left="720" w:right="1699" w:firstLine="60"/>
        <w:rPr>
          <w:rFonts w:ascii="Open Sans" w:hAnsi="Open Sans" w:cs="Open Sans"/>
          <w:i/>
          <w:iCs/>
        </w:rPr>
      </w:pPr>
      <w:r w:rsidRPr="69026B43">
        <w:rPr>
          <w:rFonts w:ascii="Open Sans" w:hAnsi="Open Sans" w:cs="Open Sans"/>
          <w:i/>
          <w:iCs/>
        </w:rPr>
        <w:t>‘</w:t>
      </w:r>
      <w:r w:rsidR="00D3797A" w:rsidRPr="69026B43">
        <w:rPr>
          <w:rFonts w:ascii="Open Sans" w:hAnsi="Open Sans" w:cs="Open Sans"/>
          <w:i/>
          <w:iCs/>
        </w:rPr>
        <w:t>…</w:t>
      </w:r>
      <w:r w:rsidRPr="69026B43">
        <w:rPr>
          <w:rFonts w:ascii="Open Sans" w:hAnsi="Open Sans" w:cs="Open Sans"/>
          <w:i/>
          <w:iCs/>
        </w:rPr>
        <w:t>reduce the incidence of children and young people suffering the lifelong ill</w:t>
      </w:r>
      <w:r>
        <w:rPr>
          <w:rFonts w:ascii="Open Sans" w:hAnsi="Open Sans" w:cs="Open Sans"/>
          <w:i/>
          <w:iCs/>
        </w:rPr>
        <w:noBreakHyphen/>
      </w:r>
      <w:r w:rsidRPr="69026B43">
        <w:rPr>
          <w:rFonts w:ascii="Open Sans" w:hAnsi="Open Sans" w:cs="Open Sans"/>
          <w:i/>
          <w:iCs/>
        </w:rPr>
        <w:t>effects of issues arising during childhood or reduce the severity of these issues. This then reduces the demand for spending on crisis services and chronic health interventions’.</w:t>
      </w:r>
      <w:r w:rsidRPr="69026B43">
        <w:rPr>
          <w:rStyle w:val="EndnoteReference"/>
          <w:rFonts w:ascii="Open Sans" w:hAnsi="Open Sans" w:cs="Open Sans"/>
          <w:i/>
          <w:iCs/>
        </w:rPr>
        <w:endnoteReference w:id="37"/>
      </w:r>
    </w:p>
    <w:p w14:paraId="1AB52905" w14:textId="6C823C94" w:rsidR="00B44E93" w:rsidRPr="00784F08" w:rsidRDefault="00B44E93" w:rsidP="00B44E93">
      <w:pPr>
        <w:rPr>
          <w:rFonts w:ascii="Open Sans" w:hAnsi="Open Sans" w:cs="Open Sans"/>
        </w:rPr>
      </w:pPr>
      <w:r>
        <w:rPr>
          <w:rFonts w:ascii="Open Sans" w:hAnsi="Open Sans" w:cs="Open Sans"/>
        </w:rPr>
        <w:t>For example, spending on child protection is the largest late intervention expense to</w:t>
      </w:r>
      <w:r w:rsidR="0000579E">
        <w:rPr>
          <w:rFonts w:ascii="Open Sans" w:hAnsi="Open Sans" w:cs="Open Sans"/>
        </w:rPr>
        <w:t> </w:t>
      </w:r>
      <w:r>
        <w:rPr>
          <w:rFonts w:ascii="Open Sans" w:hAnsi="Open Sans" w:cs="Open Sans"/>
        </w:rPr>
        <w:t>government</w:t>
      </w:r>
      <w:r w:rsidR="00D3797A">
        <w:rPr>
          <w:rFonts w:ascii="Open Sans" w:hAnsi="Open Sans" w:cs="Open Sans"/>
        </w:rPr>
        <w:t>s</w:t>
      </w:r>
      <w:r w:rsidR="00877427">
        <w:rPr>
          <w:rFonts w:ascii="Open Sans" w:hAnsi="Open Sans" w:cs="Open Sans"/>
        </w:rPr>
        <w:t>,</w:t>
      </w:r>
      <w:r>
        <w:rPr>
          <w:rFonts w:ascii="Open Sans" w:hAnsi="Open Sans" w:cs="Open Sans"/>
        </w:rPr>
        <w:t xml:space="preserve"> at $10.2 billion in 2024</w:t>
      </w:r>
      <w:r w:rsidR="00877427">
        <w:rPr>
          <w:rFonts w:ascii="Open Sans" w:hAnsi="Open Sans" w:cs="Open Sans"/>
        </w:rPr>
        <w:t xml:space="preserve"> –</w:t>
      </w:r>
      <w:r>
        <w:rPr>
          <w:rFonts w:ascii="Open Sans" w:hAnsi="Open Sans" w:cs="Open Sans"/>
        </w:rPr>
        <w:t xml:space="preserve"> which represents 43% of late intervention spending.</w:t>
      </w:r>
      <w:r>
        <w:rPr>
          <w:rStyle w:val="EndnoteReference"/>
          <w:rFonts w:ascii="Open Sans" w:hAnsi="Open Sans" w:cs="Open Sans"/>
        </w:rPr>
        <w:endnoteReference w:id="38"/>
      </w:r>
      <w:r>
        <w:rPr>
          <w:rFonts w:ascii="Open Sans" w:hAnsi="Open Sans" w:cs="Open Sans"/>
        </w:rPr>
        <w:t xml:space="preserve"> </w:t>
      </w:r>
      <w:r>
        <w:rPr>
          <w:rFonts w:ascii="Open Sans" w:hAnsi="Open Sans" w:cs="Open Sans"/>
        </w:rPr>
        <w:lastRenderedPageBreak/>
        <w:t xml:space="preserve">This cost of late intervention is not just a financial cost for government – it also </w:t>
      </w:r>
      <w:r w:rsidR="00877427">
        <w:rPr>
          <w:rFonts w:ascii="Open Sans" w:hAnsi="Open Sans" w:cs="Open Sans"/>
        </w:rPr>
        <w:t>re</w:t>
      </w:r>
      <w:r>
        <w:rPr>
          <w:rFonts w:ascii="Open Sans" w:hAnsi="Open Sans" w:cs="Open Sans"/>
        </w:rPr>
        <w:t xml:space="preserve">presents significant costs </w:t>
      </w:r>
      <w:r w:rsidR="00877427">
        <w:rPr>
          <w:rFonts w:ascii="Open Sans" w:hAnsi="Open Sans" w:cs="Open Sans"/>
        </w:rPr>
        <w:t xml:space="preserve">in </w:t>
      </w:r>
      <w:r>
        <w:rPr>
          <w:rFonts w:ascii="Open Sans" w:hAnsi="Open Sans" w:cs="Open Sans"/>
        </w:rPr>
        <w:t>lost opportunities for children, young people and society.</w:t>
      </w:r>
      <w:r>
        <w:rPr>
          <w:rStyle w:val="EndnoteReference"/>
          <w:rFonts w:ascii="Open Sans" w:hAnsi="Open Sans" w:cs="Open Sans"/>
        </w:rPr>
        <w:endnoteReference w:id="39"/>
      </w:r>
    </w:p>
    <w:p w14:paraId="165FF89F" w14:textId="6220BDDC" w:rsidR="00C53F84" w:rsidRDefault="009F291F" w:rsidP="00B44E93">
      <w:pPr>
        <w:rPr>
          <w:rFonts w:ascii="Open Sans" w:hAnsi="Open Sans" w:cs="Open Sans"/>
        </w:rPr>
      </w:pPr>
      <w:r>
        <w:rPr>
          <w:rFonts w:ascii="Open Sans" w:hAnsi="Open Sans" w:cs="Open Sans"/>
        </w:rPr>
        <w:t>Intervening early offers the greatest opportunity to improve outcomes for children, young people and families, and to</w:t>
      </w:r>
      <w:r w:rsidR="00684B46">
        <w:rPr>
          <w:rFonts w:ascii="Open Sans" w:hAnsi="Open Sans" w:cs="Open Sans"/>
        </w:rPr>
        <w:t xml:space="preserve"> help</w:t>
      </w:r>
      <w:r>
        <w:rPr>
          <w:rFonts w:ascii="Open Sans" w:hAnsi="Open Sans" w:cs="Open Sans"/>
        </w:rPr>
        <w:t xml:space="preserve"> keep families together where it is safe to do so. It can also reduce the need for child protection involvement and the costs associated with late intervention. </w:t>
      </w:r>
    </w:p>
    <w:p w14:paraId="32F35898" w14:textId="653AA886" w:rsidR="00B44E93" w:rsidRPr="00784F08" w:rsidRDefault="009F291F" w:rsidP="00B44E93">
      <w:r>
        <w:rPr>
          <w:rFonts w:ascii="Open Sans" w:hAnsi="Open Sans" w:cs="Open Sans"/>
        </w:rPr>
        <w:t xml:space="preserve">Early intervention in this context can include: </w:t>
      </w:r>
    </w:p>
    <w:p w14:paraId="3C9A8667" w14:textId="14A7FC62" w:rsidR="00B44E93" w:rsidRPr="000A0A73" w:rsidRDefault="00B44E93" w:rsidP="006B0F16">
      <w:pPr>
        <w:pStyle w:val="ListParagraph"/>
        <w:numPr>
          <w:ilvl w:val="0"/>
          <w:numId w:val="15"/>
        </w:numPr>
        <w:spacing w:before="240" w:line="240" w:lineRule="auto"/>
        <w:contextualSpacing w:val="0"/>
        <w:rPr>
          <w:rFonts w:ascii="Open Sans" w:hAnsi="Open Sans" w:cs="Open Sans"/>
        </w:rPr>
      </w:pPr>
      <w:r w:rsidRPr="000A0A73">
        <w:rPr>
          <w:rFonts w:ascii="Open Sans" w:hAnsi="Open Sans" w:cs="Open Sans"/>
        </w:rPr>
        <w:t>Intervening earlier with children and families experiencing vulnerability</w:t>
      </w:r>
      <w:r w:rsidR="009F291F">
        <w:rPr>
          <w:rFonts w:ascii="Open Sans" w:hAnsi="Open Sans" w:cs="Open Sans"/>
        </w:rPr>
        <w:t>.</w:t>
      </w:r>
    </w:p>
    <w:p w14:paraId="0F22E654" w14:textId="100DF1E9" w:rsidR="00B44E93" w:rsidRDefault="00B44E93" w:rsidP="006B0F16">
      <w:pPr>
        <w:pStyle w:val="ListParagraph"/>
        <w:spacing w:before="240" w:line="240" w:lineRule="auto"/>
        <w:contextualSpacing w:val="0"/>
        <w:rPr>
          <w:rFonts w:ascii="Open Sans" w:hAnsi="Open Sans" w:cs="Open Sans"/>
        </w:rPr>
      </w:pPr>
      <w:r w:rsidRPr="000A0A73">
        <w:rPr>
          <w:rFonts w:ascii="Open Sans" w:hAnsi="Open Sans" w:cs="Open Sans"/>
        </w:rPr>
        <w:t xml:space="preserve">Intensive family programs </w:t>
      </w:r>
      <w:r w:rsidR="00D3797A">
        <w:rPr>
          <w:rFonts w:ascii="Open Sans" w:hAnsi="Open Sans" w:cs="Open Sans"/>
        </w:rPr>
        <w:t xml:space="preserve">when there has been contact </w:t>
      </w:r>
      <w:r>
        <w:rPr>
          <w:rFonts w:ascii="Open Sans" w:hAnsi="Open Sans" w:cs="Open Sans"/>
        </w:rPr>
        <w:t xml:space="preserve">with the child protection system to prevent </w:t>
      </w:r>
      <w:r w:rsidRPr="00354AD2">
        <w:rPr>
          <w:rFonts w:ascii="Open Sans" w:hAnsi="Open Sans" w:cs="Open Sans"/>
        </w:rPr>
        <w:t xml:space="preserve">entry into </w:t>
      </w:r>
      <w:r w:rsidR="00D3797A">
        <w:rPr>
          <w:rFonts w:ascii="Open Sans" w:hAnsi="Open Sans" w:cs="Open Sans"/>
        </w:rPr>
        <w:t xml:space="preserve">statutory </w:t>
      </w:r>
      <w:r w:rsidRPr="00354AD2">
        <w:rPr>
          <w:rFonts w:ascii="Open Sans" w:hAnsi="Open Sans" w:cs="Open Sans"/>
        </w:rPr>
        <w:t>out-of-home care</w:t>
      </w:r>
      <w:r>
        <w:rPr>
          <w:rFonts w:ascii="Open Sans" w:hAnsi="Open Sans" w:cs="Open Sans"/>
        </w:rPr>
        <w:t>.</w:t>
      </w:r>
      <w:r w:rsidRPr="000A0A73">
        <w:rPr>
          <w:rStyle w:val="EndnoteReference"/>
          <w:rFonts w:ascii="Open Sans" w:hAnsi="Open Sans" w:cs="Open Sans"/>
        </w:rPr>
        <w:endnoteReference w:id="40"/>
      </w:r>
    </w:p>
    <w:p w14:paraId="1313ECE6" w14:textId="05D55131" w:rsidR="00FC1FA8" w:rsidRPr="00BE3F8D" w:rsidRDefault="00106AD2" w:rsidP="004337D0">
      <w:pPr>
        <w:rPr>
          <w:rFonts w:ascii="Open Sans" w:hAnsi="Open Sans" w:cs="Open Sans"/>
        </w:rPr>
      </w:pPr>
      <w:r>
        <w:rPr>
          <w:rFonts w:ascii="Open Sans" w:hAnsi="Open Sans" w:cs="Open Sans"/>
        </w:rPr>
        <w:t xml:space="preserve">Under the National Agreement on Closing the Gap, there’s a shared commitment to significantly reduce the number of Aboriginal and Torres Strait Islander children living in out-of-home care. </w:t>
      </w:r>
      <w:r w:rsidR="00FC1FA8">
        <w:rPr>
          <w:rFonts w:ascii="Open Sans" w:hAnsi="Open Sans" w:cs="Open Sans"/>
        </w:rPr>
        <w:t>The</w:t>
      </w:r>
      <w:r>
        <w:rPr>
          <w:rFonts w:ascii="Open Sans" w:hAnsi="Open Sans" w:cs="Open Sans"/>
        </w:rPr>
        <w:t xml:space="preserve"> goal is to cut this number by 45% by the year 2031 (Target 12). Based on current child protection data from 2023-24, this means that by 2031, the number of Aboriginal and Torres Strait Islander children in out-of-home care could need to be roughly half of what it is today. </w:t>
      </w:r>
    </w:p>
    <w:p w14:paraId="6D0ED210" w14:textId="77777777" w:rsidR="00B44E93" w:rsidRDefault="00B44E93" w:rsidP="00482F04">
      <w:pPr>
        <w:pStyle w:val="Heading4"/>
        <w:keepNext/>
        <w:keepLines/>
        <w:spacing w:after="200" w:line="240" w:lineRule="auto"/>
        <w:rPr>
          <w:rFonts w:ascii="Open Sans" w:hAnsi="Open Sans" w:cs="Open Sans"/>
        </w:rPr>
      </w:pPr>
      <w:r w:rsidRPr="004E094B">
        <w:rPr>
          <w:rFonts w:ascii="Open Sans" w:hAnsi="Open Sans" w:cs="Open Sans"/>
        </w:rPr>
        <w:t xml:space="preserve">Connected, co-located </w:t>
      </w:r>
      <w:r>
        <w:rPr>
          <w:rFonts w:ascii="Open Sans" w:hAnsi="Open Sans" w:cs="Open Sans"/>
        </w:rPr>
        <w:t>and</w:t>
      </w:r>
      <w:r w:rsidRPr="004E094B">
        <w:rPr>
          <w:rFonts w:ascii="Open Sans" w:hAnsi="Open Sans" w:cs="Open Sans"/>
        </w:rPr>
        <w:t xml:space="preserve"> integrated services </w:t>
      </w:r>
    </w:p>
    <w:p w14:paraId="74EA0410" w14:textId="412BD3FB" w:rsidR="00B44E93" w:rsidRDefault="00B44E93" w:rsidP="69026B43">
      <w:pPr>
        <w:keepNext/>
        <w:keepLines/>
        <w:rPr>
          <w:rStyle w:val="EndnoteReference"/>
          <w:rFonts w:ascii="Open Sans" w:hAnsi="Open Sans" w:cs="Open Sans"/>
        </w:rPr>
      </w:pPr>
      <w:r w:rsidRPr="00996504">
        <w:rPr>
          <w:rFonts w:ascii="Open Sans" w:hAnsi="Open Sans" w:cs="Open Sans"/>
        </w:rPr>
        <w:t>The Early Years Strategy 2024-2034 recognises th</w:t>
      </w:r>
      <w:r w:rsidR="00D3797A">
        <w:rPr>
          <w:rFonts w:ascii="Open Sans" w:hAnsi="Open Sans" w:cs="Open Sans"/>
        </w:rPr>
        <w:t xml:space="preserve">at </w:t>
      </w:r>
      <w:r w:rsidRPr="00996504">
        <w:rPr>
          <w:rFonts w:ascii="Open Sans" w:hAnsi="Open Sans" w:cs="Open Sans"/>
        </w:rPr>
        <w:t>service system</w:t>
      </w:r>
      <w:r w:rsidR="00D3797A">
        <w:rPr>
          <w:rFonts w:ascii="Open Sans" w:hAnsi="Open Sans" w:cs="Open Sans"/>
        </w:rPr>
        <w:t xml:space="preserve"> complexity can be a barrier to</w:t>
      </w:r>
      <w:r w:rsidR="0000579E">
        <w:rPr>
          <w:rFonts w:ascii="Open Sans" w:hAnsi="Open Sans" w:cs="Open Sans"/>
        </w:rPr>
        <w:t> </w:t>
      </w:r>
      <w:r w:rsidR="00D3797A">
        <w:rPr>
          <w:rFonts w:ascii="Open Sans" w:hAnsi="Open Sans" w:cs="Open Sans"/>
        </w:rPr>
        <w:t>support</w:t>
      </w:r>
      <w:r w:rsidRPr="00996504">
        <w:rPr>
          <w:rFonts w:ascii="Open Sans" w:hAnsi="Open Sans" w:cs="Open Sans"/>
        </w:rPr>
        <w:t xml:space="preserve"> for families and children</w:t>
      </w:r>
      <w:r w:rsidR="00D3797A">
        <w:rPr>
          <w:rFonts w:ascii="Open Sans" w:hAnsi="Open Sans" w:cs="Open Sans"/>
        </w:rPr>
        <w:t>.</w:t>
      </w:r>
      <w:r w:rsidRPr="00996504">
        <w:rPr>
          <w:rStyle w:val="EndnoteReference"/>
          <w:rFonts w:ascii="Open Sans" w:hAnsi="Open Sans" w:cs="Open Sans"/>
        </w:rPr>
        <w:endnoteReference w:id="41"/>
      </w:r>
      <w:r w:rsidRPr="00996504">
        <w:rPr>
          <w:rFonts w:ascii="Open Sans" w:hAnsi="Open Sans" w:cs="Open Sans"/>
        </w:rPr>
        <w:t xml:space="preserve"> It notes that great services </w:t>
      </w:r>
      <w:r>
        <w:rPr>
          <w:rFonts w:ascii="Open Sans" w:hAnsi="Open Sans" w:cs="Open Sans"/>
        </w:rPr>
        <w:t>can be</w:t>
      </w:r>
      <w:r w:rsidRPr="00996504">
        <w:rPr>
          <w:rFonts w:ascii="Open Sans" w:hAnsi="Open Sans" w:cs="Open Sans"/>
        </w:rPr>
        <w:t xml:space="preserve"> available, but they do</w:t>
      </w:r>
      <w:r w:rsidR="0000579E">
        <w:rPr>
          <w:rFonts w:ascii="Open Sans" w:hAnsi="Open Sans" w:cs="Open Sans"/>
        </w:rPr>
        <w:t> </w:t>
      </w:r>
      <w:r w:rsidRPr="00996504">
        <w:rPr>
          <w:rFonts w:ascii="Open Sans" w:hAnsi="Open Sans" w:cs="Open Sans"/>
        </w:rPr>
        <w:t>not always work together, meaning some families may fall through the cracks.</w:t>
      </w:r>
      <w:r w:rsidRPr="00996504">
        <w:rPr>
          <w:rStyle w:val="EndnoteReference"/>
          <w:rFonts w:ascii="Open Sans" w:hAnsi="Open Sans" w:cs="Open Sans"/>
        </w:rPr>
        <w:endnoteReference w:id="42"/>
      </w:r>
      <w:r w:rsidR="003B5A0B">
        <w:rPr>
          <w:rFonts w:ascii="Open Sans" w:hAnsi="Open Sans" w:cs="Open Sans"/>
        </w:rPr>
        <w:t xml:space="preserve"> </w:t>
      </w:r>
      <w:r>
        <w:rPr>
          <w:rFonts w:ascii="Open Sans" w:hAnsi="Open Sans" w:cs="Open Sans"/>
        </w:rPr>
        <w:t xml:space="preserve">Services continue to be compartmentalised and </w:t>
      </w:r>
      <w:r w:rsidR="00877427">
        <w:rPr>
          <w:rFonts w:ascii="Open Sans" w:hAnsi="Open Sans" w:cs="Open Sans"/>
        </w:rPr>
        <w:t>cannot</w:t>
      </w:r>
      <w:r>
        <w:rPr>
          <w:rFonts w:ascii="Open Sans" w:hAnsi="Open Sans" w:cs="Open Sans"/>
        </w:rPr>
        <w:t xml:space="preserve"> respond to the needs of families and children in</w:t>
      </w:r>
      <w:r w:rsidR="0000579E">
        <w:rPr>
          <w:rFonts w:ascii="Open Sans" w:hAnsi="Open Sans" w:cs="Open Sans"/>
        </w:rPr>
        <w:t> </w:t>
      </w:r>
      <w:r>
        <w:rPr>
          <w:rFonts w:ascii="Open Sans" w:hAnsi="Open Sans" w:cs="Open Sans"/>
        </w:rPr>
        <w:t>a</w:t>
      </w:r>
      <w:r w:rsidR="0000579E">
        <w:rPr>
          <w:rFonts w:ascii="Open Sans" w:hAnsi="Open Sans" w:cs="Open Sans"/>
        </w:rPr>
        <w:t> </w:t>
      </w:r>
      <w:r>
        <w:rPr>
          <w:rFonts w:ascii="Open Sans" w:hAnsi="Open Sans" w:cs="Open Sans"/>
        </w:rPr>
        <w:t>holistic and integrated way.</w:t>
      </w:r>
      <w:r>
        <w:rPr>
          <w:rStyle w:val="EndnoteReference"/>
          <w:rFonts w:ascii="Open Sans" w:hAnsi="Open Sans" w:cs="Open Sans"/>
        </w:rPr>
        <w:endnoteReference w:id="43"/>
      </w:r>
      <w:r w:rsidR="4DD38195" w:rsidRPr="69026B43">
        <w:rPr>
          <w:rStyle w:val="EndnoteReference"/>
          <w:rFonts w:ascii="Open Sans" w:hAnsi="Open Sans" w:cs="Open Sans"/>
        </w:rPr>
        <w:t xml:space="preserve"> </w:t>
      </w:r>
    </w:p>
    <w:p w14:paraId="50AADE83" w14:textId="6D172F79" w:rsidR="00B44E93" w:rsidRDefault="00877427" w:rsidP="00B44E93">
      <w:pPr>
        <w:rPr>
          <w:rFonts w:ascii="Open Sans" w:hAnsi="Open Sans" w:cs="Open Sans"/>
        </w:rPr>
      </w:pPr>
      <w:r>
        <w:rPr>
          <w:rFonts w:ascii="Open Sans" w:hAnsi="Open Sans" w:cs="Open Sans"/>
        </w:rPr>
        <w:t>I</w:t>
      </w:r>
      <w:r w:rsidR="00B44E93">
        <w:rPr>
          <w:rFonts w:ascii="Open Sans" w:hAnsi="Open Sans" w:cs="Open Sans"/>
        </w:rPr>
        <w:t xml:space="preserve">ntegrated care </w:t>
      </w:r>
      <w:r w:rsidR="00786D7C">
        <w:rPr>
          <w:rFonts w:ascii="Open Sans" w:hAnsi="Open Sans" w:cs="Open Sans"/>
        </w:rPr>
        <w:t>can lead to better outcomes for children, families and service delivery</w:t>
      </w:r>
      <w:r w:rsidR="00B44E93">
        <w:rPr>
          <w:rFonts w:ascii="Open Sans" w:hAnsi="Open Sans" w:cs="Open Sans"/>
        </w:rPr>
        <w:t xml:space="preserve">. This includes: </w:t>
      </w:r>
    </w:p>
    <w:p w14:paraId="46271571" w14:textId="2D852D12" w:rsidR="00B44E93" w:rsidRDefault="00B44E93" w:rsidP="006B0F16">
      <w:pPr>
        <w:pStyle w:val="ListParagraph"/>
        <w:spacing w:before="240" w:line="240" w:lineRule="auto"/>
        <w:contextualSpacing w:val="0"/>
        <w:rPr>
          <w:rFonts w:ascii="Open Sans" w:hAnsi="Open Sans" w:cs="Open Sans"/>
        </w:rPr>
      </w:pPr>
      <w:r>
        <w:rPr>
          <w:rFonts w:ascii="Open Sans" w:hAnsi="Open Sans" w:cs="Open Sans"/>
        </w:rPr>
        <w:t>Improved school readiness</w:t>
      </w:r>
      <w:r w:rsidR="00E259C0">
        <w:rPr>
          <w:rFonts w:ascii="Open Sans" w:hAnsi="Open Sans" w:cs="Open Sans"/>
        </w:rPr>
        <w:t>,</w:t>
      </w:r>
      <w:r>
        <w:rPr>
          <w:rFonts w:ascii="Open Sans" w:hAnsi="Open Sans" w:cs="Open Sans"/>
        </w:rPr>
        <w:t xml:space="preserve"> and parental knowledge and confidence from integrated early childhood services</w:t>
      </w:r>
      <w:r w:rsidR="00786D7C">
        <w:rPr>
          <w:rFonts w:ascii="Open Sans" w:hAnsi="Open Sans" w:cs="Open Sans"/>
        </w:rPr>
        <w:t>.</w:t>
      </w:r>
      <w:r>
        <w:rPr>
          <w:rStyle w:val="EndnoteReference"/>
          <w:rFonts w:ascii="Open Sans" w:hAnsi="Open Sans" w:cs="Open Sans"/>
        </w:rPr>
        <w:endnoteReference w:id="44"/>
      </w:r>
    </w:p>
    <w:p w14:paraId="646E5F53" w14:textId="691EC59B" w:rsidR="00B44E93" w:rsidRDefault="00B44E93" w:rsidP="006B0F16">
      <w:pPr>
        <w:pStyle w:val="ListParagraph"/>
        <w:spacing w:before="240" w:line="240" w:lineRule="auto"/>
        <w:contextualSpacing w:val="0"/>
        <w:rPr>
          <w:rFonts w:ascii="Open Sans" w:hAnsi="Open Sans" w:cs="Open Sans"/>
        </w:rPr>
      </w:pPr>
      <w:r>
        <w:rPr>
          <w:rFonts w:ascii="Open Sans" w:hAnsi="Open Sans" w:cs="Open Sans"/>
        </w:rPr>
        <w:t>Improved child academic outcomes for children attending co-located and integrated early years and primary school settings</w:t>
      </w:r>
      <w:r w:rsidR="00786D7C">
        <w:rPr>
          <w:rFonts w:ascii="Open Sans" w:hAnsi="Open Sans" w:cs="Open Sans"/>
        </w:rPr>
        <w:t>.</w:t>
      </w:r>
      <w:r>
        <w:rPr>
          <w:rStyle w:val="EndnoteReference"/>
          <w:rFonts w:ascii="Open Sans" w:hAnsi="Open Sans" w:cs="Open Sans"/>
        </w:rPr>
        <w:endnoteReference w:id="45"/>
      </w:r>
    </w:p>
    <w:p w14:paraId="794BD3BB" w14:textId="10D05923" w:rsidR="00B44E93" w:rsidRDefault="00B44E93" w:rsidP="006B0F16">
      <w:pPr>
        <w:pStyle w:val="ListParagraph"/>
        <w:spacing w:before="240" w:line="240" w:lineRule="auto"/>
        <w:contextualSpacing w:val="0"/>
        <w:rPr>
          <w:rFonts w:ascii="Open Sans" w:hAnsi="Open Sans" w:cs="Open Sans"/>
        </w:rPr>
      </w:pPr>
      <w:r>
        <w:rPr>
          <w:rFonts w:ascii="Open Sans" w:hAnsi="Open Sans" w:cs="Open Sans"/>
        </w:rPr>
        <w:t xml:space="preserve">Improved identification of developmental vulnerability and increased access to care for families who might not otherwise engage </w:t>
      </w:r>
      <w:r w:rsidR="00E259C0">
        <w:rPr>
          <w:rFonts w:ascii="Open Sans" w:hAnsi="Open Sans" w:cs="Open Sans"/>
        </w:rPr>
        <w:t xml:space="preserve">with </w:t>
      </w:r>
      <w:r>
        <w:rPr>
          <w:rFonts w:ascii="Open Sans" w:hAnsi="Open Sans" w:cs="Open Sans"/>
        </w:rPr>
        <w:t>these services</w:t>
      </w:r>
      <w:r w:rsidR="00E259C0">
        <w:rPr>
          <w:rFonts w:ascii="Open Sans" w:hAnsi="Open Sans" w:cs="Open Sans"/>
        </w:rPr>
        <w:t>,</w:t>
      </w:r>
      <w:r>
        <w:rPr>
          <w:rFonts w:ascii="Open Sans" w:hAnsi="Open Sans" w:cs="Open Sans"/>
        </w:rPr>
        <w:t xml:space="preserve"> through integrated community-based hubs.</w:t>
      </w:r>
      <w:r>
        <w:rPr>
          <w:rStyle w:val="EndnoteReference"/>
          <w:rFonts w:ascii="Open Sans" w:hAnsi="Open Sans" w:cs="Open Sans"/>
        </w:rPr>
        <w:endnoteReference w:id="46"/>
      </w:r>
    </w:p>
    <w:p w14:paraId="10887FD4" w14:textId="77777777" w:rsidR="006B0F16" w:rsidRDefault="006B0F16">
      <w:pPr>
        <w:spacing w:after="240"/>
        <w:rPr>
          <w:rFonts w:ascii="Open Sans" w:hAnsi="Open Sans" w:cs="Open Sans"/>
        </w:rPr>
      </w:pPr>
      <w:r>
        <w:rPr>
          <w:rFonts w:ascii="Open Sans" w:hAnsi="Open Sans" w:cs="Open Sans"/>
        </w:rPr>
        <w:br w:type="page"/>
      </w:r>
    </w:p>
    <w:p w14:paraId="6D06B24E" w14:textId="28FD17D8" w:rsidR="00B44E93" w:rsidRDefault="00B44E93" w:rsidP="00B44E93">
      <w:pPr>
        <w:rPr>
          <w:rFonts w:ascii="Open Sans" w:hAnsi="Open Sans" w:cs="Open Sans"/>
        </w:rPr>
      </w:pPr>
      <w:r>
        <w:rPr>
          <w:rFonts w:ascii="Open Sans" w:hAnsi="Open Sans" w:cs="Open Sans"/>
        </w:rPr>
        <w:lastRenderedPageBreak/>
        <w:t xml:space="preserve">There are different ways to achieve integration. One way is through co-location, which involves physically placing </w:t>
      </w:r>
      <w:r w:rsidR="00786D7C">
        <w:rPr>
          <w:rFonts w:ascii="Open Sans" w:hAnsi="Open Sans" w:cs="Open Sans"/>
        </w:rPr>
        <w:t>two</w:t>
      </w:r>
      <w:r>
        <w:rPr>
          <w:rFonts w:ascii="Open Sans" w:hAnsi="Open Sans" w:cs="Open Sans"/>
        </w:rPr>
        <w:t xml:space="preserve"> or more services </w:t>
      </w:r>
      <w:r w:rsidR="00D3797A">
        <w:rPr>
          <w:rFonts w:ascii="Open Sans" w:hAnsi="Open Sans" w:cs="Open Sans"/>
        </w:rPr>
        <w:t>on the same site</w:t>
      </w:r>
      <w:r>
        <w:rPr>
          <w:rFonts w:ascii="Open Sans" w:hAnsi="Open Sans" w:cs="Open Sans"/>
        </w:rPr>
        <w:t xml:space="preserve">. </w:t>
      </w:r>
      <w:r w:rsidR="78A9FAB5">
        <w:rPr>
          <w:rFonts w:ascii="Open Sans" w:hAnsi="Open Sans" w:cs="Open Sans"/>
        </w:rPr>
        <w:t>This</w:t>
      </w:r>
      <w:r>
        <w:rPr>
          <w:rFonts w:ascii="Open Sans" w:hAnsi="Open Sans" w:cs="Open Sans"/>
        </w:rPr>
        <w:t xml:space="preserve"> can </w:t>
      </w:r>
      <w:r w:rsidR="5A5F930E">
        <w:rPr>
          <w:rFonts w:ascii="Open Sans" w:hAnsi="Open Sans" w:cs="Open Sans"/>
        </w:rPr>
        <w:t>lower</w:t>
      </w:r>
      <w:r>
        <w:rPr>
          <w:rFonts w:ascii="Open Sans" w:hAnsi="Open Sans" w:cs="Open Sans"/>
        </w:rPr>
        <w:t xml:space="preserve"> capital, operating and marginal costs and improv</w:t>
      </w:r>
      <w:r w:rsidR="560047A6">
        <w:rPr>
          <w:rFonts w:ascii="Open Sans" w:hAnsi="Open Sans" w:cs="Open Sans"/>
        </w:rPr>
        <w:t>e</w:t>
      </w:r>
      <w:r>
        <w:rPr>
          <w:rFonts w:ascii="Open Sans" w:hAnsi="Open Sans" w:cs="Open Sans"/>
        </w:rPr>
        <w:t xml:space="preserve"> the quality of infrastructure.</w:t>
      </w:r>
      <w:r>
        <w:rPr>
          <w:rStyle w:val="EndnoteReference"/>
          <w:rFonts w:ascii="Open Sans" w:hAnsi="Open Sans" w:cs="Open Sans"/>
        </w:rPr>
        <w:endnoteReference w:id="47"/>
      </w:r>
      <w:r>
        <w:rPr>
          <w:rFonts w:ascii="Open Sans" w:hAnsi="Open Sans" w:cs="Open Sans"/>
        </w:rPr>
        <w:t xml:space="preserve"> There are also benefits for families and childre</w:t>
      </w:r>
      <w:r w:rsidR="00A371A4">
        <w:rPr>
          <w:rFonts w:ascii="Open Sans" w:hAnsi="Open Sans" w:cs="Open Sans"/>
        </w:rPr>
        <w:t>n</w:t>
      </w:r>
      <w:r w:rsidR="00E259C0">
        <w:rPr>
          <w:rFonts w:ascii="Open Sans" w:hAnsi="Open Sans" w:cs="Open Sans"/>
        </w:rPr>
        <w:t>,</w:t>
      </w:r>
      <w:r>
        <w:rPr>
          <w:rFonts w:ascii="Open Sans" w:hAnsi="Open Sans" w:cs="Open Sans"/>
        </w:rPr>
        <w:t xml:space="preserve"> including reduced travel time, added convenience</w:t>
      </w:r>
      <w:r w:rsidR="00B55BFF">
        <w:rPr>
          <w:rFonts w:ascii="Open Sans" w:hAnsi="Open Sans" w:cs="Open Sans"/>
        </w:rPr>
        <w:t xml:space="preserve"> and</w:t>
      </w:r>
      <w:r>
        <w:rPr>
          <w:rFonts w:ascii="Open Sans" w:hAnsi="Open Sans" w:cs="Open Sans"/>
        </w:rPr>
        <w:t xml:space="preserve"> improved transitions between services and through different life stages, such as from preschool to primary school.</w:t>
      </w:r>
      <w:r>
        <w:rPr>
          <w:rStyle w:val="EndnoteReference"/>
          <w:rFonts w:ascii="Open Sans" w:hAnsi="Open Sans" w:cs="Open Sans"/>
        </w:rPr>
        <w:endnoteReference w:id="48"/>
      </w:r>
    </w:p>
    <w:p w14:paraId="72FCDEE2" w14:textId="77777777" w:rsidR="00B44E93" w:rsidRDefault="00B44E93" w:rsidP="00482F04">
      <w:pPr>
        <w:pStyle w:val="Heading4"/>
        <w:keepNext/>
        <w:keepLines/>
        <w:spacing w:after="200" w:line="240" w:lineRule="auto"/>
        <w:rPr>
          <w:rFonts w:ascii="Open Sans" w:hAnsi="Open Sans" w:cs="Open Sans"/>
        </w:rPr>
      </w:pPr>
      <w:r w:rsidRPr="0001787D">
        <w:rPr>
          <w:rFonts w:ascii="Open Sans" w:hAnsi="Open Sans" w:cs="Open Sans"/>
        </w:rPr>
        <w:t>Services informed by and responding to community need</w:t>
      </w:r>
    </w:p>
    <w:p w14:paraId="69FF7325" w14:textId="336AF742" w:rsidR="00B44E93" w:rsidRDefault="00B44E93" w:rsidP="00482F04">
      <w:pPr>
        <w:keepNext/>
        <w:keepLines/>
        <w:rPr>
          <w:rFonts w:ascii="Open Sans" w:hAnsi="Open Sans" w:cs="Open Sans"/>
        </w:rPr>
      </w:pPr>
      <w:r>
        <w:rPr>
          <w:rFonts w:ascii="Open Sans" w:hAnsi="Open Sans" w:cs="Open Sans"/>
        </w:rPr>
        <w:t>People living in more disadvantaged communities have poorer outcomes across almost every social indicator</w:t>
      </w:r>
      <w:r w:rsidR="0000579E">
        <w:rPr>
          <w:rFonts w:ascii="Open Sans" w:hAnsi="Open Sans" w:cs="Open Sans"/>
        </w:rPr>
        <w:t>,</w:t>
      </w:r>
      <w:r>
        <w:rPr>
          <w:rStyle w:val="EndnoteReference"/>
          <w:rFonts w:ascii="Open Sans" w:hAnsi="Open Sans" w:cs="Open Sans"/>
        </w:rPr>
        <w:endnoteReference w:id="49"/>
      </w:r>
      <w:r w:rsidR="7EE547A6">
        <w:rPr>
          <w:rFonts w:ascii="Open Sans" w:hAnsi="Open Sans" w:cs="Open Sans"/>
        </w:rPr>
        <w:t xml:space="preserve"> including </w:t>
      </w:r>
      <w:r>
        <w:rPr>
          <w:rFonts w:ascii="Open Sans" w:hAnsi="Open Sans" w:cs="Open Sans"/>
        </w:rPr>
        <w:t>developmenta</w:t>
      </w:r>
      <w:r w:rsidR="1C5ABBA0">
        <w:rPr>
          <w:rFonts w:ascii="Open Sans" w:hAnsi="Open Sans" w:cs="Open Sans"/>
        </w:rPr>
        <w:t>l</w:t>
      </w:r>
      <w:r>
        <w:rPr>
          <w:rFonts w:ascii="Open Sans" w:hAnsi="Open Sans" w:cs="Open Sans"/>
        </w:rPr>
        <w:t xml:space="preserve"> </w:t>
      </w:r>
      <w:r w:rsidR="00B22702">
        <w:rPr>
          <w:rFonts w:ascii="Open Sans" w:hAnsi="Open Sans" w:cs="Open Sans"/>
        </w:rPr>
        <w:t>vulnerability</w:t>
      </w:r>
      <w:r>
        <w:rPr>
          <w:rFonts w:ascii="Open Sans" w:hAnsi="Open Sans" w:cs="Open Sans"/>
        </w:rPr>
        <w:t>.</w:t>
      </w:r>
      <w:r>
        <w:rPr>
          <w:rStyle w:val="EndnoteReference"/>
          <w:rFonts w:ascii="Open Sans" w:hAnsi="Open Sans" w:cs="Open Sans"/>
        </w:rPr>
        <w:endnoteReference w:id="50"/>
      </w:r>
      <w:r>
        <w:rPr>
          <w:rFonts w:ascii="Open Sans" w:hAnsi="Open Sans" w:cs="Open Sans"/>
        </w:rPr>
        <w:t xml:space="preserve"> </w:t>
      </w:r>
    </w:p>
    <w:p w14:paraId="07F133C7" w14:textId="441AD7D8" w:rsidR="00B44E93" w:rsidRDefault="4297A921" w:rsidP="00482F04">
      <w:pPr>
        <w:keepNext/>
        <w:keepLines/>
        <w:rPr>
          <w:rFonts w:ascii="Open Sans" w:hAnsi="Open Sans" w:cs="Open Sans"/>
        </w:rPr>
      </w:pPr>
      <w:r>
        <w:rPr>
          <w:rFonts w:ascii="Open Sans" w:hAnsi="Open Sans" w:cs="Open Sans"/>
        </w:rPr>
        <w:t>Co</w:t>
      </w:r>
      <w:r w:rsidR="00B44E93">
        <w:rPr>
          <w:rFonts w:ascii="Open Sans" w:hAnsi="Open Sans" w:cs="Open Sans"/>
        </w:rPr>
        <w:t>mplex and entrenched disadvantage is experienced by a small but persistent number of</w:t>
      </w:r>
      <w:r w:rsidR="0000579E">
        <w:rPr>
          <w:rFonts w:ascii="Open Sans" w:hAnsi="Open Sans" w:cs="Open Sans"/>
        </w:rPr>
        <w:t> </w:t>
      </w:r>
      <w:r w:rsidR="00B44E93">
        <w:rPr>
          <w:rFonts w:ascii="Open Sans" w:hAnsi="Open Sans" w:cs="Open Sans"/>
        </w:rPr>
        <w:t>locations in each state and territory across Australia.</w:t>
      </w:r>
      <w:r w:rsidR="00B44E93">
        <w:rPr>
          <w:rStyle w:val="EndnoteReference"/>
          <w:rFonts w:ascii="Open Sans" w:hAnsi="Open Sans" w:cs="Open Sans"/>
        </w:rPr>
        <w:endnoteReference w:id="51"/>
      </w:r>
      <w:r w:rsidR="00B44E93">
        <w:rPr>
          <w:rFonts w:ascii="Open Sans" w:hAnsi="Open Sans" w:cs="Open Sans"/>
        </w:rPr>
        <w:t xml:space="preserve"> There are 235 communities in Australia that, together, </w:t>
      </w:r>
      <w:r w:rsidR="00D3797A">
        <w:rPr>
          <w:rFonts w:ascii="Open Sans" w:hAnsi="Open Sans" w:cs="Open Sans"/>
        </w:rPr>
        <w:t xml:space="preserve">comprise </w:t>
      </w:r>
      <w:r w:rsidR="00B44E93">
        <w:rPr>
          <w:rFonts w:ascii="Open Sans" w:hAnsi="Open Sans" w:cs="Open Sans"/>
        </w:rPr>
        <w:t>the top 10 per cent of disadvantage. Of those communities, 65 are estimated to be home to over half of Australians living in the most disadvantaged locations.</w:t>
      </w:r>
      <w:r w:rsidR="00B44E93">
        <w:rPr>
          <w:rStyle w:val="EndnoteReference"/>
          <w:rFonts w:ascii="Open Sans" w:hAnsi="Open Sans" w:cs="Open Sans"/>
        </w:rPr>
        <w:endnoteReference w:id="52"/>
      </w:r>
      <w:r w:rsidR="00B44E93">
        <w:rPr>
          <w:rFonts w:ascii="Open Sans" w:hAnsi="Open Sans" w:cs="Open Sans"/>
        </w:rPr>
        <w:t xml:space="preserve"> </w:t>
      </w:r>
      <w:r w:rsidR="00EF27D7">
        <w:rPr>
          <w:rFonts w:ascii="Open Sans" w:hAnsi="Open Sans" w:cs="Open Sans"/>
        </w:rPr>
        <w:t xml:space="preserve">These communities are diverse, and the factors driving disadvantage can vary widely. </w:t>
      </w:r>
    </w:p>
    <w:p w14:paraId="4B5C0AE5" w14:textId="5D530F3F" w:rsidR="00B44E93" w:rsidRDefault="00B44E93" w:rsidP="00B44E93">
      <w:pPr>
        <w:rPr>
          <w:rFonts w:ascii="Open Sans" w:hAnsi="Open Sans" w:cs="Open Sans"/>
        </w:rPr>
      </w:pPr>
      <w:r>
        <w:rPr>
          <w:rFonts w:ascii="Open Sans" w:hAnsi="Open Sans" w:cs="Open Sans"/>
        </w:rPr>
        <w:t xml:space="preserve">While establishing the effectiveness of place-based initiatives can be challenging due to the </w:t>
      </w:r>
      <w:r w:rsidR="18E81F41">
        <w:rPr>
          <w:rFonts w:ascii="Open Sans" w:hAnsi="Open Sans" w:cs="Open Sans"/>
        </w:rPr>
        <w:t xml:space="preserve">shortage of </w:t>
      </w:r>
      <w:r w:rsidR="00826D13">
        <w:rPr>
          <w:rFonts w:ascii="Open Sans" w:hAnsi="Open Sans" w:cs="Open Sans"/>
        </w:rPr>
        <w:t>rigorous outcome</w:t>
      </w:r>
      <w:r>
        <w:rPr>
          <w:rFonts w:ascii="Open Sans" w:hAnsi="Open Sans" w:cs="Open Sans"/>
        </w:rPr>
        <w:t xml:space="preserve"> evaluations</w:t>
      </w:r>
      <w:r w:rsidR="00D3797A">
        <w:rPr>
          <w:rFonts w:ascii="Open Sans" w:hAnsi="Open Sans" w:cs="Open Sans"/>
        </w:rPr>
        <w:t>,</w:t>
      </w:r>
      <w:r>
        <w:rPr>
          <w:rStyle w:val="EndnoteReference"/>
          <w:rFonts w:ascii="Open Sans" w:hAnsi="Open Sans" w:cs="Open Sans"/>
        </w:rPr>
        <w:endnoteReference w:id="53"/>
      </w:r>
      <w:r>
        <w:rPr>
          <w:rFonts w:ascii="Open Sans" w:hAnsi="Open Sans" w:cs="Open Sans"/>
        </w:rPr>
        <w:t xml:space="preserve"> some elements of successful place-based interventions</w:t>
      </w:r>
      <w:r w:rsidR="00D3797A">
        <w:rPr>
          <w:rFonts w:ascii="Open Sans" w:hAnsi="Open Sans" w:cs="Open Sans"/>
        </w:rPr>
        <w:t xml:space="preserve"> have been identified</w:t>
      </w:r>
      <w:r>
        <w:rPr>
          <w:rFonts w:ascii="Open Sans" w:hAnsi="Open Sans" w:cs="Open Sans"/>
        </w:rPr>
        <w:t>.</w:t>
      </w:r>
      <w:r>
        <w:rPr>
          <w:rStyle w:val="EndnoteReference"/>
          <w:rFonts w:ascii="Open Sans" w:hAnsi="Open Sans" w:cs="Open Sans"/>
        </w:rPr>
        <w:endnoteReference w:id="54"/>
      </w:r>
      <w:r>
        <w:rPr>
          <w:rFonts w:ascii="Open Sans" w:hAnsi="Open Sans" w:cs="Open Sans"/>
        </w:rPr>
        <w:t xml:space="preserve"> These include:</w:t>
      </w:r>
    </w:p>
    <w:p w14:paraId="251AD679" w14:textId="63397427" w:rsidR="00B44E93" w:rsidRDefault="00134249" w:rsidP="006B0F16">
      <w:pPr>
        <w:pStyle w:val="ListParagraph"/>
        <w:numPr>
          <w:ilvl w:val="0"/>
          <w:numId w:val="15"/>
        </w:numPr>
        <w:spacing w:before="240" w:line="240" w:lineRule="auto"/>
        <w:contextualSpacing w:val="0"/>
        <w:rPr>
          <w:rFonts w:ascii="Open Sans" w:hAnsi="Open Sans" w:cs="Open Sans"/>
        </w:rPr>
      </w:pPr>
      <w:r>
        <w:rPr>
          <w:rFonts w:ascii="Open Sans" w:hAnsi="Open Sans" w:cs="Open Sans"/>
        </w:rPr>
        <w:t>Community involvement in the program, including having a say in decisions – such as</w:t>
      </w:r>
      <w:r w:rsidR="0000579E">
        <w:rPr>
          <w:rFonts w:ascii="Open Sans" w:hAnsi="Open Sans" w:cs="Open Sans"/>
        </w:rPr>
        <w:t> </w:t>
      </w:r>
      <w:r>
        <w:rPr>
          <w:rFonts w:ascii="Open Sans" w:hAnsi="Open Sans" w:cs="Open Sans"/>
        </w:rPr>
        <w:t xml:space="preserve">through community boards. </w:t>
      </w:r>
    </w:p>
    <w:p w14:paraId="11A2AD49" w14:textId="7424CCC2" w:rsidR="00B44E93" w:rsidRDefault="00B44E93" w:rsidP="006B0F16">
      <w:pPr>
        <w:pStyle w:val="ListParagraph"/>
        <w:numPr>
          <w:ilvl w:val="0"/>
          <w:numId w:val="15"/>
        </w:numPr>
        <w:spacing w:before="240" w:line="240" w:lineRule="auto"/>
        <w:contextualSpacing w:val="0"/>
        <w:rPr>
          <w:rFonts w:ascii="Open Sans" w:hAnsi="Open Sans" w:cs="Open Sans"/>
        </w:rPr>
      </w:pPr>
      <w:r>
        <w:rPr>
          <w:rFonts w:ascii="Open Sans" w:hAnsi="Open Sans" w:cs="Open Sans"/>
        </w:rPr>
        <w:t>Investment in community and workforce capacity building</w:t>
      </w:r>
      <w:r w:rsidR="00EF27D7">
        <w:rPr>
          <w:rFonts w:ascii="Open Sans" w:hAnsi="Open Sans" w:cs="Open Sans"/>
        </w:rPr>
        <w:t>.</w:t>
      </w:r>
      <w:r>
        <w:rPr>
          <w:rFonts w:ascii="Open Sans" w:hAnsi="Open Sans" w:cs="Open Sans"/>
        </w:rPr>
        <w:t xml:space="preserve"> </w:t>
      </w:r>
    </w:p>
    <w:p w14:paraId="28DE8E61" w14:textId="1C38DE7A" w:rsidR="00B44E93" w:rsidRDefault="00B44E93" w:rsidP="006B0F16">
      <w:pPr>
        <w:pStyle w:val="ListParagraph"/>
        <w:numPr>
          <w:ilvl w:val="0"/>
          <w:numId w:val="15"/>
        </w:numPr>
        <w:spacing w:before="240" w:line="240" w:lineRule="auto"/>
        <w:contextualSpacing w:val="0"/>
        <w:rPr>
          <w:rFonts w:ascii="Open Sans" w:hAnsi="Open Sans" w:cs="Open Sans"/>
        </w:rPr>
      </w:pPr>
      <w:r>
        <w:rPr>
          <w:rFonts w:ascii="Open Sans" w:hAnsi="Open Sans" w:cs="Open Sans"/>
        </w:rPr>
        <w:t xml:space="preserve">Adequate funding and </w:t>
      </w:r>
      <w:r w:rsidR="00DB18F0">
        <w:rPr>
          <w:rFonts w:ascii="Open Sans" w:hAnsi="Open Sans" w:cs="Open Sans"/>
        </w:rPr>
        <w:t>time to properly assess how well the program is working</w:t>
      </w:r>
      <w:r w:rsidR="00EF27D7">
        <w:rPr>
          <w:rFonts w:ascii="Open Sans" w:hAnsi="Open Sans" w:cs="Open Sans"/>
        </w:rPr>
        <w:t>.</w:t>
      </w:r>
    </w:p>
    <w:p w14:paraId="7D08F64D" w14:textId="43EFA52C" w:rsidR="00B44E93" w:rsidRDefault="00B44E93" w:rsidP="006B0F16">
      <w:pPr>
        <w:pStyle w:val="ListParagraph"/>
        <w:numPr>
          <w:ilvl w:val="0"/>
          <w:numId w:val="15"/>
        </w:numPr>
        <w:spacing w:before="240" w:line="240" w:lineRule="auto"/>
        <w:contextualSpacing w:val="0"/>
        <w:rPr>
          <w:rFonts w:ascii="Open Sans" w:hAnsi="Open Sans" w:cs="Open Sans"/>
        </w:rPr>
      </w:pPr>
      <w:r>
        <w:rPr>
          <w:rFonts w:ascii="Open Sans" w:hAnsi="Open Sans" w:cs="Open Sans"/>
        </w:rPr>
        <w:t>Strong government leadership and support</w:t>
      </w:r>
      <w:r w:rsidR="00EF27D7">
        <w:rPr>
          <w:rFonts w:ascii="Open Sans" w:hAnsi="Open Sans" w:cs="Open Sans"/>
        </w:rPr>
        <w:t>.</w:t>
      </w:r>
      <w:r>
        <w:rPr>
          <w:rFonts w:ascii="Open Sans" w:hAnsi="Open Sans" w:cs="Open Sans"/>
        </w:rPr>
        <w:t xml:space="preserve"> </w:t>
      </w:r>
    </w:p>
    <w:p w14:paraId="5BDDEAB9" w14:textId="4E21A195" w:rsidR="00B44E93" w:rsidRPr="00BA4AB0" w:rsidRDefault="00B44E93" w:rsidP="006B0F16">
      <w:pPr>
        <w:pStyle w:val="ListParagraph"/>
        <w:spacing w:before="240" w:line="240" w:lineRule="auto"/>
        <w:contextualSpacing w:val="0"/>
        <w:rPr>
          <w:rFonts w:ascii="Open Sans" w:hAnsi="Open Sans" w:cs="Open Sans"/>
        </w:rPr>
      </w:pPr>
      <w:r>
        <w:rPr>
          <w:rFonts w:ascii="Open Sans" w:hAnsi="Open Sans" w:cs="Open Sans"/>
        </w:rPr>
        <w:t>Effective partnerships between stakeholders, recognising the vital role of community organisations, philanthropy, social enterprises and local leadership groups in creating change.</w:t>
      </w:r>
      <w:r w:rsidR="00D3797A" w:rsidRPr="00D3797A">
        <w:rPr>
          <w:rStyle w:val="EndnoteReference"/>
          <w:rFonts w:ascii="Open Sans" w:hAnsi="Open Sans" w:cs="Open Sans"/>
        </w:rPr>
        <w:t xml:space="preserve"> </w:t>
      </w:r>
      <w:r w:rsidR="00D3797A">
        <w:rPr>
          <w:rStyle w:val="EndnoteReference"/>
          <w:rFonts w:ascii="Open Sans" w:hAnsi="Open Sans" w:cs="Open Sans"/>
        </w:rPr>
        <w:endnoteReference w:id="55"/>
      </w:r>
    </w:p>
    <w:p w14:paraId="193EFD55" w14:textId="77777777" w:rsidR="006B0F16" w:rsidRDefault="006B0F16">
      <w:pPr>
        <w:spacing w:after="240"/>
        <w:rPr>
          <w:rFonts w:ascii="Open Sans" w:eastAsiaTheme="majorEastAsia" w:hAnsi="Open Sans" w:cs="Open Sans"/>
          <w:b/>
          <w:bCs/>
          <w:iCs/>
          <w:color w:val="005A70" w:themeColor="accent1"/>
          <w:sz w:val="28"/>
        </w:rPr>
      </w:pPr>
      <w:r>
        <w:rPr>
          <w:rFonts w:ascii="Open Sans" w:hAnsi="Open Sans" w:cs="Open Sans"/>
        </w:rPr>
        <w:br w:type="page"/>
      </w:r>
    </w:p>
    <w:p w14:paraId="0B69015D" w14:textId="5F9CB0FF" w:rsidR="00B44E93" w:rsidRDefault="00B44E93" w:rsidP="00482F04">
      <w:pPr>
        <w:pStyle w:val="Heading4"/>
        <w:spacing w:after="200" w:line="240" w:lineRule="auto"/>
        <w:rPr>
          <w:rFonts w:ascii="Open Sans" w:hAnsi="Open Sans" w:cs="Open Sans"/>
        </w:rPr>
      </w:pPr>
      <w:r w:rsidRPr="69026B43">
        <w:rPr>
          <w:rFonts w:ascii="Open Sans" w:hAnsi="Open Sans" w:cs="Open Sans"/>
        </w:rPr>
        <w:lastRenderedPageBreak/>
        <w:t>Improving outcomes for Aboriginal and Torres Strait Islander children and families</w:t>
      </w:r>
    </w:p>
    <w:p w14:paraId="7E4EC68F" w14:textId="3890F6B8" w:rsidR="61790CD3" w:rsidRPr="00B22702" w:rsidRDefault="61790CD3" w:rsidP="69026B43">
      <w:pPr>
        <w:keepNext/>
        <w:keepLines/>
      </w:pPr>
      <w:r w:rsidRPr="69026B43">
        <w:rPr>
          <w:rFonts w:ascii="Open Sans" w:hAnsi="Open Sans" w:cs="Open Sans"/>
        </w:rPr>
        <w:t>Aboriginal and Torres Strait Islander children and families are affected by socioeconomic inequities, including in employment, education, housing, health, and justice.</w:t>
      </w:r>
      <w:r w:rsidRPr="69026B43">
        <w:rPr>
          <w:rStyle w:val="EndnoteReference"/>
          <w:rFonts w:ascii="Open Sans" w:hAnsi="Open Sans" w:cs="Open Sans"/>
        </w:rPr>
        <w:endnoteReference w:id="56"/>
      </w:r>
      <w:r w:rsidRPr="69026B43">
        <w:rPr>
          <w:rFonts w:ascii="Open Sans" w:hAnsi="Open Sans" w:cs="Open Sans"/>
        </w:rPr>
        <w:t xml:space="preserve"> Aboriginal and Torres Strait Islander children are more likely to be in out-of-home care, and experience poorer psychological, physical and social outcomes as a result,</w:t>
      </w:r>
      <w:r w:rsidRPr="69026B43">
        <w:rPr>
          <w:rStyle w:val="EndnoteReference"/>
          <w:rFonts w:ascii="Open Sans" w:hAnsi="Open Sans" w:cs="Open Sans"/>
        </w:rPr>
        <w:endnoteReference w:id="57"/>
      </w:r>
      <w:r w:rsidRPr="69026B43">
        <w:rPr>
          <w:rFonts w:ascii="Open Sans" w:hAnsi="Open Sans" w:cs="Open Sans"/>
        </w:rPr>
        <w:t xml:space="preserve"> compared to non-Indigenous children. Aboriginal and Torres Strait Islander children are also more likely to start school developmentally vulnerable.</w:t>
      </w:r>
      <w:r w:rsidRPr="69026B43">
        <w:rPr>
          <w:rStyle w:val="EndnoteReference"/>
          <w:rFonts w:ascii="Open Sans" w:hAnsi="Open Sans" w:cs="Open Sans"/>
        </w:rPr>
        <w:endnoteReference w:id="58"/>
      </w:r>
    </w:p>
    <w:p w14:paraId="5665FD43" w14:textId="1B8CFCA5" w:rsidR="00B44E93" w:rsidRDefault="00D3797A" w:rsidP="00482F04">
      <w:pPr>
        <w:rPr>
          <w:rFonts w:ascii="Open Sans" w:hAnsi="Open Sans" w:cs="Open Sans"/>
        </w:rPr>
      </w:pPr>
      <w:r>
        <w:rPr>
          <w:rFonts w:ascii="Open Sans" w:hAnsi="Open Sans" w:cs="Open Sans"/>
        </w:rPr>
        <w:t xml:space="preserve">Evidence has found that </w:t>
      </w:r>
      <w:r w:rsidR="00B44E93">
        <w:rPr>
          <w:rFonts w:ascii="Open Sans" w:hAnsi="Open Sans" w:cs="Open Sans"/>
        </w:rPr>
        <w:t>ACCO health services offer greater health benefits than equivalent services delivered through mainstream providers</w:t>
      </w:r>
      <w:r w:rsidR="69075FE9">
        <w:rPr>
          <w:rFonts w:ascii="Open Sans" w:hAnsi="Open Sans" w:cs="Open Sans"/>
        </w:rPr>
        <w:t>. This is because</w:t>
      </w:r>
      <w:r w:rsidR="00B44E93">
        <w:rPr>
          <w:rFonts w:ascii="Open Sans" w:hAnsi="Open Sans" w:cs="Open Sans"/>
        </w:rPr>
        <w:t xml:space="preserve"> </w:t>
      </w:r>
      <w:r w:rsidR="51EE8C05">
        <w:rPr>
          <w:rFonts w:ascii="Open Sans" w:hAnsi="Open Sans" w:cs="Open Sans"/>
        </w:rPr>
        <w:t>services are</w:t>
      </w:r>
      <w:r w:rsidR="00B44E93">
        <w:rPr>
          <w:rFonts w:ascii="Open Sans" w:hAnsi="Open Sans" w:cs="Open Sans"/>
        </w:rPr>
        <w:t xml:space="preserve"> culturally informed</w:t>
      </w:r>
      <w:r w:rsidR="72320DFD">
        <w:rPr>
          <w:rFonts w:ascii="Open Sans" w:hAnsi="Open Sans" w:cs="Open Sans"/>
        </w:rPr>
        <w:t xml:space="preserve"> and</w:t>
      </w:r>
      <w:r w:rsidR="00B44E93">
        <w:rPr>
          <w:rFonts w:ascii="Open Sans" w:hAnsi="Open Sans" w:cs="Open Sans"/>
        </w:rPr>
        <w:t xml:space="preserve"> </w:t>
      </w:r>
      <w:proofErr w:type="gramStart"/>
      <w:r w:rsidR="00B44E93">
        <w:rPr>
          <w:rFonts w:ascii="Open Sans" w:hAnsi="Open Sans" w:cs="Open Sans"/>
        </w:rPr>
        <w:t>community-led</w:t>
      </w:r>
      <w:proofErr w:type="gramEnd"/>
      <w:r w:rsidR="175DD7BA">
        <w:rPr>
          <w:rFonts w:ascii="Open Sans" w:hAnsi="Open Sans" w:cs="Open Sans"/>
        </w:rPr>
        <w:t>.</w:t>
      </w:r>
      <w:r w:rsidR="00B44E93">
        <w:rPr>
          <w:rFonts w:ascii="Open Sans" w:hAnsi="Open Sans" w:cs="Open Sans"/>
        </w:rPr>
        <w:t xml:space="preserve"> </w:t>
      </w:r>
      <w:r w:rsidR="00B44E93">
        <w:rPr>
          <w:rStyle w:val="EndnoteReference"/>
          <w:rFonts w:ascii="Open Sans" w:hAnsi="Open Sans" w:cs="Open Sans"/>
        </w:rPr>
        <w:endnoteReference w:id="59"/>
      </w:r>
      <w:r w:rsidR="00B44E93">
        <w:rPr>
          <w:rFonts w:ascii="Open Sans" w:hAnsi="Open Sans" w:cs="Open Sans"/>
        </w:rPr>
        <w:t xml:space="preserve"> </w:t>
      </w:r>
      <w:r w:rsidR="00E259C0">
        <w:rPr>
          <w:rFonts w:ascii="Open Sans" w:hAnsi="Open Sans" w:cs="Open Sans"/>
        </w:rPr>
        <w:t>T</w:t>
      </w:r>
      <w:r w:rsidR="00B44E93">
        <w:rPr>
          <w:rFonts w:ascii="Open Sans" w:hAnsi="Open Sans" w:cs="Open Sans"/>
        </w:rPr>
        <w:t>he lifetime health impact of ACCO-delivered interventions is</w:t>
      </w:r>
      <w:r w:rsidR="0000579E">
        <w:rPr>
          <w:rFonts w:ascii="Open Sans" w:hAnsi="Open Sans" w:cs="Open Sans"/>
        </w:rPr>
        <w:t> </w:t>
      </w:r>
      <w:r w:rsidR="00B44E93">
        <w:rPr>
          <w:rFonts w:ascii="Open Sans" w:hAnsi="Open Sans" w:cs="Open Sans"/>
        </w:rPr>
        <w:t xml:space="preserve">estimated to be 50% greater than if delivered by mainstream health services, </w:t>
      </w:r>
      <w:r w:rsidR="00E259C0">
        <w:rPr>
          <w:rFonts w:ascii="Open Sans" w:hAnsi="Open Sans" w:cs="Open Sans"/>
        </w:rPr>
        <w:t>mostly because of</w:t>
      </w:r>
      <w:r w:rsidR="00B44E93">
        <w:rPr>
          <w:rFonts w:ascii="Open Sans" w:hAnsi="Open Sans" w:cs="Open Sans"/>
        </w:rPr>
        <w:t xml:space="preserve"> improved access by Aboriginal and Torres Strait Islander people.</w:t>
      </w:r>
      <w:r w:rsidR="00B44E93">
        <w:rPr>
          <w:rStyle w:val="EndnoteReference"/>
          <w:rFonts w:ascii="Open Sans" w:hAnsi="Open Sans" w:cs="Open Sans"/>
        </w:rPr>
        <w:endnoteReference w:id="60"/>
      </w:r>
      <w:r w:rsidR="00B44E93" w:rsidRPr="00B457EA">
        <w:rPr>
          <w:rFonts w:ascii="Open Sans" w:hAnsi="Open Sans" w:cs="Open Sans"/>
        </w:rPr>
        <w:t xml:space="preserve"> </w:t>
      </w:r>
    </w:p>
    <w:p w14:paraId="4018ACDA" w14:textId="58B8F4B8" w:rsidR="00B44E93" w:rsidRDefault="00B44E93" w:rsidP="00B44E93">
      <w:pPr>
        <w:rPr>
          <w:rFonts w:ascii="Open Sans" w:hAnsi="Open Sans" w:cs="Open Sans"/>
        </w:rPr>
      </w:pPr>
      <w:r w:rsidRPr="00B457EA">
        <w:rPr>
          <w:rFonts w:ascii="Open Sans" w:hAnsi="Open Sans" w:cs="Open Sans"/>
        </w:rPr>
        <w:t>ACCOs deliver services using a holistic model of care, are accountable to their communities, deliver high quality, responsive and culturally safe services, and their position as preferred provider in their communities ensures higher levels of engagement with service users.</w:t>
      </w:r>
      <w:r w:rsidRPr="00B457EA">
        <w:rPr>
          <w:rStyle w:val="EndnoteReference"/>
          <w:rFonts w:ascii="Open Sans" w:hAnsi="Open Sans" w:cs="Open Sans"/>
        </w:rPr>
        <w:endnoteReference w:id="61"/>
      </w:r>
      <w:r>
        <w:rPr>
          <w:rFonts w:ascii="Open Sans" w:hAnsi="Open Sans" w:cs="Open Sans"/>
        </w:rPr>
        <w:t xml:space="preserve">  </w:t>
      </w:r>
    </w:p>
    <w:p w14:paraId="1C73D3A4" w14:textId="41CC6D9A" w:rsidR="00B44E93" w:rsidRPr="004332E9" w:rsidRDefault="00B44E93" w:rsidP="00B44E93">
      <w:r w:rsidRPr="00C61DE2">
        <w:rPr>
          <w:rFonts w:ascii="Open Sans" w:hAnsi="Open Sans" w:cs="Open Sans"/>
        </w:rPr>
        <w:t>Further information on strengthening the community-controlled sector, including evidence of</w:t>
      </w:r>
      <w:r w:rsidR="0000579E">
        <w:rPr>
          <w:rFonts w:ascii="Open Sans" w:hAnsi="Open Sans" w:cs="Open Sans"/>
        </w:rPr>
        <w:t> </w:t>
      </w:r>
      <w:r w:rsidRPr="00C61DE2">
        <w:rPr>
          <w:rFonts w:ascii="Open Sans" w:hAnsi="Open Sans" w:cs="Open Sans"/>
        </w:rPr>
        <w:t xml:space="preserve">the effectiveness of ACCOs, is outlined in the </w:t>
      </w:r>
      <w:hyperlink r:id="rId18" w:history="1">
        <w:r w:rsidRPr="00C61DE2">
          <w:rPr>
            <w:rStyle w:val="Hyperlink"/>
            <w:rFonts w:ascii="Open Sans" w:hAnsi="Open Sans" w:cs="Open Sans"/>
          </w:rPr>
          <w:t>Review of the National Agreement on Closing the Gap Study report: Supporting paper.</w:t>
        </w:r>
      </w:hyperlink>
    </w:p>
    <w:p w14:paraId="228AF2C7" w14:textId="77777777" w:rsidR="00B44E93" w:rsidRDefault="00B44E93" w:rsidP="00482F04">
      <w:pPr>
        <w:pStyle w:val="Heading4"/>
        <w:spacing w:after="200" w:line="240" w:lineRule="auto"/>
        <w:rPr>
          <w:rFonts w:ascii="Open Sans" w:hAnsi="Open Sans" w:cs="Open Sans"/>
        </w:rPr>
      </w:pPr>
      <w:r>
        <w:rPr>
          <w:rFonts w:ascii="Open Sans" w:hAnsi="Open Sans" w:cs="Open Sans"/>
        </w:rPr>
        <w:t xml:space="preserve">Assessment of need </w:t>
      </w:r>
    </w:p>
    <w:p w14:paraId="4790789C" w14:textId="71E8F4E9" w:rsidR="00B44E93" w:rsidRDefault="00B44E93" w:rsidP="00B44E93">
      <w:pPr>
        <w:rPr>
          <w:rFonts w:ascii="Open Sans" w:hAnsi="Open Sans" w:cs="Open Sans"/>
        </w:rPr>
      </w:pPr>
      <w:r>
        <w:rPr>
          <w:rFonts w:ascii="Open Sans" w:hAnsi="Open Sans" w:cs="Open Sans"/>
        </w:rPr>
        <w:t xml:space="preserve">There have been calls </w:t>
      </w:r>
      <w:r w:rsidR="00280BD0">
        <w:rPr>
          <w:rFonts w:ascii="Open Sans" w:hAnsi="Open Sans" w:cs="Open Sans"/>
        </w:rPr>
        <w:t>to reform f</w:t>
      </w:r>
      <w:r>
        <w:rPr>
          <w:rFonts w:ascii="Open Sans" w:hAnsi="Open Sans" w:cs="Open Sans"/>
        </w:rPr>
        <w:t>unding approaches to recognise the level of need</w:t>
      </w:r>
      <w:r w:rsidR="00280BD0">
        <w:rPr>
          <w:rFonts w:ascii="Open Sans" w:hAnsi="Open Sans" w:cs="Open Sans"/>
        </w:rPr>
        <w:t xml:space="preserve"> in</w:t>
      </w:r>
      <w:r w:rsidR="0000579E">
        <w:rPr>
          <w:rFonts w:ascii="Open Sans" w:hAnsi="Open Sans" w:cs="Open Sans"/>
        </w:rPr>
        <w:t> </w:t>
      </w:r>
      <w:r w:rsidR="00280BD0">
        <w:rPr>
          <w:rFonts w:ascii="Open Sans" w:hAnsi="Open Sans" w:cs="Open Sans"/>
        </w:rPr>
        <w:t>a</w:t>
      </w:r>
      <w:r w:rsidR="0000579E">
        <w:rPr>
          <w:rFonts w:ascii="Open Sans" w:hAnsi="Open Sans" w:cs="Open Sans"/>
        </w:rPr>
        <w:t> </w:t>
      </w:r>
      <w:r w:rsidR="00280BD0">
        <w:rPr>
          <w:rFonts w:ascii="Open Sans" w:hAnsi="Open Sans" w:cs="Open Sans"/>
        </w:rPr>
        <w:t>community,</w:t>
      </w:r>
      <w:r>
        <w:rPr>
          <w:rFonts w:ascii="Open Sans" w:hAnsi="Open Sans" w:cs="Open Sans"/>
        </w:rPr>
        <w:t xml:space="preserve"> rather than allocating </w:t>
      </w:r>
      <w:r w:rsidRPr="00690C2E">
        <w:rPr>
          <w:rFonts w:ascii="Open Sans" w:hAnsi="Open Sans" w:cs="Open Sans"/>
        </w:rPr>
        <w:t>funding based on the number of people in a community.</w:t>
      </w:r>
      <w:r w:rsidRPr="00690C2E">
        <w:rPr>
          <w:rStyle w:val="EndnoteReference"/>
          <w:rFonts w:ascii="Open Sans" w:hAnsi="Open Sans" w:cs="Open Sans"/>
        </w:rPr>
        <w:endnoteReference w:id="62"/>
      </w:r>
      <w:r w:rsidRPr="00690C2E">
        <w:rPr>
          <w:rFonts w:ascii="Open Sans" w:hAnsi="Open Sans" w:cs="Open Sans"/>
        </w:rPr>
        <w:t xml:space="preserve"> </w:t>
      </w:r>
      <w:r>
        <w:rPr>
          <w:rFonts w:ascii="Open Sans" w:hAnsi="Open Sans" w:cs="Open Sans"/>
        </w:rPr>
        <w:t>The</w:t>
      </w:r>
      <w:r w:rsidR="0000579E">
        <w:rPr>
          <w:rFonts w:ascii="Open Sans" w:hAnsi="Open Sans" w:cs="Open Sans"/>
        </w:rPr>
        <w:t> </w:t>
      </w:r>
      <w:r>
        <w:rPr>
          <w:rFonts w:ascii="Open Sans" w:hAnsi="Open Sans" w:cs="Open Sans"/>
        </w:rPr>
        <w:t xml:space="preserve">following </w:t>
      </w:r>
      <w:r w:rsidR="00280BD0">
        <w:rPr>
          <w:rFonts w:ascii="Open Sans" w:hAnsi="Open Sans" w:cs="Open Sans"/>
        </w:rPr>
        <w:t>datasets</w:t>
      </w:r>
      <w:r>
        <w:rPr>
          <w:rFonts w:ascii="Open Sans" w:hAnsi="Open Sans" w:cs="Open Sans"/>
        </w:rPr>
        <w:t xml:space="preserve">, along with local knowledge and data sources from states, territories and local councils, </w:t>
      </w:r>
      <w:r w:rsidR="001706BF">
        <w:rPr>
          <w:rFonts w:ascii="Open Sans" w:hAnsi="Open Sans" w:cs="Open Sans"/>
        </w:rPr>
        <w:t xml:space="preserve">will help identify community needs. </w:t>
      </w:r>
    </w:p>
    <w:p w14:paraId="0C6FDAFB" w14:textId="77777777" w:rsidR="00B44E93" w:rsidRDefault="00B44E93" w:rsidP="00334053">
      <w:pPr>
        <w:pStyle w:val="Heading4"/>
        <w:keepNext/>
        <w:keepLines/>
        <w:spacing w:after="200"/>
        <w:rPr>
          <w:rFonts w:ascii="Open Sans" w:hAnsi="Open Sans" w:cs="Open Sans"/>
          <w:b w:val="0"/>
          <w:bCs w:val="0"/>
          <w:i/>
          <w:iCs w:val="0"/>
          <w:sz w:val="22"/>
          <w:szCs w:val="20"/>
        </w:rPr>
      </w:pPr>
      <w:r>
        <w:rPr>
          <w:rFonts w:ascii="Open Sans" w:hAnsi="Open Sans" w:cs="Open Sans"/>
          <w:b w:val="0"/>
          <w:bCs w:val="0"/>
          <w:i/>
          <w:iCs w:val="0"/>
          <w:sz w:val="22"/>
          <w:szCs w:val="20"/>
        </w:rPr>
        <w:t>Socio-Economic Indexes for Areas (SEIFA)</w:t>
      </w:r>
    </w:p>
    <w:p w14:paraId="0B7B1713" w14:textId="5F868285" w:rsidR="00B44E93" w:rsidRPr="000148C0" w:rsidRDefault="00B44E93" w:rsidP="00B44E93">
      <w:pPr>
        <w:rPr>
          <w:rFonts w:ascii="Open Sans" w:hAnsi="Open Sans" w:cs="Open Sans"/>
        </w:rPr>
      </w:pPr>
      <w:r w:rsidRPr="00413812">
        <w:rPr>
          <w:rFonts w:ascii="Open Sans" w:hAnsi="Open Sans" w:cs="Open Sans"/>
        </w:rPr>
        <w:t>SEIFA combines Census data, including income, education, employment, occupation, housing and family structure to provide a score</w:t>
      </w:r>
      <w:r>
        <w:rPr>
          <w:rFonts w:ascii="Open Sans" w:hAnsi="Open Sans" w:cs="Open Sans"/>
        </w:rPr>
        <w:t xml:space="preserve"> (and rank)</w:t>
      </w:r>
      <w:r w:rsidRPr="00413812">
        <w:rPr>
          <w:rFonts w:ascii="Open Sans" w:hAnsi="Open Sans" w:cs="Open Sans"/>
        </w:rPr>
        <w:t xml:space="preserve"> </w:t>
      </w:r>
      <w:r>
        <w:rPr>
          <w:rFonts w:ascii="Open Sans" w:hAnsi="Open Sans" w:cs="Open Sans"/>
        </w:rPr>
        <w:t xml:space="preserve">of </w:t>
      </w:r>
      <w:r w:rsidRPr="00413812">
        <w:rPr>
          <w:rFonts w:ascii="Open Sans" w:hAnsi="Open Sans" w:cs="Open Sans"/>
        </w:rPr>
        <w:t>how relatively advantaged or disadvantaged that area is</w:t>
      </w:r>
      <w:r w:rsidR="00E259C0">
        <w:rPr>
          <w:rFonts w:ascii="Open Sans" w:hAnsi="Open Sans" w:cs="Open Sans"/>
        </w:rPr>
        <w:t>,</w:t>
      </w:r>
      <w:r w:rsidRPr="00413812">
        <w:rPr>
          <w:rFonts w:ascii="Open Sans" w:hAnsi="Open Sans" w:cs="Open Sans"/>
        </w:rPr>
        <w:t xml:space="preserve"> compared with other areas.</w:t>
      </w:r>
      <w:r w:rsidRPr="00413812">
        <w:rPr>
          <w:rStyle w:val="EndnoteReference"/>
          <w:rFonts w:ascii="Open Sans" w:hAnsi="Open Sans" w:cs="Open Sans"/>
        </w:rPr>
        <w:endnoteReference w:id="63"/>
      </w:r>
      <w:r>
        <w:rPr>
          <w:rFonts w:ascii="Open Sans" w:hAnsi="Open Sans" w:cs="Open Sans"/>
        </w:rPr>
        <w:t xml:space="preserve"> A lower index score indicates that an area has more disadvantage relative to other areas with a higher score.</w:t>
      </w:r>
      <w:r>
        <w:rPr>
          <w:rStyle w:val="EndnoteReference"/>
          <w:rFonts w:ascii="Open Sans" w:hAnsi="Open Sans" w:cs="Open Sans"/>
        </w:rPr>
        <w:endnoteReference w:id="64"/>
      </w:r>
      <w:r w:rsidR="00D3797A">
        <w:rPr>
          <w:rFonts w:ascii="Open Sans" w:hAnsi="Open Sans" w:cs="Open Sans"/>
        </w:rPr>
        <w:t xml:space="preserve"> </w:t>
      </w:r>
      <w:r w:rsidRPr="000148C0">
        <w:rPr>
          <w:rFonts w:ascii="Open Sans" w:hAnsi="Open Sans" w:cs="Open Sans"/>
        </w:rPr>
        <w:t xml:space="preserve">You can read more about SEIFA, including the latest </w:t>
      </w:r>
      <w:r>
        <w:rPr>
          <w:rFonts w:ascii="Open Sans" w:hAnsi="Open Sans" w:cs="Open Sans"/>
        </w:rPr>
        <w:t>release</w:t>
      </w:r>
      <w:r w:rsidRPr="000148C0">
        <w:rPr>
          <w:rFonts w:ascii="Open Sans" w:hAnsi="Open Sans" w:cs="Open Sans"/>
        </w:rPr>
        <w:t xml:space="preserve">, here: </w:t>
      </w:r>
      <w:hyperlink r:id="rId19" w:history="1">
        <w:r w:rsidRPr="000148C0">
          <w:rPr>
            <w:rStyle w:val="Hyperlink"/>
            <w:rFonts w:ascii="Open Sans" w:hAnsi="Open Sans" w:cs="Open Sans"/>
          </w:rPr>
          <w:t>Socio</w:t>
        </w:r>
        <w:r w:rsidR="00D86A12">
          <w:rPr>
            <w:rStyle w:val="Hyperlink"/>
            <w:rFonts w:ascii="Open Sans" w:hAnsi="Open Sans" w:cs="Open Sans"/>
          </w:rPr>
          <w:noBreakHyphen/>
        </w:r>
        <w:r w:rsidRPr="000148C0">
          <w:rPr>
            <w:rStyle w:val="Hyperlink"/>
            <w:rFonts w:ascii="Open Sans" w:hAnsi="Open Sans" w:cs="Open Sans"/>
          </w:rPr>
          <w:t>Economic Indexes for Areas (SEIFA), Australia, 2021 | Australian Bureau of Statistics</w:t>
        </w:r>
      </w:hyperlink>
      <w:r>
        <w:rPr>
          <w:rFonts w:ascii="Open Sans" w:hAnsi="Open Sans" w:cs="Open Sans"/>
        </w:rPr>
        <w:t>.</w:t>
      </w:r>
    </w:p>
    <w:p w14:paraId="0C30F16C" w14:textId="6C995CA8" w:rsidR="00B44E93" w:rsidRDefault="00B44E93" w:rsidP="0000579E">
      <w:pPr>
        <w:pStyle w:val="Heading4"/>
        <w:keepNext/>
        <w:spacing w:after="200"/>
        <w:rPr>
          <w:rFonts w:ascii="Open Sans" w:hAnsi="Open Sans" w:cs="Open Sans"/>
          <w:b w:val="0"/>
          <w:bCs w:val="0"/>
          <w:i/>
          <w:iCs w:val="0"/>
          <w:sz w:val="22"/>
          <w:szCs w:val="20"/>
        </w:rPr>
      </w:pPr>
      <w:r>
        <w:rPr>
          <w:rFonts w:ascii="Open Sans" w:hAnsi="Open Sans" w:cs="Open Sans"/>
          <w:b w:val="0"/>
          <w:bCs w:val="0"/>
          <w:i/>
          <w:iCs w:val="0"/>
          <w:sz w:val="22"/>
          <w:szCs w:val="20"/>
        </w:rPr>
        <w:lastRenderedPageBreak/>
        <w:t>Census data, including the number of children and families living in a community, and the number of</w:t>
      </w:r>
      <w:r w:rsidR="0000579E">
        <w:rPr>
          <w:rFonts w:ascii="Open Sans" w:hAnsi="Open Sans" w:cs="Open Sans"/>
          <w:b w:val="0"/>
          <w:bCs w:val="0"/>
          <w:i/>
          <w:iCs w:val="0"/>
          <w:sz w:val="22"/>
          <w:szCs w:val="20"/>
        </w:rPr>
        <w:t> </w:t>
      </w:r>
      <w:r>
        <w:rPr>
          <w:rFonts w:ascii="Open Sans" w:hAnsi="Open Sans" w:cs="Open Sans"/>
          <w:b w:val="0"/>
          <w:bCs w:val="0"/>
          <w:i/>
          <w:iCs w:val="0"/>
          <w:sz w:val="22"/>
          <w:szCs w:val="20"/>
        </w:rPr>
        <w:t>young people Not in Education, Employment or Training (NEET)</w:t>
      </w:r>
    </w:p>
    <w:p w14:paraId="4CAA7494" w14:textId="437EA9FA" w:rsidR="00B44E93" w:rsidRPr="00D81295" w:rsidRDefault="00B44E93" w:rsidP="0000579E">
      <w:pPr>
        <w:rPr>
          <w:rFonts w:ascii="Open Sans" w:hAnsi="Open Sans" w:cs="Open Sans"/>
        </w:rPr>
      </w:pPr>
      <w:r w:rsidRPr="00D81295">
        <w:rPr>
          <w:rFonts w:ascii="Open Sans" w:hAnsi="Open Sans" w:cs="Open Sans"/>
        </w:rPr>
        <w:t>C</w:t>
      </w:r>
      <w:r w:rsidR="008F5D63">
        <w:rPr>
          <w:rFonts w:ascii="Open Sans" w:hAnsi="Open Sans" w:cs="Open Sans"/>
        </w:rPr>
        <w:t>ensus data on children and families will help assess community needs and potential demand in</w:t>
      </w:r>
      <w:r w:rsidR="0000579E">
        <w:rPr>
          <w:rFonts w:ascii="Open Sans" w:hAnsi="Open Sans" w:cs="Open Sans"/>
        </w:rPr>
        <w:t> </w:t>
      </w:r>
      <w:r w:rsidR="008F5D63">
        <w:rPr>
          <w:rFonts w:ascii="Open Sans" w:hAnsi="Open Sans" w:cs="Open Sans"/>
        </w:rPr>
        <w:t xml:space="preserve">each location. </w:t>
      </w:r>
    </w:p>
    <w:p w14:paraId="42474262" w14:textId="0AB05B26" w:rsidR="00B44E93" w:rsidRDefault="00B44E93" w:rsidP="00334053">
      <w:pPr>
        <w:keepNext/>
        <w:keepLines/>
      </w:pPr>
      <w:r w:rsidRPr="00F371AC">
        <w:rPr>
          <w:rFonts w:ascii="Open Sans" w:hAnsi="Open Sans" w:cs="Open Sans"/>
        </w:rPr>
        <w:t>The term NEET refers to a young person who is neither engaged with any education or training nor in paid employment.</w:t>
      </w:r>
      <w:r>
        <w:rPr>
          <w:rStyle w:val="EndnoteReference"/>
          <w:rFonts w:ascii="Open Sans" w:hAnsi="Open Sans" w:cs="Open Sans"/>
        </w:rPr>
        <w:endnoteReference w:id="65"/>
      </w:r>
      <w:r w:rsidRPr="00F371AC">
        <w:rPr>
          <w:rFonts w:ascii="Open Sans" w:hAnsi="Open Sans" w:cs="Open Sans"/>
        </w:rPr>
        <w:t xml:space="preserve"> </w:t>
      </w:r>
      <w:r>
        <w:rPr>
          <w:rFonts w:ascii="Open Sans" w:hAnsi="Open Sans" w:cs="Open Sans"/>
        </w:rPr>
        <w:t>Y</w:t>
      </w:r>
      <w:r w:rsidRPr="00F371AC">
        <w:rPr>
          <w:rFonts w:ascii="Open Sans" w:hAnsi="Open Sans" w:cs="Open Sans"/>
        </w:rPr>
        <w:t xml:space="preserve">oung people who are </w:t>
      </w:r>
      <w:r>
        <w:rPr>
          <w:rFonts w:ascii="Open Sans" w:hAnsi="Open Sans" w:cs="Open Sans"/>
        </w:rPr>
        <w:t>not in education, employment or training</w:t>
      </w:r>
      <w:r w:rsidRPr="00F371AC">
        <w:rPr>
          <w:rFonts w:ascii="Open Sans" w:hAnsi="Open Sans" w:cs="Open Sans"/>
        </w:rPr>
        <w:t xml:space="preserve"> by</w:t>
      </w:r>
      <w:r w:rsidR="0000579E">
        <w:rPr>
          <w:rFonts w:ascii="Open Sans" w:hAnsi="Open Sans" w:cs="Open Sans"/>
        </w:rPr>
        <w:t> </w:t>
      </w:r>
      <w:r w:rsidRPr="00F371AC">
        <w:rPr>
          <w:rFonts w:ascii="Open Sans" w:hAnsi="Open Sans" w:cs="Open Sans"/>
        </w:rPr>
        <w:t>the age of 24 are most at risk of experiencing future long-term unemployment.</w:t>
      </w:r>
      <w:r>
        <w:rPr>
          <w:rStyle w:val="EndnoteReference"/>
          <w:rFonts w:ascii="Open Sans" w:hAnsi="Open Sans" w:cs="Open Sans"/>
        </w:rPr>
        <w:endnoteReference w:id="66"/>
      </w:r>
      <w:r w:rsidRPr="00F371AC">
        <w:rPr>
          <w:rFonts w:ascii="Open Sans" w:hAnsi="Open Sans" w:cs="Open Sans"/>
        </w:rPr>
        <w:t xml:space="preserve"> Long-term outcomes of unemployment can include:</w:t>
      </w:r>
    </w:p>
    <w:p w14:paraId="42CA83AA" w14:textId="12219231" w:rsidR="00B44E93" w:rsidRPr="00F371AC" w:rsidRDefault="00B44E93" w:rsidP="006B0F16">
      <w:pPr>
        <w:pStyle w:val="ListParagraph"/>
        <w:keepNext/>
        <w:keepLines/>
        <w:numPr>
          <w:ilvl w:val="0"/>
          <w:numId w:val="15"/>
        </w:numPr>
        <w:spacing w:before="240" w:line="240" w:lineRule="auto"/>
        <w:contextualSpacing w:val="0"/>
      </w:pPr>
      <w:r>
        <w:rPr>
          <w:rFonts w:ascii="Open Sans" w:hAnsi="Open Sans" w:cs="Open Sans"/>
        </w:rPr>
        <w:t>Poor physical and mental health</w:t>
      </w:r>
      <w:r w:rsidR="008F5D63">
        <w:rPr>
          <w:rFonts w:ascii="Open Sans" w:hAnsi="Open Sans" w:cs="Open Sans"/>
        </w:rPr>
        <w:t>.</w:t>
      </w:r>
    </w:p>
    <w:p w14:paraId="6E29F755" w14:textId="2CF225D6" w:rsidR="00B44E93" w:rsidRPr="00915A2A" w:rsidRDefault="00B44E93" w:rsidP="006B0F16">
      <w:pPr>
        <w:pStyle w:val="ListParagraph"/>
        <w:keepNext/>
        <w:keepLines/>
        <w:numPr>
          <w:ilvl w:val="0"/>
          <w:numId w:val="15"/>
        </w:numPr>
        <w:spacing w:before="240" w:line="240" w:lineRule="auto"/>
        <w:contextualSpacing w:val="0"/>
      </w:pPr>
      <w:r>
        <w:rPr>
          <w:rFonts w:ascii="Open Sans" w:hAnsi="Open Sans" w:cs="Open Sans"/>
        </w:rPr>
        <w:t>Family disruption</w:t>
      </w:r>
      <w:r w:rsidR="008F5D63">
        <w:rPr>
          <w:rFonts w:ascii="Open Sans" w:hAnsi="Open Sans" w:cs="Open Sans"/>
        </w:rPr>
        <w:t>.</w:t>
      </w:r>
    </w:p>
    <w:p w14:paraId="5B026B44" w14:textId="60A259E2" w:rsidR="00B44E93" w:rsidRPr="00915A2A" w:rsidRDefault="00B44E93" w:rsidP="006B0F16">
      <w:pPr>
        <w:pStyle w:val="ListParagraph"/>
        <w:keepNext/>
        <w:keepLines/>
        <w:numPr>
          <w:ilvl w:val="0"/>
          <w:numId w:val="15"/>
        </w:numPr>
        <w:spacing w:before="240" w:line="240" w:lineRule="auto"/>
        <w:contextualSpacing w:val="0"/>
      </w:pPr>
      <w:r>
        <w:rPr>
          <w:rFonts w:ascii="Open Sans" w:hAnsi="Open Sans" w:cs="Open Sans"/>
        </w:rPr>
        <w:t>Decreased social participation</w:t>
      </w:r>
      <w:r w:rsidR="008F5D63">
        <w:rPr>
          <w:rFonts w:ascii="Open Sans" w:hAnsi="Open Sans" w:cs="Open Sans"/>
        </w:rPr>
        <w:t>.</w:t>
      </w:r>
    </w:p>
    <w:p w14:paraId="2D31C1F6" w14:textId="569FB1B4" w:rsidR="006D31ED" w:rsidRPr="006B0F16" w:rsidRDefault="00B44E93" w:rsidP="00B44E93">
      <w:pPr>
        <w:pStyle w:val="ListParagraph"/>
        <w:keepNext/>
        <w:keepLines/>
        <w:spacing w:before="240" w:line="240" w:lineRule="auto"/>
        <w:contextualSpacing w:val="0"/>
      </w:pPr>
      <w:r>
        <w:rPr>
          <w:rFonts w:ascii="Open Sans" w:hAnsi="Open Sans" w:cs="Open Sans"/>
        </w:rPr>
        <w:t>Poor attainment and wellbeing for the children of unemployed parents</w:t>
      </w:r>
      <w:r w:rsidR="008F5D63">
        <w:rPr>
          <w:rFonts w:ascii="Open Sans" w:hAnsi="Open Sans" w:cs="Open Sans"/>
        </w:rPr>
        <w:t>.</w:t>
      </w:r>
      <w:r>
        <w:rPr>
          <w:rStyle w:val="EndnoteReference"/>
          <w:rFonts w:ascii="Open Sans" w:hAnsi="Open Sans" w:cs="Open Sans"/>
        </w:rPr>
        <w:endnoteReference w:id="67"/>
      </w:r>
    </w:p>
    <w:p w14:paraId="750E9B0E" w14:textId="5B1C5144" w:rsidR="00B44E93" w:rsidRDefault="00B317B1" w:rsidP="00B44E93">
      <w:pPr>
        <w:rPr>
          <w:rFonts w:ascii="Open Sans" w:hAnsi="Open Sans" w:cs="Open Sans"/>
        </w:rPr>
      </w:pPr>
      <w:r>
        <w:rPr>
          <w:rFonts w:ascii="Open Sans" w:hAnsi="Open Sans" w:cs="Open Sans"/>
        </w:rPr>
        <w:t xml:space="preserve">On </w:t>
      </w:r>
      <w:r w:rsidR="00B44E93">
        <w:rPr>
          <w:rFonts w:ascii="Open Sans" w:hAnsi="Open Sans" w:cs="Open Sans"/>
        </w:rPr>
        <w:t xml:space="preserve">average, by the age of 24, 15% of Australians are not in education, employment </w:t>
      </w:r>
      <w:r w:rsidR="00BE415B">
        <w:rPr>
          <w:rFonts w:ascii="Open Sans" w:hAnsi="Open Sans" w:cs="Open Sans"/>
        </w:rPr>
        <w:t xml:space="preserve">or </w:t>
      </w:r>
      <w:r w:rsidR="00B44E93">
        <w:rPr>
          <w:rFonts w:ascii="Open Sans" w:hAnsi="Open Sans" w:cs="Open Sans"/>
        </w:rPr>
        <w:t>training.</w:t>
      </w:r>
      <w:r w:rsidR="00B44E93">
        <w:rPr>
          <w:rStyle w:val="EndnoteReference"/>
          <w:rFonts w:ascii="Open Sans" w:hAnsi="Open Sans" w:cs="Open Sans"/>
        </w:rPr>
        <w:endnoteReference w:id="68"/>
      </w:r>
      <w:r w:rsidR="00B44E93">
        <w:rPr>
          <w:rFonts w:ascii="Open Sans" w:hAnsi="Open Sans" w:cs="Open Sans"/>
        </w:rPr>
        <w:t xml:space="preserve"> </w:t>
      </w:r>
      <w:r w:rsidR="00A50F83">
        <w:rPr>
          <w:rFonts w:ascii="Open Sans" w:hAnsi="Open Sans" w:cs="Open Sans"/>
        </w:rPr>
        <w:t>But this rate varies across different groups of young people.</w:t>
      </w:r>
      <w:r w:rsidR="00B44E93">
        <w:rPr>
          <w:rFonts w:ascii="Open Sans" w:hAnsi="Open Sans" w:cs="Open Sans"/>
        </w:rPr>
        <w:t xml:space="preserve"> For</w:t>
      </w:r>
      <w:r w:rsidR="00D86A12">
        <w:rPr>
          <w:rFonts w:ascii="Open Sans" w:hAnsi="Open Sans" w:cs="Open Sans"/>
        </w:rPr>
        <w:t> </w:t>
      </w:r>
      <w:r w:rsidR="00B44E93">
        <w:rPr>
          <w:rFonts w:ascii="Open Sans" w:hAnsi="Open Sans" w:cs="Open Sans"/>
        </w:rPr>
        <w:t xml:space="preserve">example: </w:t>
      </w:r>
    </w:p>
    <w:p w14:paraId="4C5F6956" w14:textId="663000ED" w:rsidR="00B44E93" w:rsidRDefault="00B44E93" w:rsidP="006B0F16">
      <w:pPr>
        <w:pStyle w:val="ListParagraph"/>
        <w:spacing w:before="240" w:line="240" w:lineRule="auto"/>
        <w:contextualSpacing w:val="0"/>
        <w:rPr>
          <w:rFonts w:ascii="Open Sans" w:hAnsi="Open Sans" w:cs="Open Sans"/>
        </w:rPr>
      </w:pPr>
      <w:r>
        <w:rPr>
          <w:rFonts w:ascii="Open Sans" w:hAnsi="Open Sans" w:cs="Open Sans"/>
        </w:rPr>
        <w:t xml:space="preserve">Around one in </w:t>
      </w:r>
      <w:r w:rsidR="00A50F83">
        <w:rPr>
          <w:rFonts w:ascii="Open Sans" w:hAnsi="Open Sans" w:cs="Open Sans"/>
        </w:rPr>
        <w:t>three</w:t>
      </w:r>
      <w:r>
        <w:rPr>
          <w:rFonts w:ascii="Open Sans" w:hAnsi="Open Sans" w:cs="Open Sans"/>
        </w:rPr>
        <w:t xml:space="preserve"> Australians aged 24 from the lowest socio-economic backgrounds are NEET, compared to one in 15 from the highest socio-economic backgrounds</w:t>
      </w:r>
      <w:r w:rsidR="00A50F83">
        <w:rPr>
          <w:rFonts w:ascii="Open Sans" w:hAnsi="Open Sans" w:cs="Open Sans"/>
        </w:rPr>
        <w:t>.</w:t>
      </w:r>
      <w:r>
        <w:rPr>
          <w:rStyle w:val="EndnoteReference"/>
          <w:rFonts w:ascii="Open Sans" w:hAnsi="Open Sans" w:cs="Open Sans"/>
        </w:rPr>
        <w:endnoteReference w:id="69"/>
      </w:r>
    </w:p>
    <w:p w14:paraId="0358EED3" w14:textId="5AA06355" w:rsidR="00B44E93" w:rsidRDefault="00B44E93" w:rsidP="006B0F16">
      <w:pPr>
        <w:pStyle w:val="ListParagraph"/>
        <w:spacing w:before="240" w:line="240" w:lineRule="auto"/>
        <w:contextualSpacing w:val="0"/>
        <w:rPr>
          <w:rFonts w:ascii="Open Sans" w:hAnsi="Open Sans" w:cs="Open Sans"/>
        </w:rPr>
      </w:pPr>
      <w:r>
        <w:rPr>
          <w:rFonts w:ascii="Open Sans" w:hAnsi="Open Sans" w:cs="Open Sans"/>
        </w:rPr>
        <w:t>A higher percentage of young people living in remote areas are NEET compared to young people living in major cities</w:t>
      </w:r>
      <w:r w:rsidR="00A50F83">
        <w:rPr>
          <w:rFonts w:ascii="Open Sans" w:hAnsi="Open Sans" w:cs="Open Sans"/>
        </w:rPr>
        <w:t>.</w:t>
      </w:r>
      <w:r>
        <w:rPr>
          <w:rStyle w:val="EndnoteReference"/>
          <w:rFonts w:ascii="Open Sans" w:hAnsi="Open Sans" w:cs="Open Sans"/>
        </w:rPr>
        <w:endnoteReference w:id="70"/>
      </w:r>
    </w:p>
    <w:p w14:paraId="05CEBB52" w14:textId="2EB1FD88" w:rsidR="00B44E93" w:rsidRDefault="00B44E93" w:rsidP="006B0F16">
      <w:pPr>
        <w:pStyle w:val="ListParagraph"/>
        <w:spacing w:before="240" w:line="240" w:lineRule="auto"/>
        <w:contextualSpacing w:val="0"/>
        <w:rPr>
          <w:rFonts w:ascii="Open Sans" w:hAnsi="Open Sans" w:cs="Open Sans"/>
        </w:rPr>
      </w:pPr>
      <w:r>
        <w:rPr>
          <w:rFonts w:ascii="Open Sans" w:hAnsi="Open Sans" w:cs="Open Sans"/>
        </w:rPr>
        <w:t xml:space="preserve">45% </w:t>
      </w:r>
      <w:r w:rsidR="00BE415B">
        <w:rPr>
          <w:rFonts w:ascii="Open Sans" w:hAnsi="Open Sans" w:cs="Open Sans"/>
        </w:rPr>
        <w:t xml:space="preserve">of Aboriginal and Torres Strait Islander young people </w:t>
      </w:r>
      <w:r>
        <w:rPr>
          <w:rFonts w:ascii="Open Sans" w:hAnsi="Open Sans" w:cs="Open Sans"/>
        </w:rPr>
        <w:t xml:space="preserve">were recorded as </w:t>
      </w:r>
      <w:r w:rsidR="00A50F83">
        <w:rPr>
          <w:rFonts w:ascii="Open Sans" w:hAnsi="Open Sans" w:cs="Open Sans"/>
        </w:rPr>
        <w:t>NEET</w:t>
      </w:r>
      <w:r>
        <w:rPr>
          <w:rFonts w:ascii="Open Sans" w:hAnsi="Open Sans" w:cs="Open Sans"/>
        </w:rPr>
        <w:t>, compared to 14% for non-Indigenous young people.</w:t>
      </w:r>
      <w:r>
        <w:rPr>
          <w:rStyle w:val="EndnoteReference"/>
          <w:rFonts w:ascii="Open Sans" w:hAnsi="Open Sans" w:cs="Open Sans"/>
        </w:rPr>
        <w:endnoteReference w:id="71"/>
      </w:r>
    </w:p>
    <w:p w14:paraId="5B86507B" w14:textId="77777777" w:rsidR="00B44E93" w:rsidRDefault="00B44E93" w:rsidP="00334053">
      <w:pPr>
        <w:pStyle w:val="Heading4"/>
        <w:keepNext/>
        <w:keepLines/>
        <w:spacing w:after="200"/>
        <w:rPr>
          <w:rFonts w:ascii="Open Sans" w:hAnsi="Open Sans" w:cs="Open Sans"/>
          <w:b w:val="0"/>
          <w:bCs w:val="0"/>
          <w:i/>
          <w:iCs w:val="0"/>
          <w:sz w:val="22"/>
          <w:szCs w:val="20"/>
        </w:rPr>
      </w:pPr>
      <w:r>
        <w:rPr>
          <w:rFonts w:ascii="Open Sans" w:hAnsi="Open Sans" w:cs="Open Sans"/>
          <w:b w:val="0"/>
          <w:bCs w:val="0"/>
          <w:i/>
          <w:iCs w:val="0"/>
          <w:sz w:val="22"/>
          <w:szCs w:val="20"/>
        </w:rPr>
        <w:lastRenderedPageBreak/>
        <w:t>Australian Early Development Census (AEDC)</w:t>
      </w:r>
    </w:p>
    <w:p w14:paraId="01069FEA" w14:textId="08E7B689" w:rsidR="00D3797A" w:rsidRDefault="00B44E93" w:rsidP="00D3797A">
      <w:pPr>
        <w:keepNext/>
        <w:keepLines/>
        <w:rPr>
          <w:rFonts w:ascii="Open Sans" w:hAnsi="Open Sans" w:cs="Open Sans"/>
        </w:rPr>
      </w:pPr>
      <w:r w:rsidRPr="00690C2E">
        <w:rPr>
          <w:rFonts w:ascii="Open Sans" w:hAnsi="Open Sans" w:cs="Open Sans"/>
        </w:rPr>
        <w:t>The AEDC is a nationwide census of early childhood development. It provides important insights into child development and wellbeing from a local community level to a national level.</w:t>
      </w:r>
      <w:r w:rsidRPr="00690C2E">
        <w:rPr>
          <w:rStyle w:val="EndnoteReference"/>
          <w:rFonts w:ascii="Open Sans" w:hAnsi="Open Sans" w:cs="Open Sans"/>
        </w:rPr>
        <w:endnoteReference w:id="72"/>
      </w:r>
      <w:r>
        <w:rPr>
          <w:rFonts w:ascii="Open Sans" w:hAnsi="Open Sans" w:cs="Open Sans"/>
        </w:rPr>
        <w:t xml:space="preserve"> </w:t>
      </w:r>
      <w:r w:rsidR="00D3797A">
        <w:rPr>
          <w:rFonts w:ascii="Open Sans" w:hAnsi="Open Sans" w:cs="Open Sans"/>
        </w:rPr>
        <w:t xml:space="preserve">The </w:t>
      </w:r>
      <w:r w:rsidR="00A50F83">
        <w:rPr>
          <w:rFonts w:ascii="Open Sans" w:hAnsi="Open Sans" w:cs="Open Sans"/>
        </w:rPr>
        <w:t>five</w:t>
      </w:r>
      <w:r w:rsidR="00D3797A">
        <w:rPr>
          <w:rFonts w:ascii="Open Sans" w:hAnsi="Open Sans" w:cs="Open Sans"/>
        </w:rPr>
        <w:t xml:space="preserve"> key AEDC areas – known as domains – can predict later mental health, wellbeing and educational achievement for children.</w:t>
      </w:r>
      <w:r w:rsidR="00D3797A">
        <w:rPr>
          <w:rStyle w:val="EndnoteReference"/>
          <w:rFonts w:ascii="Open Sans" w:hAnsi="Open Sans" w:cs="Open Sans"/>
        </w:rPr>
        <w:endnoteReference w:id="73"/>
      </w:r>
      <w:r w:rsidR="00D3797A">
        <w:rPr>
          <w:rFonts w:ascii="Open Sans" w:hAnsi="Open Sans" w:cs="Open Sans"/>
        </w:rPr>
        <w:t xml:space="preserve"> </w:t>
      </w:r>
    </w:p>
    <w:p w14:paraId="4FDB1C8A" w14:textId="112063CA" w:rsidR="00B44E93" w:rsidRDefault="00B44E93" w:rsidP="00D3797A">
      <w:pPr>
        <w:keepNext/>
        <w:keepLines/>
        <w:rPr>
          <w:rFonts w:ascii="Open Sans" w:hAnsi="Open Sans" w:cs="Open Sans"/>
        </w:rPr>
      </w:pPr>
      <w:r>
        <w:rPr>
          <w:rFonts w:ascii="Open Sans" w:hAnsi="Open Sans" w:cs="Open Sans"/>
        </w:rPr>
        <w:t>The 2024 results from the AEDC show that more children are developmentally vulnerable, with 23.5% of children vulnerable on one or more domain, and 12.5%</w:t>
      </w:r>
      <w:r w:rsidR="00BE415B">
        <w:rPr>
          <w:rFonts w:ascii="Open Sans" w:hAnsi="Open Sans" w:cs="Open Sans"/>
        </w:rPr>
        <w:t> </w:t>
      </w:r>
      <w:r>
        <w:rPr>
          <w:rFonts w:ascii="Open Sans" w:hAnsi="Open Sans" w:cs="Open Sans"/>
        </w:rPr>
        <w:t xml:space="preserve">vulnerable on </w:t>
      </w:r>
      <w:r w:rsidR="004B0C8D">
        <w:rPr>
          <w:rFonts w:ascii="Open Sans" w:hAnsi="Open Sans" w:cs="Open Sans"/>
        </w:rPr>
        <w:t>two</w:t>
      </w:r>
      <w:r>
        <w:rPr>
          <w:rFonts w:ascii="Open Sans" w:hAnsi="Open Sans" w:cs="Open Sans"/>
        </w:rPr>
        <w:t xml:space="preserve"> or more domains.</w:t>
      </w:r>
      <w:r>
        <w:rPr>
          <w:rStyle w:val="EndnoteReference"/>
          <w:rFonts w:ascii="Open Sans" w:hAnsi="Open Sans" w:cs="Open Sans"/>
        </w:rPr>
        <w:endnoteReference w:id="74"/>
      </w:r>
      <w:r>
        <w:rPr>
          <w:rFonts w:ascii="Open Sans" w:hAnsi="Open Sans" w:cs="Open Sans"/>
        </w:rPr>
        <w:t xml:space="preserve"> </w:t>
      </w:r>
      <w:r w:rsidR="00807425">
        <w:rPr>
          <w:rFonts w:ascii="Open Sans" w:hAnsi="Open Sans" w:cs="Open Sans"/>
        </w:rPr>
        <w:t>Social competence and emotional maturity have declined – key skills children need to</w:t>
      </w:r>
      <w:r w:rsidR="0000579E">
        <w:rPr>
          <w:rFonts w:ascii="Open Sans" w:hAnsi="Open Sans" w:cs="Open Sans"/>
        </w:rPr>
        <w:t> </w:t>
      </w:r>
      <w:r w:rsidR="00807425">
        <w:rPr>
          <w:rFonts w:ascii="Open Sans" w:hAnsi="Open Sans" w:cs="Open Sans"/>
        </w:rPr>
        <w:t xml:space="preserve">manage emotions, build relationships, and engage in learning. </w:t>
      </w:r>
      <w:r w:rsidR="00BE415B">
        <w:rPr>
          <w:rFonts w:ascii="Open Sans" w:hAnsi="Open Sans" w:cs="Open Sans"/>
        </w:rPr>
        <w:t>M</w:t>
      </w:r>
      <w:r>
        <w:rPr>
          <w:rFonts w:ascii="Open Sans" w:hAnsi="Open Sans" w:cs="Open Sans"/>
        </w:rPr>
        <w:t xml:space="preserve">ore children are starting school developmentally vulnerable, with the percentage of children on track across all </w:t>
      </w:r>
      <w:r w:rsidR="00807425">
        <w:rPr>
          <w:rFonts w:ascii="Open Sans" w:hAnsi="Open Sans" w:cs="Open Sans"/>
        </w:rPr>
        <w:t>five</w:t>
      </w:r>
      <w:r>
        <w:rPr>
          <w:rFonts w:ascii="Open Sans" w:hAnsi="Open Sans" w:cs="Open Sans"/>
        </w:rPr>
        <w:t xml:space="preserve"> domains dropping from 52.9% in 2024, down from nearly 54.8%.</w:t>
      </w:r>
      <w:r>
        <w:rPr>
          <w:rStyle w:val="EndnoteReference"/>
          <w:rFonts w:ascii="Open Sans" w:hAnsi="Open Sans" w:cs="Open Sans"/>
        </w:rPr>
        <w:endnoteReference w:id="75"/>
      </w:r>
    </w:p>
    <w:p w14:paraId="4DE8090E" w14:textId="7245C7EE" w:rsidR="00B44E93" w:rsidRDefault="00B44E93" w:rsidP="00B44E93">
      <w:pPr>
        <w:rPr>
          <w:rFonts w:ascii="Open Sans" w:hAnsi="Open Sans" w:cs="Open Sans"/>
        </w:rPr>
      </w:pPr>
      <w:r>
        <w:rPr>
          <w:rFonts w:ascii="Open Sans" w:hAnsi="Open Sans" w:cs="Open Sans"/>
        </w:rPr>
        <w:t xml:space="preserve">You can read more about the AEDC, including the latest results, in the </w:t>
      </w:r>
      <w:hyperlink r:id="rId20" w:history="1">
        <w:r w:rsidRPr="001F4ABA">
          <w:rPr>
            <w:rStyle w:val="Hyperlink"/>
            <w:rFonts w:ascii="Open Sans" w:hAnsi="Open Sans" w:cs="Open Sans"/>
          </w:rPr>
          <w:t>2024 AEDC National Report</w:t>
        </w:r>
      </w:hyperlink>
      <w:r>
        <w:rPr>
          <w:rFonts w:ascii="Open Sans" w:hAnsi="Open Sans" w:cs="Open Sans"/>
        </w:rPr>
        <w:t xml:space="preserve">. You can also find AEDC results for your local community, suburb or region using the </w:t>
      </w:r>
      <w:hyperlink r:id="rId21" w:history="1">
        <w:r w:rsidRPr="00740078">
          <w:rPr>
            <w:rStyle w:val="Hyperlink"/>
            <w:rFonts w:ascii="Open Sans" w:hAnsi="Open Sans" w:cs="Open Sans"/>
          </w:rPr>
          <w:t xml:space="preserve">Community </w:t>
        </w:r>
        <w:r w:rsidR="00F645BF">
          <w:rPr>
            <w:rStyle w:val="Hyperlink"/>
            <w:rFonts w:ascii="Open Sans" w:hAnsi="Open Sans" w:cs="Open Sans"/>
          </w:rPr>
          <w:t>Data</w:t>
        </w:r>
        <w:r w:rsidR="00F645BF" w:rsidRPr="00740078">
          <w:rPr>
            <w:rStyle w:val="Hyperlink"/>
            <w:rFonts w:ascii="Open Sans" w:hAnsi="Open Sans" w:cs="Open Sans"/>
          </w:rPr>
          <w:t xml:space="preserve"> </w:t>
        </w:r>
        <w:r w:rsidRPr="00740078">
          <w:rPr>
            <w:rStyle w:val="Hyperlink"/>
            <w:rFonts w:ascii="Open Sans" w:hAnsi="Open Sans" w:cs="Open Sans"/>
          </w:rPr>
          <w:t>Explorer</w:t>
        </w:r>
      </w:hyperlink>
      <w:r>
        <w:rPr>
          <w:rFonts w:ascii="Open Sans" w:hAnsi="Open Sans" w:cs="Open Sans"/>
        </w:rPr>
        <w:t>.</w:t>
      </w:r>
    </w:p>
    <w:p w14:paraId="59B04543" w14:textId="77777777" w:rsidR="00B44E93" w:rsidRDefault="00B44E93" w:rsidP="00334053">
      <w:pPr>
        <w:pStyle w:val="Heading4"/>
        <w:keepNext/>
        <w:keepLines/>
        <w:spacing w:after="200"/>
        <w:rPr>
          <w:rFonts w:ascii="Open Sans" w:hAnsi="Open Sans" w:cs="Open Sans"/>
          <w:b w:val="0"/>
          <w:bCs w:val="0"/>
          <w:i/>
          <w:iCs w:val="0"/>
          <w:sz w:val="22"/>
          <w:szCs w:val="20"/>
        </w:rPr>
      </w:pPr>
      <w:r w:rsidRPr="00061174">
        <w:rPr>
          <w:rFonts w:ascii="Open Sans" w:hAnsi="Open Sans" w:cs="Open Sans"/>
          <w:b w:val="0"/>
          <w:bCs w:val="0"/>
          <w:i/>
          <w:iCs w:val="0"/>
          <w:sz w:val="22"/>
          <w:szCs w:val="20"/>
        </w:rPr>
        <w:t>Rates of engagement with child protection agencies</w:t>
      </w:r>
      <w:r>
        <w:rPr>
          <w:rFonts w:ascii="Open Sans" w:hAnsi="Open Sans" w:cs="Open Sans"/>
          <w:b w:val="0"/>
          <w:bCs w:val="0"/>
          <w:i/>
          <w:iCs w:val="0"/>
          <w:sz w:val="22"/>
          <w:szCs w:val="20"/>
        </w:rPr>
        <w:t xml:space="preserve"> </w:t>
      </w:r>
    </w:p>
    <w:p w14:paraId="62430F7E" w14:textId="76DF4685" w:rsidR="00B44E93" w:rsidRDefault="00B44E93" w:rsidP="007E7B27">
      <w:pPr>
        <w:rPr>
          <w:rFonts w:ascii="Open Sans" w:hAnsi="Open Sans" w:cs="Open Sans"/>
        </w:rPr>
      </w:pPr>
      <w:r w:rsidRPr="00061174">
        <w:rPr>
          <w:rFonts w:ascii="Open Sans" w:hAnsi="Open Sans" w:cs="Open Sans"/>
        </w:rPr>
        <w:t>In 2023-24, 307,022 children aged 0-17 years were subject</w:t>
      </w:r>
      <w:r w:rsidR="00F645BF">
        <w:rPr>
          <w:rFonts w:ascii="Open Sans" w:hAnsi="Open Sans" w:cs="Open Sans"/>
        </w:rPr>
        <w:t xml:space="preserve"> to</w:t>
      </w:r>
      <w:r w:rsidRPr="00061174">
        <w:rPr>
          <w:rFonts w:ascii="Open Sans" w:hAnsi="Open Sans" w:cs="Open Sans"/>
        </w:rPr>
        <w:t xml:space="preserve"> notifications of alleged mistreatment, and 44,866 were in out-of-home care.</w:t>
      </w:r>
      <w:r w:rsidRPr="00061174">
        <w:rPr>
          <w:rStyle w:val="EndnoteReference"/>
          <w:rFonts w:ascii="Open Sans" w:hAnsi="Open Sans" w:cs="Open Sans"/>
        </w:rPr>
        <w:endnoteReference w:id="76"/>
      </w:r>
      <w:r w:rsidRPr="00061174">
        <w:rPr>
          <w:rFonts w:ascii="Open Sans" w:hAnsi="Open Sans" w:cs="Open Sans"/>
        </w:rPr>
        <w:t xml:space="preserve"> </w:t>
      </w:r>
      <w:r w:rsidR="007E7B27">
        <w:rPr>
          <w:rFonts w:ascii="Open Sans" w:hAnsi="Open Sans" w:cs="Open Sans"/>
        </w:rPr>
        <w:t xml:space="preserve">High-quality, evidence-based early support can strengthen parenting and family wellbeing, while easing pressure on crisis services. </w:t>
      </w:r>
    </w:p>
    <w:p w14:paraId="69666E70" w14:textId="37590E87" w:rsidR="006A2935" w:rsidRPr="00061174" w:rsidRDefault="007E7B27" w:rsidP="007E7B27">
      <w:pPr>
        <w:rPr>
          <w:rFonts w:ascii="Open Sans" w:hAnsi="Open Sans" w:cs="Open Sans"/>
        </w:rPr>
      </w:pPr>
      <w:r>
        <w:rPr>
          <w:rFonts w:ascii="Open Sans" w:hAnsi="Open Sans" w:cs="Open Sans"/>
        </w:rPr>
        <w:t xml:space="preserve">Currently, the department only has access to child protection data at the state and territory level. More detailed local data – such as rates of notifications, investigations, and substantiations – would help governments better target services to areas of greatest need. </w:t>
      </w:r>
    </w:p>
    <w:p w14:paraId="41B63F52" w14:textId="77777777" w:rsidR="00B44E93" w:rsidRPr="00E30B9D" w:rsidRDefault="00B44E93" w:rsidP="008E3912">
      <w:pPr>
        <w:pStyle w:val="Heading2"/>
        <w:keepNext/>
        <w:keepLines/>
        <w:widowControl w:val="0"/>
        <w:numPr>
          <w:ilvl w:val="0"/>
          <w:numId w:val="14"/>
        </w:numPr>
        <w:ind w:left="0" w:firstLine="0"/>
        <w:rPr>
          <w:rFonts w:ascii="Open Sans" w:hAnsi="Open Sans" w:cs="Open Sans"/>
        </w:rPr>
      </w:pPr>
      <w:r>
        <w:rPr>
          <w:rFonts w:ascii="Open Sans" w:hAnsi="Open Sans" w:cs="Open Sans"/>
        </w:rPr>
        <w:t xml:space="preserve">Working together </w:t>
      </w:r>
    </w:p>
    <w:p w14:paraId="07A811DF" w14:textId="5CFBD301" w:rsidR="00B44E93" w:rsidRDefault="00B44E93" w:rsidP="00334053">
      <w:pPr>
        <w:pStyle w:val="Heading4"/>
        <w:spacing w:after="200" w:line="240" w:lineRule="auto"/>
        <w:rPr>
          <w:rFonts w:ascii="Open Sans" w:hAnsi="Open Sans" w:cs="Open Sans"/>
        </w:rPr>
      </w:pPr>
      <w:r>
        <w:rPr>
          <w:rFonts w:ascii="Open Sans" w:hAnsi="Open Sans" w:cs="Open Sans"/>
        </w:rPr>
        <w:t xml:space="preserve">Streamlined reporting arrangements </w:t>
      </w:r>
    </w:p>
    <w:p w14:paraId="55C24CC3" w14:textId="77777777" w:rsidR="00B44E93" w:rsidRPr="00F62775" w:rsidRDefault="00B44E93" w:rsidP="00334053">
      <w:pPr>
        <w:pStyle w:val="Heading4"/>
        <w:keepNext/>
        <w:keepLines/>
        <w:spacing w:after="200"/>
        <w:rPr>
          <w:rFonts w:ascii="Open Sans" w:hAnsi="Open Sans" w:cs="Open Sans"/>
          <w:b w:val="0"/>
          <w:bCs w:val="0"/>
          <w:i/>
          <w:iCs w:val="0"/>
          <w:sz w:val="22"/>
          <w:szCs w:val="20"/>
        </w:rPr>
      </w:pPr>
      <w:r w:rsidRPr="69026B43">
        <w:rPr>
          <w:rFonts w:ascii="Open Sans" w:hAnsi="Open Sans" w:cs="Open Sans"/>
          <w:b w:val="0"/>
          <w:bCs w:val="0"/>
          <w:i/>
          <w:sz w:val="22"/>
          <w:szCs w:val="22"/>
        </w:rPr>
        <w:t xml:space="preserve">Grant reporting </w:t>
      </w:r>
    </w:p>
    <w:p w14:paraId="61F011EB" w14:textId="12584585" w:rsidR="006A2935" w:rsidRPr="00673568" w:rsidRDefault="572034B9" w:rsidP="008E3912">
      <w:pPr>
        <w:keepNext/>
        <w:keepLines/>
        <w:widowControl w:val="0"/>
        <w:rPr>
          <w:rFonts w:ascii="Open Sans" w:hAnsi="Open Sans" w:cs="Open Sans"/>
        </w:rPr>
      </w:pPr>
      <w:r w:rsidRPr="69026B43">
        <w:rPr>
          <w:rFonts w:ascii="Open Sans" w:hAnsi="Open Sans" w:cs="Open Sans"/>
        </w:rPr>
        <w:t>Social services often spend a lot of time and money on reporting – mainly because of</w:t>
      </w:r>
      <w:r w:rsidR="0000579E">
        <w:rPr>
          <w:rFonts w:ascii="Open Sans" w:hAnsi="Open Sans" w:cs="Open Sans"/>
        </w:rPr>
        <w:t> </w:t>
      </w:r>
      <w:r w:rsidRPr="69026B43">
        <w:rPr>
          <w:rFonts w:ascii="Open Sans" w:hAnsi="Open Sans" w:cs="Open Sans"/>
        </w:rPr>
        <w:t xml:space="preserve">overlapping requirements and the need to provide data that doesn’t always help improve service quality or delivery. </w:t>
      </w:r>
      <w:r w:rsidR="00122E9A">
        <w:rPr>
          <w:rFonts w:ascii="Open Sans" w:hAnsi="Open Sans" w:cs="Open Sans"/>
        </w:rPr>
        <w:t>In 2016</w:t>
      </w:r>
      <w:r w:rsidR="00A91860">
        <w:rPr>
          <w:rFonts w:ascii="Open Sans" w:hAnsi="Open Sans" w:cs="Open Sans"/>
        </w:rPr>
        <w:t>,</w:t>
      </w:r>
      <w:r w:rsidR="00B44E93" w:rsidRPr="00673568">
        <w:rPr>
          <w:rFonts w:ascii="Open Sans" w:hAnsi="Open Sans" w:cs="Open Sans"/>
        </w:rPr>
        <w:t xml:space="preserve"> the Victorian Council of Social Services </w:t>
      </w:r>
      <w:r w:rsidR="00122E9A">
        <w:rPr>
          <w:rFonts w:ascii="Open Sans" w:hAnsi="Open Sans" w:cs="Open Sans"/>
        </w:rPr>
        <w:t>reported</w:t>
      </w:r>
      <w:r w:rsidR="00122E9A" w:rsidRPr="00673568">
        <w:rPr>
          <w:rFonts w:ascii="Open Sans" w:hAnsi="Open Sans" w:cs="Open Sans"/>
        </w:rPr>
        <w:t xml:space="preserve"> </w:t>
      </w:r>
      <w:r w:rsidR="00B44E93" w:rsidRPr="00673568">
        <w:rPr>
          <w:rFonts w:ascii="Open Sans" w:hAnsi="Open Sans" w:cs="Open Sans"/>
        </w:rPr>
        <w:t xml:space="preserve">that charities </w:t>
      </w:r>
      <w:r w:rsidR="00122E9A">
        <w:rPr>
          <w:rFonts w:ascii="Open Sans" w:hAnsi="Open Sans" w:cs="Open Sans"/>
        </w:rPr>
        <w:t>spend</w:t>
      </w:r>
      <w:r w:rsidR="00B44E93" w:rsidRPr="00673568">
        <w:rPr>
          <w:rFonts w:ascii="Open Sans" w:hAnsi="Open Sans" w:cs="Open Sans"/>
        </w:rPr>
        <w:t xml:space="preserve"> on average 291</w:t>
      </w:r>
      <w:r w:rsidR="00122E9A">
        <w:rPr>
          <w:rFonts w:ascii="Open Sans" w:hAnsi="Open Sans" w:cs="Open Sans"/>
        </w:rPr>
        <w:t> </w:t>
      </w:r>
      <w:r w:rsidR="00B44E93" w:rsidRPr="00673568">
        <w:rPr>
          <w:rFonts w:ascii="Open Sans" w:hAnsi="Open Sans" w:cs="Open Sans"/>
        </w:rPr>
        <w:t>paid staff hours and 47 unpaid hours a year on reporting to government agencies.</w:t>
      </w:r>
      <w:r w:rsidR="00122E9A" w:rsidRPr="00673568">
        <w:rPr>
          <w:rStyle w:val="EndnoteReference"/>
          <w:rFonts w:ascii="Open Sans" w:hAnsi="Open Sans" w:cs="Open Sans"/>
        </w:rPr>
        <w:endnoteReference w:id="77"/>
      </w:r>
      <w:r w:rsidR="00B44E93" w:rsidRPr="00673568">
        <w:rPr>
          <w:rFonts w:ascii="Open Sans" w:hAnsi="Open Sans" w:cs="Open Sans"/>
        </w:rPr>
        <w:t xml:space="preserve"> For large organisations, this can be as much as 537 paid staff hours.</w:t>
      </w:r>
    </w:p>
    <w:p w14:paraId="45FC7B3A" w14:textId="36B12542" w:rsidR="00B44E93" w:rsidRDefault="00471382" w:rsidP="69026B43">
      <w:pPr>
        <w:rPr>
          <w:rFonts w:ascii="Open Sans" w:hAnsi="Open Sans" w:cs="Open Sans"/>
          <w:b/>
          <w:bCs/>
        </w:rPr>
      </w:pPr>
      <w:r w:rsidRPr="69026B43">
        <w:rPr>
          <w:rFonts w:ascii="Open Sans" w:hAnsi="Open Sans" w:cs="Open Sans"/>
        </w:rPr>
        <w:t xml:space="preserve">In more recent consultations with </w:t>
      </w:r>
      <w:r w:rsidR="00B44E93" w:rsidRPr="69026B43">
        <w:rPr>
          <w:rFonts w:ascii="Open Sans" w:hAnsi="Open Sans" w:cs="Open Sans"/>
        </w:rPr>
        <w:t>community sector organisations</w:t>
      </w:r>
      <w:r w:rsidRPr="69026B43">
        <w:rPr>
          <w:rFonts w:ascii="Open Sans" w:hAnsi="Open Sans" w:cs="Open Sans"/>
        </w:rPr>
        <w:t>, providers highlighted the significant reporting burdens they experience</w:t>
      </w:r>
      <w:r w:rsidR="00B44E93" w:rsidRPr="69026B43">
        <w:rPr>
          <w:rFonts w:ascii="Open Sans" w:hAnsi="Open Sans" w:cs="Open Sans"/>
        </w:rPr>
        <w:t xml:space="preserve">. You can read more about this in the </w:t>
      </w:r>
      <w:r w:rsidR="00B44E93" w:rsidRPr="69026B43">
        <w:rPr>
          <w:rFonts w:ascii="Open Sans" w:hAnsi="Open Sans" w:cs="Open Sans"/>
          <w:b/>
          <w:bCs/>
        </w:rPr>
        <w:t>Consultation Summary.</w:t>
      </w:r>
      <w:r w:rsidRPr="69026B43">
        <w:rPr>
          <w:rFonts w:ascii="Open Sans" w:hAnsi="Open Sans" w:cs="Open Sans"/>
          <w:b/>
          <w:bCs/>
        </w:rPr>
        <w:t xml:space="preserve"> </w:t>
      </w:r>
    </w:p>
    <w:p w14:paraId="330D2329" w14:textId="527EA5F4" w:rsidR="00B44E93" w:rsidRDefault="00471382" w:rsidP="00B44E93">
      <w:pPr>
        <w:rPr>
          <w:rFonts w:ascii="Open Sans" w:hAnsi="Open Sans" w:cs="Open Sans"/>
          <w:b/>
          <w:bCs/>
        </w:rPr>
      </w:pPr>
      <w:r w:rsidRPr="69026B43">
        <w:rPr>
          <w:rFonts w:ascii="Open Sans" w:hAnsi="Open Sans" w:cs="Open Sans"/>
        </w:rPr>
        <w:lastRenderedPageBreak/>
        <w:t>Pillar 3 of the Community Sector Grants Engagement Framework, commits to reducing administrative burden</w:t>
      </w:r>
      <w:r w:rsidR="003F4A95" w:rsidRPr="69026B43">
        <w:rPr>
          <w:rFonts w:ascii="Open Sans" w:hAnsi="Open Sans" w:cs="Open Sans"/>
        </w:rPr>
        <w:t xml:space="preserve">, making processes more efficient so organisations can spend more time delivering real outcomes for communities. </w:t>
      </w:r>
      <w:r w:rsidRPr="69026B43">
        <w:rPr>
          <w:rFonts w:ascii="Open Sans" w:hAnsi="Open Sans" w:cs="Open Sans"/>
        </w:rPr>
        <w:t xml:space="preserve"> </w:t>
      </w:r>
    </w:p>
    <w:p w14:paraId="1A0AB07E" w14:textId="77777777" w:rsidR="00B44E93" w:rsidRDefault="00B44E93" w:rsidP="00334053">
      <w:pPr>
        <w:pStyle w:val="Heading4"/>
        <w:keepNext/>
        <w:keepLines/>
        <w:spacing w:after="200"/>
        <w:rPr>
          <w:rFonts w:ascii="Open Sans" w:hAnsi="Open Sans" w:cs="Open Sans"/>
          <w:b w:val="0"/>
          <w:bCs w:val="0"/>
          <w:i/>
          <w:iCs w:val="0"/>
          <w:sz w:val="22"/>
          <w:szCs w:val="20"/>
        </w:rPr>
      </w:pPr>
      <w:r w:rsidRPr="00F62775">
        <w:rPr>
          <w:rFonts w:ascii="Open Sans" w:hAnsi="Open Sans" w:cs="Open Sans"/>
          <w:b w:val="0"/>
          <w:bCs w:val="0"/>
          <w:i/>
          <w:iCs w:val="0"/>
          <w:sz w:val="22"/>
          <w:szCs w:val="20"/>
        </w:rPr>
        <w:t>Outcomes reporting</w:t>
      </w:r>
    </w:p>
    <w:p w14:paraId="76590179" w14:textId="77777777" w:rsidR="00700C0A" w:rsidRDefault="00B44E93" w:rsidP="00B44E93">
      <w:pPr>
        <w:rPr>
          <w:rFonts w:ascii="Open Sans" w:hAnsi="Open Sans" w:cs="Open Sans"/>
        </w:rPr>
      </w:pPr>
      <w:r>
        <w:rPr>
          <w:rFonts w:ascii="Open Sans" w:hAnsi="Open Sans" w:cs="Open Sans"/>
        </w:rPr>
        <w:t xml:space="preserve">Measuring </w:t>
      </w:r>
      <w:r w:rsidR="00700C0A">
        <w:rPr>
          <w:rFonts w:ascii="Open Sans" w:hAnsi="Open Sans" w:cs="Open Sans"/>
        </w:rPr>
        <w:t xml:space="preserve">the impact of services is essential to make sure government funding goes to what works best for children, young people and families. </w:t>
      </w:r>
    </w:p>
    <w:p w14:paraId="4C6C1523" w14:textId="519F22A8" w:rsidR="00B44E93" w:rsidRDefault="00700C0A" w:rsidP="00B44E93">
      <w:pPr>
        <w:rPr>
          <w:rFonts w:ascii="Open Sans" w:hAnsi="Open Sans" w:cs="Open Sans"/>
        </w:rPr>
      </w:pPr>
      <w:r>
        <w:rPr>
          <w:rFonts w:ascii="Open Sans" w:hAnsi="Open Sans" w:cs="Open Sans"/>
        </w:rPr>
        <w:t xml:space="preserve">The Community Sector Grants Engagement Framework supports this by designing grant activities around clear outcomes and linking reporting directly to those goals. This approach also helps government connect policy decisions with wellbeing measures, as outlined in </w:t>
      </w:r>
      <w:r w:rsidR="00B44E93">
        <w:rPr>
          <w:rFonts w:ascii="Open Sans" w:hAnsi="Open Sans" w:cs="Open Sans"/>
        </w:rPr>
        <w:t xml:space="preserve">Measuring What Matters: Australia’s First Wellbeing Framework (Measuring What Matters). </w:t>
      </w:r>
    </w:p>
    <w:p w14:paraId="106654BA" w14:textId="2796D183" w:rsidR="00700C0A" w:rsidRDefault="00B44E93" w:rsidP="00B44E93">
      <w:pPr>
        <w:rPr>
          <w:rFonts w:ascii="Open Sans" w:hAnsi="Open Sans" w:cs="Open Sans"/>
        </w:rPr>
      </w:pPr>
      <w:r>
        <w:rPr>
          <w:rFonts w:ascii="Open Sans" w:hAnsi="Open Sans" w:cs="Open Sans"/>
        </w:rPr>
        <w:t xml:space="preserve">You can read more about the Community Sector Grants Engagement Framework here: </w:t>
      </w:r>
      <w:hyperlink r:id="rId22" w:history="1">
        <w:r w:rsidRPr="00011909">
          <w:rPr>
            <w:rStyle w:val="Hyperlink"/>
            <w:rFonts w:ascii="Open Sans" w:hAnsi="Open Sans" w:cs="Open Sans"/>
          </w:rPr>
          <w:t>Community Sector Grants Engagement Framework</w:t>
        </w:r>
      </w:hyperlink>
      <w:r>
        <w:rPr>
          <w:rFonts w:ascii="Open Sans" w:hAnsi="Open Sans" w:cs="Open Sans"/>
        </w:rPr>
        <w:t xml:space="preserve"> and about Measuring What Matters here: </w:t>
      </w:r>
      <w:hyperlink r:id="rId23" w:history="1">
        <w:r w:rsidRPr="00011909">
          <w:rPr>
            <w:rStyle w:val="Hyperlink"/>
            <w:rFonts w:ascii="Open Sans" w:hAnsi="Open Sans" w:cs="Open Sans"/>
          </w:rPr>
          <w:t>Measuring What Matters</w:t>
        </w:r>
      </w:hyperlink>
      <w:r>
        <w:rPr>
          <w:rFonts w:ascii="Open Sans" w:hAnsi="Open Sans" w:cs="Open Sans"/>
        </w:rPr>
        <w:t>.</w:t>
      </w:r>
    </w:p>
    <w:p w14:paraId="3FADE8CB" w14:textId="77777777" w:rsidR="006A2935" w:rsidRDefault="00B44E93" w:rsidP="006A2935">
      <w:pPr>
        <w:pStyle w:val="Heading4"/>
        <w:spacing w:after="200" w:line="240" w:lineRule="auto"/>
        <w:rPr>
          <w:rFonts w:ascii="Open Sans" w:hAnsi="Open Sans" w:cs="Open Sans"/>
        </w:rPr>
      </w:pPr>
      <w:r w:rsidRPr="00E1006A">
        <w:rPr>
          <w:rFonts w:ascii="Open Sans" w:hAnsi="Open Sans" w:cs="Open Sans"/>
        </w:rPr>
        <w:t>Alternative ways of commissioning</w:t>
      </w:r>
    </w:p>
    <w:p w14:paraId="4C8DF89A" w14:textId="6F197BC3" w:rsidR="00B44E93" w:rsidRPr="006A2935" w:rsidRDefault="00B44E93" w:rsidP="006A2935">
      <w:pPr>
        <w:pStyle w:val="Heading4"/>
        <w:spacing w:after="200" w:line="240" w:lineRule="auto"/>
        <w:rPr>
          <w:rFonts w:ascii="Open Sans" w:hAnsi="Open Sans" w:cs="Open Sans"/>
          <w:b w:val="0"/>
          <w:bCs w:val="0"/>
          <w:color w:val="auto"/>
          <w:sz w:val="22"/>
          <w:szCs w:val="22"/>
        </w:rPr>
      </w:pPr>
      <w:r w:rsidRPr="006A2935">
        <w:rPr>
          <w:rFonts w:ascii="Open Sans" w:hAnsi="Open Sans" w:cs="Open Sans"/>
          <w:b w:val="0"/>
          <w:bCs w:val="0"/>
          <w:color w:val="auto"/>
          <w:sz w:val="22"/>
          <w:szCs w:val="22"/>
        </w:rPr>
        <w:t>Relational contracting is an alternative to a transactional contract traditionally used between government and service providers. There are calls from the sector to move towards a relational model of service delivery (built on trust and collaboration) to achieve better outcomes for children and families.</w:t>
      </w:r>
      <w:r w:rsidRPr="006A2935">
        <w:rPr>
          <w:rStyle w:val="EndnoteReference"/>
          <w:rFonts w:ascii="Open Sans" w:hAnsi="Open Sans" w:cs="Open Sans"/>
          <w:b w:val="0"/>
          <w:bCs w:val="0"/>
          <w:color w:val="auto"/>
          <w:sz w:val="22"/>
          <w:szCs w:val="22"/>
        </w:rPr>
        <w:endnoteReference w:id="78"/>
      </w:r>
    </w:p>
    <w:p w14:paraId="60176B5E" w14:textId="379207B6" w:rsidR="007B4EF3" w:rsidRDefault="007B4EF3" w:rsidP="00B44E93">
      <w:pPr>
        <w:keepNext/>
        <w:rPr>
          <w:rFonts w:ascii="Open Sans" w:hAnsi="Open Sans" w:cs="Open Sans"/>
        </w:rPr>
      </w:pPr>
      <w:r>
        <w:rPr>
          <w:rFonts w:ascii="Open Sans" w:hAnsi="Open Sans" w:cs="Open Sans"/>
        </w:rPr>
        <w:t xml:space="preserve">One of the benefits of relational contracting is its flexibility. Instead of focusing on rigid processes, it prioritises achieving shared goals – allowing services to adapt how they get there. This is especially valuable in social services, where complex and changing needs mean families and children often benefit from tailored, responsive approaches. </w:t>
      </w:r>
    </w:p>
    <w:p w14:paraId="3E56EA9B" w14:textId="5FF05D56" w:rsidR="00D75597" w:rsidRDefault="00B44E93" w:rsidP="00B44E93">
      <w:pPr>
        <w:keepNext/>
        <w:rPr>
          <w:rFonts w:ascii="Open Sans" w:hAnsi="Open Sans" w:cs="Open Sans"/>
        </w:rPr>
      </w:pPr>
      <w:r>
        <w:rPr>
          <w:rFonts w:ascii="Open Sans" w:hAnsi="Open Sans" w:cs="Open Sans"/>
        </w:rPr>
        <w:t xml:space="preserve">While the evidence-base for relational contracting in an Australian </w:t>
      </w:r>
      <w:r w:rsidR="00471382">
        <w:rPr>
          <w:rFonts w:ascii="Open Sans" w:hAnsi="Open Sans" w:cs="Open Sans"/>
        </w:rPr>
        <w:t xml:space="preserve">social services </w:t>
      </w:r>
      <w:r>
        <w:rPr>
          <w:rFonts w:ascii="Open Sans" w:hAnsi="Open Sans" w:cs="Open Sans"/>
        </w:rPr>
        <w:t xml:space="preserve">context is </w:t>
      </w:r>
      <w:r w:rsidR="00471382">
        <w:rPr>
          <w:rFonts w:ascii="Open Sans" w:hAnsi="Open Sans" w:cs="Open Sans"/>
        </w:rPr>
        <w:t>still developing</w:t>
      </w:r>
      <w:r>
        <w:rPr>
          <w:rFonts w:ascii="Open Sans" w:hAnsi="Open Sans" w:cs="Open Sans"/>
        </w:rPr>
        <w:t>, there have been positive outcomes from the use of relational contracting overseas. For example, a quasi</w:t>
      </w:r>
      <w:r w:rsidR="16A3D401">
        <w:rPr>
          <w:rFonts w:ascii="Open Sans" w:hAnsi="Open Sans" w:cs="Open Sans"/>
        </w:rPr>
        <w:t>-</w:t>
      </w:r>
      <w:r>
        <w:rPr>
          <w:rFonts w:ascii="Open Sans" w:hAnsi="Open Sans" w:cs="Open Sans"/>
        </w:rPr>
        <w:t>experimental study in northern England found a relational contracting approach to be both less costly and more effective in achieving outcomes, despite higher transaction costs associated with implementing a new approach.</w:t>
      </w:r>
      <w:r>
        <w:rPr>
          <w:rStyle w:val="EndnoteReference"/>
          <w:rFonts w:ascii="Open Sans" w:hAnsi="Open Sans" w:cs="Open Sans"/>
        </w:rPr>
        <w:endnoteReference w:id="79"/>
      </w:r>
    </w:p>
    <w:p w14:paraId="035369F6" w14:textId="77777777" w:rsidR="006B0F16" w:rsidRDefault="006B0F16">
      <w:pPr>
        <w:spacing w:after="240"/>
        <w:rPr>
          <w:rFonts w:ascii="Open Sans" w:eastAsiaTheme="majorEastAsia" w:hAnsi="Open Sans" w:cs="Open Sans"/>
          <w:b/>
          <w:bCs/>
          <w:iCs/>
          <w:color w:val="005A70" w:themeColor="accent1"/>
          <w:sz w:val="28"/>
        </w:rPr>
      </w:pPr>
      <w:r>
        <w:rPr>
          <w:rFonts w:ascii="Open Sans" w:hAnsi="Open Sans" w:cs="Open Sans"/>
        </w:rPr>
        <w:br w:type="page"/>
      </w:r>
    </w:p>
    <w:p w14:paraId="64EE7D6E" w14:textId="6E8F1CDE" w:rsidR="00D75597" w:rsidRDefault="00D75597" w:rsidP="00D75597">
      <w:pPr>
        <w:pStyle w:val="Heading4"/>
        <w:spacing w:after="200" w:line="240" w:lineRule="auto"/>
      </w:pPr>
      <w:r>
        <w:rPr>
          <w:rFonts w:ascii="Open Sans" w:hAnsi="Open Sans" w:cs="Open Sans"/>
        </w:rPr>
        <w:lastRenderedPageBreak/>
        <w:t xml:space="preserve">Conclusion </w:t>
      </w:r>
    </w:p>
    <w:p w14:paraId="39182CAF" w14:textId="665F98D8" w:rsidR="00D75597" w:rsidRPr="00D75597" w:rsidRDefault="00D75597" w:rsidP="00D75597">
      <w:pPr>
        <w:keepNext/>
        <w:rPr>
          <w:rFonts w:ascii="Open Sans" w:hAnsi="Open Sans" w:cs="Open Sans"/>
        </w:rPr>
      </w:pPr>
      <w:r w:rsidRPr="00D75597">
        <w:rPr>
          <w:rFonts w:ascii="Open Sans" w:hAnsi="Open Sans" w:cs="Open Sans"/>
        </w:rPr>
        <w:t xml:space="preserve">This paper has outlined the research and evidence that informed the </w:t>
      </w:r>
      <w:r w:rsidR="004117EF">
        <w:rPr>
          <w:rFonts w:ascii="Open Sans" w:hAnsi="Open Sans" w:cs="Open Sans"/>
        </w:rPr>
        <w:t>Australian Government’s proposed</w:t>
      </w:r>
      <w:r w:rsidRPr="00D75597">
        <w:rPr>
          <w:rFonts w:ascii="Open Sans" w:hAnsi="Open Sans" w:cs="Open Sans"/>
        </w:rPr>
        <w:t xml:space="preserve"> reforms to children and family programs, as set out in the </w:t>
      </w:r>
      <w:r w:rsidRPr="00D75597">
        <w:rPr>
          <w:rFonts w:ascii="Open Sans" w:hAnsi="Open Sans" w:cs="Open Sans"/>
          <w:i/>
          <w:iCs/>
        </w:rPr>
        <w:t>Discussion Paper: A new approach to children and family programs</w:t>
      </w:r>
      <w:r w:rsidRPr="00D75597">
        <w:rPr>
          <w:rFonts w:ascii="Open Sans" w:hAnsi="Open Sans" w:cs="Open Sans"/>
        </w:rPr>
        <w:t>. Drawing on insights from previous consultations and structured across three key areas—program structure, investment priorities, and new ways of</w:t>
      </w:r>
      <w:r w:rsidR="0000579E">
        <w:rPr>
          <w:rFonts w:ascii="Open Sans" w:hAnsi="Open Sans" w:cs="Open Sans"/>
        </w:rPr>
        <w:t> </w:t>
      </w:r>
      <w:r w:rsidRPr="00D75597">
        <w:rPr>
          <w:rFonts w:ascii="Open Sans" w:hAnsi="Open Sans" w:cs="Open Sans"/>
        </w:rPr>
        <w:t>working with service providers—the paper provides a foundation for meaningful reform.</w:t>
      </w:r>
    </w:p>
    <w:p w14:paraId="6F77104F" w14:textId="77777777" w:rsidR="00D75597" w:rsidRPr="00D75597" w:rsidRDefault="00D75597" w:rsidP="00D75597">
      <w:pPr>
        <w:keepNext/>
        <w:rPr>
          <w:rFonts w:ascii="Open Sans" w:hAnsi="Open Sans" w:cs="Open Sans"/>
        </w:rPr>
      </w:pPr>
      <w:r w:rsidRPr="00D75597">
        <w:rPr>
          <w:rFonts w:ascii="Open Sans" w:hAnsi="Open Sans" w:cs="Open Sans"/>
        </w:rPr>
        <w:t xml:space="preserve">These findings should be considered alongside the </w:t>
      </w:r>
      <w:r w:rsidRPr="00D75597">
        <w:rPr>
          <w:rFonts w:ascii="Open Sans" w:hAnsi="Open Sans" w:cs="Open Sans"/>
          <w:i/>
          <w:iCs/>
        </w:rPr>
        <w:t>Consultation Summary</w:t>
      </w:r>
      <w:r w:rsidRPr="00D75597">
        <w:rPr>
          <w:rFonts w:ascii="Open Sans" w:hAnsi="Open Sans" w:cs="Open Sans"/>
        </w:rPr>
        <w:t>, which captures the voices and experiences of stakeholders and communities. Together, they shape a reform agenda that is grounded in evidence and focused on improving outcomes for children and families.</w:t>
      </w:r>
    </w:p>
    <w:p w14:paraId="6F59C1B0" w14:textId="77777777" w:rsidR="00D75597" w:rsidRDefault="00D75597" w:rsidP="00B44E93">
      <w:pPr>
        <w:keepNext/>
      </w:pPr>
    </w:p>
    <w:p w14:paraId="1DA864B6" w14:textId="5F6FC227" w:rsidR="005114AA" w:rsidRPr="00B44E93" w:rsidRDefault="007B4EF3" w:rsidP="0000579E">
      <w:pPr>
        <w:spacing w:after="240"/>
        <w:rPr>
          <w:rFonts w:ascii="Open Sans" w:hAnsi="Open Sans" w:cs="Open Sans"/>
        </w:rPr>
      </w:pPr>
      <w:r>
        <w:rPr>
          <w:rFonts w:ascii="Open Sans" w:hAnsi="Open Sans" w:cs="Open Sans"/>
        </w:rPr>
        <w:br w:type="page"/>
      </w:r>
    </w:p>
    <w:sectPr w:rsidR="005114AA" w:rsidRPr="00B44E93" w:rsidSect="00DC08E5">
      <w:headerReference w:type="default" r:id="rId24"/>
      <w:endnotePr>
        <w:numFmt w:val="decimal"/>
      </w:endnotePr>
      <w:type w:val="continuous"/>
      <w:pgSz w:w="11906" w:h="16838"/>
      <w:pgMar w:top="851" w:right="851" w:bottom="851" w:left="851" w:header="0"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6E5D" w14:textId="77777777" w:rsidR="00D75650" w:rsidRDefault="00D75650" w:rsidP="008F3023">
      <w:pPr>
        <w:spacing w:after="0" w:line="240" w:lineRule="auto"/>
      </w:pPr>
      <w:r>
        <w:separator/>
      </w:r>
    </w:p>
  </w:endnote>
  <w:endnote w:type="continuationSeparator" w:id="0">
    <w:p w14:paraId="247216F2" w14:textId="77777777" w:rsidR="00D75650" w:rsidRDefault="00D75650" w:rsidP="008F3023">
      <w:pPr>
        <w:spacing w:after="0" w:line="240" w:lineRule="auto"/>
      </w:pPr>
      <w:r>
        <w:continuationSeparator/>
      </w:r>
    </w:p>
  </w:endnote>
  <w:endnote w:type="continuationNotice" w:id="1">
    <w:p w14:paraId="06B93CF4" w14:textId="77777777" w:rsidR="00D75650" w:rsidRDefault="00D75650">
      <w:pPr>
        <w:spacing w:after="0" w:line="240" w:lineRule="auto"/>
      </w:pPr>
    </w:p>
  </w:endnote>
  <w:endnote w:id="2">
    <w:p w14:paraId="4996D7FC" w14:textId="77777777" w:rsidR="00B44E93" w:rsidRPr="00DF08EC" w:rsidRDefault="00B44E93" w:rsidP="00B44E93">
      <w:pPr>
        <w:pStyle w:val="EndnoteText"/>
        <w:rPr>
          <w:rFonts w:ascii="Open Sans" w:hAnsi="Open Sans" w:cs="Open Sans"/>
          <w:b/>
          <w:bCs/>
          <w:u w:val="single"/>
        </w:rPr>
      </w:pPr>
      <w:r>
        <w:rPr>
          <w:rFonts w:ascii="Open Sans" w:hAnsi="Open Sans" w:cs="Open Sans"/>
          <w:b/>
          <w:bCs/>
          <w:u w:val="single"/>
        </w:rPr>
        <w:t>References</w:t>
      </w:r>
    </w:p>
    <w:p w14:paraId="3AE8CB0B"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Australian Institute of Family Studies (AIFS), </w:t>
      </w:r>
      <w:hyperlink r:id="rId1" w:history="1">
        <w:r w:rsidRPr="00560118">
          <w:rPr>
            <w:rStyle w:val="Hyperlink"/>
            <w:rFonts w:ascii="Open Sans" w:hAnsi="Open Sans" w:cs="Open Sans"/>
            <w:i/>
            <w:iCs/>
          </w:rPr>
          <w:t>The public health approach to preventing child maltreatment</w:t>
        </w:r>
      </w:hyperlink>
      <w:r w:rsidRPr="00560118">
        <w:rPr>
          <w:rFonts w:ascii="Open Sans" w:hAnsi="Open Sans" w:cs="Open Sans"/>
        </w:rPr>
        <w:t xml:space="preserve">, AIFS, 2016, accessed 17 October 2025. </w:t>
      </w:r>
    </w:p>
  </w:endnote>
  <w:endnote w:id="3">
    <w:p w14:paraId="0FC23F70" w14:textId="77777777" w:rsidR="00B44E93" w:rsidRPr="00560118" w:rsidRDefault="00B44E93" w:rsidP="00B44E93">
      <w:pPr>
        <w:spacing w:after="0"/>
        <w:rPr>
          <w:rFonts w:ascii="Open Sans" w:hAnsi="Open Sans" w:cs="Open Sans"/>
          <w:sz w:val="20"/>
          <w:szCs w:val="20"/>
        </w:rPr>
      </w:pPr>
      <w:r w:rsidRPr="00560118">
        <w:rPr>
          <w:rStyle w:val="EndnoteReference"/>
          <w:rFonts w:ascii="Open Sans" w:hAnsi="Open Sans" w:cs="Open Sans"/>
        </w:rPr>
        <w:endnoteRef/>
      </w:r>
      <w:r w:rsidRPr="00560118">
        <w:rPr>
          <w:rFonts w:ascii="Open Sans" w:hAnsi="Open Sans" w:cs="Open Sans"/>
          <w:sz w:val="20"/>
          <w:szCs w:val="20"/>
        </w:rPr>
        <w:t xml:space="preserve"> AIFS, ‘The public health approach to preventing child maltreatment’.</w:t>
      </w:r>
    </w:p>
  </w:endnote>
  <w:endnote w:id="4">
    <w:p w14:paraId="2A086862"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JS Ringel, D Schultz, J Mendelsohn, SB Holliday, K Sieck, I Edochie and L Davis, ‘</w:t>
      </w:r>
      <w:hyperlink r:id="rId2" w:history="1">
        <w:r w:rsidRPr="00560118">
          <w:rPr>
            <w:rStyle w:val="Hyperlink"/>
            <w:rFonts w:ascii="Open Sans" w:hAnsi="Open Sans" w:cs="Open Sans"/>
          </w:rPr>
          <w:t>Improving Child Welfare Outcomes: Balancing Investments in Prevention and Treatment</w:t>
        </w:r>
      </w:hyperlink>
      <w:r w:rsidRPr="00560118">
        <w:rPr>
          <w:rFonts w:ascii="Open Sans" w:hAnsi="Open Sans" w:cs="Open Sans"/>
        </w:rPr>
        <w:t xml:space="preserve">’, </w:t>
      </w:r>
      <w:r w:rsidRPr="00560118">
        <w:rPr>
          <w:rFonts w:ascii="Open Sans" w:hAnsi="Open Sans" w:cs="Open Sans"/>
          <w:i/>
          <w:iCs/>
        </w:rPr>
        <w:t>RAND Health Quarterly</w:t>
      </w:r>
      <w:r w:rsidRPr="00560118">
        <w:rPr>
          <w:rFonts w:ascii="Open Sans" w:hAnsi="Open Sans" w:cs="Open Sans"/>
        </w:rPr>
        <w:t>, 2018, 7(4):4</w:t>
      </w:r>
      <w:r>
        <w:rPr>
          <w:rFonts w:ascii="Open Sans" w:hAnsi="Open Sans" w:cs="Open Sans"/>
        </w:rPr>
        <w:t>, accessed 17 October 2025.</w:t>
      </w:r>
      <w:r w:rsidRPr="00560118">
        <w:rPr>
          <w:rFonts w:ascii="Open Sans" w:hAnsi="Open Sans" w:cs="Open Sans"/>
        </w:rPr>
        <w:t xml:space="preserve">  </w:t>
      </w:r>
    </w:p>
  </w:endnote>
  <w:endnote w:id="5">
    <w:p w14:paraId="1F993006"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M Marmot, J Allen, P Goldblatt, T Boyce, D McNeish, M Grady and I Geddes, </w:t>
      </w:r>
      <w:hyperlink r:id="rId3" w:history="1">
        <w:r w:rsidRPr="00560118">
          <w:rPr>
            <w:rStyle w:val="Hyperlink"/>
            <w:rFonts w:ascii="Open Sans" w:hAnsi="Open Sans" w:cs="Open Sans"/>
            <w:i/>
            <w:iCs/>
          </w:rPr>
          <w:t>Fair Society, Healthy Lives: The Marmot Review: Strategic Review of Health Inequalities in England post-2010</w:t>
        </w:r>
      </w:hyperlink>
      <w:r w:rsidRPr="00560118">
        <w:rPr>
          <w:rFonts w:ascii="Open Sans" w:hAnsi="Open Sans" w:cs="Open Sans"/>
        </w:rPr>
        <w:t xml:space="preserve">, 2010, accessed 17 October 2025. </w:t>
      </w:r>
    </w:p>
  </w:endnote>
  <w:endnote w:id="6">
    <w:p w14:paraId="68FB605F"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Parenting Research Centre, </w:t>
      </w:r>
      <w:hyperlink r:id="rId4" w:anchor="download-section" w:history="1">
        <w:r w:rsidRPr="00560118">
          <w:rPr>
            <w:rStyle w:val="Hyperlink"/>
            <w:rFonts w:ascii="Open Sans" w:hAnsi="Open Sans" w:cs="Open Sans"/>
            <w:i/>
            <w:iCs/>
          </w:rPr>
          <w:t>Parenting Today in Victoria: Technical Report</w:t>
        </w:r>
      </w:hyperlink>
      <w:r w:rsidRPr="00560118">
        <w:rPr>
          <w:rFonts w:ascii="Open Sans" w:hAnsi="Open Sans" w:cs="Open Sans"/>
          <w:i/>
          <w:iCs/>
        </w:rPr>
        <w:t>,</w:t>
      </w:r>
      <w:r w:rsidRPr="00560118">
        <w:rPr>
          <w:rFonts w:ascii="Open Sans" w:hAnsi="Open Sans" w:cs="Open Sans"/>
        </w:rPr>
        <w:t xml:space="preserve"> Parenting Research Centre, 2022, accessed 17 October 2025. </w:t>
      </w:r>
    </w:p>
  </w:endnote>
  <w:endnote w:id="7">
    <w:p w14:paraId="0EAD0C62"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S Fox, A Southwell, N Stafford, R Goodhue, D Jackson, C Smith, </w:t>
      </w:r>
      <w:hyperlink r:id="rId5" w:history="1">
        <w:r w:rsidRPr="00560118">
          <w:rPr>
            <w:rStyle w:val="Hyperlink"/>
            <w:rFonts w:ascii="Open Sans" w:hAnsi="Open Sans" w:cs="Open Sans"/>
            <w:i/>
            <w:iCs/>
          </w:rPr>
          <w:t>Better systems, better chances: A review of research and practice for prevention and early intervention</w:t>
        </w:r>
      </w:hyperlink>
      <w:r w:rsidRPr="00560118">
        <w:rPr>
          <w:rFonts w:ascii="Open Sans" w:hAnsi="Open Sans" w:cs="Open Sans"/>
        </w:rPr>
        <w:t xml:space="preserve">, Australian Research Alliance for Children and Youth (ARACY), Canberra, 2015, accessed 17 October 2025. </w:t>
      </w:r>
    </w:p>
  </w:endnote>
  <w:endnote w:id="8">
    <w:p w14:paraId="1FC0C659"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JWS Research, </w:t>
      </w:r>
      <w:r w:rsidRPr="00560118">
        <w:rPr>
          <w:rFonts w:ascii="Open Sans" w:hAnsi="Open Sans" w:cs="Open Sans"/>
          <w:i/>
          <w:iCs/>
        </w:rPr>
        <w:t>Parent access to, and preferences for, information</w:t>
      </w:r>
      <w:r>
        <w:rPr>
          <w:rFonts w:ascii="Open Sans" w:hAnsi="Open Sans" w:cs="Open Sans"/>
          <w:i/>
          <w:iCs/>
        </w:rPr>
        <w:t>: Research report</w:t>
      </w:r>
      <w:r w:rsidRPr="00560118">
        <w:rPr>
          <w:rFonts w:ascii="Open Sans" w:hAnsi="Open Sans" w:cs="Open Sans"/>
        </w:rPr>
        <w:t>, report to the Australian Government Department of Social Services, JWS Research, unpublished, 2024.</w:t>
      </w:r>
    </w:p>
  </w:endnote>
  <w:endnote w:id="9">
    <w:p w14:paraId="41860765"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JWS Research, </w:t>
      </w:r>
      <w:r w:rsidRPr="00560118">
        <w:rPr>
          <w:rFonts w:ascii="Open Sans" w:hAnsi="Open Sans" w:cs="Open Sans"/>
          <w:i/>
          <w:iCs/>
        </w:rPr>
        <w:t>Parent access to, and preferences for, information</w:t>
      </w:r>
      <w:r>
        <w:rPr>
          <w:rFonts w:ascii="Open Sans" w:hAnsi="Open Sans" w:cs="Open Sans"/>
          <w:i/>
          <w:iCs/>
        </w:rPr>
        <w:t>: Research report</w:t>
      </w:r>
      <w:r w:rsidRPr="00560118">
        <w:rPr>
          <w:rFonts w:ascii="Open Sans" w:hAnsi="Open Sans" w:cs="Open Sans"/>
        </w:rPr>
        <w:t>.</w:t>
      </w:r>
    </w:p>
  </w:endnote>
  <w:endnote w:id="10">
    <w:p w14:paraId="4DD676F9"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JWS Research, </w:t>
      </w:r>
      <w:r w:rsidRPr="00560118">
        <w:rPr>
          <w:rFonts w:ascii="Open Sans" w:hAnsi="Open Sans" w:cs="Open Sans"/>
          <w:i/>
          <w:iCs/>
        </w:rPr>
        <w:t>Parent access to, and preferences for, information</w:t>
      </w:r>
      <w:r>
        <w:rPr>
          <w:rFonts w:ascii="Open Sans" w:hAnsi="Open Sans" w:cs="Open Sans"/>
          <w:i/>
          <w:iCs/>
        </w:rPr>
        <w:t>: Research report</w:t>
      </w:r>
      <w:r w:rsidRPr="00560118">
        <w:rPr>
          <w:rFonts w:ascii="Open Sans" w:hAnsi="Open Sans" w:cs="Open Sans"/>
        </w:rPr>
        <w:t>.</w:t>
      </w:r>
    </w:p>
  </w:endnote>
  <w:endnote w:id="11">
    <w:p w14:paraId="560227AF" w14:textId="77777777" w:rsidR="00482F04" w:rsidRPr="00560118" w:rsidRDefault="00482F04" w:rsidP="00482F04">
      <w:pPr>
        <w:spacing w:after="0"/>
        <w:ind w:left="360" w:hanging="360"/>
        <w:rPr>
          <w:rFonts w:ascii="Open Sans" w:hAnsi="Open Sans" w:cs="Open Sans"/>
          <w:sz w:val="20"/>
          <w:szCs w:val="20"/>
        </w:rPr>
      </w:pPr>
      <w:r w:rsidRPr="00560118">
        <w:rPr>
          <w:rStyle w:val="EndnoteReference"/>
          <w:rFonts w:ascii="Open Sans" w:hAnsi="Open Sans" w:cs="Open Sans"/>
        </w:rPr>
        <w:endnoteRef/>
      </w:r>
      <w:r w:rsidRPr="00560118">
        <w:rPr>
          <w:rFonts w:ascii="Open Sans" w:hAnsi="Open Sans" w:cs="Open Sans"/>
          <w:sz w:val="20"/>
          <w:szCs w:val="20"/>
        </w:rPr>
        <w:t xml:space="preserve"> AIFS, ‘The public health approach to preventing child maltreatment’.</w:t>
      </w:r>
    </w:p>
  </w:endnote>
  <w:endnote w:id="12">
    <w:p w14:paraId="448BB0B4" w14:textId="77777777" w:rsidR="69026B43" w:rsidRDefault="69026B43" w:rsidP="69026B43">
      <w:pPr>
        <w:pStyle w:val="EndnoteText"/>
        <w:rPr>
          <w:rFonts w:ascii="Open Sans" w:hAnsi="Open Sans" w:cs="Open Sans"/>
        </w:rPr>
      </w:pPr>
      <w:r w:rsidRPr="69026B43">
        <w:rPr>
          <w:rStyle w:val="EndnoteReference"/>
          <w:rFonts w:ascii="Open Sans" w:hAnsi="Open Sans" w:cs="Open Sans"/>
        </w:rPr>
        <w:endnoteRef/>
      </w:r>
      <w:r w:rsidRPr="69026B43">
        <w:rPr>
          <w:rFonts w:ascii="Open Sans" w:hAnsi="Open Sans" w:cs="Open Sans"/>
        </w:rPr>
        <w:t xml:space="preserve"> T Moore and F Oberklaid, ‘Investing in Early Childhood Education and Care: The Health and Wellbeing Case’, in P Peterson, E Baker and B McGaw (eds) </w:t>
      </w:r>
      <w:r w:rsidRPr="69026B43">
        <w:rPr>
          <w:rFonts w:ascii="Open Sans" w:hAnsi="Open Sans" w:cs="Open Sans"/>
          <w:i/>
          <w:iCs/>
        </w:rPr>
        <w:t>International Encyclopedia of Education</w:t>
      </w:r>
      <w:r w:rsidRPr="69026B43">
        <w:rPr>
          <w:rFonts w:ascii="Open Sans" w:hAnsi="Open Sans" w:cs="Open Sans"/>
        </w:rPr>
        <w:t>, Vol 2, Elsevier, 2010.</w:t>
      </w:r>
    </w:p>
  </w:endnote>
  <w:endnote w:id="13">
    <w:p w14:paraId="6902F4D1" w14:textId="77777777" w:rsidR="00B44E93" w:rsidRPr="00560118" w:rsidRDefault="00B44E93" w:rsidP="00B44E93">
      <w:pPr>
        <w:pStyle w:val="EndnoteText"/>
        <w:rPr>
          <w:rFonts w:ascii="Open Sans" w:hAnsi="Open Sans" w:cs="Open Sans"/>
          <w:lang w:val="en-US"/>
        </w:rPr>
      </w:pPr>
      <w:r w:rsidRPr="00560118">
        <w:rPr>
          <w:rStyle w:val="EndnoteReference"/>
          <w:rFonts w:ascii="Open Sans" w:hAnsi="Open Sans" w:cs="Open Sans"/>
        </w:rPr>
        <w:endnoteRef/>
      </w:r>
      <w:r w:rsidRPr="00560118">
        <w:rPr>
          <w:rFonts w:ascii="Open Sans" w:hAnsi="Open Sans" w:cs="Open Sans"/>
        </w:rPr>
        <w:t xml:space="preserve"> C Strawa, </w:t>
      </w:r>
      <w:hyperlink r:id="rId6" w:history="1">
        <w:r w:rsidRPr="00560118">
          <w:rPr>
            <w:rStyle w:val="Hyperlink"/>
            <w:rFonts w:ascii="Open Sans" w:hAnsi="Open Sans" w:cs="Open Sans"/>
            <w:i/>
            <w:iCs/>
          </w:rPr>
          <w:t>Effective parenting programs: What does the evidence say?</w:t>
        </w:r>
      </w:hyperlink>
      <w:r w:rsidRPr="00560118">
        <w:rPr>
          <w:rFonts w:ascii="Open Sans" w:hAnsi="Open Sans" w:cs="Open Sans"/>
        </w:rPr>
        <w:t>, Australian Institute of Family Studies, 2025, accessed 17 October 2025.</w:t>
      </w:r>
    </w:p>
  </w:endnote>
  <w:endnote w:id="14">
    <w:p w14:paraId="45372B1C" w14:textId="77777777" w:rsidR="69026B43" w:rsidRDefault="69026B43" w:rsidP="69026B43">
      <w:pPr>
        <w:pStyle w:val="EndnoteText"/>
        <w:rPr>
          <w:rFonts w:ascii="Open Sans" w:hAnsi="Open Sans" w:cs="Open Sans"/>
        </w:rPr>
      </w:pPr>
      <w:r w:rsidRPr="69026B43">
        <w:rPr>
          <w:rStyle w:val="EndnoteReference"/>
          <w:rFonts w:ascii="Open Sans" w:hAnsi="Open Sans" w:cs="Open Sans"/>
        </w:rPr>
        <w:endnoteRef/>
      </w:r>
      <w:r w:rsidRPr="69026B43">
        <w:rPr>
          <w:rFonts w:ascii="Open Sans" w:hAnsi="Open Sans" w:cs="Open Sans"/>
        </w:rPr>
        <w:t xml:space="preserve"> O’Connell, </w:t>
      </w:r>
      <w:r w:rsidRPr="69026B43">
        <w:rPr>
          <w:rFonts w:ascii="Open Sans" w:hAnsi="Open Sans" w:cs="Open Sans"/>
          <w:i/>
          <w:iCs/>
        </w:rPr>
        <w:t>The Cost of Late Intervention in 2024</w:t>
      </w:r>
      <w:r w:rsidRPr="69026B43">
        <w:rPr>
          <w:rFonts w:ascii="Open Sans" w:hAnsi="Open Sans" w:cs="Open Sans"/>
        </w:rPr>
        <w:t>.</w:t>
      </w:r>
    </w:p>
  </w:endnote>
  <w:endnote w:id="15">
    <w:p w14:paraId="10128347" w14:textId="77777777" w:rsidR="69026B43" w:rsidRDefault="69026B43" w:rsidP="69026B43">
      <w:pPr>
        <w:pStyle w:val="EndnoteText"/>
        <w:rPr>
          <w:rFonts w:ascii="Open Sans" w:hAnsi="Open Sans" w:cs="Open Sans"/>
        </w:rPr>
      </w:pPr>
      <w:r w:rsidRPr="69026B43">
        <w:rPr>
          <w:rStyle w:val="EndnoteReference"/>
          <w:rFonts w:ascii="Open Sans" w:hAnsi="Open Sans" w:cs="Open Sans"/>
        </w:rPr>
        <w:endnoteRef/>
      </w:r>
      <w:r w:rsidRPr="69026B43">
        <w:rPr>
          <w:rFonts w:ascii="Open Sans" w:hAnsi="Open Sans" w:cs="Open Sans"/>
        </w:rPr>
        <w:t xml:space="preserve"> O’Connell, </w:t>
      </w:r>
      <w:r w:rsidRPr="69026B43">
        <w:rPr>
          <w:rFonts w:ascii="Open Sans" w:hAnsi="Open Sans" w:cs="Open Sans"/>
          <w:i/>
          <w:iCs/>
        </w:rPr>
        <w:t>The Cost of Late Intervention in 2024</w:t>
      </w:r>
      <w:r w:rsidRPr="69026B43">
        <w:rPr>
          <w:rFonts w:ascii="Open Sans" w:hAnsi="Open Sans" w:cs="Open Sans"/>
        </w:rPr>
        <w:t>.</w:t>
      </w:r>
    </w:p>
  </w:endnote>
  <w:endnote w:id="16">
    <w:p w14:paraId="1EA78B97"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S Fox, A Southwell, N Stafford, R Goodhue, D Jackson, C Smith, </w:t>
      </w:r>
      <w:hyperlink r:id="rId7" w:history="1">
        <w:r w:rsidRPr="00560118">
          <w:rPr>
            <w:rStyle w:val="Hyperlink"/>
            <w:rFonts w:ascii="Open Sans" w:hAnsi="Open Sans" w:cs="Open Sans"/>
            <w:i/>
            <w:iCs/>
          </w:rPr>
          <w:t>Better systems, better chances: A review of research and practice for prevention and early intervention</w:t>
        </w:r>
      </w:hyperlink>
      <w:r w:rsidRPr="00560118">
        <w:rPr>
          <w:rFonts w:ascii="Open Sans" w:hAnsi="Open Sans" w:cs="Open Sans"/>
        </w:rPr>
        <w:t>, Australian Research Alliance for Children and Youth (ARACY), Canberra, 2015, accessed 17 October 2025.</w:t>
      </w:r>
    </w:p>
  </w:endnote>
  <w:endnote w:id="17">
    <w:p w14:paraId="1CA2E265"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Fox et al., </w:t>
      </w:r>
      <w:r w:rsidRPr="00560118">
        <w:rPr>
          <w:rFonts w:ascii="Open Sans" w:hAnsi="Open Sans" w:cs="Open Sans"/>
          <w:i/>
          <w:iCs/>
        </w:rPr>
        <w:t>Better Systems, Better Chances: A Review of Research and Practice for Prevention and Early Intervention</w:t>
      </w:r>
      <w:r w:rsidRPr="00560118">
        <w:rPr>
          <w:rFonts w:ascii="Open Sans" w:hAnsi="Open Sans" w:cs="Open Sans"/>
        </w:rPr>
        <w:t>.</w:t>
      </w:r>
    </w:p>
  </w:endnote>
  <w:endnote w:id="18">
    <w:p w14:paraId="045F6EC4"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C Strawa, </w:t>
      </w:r>
      <w:hyperlink r:id="rId8" w:history="1">
        <w:r w:rsidRPr="00560118">
          <w:rPr>
            <w:rStyle w:val="Hyperlink"/>
            <w:rFonts w:ascii="Open Sans" w:hAnsi="Open Sans" w:cs="Open Sans"/>
            <w:i/>
            <w:iCs/>
          </w:rPr>
          <w:t>Preventing and reducing child maltreatment: The common and most effective elements of parenting programs</w:t>
        </w:r>
      </w:hyperlink>
      <w:r w:rsidRPr="00560118">
        <w:rPr>
          <w:rFonts w:ascii="Open Sans" w:hAnsi="Open Sans" w:cs="Open Sans"/>
        </w:rPr>
        <w:t>, Australian Institute of Family Studies, 2025, accessed 17 October 2025.</w:t>
      </w:r>
    </w:p>
  </w:endnote>
  <w:endnote w:id="19">
    <w:p w14:paraId="5C29047B" w14:textId="77777777" w:rsidR="00B44E93" w:rsidRPr="00560118" w:rsidRDefault="00B44E93" w:rsidP="00B44E93">
      <w:pPr>
        <w:pStyle w:val="EndnoteText"/>
        <w:rPr>
          <w:rFonts w:ascii="Open Sans" w:hAnsi="Open Sans" w:cs="Open Sans"/>
          <w:lang w:val="en-US"/>
        </w:rPr>
      </w:pPr>
      <w:r w:rsidRPr="00560118">
        <w:rPr>
          <w:rStyle w:val="EndnoteReference"/>
          <w:rFonts w:ascii="Open Sans" w:hAnsi="Open Sans" w:cs="Open Sans"/>
        </w:rPr>
        <w:endnoteRef/>
      </w:r>
      <w:r w:rsidRPr="00560118">
        <w:rPr>
          <w:rFonts w:ascii="Open Sans" w:hAnsi="Open Sans" w:cs="Open Sans"/>
        </w:rPr>
        <w:t xml:space="preserve"> Australian Institute of Family Studies (AIFS), </w:t>
      </w:r>
      <w:hyperlink r:id="rId9" w:history="1">
        <w:r w:rsidRPr="00560118">
          <w:rPr>
            <w:rStyle w:val="Hyperlink"/>
            <w:rFonts w:ascii="Open Sans" w:hAnsi="Open Sans" w:cs="Open Sans"/>
            <w:i/>
            <w:iCs/>
          </w:rPr>
          <w:t>Risk and protective factors for child abuse and neglect</w:t>
        </w:r>
      </w:hyperlink>
      <w:r w:rsidRPr="00560118">
        <w:rPr>
          <w:rFonts w:ascii="Open Sans" w:hAnsi="Open Sans" w:cs="Open Sans"/>
        </w:rPr>
        <w:t>, AIFS, 2017, accessed 17 October 2025.</w:t>
      </w:r>
    </w:p>
  </w:endnote>
  <w:endnote w:id="20">
    <w:p w14:paraId="2C9DD420"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Center on the Developing Child at Harvard University, </w:t>
      </w:r>
      <w:hyperlink r:id="rId10" w:history="1">
        <w:r w:rsidRPr="00560118">
          <w:rPr>
            <w:rStyle w:val="Hyperlink"/>
            <w:rFonts w:ascii="Open Sans" w:hAnsi="Open Sans" w:cs="Open Sans"/>
            <w:i/>
            <w:iCs/>
          </w:rPr>
          <w:t>Three Principles to Improve Outcomes for Children and Families: 2021 Update</w:t>
        </w:r>
      </w:hyperlink>
      <w:r w:rsidRPr="00560118">
        <w:rPr>
          <w:rFonts w:ascii="Open Sans" w:hAnsi="Open Sans" w:cs="Open Sans"/>
          <w:i/>
          <w:iCs/>
        </w:rPr>
        <w:t xml:space="preserve">, </w:t>
      </w:r>
      <w:r w:rsidRPr="00560118">
        <w:rPr>
          <w:rFonts w:ascii="Open Sans" w:hAnsi="Open Sans" w:cs="Open Sans"/>
        </w:rPr>
        <w:t>Center on the Developing Child at Harvard University</w:t>
      </w:r>
      <w:r w:rsidRPr="00560118">
        <w:rPr>
          <w:rFonts w:ascii="Open Sans" w:hAnsi="Open Sans" w:cs="Open Sans"/>
          <w:i/>
          <w:iCs/>
        </w:rPr>
        <w:t xml:space="preserve">, </w:t>
      </w:r>
      <w:r w:rsidRPr="00560118">
        <w:rPr>
          <w:rFonts w:ascii="Open Sans" w:hAnsi="Open Sans" w:cs="Open Sans"/>
        </w:rPr>
        <w:t>2021, p 3, accessed 17 October 2025.</w:t>
      </w:r>
    </w:p>
  </w:endnote>
  <w:endnote w:id="21">
    <w:p w14:paraId="487ACBA5"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World Bank Group, </w:t>
      </w:r>
      <w:hyperlink r:id="rId11" w:anchor=":~:text=The%20World%20Bank%27s%20Investing%20in,receive%20early%20stimulation%20and%20learning" w:history="1">
        <w:r w:rsidRPr="00560118">
          <w:rPr>
            <w:rStyle w:val="Hyperlink"/>
            <w:rFonts w:ascii="Open Sans" w:hAnsi="Open Sans" w:cs="Open Sans"/>
            <w:i/>
            <w:iCs/>
          </w:rPr>
          <w:t>Early Years: The Foundation for Human Capital</w:t>
        </w:r>
      </w:hyperlink>
      <w:r w:rsidRPr="00560118">
        <w:rPr>
          <w:rFonts w:ascii="Open Sans" w:hAnsi="Open Sans" w:cs="Open Sans"/>
        </w:rPr>
        <w:t>, World Bank Group website, n.d., accessed 17 October 2025.</w:t>
      </w:r>
    </w:p>
  </w:endnote>
  <w:endnote w:id="22">
    <w:p w14:paraId="29E34A17" w14:textId="77777777" w:rsidR="00B44E93" w:rsidRPr="00560118" w:rsidRDefault="00B44E93" w:rsidP="00B44E93">
      <w:pPr>
        <w:pStyle w:val="EndnoteText"/>
        <w:rPr>
          <w:rFonts w:ascii="Open Sans" w:hAnsi="Open Sans" w:cs="Open Sans"/>
          <w:lang w:val="en-US"/>
        </w:rPr>
      </w:pPr>
      <w:r w:rsidRPr="00560118">
        <w:rPr>
          <w:rStyle w:val="EndnoteReference"/>
          <w:rFonts w:ascii="Open Sans" w:hAnsi="Open Sans" w:cs="Open Sans"/>
        </w:rPr>
        <w:endnoteRef/>
      </w:r>
      <w:r w:rsidRPr="00560118">
        <w:rPr>
          <w:rFonts w:ascii="Open Sans" w:hAnsi="Open Sans" w:cs="Open Sans"/>
        </w:rPr>
        <w:t xml:space="preserve"> Australian Institute of Health and Welfare (AIHW), </w:t>
      </w:r>
      <w:hyperlink r:id="rId12" w:history="1">
        <w:r w:rsidRPr="005C70A2">
          <w:rPr>
            <w:rStyle w:val="Hyperlink"/>
            <w:rFonts w:ascii="Open Sans" w:hAnsi="Open Sans" w:cs="Open Sans"/>
            <w:i/>
            <w:iCs/>
          </w:rPr>
          <w:t>Child protection Australia 2023–24 Supplementary Data Tables: Table S4.3: Children admitted to care and protection orders, by age group and state or territory, 2023–24</w:t>
        </w:r>
      </w:hyperlink>
      <w:r>
        <w:rPr>
          <w:rFonts w:ascii="Open Sans" w:hAnsi="Open Sans" w:cs="Open Sans"/>
          <w:i/>
          <w:iCs/>
        </w:rPr>
        <w:t xml:space="preserve"> </w:t>
      </w:r>
      <w:r>
        <w:rPr>
          <w:rFonts w:ascii="Open Sans" w:hAnsi="Open Sans" w:cs="Open Sans"/>
        </w:rPr>
        <w:t xml:space="preserve">[data set], </w:t>
      </w:r>
      <w:r w:rsidRPr="00560118">
        <w:rPr>
          <w:rFonts w:ascii="Open Sans" w:hAnsi="Open Sans" w:cs="Open Sans"/>
        </w:rPr>
        <w:t xml:space="preserve">AIHW, Australian Government, </w:t>
      </w:r>
      <w:r>
        <w:rPr>
          <w:rFonts w:ascii="Open Sans" w:hAnsi="Open Sans" w:cs="Open Sans"/>
        </w:rPr>
        <w:t>30 September</w:t>
      </w:r>
      <w:r w:rsidRPr="00560118">
        <w:rPr>
          <w:rFonts w:ascii="Open Sans" w:hAnsi="Open Sans" w:cs="Open Sans"/>
        </w:rPr>
        <w:t xml:space="preserve"> 2025, accessed </w:t>
      </w:r>
      <w:r>
        <w:rPr>
          <w:rFonts w:ascii="Open Sans" w:hAnsi="Open Sans" w:cs="Open Sans"/>
        </w:rPr>
        <w:t>20</w:t>
      </w:r>
      <w:r w:rsidRPr="00560118">
        <w:rPr>
          <w:rFonts w:ascii="Open Sans" w:hAnsi="Open Sans" w:cs="Open Sans"/>
        </w:rPr>
        <w:t xml:space="preserve"> October 2025.</w:t>
      </w:r>
    </w:p>
  </w:endnote>
  <w:endnote w:id="23">
    <w:p w14:paraId="0F9E2355"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LG Irwin, A Siddiqi and C Hertzman, </w:t>
      </w:r>
      <w:hyperlink r:id="rId13" w:history="1">
        <w:r w:rsidRPr="00560118">
          <w:rPr>
            <w:rStyle w:val="Hyperlink"/>
            <w:rFonts w:ascii="Open Sans" w:hAnsi="Open Sans" w:cs="Open Sans"/>
            <w:i/>
            <w:iCs/>
          </w:rPr>
          <w:t>Early Childhood Development: A Powerful Equalizer: Final Report for the World Health Organization’s Commission on the Social Determinants of Health</w:t>
        </w:r>
      </w:hyperlink>
      <w:r w:rsidRPr="00560118">
        <w:rPr>
          <w:rFonts w:ascii="Open Sans" w:hAnsi="Open Sans" w:cs="Open Sans"/>
        </w:rPr>
        <w:t>, World Health Organisation, 2007, accessed 17 October 2025.</w:t>
      </w:r>
    </w:p>
  </w:endnote>
  <w:endnote w:id="24">
    <w:p w14:paraId="40BE3897"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National Scientific Council on the Developing Child, </w:t>
      </w:r>
      <w:hyperlink r:id="rId14" w:anchor=":~:text=This%20Working%20Paper%20examines%20how%20developing%20biological%20systems,worse%E2%80%94with%20lifelong%20consequences%20for%20physical%20and%20mental%20health." w:history="1">
        <w:r w:rsidRPr="00560118">
          <w:rPr>
            <w:rStyle w:val="Hyperlink"/>
            <w:rFonts w:ascii="Open Sans" w:hAnsi="Open Sans" w:cs="Open Sans"/>
            <w:i/>
            <w:iCs/>
          </w:rPr>
          <w:t>Connecting the Brain to the Rest of the Body: Early Childhood Development and Lifelong Health Are Deeply Intertwined: Working Paper No. 15</w:t>
        </w:r>
      </w:hyperlink>
      <w:r w:rsidRPr="00560118">
        <w:rPr>
          <w:rFonts w:ascii="Open Sans" w:hAnsi="Open Sans" w:cs="Open Sans"/>
        </w:rPr>
        <w:t xml:space="preserve">, Center On The Developing Child at Harvard University, 2020, accessed 18 July 2025; DG Blanchflower and A Bryson, </w:t>
      </w:r>
      <w:hyperlink r:id="rId15" w:history="1">
        <w:r w:rsidRPr="00560118">
          <w:rPr>
            <w:rStyle w:val="Hyperlink"/>
            <w:rFonts w:ascii="Open Sans" w:hAnsi="Open Sans" w:cs="Open Sans"/>
            <w:i/>
            <w:iCs/>
          </w:rPr>
          <w:t>The Effects of Adverse Childhood Experiences on Adults’ Subjective Wellbeing</w:t>
        </w:r>
      </w:hyperlink>
      <w:r w:rsidRPr="00560118">
        <w:rPr>
          <w:rFonts w:ascii="Open Sans" w:hAnsi="Open Sans" w:cs="Open Sans"/>
          <w:i/>
          <w:iCs/>
        </w:rPr>
        <w:t>,</w:t>
      </w:r>
      <w:r w:rsidRPr="00560118">
        <w:rPr>
          <w:rFonts w:ascii="Open Sans" w:hAnsi="Open Sans" w:cs="Open Sans"/>
        </w:rPr>
        <w:t xml:space="preserve"> IZA - Institute of Labor Economics, 2023, accessed 18 July 2025. </w:t>
      </w:r>
    </w:p>
  </w:endnote>
  <w:endnote w:id="25">
    <w:p w14:paraId="5C8DC1FC"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National Scientific Council on the Developing Child, </w:t>
      </w:r>
      <w:r w:rsidRPr="00560118">
        <w:rPr>
          <w:rFonts w:ascii="Open Sans" w:hAnsi="Open Sans" w:cs="Open Sans"/>
          <w:i/>
          <w:iCs/>
        </w:rPr>
        <w:t>Connecting the Brain to the Rest of the Body: Early Childhood Development and Lifelong Health Are Deeply Intertwined: Working Paper No. 15</w:t>
      </w:r>
      <w:r w:rsidRPr="00560118">
        <w:rPr>
          <w:rFonts w:ascii="Open Sans" w:hAnsi="Open Sans" w:cs="Open Sans"/>
        </w:rPr>
        <w:t>.</w:t>
      </w:r>
    </w:p>
  </w:endnote>
  <w:endnote w:id="26">
    <w:p w14:paraId="4557C52D"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Fox et al., </w:t>
      </w:r>
      <w:r w:rsidRPr="00560118">
        <w:rPr>
          <w:rFonts w:ascii="Open Sans" w:hAnsi="Open Sans" w:cs="Open Sans"/>
          <w:i/>
          <w:iCs/>
        </w:rPr>
        <w:t>Better Systems, Better Chances: A Review of Research and Practice for Prevention and Early Intervention</w:t>
      </w:r>
      <w:r w:rsidRPr="00560118">
        <w:rPr>
          <w:rFonts w:ascii="Open Sans" w:hAnsi="Open Sans" w:cs="Open Sans"/>
        </w:rPr>
        <w:t>.</w:t>
      </w:r>
    </w:p>
  </w:endnote>
  <w:endnote w:id="27">
    <w:p w14:paraId="53342703"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Fox et al., </w:t>
      </w:r>
      <w:r w:rsidRPr="00560118">
        <w:rPr>
          <w:rFonts w:ascii="Open Sans" w:hAnsi="Open Sans" w:cs="Open Sans"/>
          <w:i/>
          <w:iCs/>
        </w:rPr>
        <w:t>Better Systems, Better Chances: A Review of Research and Practice for Prevention and Early Intervention</w:t>
      </w:r>
      <w:r w:rsidRPr="00560118">
        <w:rPr>
          <w:rFonts w:ascii="Open Sans" w:hAnsi="Open Sans" w:cs="Open Sans"/>
        </w:rPr>
        <w:t>.</w:t>
      </w:r>
    </w:p>
  </w:endnote>
  <w:endnote w:id="28">
    <w:p w14:paraId="12C98BDD"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H Hoffmann, RE Olson, F Perales and J Baxter, 2020, ‘</w:t>
      </w:r>
      <w:hyperlink r:id="rId16" w:history="1">
        <w:r w:rsidRPr="00560118">
          <w:rPr>
            <w:rStyle w:val="Hyperlink"/>
            <w:rFonts w:ascii="Open Sans" w:hAnsi="Open Sans" w:cs="Open Sans"/>
          </w:rPr>
          <w:t>New mothers and social support: A mixed-method study of young mothers in Australia</w:t>
        </w:r>
      </w:hyperlink>
      <w:r w:rsidRPr="00560118">
        <w:rPr>
          <w:rFonts w:ascii="Open Sans" w:hAnsi="Open Sans" w:cs="Open Sans"/>
        </w:rPr>
        <w:t xml:space="preserve">’, </w:t>
      </w:r>
      <w:r w:rsidRPr="00560118">
        <w:rPr>
          <w:rFonts w:ascii="Open Sans" w:hAnsi="Open Sans" w:cs="Open Sans"/>
          <w:i/>
          <w:iCs/>
        </w:rPr>
        <w:t>Journal of Sociology</w:t>
      </w:r>
      <w:r w:rsidRPr="00560118">
        <w:rPr>
          <w:rFonts w:ascii="Open Sans" w:hAnsi="Open Sans" w:cs="Open Sans"/>
        </w:rPr>
        <w:t>, 2020, doi:10.1177/1440783320978706, accessed 17 October 2025.</w:t>
      </w:r>
    </w:p>
  </w:endnote>
  <w:endnote w:id="29">
    <w:p w14:paraId="590754BB"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Hoffmann et al., ‘New mothers and social support: A mixed-method study of young mothers in Australia’</w:t>
      </w:r>
    </w:p>
  </w:endnote>
  <w:endnote w:id="30">
    <w:p w14:paraId="094A73A9"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Hoffmann et al., ‘New mothers and social support: A mixed-method study of young mothers in Australia’</w:t>
      </w:r>
    </w:p>
  </w:endnote>
  <w:endnote w:id="31">
    <w:p w14:paraId="0843D930"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Hoffmann et al., ‘New mothers and social support: A mixed-method study of young mothers in Australia’</w:t>
      </w:r>
    </w:p>
  </w:endnote>
  <w:endnote w:id="32">
    <w:p w14:paraId="2DEFC228"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Australian Institute of Health and Welfare (AIHW), </w:t>
      </w:r>
      <w:hyperlink r:id="rId17" w:history="1">
        <w:r w:rsidRPr="00560118">
          <w:rPr>
            <w:rStyle w:val="Hyperlink"/>
            <w:rFonts w:ascii="Open Sans" w:hAnsi="Open Sans" w:cs="Open Sans"/>
            <w:i/>
            <w:iCs/>
          </w:rPr>
          <w:t>National Framework for Protecting Australia's Children 2009–2020: technical paper on operational definitions and data issues for key national indicators</w:t>
        </w:r>
      </w:hyperlink>
      <w:r w:rsidRPr="00560118">
        <w:rPr>
          <w:rFonts w:ascii="Open Sans" w:hAnsi="Open Sans" w:cs="Open Sans"/>
        </w:rPr>
        <w:t>, AIHW, Australian Government, 2013, accessed 17 October 2025.</w:t>
      </w:r>
    </w:p>
  </w:endnote>
  <w:endnote w:id="33">
    <w:p w14:paraId="61F84974"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JL Marino, LN Lewis, M Hickey, SR Skinner and D Bateson, ‘</w:t>
      </w:r>
      <w:hyperlink r:id="rId18" w:history="1">
        <w:r w:rsidRPr="00560118">
          <w:rPr>
            <w:rStyle w:val="Hyperlink"/>
            <w:rFonts w:ascii="Open Sans" w:hAnsi="Open Sans" w:cs="Open Sans"/>
          </w:rPr>
          <w:t>Teenage mothers</w:t>
        </w:r>
      </w:hyperlink>
      <w:r w:rsidRPr="00560118">
        <w:rPr>
          <w:rFonts w:ascii="Open Sans" w:hAnsi="Open Sans" w:cs="Open Sans"/>
        </w:rPr>
        <w:t xml:space="preserve">’, </w:t>
      </w:r>
      <w:r w:rsidRPr="00560118">
        <w:rPr>
          <w:rFonts w:ascii="Open Sans" w:hAnsi="Open Sans" w:cs="Open Sans"/>
          <w:i/>
          <w:iCs/>
        </w:rPr>
        <w:t>Australian Family Physician</w:t>
      </w:r>
      <w:r w:rsidRPr="00560118">
        <w:rPr>
          <w:rFonts w:ascii="Open Sans" w:hAnsi="Open Sans" w:cs="Open Sans"/>
        </w:rPr>
        <w:t xml:space="preserve">, 2016, 45(10):712-717, accessed 20 October 2025; </w:t>
      </w:r>
      <w:r w:rsidRPr="00560118">
        <w:rPr>
          <w:rFonts w:ascii="Open Sans" w:hAnsi="Open Sans" w:cs="Open Sans"/>
          <w:lang w:val="en-US"/>
        </w:rPr>
        <w:t xml:space="preserve">Department of Communities and Justice (DCJ), </w:t>
      </w:r>
      <w:hyperlink r:id="rId19" w:history="1">
        <w:r w:rsidRPr="00560118">
          <w:rPr>
            <w:rStyle w:val="Hyperlink"/>
            <w:rFonts w:ascii="Open Sans" w:hAnsi="Open Sans" w:cs="Open Sans"/>
            <w:i/>
            <w:iCs/>
            <w:lang w:val="en-US"/>
          </w:rPr>
          <w:t xml:space="preserve">Impact of maternal age on children coming into contact with the child protection system: Evidence to Action Note </w:t>
        </w:r>
        <w:r w:rsidRPr="00560118">
          <w:rPr>
            <w:rStyle w:val="Hyperlink"/>
            <w:rFonts w:ascii="Open Sans" w:hAnsi="Open Sans" w:cs="Open Sans"/>
            <w:lang w:val="en-US"/>
          </w:rPr>
          <w:t>[PDF 510KB]</w:t>
        </w:r>
      </w:hyperlink>
      <w:r w:rsidRPr="00560118">
        <w:rPr>
          <w:rFonts w:ascii="Open Sans" w:hAnsi="Open Sans" w:cs="Open Sans"/>
          <w:lang w:val="en-US"/>
        </w:rPr>
        <w:t>, DCJ, N</w:t>
      </w:r>
      <w:r>
        <w:rPr>
          <w:rFonts w:ascii="Open Sans" w:hAnsi="Open Sans" w:cs="Open Sans"/>
          <w:lang w:val="en-US"/>
        </w:rPr>
        <w:t xml:space="preserve">ew </w:t>
      </w:r>
      <w:r w:rsidRPr="00560118">
        <w:rPr>
          <w:rFonts w:ascii="Open Sans" w:hAnsi="Open Sans" w:cs="Open Sans"/>
          <w:lang w:val="en-US"/>
        </w:rPr>
        <w:t>S</w:t>
      </w:r>
      <w:r>
        <w:rPr>
          <w:rFonts w:ascii="Open Sans" w:hAnsi="Open Sans" w:cs="Open Sans"/>
          <w:lang w:val="en-US"/>
        </w:rPr>
        <w:t xml:space="preserve">outh </w:t>
      </w:r>
      <w:r w:rsidRPr="00560118">
        <w:rPr>
          <w:rFonts w:ascii="Open Sans" w:hAnsi="Open Sans" w:cs="Open Sans"/>
          <w:lang w:val="en-US"/>
        </w:rPr>
        <w:t>W</w:t>
      </w:r>
      <w:r>
        <w:rPr>
          <w:rFonts w:ascii="Open Sans" w:hAnsi="Open Sans" w:cs="Open Sans"/>
          <w:lang w:val="en-US"/>
        </w:rPr>
        <w:t>ales</w:t>
      </w:r>
      <w:r w:rsidRPr="00560118">
        <w:rPr>
          <w:rFonts w:ascii="Open Sans" w:hAnsi="Open Sans" w:cs="Open Sans"/>
          <w:lang w:val="en-US"/>
        </w:rPr>
        <w:t xml:space="preserve"> Government, 2021, </w:t>
      </w:r>
      <w:r w:rsidRPr="00560118">
        <w:rPr>
          <w:rFonts w:ascii="Open Sans" w:hAnsi="Open Sans" w:cs="Open Sans"/>
        </w:rPr>
        <w:t>accessed 17 October 2025.</w:t>
      </w:r>
    </w:p>
  </w:endnote>
  <w:endnote w:id="34">
    <w:p w14:paraId="0D26C794" w14:textId="77777777" w:rsidR="00B44E93" w:rsidRPr="00560118" w:rsidRDefault="00B44E93" w:rsidP="00B44E93">
      <w:pPr>
        <w:pStyle w:val="EndnoteText"/>
        <w:rPr>
          <w:rFonts w:ascii="Open Sans" w:hAnsi="Open Sans" w:cs="Open Sans"/>
          <w:lang w:val="en-US"/>
        </w:rPr>
      </w:pPr>
      <w:r w:rsidRPr="00560118">
        <w:rPr>
          <w:rStyle w:val="EndnoteReference"/>
          <w:rFonts w:ascii="Open Sans" w:hAnsi="Open Sans" w:cs="Open Sans"/>
        </w:rPr>
        <w:endnoteRef/>
      </w:r>
      <w:r w:rsidRPr="00560118">
        <w:rPr>
          <w:rFonts w:ascii="Open Sans" w:hAnsi="Open Sans" w:cs="Open Sans"/>
        </w:rPr>
        <w:t xml:space="preserve"> </w:t>
      </w:r>
      <w:r w:rsidRPr="00560118">
        <w:rPr>
          <w:rFonts w:ascii="Open Sans" w:hAnsi="Open Sans" w:cs="Open Sans"/>
          <w:lang w:val="en-US"/>
        </w:rPr>
        <w:t xml:space="preserve">DCJ, </w:t>
      </w:r>
      <w:r w:rsidRPr="00560118">
        <w:rPr>
          <w:rFonts w:ascii="Open Sans" w:hAnsi="Open Sans" w:cs="Open Sans"/>
          <w:i/>
          <w:iCs/>
          <w:lang w:val="en-US"/>
        </w:rPr>
        <w:t>Impact of maternal age on children coming into contact with the child protection system: Evidence to Action Note</w:t>
      </w:r>
      <w:r w:rsidRPr="00560118">
        <w:rPr>
          <w:rFonts w:ascii="Open Sans" w:hAnsi="Open Sans" w:cs="Open Sans"/>
          <w:lang w:val="en-US"/>
        </w:rPr>
        <w:t>.</w:t>
      </w:r>
    </w:p>
  </w:endnote>
  <w:endnote w:id="35">
    <w:p w14:paraId="23C3237A"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R Price-Robertson, </w:t>
      </w:r>
      <w:hyperlink r:id="rId20" w:history="1">
        <w:r w:rsidRPr="00560118">
          <w:rPr>
            <w:rStyle w:val="Hyperlink"/>
            <w:rFonts w:ascii="Open Sans" w:hAnsi="Open Sans" w:cs="Open Sans"/>
            <w:i/>
            <w:iCs/>
          </w:rPr>
          <w:t>Supporting young parents: practice guide</w:t>
        </w:r>
      </w:hyperlink>
      <w:r w:rsidRPr="00560118">
        <w:rPr>
          <w:rFonts w:ascii="Open Sans" w:hAnsi="Open Sans" w:cs="Open Sans"/>
        </w:rPr>
        <w:t>, Australian Institute of Family Studies, 2010, accessed 17 October 2025.</w:t>
      </w:r>
    </w:p>
  </w:endnote>
  <w:endnote w:id="36">
    <w:p w14:paraId="1034C754"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Parenting Research Centre and Murdoch Childrens Research Institute, </w:t>
      </w:r>
      <w:hyperlink r:id="rId21" w:history="1">
        <w:r w:rsidRPr="00560118">
          <w:rPr>
            <w:rStyle w:val="Hyperlink"/>
            <w:rFonts w:ascii="Open Sans" w:hAnsi="Open Sans" w:cs="Open Sans"/>
            <w:i/>
            <w:iCs/>
          </w:rPr>
          <w:t>Young parents and parenting support: Submission to the National Children’s Commissioner</w:t>
        </w:r>
      </w:hyperlink>
      <w:r w:rsidRPr="00560118">
        <w:rPr>
          <w:rFonts w:ascii="Open Sans" w:hAnsi="Open Sans" w:cs="Open Sans"/>
        </w:rPr>
        <w:t>, Melbourne, Australia, 2017, accessed 17 October 2025.</w:t>
      </w:r>
    </w:p>
  </w:endnote>
  <w:endnote w:id="37">
    <w:p w14:paraId="53CFAA58"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M O’Connell, </w:t>
      </w:r>
      <w:hyperlink r:id="rId22" w:history="1">
        <w:r w:rsidRPr="00560118">
          <w:rPr>
            <w:rStyle w:val="Hyperlink"/>
            <w:rFonts w:ascii="Open Sans" w:hAnsi="Open Sans" w:cs="Open Sans"/>
            <w:i/>
            <w:iCs/>
          </w:rPr>
          <w:t xml:space="preserve">The Cost of Late Intervention in 2024 </w:t>
        </w:r>
        <w:r w:rsidRPr="00560118">
          <w:rPr>
            <w:rStyle w:val="Hyperlink"/>
            <w:rFonts w:ascii="Open Sans" w:hAnsi="Open Sans" w:cs="Open Sans"/>
          </w:rPr>
          <w:t>[PDF 1,594KB]</w:t>
        </w:r>
      </w:hyperlink>
      <w:r w:rsidRPr="00560118">
        <w:rPr>
          <w:rFonts w:ascii="Open Sans" w:hAnsi="Open Sans" w:cs="Open Sans"/>
        </w:rPr>
        <w:t>, The Front Project, Melbourne, 2025, accessed 17 October 2025.</w:t>
      </w:r>
    </w:p>
  </w:endnote>
  <w:endnote w:id="38">
    <w:p w14:paraId="60C6E116" w14:textId="77777777" w:rsidR="00B44E93" w:rsidRPr="00560118" w:rsidRDefault="00B44E93" w:rsidP="00B44E93">
      <w:pPr>
        <w:pStyle w:val="EndnoteText"/>
        <w:rPr>
          <w:rFonts w:ascii="Open Sans" w:hAnsi="Open Sans" w:cs="Open Sans"/>
          <w:color w:val="FF0000"/>
        </w:rPr>
      </w:pPr>
      <w:r w:rsidRPr="00560118">
        <w:rPr>
          <w:rStyle w:val="EndnoteReference"/>
          <w:rFonts w:ascii="Open Sans" w:hAnsi="Open Sans" w:cs="Open Sans"/>
        </w:rPr>
        <w:endnoteRef/>
      </w:r>
      <w:r w:rsidRPr="00560118">
        <w:rPr>
          <w:rFonts w:ascii="Open Sans" w:hAnsi="Open Sans" w:cs="Open Sans"/>
        </w:rPr>
        <w:t xml:space="preserve"> O’Connell, </w:t>
      </w:r>
      <w:r w:rsidRPr="00560118">
        <w:rPr>
          <w:rFonts w:ascii="Open Sans" w:hAnsi="Open Sans" w:cs="Open Sans"/>
          <w:i/>
          <w:iCs/>
        </w:rPr>
        <w:t>The Cost of Late Intervention in 2024</w:t>
      </w:r>
      <w:r w:rsidRPr="00560118">
        <w:rPr>
          <w:rFonts w:ascii="Open Sans" w:hAnsi="Open Sans" w:cs="Open Sans"/>
        </w:rPr>
        <w:t>.</w:t>
      </w:r>
    </w:p>
  </w:endnote>
  <w:endnote w:id="39">
    <w:p w14:paraId="48B5F124"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O’Connell, </w:t>
      </w:r>
      <w:r w:rsidRPr="00560118">
        <w:rPr>
          <w:rFonts w:ascii="Open Sans" w:hAnsi="Open Sans" w:cs="Open Sans"/>
          <w:i/>
          <w:iCs/>
        </w:rPr>
        <w:t>The Cost of Late Intervention in 2024</w:t>
      </w:r>
      <w:r w:rsidRPr="00560118">
        <w:rPr>
          <w:rFonts w:ascii="Open Sans" w:hAnsi="Open Sans" w:cs="Open Sans"/>
        </w:rPr>
        <w:t>.</w:t>
      </w:r>
    </w:p>
  </w:endnote>
  <w:endnote w:id="40">
    <w:p w14:paraId="06F0DE5A"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Social Ventures Australia, </w:t>
      </w:r>
      <w:hyperlink r:id="rId23" w:history="1">
        <w:r w:rsidRPr="00560118">
          <w:rPr>
            <w:rStyle w:val="Hyperlink"/>
            <w:rFonts w:ascii="Open Sans" w:hAnsi="Open Sans" w:cs="Open Sans"/>
            <w:i/>
            <w:iCs/>
          </w:rPr>
          <w:t>Full report: The economic case for early intervention in the child protection and out-of-home care system in Victoria</w:t>
        </w:r>
      </w:hyperlink>
      <w:r w:rsidRPr="00560118">
        <w:rPr>
          <w:rFonts w:ascii="Open Sans" w:hAnsi="Open Sans" w:cs="Open Sans"/>
        </w:rPr>
        <w:t>, Berry Street, 2019, accessed 20 October 2025.</w:t>
      </w:r>
    </w:p>
  </w:endnote>
  <w:endnote w:id="41">
    <w:p w14:paraId="618EE83A" w14:textId="559F1D9E"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69026B43" w:rsidRPr="00560118">
        <w:rPr>
          <w:rFonts w:ascii="Open Sans" w:hAnsi="Open Sans" w:cs="Open Sans"/>
        </w:rPr>
        <w:t xml:space="preserve"> Department of Social Services (DSS), </w:t>
      </w:r>
      <w:hyperlink r:id="rId24" w:history="1">
        <w:r w:rsidR="69026B43" w:rsidRPr="69026B43">
          <w:rPr>
            <w:rStyle w:val="Hyperlink"/>
            <w:rFonts w:ascii="Open Sans" w:hAnsi="Open Sans" w:cs="Open Sans"/>
            <w:i/>
            <w:iCs/>
          </w:rPr>
          <w:t>The Early Years Strategy 2024-2034</w:t>
        </w:r>
      </w:hyperlink>
      <w:r w:rsidR="69026B43" w:rsidRPr="00560118">
        <w:rPr>
          <w:rFonts w:ascii="Open Sans" w:hAnsi="Open Sans" w:cs="Open Sans"/>
        </w:rPr>
        <w:t xml:space="preserve">, DSS, Australian Government, 2024, accessed 20 October 2025. </w:t>
      </w:r>
    </w:p>
  </w:endnote>
  <w:endnote w:id="42">
    <w:p w14:paraId="426FE87D"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DSS, </w:t>
      </w:r>
      <w:r w:rsidRPr="00560118">
        <w:rPr>
          <w:rFonts w:ascii="Open Sans" w:hAnsi="Open Sans" w:cs="Open Sans"/>
          <w:i/>
          <w:iCs/>
        </w:rPr>
        <w:t>The Early Years Strategy 2024-2034</w:t>
      </w:r>
      <w:r w:rsidRPr="00560118">
        <w:rPr>
          <w:rFonts w:ascii="Open Sans" w:hAnsi="Open Sans" w:cs="Open Sans"/>
        </w:rPr>
        <w:t>.</w:t>
      </w:r>
    </w:p>
  </w:endnote>
  <w:endnote w:id="43">
    <w:p w14:paraId="06654B54"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Moore, </w:t>
      </w:r>
      <w:r w:rsidRPr="00560118">
        <w:rPr>
          <w:rFonts w:ascii="Open Sans" w:hAnsi="Open Sans" w:cs="Open Sans"/>
          <w:i/>
          <w:iCs/>
        </w:rPr>
        <w:t>Core Care Conditions for Children and Families: Implications for policy and practice</w:t>
      </w:r>
      <w:r w:rsidRPr="00560118">
        <w:rPr>
          <w:rFonts w:ascii="Open Sans" w:hAnsi="Open Sans" w:cs="Open Sans"/>
        </w:rPr>
        <w:t>.</w:t>
      </w:r>
    </w:p>
  </w:endnote>
  <w:endnote w:id="44">
    <w:p w14:paraId="77079C8B" w14:textId="77777777" w:rsidR="00B44E93" w:rsidRPr="00560118" w:rsidRDefault="00B44E93" w:rsidP="00B44E93">
      <w:pPr>
        <w:pStyle w:val="EndnoteText"/>
        <w:rPr>
          <w:rFonts w:ascii="Open Sans" w:hAnsi="Open Sans" w:cs="Open Sans"/>
          <w:lang w:val="en-US"/>
        </w:rPr>
      </w:pPr>
      <w:r w:rsidRPr="00560118">
        <w:rPr>
          <w:rStyle w:val="EndnoteReference"/>
          <w:rFonts w:ascii="Open Sans" w:hAnsi="Open Sans" w:cs="Open Sans"/>
        </w:rPr>
        <w:endnoteRef/>
      </w:r>
      <w:r w:rsidRPr="00560118">
        <w:rPr>
          <w:rFonts w:ascii="Open Sans" w:hAnsi="Open Sans" w:cs="Open Sans"/>
        </w:rPr>
        <w:t xml:space="preserve"> P Sammons, J Hall, R Smees, J Goff, K Sylva, T Smith, M Evangelou, N Eisenstadt and G Smith, </w:t>
      </w:r>
      <w:hyperlink r:id="rId25" w:history="1">
        <w:r w:rsidRPr="00560118">
          <w:rPr>
            <w:rStyle w:val="Hyperlink"/>
            <w:rFonts w:ascii="Open Sans" w:hAnsi="Open Sans" w:cs="Open Sans"/>
            <w:i/>
            <w:iCs/>
          </w:rPr>
          <w:t>The impact of children’s centres: studying the effects of children's centres in promoting better outcomes for young children and their families: evaluation of Children’s Centres in England (ECCE, Strand 4): research report</w:t>
        </w:r>
      </w:hyperlink>
      <w:r w:rsidRPr="00560118">
        <w:rPr>
          <w:rFonts w:ascii="Open Sans" w:hAnsi="Open Sans" w:cs="Open Sans"/>
        </w:rPr>
        <w:t xml:space="preserve">, University of Oxford, 2015, accessed 20 October 2025. </w:t>
      </w:r>
    </w:p>
  </w:endnote>
  <w:endnote w:id="45">
    <w:p w14:paraId="7A0D8830"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S Newman, J McLoughlin, H Skouteris, C Blewitt, E Melhuish and C Bailey, ‘</w:t>
      </w:r>
      <w:hyperlink r:id="rId26" w:history="1">
        <w:r w:rsidRPr="00560118">
          <w:rPr>
            <w:rStyle w:val="Hyperlink"/>
            <w:rFonts w:ascii="Open Sans" w:hAnsi="Open Sans" w:cs="Open Sans"/>
          </w:rPr>
          <w:t>Does an integrated, wrap-around school and community service model in an early learning setting improve academic outcomes for children from low socioeconomic backgrounds?</w:t>
        </w:r>
      </w:hyperlink>
      <w:r w:rsidRPr="00560118">
        <w:rPr>
          <w:rFonts w:ascii="Open Sans" w:hAnsi="Open Sans" w:cs="Open Sans"/>
        </w:rPr>
        <w:t xml:space="preserve">’, </w:t>
      </w:r>
      <w:r w:rsidRPr="00560118">
        <w:rPr>
          <w:rFonts w:ascii="Open Sans" w:hAnsi="Open Sans" w:cs="Open Sans"/>
          <w:i/>
          <w:iCs/>
        </w:rPr>
        <w:t>Early Child Development and Care</w:t>
      </w:r>
      <w:r w:rsidRPr="00560118">
        <w:rPr>
          <w:rFonts w:ascii="Open Sans" w:hAnsi="Open Sans" w:cs="Open Sans"/>
        </w:rPr>
        <w:t xml:space="preserve">, 2022, 192(5):816-830, doi:10.1080/03004430.2020.1803298, accessed 20 October 2025. </w:t>
      </w:r>
    </w:p>
  </w:endnote>
  <w:endnote w:id="46">
    <w:p w14:paraId="742E97D7" w14:textId="77777777" w:rsidR="00B44E93" w:rsidRPr="00560118" w:rsidRDefault="00B44E93" w:rsidP="00B44E93">
      <w:pPr>
        <w:pStyle w:val="EndnoteText"/>
        <w:rPr>
          <w:rFonts w:ascii="Open Sans" w:hAnsi="Open Sans" w:cs="Open Sans"/>
          <w:lang w:val="en-US"/>
        </w:rPr>
      </w:pPr>
      <w:r w:rsidRPr="00560118">
        <w:rPr>
          <w:rStyle w:val="EndnoteReference"/>
          <w:rFonts w:ascii="Open Sans" w:hAnsi="Open Sans" w:cs="Open Sans"/>
        </w:rPr>
        <w:endnoteRef/>
      </w:r>
      <w:r w:rsidRPr="00560118">
        <w:rPr>
          <w:rFonts w:ascii="Open Sans" w:hAnsi="Open Sans" w:cs="Open Sans"/>
        </w:rPr>
        <w:t xml:space="preserve"> K Edwards, R Fernandez, T Rimes, L Stephenson, R Smith, J Son, V Sarkozy, D Perkins, V Eapan and S Woolfenden, ‘</w:t>
      </w:r>
      <w:hyperlink r:id="rId27" w:history="1">
        <w:r w:rsidRPr="00560118">
          <w:rPr>
            <w:rStyle w:val="Hyperlink"/>
            <w:rFonts w:ascii="Open Sans" w:hAnsi="Open Sans" w:cs="Open Sans"/>
          </w:rPr>
          <w:t>Happy, Healthy, Ready – working with early childhood non-government organisations for developmental surveillance for vulnerable children</w:t>
        </w:r>
      </w:hyperlink>
      <w:r w:rsidRPr="00560118">
        <w:rPr>
          <w:rFonts w:ascii="Open Sans" w:hAnsi="Open Sans" w:cs="Open Sans"/>
        </w:rPr>
        <w:t xml:space="preserve">’, </w:t>
      </w:r>
      <w:r w:rsidRPr="00560118">
        <w:rPr>
          <w:rFonts w:ascii="Open Sans" w:hAnsi="Open Sans" w:cs="Open Sans"/>
          <w:i/>
          <w:iCs/>
        </w:rPr>
        <w:t>Australian Journal of Advanced Nursing</w:t>
      </w:r>
      <w:r w:rsidRPr="00560118">
        <w:rPr>
          <w:rFonts w:ascii="Open Sans" w:hAnsi="Open Sans" w:cs="Open Sans"/>
        </w:rPr>
        <w:t xml:space="preserve">, 2020, 37(4):37-46, doi:10.37464/2020.374.277, accessed 20 October 2025.  </w:t>
      </w:r>
    </w:p>
  </w:endnote>
  <w:endnote w:id="47">
    <w:p w14:paraId="3A83FD6E"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Department of Education and Training, </w:t>
      </w:r>
      <w:hyperlink r:id="rId28" w:history="1">
        <w:r w:rsidRPr="00560118">
          <w:rPr>
            <w:rStyle w:val="Hyperlink"/>
            <w:rFonts w:ascii="Open Sans" w:hAnsi="Open Sans" w:cs="Open Sans"/>
            <w:i/>
            <w:iCs/>
          </w:rPr>
          <w:t>Co-location and other integration initiatives: Strategic evaluation: A summary report</w:t>
        </w:r>
        <w:r w:rsidRPr="00560118">
          <w:rPr>
            <w:rStyle w:val="Hyperlink"/>
            <w:rFonts w:ascii="Open Sans" w:hAnsi="Open Sans" w:cs="Open Sans"/>
          </w:rPr>
          <w:t xml:space="preserve"> [PDF 1,480KB]</w:t>
        </w:r>
      </w:hyperlink>
      <w:r w:rsidRPr="00560118">
        <w:rPr>
          <w:rFonts w:ascii="Open Sans" w:hAnsi="Open Sans" w:cs="Open Sans"/>
        </w:rPr>
        <w:t xml:space="preserve">, Department of Education and Training, State Government of Victoria, 2015, accessed 20 October 2025. </w:t>
      </w:r>
    </w:p>
  </w:endnote>
  <w:endnote w:id="48">
    <w:p w14:paraId="749E3535"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Department of Education and Training, </w:t>
      </w:r>
      <w:r w:rsidRPr="00560118">
        <w:rPr>
          <w:rFonts w:ascii="Open Sans" w:hAnsi="Open Sans" w:cs="Open Sans"/>
          <w:i/>
          <w:iCs/>
        </w:rPr>
        <w:t>Co-location and other integration initiatives: Strategic evaluation: A summary report</w:t>
      </w:r>
      <w:r w:rsidRPr="00560118">
        <w:rPr>
          <w:rFonts w:ascii="Open Sans" w:hAnsi="Open Sans" w:cs="Open Sans"/>
        </w:rPr>
        <w:t>.</w:t>
      </w:r>
    </w:p>
  </w:endnote>
  <w:endnote w:id="49">
    <w:p w14:paraId="732F42F9"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Victorian Council of Social Service (VCOSS), </w:t>
      </w:r>
      <w:hyperlink r:id="rId29" w:history="1">
        <w:r w:rsidRPr="00560118">
          <w:rPr>
            <w:rStyle w:val="Hyperlink"/>
            <w:rFonts w:ascii="Open Sans" w:hAnsi="Open Sans" w:cs="Open Sans"/>
            <w:i/>
            <w:iCs/>
          </w:rPr>
          <w:t>Communities taking power: Using place-based approaches to deliver local solutions to poverty and disadvantage</w:t>
        </w:r>
        <w:r w:rsidRPr="00560118">
          <w:rPr>
            <w:rStyle w:val="Hyperlink"/>
            <w:rFonts w:ascii="Open Sans" w:hAnsi="Open Sans" w:cs="Open Sans"/>
          </w:rPr>
          <w:t xml:space="preserve"> [PDF 656KB]</w:t>
        </w:r>
      </w:hyperlink>
      <w:r w:rsidRPr="00560118">
        <w:rPr>
          <w:rFonts w:ascii="Open Sans" w:hAnsi="Open Sans" w:cs="Open Sans"/>
        </w:rPr>
        <w:t xml:space="preserve">, VCOSS, 2016, accessed 20 October 2025. </w:t>
      </w:r>
    </w:p>
  </w:endnote>
  <w:endnote w:id="50">
    <w:p w14:paraId="77294377"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VCOSS, </w:t>
      </w:r>
      <w:r w:rsidRPr="00560118">
        <w:rPr>
          <w:rFonts w:ascii="Open Sans" w:hAnsi="Open Sans" w:cs="Open Sans"/>
          <w:i/>
          <w:iCs/>
        </w:rPr>
        <w:t>Communities taking power: Using place-based approaches to deliver local solutions to poverty and disadvantage</w:t>
      </w:r>
      <w:r w:rsidRPr="00560118">
        <w:rPr>
          <w:rFonts w:ascii="Open Sans" w:hAnsi="Open Sans" w:cs="Open Sans"/>
        </w:rPr>
        <w:t>.</w:t>
      </w:r>
    </w:p>
  </w:endnote>
  <w:endnote w:id="51">
    <w:p w14:paraId="050E138F"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R Tanton, L Dare, R Miranti, Y Vidyattama, A Yule and M McCabe, </w:t>
      </w:r>
      <w:hyperlink r:id="rId30" w:history="1">
        <w:r w:rsidRPr="00560118">
          <w:rPr>
            <w:rStyle w:val="Hyperlink"/>
            <w:rFonts w:ascii="Open Sans" w:hAnsi="Open Sans" w:cs="Open Sans"/>
            <w:i/>
            <w:iCs/>
          </w:rPr>
          <w:t>Dropping Off the Edge 2021: Persistent and multilayered disadvantage in Australia</w:t>
        </w:r>
      </w:hyperlink>
      <w:r w:rsidRPr="00560118">
        <w:rPr>
          <w:rFonts w:ascii="Open Sans" w:hAnsi="Open Sans" w:cs="Open Sans"/>
        </w:rPr>
        <w:t xml:space="preserve">, Jesuit Social Services, Melbourne, 2021, accessed 20 October 2025. </w:t>
      </w:r>
    </w:p>
  </w:endnote>
  <w:endnote w:id="52">
    <w:p w14:paraId="08111B03"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Australian Bureau of Statistics, </w:t>
      </w:r>
      <w:hyperlink r:id="rId31" w:anchor="data-downloads" w:history="1">
        <w:r w:rsidRPr="00560118">
          <w:rPr>
            <w:rStyle w:val="Hyperlink"/>
            <w:rFonts w:ascii="Open Sans" w:hAnsi="Open Sans" w:cs="Open Sans"/>
            <w:i/>
            <w:iCs/>
          </w:rPr>
          <w:t>Socio-Economic Indexes for Areas (SEIFA): Table 2 Statistical Area Level 2 (SA2) Index of Relative Socio-economic Disadvantage, 2021</w:t>
        </w:r>
      </w:hyperlink>
      <w:r w:rsidRPr="00560118">
        <w:rPr>
          <w:rFonts w:ascii="Open Sans" w:hAnsi="Open Sans" w:cs="Open Sans"/>
        </w:rPr>
        <w:t xml:space="preserve"> [data set], ABS Website, 2021, accessed 20 October 2025. </w:t>
      </w:r>
    </w:p>
  </w:endnote>
  <w:endnote w:id="53">
    <w:p w14:paraId="1345EF33"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LA O’Dwyer, F Baum, A Kavanagh and C Macdougall, ‘</w:t>
      </w:r>
      <w:hyperlink r:id="rId32" w:history="1">
        <w:r w:rsidRPr="00560118">
          <w:rPr>
            <w:rStyle w:val="Hyperlink"/>
            <w:rFonts w:ascii="Open Sans" w:hAnsi="Open Sans" w:cs="Open Sans"/>
          </w:rPr>
          <w:t>Do area-based interventions to reduce health inequalities work? A systematic review of evidence</w:t>
        </w:r>
      </w:hyperlink>
      <w:r w:rsidRPr="00560118">
        <w:rPr>
          <w:rFonts w:ascii="Open Sans" w:hAnsi="Open Sans" w:cs="Open Sans"/>
        </w:rPr>
        <w:t xml:space="preserve">’, </w:t>
      </w:r>
      <w:r w:rsidRPr="00560118">
        <w:rPr>
          <w:rFonts w:ascii="Open Sans" w:hAnsi="Open Sans" w:cs="Open Sans"/>
          <w:i/>
          <w:iCs/>
        </w:rPr>
        <w:t>Critical Public Health</w:t>
      </w:r>
      <w:r w:rsidRPr="00560118">
        <w:rPr>
          <w:rFonts w:ascii="Open Sans" w:hAnsi="Open Sans" w:cs="Open Sans"/>
        </w:rPr>
        <w:t xml:space="preserve">, 2007, 17(4)317-335, </w:t>
      </w:r>
      <w:r>
        <w:rPr>
          <w:rFonts w:ascii="Open Sans" w:hAnsi="Open Sans" w:cs="Open Sans"/>
        </w:rPr>
        <w:t>doi:</w:t>
      </w:r>
      <w:r w:rsidRPr="005C70A2">
        <w:rPr>
          <w:rFonts w:ascii="Open Sans" w:hAnsi="Open Sans" w:cs="Open Sans"/>
        </w:rPr>
        <w:t>10.1080/09581590701729921</w:t>
      </w:r>
      <w:r>
        <w:rPr>
          <w:rFonts w:ascii="Open Sans" w:hAnsi="Open Sans" w:cs="Open Sans"/>
        </w:rPr>
        <w:t xml:space="preserve">, </w:t>
      </w:r>
      <w:r w:rsidRPr="00560118">
        <w:rPr>
          <w:rFonts w:ascii="Open Sans" w:hAnsi="Open Sans" w:cs="Open Sans"/>
        </w:rPr>
        <w:t xml:space="preserve">accessed 20 October 2025. </w:t>
      </w:r>
    </w:p>
  </w:endnote>
  <w:endnote w:id="54">
    <w:p w14:paraId="7CF63856" w14:textId="77777777" w:rsidR="00B44E93" w:rsidRPr="00560118" w:rsidRDefault="00B44E93" w:rsidP="00B44E93">
      <w:pPr>
        <w:pStyle w:val="EndnoteText"/>
        <w:rPr>
          <w:rFonts w:ascii="Open Sans" w:hAnsi="Open Sans" w:cs="Open Sans"/>
          <w:lang w:val="en-US"/>
        </w:rPr>
      </w:pPr>
      <w:r w:rsidRPr="00560118">
        <w:rPr>
          <w:rStyle w:val="EndnoteReference"/>
          <w:rFonts w:ascii="Open Sans" w:hAnsi="Open Sans" w:cs="Open Sans"/>
        </w:rPr>
        <w:endnoteRef/>
      </w:r>
      <w:r w:rsidRPr="00560118">
        <w:rPr>
          <w:rFonts w:ascii="Open Sans" w:hAnsi="Open Sans" w:cs="Open Sans"/>
        </w:rPr>
        <w:t xml:space="preserve"> Centre for Community Child Health, </w:t>
      </w:r>
      <w:hyperlink r:id="rId33" w:history="1">
        <w:r w:rsidRPr="00560118">
          <w:rPr>
            <w:rStyle w:val="Hyperlink"/>
            <w:rFonts w:ascii="Open Sans" w:hAnsi="Open Sans" w:cs="Open Sans"/>
            <w:i/>
            <w:iCs/>
          </w:rPr>
          <w:t>Place-based approaches to supporting children and families</w:t>
        </w:r>
        <w:r w:rsidRPr="00560118">
          <w:rPr>
            <w:rStyle w:val="Hyperlink"/>
            <w:rFonts w:ascii="Open Sans" w:hAnsi="Open Sans" w:cs="Open Sans"/>
          </w:rPr>
          <w:t xml:space="preserve"> [PDF 311KB]</w:t>
        </w:r>
      </w:hyperlink>
      <w:r w:rsidRPr="00560118">
        <w:rPr>
          <w:rFonts w:ascii="Open Sans" w:hAnsi="Open Sans" w:cs="Open Sans"/>
        </w:rPr>
        <w:t xml:space="preserve">, The Royal Children’s Hospital, Melbourne, 2011, accessed 20 October 2025. </w:t>
      </w:r>
    </w:p>
  </w:endnote>
  <w:endnote w:id="55">
    <w:p w14:paraId="03722C7E" w14:textId="77777777" w:rsidR="00D3797A" w:rsidRPr="00560118" w:rsidRDefault="00D3797A" w:rsidP="00D3797A">
      <w:pPr>
        <w:pStyle w:val="EndnoteText"/>
        <w:rPr>
          <w:rFonts w:ascii="Open Sans" w:hAnsi="Open Sans" w:cs="Open Sans"/>
          <w:lang w:val="en-US"/>
        </w:rPr>
      </w:pPr>
      <w:r w:rsidRPr="00560118">
        <w:rPr>
          <w:rStyle w:val="EndnoteReference"/>
          <w:rFonts w:ascii="Open Sans" w:hAnsi="Open Sans" w:cs="Open Sans"/>
        </w:rPr>
        <w:endnoteRef/>
      </w:r>
      <w:r w:rsidRPr="00560118">
        <w:rPr>
          <w:rFonts w:ascii="Open Sans" w:hAnsi="Open Sans" w:cs="Open Sans"/>
        </w:rPr>
        <w:t xml:space="preserve"> Centre for Community Child Health, </w:t>
      </w:r>
      <w:r w:rsidRPr="00560118">
        <w:rPr>
          <w:rFonts w:ascii="Open Sans" w:hAnsi="Open Sans" w:cs="Open Sans"/>
          <w:i/>
          <w:iCs/>
        </w:rPr>
        <w:t>Place-based approaches to supporting children and families</w:t>
      </w:r>
      <w:r w:rsidRPr="00560118">
        <w:rPr>
          <w:rFonts w:ascii="Open Sans" w:hAnsi="Open Sans" w:cs="Open Sans"/>
        </w:rPr>
        <w:t>.</w:t>
      </w:r>
    </w:p>
  </w:endnote>
  <w:endnote w:id="56">
    <w:p w14:paraId="33563140" w14:textId="77777777" w:rsidR="69026B43" w:rsidRDefault="69026B43" w:rsidP="69026B43">
      <w:pPr>
        <w:pStyle w:val="EndnoteText"/>
        <w:rPr>
          <w:rFonts w:ascii="Open Sans" w:hAnsi="Open Sans" w:cs="Open Sans"/>
        </w:rPr>
      </w:pPr>
      <w:r w:rsidRPr="69026B43">
        <w:rPr>
          <w:rStyle w:val="EndnoteReference"/>
          <w:rFonts w:ascii="Open Sans" w:hAnsi="Open Sans" w:cs="Open Sans"/>
        </w:rPr>
        <w:endnoteRef/>
      </w:r>
      <w:r w:rsidRPr="69026B43">
        <w:rPr>
          <w:rFonts w:ascii="Open Sans" w:hAnsi="Open Sans" w:cs="Open Sans"/>
        </w:rPr>
        <w:t xml:space="preserve"> SNAICC, </w:t>
      </w:r>
      <w:r w:rsidRPr="69026B43">
        <w:rPr>
          <w:rFonts w:ascii="Open Sans" w:hAnsi="Open Sans" w:cs="Open Sans"/>
          <w:i/>
          <w:iCs/>
        </w:rPr>
        <w:t>Stronger ACCOs, Stronger Families: Final Report</w:t>
      </w:r>
      <w:r w:rsidRPr="69026B43">
        <w:rPr>
          <w:rFonts w:ascii="Open Sans" w:hAnsi="Open Sans" w:cs="Open Sans"/>
        </w:rPr>
        <w:t>.</w:t>
      </w:r>
    </w:p>
  </w:endnote>
  <w:endnote w:id="57">
    <w:p w14:paraId="2B46DF8C" w14:textId="77777777" w:rsidR="69026B43" w:rsidRDefault="69026B43" w:rsidP="69026B43">
      <w:pPr>
        <w:pStyle w:val="EndnoteText"/>
        <w:rPr>
          <w:rFonts w:ascii="Open Sans" w:hAnsi="Open Sans" w:cs="Open Sans"/>
        </w:rPr>
      </w:pPr>
      <w:r w:rsidRPr="69026B43">
        <w:rPr>
          <w:rStyle w:val="EndnoteReference"/>
          <w:rFonts w:ascii="Open Sans" w:hAnsi="Open Sans" w:cs="Open Sans"/>
        </w:rPr>
        <w:endnoteRef/>
      </w:r>
      <w:r w:rsidRPr="69026B43">
        <w:rPr>
          <w:rFonts w:ascii="Open Sans" w:hAnsi="Open Sans" w:cs="Open Sans"/>
        </w:rPr>
        <w:t xml:space="preserve"> S Creamer, S Blair, M Toombs and CE Brolan, ‘</w:t>
      </w:r>
      <w:hyperlink r:id="rId34">
        <w:r w:rsidRPr="69026B43">
          <w:rPr>
            <w:rStyle w:val="Hyperlink"/>
            <w:rFonts w:ascii="Open Sans" w:hAnsi="Open Sans" w:cs="Open Sans"/>
          </w:rPr>
          <w:t>Indigenous services leading the way for Aboriginal and Torres Strait Islander children in out-of-home care</w:t>
        </w:r>
      </w:hyperlink>
      <w:r w:rsidRPr="69026B43">
        <w:rPr>
          <w:rFonts w:ascii="Open Sans" w:hAnsi="Open Sans" w:cs="Open Sans"/>
        </w:rPr>
        <w:t xml:space="preserve">’, </w:t>
      </w:r>
      <w:r w:rsidRPr="69026B43">
        <w:rPr>
          <w:rFonts w:ascii="Open Sans" w:hAnsi="Open Sans" w:cs="Open Sans"/>
          <w:i/>
          <w:iCs/>
        </w:rPr>
        <w:t xml:space="preserve">Social Work Education, </w:t>
      </w:r>
      <w:r w:rsidRPr="69026B43">
        <w:rPr>
          <w:rFonts w:ascii="Open Sans" w:hAnsi="Open Sans" w:cs="Open Sans"/>
        </w:rPr>
        <w:t xml:space="preserve">2022, 43(4):913-937, doi:10.1080/02615479.2022.2155129, accessed 20 October 2025. </w:t>
      </w:r>
    </w:p>
  </w:endnote>
  <w:endnote w:id="58">
    <w:p w14:paraId="63BBEBFB" w14:textId="77777777" w:rsidR="69026B43" w:rsidRDefault="69026B43" w:rsidP="69026B43">
      <w:pPr>
        <w:pStyle w:val="EndnoteText"/>
        <w:rPr>
          <w:rFonts w:ascii="Open Sans" w:hAnsi="Open Sans" w:cs="Open Sans"/>
          <w:color w:val="FF0000"/>
          <w:lang w:val="en-US"/>
        </w:rPr>
      </w:pPr>
      <w:r w:rsidRPr="69026B43">
        <w:rPr>
          <w:rStyle w:val="EndnoteReference"/>
          <w:rFonts w:ascii="Open Sans" w:hAnsi="Open Sans" w:cs="Open Sans"/>
        </w:rPr>
        <w:endnoteRef/>
      </w:r>
      <w:r w:rsidRPr="69026B43">
        <w:rPr>
          <w:rFonts w:ascii="Open Sans" w:hAnsi="Open Sans" w:cs="Open Sans"/>
        </w:rPr>
        <w:t xml:space="preserve"> Department of Education, </w:t>
      </w:r>
      <w:hyperlink r:id="rId35">
        <w:r w:rsidRPr="69026B43">
          <w:rPr>
            <w:rStyle w:val="Hyperlink"/>
            <w:rFonts w:ascii="Open Sans" w:hAnsi="Open Sans" w:cs="Open Sans"/>
            <w:i/>
            <w:iCs/>
          </w:rPr>
          <w:t>2024 Australian Early Development Census National Report</w:t>
        </w:r>
      </w:hyperlink>
      <w:r w:rsidRPr="69026B43">
        <w:rPr>
          <w:rFonts w:ascii="Open Sans" w:hAnsi="Open Sans" w:cs="Open Sans"/>
        </w:rPr>
        <w:t xml:space="preserve">, Department of Education, Australian Government, 2025, accessed 20 October 2025.   </w:t>
      </w:r>
    </w:p>
  </w:endnote>
  <w:endnote w:id="59">
    <w:p w14:paraId="45109158"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Productivity Commission, </w:t>
      </w:r>
      <w:hyperlink r:id="rId36" w:history="1">
        <w:r w:rsidRPr="00560118">
          <w:rPr>
            <w:rStyle w:val="Hyperlink"/>
            <w:rFonts w:ascii="Open Sans" w:hAnsi="Open Sans" w:cs="Open Sans"/>
            <w:i/>
            <w:iCs/>
          </w:rPr>
          <w:t>Review of the National Agreement on Closing the Gap</w:t>
        </w:r>
      </w:hyperlink>
      <w:r w:rsidRPr="00560118">
        <w:rPr>
          <w:rFonts w:ascii="Open Sans" w:hAnsi="Open Sans" w:cs="Open Sans"/>
        </w:rPr>
        <w:t xml:space="preserve">, Study Report, Supporting Paper, Productivity Commission, Australian Government, 2024, accessed 20 October 2025. </w:t>
      </w:r>
    </w:p>
  </w:endnote>
  <w:endnote w:id="60">
    <w:p w14:paraId="27A4C605"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Productivity Commission, </w:t>
      </w:r>
      <w:r w:rsidRPr="00560118">
        <w:rPr>
          <w:rFonts w:ascii="Open Sans" w:hAnsi="Open Sans" w:cs="Open Sans"/>
          <w:i/>
          <w:iCs/>
        </w:rPr>
        <w:t>Review of the National Agreement on Closing the Gap</w:t>
      </w:r>
      <w:r w:rsidRPr="00560118">
        <w:rPr>
          <w:rFonts w:ascii="Open Sans" w:hAnsi="Open Sans" w:cs="Open Sans"/>
        </w:rPr>
        <w:t>,</w:t>
      </w:r>
    </w:p>
  </w:endnote>
  <w:endnote w:id="61">
    <w:p w14:paraId="2E459EAD"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SNAICC, </w:t>
      </w:r>
      <w:r w:rsidRPr="00560118">
        <w:rPr>
          <w:rFonts w:ascii="Open Sans" w:hAnsi="Open Sans" w:cs="Open Sans"/>
          <w:i/>
          <w:iCs/>
        </w:rPr>
        <w:t>Stronger ACCOs, Stronger Families: Final Report</w:t>
      </w:r>
      <w:r w:rsidRPr="00560118">
        <w:rPr>
          <w:rFonts w:ascii="Open Sans" w:hAnsi="Open Sans" w:cs="Open Sans"/>
        </w:rPr>
        <w:t>.</w:t>
      </w:r>
    </w:p>
  </w:endnote>
  <w:endnote w:id="62">
    <w:p w14:paraId="54B6DBB4" w14:textId="77777777" w:rsidR="00B44E93" w:rsidRPr="00560118" w:rsidRDefault="00B44E93" w:rsidP="00B44E93">
      <w:pPr>
        <w:pStyle w:val="EndnoteText"/>
        <w:rPr>
          <w:rFonts w:ascii="Open Sans" w:hAnsi="Open Sans" w:cs="Open Sans"/>
          <w:color w:val="FF0000"/>
        </w:rPr>
      </w:pPr>
      <w:r w:rsidRPr="00560118">
        <w:rPr>
          <w:rStyle w:val="EndnoteReference"/>
          <w:rFonts w:ascii="Open Sans" w:hAnsi="Open Sans" w:cs="Open Sans"/>
        </w:rPr>
        <w:endnoteRef/>
      </w:r>
      <w:r w:rsidRPr="00560118">
        <w:rPr>
          <w:rFonts w:ascii="Open Sans" w:hAnsi="Open Sans" w:cs="Open Sans"/>
        </w:rPr>
        <w:t xml:space="preserve"> Anglicare Australia, </w:t>
      </w:r>
      <w:hyperlink r:id="rId37" w:history="1">
        <w:r w:rsidRPr="00560118">
          <w:rPr>
            <w:rStyle w:val="Hyperlink"/>
            <w:rFonts w:ascii="Open Sans" w:hAnsi="Open Sans" w:cs="Open Sans"/>
            <w:i/>
            <w:iCs/>
          </w:rPr>
          <w:t>In Every Community: Delivering Services Outside Our Cities</w:t>
        </w:r>
      </w:hyperlink>
      <w:r w:rsidRPr="00560118">
        <w:rPr>
          <w:rFonts w:ascii="Open Sans" w:hAnsi="Open Sans" w:cs="Open Sans"/>
        </w:rPr>
        <w:t>, Anglicare Australia, 2025, accessed 20 October 2025.</w:t>
      </w:r>
    </w:p>
  </w:endnote>
  <w:endnote w:id="63">
    <w:p w14:paraId="06177CFC" w14:textId="77777777" w:rsidR="00B44E93" w:rsidRPr="00560118" w:rsidRDefault="00B44E93" w:rsidP="00B44E93">
      <w:pPr>
        <w:pStyle w:val="EndnoteText"/>
        <w:rPr>
          <w:rFonts w:ascii="Open Sans" w:hAnsi="Open Sans" w:cs="Open Sans"/>
          <w:color w:val="FF0000"/>
        </w:rPr>
      </w:pPr>
      <w:r w:rsidRPr="00560118">
        <w:rPr>
          <w:rStyle w:val="EndnoteReference"/>
          <w:rFonts w:ascii="Open Sans" w:hAnsi="Open Sans" w:cs="Open Sans"/>
        </w:rPr>
        <w:endnoteRef/>
      </w:r>
      <w:r w:rsidRPr="00560118">
        <w:rPr>
          <w:rFonts w:ascii="Open Sans" w:hAnsi="Open Sans" w:cs="Open Sans"/>
        </w:rPr>
        <w:t xml:space="preserve"> </w:t>
      </w:r>
      <w:r w:rsidRPr="00560118">
        <w:rPr>
          <w:rFonts w:ascii="Open Sans" w:hAnsi="Open Sans" w:cs="Open Sans"/>
          <w:color w:val="000000"/>
          <w:shd w:val="clear" w:color="auto" w:fill="FFFFFF"/>
        </w:rPr>
        <w:t>Australian Bureau of Statistics (ABS), </w:t>
      </w:r>
      <w:hyperlink r:id="rId38" w:history="1">
        <w:r w:rsidRPr="00560118">
          <w:rPr>
            <w:rStyle w:val="Hyperlink"/>
            <w:rFonts w:ascii="Open Sans" w:hAnsi="Open Sans" w:cs="Open Sans"/>
            <w:i/>
            <w:iCs/>
            <w:shd w:val="clear" w:color="auto" w:fill="FFFFFF"/>
          </w:rPr>
          <w:t>Socio-Economic Indexes for Areas (SEIFA): Technical Paper</w:t>
        </w:r>
      </w:hyperlink>
      <w:r w:rsidRPr="00560118">
        <w:rPr>
          <w:rFonts w:ascii="Open Sans" w:hAnsi="Open Sans" w:cs="Open Sans"/>
          <w:color w:val="000000"/>
          <w:shd w:val="clear" w:color="auto" w:fill="FFFFFF"/>
        </w:rPr>
        <w:t>, ABS Website, 2021, accessed 20 October 2025.</w:t>
      </w:r>
      <w:r w:rsidRPr="00560118">
        <w:rPr>
          <w:rFonts w:ascii="Open Sans" w:hAnsi="Open Sans" w:cs="Open Sans"/>
        </w:rPr>
        <w:t xml:space="preserve"> </w:t>
      </w:r>
    </w:p>
  </w:endnote>
  <w:endnote w:id="64">
    <w:p w14:paraId="4E2274F0" w14:textId="77777777" w:rsidR="00B44E93" w:rsidRPr="00560118" w:rsidRDefault="00B44E93" w:rsidP="00B44E93">
      <w:pPr>
        <w:pStyle w:val="EndnoteText"/>
        <w:rPr>
          <w:rFonts w:ascii="Open Sans" w:hAnsi="Open Sans" w:cs="Open Sans"/>
          <w:color w:val="FF0000"/>
        </w:rPr>
      </w:pPr>
      <w:r w:rsidRPr="00560118">
        <w:rPr>
          <w:rStyle w:val="EndnoteReference"/>
          <w:rFonts w:ascii="Open Sans" w:hAnsi="Open Sans" w:cs="Open Sans"/>
        </w:rPr>
        <w:endnoteRef/>
      </w:r>
      <w:r w:rsidRPr="00560118">
        <w:rPr>
          <w:rFonts w:ascii="Open Sans" w:hAnsi="Open Sans" w:cs="Open Sans"/>
        </w:rPr>
        <w:t xml:space="preserve"> ABS, </w:t>
      </w:r>
      <w:r w:rsidRPr="00560118">
        <w:rPr>
          <w:rFonts w:ascii="Open Sans" w:hAnsi="Open Sans" w:cs="Open Sans"/>
          <w:i/>
          <w:iCs/>
        </w:rPr>
        <w:t>Socio-Economic Indexes for Areas (SEIFA): Technical Paper</w:t>
      </w:r>
      <w:r w:rsidRPr="00560118">
        <w:rPr>
          <w:rFonts w:ascii="Open Sans" w:hAnsi="Open Sans" w:cs="Open Sans"/>
        </w:rPr>
        <w:t>.</w:t>
      </w:r>
    </w:p>
  </w:endnote>
  <w:endnote w:id="65">
    <w:p w14:paraId="1AECE72B"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C Strawa, </w:t>
      </w:r>
      <w:hyperlink r:id="rId39" w:history="1">
        <w:r w:rsidRPr="00560118">
          <w:rPr>
            <w:rStyle w:val="Hyperlink"/>
            <w:rFonts w:ascii="Open Sans" w:hAnsi="Open Sans" w:cs="Open Sans"/>
            <w:i/>
            <w:iCs/>
          </w:rPr>
          <w:t>Supporting young people experiencing disadvantage to secure work</w:t>
        </w:r>
      </w:hyperlink>
      <w:r w:rsidRPr="00560118">
        <w:rPr>
          <w:rFonts w:ascii="Open Sans" w:hAnsi="Open Sans" w:cs="Open Sans"/>
        </w:rPr>
        <w:t xml:space="preserve">, Australian Institute of Family Studies, 2022, accessed 20 October 2025. </w:t>
      </w:r>
    </w:p>
  </w:endnote>
  <w:endnote w:id="66">
    <w:p w14:paraId="0D6D1725"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Strawa, </w:t>
      </w:r>
      <w:r w:rsidRPr="00560118">
        <w:rPr>
          <w:rFonts w:ascii="Open Sans" w:hAnsi="Open Sans" w:cs="Open Sans"/>
          <w:i/>
          <w:iCs/>
        </w:rPr>
        <w:t>Supporting young people experiencing disadvantage to secure work</w:t>
      </w:r>
      <w:r w:rsidRPr="00560118">
        <w:rPr>
          <w:rFonts w:ascii="Open Sans" w:hAnsi="Open Sans" w:cs="Open Sans"/>
        </w:rPr>
        <w:t>.</w:t>
      </w:r>
    </w:p>
  </w:endnote>
  <w:endnote w:id="67">
    <w:p w14:paraId="2D1D9499"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Australian Institute of Health and Welfare (AIHW), </w:t>
      </w:r>
      <w:hyperlink r:id="rId40" w:history="1">
        <w:r w:rsidRPr="00560118">
          <w:rPr>
            <w:rStyle w:val="Hyperlink"/>
            <w:rFonts w:ascii="Open Sans" w:hAnsi="Open Sans" w:cs="Open Sans"/>
            <w:i/>
            <w:iCs/>
          </w:rPr>
          <w:t>Australia's Youth: Engagement in education or employment</w:t>
        </w:r>
      </w:hyperlink>
      <w:r w:rsidRPr="00560118">
        <w:rPr>
          <w:rFonts w:ascii="Open Sans" w:hAnsi="Open Sans" w:cs="Open Sans"/>
        </w:rPr>
        <w:t>, AIHW, Australian Government, 2021, accessed 20 October 2025.</w:t>
      </w:r>
    </w:p>
  </w:endnote>
  <w:endnote w:id="68">
    <w:p w14:paraId="62DA8739"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Strawa, </w:t>
      </w:r>
      <w:r w:rsidRPr="00560118">
        <w:rPr>
          <w:rFonts w:ascii="Open Sans" w:hAnsi="Open Sans" w:cs="Open Sans"/>
          <w:i/>
          <w:iCs/>
        </w:rPr>
        <w:t>Supporting young people experiencing disadvantage to secure work</w:t>
      </w:r>
      <w:r w:rsidRPr="00560118">
        <w:rPr>
          <w:rFonts w:ascii="Open Sans" w:hAnsi="Open Sans" w:cs="Open Sans"/>
        </w:rPr>
        <w:t>.</w:t>
      </w:r>
    </w:p>
  </w:endnote>
  <w:endnote w:id="69">
    <w:p w14:paraId="74828725"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Strawa, </w:t>
      </w:r>
      <w:r w:rsidRPr="00560118">
        <w:rPr>
          <w:rFonts w:ascii="Open Sans" w:hAnsi="Open Sans" w:cs="Open Sans"/>
          <w:i/>
          <w:iCs/>
        </w:rPr>
        <w:t>Supporting young people experiencing disadvantage to secure work</w:t>
      </w:r>
      <w:r w:rsidRPr="00560118">
        <w:rPr>
          <w:rFonts w:ascii="Open Sans" w:hAnsi="Open Sans" w:cs="Open Sans"/>
        </w:rPr>
        <w:t>.</w:t>
      </w:r>
    </w:p>
  </w:endnote>
  <w:endnote w:id="70">
    <w:p w14:paraId="4E8796CB"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Strawa, </w:t>
      </w:r>
      <w:r w:rsidRPr="00560118">
        <w:rPr>
          <w:rFonts w:ascii="Open Sans" w:hAnsi="Open Sans" w:cs="Open Sans"/>
          <w:i/>
          <w:iCs/>
        </w:rPr>
        <w:t>Supporting young people experiencing disadvantage to secure work</w:t>
      </w:r>
      <w:r w:rsidRPr="00560118">
        <w:rPr>
          <w:rFonts w:ascii="Open Sans" w:hAnsi="Open Sans" w:cs="Open Sans"/>
        </w:rPr>
        <w:t>.</w:t>
      </w:r>
    </w:p>
  </w:endnote>
  <w:endnote w:id="71">
    <w:p w14:paraId="42B0C96E"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Strawa, </w:t>
      </w:r>
      <w:r w:rsidRPr="00560118">
        <w:rPr>
          <w:rFonts w:ascii="Open Sans" w:hAnsi="Open Sans" w:cs="Open Sans"/>
          <w:i/>
          <w:iCs/>
        </w:rPr>
        <w:t>Supporting young people experiencing disadvantage to secure work</w:t>
      </w:r>
      <w:r w:rsidRPr="00560118">
        <w:rPr>
          <w:rFonts w:ascii="Open Sans" w:hAnsi="Open Sans" w:cs="Open Sans"/>
        </w:rPr>
        <w:t>.</w:t>
      </w:r>
    </w:p>
  </w:endnote>
  <w:endnote w:id="72">
    <w:p w14:paraId="132C5914"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Australian Early Development Census (AEDC), </w:t>
      </w:r>
      <w:hyperlink r:id="rId41" w:history="1">
        <w:r w:rsidRPr="00560118">
          <w:rPr>
            <w:rStyle w:val="Hyperlink"/>
            <w:rFonts w:ascii="Open Sans" w:hAnsi="Open Sans" w:cs="Open Sans"/>
            <w:i/>
            <w:iCs/>
          </w:rPr>
          <w:t>AEDC Summary</w:t>
        </w:r>
      </w:hyperlink>
      <w:r w:rsidRPr="00560118">
        <w:rPr>
          <w:rFonts w:ascii="Open Sans" w:hAnsi="Open Sans" w:cs="Open Sans"/>
        </w:rPr>
        <w:t xml:space="preserve">, AEDC, Australian Government, 2024, accessed 20 October 2025. </w:t>
      </w:r>
    </w:p>
  </w:endnote>
  <w:endnote w:id="73">
    <w:p w14:paraId="5DAC5476" w14:textId="77777777" w:rsidR="00D3797A" w:rsidRPr="00560118" w:rsidRDefault="00D3797A" w:rsidP="00D3797A">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AEDC, </w:t>
      </w:r>
      <w:r w:rsidRPr="00560118">
        <w:rPr>
          <w:rFonts w:ascii="Open Sans" w:hAnsi="Open Sans" w:cs="Open Sans"/>
          <w:i/>
          <w:iCs/>
        </w:rPr>
        <w:t>AEDC Summary</w:t>
      </w:r>
      <w:r w:rsidRPr="00560118">
        <w:rPr>
          <w:rFonts w:ascii="Open Sans" w:hAnsi="Open Sans" w:cs="Open Sans"/>
        </w:rPr>
        <w:t>.</w:t>
      </w:r>
    </w:p>
  </w:endnote>
  <w:endnote w:id="74">
    <w:p w14:paraId="27621F1F"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Department of Education, </w:t>
      </w:r>
      <w:hyperlink r:id="rId42" w:history="1">
        <w:r w:rsidRPr="00560118">
          <w:rPr>
            <w:rStyle w:val="Hyperlink"/>
            <w:rFonts w:ascii="Open Sans" w:hAnsi="Open Sans" w:cs="Open Sans"/>
            <w:i/>
            <w:iCs/>
          </w:rPr>
          <w:t>2024 Australian Early Development Census National Report</w:t>
        </w:r>
      </w:hyperlink>
      <w:r w:rsidRPr="00560118">
        <w:rPr>
          <w:rFonts w:ascii="Open Sans" w:hAnsi="Open Sans" w:cs="Open Sans"/>
        </w:rPr>
        <w:t xml:space="preserve">, Department of Education, Australian Government, 2025, accessed 20 October 2025.   </w:t>
      </w:r>
    </w:p>
  </w:endnote>
  <w:endnote w:id="75">
    <w:p w14:paraId="7A50AD58"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Department of Education, </w:t>
      </w:r>
      <w:r w:rsidRPr="00560118">
        <w:rPr>
          <w:rFonts w:ascii="Open Sans" w:hAnsi="Open Sans" w:cs="Open Sans"/>
          <w:i/>
          <w:iCs/>
        </w:rPr>
        <w:t>2024 Australian Early Development Census National Report</w:t>
      </w:r>
      <w:r w:rsidRPr="00560118">
        <w:rPr>
          <w:rFonts w:ascii="Open Sans" w:hAnsi="Open Sans" w:cs="Open Sans"/>
        </w:rPr>
        <w:t>.</w:t>
      </w:r>
    </w:p>
  </w:endnote>
  <w:endnote w:id="76">
    <w:p w14:paraId="7FBF91A5"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Steering Committee for the Review of Government Service Provision (SCRGSP)</w:t>
      </w:r>
      <w:r w:rsidRPr="00560118">
        <w:rPr>
          <w:rFonts w:ascii="Open Sans" w:hAnsi="Open Sans" w:cs="Open Sans"/>
          <w:i/>
          <w:iCs/>
        </w:rPr>
        <w:t xml:space="preserve">, </w:t>
      </w:r>
      <w:hyperlink r:id="rId43" w:history="1">
        <w:r w:rsidRPr="00560118">
          <w:rPr>
            <w:rStyle w:val="Hyperlink"/>
            <w:rFonts w:ascii="Open Sans" w:hAnsi="Open Sans" w:cs="Open Sans"/>
            <w:i/>
            <w:iCs/>
          </w:rPr>
          <w:t>Report on Government Services 2025: Part F, Section 16: Child protection services</w:t>
        </w:r>
      </w:hyperlink>
      <w:r w:rsidRPr="00560118">
        <w:rPr>
          <w:rFonts w:ascii="Open Sans" w:hAnsi="Open Sans" w:cs="Open Sans"/>
        </w:rPr>
        <w:t xml:space="preserve">, Productivity Commission, 2025, accessed 20 October 2025. </w:t>
      </w:r>
    </w:p>
  </w:endnote>
  <w:endnote w:id="77">
    <w:p w14:paraId="5483754A" w14:textId="77777777" w:rsidR="00122E9A" w:rsidRPr="00560118" w:rsidRDefault="00122E9A" w:rsidP="00122E9A">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M Sayers and D Mukherjee, </w:t>
      </w:r>
      <w:hyperlink r:id="rId44" w:history="1">
        <w:r w:rsidRPr="00560118">
          <w:rPr>
            <w:rStyle w:val="Hyperlink"/>
            <w:rFonts w:ascii="Open Sans" w:hAnsi="Open Sans" w:cs="Open Sans"/>
            <w:i/>
            <w:iCs/>
          </w:rPr>
          <w:t>More than charity: Victoria’s community sector charities</w:t>
        </w:r>
      </w:hyperlink>
      <w:r w:rsidRPr="00560118">
        <w:rPr>
          <w:rFonts w:ascii="Open Sans" w:hAnsi="Open Sans" w:cs="Open Sans"/>
        </w:rPr>
        <w:t xml:space="preserve">, Victorian Council of Social Services, 2016, accessed 20 October 2025. </w:t>
      </w:r>
    </w:p>
  </w:endnote>
  <w:endnote w:id="78">
    <w:p w14:paraId="7CD89C9A" w14:textId="77777777" w:rsidR="00B44E93" w:rsidRPr="00560118" w:rsidRDefault="00B44E93" w:rsidP="00B44E93">
      <w:pPr>
        <w:pStyle w:val="EndnoteText"/>
        <w:rPr>
          <w:rFonts w:ascii="Open Sans" w:hAnsi="Open Sans" w:cs="Open Sans"/>
        </w:rPr>
      </w:pPr>
      <w:r w:rsidRPr="00560118">
        <w:rPr>
          <w:rStyle w:val="EndnoteReference"/>
          <w:rFonts w:ascii="Open Sans" w:hAnsi="Open Sans" w:cs="Open Sans"/>
        </w:rPr>
        <w:endnoteRef/>
      </w:r>
      <w:r w:rsidRPr="00560118">
        <w:rPr>
          <w:rFonts w:ascii="Open Sans" w:hAnsi="Open Sans" w:cs="Open Sans"/>
        </w:rPr>
        <w:t xml:space="preserve"> The Possibility Partnership, </w:t>
      </w:r>
      <w:hyperlink r:id="rId45" w:history="1">
        <w:r w:rsidRPr="00560118">
          <w:rPr>
            <w:rStyle w:val="Hyperlink"/>
            <w:rFonts w:ascii="Open Sans" w:hAnsi="Open Sans" w:cs="Open Sans"/>
            <w:i/>
            <w:iCs/>
          </w:rPr>
          <w:t>Unlocking better outcomes for children through a more relational Human Services model</w:t>
        </w:r>
      </w:hyperlink>
      <w:r w:rsidRPr="00560118">
        <w:rPr>
          <w:rFonts w:ascii="Open Sans" w:hAnsi="Open Sans" w:cs="Open Sans"/>
        </w:rPr>
        <w:t xml:space="preserve">, The Possibility Partnership, n.d., accessed 20 October 2025.  </w:t>
      </w:r>
    </w:p>
  </w:endnote>
  <w:endnote w:id="79">
    <w:p w14:paraId="1CFCAA45" w14:textId="77777777" w:rsidR="00B44E93" w:rsidRPr="00560118" w:rsidRDefault="00B44E93" w:rsidP="00B44E93">
      <w:pPr>
        <w:pStyle w:val="EndnoteText"/>
        <w:tabs>
          <w:tab w:val="left" w:pos="926"/>
        </w:tabs>
        <w:rPr>
          <w:rFonts w:ascii="Open Sans" w:hAnsi="Open Sans" w:cs="Open Sans"/>
          <w:lang w:val="en-US"/>
        </w:rPr>
      </w:pPr>
      <w:r w:rsidRPr="00560118">
        <w:rPr>
          <w:rStyle w:val="EndnoteReference"/>
          <w:rFonts w:ascii="Open Sans" w:hAnsi="Open Sans" w:cs="Open Sans"/>
        </w:rPr>
        <w:endnoteRef/>
      </w:r>
      <w:r w:rsidRPr="00560118">
        <w:rPr>
          <w:rFonts w:ascii="Open Sans" w:hAnsi="Open Sans" w:cs="Open Sans"/>
        </w:rPr>
        <w:t xml:space="preserve"> M Patouna, E De Gruyter and E Carter, </w:t>
      </w:r>
      <w:hyperlink r:id="rId46" w:history="1">
        <w:r w:rsidRPr="00560118">
          <w:rPr>
            <w:rStyle w:val="Hyperlink"/>
            <w:rFonts w:ascii="Open Sans" w:hAnsi="Open Sans" w:cs="Open Sans"/>
            <w:i/>
            <w:iCs/>
          </w:rPr>
          <w:t>Kirklees Better Outcomes Partnership: Understanding the effects of person-centred service reforms in housing support</w:t>
        </w:r>
      </w:hyperlink>
      <w:r w:rsidRPr="00560118">
        <w:rPr>
          <w:rFonts w:ascii="Open Sans" w:hAnsi="Open Sans" w:cs="Open Sans"/>
          <w:i/>
          <w:iCs/>
        </w:rPr>
        <w:t>,</w:t>
      </w:r>
      <w:r w:rsidRPr="00560118">
        <w:rPr>
          <w:rFonts w:ascii="Open Sans" w:hAnsi="Open Sans" w:cs="Open Sans"/>
        </w:rPr>
        <w:t xml:space="preserve"> Government Outcomes Lab, Blavatnik School of Government, University of Oxford, 2025, accessed 20 October 2025. </w:t>
      </w:r>
    </w:p>
    <w:p w14:paraId="241CE951" w14:textId="77777777" w:rsidR="00B44E93" w:rsidRPr="00DF6F6B" w:rsidRDefault="00B44E93" w:rsidP="00B44E93">
      <w:pPr>
        <w:pStyle w:val="EndnoteText"/>
        <w:tabs>
          <w:tab w:val="left" w:pos="926"/>
        </w:tabs>
        <w:rPr>
          <w:rFonts w:ascii="Open Sans" w:hAnsi="Open Sans" w:cs="Open Sans"/>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841F" w14:textId="148A3CC7" w:rsidR="00B71EDF" w:rsidRPr="00880992" w:rsidRDefault="002608ED" w:rsidP="00880992">
    <w:pPr>
      <w:pStyle w:val="PageNumber2"/>
    </w:pPr>
    <w:r w:rsidRPr="00880992">
      <w:drawing>
        <wp:anchor distT="0" distB="0" distL="114300" distR="114300" simplePos="0" relativeHeight="251658240" behindDoc="1" locked="0" layoutInCell="1" allowOverlap="1" wp14:anchorId="55B7B09D" wp14:editId="02FF5885">
          <wp:simplePos x="0" y="0"/>
          <wp:positionH relativeFrom="page">
            <wp:align>right</wp:align>
          </wp:positionH>
          <wp:positionV relativeFrom="page">
            <wp:align>bottom</wp:align>
          </wp:positionV>
          <wp:extent cx="7549200" cy="1180800"/>
          <wp:effectExtent l="0" t="0" r="0" b="63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sidR="004C2B8C" w:rsidRPr="00880992">
      <w:rPr>
        <w:noProof w:val="0"/>
      </w:rPr>
      <w:fldChar w:fldCharType="begin"/>
    </w:r>
    <w:r w:rsidR="004C2B8C" w:rsidRPr="00880992">
      <w:instrText xml:space="preserve"> PAGE   \* MERGEFORMAT </w:instrText>
    </w:r>
    <w:r w:rsidR="004C2B8C" w:rsidRPr="00880992">
      <w:rPr>
        <w:noProof w:val="0"/>
      </w:rPr>
      <w:fldChar w:fldCharType="separate"/>
    </w:r>
    <w:r w:rsidR="009C79B5">
      <w:t>2</w:t>
    </w:r>
    <w:r w:rsidR="004C2B8C" w:rsidRPr="00880992">
      <w:fldChar w:fldCharType="end"/>
    </w:r>
    <w:r w:rsidR="004C2B8C" w:rsidRPr="00880992">
      <w:t xml:space="preserve"> </w:t>
    </w:r>
    <w:r w:rsidR="000937D2">
      <w:t>–</w:t>
    </w:r>
    <w:r w:rsidR="004C2B8C" w:rsidRPr="0088099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B436" w14:textId="7E3F8A76" w:rsidR="00F85669" w:rsidRDefault="005E53B9" w:rsidP="00273ED3">
    <w:pPr>
      <w:ind w:left="-1417"/>
      <w:jc w:val="center"/>
    </w:pPr>
    <w:r w:rsidRPr="00880992">
      <w:rPr>
        <w:noProof/>
      </w:rPr>
      <w:drawing>
        <wp:anchor distT="0" distB="0" distL="114300" distR="114300" simplePos="0" relativeHeight="251658243" behindDoc="1" locked="0" layoutInCell="1" allowOverlap="1" wp14:anchorId="66AFC767" wp14:editId="7817C1BF">
          <wp:simplePos x="0" y="0"/>
          <wp:positionH relativeFrom="page">
            <wp:posOffset>18661</wp:posOffset>
          </wp:positionH>
          <wp:positionV relativeFrom="page">
            <wp:posOffset>6634065</wp:posOffset>
          </wp:positionV>
          <wp:extent cx="10669505" cy="946785"/>
          <wp:effectExtent l="0" t="0" r="0" b="5715"/>
          <wp:wrapNone/>
          <wp:docPr id="1454894075" name="Picture 145489407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8543" cy="95202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54FF" w14:textId="77777777" w:rsidR="00D75650" w:rsidRDefault="00D75650" w:rsidP="008F3023">
      <w:pPr>
        <w:spacing w:after="0" w:line="240" w:lineRule="auto"/>
      </w:pPr>
      <w:r>
        <w:separator/>
      </w:r>
    </w:p>
  </w:footnote>
  <w:footnote w:type="continuationSeparator" w:id="0">
    <w:p w14:paraId="2FDFA3E3" w14:textId="77777777" w:rsidR="00D75650" w:rsidRDefault="00D75650" w:rsidP="008F3023">
      <w:pPr>
        <w:spacing w:after="0" w:line="240" w:lineRule="auto"/>
      </w:pPr>
      <w:r>
        <w:continuationSeparator/>
      </w:r>
    </w:p>
  </w:footnote>
  <w:footnote w:type="continuationNotice" w:id="1">
    <w:p w14:paraId="3BEAA693" w14:textId="77777777" w:rsidR="00D75650" w:rsidRDefault="00D75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593" w14:textId="7EA6D3DD" w:rsidR="00CF2913" w:rsidRDefault="00CF2913">
    <w:pPr>
      <w:pStyle w:val="Header"/>
    </w:pPr>
    <w:r w:rsidRPr="00EB1D4F">
      <w:rPr>
        <w:rFonts w:ascii="Open Sans" w:hAnsi="Open Sans" w:cs="Open Sans"/>
        <w:noProof/>
        <w:lang w:eastAsia="en-AU"/>
      </w:rPr>
      <w:drawing>
        <wp:anchor distT="0" distB="0" distL="114300" distR="114300" simplePos="0" relativeHeight="251658242" behindDoc="0" locked="0" layoutInCell="1" allowOverlap="1" wp14:anchorId="611AB24E" wp14:editId="5A6F35B8">
          <wp:simplePos x="0" y="0"/>
          <wp:positionH relativeFrom="column">
            <wp:posOffset>-371061</wp:posOffset>
          </wp:positionH>
          <wp:positionV relativeFrom="paragraph">
            <wp:posOffset>159136</wp:posOffset>
          </wp:positionV>
          <wp:extent cx="3235960" cy="768868"/>
          <wp:effectExtent l="0" t="0" r="2540" b="0"/>
          <wp:wrapSquare wrapText="bothSides"/>
          <wp:docPr id="763418059" name="Picture 76341805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329A" w14:textId="40235929" w:rsidR="000937D2" w:rsidRDefault="00DF6E8F" w:rsidP="00EE4885">
    <w:pPr>
      <w:pStyle w:val="Header"/>
      <w:pBdr>
        <w:bottom w:val="none" w:sz="0" w:space="0" w:color="auto"/>
      </w:pBdr>
    </w:pPr>
    <w:r w:rsidRPr="00EB1D4F">
      <w:rPr>
        <w:rFonts w:ascii="Open Sans" w:hAnsi="Open Sans" w:cs="Open Sans"/>
        <w:noProof/>
        <w:lang w:eastAsia="en-AU"/>
      </w:rPr>
      <w:drawing>
        <wp:anchor distT="0" distB="0" distL="114300" distR="114300" simplePos="0" relativeHeight="251658241" behindDoc="0" locked="0" layoutInCell="1" allowOverlap="1" wp14:anchorId="27204A4B" wp14:editId="40610999">
          <wp:simplePos x="0" y="0"/>
          <wp:positionH relativeFrom="column">
            <wp:posOffset>-384175</wp:posOffset>
          </wp:positionH>
          <wp:positionV relativeFrom="paragraph">
            <wp:posOffset>227734</wp:posOffset>
          </wp:positionV>
          <wp:extent cx="3235960" cy="768868"/>
          <wp:effectExtent l="0" t="0" r="2540" b="0"/>
          <wp:wrapSquare wrapText="bothSides"/>
          <wp:docPr id="500365846" name="Picture 500365846"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 cstate="print">
                    <a:extLst>
                      <a:ext uri="{28A0092B-C50C-407E-A947-70E740481C1C}">
                        <a14:useLocalDpi xmlns:a14="http://schemas.microsoft.com/office/drawing/2010/main" val="0"/>
                      </a:ext>
                    </a:extLst>
                  </a:blip>
                  <a:srcRect t="17845"/>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79A"/>
    <w:multiLevelType w:val="hybridMultilevel"/>
    <w:tmpl w:val="B0F67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7733B5"/>
    <w:multiLevelType w:val="hybridMultilevel"/>
    <w:tmpl w:val="D9669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C5329D"/>
    <w:multiLevelType w:val="hybridMultilevel"/>
    <w:tmpl w:val="B49A093E"/>
    <w:lvl w:ilvl="0" w:tplc="2AD22DEA">
      <w:start w:val="1"/>
      <w:numFmt w:val="upperLetter"/>
      <w:lvlText w:val="%1."/>
      <w:lvlJc w:val="left"/>
      <w:pPr>
        <w:ind w:left="3960" w:hanging="720"/>
      </w:pPr>
      <w:rPr>
        <w:rFonts w:hint="default"/>
      </w:r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1A4E61DA"/>
    <w:multiLevelType w:val="hybridMultilevel"/>
    <w:tmpl w:val="70B2C71E"/>
    <w:lvl w:ilvl="0" w:tplc="4D1696A4">
      <w:start w:val="1"/>
      <w:numFmt w:val="bullet"/>
      <w:lvlText w:val="•"/>
      <w:lvlJc w:val="left"/>
      <w:pPr>
        <w:tabs>
          <w:tab w:val="num" w:pos="360"/>
        </w:tabs>
        <w:ind w:left="360" w:hanging="360"/>
      </w:pPr>
      <w:rPr>
        <w:rFonts w:ascii="Arial" w:hAnsi="Arial" w:hint="default"/>
      </w:rPr>
    </w:lvl>
    <w:lvl w:ilvl="1" w:tplc="9BDCC88E" w:tentative="1">
      <w:start w:val="1"/>
      <w:numFmt w:val="bullet"/>
      <w:lvlText w:val="•"/>
      <w:lvlJc w:val="left"/>
      <w:pPr>
        <w:tabs>
          <w:tab w:val="num" w:pos="1080"/>
        </w:tabs>
        <w:ind w:left="1080" w:hanging="360"/>
      </w:pPr>
      <w:rPr>
        <w:rFonts w:ascii="Arial" w:hAnsi="Arial" w:hint="default"/>
      </w:rPr>
    </w:lvl>
    <w:lvl w:ilvl="2" w:tplc="9DAE94BA" w:tentative="1">
      <w:start w:val="1"/>
      <w:numFmt w:val="bullet"/>
      <w:lvlText w:val="•"/>
      <w:lvlJc w:val="left"/>
      <w:pPr>
        <w:tabs>
          <w:tab w:val="num" w:pos="1800"/>
        </w:tabs>
        <w:ind w:left="1800" w:hanging="360"/>
      </w:pPr>
      <w:rPr>
        <w:rFonts w:ascii="Arial" w:hAnsi="Arial" w:hint="default"/>
      </w:rPr>
    </w:lvl>
    <w:lvl w:ilvl="3" w:tplc="51187E30" w:tentative="1">
      <w:start w:val="1"/>
      <w:numFmt w:val="bullet"/>
      <w:lvlText w:val="•"/>
      <w:lvlJc w:val="left"/>
      <w:pPr>
        <w:tabs>
          <w:tab w:val="num" w:pos="2520"/>
        </w:tabs>
        <w:ind w:left="2520" w:hanging="360"/>
      </w:pPr>
      <w:rPr>
        <w:rFonts w:ascii="Arial" w:hAnsi="Arial" w:hint="default"/>
      </w:rPr>
    </w:lvl>
    <w:lvl w:ilvl="4" w:tplc="91AE6216" w:tentative="1">
      <w:start w:val="1"/>
      <w:numFmt w:val="bullet"/>
      <w:lvlText w:val="•"/>
      <w:lvlJc w:val="left"/>
      <w:pPr>
        <w:tabs>
          <w:tab w:val="num" w:pos="3240"/>
        </w:tabs>
        <w:ind w:left="3240" w:hanging="360"/>
      </w:pPr>
      <w:rPr>
        <w:rFonts w:ascii="Arial" w:hAnsi="Arial" w:hint="default"/>
      </w:rPr>
    </w:lvl>
    <w:lvl w:ilvl="5" w:tplc="5FA25558" w:tentative="1">
      <w:start w:val="1"/>
      <w:numFmt w:val="bullet"/>
      <w:lvlText w:val="•"/>
      <w:lvlJc w:val="left"/>
      <w:pPr>
        <w:tabs>
          <w:tab w:val="num" w:pos="3960"/>
        </w:tabs>
        <w:ind w:left="3960" w:hanging="360"/>
      </w:pPr>
      <w:rPr>
        <w:rFonts w:ascii="Arial" w:hAnsi="Arial" w:hint="default"/>
      </w:rPr>
    </w:lvl>
    <w:lvl w:ilvl="6" w:tplc="7DB8889A" w:tentative="1">
      <w:start w:val="1"/>
      <w:numFmt w:val="bullet"/>
      <w:lvlText w:val="•"/>
      <w:lvlJc w:val="left"/>
      <w:pPr>
        <w:tabs>
          <w:tab w:val="num" w:pos="4680"/>
        </w:tabs>
        <w:ind w:left="4680" w:hanging="360"/>
      </w:pPr>
      <w:rPr>
        <w:rFonts w:ascii="Arial" w:hAnsi="Arial" w:hint="default"/>
      </w:rPr>
    </w:lvl>
    <w:lvl w:ilvl="7" w:tplc="17CAE684" w:tentative="1">
      <w:start w:val="1"/>
      <w:numFmt w:val="bullet"/>
      <w:lvlText w:val="•"/>
      <w:lvlJc w:val="left"/>
      <w:pPr>
        <w:tabs>
          <w:tab w:val="num" w:pos="5400"/>
        </w:tabs>
        <w:ind w:left="5400" w:hanging="360"/>
      </w:pPr>
      <w:rPr>
        <w:rFonts w:ascii="Arial" w:hAnsi="Arial" w:hint="default"/>
      </w:rPr>
    </w:lvl>
    <w:lvl w:ilvl="8" w:tplc="F4C61700"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C9E0630"/>
    <w:multiLevelType w:val="multilevel"/>
    <w:tmpl w:val="6EFE8BB2"/>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A7D48BB"/>
    <w:multiLevelType w:val="multilevel"/>
    <w:tmpl w:val="9E5A88FE"/>
    <w:lvl w:ilvl="0">
      <w:start w:val="1"/>
      <w:numFmt w:val="bullet"/>
      <w:pStyle w:val="ListParagraph"/>
      <w:lvlText w:val=""/>
      <w:lvlJc w:val="left"/>
      <w:pPr>
        <w:ind w:left="720" w:hanging="363"/>
      </w:pPr>
      <w:rPr>
        <w:rFonts w:ascii="Symbol" w:hAnsi="Symbol" w:hint="default"/>
      </w:rPr>
    </w:lvl>
    <w:lvl w:ilvl="1">
      <w:numFmt w:val="bullet"/>
      <w:lvlText w:val="–"/>
      <w:lvlJc w:val="left"/>
      <w:pPr>
        <w:tabs>
          <w:tab w:val="num" w:pos="1077"/>
        </w:tabs>
        <w:ind w:left="1440" w:hanging="363"/>
      </w:pPr>
      <w:rPr>
        <w:rFonts w:ascii="Courier New" w:hAnsi="Courier New" w:hint="default"/>
      </w:rPr>
    </w:lvl>
    <w:lvl w:ilvl="2">
      <w:numFmt w:val="bullet"/>
      <w:lvlText w:val="▪"/>
      <w:lvlJc w:val="left"/>
      <w:pPr>
        <w:ind w:left="2160" w:hanging="363"/>
      </w:pPr>
      <w:rPr>
        <w:rFonts w:ascii="Courier New" w:hAnsi="Courier New" w:hint="default"/>
      </w:rPr>
    </w:lvl>
    <w:lvl w:ilvl="3">
      <w:numFmt w:val="bullet"/>
      <w:lvlText w:val=""/>
      <w:lvlJc w:val="left"/>
      <w:pPr>
        <w:ind w:left="2880" w:hanging="363"/>
      </w:pPr>
      <w:rPr>
        <w:rFonts w:ascii="Symbol" w:hAnsi="Symbol" w:hint="default"/>
      </w:rPr>
    </w:lvl>
    <w:lvl w:ilvl="4">
      <w:numFmt w:val="bullet"/>
      <w:lvlText w:val="–"/>
      <w:lvlJc w:val="left"/>
      <w:pPr>
        <w:ind w:left="3600" w:hanging="362"/>
      </w:pPr>
      <w:rPr>
        <w:rFonts w:ascii="Courier New" w:hAnsi="Courier New" w:hint="default"/>
      </w:rPr>
    </w:lvl>
    <w:lvl w:ilvl="5">
      <w:numFmt w:val="bullet"/>
      <w:lvlText w:val=""/>
      <w:lvlJc w:val="left"/>
      <w:pPr>
        <w:ind w:left="4321" w:hanging="363"/>
      </w:pPr>
      <w:rPr>
        <w:rFonts w:ascii="Wingdings" w:hAnsi="Wingdings" w:hint="default"/>
      </w:rPr>
    </w:lvl>
    <w:lvl w:ilvl="6">
      <w:numFmt w:val="bullet"/>
      <w:lvlText w:val=""/>
      <w:lvlJc w:val="left"/>
      <w:pPr>
        <w:tabs>
          <w:tab w:val="num" w:pos="4678"/>
        </w:tabs>
        <w:ind w:left="5041" w:hanging="363"/>
      </w:pPr>
      <w:rPr>
        <w:rFonts w:ascii="Symbol" w:hAnsi="Symbol" w:hint="default"/>
      </w:rPr>
    </w:lvl>
    <w:lvl w:ilvl="7">
      <w:numFmt w:val="bullet"/>
      <w:lvlText w:val="–"/>
      <w:lvlJc w:val="left"/>
      <w:pPr>
        <w:tabs>
          <w:tab w:val="num" w:pos="5398"/>
        </w:tabs>
        <w:ind w:left="5761" w:hanging="363"/>
      </w:pPr>
      <w:rPr>
        <w:rFonts w:ascii="Courier New" w:hAnsi="Courier New" w:hint="default"/>
      </w:rPr>
    </w:lvl>
    <w:lvl w:ilvl="8">
      <w:numFmt w:val="bullet"/>
      <w:lvlText w:val=""/>
      <w:lvlJc w:val="left"/>
      <w:pPr>
        <w:ind w:left="6481" w:hanging="363"/>
      </w:pPr>
      <w:rPr>
        <w:rFonts w:ascii="Wingdings" w:hAnsi="Wingdings" w:hint="default"/>
      </w:rPr>
    </w:lvl>
  </w:abstractNum>
  <w:abstractNum w:abstractNumId="6"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DC28FD"/>
    <w:multiLevelType w:val="hybridMultilevel"/>
    <w:tmpl w:val="4622115E"/>
    <w:lvl w:ilvl="0" w:tplc="8FE497DA">
      <w:start w:val="1"/>
      <w:numFmt w:val="bullet"/>
      <w:lvlText w:val="•"/>
      <w:lvlJc w:val="left"/>
      <w:pPr>
        <w:tabs>
          <w:tab w:val="num" w:pos="360"/>
        </w:tabs>
        <w:ind w:left="360" w:hanging="360"/>
      </w:pPr>
      <w:rPr>
        <w:rFonts w:ascii="Arial" w:hAnsi="Arial" w:hint="default"/>
      </w:rPr>
    </w:lvl>
    <w:lvl w:ilvl="1" w:tplc="0160265A" w:tentative="1">
      <w:start w:val="1"/>
      <w:numFmt w:val="bullet"/>
      <w:lvlText w:val="•"/>
      <w:lvlJc w:val="left"/>
      <w:pPr>
        <w:tabs>
          <w:tab w:val="num" w:pos="1080"/>
        </w:tabs>
        <w:ind w:left="1080" w:hanging="360"/>
      </w:pPr>
      <w:rPr>
        <w:rFonts w:ascii="Arial" w:hAnsi="Arial" w:hint="default"/>
      </w:rPr>
    </w:lvl>
    <w:lvl w:ilvl="2" w:tplc="BC2C69CE" w:tentative="1">
      <w:start w:val="1"/>
      <w:numFmt w:val="bullet"/>
      <w:lvlText w:val="•"/>
      <w:lvlJc w:val="left"/>
      <w:pPr>
        <w:tabs>
          <w:tab w:val="num" w:pos="1800"/>
        </w:tabs>
        <w:ind w:left="1800" w:hanging="360"/>
      </w:pPr>
      <w:rPr>
        <w:rFonts w:ascii="Arial" w:hAnsi="Arial" w:hint="default"/>
      </w:rPr>
    </w:lvl>
    <w:lvl w:ilvl="3" w:tplc="6422DF6A" w:tentative="1">
      <w:start w:val="1"/>
      <w:numFmt w:val="bullet"/>
      <w:lvlText w:val="•"/>
      <w:lvlJc w:val="left"/>
      <w:pPr>
        <w:tabs>
          <w:tab w:val="num" w:pos="2520"/>
        </w:tabs>
        <w:ind w:left="2520" w:hanging="360"/>
      </w:pPr>
      <w:rPr>
        <w:rFonts w:ascii="Arial" w:hAnsi="Arial" w:hint="default"/>
      </w:rPr>
    </w:lvl>
    <w:lvl w:ilvl="4" w:tplc="A3103C58" w:tentative="1">
      <w:start w:val="1"/>
      <w:numFmt w:val="bullet"/>
      <w:lvlText w:val="•"/>
      <w:lvlJc w:val="left"/>
      <w:pPr>
        <w:tabs>
          <w:tab w:val="num" w:pos="3240"/>
        </w:tabs>
        <w:ind w:left="3240" w:hanging="360"/>
      </w:pPr>
      <w:rPr>
        <w:rFonts w:ascii="Arial" w:hAnsi="Arial" w:hint="default"/>
      </w:rPr>
    </w:lvl>
    <w:lvl w:ilvl="5" w:tplc="49CCAED0" w:tentative="1">
      <w:start w:val="1"/>
      <w:numFmt w:val="bullet"/>
      <w:lvlText w:val="•"/>
      <w:lvlJc w:val="left"/>
      <w:pPr>
        <w:tabs>
          <w:tab w:val="num" w:pos="3960"/>
        </w:tabs>
        <w:ind w:left="3960" w:hanging="360"/>
      </w:pPr>
      <w:rPr>
        <w:rFonts w:ascii="Arial" w:hAnsi="Arial" w:hint="default"/>
      </w:rPr>
    </w:lvl>
    <w:lvl w:ilvl="6" w:tplc="CCF0870A" w:tentative="1">
      <w:start w:val="1"/>
      <w:numFmt w:val="bullet"/>
      <w:lvlText w:val="•"/>
      <w:lvlJc w:val="left"/>
      <w:pPr>
        <w:tabs>
          <w:tab w:val="num" w:pos="4680"/>
        </w:tabs>
        <w:ind w:left="4680" w:hanging="360"/>
      </w:pPr>
      <w:rPr>
        <w:rFonts w:ascii="Arial" w:hAnsi="Arial" w:hint="default"/>
      </w:rPr>
    </w:lvl>
    <w:lvl w:ilvl="7" w:tplc="E9E6BF92" w:tentative="1">
      <w:start w:val="1"/>
      <w:numFmt w:val="bullet"/>
      <w:lvlText w:val="•"/>
      <w:lvlJc w:val="left"/>
      <w:pPr>
        <w:tabs>
          <w:tab w:val="num" w:pos="5400"/>
        </w:tabs>
        <w:ind w:left="5400" w:hanging="360"/>
      </w:pPr>
      <w:rPr>
        <w:rFonts w:ascii="Arial" w:hAnsi="Arial" w:hint="default"/>
      </w:rPr>
    </w:lvl>
    <w:lvl w:ilvl="8" w:tplc="EE9ED77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45276E5"/>
    <w:multiLevelType w:val="hybridMultilevel"/>
    <w:tmpl w:val="E3FCD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991080"/>
    <w:multiLevelType w:val="hybridMultilevel"/>
    <w:tmpl w:val="6E9CF23E"/>
    <w:lvl w:ilvl="0" w:tplc="CE449494">
      <w:start w:val="1"/>
      <w:numFmt w:val="bullet"/>
      <w:lvlText w:val="•"/>
      <w:lvlJc w:val="left"/>
      <w:pPr>
        <w:tabs>
          <w:tab w:val="num" w:pos="360"/>
        </w:tabs>
        <w:ind w:left="360" w:hanging="360"/>
      </w:pPr>
      <w:rPr>
        <w:rFonts w:ascii="Arial" w:hAnsi="Arial" w:hint="default"/>
      </w:rPr>
    </w:lvl>
    <w:lvl w:ilvl="1" w:tplc="6E6A58E6" w:tentative="1">
      <w:start w:val="1"/>
      <w:numFmt w:val="bullet"/>
      <w:lvlText w:val="•"/>
      <w:lvlJc w:val="left"/>
      <w:pPr>
        <w:tabs>
          <w:tab w:val="num" w:pos="1080"/>
        </w:tabs>
        <w:ind w:left="1080" w:hanging="360"/>
      </w:pPr>
      <w:rPr>
        <w:rFonts w:ascii="Arial" w:hAnsi="Arial" w:hint="default"/>
      </w:rPr>
    </w:lvl>
    <w:lvl w:ilvl="2" w:tplc="0B9C9BE6" w:tentative="1">
      <w:start w:val="1"/>
      <w:numFmt w:val="bullet"/>
      <w:lvlText w:val="•"/>
      <w:lvlJc w:val="left"/>
      <w:pPr>
        <w:tabs>
          <w:tab w:val="num" w:pos="1800"/>
        </w:tabs>
        <w:ind w:left="1800" w:hanging="360"/>
      </w:pPr>
      <w:rPr>
        <w:rFonts w:ascii="Arial" w:hAnsi="Arial" w:hint="default"/>
      </w:rPr>
    </w:lvl>
    <w:lvl w:ilvl="3" w:tplc="51E64228" w:tentative="1">
      <w:start w:val="1"/>
      <w:numFmt w:val="bullet"/>
      <w:lvlText w:val="•"/>
      <w:lvlJc w:val="left"/>
      <w:pPr>
        <w:tabs>
          <w:tab w:val="num" w:pos="2520"/>
        </w:tabs>
        <w:ind w:left="2520" w:hanging="360"/>
      </w:pPr>
      <w:rPr>
        <w:rFonts w:ascii="Arial" w:hAnsi="Arial" w:hint="default"/>
      </w:rPr>
    </w:lvl>
    <w:lvl w:ilvl="4" w:tplc="7C72A2B2" w:tentative="1">
      <w:start w:val="1"/>
      <w:numFmt w:val="bullet"/>
      <w:lvlText w:val="•"/>
      <w:lvlJc w:val="left"/>
      <w:pPr>
        <w:tabs>
          <w:tab w:val="num" w:pos="3240"/>
        </w:tabs>
        <w:ind w:left="3240" w:hanging="360"/>
      </w:pPr>
      <w:rPr>
        <w:rFonts w:ascii="Arial" w:hAnsi="Arial" w:hint="default"/>
      </w:rPr>
    </w:lvl>
    <w:lvl w:ilvl="5" w:tplc="26E20678" w:tentative="1">
      <w:start w:val="1"/>
      <w:numFmt w:val="bullet"/>
      <w:lvlText w:val="•"/>
      <w:lvlJc w:val="left"/>
      <w:pPr>
        <w:tabs>
          <w:tab w:val="num" w:pos="3960"/>
        </w:tabs>
        <w:ind w:left="3960" w:hanging="360"/>
      </w:pPr>
      <w:rPr>
        <w:rFonts w:ascii="Arial" w:hAnsi="Arial" w:hint="default"/>
      </w:rPr>
    </w:lvl>
    <w:lvl w:ilvl="6" w:tplc="9782023E" w:tentative="1">
      <w:start w:val="1"/>
      <w:numFmt w:val="bullet"/>
      <w:lvlText w:val="•"/>
      <w:lvlJc w:val="left"/>
      <w:pPr>
        <w:tabs>
          <w:tab w:val="num" w:pos="4680"/>
        </w:tabs>
        <w:ind w:left="4680" w:hanging="360"/>
      </w:pPr>
      <w:rPr>
        <w:rFonts w:ascii="Arial" w:hAnsi="Arial" w:hint="default"/>
      </w:rPr>
    </w:lvl>
    <w:lvl w:ilvl="7" w:tplc="538A408C" w:tentative="1">
      <w:start w:val="1"/>
      <w:numFmt w:val="bullet"/>
      <w:lvlText w:val="•"/>
      <w:lvlJc w:val="left"/>
      <w:pPr>
        <w:tabs>
          <w:tab w:val="num" w:pos="5400"/>
        </w:tabs>
        <w:ind w:left="5400" w:hanging="360"/>
      </w:pPr>
      <w:rPr>
        <w:rFonts w:ascii="Arial" w:hAnsi="Arial" w:hint="default"/>
      </w:rPr>
    </w:lvl>
    <w:lvl w:ilvl="8" w:tplc="9496EAA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4A65422F"/>
    <w:multiLevelType w:val="hybridMultilevel"/>
    <w:tmpl w:val="975085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A8342A"/>
    <w:multiLevelType w:val="hybridMultilevel"/>
    <w:tmpl w:val="A5E2808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B572EC"/>
    <w:multiLevelType w:val="hybridMultilevel"/>
    <w:tmpl w:val="C250F236"/>
    <w:lvl w:ilvl="0" w:tplc="E71252A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CD6C86"/>
    <w:multiLevelType w:val="hybridMultilevel"/>
    <w:tmpl w:val="1DD6FDA0"/>
    <w:lvl w:ilvl="0" w:tplc="A65E0FD4">
      <w:start w:val="1"/>
      <w:numFmt w:val="bullet"/>
      <w:lvlText w:val="•"/>
      <w:lvlJc w:val="left"/>
      <w:pPr>
        <w:tabs>
          <w:tab w:val="num" w:pos="360"/>
        </w:tabs>
        <w:ind w:left="360" w:hanging="360"/>
      </w:pPr>
      <w:rPr>
        <w:rFonts w:ascii="Arial" w:hAnsi="Arial" w:hint="default"/>
      </w:rPr>
    </w:lvl>
    <w:lvl w:ilvl="1" w:tplc="82381BE0" w:tentative="1">
      <w:start w:val="1"/>
      <w:numFmt w:val="bullet"/>
      <w:lvlText w:val="•"/>
      <w:lvlJc w:val="left"/>
      <w:pPr>
        <w:tabs>
          <w:tab w:val="num" w:pos="1080"/>
        </w:tabs>
        <w:ind w:left="1080" w:hanging="360"/>
      </w:pPr>
      <w:rPr>
        <w:rFonts w:ascii="Arial" w:hAnsi="Arial" w:hint="default"/>
      </w:rPr>
    </w:lvl>
    <w:lvl w:ilvl="2" w:tplc="C7F482DE" w:tentative="1">
      <w:start w:val="1"/>
      <w:numFmt w:val="bullet"/>
      <w:lvlText w:val="•"/>
      <w:lvlJc w:val="left"/>
      <w:pPr>
        <w:tabs>
          <w:tab w:val="num" w:pos="1800"/>
        </w:tabs>
        <w:ind w:left="1800" w:hanging="360"/>
      </w:pPr>
      <w:rPr>
        <w:rFonts w:ascii="Arial" w:hAnsi="Arial" w:hint="default"/>
      </w:rPr>
    </w:lvl>
    <w:lvl w:ilvl="3" w:tplc="EB92E6B4" w:tentative="1">
      <w:start w:val="1"/>
      <w:numFmt w:val="bullet"/>
      <w:lvlText w:val="•"/>
      <w:lvlJc w:val="left"/>
      <w:pPr>
        <w:tabs>
          <w:tab w:val="num" w:pos="2520"/>
        </w:tabs>
        <w:ind w:left="2520" w:hanging="360"/>
      </w:pPr>
      <w:rPr>
        <w:rFonts w:ascii="Arial" w:hAnsi="Arial" w:hint="default"/>
      </w:rPr>
    </w:lvl>
    <w:lvl w:ilvl="4" w:tplc="4EFC7224" w:tentative="1">
      <w:start w:val="1"/>
      <w:numFmt w:val="bullet"/>
      <w:lvlText w:val="•"/>
      <w:lvlJc w:val="left"/>
      <w:pPr>
        <w:tabs>
          <w:tab w:val="num" w:pos="3240"/>
        </w:tabs>
        <w:ind w:left="3240" w:hanging="360"/>
      </w:pPr>
      <w:rPr>
        <w:rFonts w:ascii="Arial" w:hAnsi="Arial" w:hint="default"/>
      </w:rPr>
    </w:lvl>
    <w:lvl w:ilvl="5" w:tplc="6EC4E8C2" w:tentative="1">
      <w:start w:val="1"/>
      <w:numFmt w:val="bullet"/>
      <w:lvlText w:val="•"/>
      <w:lvlJc w:val="left"/>
      <w:pPr>
        <w:tabs>
          <w:tab w:val="num" w:pos="3960"/>
        </w:tabs>
        <w:ind w:left="3960" w:hanging="360"/>
      </w:pPr>
      <w:rPr>
        <w:rFonts w:ascii="Arial" w:hAnsi="Arial" w:hint="default"/>
      </w:rPr>
    </w:lvl>
    <w:lvl w:ilvl="6" w:tplc="082A94D4" w:tentative="1">
      <w:start w:val="1"/>
      <w:numFmt w:val="bullet"/>
      <w:lvlText w:val="•"/>
      <w:lvlJc w:val="left"/>
      <w:pPr>
        <w:tabs>
          <w:tab w:val="num" w:pos="4680"/>
        </w:tabs>
        <w:ind w:left="4680" w:hanging="360"/>
      </w:pPr>
      <w:rPr>
        <w:rFonts w:ascii="Arial" w:hAnsi="Arial" w:hint="default"/>
      </w:rPr>
    </w:lvl>
    <w:lvl w:ilvl="7" w:tplc="2E5E5C2E" w:tentative="1">
      <w:start w:val="1"/>
      <w:numFmt w:val="bullet"/>
      <w:lvlText w:val="•"/>
      <w:lvlJc w:val="left"/>
      <w:pPr>
        <w:tabs>
          <w:tab w:val="num" w:pos="5400"/>
        </w:tabs>
        <w:ind w:left="5400" w:hanging="360"/>
      </w:pPr>
      <w:rPr>
        <w:rFonts w:ascii="Arial" w:hAnsi="Arial" w:hint="default"/>
      </w:rPr>
    </w:lvl>
    <w:lvl w:ilvl="8" w:tplc="B05AEF38"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5"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4001684">
    <w:abstractNumId w:val="14"/>
  </w:num>
  <w:num w:numId="2" w16cid:durableId="1516722866">
    <w:abstractNumId w:val="4"/>
  </w:num>
  <w:num w:numId="3" w16cid:durableId="1314525174">
    <w:abstractNumId w:val="6"/>
  </w:num>
  <w:num w:numId="4" w16cid:durableId="1255433390">
    <w:abstractNumId w:val="5"/>
  </w:num>
  <w:num w:numId="5" w16cid:durableId="1992173843">
    <w:abstractNumId w:val="1"/>
  </w:num>
  <w:num w:numId="6" w16cid:durableId="1911386661">
    <w:abstractNumId w:val="10"/>
  </w:num>
  <w:num w:numId="7" w16cid:durableId="239146041">
    <w:abstractNumId w:val="0"/>
  </w:num>
  <w:num w:numId="8" w16cid:durableId="1616018161">
    <w:abstractNumId w:val="8"/>
  </w:num>
  <w:num w:numId="9" w16cid:durableId="1101754362">
    <w:abstractNumId w:val="9"/>
  </w:num>
  <w:num w:numId="10" w16cid:durableId="1610234585">
    <w:abstractNumId w:val="3"/>
  </w:num>
  <w:num w:numId="11" w16cid:durableId="1980912866">
    <w:abstractNumId w:val="13"/>
  </w:num>
  <w:num w:numId="12" w16cid:durableId="2036466900">
    <w:abstractNumId w:val="7"/>
  </w:num>
  <w:num w:numId="13" w16cid:durableId="1967663255">
    <w:abstractNumId w:val="12"/>
  </w:num>
  <w:num w:numId="14" w16cid:durableId="1023552374">
    <w:abstractNumId w:val="2"/>
  </w:num>
  <w:num w:numId="15" w16cid:durableId="523792583">
    <w:abstractNumId w:val="15"/>
  </w:num>
  <w:num w:numId="16" w16cid:durableId="725227147">
    <w:abstractNumId w:val="5"/>
  </w:num>
  <w:num w:numId="17" w16cid:durableId="512109914">
    <w:abstractNumId w:val="5"/>
  </w:num>
  <w:num w:numId="18" w16cid:durableId="185318045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0"/>
    <w:rsid w:val="0000579E"/>
    <w:rsid w:val="00011816"/>
    <w:rsid w:val="000140B8"/>
    <w:rsid w:val="00030A36"/>
    <w:rsid w:val="000318E2"/>
    <w:rsid w:val="00035B23"/>
    <w:rsid w:val="00036A28"/>
    <w:rsid w:val="000607B8"/>
    <w:rsid w:val="00064140"/>
    <w:rsid w:val="0007579C"/>
    <w:rsid w:val="00081610"/>
    <w:rsid w:val="00084596"/>
    <w:rsid w:val="000937D2"/>
    <w:rsid w:val="000946DF"/>
    <w:rsid w:val="000A4A4B"/>
    <w:rsid w:val="000C4279"/>
    <w:rsid w:val="000C4A0F"/>
    <w:rsid w:val="000D4B4B"/>
    <w:rsid w:val="000D5965"/>
    <w:rsid w:val="000E0927"/>
    <w:rsid w:val="000E182C"/>
    <w:rsid w:val="000F7266"/>
    <w:rsid w:val="000F75FC"/>
    <w:rsid w:val="00106273"/>
    <w:rsid w:val="00106AD2"/>
    <w:rsid w:val="00106CFB"/>
    <w:rsid w:val="0011417A"/>
    <w:rsid w:val="00115A26"/>
    <w:rsid w:val="00122A8D"/>
    <w:rsid w:val="00122E9A"/>
    <w:rsid w:val="001254F1"/>
    <w:rsid w:val="00134249"/>
    <w:rsid w:val="001510D7"/>
    <w:rsid w:val="00153D53"/>
    <w:rsid w:val="0015656B"/>
    <w:rsid w:val="0016045F"/>
    <w:rsid w:val="00161696"/>
    <w:rsid w:val="001652AB"/>
    <w:rsid w:val="001706BF"/>
    <w:rsid w:val="00172A3B"/>
    <w:rsid w:val="00175BA5"/>
    <w:rsid w:val="001A6CC9"/>
    <w:rsid w:val="001A7461"/>
    <w:rsid w:val="001D0F6D"/>
    <w:rsid w:val="001E630D"/>
    <w:rsid w:val="001F6AB5"/>
    <w:rsid w:val="00222D30"/>
    <w:rsid w:val="00225FBD"/>
    <w:rsid w:val="00233B29"/>
    <w:rsid w:val="002346B5"/>
    <w:rsid w:val="00236108"/>
    <w:rsid w:val="00240A6E"/>
    <w:rsid w:val="0024537F"/>
    <w:rsid w:val="00260612"/>
    <w:rsid w:val="002608ED"/>
    <w:rsid w:val="002713E3"/>
    <w:rsid w:val="00273ED3"/>
    <w:rsid w:val="00275EA9"/>
    <w:rsid w:val="00280BD0"/>
    <w:rsid w:val="00281DFB"/>
    <w:rsid w:val="00282835"/>
    <w:rsid w:val="002B3CC6"/>
    <w:rsid w:val="002B7002"/>
    <w:rsid w:val="002C6E09"/>
    <w:rsid w:val="002D2C59"/>
    <w:rsid w:val="002D2CEF"/>
    <w:rsid w:val="002F09C6"/>
    <w:rsid w:val="003059C8"/>
    <w:rsid w:val="00306C34"/>
    <w:rsid w:val="00311FC7"/>
    <w:rsid w:val="00334053"/>
    <w:rsid w:val="00335A14"/>
    <w:rsid w:val="00337926"/>
    <w:rsid w:val="003403E0"/>
    <w:rsid w:val="00343097"/>
    <w:rsid w:val="00347FE0"/>
    <w:rsid w:val="0038044C"/>
    <w:rsid w:val="00394EF1"/>
    <w:rsid w:val="003A70C3"/>
    <w:rsid w:val="003B0D19"/>
    <w:rsid w:val="003B1FCE"/>
    <w:rsid w:val="003B2BB8"/>
    <w:rsid w:val="003B5A0B"/>
    <w:rsid w:val="003B7424"/>
    <w:rsid w:val="003C0072"/>
    <w:rsid w:val="003C3D28"/>
    <w:rsid w:val="003C7474"/>
    <w:rsid w:val="003D34FF"/>
    <w:rsid w:val="003D6FB6"/>
    <w:rsid w:val="003E0A57"/>
    <w:rsid w:val="003E2B62"/>
    <w:rsid w:val="003E7784"/>
    <w:rsid w:val="003F4A95"/>
    <w:rsid w:val="003F6174"/>
    <w:rsid w:val="0040116C"/>
    <w:rsid w:val="0040266E"/>
    <w:rsid w:val="00403055"/>
    <w:rsid w:val="004117EF"/>
    <w:rsid w:val="00415B6C"/>
    <w:rsid w:val="00422765"/>
    <w:rsid w:val="004231A4"/>
    <w:rsid w:val="004243F2"/>
    <w:rsid w:val="00426744"/>
    <w:rsid w:val="004337D0"/>
    <w:rsid w:val="004354E6"/>
    <w:rsid w:val="00440CB8"/>
    <w:rsid w:val="00471382"/>
    <w:rsid w:val="00471456"/>
    <w:rsid w:val="0047261D"/>
    <w:rsid w:val="00482F04"/>
    <w:rsid w:val="004A2151"/>
    <w:rsid w:val="004A7480"/>
    <w:rsid w:val="004B0C8D"/>
    <w:rsid w:val="004B1824"/>
    <w:rsid w:val="004B54CA"/>
    <w:rsid w:val="004C2B8C"/>
    <w:rsid w:val="004C585D"/>
    <w:rsid w:val="004E5CBF"/>
    <w:rsid w:val="004E65EC"/>
    <w:rsid w:val="004F77F4"/>
    <w:rsid w:val="004F7C79"/>
    <w:rsid w:val="005044F6"/>
    <w:rsid w:val="005072B0"/>
    <w:rsid w:val="005114AA"/>
    <w:rsid w:val="00515ED5"/>
    <w:rsid w:val="0051762A"/>
    <w:rsid w:val="00517AE4"/>
    <w:rsid w:val="005278DA"/>
    <w:rsid w:val="005312DA"/>
    <w:rsid w:val="00541E06"/>
    <w:rsid w:val="00542C39"/>
    <w:rsid w:val="0054713E"/>
    <w:rsid w:val="0055374A"/>
    <w:rsid w:val="005543A8"/>
    <w:rsid w:val="00565FF5"/>
    <w:rsid w:val="00567053"/>
    <w:rsid w:val="00575F33"/>
    <w:rsid w:val="00580049"/>
    <w:rsid w:val="00584FC1"/>
    <w:rsid w:val="00586246"/>
    <w:rsid w:val="005877DC"/>
    <w:rsid w:val="005964FC"/>
    <w:rsid w:val="00597852"/>
    <w:rsid w:val="005A2C2C"/>
    <w:rsid w:val="005A591A"/>
    <w:rsid w:val="005A59C6"/>
    <w:rsid w:val="005B06DE"/>
    <w:rsid w:val="005B391B"/>
    <w:rsid w:val="005C3AA9"/>
    <w:rsid w:val="005C3D90"/>
    <w:rsid w:val="005D6069"/>
    <w:rsid w:val="005E53B9"/>
    <w:rsid w:val="005F2041"/>
    <w:rsid w:val="0061406C"/>
    <w:rsid w:val="00621963"/>
    <w:rsid w:val="00626450"/>
    <w:rsid w:val="00631A2C"/>
    <w:rsid w:val="00631C41"/>
    <w:rsid w:val="00636383"/>
    <w:rsid w:val="00656E9B"/>
    <w:rsid w:val="00671733"/>
    <w:rsid w:val="00681058"/>
    <w:rsid w:val="00684B46"/>
    <w:rsid w:val="00686716"/>
    <w:rsid w:val="006A2935"/>
    <w:rsid w:val="006A4CE7"/>
    <w:rsid w:val="006A7DD3"/>
    <w:rsid w:val="006B0F16"/>
    <w:rsid w:val="006B1DE9"/>
    <w:rsid w:val="006B2D84"/>
    <w:rsid w:val="006C11B5"/>
    <w:rsid w:val="006D2DA3"/>
    <w:rsid w:val="006D31ED"/>
    <w:rsid w:val="006D622A"/>
    <w:rsid w:val="006D6523"/>
    <w:rsid w:val="006E5FFF"/>
    <w:rsid w:val="006E7EEB"/>
    <w:rsid w:val="006F3D9C"/>
    <w:rsid w:val="006F4684"/>
    <w:rsid w:val="006F7F1A"/>
    <w:rsid w:val="00700C0A"/>
    <w:rsid w:val="00701991"/>
    <w:rsid w:val="00705D12"/>
    <w:rsid w:val="007065F3"/>
    <w:rsid w:val="00727E08"/>
    <w:rsid w:val="0073320E"/>
    <w:rsid w:val="007604AD"/>
    <w:rsid w:val="00761351"/>
    <w:rsid w:val="00773A27"/>
    <w:rsid w:val="00785261"/>
    <w:rsid w:val="00786D7C"/>
    <w:rsid w:val="00795CEA"/>
    <w:rsid w:val="007A1AB4"/>
    <w:rsid w:val="007B0256"/>
    <w:rsid w:val="007B4EF3"/>
    <w:rsid w:val="007B5253"/>
    <w:rsid w:val="007D1C2F"/>
    <w:rsid w:val="007D1F6F"/>
    <w:rsid w:val="007D30A2"/>
    <w:rsid w:val="007E1A68"/>
    <w:rsid w:val="007E3959"/>
    <w:rsid w:val="007E3B8B"/>
    <w:rsid w:val="007E3FAE"/>
    <w:rsid w:val="007E4F97"/>
    <w:rsid w:val="007E74C0"/>
    <w:rsid w:val="007E7B27"/>
    <w:rsid w:val="007F4E68"/>
    <w:rsid w:val="0080363D"/>
    <w:rsid w:val="00807425"/>
    <w:rsid w:val="00815A31"/>
    <w:rsid w:val="00820E10"/>
    <w:rsid w:val="00826D13"/>
    <w:rsid w:val="00837F4E"/>
    <w:rsid w:val="0084227C"/>
    <w:rsid w:val="008565DF"/>
    <w:rsid w:val="0085710F"/>
    <w:rsid w:val="008628FA"/>
    <w:rsid w:val="008675DB"/>
    <w:rsid w:val="008708D2"/>
    <w:rsid w:val="00872740"/>
    <w:rsid w:val="00874643"/>
    <w:rsid w:val="00876CA6"/>
    <w:rsid w:val="00877018"/>
    <w:rsid w:val="00877427"/>
    <w:rsid w:val="00880992"/>
    <w:rsid w:val="0089084E"/>
    <w:rsid w:val="00890A29"/>
    <w:rsid w:val="008916D6"/>
    <w:rsid w:val="008926E4"/>
    <w:rsid w:val="00896680"/>
    <w:rsid w:val="008A08D7"/>
    <w:rsid w:val="008A6D67"/>
    <w:rsid w:val="008B5AF5"/>
    <w:rsid w:val="008B72EE"/>
    <w:rsid w:val="008C3726"/>
    <w:rsid w:val="008D0A2B"/>
    <w:rsid w:val="008D23EC"/>
    <w:rsid w:val="008E0C72"/>
    <w:rsid w:val="008E3912"/>
    <w:rsid w:val="008F3023"/>
    <w:rsid w:val="008F3585"/>
    <w:rsid w:val="008F5D63"/>
    <w:rsid w:val="008F5E05"/>
    <w:rsid w:val="009127A3"/>
    <w:rsid w:val="009158D6"/>
    <w:rsid w:val="009225F0"/>
    <w:rsid w:val="0094563F"/>
    <w:rsid w:val="00987714"/>
    <w:rsid w:val="00994854"/>
    <w:rsid w:val="00995DD6"/>
    <w:rsid w:val="00997707"/>
    <w:rsid w:val="009A6D41"/>
    <w:rsid w:val="009B1FF0"/>
    <w:rsid w:val="009B5AB3"/>
    <w:rsid w:val="009C79B5"/>
    <w:rsid w:val="009D02D2"/>
    <w:rsid w:val="009D2DF8"/>
    <w:rsid w:val="009D3CCB"/>
    <w:rsid w:val="009F291F"/>
    <w:rsid w:val="00A0168F"/>
    <w:rsid w:val="00A01CB9"/>
    <w:rsid w:val="00A01F74"/>
    <w:rsid w:val="00A03EE9"/>
    <w:rsid w:val="00A05B6B"/>
    <w:rsid w:val="00A13549"/>
    <w:rsid w:val="00A16073"/>
    <w:rsid w:val="00A23E7E"/>
    <w:rsid w:val="00A371A4"/>
    <w:rsid w:val="00A37CCC"/>
    <w:rsid w:val="00A37D9C"/>
    <w:rsid w:val="00A42EAE"/>
    <w:rsid w:val="00A43E66"/>
    <w:rsid w:val="00A4462B"/>
    <w:rsid w:val="00A50F83"/>
    <w:rsid w:val="00A64905"/>
    <w:rsid w:val="00A74769"/>
    <w:rsid w:val="00A80DE0"/>
    <w:rsid w:val="00A82235"/>
    <w:rsid w:val="00A91860"/>
    <w:rsid w:val="00AA7226"/>
    <w:rsid w:val="00AB1B09"/>
    <w:rsid w:val="00AB4449"/>
    <w:rsid w:val="00AD0683"/>
    <w:rsid w:val="00AE5634"/>
    <w:rsid w:val="00AF6293"/>
    <w:rsid w:val="00B00584"/>
    <w:rsid w:val="00B04C3D"/>
    <w:rsid w:val="00B07613"/>
    <w:rsid w:val="00B10EB1"/>
    <w:rsid w:val="00B11F7B"/>
    <w:rsid w:val="00B22702"/>
    <w:rsid w:val="00B23D41"/>
    <w:rsid w:val="00B246E8"/>
    <w:rsid w:val="00B2491C"/>
    <w:rsid w:val="00B25125"/>
    <w:rsid w:val="00B317B1"/>
    <w:rsid w:val="00B31D33"/>
    <w:rsid w:val="00B32597"/>
    <w:rsid w:val="00B37603"/>
    <w:rsid w:val="00B413E1"/>
    <w:rsid w:val="00B4177A"/>
    <w:rsid w:val="00B44C13"/>
    <w:rsid w:val="00B44E93"/>
    <w:rsid w:val="00B44F9B"/>
    <w:rsid w:val="00B5233A"/>
    <w:rsid w:val="00B54C4E"/>
    <w:rsid w:val="00B55BFF"/>
    <w:rsid w:val="00B56A8B"/>
    <w:rsid w:val="00B71EDF"/>
    <w:rsid w:val="00B772ED"/>
    <w:rsid w:val="00B80314"/>
    <w:rsid w:val="00B820CD"/>
    <w:rsid w:val="00B85379"/>
    <w:rsid w:val="00B8570A"/>
    <w:rsid w:val="00B91349"/>
    <w:rsid w:val="00B932A7"/>
    <w:rsid w:val="00B96D60"/>
    <w:rsid w:val="00BA2DB9"/>
    <w:rsid w:val="00BA699C"/>
    <w:rsid w:val="00BA6A09"/>
    <w:rsid w:val="00BB03A8"/>
    <w:rsid w:val="00BC04D2"/>
    <w:rsid w:val="00BC0A30"/>
    <w:rsid w:val="00BC4D2C"/>
    <w:rsid w:val="00BC79CD"/>
    <w:rsid w:val="00BD1E6B"/>
    <w:rsid w:val="00BE415B"/>
    <w:rsid w:val="00BE7148"/>
    <w:rsid w:val="00BF488D"/>
    <w:rsid w:val="00C027B8"/>
    <w:rsid w:val="00C175D2"/>
    <w:rsid w:val="00C31394"/>
    <w:rsid w:val="00C32F26"/>
    <w:rsid w:val="00C35596"/>
    <w:rsid w:val="00C36523"/>
    <w:rsid w:val="00C4058D"/>
    <w:rsid w:val="00C41A0D"/>
    <w:rsid w:val="00C438A6"/>
    <w:rsid w:val="00C50118"/>
    <w:rsid w:val="00C53F84"/>
    <w:rsid w:val="00C55DE7"/>
    <w:rsid w:val="00C57001"/>
    <w:rsid w:val="00C653BA"/>
    <w:rsid w:val="00C76B3D"/>
    <w:rsid w:val="00C85F33"/>
    <w:rsid w:val="00C8776E"/>
    <w:rsid w:val="00C908F4"/>
    <w:rsid w:val="00C91F2F"/>
    <w:rsid w:val="00C92DD1"/>
    <w:rsid w:val="00C94986"/>
    <w:rsid w:val="00C961CA"/>
    <w:rsid w:val="00C9761A"/>
    <w:rsid w:val="00CA363F"/>
    <w:rsid w:val="00CA5D88"/>
    <w:rsid w:val="00CB1058"/>
    <w:rsid w:val="00CB718C"/>
    <w:rsid w:val="00CB74B3"/>
    <w:rsid w:val="00CC308D"/>
    <w:rsid w:val="00CE0E55"/>
    <w:rsid w:val="00CE1CB4"/>
    <w:rsid w:val="00CE785A"/>
    <w:rsid w:val="00CF2913"/>
    <w:rsid w:val="00CF2B8A"/>
    <w:rsid w:val="00D22A8A"/>
    <w:rsid w:val="00D3797A"/>
    <w:rsid w:val="00D37FB4"/>
    <w:rsid w:val="00D40593"/>
    <w:rsid w:val="00D71C54"/>
    <w:rsid w:val="00D75597"/>
    <w:rsid w:val="00D75650"/>
    <w:rsid w:val="00D81C50"/>
    <w:rsid w:val="00D86A12"/>
    <w:rsid w:val="00D86E50"/>
    <w:rsid w:val="00D90D3C"/>
    <w:rsid w:val="00D91C88"/>
    <w:rsid w:val="00DA33DB"/>
    <w:rsid w:val="00DA4AF4"/>
    <w:rsid w:val="00DA7B4A"/>
    <w:rsid w:val="00DB159D"/>
    <w:rsid w:val="00DB18F0"/>
    <w:rsid w:val="00DB33E4"/>
    <w:rsid w:val="00DC08E5"/>
    <w:rsid w:val="00DC2FA4"/>
    <w:rsid w:val="00DC3C21"/>
    <w:rsid w:val="00DC61A0"/>
    <w:rsid w:val="00DE00BF"/>
    <w:rsid w:val="00DE39E6"/>
    <w:rsid w:val="00DF52AB"/>
    <w:rsid w:val="00DF6E8F"/>
    <w:rsid w:val="00E124DB"/>
    <w:rsid w:val="00E22069"/>
    <w:rsid w:val="00E244D2"/>
    <w:rsid w:val="00E259C0"/>
    <w:rsid w:val="00E30C3C"/>
    <w:rsid w:val="00E42AD1"/>
    <w:rsid w:val="00E47311"/>
    <w:rsid w:val="00E51EF1"/>
    <w:rsid w:val="00E56E42"/>
    <w:rsid w:val="00E6081A"/>
    <w:rsid w:val="00E6261D"/>
    <w:rsid w:val="00E643E0"/>
    <w:rsid w:val="00E65DFC"/>
    <w:rsid w:val="00E708BB"/>
    <w:rsid w:val="00E761A2"/>
    <w:rsid w:val="00E82B90"/>
    <w:rsid w:val="00E858A7"/>
    <w:rsid w:val="00E9285A"/>
    <w:rsid w:val="00E956B6"/>
    <w:rsid w:val="00E96FBF"/>
    <w:rsid w:val="00E976B5"/>
    <w:rsid w:val="00EA4560"/>
    <w:rsid w:val="00EA550A"/>
    <w:rsid w:val="00EA66F0"/>
    <w:rsid w:val="00EB44AE"/>
    <w:rsid w:val="00EB4A2F"/>
    <w:rsid w:val="00EC39BB"/>
    <w:rsid w:val="00EE3834"/>
    <w:rsid w:val="00EE4885"/>
    <w:rsid w:val="00EE67D9"/>
    <w:rsid w:val="00EE6FB0"/>
    <w:rsid w:val="00EF27D7"/>
    <w:rsid w:val="00EF56DF"/>
    <w:rsid w:val="00F038A7"/>
    <w:rsid w:val="00F07D2D"/>
    <w:rsid w:val="00F148C2"/>
    <w:rsid w:val="00F212CF"/>
    <w:rsid w:val="00F238C1"/>
    <w:rsid w:val="00F30908"/>
    <w:rsid w:val="00F3110E"/>
    <w:rsid w:val="00F32DB1"/>
    <w:rsid w:val="00F34ECB"/>
    <w:rsid w:val="00F376DB"/>
    <w:rsid w:val="00F512C9"/>
    <w:rsid w:val="00F645BF"/>
    <w:rsid w:val="00F65365"/>
    <w:rsid w:val="00F76517"/>
    <w:rsid w:val="00F77206"/>
    <w:rsid w:val="00F85669"/>
    <w:rsid w:val="00FA1012"/>
    <w:rsid w:val="00FC143A"/>
    <w:rsid w:val="00FC1FA8"/>
    <w:rsid w:val="00FC22FB"/>
    <w:rsid w:val="00FD00FB"/>
    <w:rsid w:val="00FD2AD0"/>
    <w:rsid w:val="00FD2E2A"/>
    <w:rsid w:val="00FD33D5"/>
    <w:rsid w:val="00FD614D"/>
    <w:rsid w:val="00FF0C54"/>
    <w:rsid w:val="0169AFED"/>
    <w:rsid w:val="031FA5D7"/>
    <w:rsid w:val="03D88A4A"/>
    <w:rsid w:val="0474E223"/>
    <w:rsid w:val="05F1002C"/>
    <w:rsid w:val="0711A70F"/>
    <w:rsid w:val="0B00B2DE"/>
    <w:rsid w:val="0CFDF945"/>
    <w:rsid w:val="0D9D5210"/>
    <w:rsid w:val="0FA0DF26"/>
    <w:rsid w:val="0FA2AB74"/>
    <w:rsid w:val="10FE1F7B"/>
    <w:rsid w:val="11361DEC"/>
    <w:rsid w:val="120008A1"/>
    <w:rsid w:val="1392723F"/>
    <w:rsid w:val="13BC63EF"/>
    <w:rsid w:val="150366E5"/>
    <w:rsid w:val="16A3D401"/>
    <w:rsid w:val="175DD7BA"/>
    <w:rsid w:val="179A6E62"/>
    <w:rsid w:val="17E45C16"/>
    <w:rsid w:val="18E81F41"/>
    <w:rsid w:val="19D56A2E"/>
    <w:rsid w:val="1A22AE9A"/>
    <w:rsid w:val="1A53F1DE"/>
    <w:rsid w:val="1B7FC6E1"/>
    <w:rsid w:val="1C5ABBA0"/>
    <w:rsid w:val="1C663960"/>
    <w:rsid w:val="1DF5BC12"/>
    <w:rsid w:val="1EF8CA5F"/>
    <w:rsid w:val="24550EF2"/>
    <w:rsid w:val="260AAA0E"/>
    <w:rsid w:val="26D6B620"/>
    <w:rsid w:val="27AF6873"/>
    <w:rsid w:val="29583286"/>
    <w:rsid w:val="29C25037"/>
    <w:rsid w:val="2C835D4A"/>
    <w:rsid w:val="2CF06671"/>
    <w:rsid w:val="2D7BB0B0"/>
    <w:rsid w:val="2E6E6F78"/>
    <w:rsid w:val="3114D678"/>
    <w:rsid w:val="31DFDB2E"/>
    <w:rsid w:val="31F25611"/>
    <w:rsid w:val="32A3D12A"/>
    <w:rsid w:val="33C1CB6E"/>
    <w:rsid w:val="33CD47FE"/>
    <w:rsid w:val="34CE1721"/>
    <w:rsid w:val="3B18F0EA"/>
    <w:rsid w:val="3B9996BF"/>
    <w:rsid w:val="3BEA842A"/>
    <w:rsid w:val="4143F693"/>
    <w:rsid w:val="42721E6C"/>
    <w:rsid w:val="427A5CC4"/>
    <w:rsid w:val="4297A921"/>
    <w:rsid w:val="436A2009"/>
    <w:rsid w:val="4380D8BF"/>
    <w:rsid w:val="45C07C85"/>
    <w:rsid w:val="475C6D44"/>
    <w:rsid w:val="4831CAED"/>
    <w:rsid w:val="4A1C766A"/>
    <w:rsid w:val="4AB5D908"/>
    <w:rsid w:val="4B2B56B2"/>
    <w:rsid w:val="4CEF6BBC"/>
    <w:rsid w:val="4DD38195"/>
    <w:rsid w:val="4ED00967"/>
    <w:rsid w:val="51EE8C05"/>
    <w:rsid w:val="51F8B706"/>
    <w:rsid w:val="5273BF7F"/>
    <w:rsid w:val="52C01281"/>
    <w:rsid w:val="52C1CA05"/>
    <w:rsid w:val="539444B3"/>
    <w:rsid w:val="560047A6"/>
    <w:rsid w:val="562BE2E8"/>
    <w:rsid w:val="572034B9"/>
    <w:rsid w:val="59EEEFBA"/>
    <w:rsid w:val="5A5F930E"/>
    <w:rsid w:val="5AAC23A8"/>
    <w:rsid w:val="5AE00400"/>
    <w:rsid w:val="5D836BC0"/>
    <w:rsid w:val="611BE7C1"/>
    <w:rsid w:val="61790CD3"/>
    <w:rsid w:val="61C0E419"/>
    <w:rsid w:val="64741B32"/>
    <w:rsid w:val="65C93549"/>
    <w:rsid w:val="67CF491C"/>
    <w:rsid w:val="6853ACEC"/>
    <w:rsid w:val="69026B43"/>
    <w:rsid w:val="69075FE9"/>
    <w:rsid w:val="6936C625"/>
    <w:rsid w:val="6B00029D"/>
    <w:rsid w:val="71D84288"/>
    <w:rsid w:val="72320DFD"/>
    <w:rsid w:val="725BFA84"/>
    <w:rsid w:val="7275885C"/>
    <w:rsid w:val="75D002D0"/>
    <w:rsid w:val="75E9ED53"/>
    <w:rsid w:val="760A1082"/>
    <w:rsid w:val="76F3889E"/>
    <w:rsid w:val="77290EFF"/>
    <w:rsid w:val="7751E221"/>
    <w:rsid w:val="789DA34C"/>
    <w:rsid w:val="78A9FAB5"/>
    <w:rsid w:val="78AB87BE"/>
    <w:rsid w:val="7E62FF12"/>
    <w:rsid w:val="7EE547A6"/>
    <w:rsid w:val="7FC13F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7BD81"/>
  <w15:docId w15:val="{E021F118-B9DC-6447-9E9B-5B4EDF1E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2"/>
    <w:pPr>
      <w:spacing w:after="200"/>
    </w:pPr>
    <w:rPr>
      <w:spacing w:val="3"/>
      <w:sz w:val="22"/>
    </w:rPr>
  </w:style>
  <w:style w:type="paragraph" w:styleId="Heading1">
    <w:name w:val="heading 1"/>
    <w:basedOn w:val="Normal"/>
    <w:next w:val="Normal"/>
    <w:link w:val="Heading1Char"/>
    <w:uiPriority w:val="9"/>
    <w:qFormat/>
    <w:rsid w:val="009158D6"/>
    <w:pPr>
      <w:spacing w:before="360" w:after="240" w:line="240" w:lineRule="auto"/>
      <w:contextualSpacing/>
      <w:outlineLvl w:val="0"/>
    </w:pPr>
    <w:rPr>
      <w:rFonts w:asciiTheme="majorHAnsi" w:eastAsiaTheme="majorEastAsia" w:hAnsiTheme="majorHAnsi" w:cstheme="majorBidi"/>
      <w:b/>
      <w:bCs/>
      <w:color w:val="005A70" w:themeColor="accent1"/>
      <w:sz w:val="64"/>
      <w:szCs w:val="28"/>
    </w:rPr>
  </w:style>
  <w:style w:type="paragraph" w:styleId="Heading2">
    <w:name w:val="heading 2"/>
    <w:basedOn w:val="Normal"/>
    <w:next w:val="Normal"/>
    <w:link w:val="Heading2Char"/>
    <w:uiPriority w:val="2"/>
    <w:qFormat/>
    <w:rsid w:val="004231A4"/>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231A4"/>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231A4"/>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231A4"/>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231A4"/>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231A4"/>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231A4"/>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231A4"/>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8D6"/>
    <w:rPr>
      <w:rFonts w:asciiTheme="majorHAnsi" w:eastAsiaTheme="majorEastAsia" w:hAnsiTheme="majorHAnsi" w:cstheme="majorBidi"/>
      <w:b/>
      <w:bCs/>
      <w:color w:val="005A70" w:themeColor="accent1"/>
      <w:spacing w:val="3"/>
      <w:sz w:val="64"/>
      <w:szCs w:val="28"/>
    </w:rPr>
  </w:style>
  <w:style w:type="character" w:customStyle="1" w:styleId="Heading2Char">
    <w:name w:val="Heading 2 Char"/>
    <w:basedOn w:val="DefaultParagraphFont"/>
    <w:link w:val="Heading2"/>
    <w:uiPriority w:val="2"/>
    <w:rsid w:val="004231A4"/>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231A4"/>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231A4"/>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231A4"/>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231A4"/>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231A4"/>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231A4"/>
    <w:rPr>
      <w:rFonts w:eastAsiaTheme="majorEastAsia" w:cstheme="majorBidi"/>
      <w:iCs/>
      <w:spacing w:val="3"/>
      <w:sz w:val="22"/>
    </w:rPr>
  </w:style>
  <w:style w:type="character" w:customStyle="1" w:styleId="Heading8Char">
    <w:name w:val="Heading 8 Char"/>
    <w:basedOn w:val="DefaultParagraphFont"/>
    <w:link w:val="Heading8"/>
    <w:uiPriority w:val="10"/>
    <w:rsid w:val="004231A4"/>
    <w:rPr>
      <w:rFonts w:eastAsiaTheme="majorEastAsia" w:cstheme="majorBidi"/>
      <w:spacing w:val="3"/>
      <w:sz w:val="22"/>
      <w:szCs w:val="20"/>
    </w:rPr>
  </w:style>
  <w:style w:type="character" w:customStyle="1" w:styleId="Heading9Char">
    <w:name w:val="Heading 9 Char"/>
    <w:basedOn w:val="DefaultParagraphFont"/>
    <w:link w:val="Heading9"/>
    <w:uiPriority w:val="10"/>
    <w:rsid w:val="004231A4"/>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231A4"/>
    <w:rPr>
      <w:rFonts w:ascii="Tahoma" w:hAnsi="Tahoma" w:cs="Tahoma"/>
      <w:spacing w:val="3"/>
      <w:sz w:val="16"/>
      <w:szCs w:val="16"/>
    </w:rPr>
  </w:style>
  <w:style w:type="numbering" w:customStyle="1" w:styleId="BulletsList">
    <w:name w:val="Bullets List"/>
    <w:uiPriority w:val="99"/>
    <w:rsid w:val="004231A4"/>
    <w:pPr>
      <w:numPr>
        <w:numId w:val="1"/>
      </w:numPr>
    </w:pPr>
  </w:style>
  <w:style w:type="paragraph" w:styleId="Caption">
    <w:name w:val="caption"/>
    <w:aliases w:val="Caption Table title"/>
    <w:basedOn w:val="Normal"/>
    <w:next w:val="Normal"/>
    <w:uiPriority w:val="35"/>
    <w:unhideWhenUsed/>
    <w:rsid w:val="004231A4"/>
    <w:pPr>
      <w:spacing w:before="360" w:after="120" w:line="240" w:lineRule="atLeast"/>
    </w:pPr>
    <w:rPr>
      <w:b/>
      <w:bCs/>
      <w:szCs w:val="18"/>
    </w:rPr>
  </w:style>
  <w:style w:type="paragraph" w:customStyle="1" w:styleId="Horizontalrule">
    <w:name w:val="Horizontal rule"/>
    <w:basedOn w:val="Normal"/>
    <w:uiPriority w:val="4"/>
    <w:semiHidden/>
    <w:qFormat/>
    <w:rsid w:val="004231A4"/>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231A4"/>
    <w:pPr>
      <w:pBdr>
        <w:bottom w:val="single" w:sz="24" w:space="1" w:color="00B0B9" w:themeColor="accent2"/>
      </w:pBdr>
      <w:ind w:right="-425" w:hanging="284"/>
    </w:pPr>
  </w:style>
  <w:style w:type="table" w:customStyle="1" w:styleId="DSSDatatablestyle">
    <w:name w:val="DSS Data table style"/>
    <w:basedOn w:val="TableNormal"/>
    <w:uiPriority w:val="99"/>
    <w:rsid w:val="00106CFB"/>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106CFB"/>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231A4"/>
    <w:rPr>
      <w:b/>
      <w:bCs/>
      <w:i/>
      <w:iCs/>
      <w:spacing w:val="10"/>
      <w:bdr w:val="none" w:sz="0" w:space="0" w:color="auto"/>
      <w:shd w:val="clear" w:color="auto" w:fill="auto"/>
    </w:rPr>
  </w:style>
  <w:style w:type="paragraph" w:customStyle="1" w:styleId="Focus-teal">
    <w:name w:val="Focus - teal"/>
    <w:basedOn w:val="Normal"/>
    <w:uiPriority w:val="7"/>
    <w:qFormat/>
    <w:rsid w:val="004231A4"/>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231A4"/>
    <w:pPr>
      <w:shd w:val="clear" w:color="auto" w:fill="FFEFEF"/>
    </w:pPr>
  </w:style>
  <w:style w:type="paragraph" w:customStyle="1" w:styleId="Focus-grey">
    <w:name w:val="Focus - grey"/>
    <w:basedOn w:val="Focus-teal"/>
    <w:next w:val="Normal"/>
    <w:uiPriority w:val="7"/>
    <w:qFormat/>
    <w:rsid w:val="004231A4"/>
    <w:pPr>
      <w:shd w:val="clear" w:color="auto" w:fill="F2F2F2" w:themeFill="background1" w:themeFillShade="F2"/>
    </w:pPr>
  </w:style>
  <w:style w:type="paragraph" w:customStyle="1" w:styleId="Focus-warning">
    <w:name w:val="Focus - warning"/>
    <w:basedOn w:val="Focus-teal"/>
    <w:next w:val="Normal"/>
    <w:uiPriority w:val="7"/>
    <w:qFormat/>
    <w:rsid w:val="004231A4"/>
    <w:pPr>
      <w:shd w:val="clear" w:color="auto" w:fill="FDF7DB"/>
    </w:pPr>
  </w:style>
  <w:style w:type="character" w:styleId="FollowedHyperlink">
    <w:name w:val="FollowedHyperlink"/>
    <w:basedOn w:val="DefaultParagraphFont"/>
    <w:uiPriority w:val="99"/>
    <w:semiHidden/>
    <w:unhideWhenUsed/>
    <w:rsid w:val="004231A4"/>
    <w:rPr>
      <w:color w:val="000000" w:themeColor="followedHyperlink"/>
      <w:u w:val="single"/>
    </w:rPr>
  </w:style>
  <w:style w:type="paragraph" w:styleId="Footer">
    <w:name w:val="footer"/>
    <w:basedOn w:val="Normal"/>
    <w:link w:val="FooterChar"/>
    <w:uiPriority w:val="99"/>
    <w:unhideWhenUsed/>
    <w:rsid w:val="00423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1A4"/>
    <w:rPr>
      <w:spacing w:val="3"/>
      <w:sz w:val="22"/>
    </w:rPr>
  </w:style>
  <w:style w:type="table" w:styleId="GridTable4">
    <w:name w:val="Grid Table 4"/>
    <w:basedOn w:val="TableNormal"/>
    <w:uiPriority w:val="49"/>
    <w:rsid w:val="004231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231A4"/>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231A4"/>
    <w:rPr>
      <w:rFonts w:ascii="Georgia" w:hAnsi="Georgia"/>
      <w:color w:val="24596E"/>
      <w:spacing w:val="3"/>
      <w:sz w:val="22"/>
    </w:rPr>
  </w:style>
  <w:style w:type="paragraph" w:customStyle="1" w:styleId="Heading1withsubtitle">
    <w:name w:val="Heading 1 (with subtitle)"/>
    <w:basedOn w:val="Heading1"/>
    <w:next w:val="Subtitle"/>
    <w:uiPriority w:val="9"/>
    <w:qFormat/>
    <w:rsid w:val="00EA4560"/>
    <w:rPr>
      <w:color w:val="FFFFFF" w:themeColor="background1"/>
      <w:sz w:val="56"/>
    </w:rPr>
  </w:style>
  <w:style w:type="paragraph" w:styleId="Subtitle">
    <w:name w:val="Subtitle"/>
    <w:basedOn w:val="Normal"/>
    <w:next w:val="Normal"/>
    <w:link w:val="SubtitleChar"/>
    <w:uiPriority w:val="9"/>
    <w:qFormat/>
    <w:rsid w:val="00EA4560"/>
    <w:pPr>
      <w:spacing w:after="480" w:line="240" w:lineRule="auto"/>
    </w:pPr>
    <w:rPr>
      <w:rFonts w:asciiTheme="majorHAnsi" w:eastAsiaTheme="majorEastAsia" w:hAnsiTheme="majorHAnsi" w:cstheme="majorBidi"/>
      <w:b/>
      <w:iCs/>
      <w:color w:val="FFFFFF" w:themeColor="background1"/>
      <w:spacing w:val="6"/>
      <w:sz w:val="32"/>
    </w:rPr>
  </w:style>
  <w:style w:type="character" w:customStyle="1" w:styleId="SubtitleChar">
    <w:name w:val="Subtitle Char"/>
    <w:basedOn w:val="DefaultParagraphFont"/>
    <w:link w:val="Subtitle"/>
    <w:uiPriority w:val="9"/>
    <w:rsid w:val="00EA4560"/>
    <w:rPr>
      <w:rFonts w:asciiTheme="majorHAnsi" w:eastAsiaTheme="majorEastAsia" w:hAnsiTheme="majorHAnsi" w:cstheme="majorBidi"/>
      <w:b/>
      <w:iCs/>
      <w:color w:val="FFFFFF" w:themeColor="background1"/>
      <w:spacing w:val="6"/>
      <w:sz w:val="32"/>
    </w:rPr>
  </w:style>
  <w:style w:type="character" w:styleId="Hyperlink">
    <w:name w:val="Hyperlink"/>
    <w:uiPriority w:val="99"/>
    <w:rsid w:val="004231A4"/>
    <w:rPr>
      <w:rFonts w:asciiTheme="minorHAnsi" w:hAnsiTheme="minorHAnsi"/>
      <w:b w:val="0"/>
      <w:color w:val="0070C0"/>
      <w:u w:val="single"/>
    </w:rPr>
  </w:style>
  <w:style w:type="character" w:styleId="IntenseEmphasis">
    <w:name w:val="Intense Emphasis"/>
    <w:uiPriority w:val="21"/>
    <w:qFormat/>
    <w:rsid w:val="004231A4"/>
    <w:rPr>
      <w:b/>
      <w:bCs/>
    </w:rPr>
  </w:style>
  <w:style w:type="paragraph" w:customStyle="1" w:styleId="IntroductionQuote">
    <w:name w:val="Introduction / Quote"/>
    <w:basedOn w:val="Normal"/>
    <w:uiPriority w:val="1"/>
    <w:qFormat/>
    <w:rsid w:val="004231A4"/>
    <w:pPr>
      <w:spacing w:line="288" w:lineRule="auto"/>
    </w:pPr>
    <w:rPr>
      <w:color w:val="000000" w:themeColor="text1"/>
      <w:sz w:val="28"/>
    </w:rPr>
  </w:style>
  <w:style w:type="paragraph" w:styleId="ListBullet">
    <w:name w:val="List Bullet"/>
    <w:basedOn w:val="Normal"/>
    <w:uiPriority w:val="99"/>
    <w:unhideWhenUsed/>
    <w:qFormat/>
    <w:rsid w:val="004231A4"/>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basedOn w:val="Normal"/>
    <w:uiPriority w:val="34"/>
    <w:qFormat/>
    <w:rsid w:val="000A4A4B"/>
    <w:pPr>
      <w:numPr>
        <w:numId w:val="4"/>
      </w:numPr>
      <w:contextualSpacing/>
    </w:pPr>
  </w:style>
  <w:style w:type="table" w:styleId="ListTable3-Accent6">
    <w:name w:val="List Table 3 Accent 6"/>
    <w:basedOn w:val="TableNormal"/>
    <w:uiPriority w:val="48"/>
    <w:rsid w:val="004231A4"/>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231A4"/>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231A4"/>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231A4"/>
    <w:pPr>
      <w:spacing w:after="0" w:line="240" w:lineRule="auto"/>
    </w:pPr>
  </w:style>
  <w:style w:type="character" w:customStyle="1" w:styleId="NoSpacingChar">
    <w:name w:val="No Spacing Char"/>
    <w:basedOn w:val="DefaultParagraphFont"/>
    <w:link w:val="NoSpacing"/>
    <w:uiPriority w:val="5"/>
    <w:rsid w:val="004231A4"/>
    <w:rPr>
      <w:spacing w:val="3"/>
      <w:sz w:val="22"/>
    </w:rPr>
  </w:style>
  <w:style w:type="paragraph" w:styleId="NormalWeb">
    <w:name w:val="Normal (Web)"/>
    <w:basedOn w:val="Normal"/>
    <w:uiPriority w:val="99"/>
    <w:unhideWhenUsed/>
    <w:rsid w:val="004231A4"/>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1"/>
    <w:semiHidden/>
    <w:unhideWhenUsed/>
    <w:qFormat/>
    <w:rsid w:val="004231A4"/>
    <w:rPr>
      <w:color w:val="005A70" w:themeColor="accent1"/>
      <w:sz w:val="18"/>
    </w:rPr>
  </w:style>
  <w:style w:type="table" w:styleId="PlainTable1">
    <w:name w:val="Plain Table 1"/>
    <w:basedOn w:val="TableNormal"/>
    <w:uiPriority w:val="41"/>
    <w:rsid w:val="004231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656E9B"/>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656E9B"/>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231A4"/>
    <w:pPr>
      <w:spacing w:after="120" w:line="240" w:lineRule="auto"/>
    </w:pPr>
    <w:rPr>
      <w:sz w:val="12"/>
      <w:szCs w:val="16"/>
      <w:lang w:val="en-US"/>
    </w:rPr>
  </w:style>
  <w:style w:type="character" w:styleId="Strong">
    <w:name w:val="Strong"/>
    <w:aliases w:val="Bold"/>
    <w:uiPriority w:val="22"/>
    <w:qFormat/>
    <w:rsid w:val="004231A4"/>
    <w:rPr>
      <w:b/>
      <w:bCs/>
    </w:rPr>
  </w:style>
  <w:style w:type="character" w:styleId="SubtleEmphasis">
    <w:name w:val="Subtle Emphasis"/>
    <w:uiPriority w:val="19"/>
    <w:qFormat/>
    <w:rsid w:val="004231A4"/>
    <w:rPr>
      <w:i/>
      <w:iCs/>
    </w:rPr>
  </w:style>
  <w:style w:type="table" w:styleId="TableGrid">
    <w:name w:val="Table Grid"/>
    <w:basedOn w:val="TableNormal"/>
    <w:uiPriority w:val="59"/>
    <w:rsid w:val="0042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231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231A4"/>
    <w:pPr>
      <w:spacing w:line="312" w:lineRule="auto"/>
    </w:pPr>
    <w:rPr>
      <w:sz w:val="20"/>
    </w:rPr>
  </w:style>
  <w:style w:type="paragraph" w:customStyle="1" w:styleId="TableChartheading">
    <w:name w:val="Table/Chart heading"/>
    <w:basedOn w:val="Caption"/>
    <w:next w:val="Normal"/>
    <w:uiPriority w:val="4"/>
    <w:qFormat/>
    <w:rsid w:val="004231A4"/>
    <w:pPr>
      <w:spacing w:line="288" w:lineRule="auto"/>
    </w:pPr>
    <w:rPr>
      <w:rFonts w:asciiTheme="majorHAnsi" w:hAnsiTheme="majorHAnsi"/>
    </w:rPr>
  </w:style>
  <w:style w:type="paragraph" w:customStyle="1" w:styleId="Tableimagenote">
    <w:name w:val="Table/image note"/>
    <w:basedOn w:val="Normal"/>
    <w:next w:val="Normal"/>
    <w:uiPriority w:val="4"/>
    <w:qFormat/>
    <w:rsid w:val="004231A4"/>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231A4"/>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231A4"/>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231A4"/>
    <w:pPr>
      <w:spacing w:before="4000"/>
      <w:jc w:val="center"/>
    </w:pPr>
    <w:rPr>
      <w:sz w:val="72"/>
    </w:rPr>
  </w:style>
  <w:style w:type="paragraph" w:styleId="TOC1">
    <w:name w:val="toc 1"/>
    <w:basedOn w:val="Normal"/>
    <w:next w:val="Normal"/>
    <w:autoRedefine/>
    <w:uiPriority w:val="39"/>
    <w:unhideWhenUsed/>
    <w:rsid w:val="004231A4"/>
    <w:pPr>
      <w:spacing w:after="100"/>
    </w:pPr>
  </w:style>
  <w:style w:type="paragraph" w:styleId="TOC2">
    <w:name w:val="toc 2"/>
    <w:basedOn w:val="Normal"/>
    <w:next w:val="Normal"/>
    <w:autoRedefine/>
    <w:uiPriority w:val="39"/>
    <w:unhideWhenUsed/>
    <w:rsid w:val="004231A4"/>
    <w:pPr>
      <w:spacing w:after="100"/>
      <w:ind w:left="200"/>
    </w:pPr>
  </w:style>
  <w:style w:type="paragraph" w:styleId="TOC3">
    <w:name w:val="toc 3"/>
    <w:basedOn w:val="Normal"/>
    <w:next w:val="Normal"/>
    <w:autoRedefine/>
    <w:uiPriority w:val="39"/>
    <w:unhideWhenUsed/>
    <w:rsid w:val="004231A4"/>
    <w:pPr>
      <w:spacing w:after="100"/>
      <w:ind w:left="400"/>
    </w:pPr>
  </w:style>
  <w:style w:type="paragraph" w:styleId="TOCHeading">
    <w:name w:val="TOC Heading"/>
    <w:basedOn w:val="Heading2"/>
    <w:next w:val="Normal"/>
    <w:uiPriority w:val="39"/>
    <w:unhideWhenUsed/>
    <w:qFormat/>
    <w:rsid w:val="004231A4"/>
  </w:style>
  <w:style w:type="paragraph" w:customStyle="1" w:styleId="PageNumber2">
    <w:name w:val="Page Number2"/>
    <w:basedOn w:val="Normal"/>
    <w:uiPriority w:val="97"/>
    <w:qFormat/>
    <w:rsid w:val="00880992"/>
    <w:pPr>
      <w:spacing w:after="120"/>
    </w:pPr>
    <w:rPr>
      <w:noProof/>
      <w:color w:val="005A70" w:themeColor="accent1"/>
      <w:sz w:val="18"/>
      <w:lang w:eastAsia="en-AU"/>
    </w:rPr>
  </w:style>
  <w:style w:type="character" w:styleId="CommentReference">
    <w:name w:val="annotation reference"/>
    <w:basedOn w:val="DefaultParagraphFont"/>
    <w:uiPriority w:val="99"/>
    <w:semiHidden/>
    <w:unhideWhenUsed/>
    <w:rsid w:val="005C3D90"/>
    <w:rPr>
      <w:sz w:val="16"/>
      <w:szCs w:val="16"/>
    </w:rPr>
  </w:style>
  <w:style w:type="paragraph" w:styleId="CommentText">
    <w:name w:val="annotation text"/>
    <w:basedOn w:val="Normal"/>
    <w:link w:val="CommentTextChar"/>
    <w:uiPriority w:val="99"/>
    <w:unhideWhenUsed/>
    <w:rsid w:val="005C3D90"/>
    <w:pPr>
      <w:spacing w:line="240" w:lineRule="auto"/>
    </w:pPr>
    <w:rPr>
      <w:sz w:val="20"/>
      <w:szCs w:val="20"/>
    </w:rPr>
  </w:style>
  <w:style w:type="character" w:customStyle="1" w:styleId="CommentTextChar">
    <w:name w:val="Comment Text Char"/>
    <w:basedOn w:val="DefaultParagraphFont"/>
    <w:link w:val="CommentText"/>
    <w:uiPriority w:val="99"/>
    <w:rsid w:val="005C3D90"/>
    <w:rPr>
      <w:spacing w:val="3"/>
      <w:sz w:val="20"/>
      <w:szCs w:val="20"/>
    </w:rPr>
  </w:style>
  <w:style w:type="paragraph" w:styleId="CommentSubject">
    <w:name w:val="annotation subject"/>
    <w:basedOn w:val="CommentText"/>
    <w:next w:val="CommentText"/>
    <w:link w:val="CommentSubjectChar"/>
    <w:uiPriority w:val="99"/>
    <w:semiHidden/>
    <w:unhideWhenUsed/>
    <w:rsid w:val="005C3D90"/>
    <w:rPr>
      <w:b/>
      <w:bCs/>
    </w:rPr>
  </w:style>
  <w:style w:type="character" w:customStyle="1" w:styleId="CommentSubjectChar">
    <w:name w:val="Comment Subject Char"/>
    <w:basedOn w:val="CommentTextChar"/>
    <w:link w:val="CommentSubject"/>
    <w:uiPriority w:val="99"/>
    <w:semiHidden/>
    <w:rsid w:val="005C3D90"/>
    <w:rPr>
      <w:b/>
      <w:bCs/>
      <w:spacing w:val="3"/>
      <w:sz w:val="20"/>
      <w:szCs w:val="20"/>
    </w:rPr>
  </w:style>
  <w:style w:type="paragraph" w:styleId="Revision">
    <w:name w:val="Revision"/>
    <w:hidden/>
    <w:uiPriority w:val="99"/>
    <w:semiHidden/>
    <w:rsid w:val="00C653BA"/>
    <w:pPr>
      <w:spacing w:after="0" w:line="240" w:lineRule="auto"/>
    </w:pPr>
    <w:rPr>
      <w:spacing w:val="3"/>
      <w:sz w:val="22"/>
    </w:rPr>
  </w:style>
  <w:style w:type="paragraph" w:styleId="ListNumber">
    <w:name w:val="List Number"/>
    <w:basedOn w:val="Normal"/>
    <w:uiPriority w:val="99"/>
    <w:unhideWhenUsed/>
    <w:qFormat/>
    <w:rsid w:val="005A59C6"/>
    <w:pPr>
      <w:numPr>
        <w:numId w:val="2"/>
      </w:numPr>
      <w:contextualSpacing/>
    </w:pPr>
  </w:style>
  <w:style w:type="numbering" w:customStyle="1" w:styleId="DSSBulletList">
    <w:name w:val="DSS Bullet List"/>
    <w:uiPriority w:val="99"/>
    <w:rsid w:val="00E6261D"/>
    <w:pPr>
      <w:numPr>
        <w:numId w:val="3"/>
      </w:numPr>
    </w:pPr>
  </w:style>
  <w:style w:type="character" w:styleId="UnresolvedMention">
    <w:name w:val="Unresolved Mention"/>
    <w:basedOn w:val="DefaultParagraphFont"/>
    <w:uiPriority w:val="99"/>
    <w:semiHidden/>
    <w:unhideWhenUsed/>
    <w:rsid w:val="004C585D"/>
    <w:rPr>
      <w:color w:val="605E5C"/>
      <w:shd w:val="clear" w:color="auto" w:fill="E1DFDD"/>
    </w:rPr>
  </w:style>
  <w:style w:type="paragraph" w:styleId="EndnoteText">
    <w:name w:val="endnote text"/>
    <w:basedOn w:val="Normal"/>
    <w:link w:val="EndnoteTextChar"/>
    <w:uiPriority w:val="99"/>
    <w:unhideWhenUsed/>
    <w:rsid w:val="00B5233A"/>
    <w:pPr>
      <w:spacing w:after="0" w:line="240" w:lineRule="auto"/>
    </w:pPr>
    <w:rPr>
      <w:sz w:val="20"/>
      <w:szCs w:val="20"/>
    </w:rPr>
  </w:style>
  <w:style w:type="character" w:customStyle="1" w:styleId="EndnoteTextChar">
    <w:name w:val="Endnote Text Char"/>
    <w:basedOn w:val="DefaultParagraphFont"/>
    <w:link w:val="EndnoteText"/>
    <w:uiPriority w:val="99"/>
    <w:rsid w:val="00B5233A"/>
    <w:rPr>
      <w:spacing w:val="3"/>
      <w:sz w:val="20"/>
      <w:szCs w:val="20"/>
    </w:rPr>
  </w:style>
  <w:style w:type="character" w:styleId="EndnoteReference">
    <w:name w:val="endnote reference"/>
    <w:basedOn w:val="DefaultParagraphFont"/>
    <w:uiPriority w:val="99"/>
    <w:semiHidden/>
    <w:unhideWhenUsed/>
    <w:rsid w:val="00B5233A"/>
    <w:rPr>
      <w:vertAlign w:val="superscript"/>
    </w:rPr>
  </w:style>
  <w:style w:type="paragraph" w:styleId="FootnoteText">
    <w:name w:val="footnote text"/>
    <w:basedOn w:val="Normal"/>
    <w:link w:val="FootnoteTextChar"/>
    <w:uiPriority w:val="99"/>
    <w:semiHidden/>
    <w:unhideWhenUsed/>
    <w:rsid w:val="00B52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33A"/>
    <w:rPr>
      <w:spacing w:val="3"/>
      <w:sz w:val="20"/>
      <w:szCs w:val="20"/>
    </w:rPr>
  </w:style>
  <w:style w:type="character" w:styleId="FootnoteReference">
    <w:name w:val="footnote reference"/>
    <w:basedOn w:val="DefaultParagraphFont"/>
    <w:uiPriority w:val="99"/>
    <w:semiHidden/>
    <w:unhideWhenUsed/>
    <w:rsid w:val="00B52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67809046">
      <w:bodyDiv w:val="1"/>
      <w:marLeft w:val="0"/>
      <w:marRight w:val="0"/>
      <w:marTop w:val="0"/>
      <w:marBottom w:val="0"/>
      <w:divBdr>
        <w:top w:val="none" w:sz="0" w:space="0" w:color="auto"/>
        <w:left w:val="none" w:sz="0" w:space="0" w:color="auto"/>
        <w:bottom w:val="none" w:sz="0" w:space="0" w:color="auto"/>
        <w:right w:val="none" w:sz="0" w:space="0" w:color="auto"/>
      </w:divBdr>
    </w:div>
    <w:div w:id="1356152301">
      <w:bodyDiv w:val="1"/>
      <w:marLeft w:val="0"/>
      <w:marRight w:val="0"/>
      <w:marTop w:val="0"/>
      <w:marBottom w:val="0"/>
      <w:divBdr>
        <w:top w:val="none" w:sz="0" w:space="0" w:color="auto"/>
        <w:left w:val="none" w:sz="0" w:space="0" w:color="auto"/>
        <w:bottom w:val="none" w:sz="0" w:space="0" w:color="auto"/>
        <w:right w:val="none" w:sz="0" w:space="0" w:color="auto"/>
      </w:divBdr>
    </w:div>
    <w:div w:id="207651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pc.gov.au/inquiries/completed/closing-the-gap-review/report/closing-the-gap-review-supporting-paper.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edc.gov.au/community-data-explore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ss.gov.au/early-years-strategy/resource/evidence-summary-why-children-and-their-early-years-mat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aedc.gov.au/resources/detail/2024-aedc-national-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treasury.gov.au/sites/default/files/2023-07/measuring-what-matters-statement020230721_0.pdf" TargetMode="External"/><Relationship Id="rId10" Type="http://schemas.openxmlformats.org/officeDocument/2006/relationships/endnotes" Target="endnotes.xml"/><Relationship Id="rId19" Type="http://schemas.openxmlformats.org/officeDocument/2006/relationships/hyperlink" Target="https://www.abs.gov.au/statistics/people/people-and-communities/socio-economic-indexes-areas-seifa-australia/latest-rele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dss.gov.au/system/files/documents/2025-02/community-sector-grants-engagement-final.pdf"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www.who.int/publications/i/item/early-child-development-a-powerful-equalizer-final-report-for-the-world-health-organization-s-commission-on-the-social-determinants-of-health" TargetMode="External"/><Relationship Id="rId18" Type="http://schemas.openxmlformats.org/officeDocument/2006/relationships/hyperlink" Target="https://www.racgp.org.au/afp/2016/october/teenage-mothers/" TargetMode="External"/><Relationship Id="rId26" Type="http://schemas.openxmlformats.org/officeDocument/2006/relationships/hyperlink" Target="https://research.monash.edu/en/publications/does-an-integrated-wrap-around-school-and-community-service-model" TargetMode="External"/><Relationship Id="rId39" Type="http://schemas.openxmlformats.org/officeDocument/2006/relationships/hyperlink" Target="https://aifs.gov.au/resources/short-articles/supporting-young-people-experiencing-disadvantage-secure-work" TargetMode="External"/><Relationship Id="rId21" Type="http://schemas.openxmlformats.org/officeDocument/2006/relationships/hyperlink" Target="https://humanrights.gov.au/sites/default/files/13.%20Green%2C%20Julie%20-%20Raising%20Children%20PRC_MCRI_NCCSubmission_May17%20-%20for%20web.pdf" TargetMode="External"/><Relationship Id="rId34" Type="http://schemas.openxmlformats.org/officeDocument/2006/relationships/hyperlink" Target="https://www.tandfonline.com/doi/full/10.1080/02615479.2022.2155129" TargetMode="External"/><Relationship Id="rId42" Type="http://schemas.openxmlformats.org/officeDocument/2006/relationships/hyperlink" Target="https://www.aedc.gov.au/resources/detail/2024-aedc-national-report" TargetMode="External"/><Relationship Id="rId7" Type="http://schemas.openxmlformats.org/officeDocument/2006/relationships/hyperlink" Target="https://www.aracy.org.au/resources/better-systems-better-chances/" TargetMode="External"/><Relationship Id="rId2" Type="http://schemas.openxmlformats.org/officeDocument/2006/relationships/hyperlink" Target="https://pmc.ncbi.nlm.nih.gov/articles/PMC6075810/" TargetMode="External"/><Relationship Id="rId16" Type="http://schemas.openxmlformats.org/officeDocument/2006/relationships/hyperlink" Target="https://hdl.handle.net/10620/18425" TargetMode="External"/><Relationship Id="rId29" Type="http://schemas.openxmlformats.org/officeDocument/2006/relationships/hyperlink" Target="https://vcoss.org.au/wp-content/uploads/2018/06/Communities_Taking_Power_FINAL_WebUpload.pdf" TargetMode="External"/><Relationship Id="rId1" Type="http://schemas.openxmlformats.org/officeDocument/2006/relationships/hyperlink" Target="https://aifs.gov.au/resources/short-articles/public-health-approach-preventing-child-maltreatment" TargetMode="External"/><Relationship Id="rId6" Type="http://schemas.openxmlformats.org/officeDocument/2006/relationships/hyperlink" Target="https://aifs.gov.au/resources/policy-and-practice-papers/effective-parenting-programs-what-does-evidence-say" TargetMode="External"/><Relationship Id="rId11" Type="http://schemas.openxmlformats.org/officeDocument/2006/relationships/hyperlink" Target="https://www.worldbank.org/en/programs/earlyyears" TargetMode="External"/><Relationship Id="rId24" Type="http://schemas.openxmlformats.org/officeDocument/2006/relationships/hyperlink" Target="https://www.dss.gov.au/early-years-strategy/resource/early-years-strategy-2024-2034" TargetMode="External"/><Relationship Id="rId32" Type="http://schemas.openxmlformats.org/officeDocument/2006/relationships/hyperlink" Target="https://www.tandfonline.com/doi/full/10.1080/09581590701729921" TargetMode="External"/><Relationship Id="rId37" Type="http://schemas.openxmlformats.org/officeDocument/2006/relationships/hyperlink" Target="https://www.anglicare.asn.au/publications/in-every-community/" TargetMode="External"/><Relationship Id="rId40" Type="http://schemas.openxmlformats.org/officeDocument/2006/relationships/hyperlink" Target="https://www.aihw.gov.au/reports/children-youth/engagement-in-education-or-employment" TargetMode="External"/><Relationship Id="rId45" Type="http://schemas.openxmlformats.org/officeDocument/2006/relationships/hyperlink" Target="https://www.thepossibilitypartnership.org.au/resource-hub" TargetMode="External"/><Relationship Id="rId5" Type="http://schemas.openxmlformats.org/officeDocument/2006/relationships/hyperlink" Target="https://www.aracy.org.au/resources/better-systems-better-chances/" TargetMode="External"/><Relationship Id="rId15" Type="http://schemas.openxmlformats.org/officeDocument/2006/relationships/hyperlink" Target="https://www.jstor.org/stable/resrep57486?searchText=impact+of+childhood+development+on+adults&amp;searchUri=%2Faction%2FdoBasicSearch%3FQuery%3Dimpact%2Bof%2Bchildhood%2Bdevelopment%2Bon%2Badults%26so%3Drel%26pagemark%3DeyJwYWdlIjoyLCJzdGFydCI6MjUsInRvdGFsIjo5MTY5Mn0%253D%26groupefq%3DWyJjb250cmlidXRlZF9hdWRpbyIsInJlc2VhcmNoX3JlcG9ydCIsInNlYXJjaF9jaGFwdGVyIiwic2VhcmNoX2FydGljbGUiLCJjb250cmlidXRlZF92aWRlbyIsInJldmlldyIsIm1wX3Jlc2VhcmNoX3JlcG9ydF9wYXJ0IiwiY29udHJpYnV0ZWRfdGV4dCJd&amp;ab_segments=0%2Fbasic_search_gsv2%2Fcontrol&amp;refreqid=fastly-default%3A35de1a82a6a4f01ce3f564c7a663a754&amp;seq=3" TargetMode="External"/><Relationship Id="rId23" Type="http://schemas.openxmlformats.org/officeDocument/2006/relationships/hyperlink" Target="https://www.berrystreet.org.au/what-we-do/advocacy/early-intervention-research" TargetMode="External"/><Relationship Id="rId28" Type="http://schemas.openxmlformats.org/officeDocument/2006/relationships/hyperlink" Target="https://psycnet.apa.org/doiLanding?doi=10.1037%2Fa0040251" TargetMode="External"/><Relationship Id="rId36" Type="http://schemas.openxmlformats.org/officeDocument/2006/relationships/hyperlink" Target="https://www.pc.gov.au/inquiries-and-research/closing-the-gap-review/report/" TargetMode="External"/><Relationship Id="rId10" Type="http://schemas.openxmlformats.org/officeDocument/2006/relationships/hyperlink" Target="https://developingchild.harvard.edu/resources/report/three-principles-to-improve-outcomes-for-children-and-families/" TargetMode="External"/><Relationship Id="rId19" Type="http://schemas.openxmlformats.org/officeDocument/2006/relationships/hyperlink" Target="https://dcj.nsw.gov.au/documents/about-us/facsiar/facsiar-publications-and-resources/Impact-of-maternal-age-on-children-coming-into-contact-with-the-child-protection-system-April-2021-Evidence-to-Action-Note.pdf" TargetMode="External"/><Relationship Id="rId31" Type="http://schemas.openxmlformats.org/officeDocument/2006/relationships/hyperlink" Target="https://www.abs.gov.au/statistics/people/people-and-communities/socio-economic-indexes-areas-seifa-australia/latest-release" TargetMode="External"/><Relationship Id="rId44" Type="http://schemas.openxmlformats.org/officeDocument/2006/relationships/hyperlink" Target="https://vcoss.org.au/community-sector/2016/08/morethancharity/" TargetMode="External"/><Relationship Id="rId4" Type="http://schemas.openxmlformats.org/officeDocument/2006/relationships/hyperlink" Target="https://www.parentingrc.org.au/ptiv/" TargetMode="External"/><Relationship Id="rId9" Type="http://schemas.openxmlformats.org/officeDocument/2006/relationships/hyperlink" Target="https://aifs.gov.au/resources/policy-and-practice-papers/risk-and-protective-factors-child-abuse-and-neglect" TargetMode="External"/><Relationship Id="rId14" Type="http://schemas.openxmlformats.org/officeDocument/2006/relationships/hyperlink" Target="https://developingchild.harvard.edu/resources/working-paper/connecting-the-brain-to-the-rest-of-the-body-early-childhood-development-and-lifelong-health-are-deeply-intertwined/" TargetMode="External"/><Relationship Id="rId22" Type="http://schemas.openxmlformats.org/officeDocument/2006/relationships/hyperlink" Target="https://www.thefrontproject.org.au/images/C%20-%20COLI%20The%20Cost%20of%20Late%20Intervention%20in%202024-report-V4%202.pdf" TargetMode="External"/><Relationship Id="rId27" Type="http://schemas.openxmlformats.org/officeDocument/2006/relationships/hyperlink" Target="https://www.ajan.com.au/index.php/AJAN/article/view/277" TargetMode="External"/><Relationship Id="rId30" Type="http://schemas.openxmlformats.org/officeDocument/2006/relationships/hyperlink" Target="https://www.dote.org.au/full-report" TargetMode="External"/><Relationship Id="rId35" Type="http://schemas.openxmlformats.org/officeDocument/2006/relationships/hyperlink" Target="https://www.aedc.gov.au/resources/detail/2024-aedc-national-report" TargetMode="External"/><Relationship Id="rId43" Type="http://schemas.openxmlformats.org/officeDocument/2006/relationships/hyperlink" Target="https://www.pc.gov.au/ongoing/report-on-government-services/2025/community-services/child-protection/" TargetMode="External"/><Relationship Id="rId8" Type="http://schemas.openxmlformats.org/officeDocument/2006/relationships/hyperlink" Target="https://aifs.gov.au/resources/policy-and-practice-papers/preventing-and-reducing-child-maltreatment" TargetMode="External"/><Relationship Id="rId3" Type="http://schemas.openxmlformats.org/officeDocument/2006/relationships/hyperlink" Target="https://www.instituteofhealthequity.org/resources-reports/fair-society-healthy-lives-the-marmot-review" TargetMode="External"/><Relationship Id="rId12" Type="http://schemas.openxmlformats.org/officeDocument/2006/relationships/hyperlink" Target="https://www.aihw.gov.au/reports/child-protection/child-protection-australia-2023-24/data" TargetMode="External"/><Relationship Id="rId17" Type="http://schemas.openxmlformats.org/officeDocument/2006/relationships/hyperlink" Target="https://www.aihw.gov.au/reports/child-protection/nfpac-2009-2020-technical-paper/contents/summary" TargetMode="External"/><Relationship Id="rId25" Type="http://schemas.openxmlformats.org/officeDocument/2006/relationships/hyperlink" Target="https://ora.ox.ac.uk/objects/uuid:cb5dbff9-619b-44d6-b84e-842b2c6665f1" TargetMode="External"/><Relationship Id="rId33" Type="http://schemas.openxmlformats.org/officeDocument/2006/relationships/hyperlink" Target="https://www.rch.org.au/uploadedFiles/Main/Content/ccch/Policy_Brief_23_-_place-based_approaches_final_web2.pdf" TargetMode="External"/><Relationship Id="rId38" Type="http://schemas.openxmlformats.org/officeDocument/2006/relationships/hyperlink" Target="https://www.abs.gov.au/statistics/detailed-methodology-information/concepts-sources-methods/socio-economic-indexes-areas-seifa-technical-paper/2021" TargetMode="External"/><Relationship Id="rId46" Type="http://schemas.openxmlformats.org/officeDocument/2006/relationships/hyperlink" Target="https://www.upsocial.org/en/better-outcomes-at-lower-cost-insights-from-kirklees-social-outcomes-partnership-on-person-centred-support/" TargetMode="External"/><Relationship Id="rId20" Type="http://schemas.openxmlformats.org/officeDocument/2006/relationships/hyperlink" Target="https://aifs.gov.au/resources/practice-guides/supporting-young-parents" TargetMode="External"/><Relationship Id="rId41" Type="http://schemas.openxmlformats.org/officeDocument/2006/relationships/hyperlink" Target="https://www.aedc.gov.au/resources/detail/aedc-summa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B6E2252DCA7D46B69FFBE4B2481081" ma:contentTypeVersion="13" ma:contentTypeDescription="Create a new document." ma:contentTypeScope="" ma:versionID="b58681cbbb5a30e6771c2c021f048d5d">
  <xsd:schema xmlns:xsd="http://www.w3.org/2001/XMLSchema" xmlns:xs="http://www.w3.org/2001/XMLSchema" xmlns:p="http://schemas.microsoft.com/office/2006/metadata/properties" xmlns:ns2="99179653-7849-48fa-a1da-e588ac703dc4" xmlns:ns3="c42a9b34-f9f7-469d-9fef-5e7959e68c82" targetNamespace="http://schemas.microsoft.com/office/2006/metadata/properties" ma:root="true" ma:fieldsID="56fc24f5e5e26d9f34ec719078da4e6a" ns2:_="" ns3:_="">
    <xsd:import namespace="99179653-7849-48fa-a1da-e588ac703dc4"/>
    <xsd:import namespace="c42a9b34-f9f7-469d-9fef-5e7959e68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9653-7849-48fa-a1da-e588ac703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2a9b34-f9f7-469d-9fef-5e7959e68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6f6612-ecc5-4b44-95bb-4a668ad02e75}" ma:internalName="TaxCatchAll" ma:showField="CatchAllData" ma:web="c42a9b34-f9f7-469d-9fef-5e7959e68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2a9b34-f9f7-469d-9fef-5e7959e68c82"/>
    <lcf76f155ced4ddcb4097134ff3c332f xmlns="99179653-7849-48fa-a1da-e588ac703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FA32ED-F2E1-40B6-9717-E9B34F6AEFED}">
  <ds:schemaRefs>
    <ds:schemaRef ds:uri="http://schemas.openxmlformats.org/officeDocument/2006/bibliography"/>
  </ds:schemaRefs>
</ds:datastoreItem>
</file>

<file path=customXml/itemProps2.xml><?xml version="1.0" encoding="utf-8"?>
<ds:datastoreItem xmlns:ds="http://schemas.openxmlformats.org/officeDocument/2006/customXml" ds:itemID="{5DA65D4A-B17D-47FC-A517-CD6634315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9653-7849-48fa-a1da-e588ac703dc4"/>
    <ds:schemaRef ds:uri="c42a9b34-f9f7-469d-9fef-5e7959e68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4.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c42a9b34-f9f7-469d-9fef-5e7959e68c82"/>
    <ds:schemaRef ds:uri="99179653-7849-48fa-a1da-e588ac703dc4"/>
  </ds:schemaRefs>
</ds:datastoreItem>
</file>

<file path=docMetadata/LabelInfo.xml><?xml version="1.0" encoding="utf-8"?>
<clbl:labelList xmlns:clbl="http://schemas.microsoft.com/office/2020/mipLabelMetadata">
  <clbl:label id="{eb34d90b-fc41-464d-af60-f74d721d0790}" enabled="1" method="Privileged" siteId="{61e36dd1-ca6e-4d61-aa0a-2b4eb88317a3}"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3760</Words>
  <Characters>21926</Characters>
  <Application>Microsoft Office Word</Application>
  <DocSecurity>4</DocSecurity>
  <Lines>344</Lines>
  <Paragraphs>118</Paragraphs>
  <ScaleCrop>false</ScaleCrop>
  <Company>Department of Social Services</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Report Template</dc:title>
  <dc:subject/>
  <dc:creator>Kira Rose</dc:creator>
  <cp:keywords>[SEC=OFFICIAL]</cp:keywords>
  <cp:lastModifiedBy>BEHRINGER, Maddy</cp:lastModifiedBy>
  <cp:revision>2</cp:revision>
  <cp:lastPrinted>2025-10-23T23:05:00Z</cp:lastPrinted>
  <dcterms:created xsi:type="dcterms:W3CDTF">2025-11-03T00:50:00Z</dcterms:created>
  <dcterms:modified xsi:type="dcterms:W3CDTF">2025-11-03T00:50:00Z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AB7C61AC866BA6B951A12916051A7E40C273E8E6</vt:lpwstr>
  </property>
  <property fmtid="{D5CDD505-2E9C-101B-9397-08002B2CF9AE}" pid="11" name="PM_OriginationTimeStamp">
    <vt:lpwstr>2024-03-05T03:17:34Z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AFDB895BAFC913BD1BC9D33030450EE8</vt:lpwstr>
  </property>
  <property fmtid="{D5CDD505-2E9C-101B-9397-08002B2CF9AE}" pid="21" name="PM_Hash_Salt">
    <vt:lpwstr>EF38FADE740D601A34FD806ABF3C4B29</vt:lpwstr>
  </property>
  <property fmtid="{D5CDD505-2E9C-101B-9397-08002B2CF9AE}" pid="22" name="PM_Hash_SHA1">
    <vt:lpwstr>2ACFB72844222B36B0AC3FB1E810A9B988F5F4B4</vt:lpwstr>
  </property>
  <property fmtid="{D5CDD505-2E9C-101B-9397-08002B2CF9AE}" pid="23" name="PM_OriginatorUserAccountName_SHA256">
    <vt:lpwstr>44728B628D3590496E4200A08F0CF4F360D2BB2C8A61988EDA7AFDEA3B03F748</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0x010100CBB6E2252DCA7D46B69FFBE4B2481081</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2024-03-05T03:17:34Z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1a559a90e411430b8d827a29dcec347b</vt:lpwstr>
  </property>
  <property fmtid="{D5CDD505-2E9C-101B-9397-08002B2CF9AE}" pid="35" name="MSIP_Label_eb34d90b-fc41-464d-af60-f74d721d0790_ContentBits">
    <vt:lpwstr>3</vt:lpwstr>
  </property>
  <property fmtid="{D5CDD505-2E9C-101B-9397-08002B2CF9AE}" pid="36" name="PMHMAC">
    <vt:lpwstr>v=2024.1;a=SHA256;h=E3A0B2C05FAA410E4AEFA4D036EB8E0A3D93FB39B11180147D16DB75D673BC60</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