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CC63" w14:textId="77777777" w:rsidR="00E15BCC" w:rsidRDefault="00E15BCC" w:rsidP="00E15BCC"/>
    <w:p w14:paraId="59B832E3" w14:textId="77777777" w:rsidR="003E2176" w:rsidRDefault="003E2176" w:rsidP="003E2176">
      <w:pPr>
        <w:spacing w:before="100" w:beforeAutospacing="1" w:after="100" w:afterAutospacing="1"/>
        <w:rPr>
          <w:b/>
          <w:bCs/>
          <w:sz w:val="36"/>
          <w:szCs w:val="36"/>
        </w:rPr>
      </w:pPr>
      <w:r>
        <w:rPr>
          <w:b/>
          <w:bCs/>
          <w:sz w:val="36"/>
          <w:szCs w:val="36"/>
        </w:rPr>
        <w:t>Introduction</w:t>
      </w:r>
    </w:p>
    <w:p w14:paraId="0A850263" w14:textId="77777777" w:rsidR="003E2176" w:rsidRDefault="003E2176" w:rsidP="003E2176">
      <w:pPr>
        <w:spacing w:before="100" w:beforeAutospacing="1" w:after="100" w:afterAutospacing="1"/>
        <w:rPr>
          <w:sz w:val="24"/>
          <w:szCs w:val="24"/>
        </w:rPr>
      </w:pPr>
      <w:r>
        <w:t>ac.care welcomes the opportunity to contribute to the consultation on reforms to the Families and Children Activity (</w:t>
      </w:r>
      <w:proofErr w:type="spellStart"/>
      <w:r>
        <w:t>FaC</w:t>
      </w:r>
      <w:proofErr w:type="spellEnd"/>
      <w:r>
        <w:t>).</w:t>
      </w:r>
    </w:p>
    <w:p w14:paraId="2BB9543A" w14:textId="77777777" w:rsidR="003E2176" w:rsidRDefault="003E2176" w:rsidP="003E2176">
      <w:pPr>
        <w:spacing w:before="100" w:beforeAutospacing="1" w:after="100" w:afterAutospacing="1"/>
      </w:pPr>
      <w:r>
        <w:t>As a regional South Australian organisation delivering Communities for Children (C4C), Family and Relationship Services (FARS), and Specialised Family Violence Services (SFVS), ac.care works with children, young people, parents, caregivers, and older adults who experience a wide range of vulnerabilities.</w:t>
      </w:r>
    </w:p>
    <w:p w14:paraId="7500951A" w14:textId="1DE2FEB0" w:rsidR="003E2176" w:rsidRPr="003E2176" w:rsidRDefault="003E2176" w:rsidP="003E2176">
      <w:pPr>
        <w:spacing w:before="100" w:beforeAutospacing="1" w:after="100" w:afterAutospacing="1"/>
      </w:pPr>
      <w:r>
        <w:t>Our feedback is informed by regional practice experience, frontline insights, and the needs of families who rely on flexible, accessible, trauma-informed, culturally safe, and relationship-based support.</w:t>
      </w:r>
    </w:p>
    <w:p w14:paraId="3265024E" w14:textId="77777777" w:rsidR="003E2176" w:rsidRDefault="003E2176" w:rsidP="003E2176">
      <w:pPr>
        <w:spacing w:before="100" w:beforeAutospacing="1" w:after="100" w:afterAutospacing="1"/>
        <w:rPr>
          <w:rFonts w:eastAsiaTheme="minorEastAsia"/>
          <w:b/>
          <w:bCs/>
          <w:sz w:val="36"/>
          <w:szCs w:val="36"/>
        </w:rPr>
      </w:pPr>
      <w:r>
        <w:rPr>
          <w:b/>
          <w:bCs/>
          <w:sz w:val="36"/>
          <w:szCs w:val="36"/>
        </w:rPr>
        <w:t>1. Vision and Outcomes</w:t>
      </w:r>
    </w:p>
    <w:p w14:paraId="6816278D" w14:textId="77777777" w:rsidR="003E2176" w:rsidRDefault="003E2176" w:rsidP="003E2176">
      <w:pPr>
        <w:spacing w:before="100" w:beforeAutospacing="1" w:after="100" w:afterAutospacing="1"/>
        <w:rPr>
          <w:sz w:val="24"/>
          <w:szCs w:val="24"/>
        </w:rPr>
      </w:pPr>
      <w:r>
        <w:t>ac.care supports the proposed vision and finds it consistent with what families need to thrive: strong adults, safe environments, and children who can grow up nurtured and connected.</w:t>
      </w:r>
    </w:p>
    <w:p w14:paraId="292282DB" w14:textId="0A660D3B" w:rsidR="003E2176" w:rsidRDefault="00C10559" w:rsidP="003E2176">
      <w:pPr>
        <w:spacing w:before="100" w:beforeAutospacing="1" w:after="100" w:afterAutospacing="1"/>
      </w:pPr>
      <w:r>
        <w:t>ac.care</w:t>
      </w:r>
      <w:r w:rsidR="003E2176">
        <w:t xml:space="preserve"> </w:t>
      </w:r>
      <w:r>
        <w:t>recommends changes to the two proposed outcomes</w:t>
      </w:r>
      <w:r w:rsidR="003E2176">
        <w:t>:</w:t>
      </w:r>
    </w:p>
    <w:p w14:paraId="2C02C8DA" w14:textId="77777777" w:rsidR="003E2176" w:rsidRDefault="003E2176" w:rsidP="003E2176">
      <w:pPr>
        <w:spacing w:before="100" w:beforeAutospacing="1" w:after="100" w:afterAutospacing="1"/>
      </w:pPr>
      <w:r>
        <w:t>Families are empowered to build home environments that are safe, strong and thriving</w:t>
      </w:r>
    </w:p>
    <w:p w14:paraId="34F8356C" w14:textId="01E01D01" w:rsidR="003E2176" w:rsidRDefault="003E2176" w:rsidP="003E2176">
      <w:pPr>
        <w:spacing w:before="100" w:beforeAutospacing="1" w:after="100" w:afterAutospacing="1"/>
      </w:pPr>
      <w:r>
        <w:t>Children are supported to grow up in safe and nurturing environments</w:t>
      </w:r>
    </w:p>
    <w:p w14:paraId="31264AF9" w14:textId="77777777" w:rsidR="003E2176" w:rsidRDefault="003E2176" w:rsidP="003E2176">
      <w:pPr>
        <w:spacing w:before="100" w:beforeAutospacing="1" w:after="100" w:afterAutospacing="1"/>
      </w:pPr>
      <w:r>
        <w:t>To strengthen the framework, ac.care recommends adding:</w:t>
      </w:r>
    </w:p>
    <w:p w14:paraId="25170B06" w14:textId="77777777" w:rsidR="003E2176" w:rsidRDefault="003E2176" w:rsidP="003E2176">
      <w:pPr>
        <w:spacing w:before="100" w:beforeAutospacing="1" w:after="100" w:afterAutospacing="1"/>
      </w:pPr>
      <w:r>
        <w:rPr>
          <w:b/>
          <w:bCs/>
        </w:rPr>
        <w:t>Outcome 3: Families are supported by strong, safe, and reliable support networks.</w:t>
      </w:r>
    </w:p>
    <w:p w14:paraId="4F084867" w14:textId="588053E5" w:rsidR="003E2176" w:rsidRPr="003E2176" w:rsidRDefault="003E2176" w:rsidP="003E2176">
      <w:pPr>
        <w:spacing w:before="100" w:beforeAutospacing="1" w:after="100" w:afterAutospacing="1"/>
      </w:pPr>
      <w:r>
        <w:t>In regional communities, families often move in and out of vulnerability depending on the strength of their informal and formal support systems. Recognising this explicitly will ensure services focus on the systemic factors that support wellbeing, not only individual capacity.</w:t>
      </w:r>
    </w:p>
    <w:p w14:paraId="0BCE85A4" w14:textId="77777777" w:rsidR="003E2176" w:rsidRDefault="003E2176" w:rsidP="003E2176">
      <w:pPr>
        <w:spacing w:before="100" w:beforeAutospacing="1" w:after="100" w:afterAutospacing="1"/>
        <w:rPr>
          <w:rFonts w:eastAsiaTheme="minorEastAsia"/>
          <w:b/>
          <w:bCs/>
          <w:sz w:val="36"/>
          <w:szCs w:val="36"/>
        </w:rPr>
      </w:pPr>
      <w:r>
        <w:rPr>
          <w:b/>
          <w:bCs/>
          <w:sz w:val="36"/>
          <w:szCs w:val="36"/>
        </w:rPr>
        <w:t>2. Program Structure</w:t>
      </w:r>
    </w:p>
    <w:p w14:paraId="0CE9AD1D" w14:textId="77777777" w:rsidR="003E2176" w:rsidRDefault="003E2176" w:rsidP="003E2176">
      <w:pPr>
        <w:spacing w:before="100" w:beforeAutospacing="1" w:after="100" w:afterAutospacing="1"/>
        <w:rPr>
          <w:sz w:val="24"/>
          <w:szCs w:val="24"/>
        </w:rPr>
      </w:pPr>
      <w:proofErr w:type="gramStart"/>
      <w:r>
        <w:t>ac.care</w:t>
      </w:r>
      <w:proofErr w:type="gramEnd"/>
      <w:r>
        <w:t xml:space="preserve"> supports a nationally consistent program structure with activity streams, </w:t>
      </w:r>
      <w:proofErr w:type="gramStart"/>
      <w:r>
        <w:t>provided that</w:t>
      </w:r>
      <w:proofErr w:type="gramEnd"/>
      <w:r>
        <w:t xml:space="preserve"> flexibility is preserved for regional variation.</w:t>
      </w:r>
    </w:p>
    <w:p w14:paraId="7BA2DE6A" w14:textId="77777777" w:rsidR="003E2176" w:rsidRDefault="003E2176" w:rsidP="003E2176">
      <w:pPr>
        <w:spacing w:before="100" w:beforeAutospacing="1" w:after="100" w:afterAutospacing="1"/>
      </w:pPr>
      <w:r>
        <w:t>Key considerations for regional South Australia include:</w:t>
      </w:r>
    </w:p>
    <w:p w14:paraId="323B8125" w14:textId="77777777" w:rsidR="003E2176" w:rsidRDefault="003E2176" w:rsidP="003E2176">
      <w:pPr>
        <w:numPr>
          <w:ilvl w:val="0"/>
          <w:numId w:val="2"/>
        </w:numPr>
        <w:spacing w:before="100" w:beforeAutospacing="1" w:after="100" w:afterAutospacing="1" w:line="240" w:lineRule="auto"/>
        <w:rPr>
          <w:rFonts w:eastAsia="Times New Roman"/>
        </w:rPr>
      </w:pPr>
      <w:r>
        <w:rPr>
          <w:rFonts w:eastAsia="Times New Roman"/>
        </w:rPr>
        <w:t>Families rarely present with a single, isolated issue.</w:t>
      </w:r>
    </w:p>
    <w:p w14:paraId="2FD62D01" w14:textId="77777777" w:rsidR="003E2176" w:rsidRDefault="003E2176" w:rsidP="003E2176">
      <w:pPr>
        <w:numPr>
          <w:ilvl w:val="0"/>
          <w:numId w:val="2"/>
        </w:numPr>
        <w:spacing w:before="100" w:beforeAutospacing="1" w:after="100" w:afterAutospacing="1" w:line="240" w:lineRule="auto"/>
        <w:rPr>
          <w:rFonts w:eastAsia="Times New Roman"/>
        </w:rPr>
      </w:pPr>
      <w:r>
        <w:rPr>
          <w:rFonts w:eastAsia="Times New Roman"/>
        </w:rPr>
        <w:t>People accessing one program often require supports that fall within other streams once rapport and trust develop.</w:t>
      </w:r>
    </w:p>
    <w:p w14:paraId="46893A8E" w14:textId="77777777" w:rsidR="003E2176" w:rsidRDefault="003E2176" w:rsidP="003E2176">
      <w:pPr>
        <w:numPr>
          <w:ilvl w:val="0"/>
          <w:numId w:val="2"/>
        </w:numPr>
        <w:spacing w:before="100" w:beforeAutospacing="1" w:after="100" w:afterAutospacing="1" w:line="240" w:lineRule="auto"/>
        <w:rPr>
          <w:rFonts w:eastAsia="Times New Roman"/>
        </w:rPr>
      </w:pPr>
      <w:r>
        <w:rPr>
          <w:rFonts w:eastAsia="Times New Roman"/>
        </w:rPr>
        <w:lastRenderedPageBreak/>
        <w:t>A single grant agreement for multi-stream delivery is essential to avoid fragmentation.</w:t>
      </w:r>
    </w:p>
    <w:p w14:paraId="19984676" w14:textId="77777777" w:rsidR="003E2176" w:rsidRDefault="003E2176" w:rsidP="003E2176">
      <w:pPr>
        <w:numPr>
          <w:ilvl w:val="0"/>
          <w:numId w:val="2"/>
        </w:numPr>
        <w:spacing w:before="100" w:beforeAutospacing="1" w:after="100" w:afterAutospacing="1" w:line="240" w:lineRule="auto"/>
        <w:rPr>
          <w:rFonts w:eastAsia="Times New Roman"/>
        </w:rPr>
      </w:pPr>
      <w:r>
        <w:rPr>
          <w:rFonts w:eastAsia="Times New Roman"/>
        </w:rPr>
        <w:t>Providers must be able to deliver activities across streams without administrative or contractual barriers.</w:t>
      </w:r>
    </w:p>
    <w:p w14:paraId="01D3CD6D" w14:textId="65639BA9" w:rsidR="003E2176" w:rsidRDefault="003E2176" w:rsidP="003E2176">
      <w:pPr>
        <w:spacing w:before="100" w:beforeAutospacing="1" w:after="100" w:afterAutospacing="1"/>
        <w:rPr>
          <w:rFonts w:eastAsiaTheme="minorEastAsia"/>
        </w:rPr>
      </w:pPr>
      <w:r>
        <w:t>ac.ca</w:t>
      </w:r>
      <w:r w:rsidR="00343E40">
        <w:t>r</w:t>
      </w:r>
      <w:r>
        <w:t>e emphasises the need for:</w:t>
      </w:r>
    </w:p>
    <w:p w14:paraId="357C76AF" w14:textId="77777777" w:rsidR="003E2176" w:rsidRDefault="003E2176" w:rsidP="003E2176">
      <w:pPr>
        <w:numPr>
          <w:ilvl w:val="0"/>
          <w:numId w:val="3"/>
        </w:numPr>
        <w:spacing w:before="100" w:beforeAutospacing="1" w:after="100" w:afterAutospacing="1" w:line="240" w:lineRule="auto"/>
        <w:rPr>
          <w:rFonts w:eastAsia="Times New Roman"/>
        </w:rPr>
      </w:pPr>
      <w:r>
        <w:rPr>
          <w:rFonts w:eastAsia="Times New Roman"/>
        </w:rPr>
        <w:t>The ability for clients to move fluidly between streams without re-referral</w:t>
      </w:r>
    </w:p>
    <w:p w14:paraId="02E1F83D" w14:textId="77777777" w:rsidR="003E2176" w:rsidRDefault="003E2176" w:rsidP="003E2176">
      <w:pPr>
        <w:numPr>
          <w:ilvl w:val="0"/>
          <w:numId w:val="3"/>
        </w:numPr>
        <w:spacing w:before="100" w:beforeAutospacing="1" w:after="100" w:afterAutospacing="1" w:line="240" w:lineRule="auto"/>
        <w:rPr>
          <w:rFonts w:eastAsia="Times New Roman"/>
        </w:rPr>
      </w:pPr>
      <w:r>
        <w:rPr>
          <w:rFonts w:eastAsia="Times New Roman"/>
        </w:rPr>
        <w:t>Local decision-making about how streams are implemented</w:t>
      </w:r>
    </w:p>
    <w:p w14:paraId="31FCEC6A" w14:textId="77777777" w:rsidR="003E2176" w:rsidRDefault="003E2176" w:rsidP="003E2176">
      <w:pPr>
        <w:numPr>
          <w:ilvl w:val="0"/>
          <w:numId w:val="3"/>
        </w:numPr>
        <w:spacing w:before="100" w:beforeAutospacing="1" w:after="100" w:afterAutospacing="1" w:line="240" w:lineRule="auto"/>
        <w:rPr>
          <w:rFonts w:eastAsia="Times New Roman"/>
        </w:rPr>
      </w:pPr>
      <w:r>
        <w:rPr>
          <w:rFonts w:eastAsia="Times New Roman"/>
        </w:rPr>
        <w:t>Recognition of regional workforce constraints</w:t>
      </w:r>
    </w:p>
    <w:p w14:paraId="4F067773" w14:textId="77777777" w:rsidR="003E2176" w:rsidRDefault="003E2176" w:rsidP="003E2176">
      <w:pPr>
        <w:numPr>
          <w:ilvl w:val="0"/>
          <w:numId w:val="3"/>
        </w:numPr>
        <w:spacing w:before="100" w:beforeAutospacing="1" w:after="100" w:afterAutospacing="1" w:line="240" w:lineRule="auto"/>
        <w:rPr>
          <w:rFonts w:eastAsia="Times New Roman"/>
        </w:rPr>
      </w:pPr>
      <w:r>
        <w:rPr>
          <w:rFonts w:eastAsia="Times New Roman"/>
        </w:rPr>
        <w:t>Stability of funding across all three streams</w:t>
      </w:r>
    </w:p>
    <w:p w14:paraId="084F415E" w14:textId="42D29043" w:rsidR="003E2176" w:rsidRPr="003E2176" w:rsidRDefault="003E2176" w:rsidP="003E2176">
      <w:pPr>
        <w:spacing w:before="100" w:beforeAutospacing="1" w:after="100" w:afterAutospacing="1"/>
        <w:rPr>
          <w:rFonts w:eastAsiaTheme="minorEastAsia"/>
        </w:rPr>
      </w:pPr>
      <w:r>
        <w:t>More detail is needed on how DSS will ensure continuity of all streams in smaller or more isolated regions.</w:t>
      </w:r>
    </w:p>
    <w:p w14:paraId="638B5756" w14:textId="77777777" w:rsidR="003E2176" w:rsidRDefault="003E2176" w:rsidP="003E2176">
      <w:pPr>
        <w:spacing w:before="100" w:beforeAutospacing="1" w:after="100" w:afterAutospacing="1"/>
        <w:rPr>
          <w:rFonts w:eastAsiaTheme="minorEastAsia"/>
          <w:b/>
          <w:bCs/>
          <w:sz w:val="36"/>
          <w:szCs w:val="36"/>
        </w:rPr>
      </w:pPr>
      <w:r>
        <w:rPr>
          <w:b/>
          <w:bCs/>
          <w:sz w:val="36"/>
          <w:szCs w:val="36"/>
        </w:rPr>
        <w:t>3. Priority Investment Areas</w:t>
      </w:r>
    </w:p>
    <w:p w14:paraId="73A2742D" w14:textId="77777777" w:rsidR="003E2176" w:rsidRDefault="003E2176" w:rsidP="003E2176">
      <w:pPr>
        <w:spacing w:before="100" w:beforeAutospacing="1" w:after="100" w:afterAutospacing="1"/>
        <w:rPr>
          <w:sz w:val="24"/>
          <w:szCs w:val="24"/>
        </w:rPr>
      </w:pPr>
      <w:r>
        <w:t>ac.care supports directing investment to services that show strong community connection, proven performance, and the ability to deliver trauma-informed, culturally safe, inclusive practice.</w:t>
      </w:r>
    </w:p>
    <w:p w14:paraId="3A4FDECE" w14:textId="77777777" w:rsidR="003E2176" w:rsidRDefault="003E2176" w:rsidP="003E2176">
      <w:pPr>
        <w:spacing w:before="100" w:beforeAutospacing="1" w:after="100" w:afterAutospacing="1"/>
      </w:pPr>
      <w:r>
        <w:t>Priority investment areas that are particularly relevant to our regions include:</w:t>
      </w:r>
    </w:p>
    <w:p w14:paraId="25235370"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Domestic and family violence</w:t>
      </w:r>
    </w:p>
    <w:p w14:paraId="5744B7EB"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Complex family presentations (“missing middle”)</w:t>
      </w:r>
    </w:p>
    <w:p w14:paraId="0250901C"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Mental health and suicidality</w:t>
      </w:r>
    </w:p>
    <w:p w14:paraId="67B53E90"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Alcohol and other drug impacts</w:t>
      </w:r>
    </w:p>
    <w:p w14:paraId="2F2E0397"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Parental stress due to economic and cost-of-living pressures</w:t>
      </w:r>
    </w:p>
    <w:p w14:paraId="134C8A34"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Developmental delay and neurodiversity</w:t>
      </w:r>
    </w:p>
    <w:p w14:paraId="7A5EB844"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Families with limited access to specialist services</w:t>
      </w:r>
    </w:p>
    <w:p w14:paraId="1ECFFE91" w14:textId="77777777" w:rsidR="003E2176" w:rsidRDefault="003E2176" w:rsidP="003E2176">
      <w:pPr>
        <w:numPr>
          <w:ilvl w:val="0"/>
          <w:numId w:val="4"/>
        </w:numPr>
        <w:spacing w:before="100" w:beforeAutospacing="1" w:after="100" w:afterAutospacing="1" w:line="240" w:lineRule="auto"/>
        <w:rPr>
          <w:rFonts w:eastAsia="Times New Roman"/>
        </w:rPr>
      </w:pPr>
      <w:r>
        <w:rPr>
          <w:rFonts w:eastAsia="Times New Roman"/>
        </w:rPr>
        <w:t>Social isolation and limited transport options</w:t>
      </w:r>
    </w:p>
    <w:p w14:paraId="58E49DFD" w14:textId="35E2233C" w:rsidR="003E2176" w:rsidRPr="003E2176" w:rsidRDefault="003E2176" w:rsidP="003E2176">
      <w:pPr>
        <w:spacing w:before="100" w:beforeAutospacing="1" w:after="100" w:afterAutospacing="1"/>
        <w:rPr>
          <w:rFonts w:eastAsiaTheme="minorEastAsia"/>
        </w:rPr>
      </w:pPr>
      <w:r>
        <w:t>Investment must support both early intervention and crisis responses, as many families only seek help once issues are well established.</w:t>
      </w:r>
    </w:p>
    <w:p w14:paraId="558DD60A" w14:textId="77777777" w:rsidR="003E2176" w:rsidRDefault="003E2176" w:rsidP="003E2176">
      <w:pPr>
        <w:spacing w:before="100" w:beforeAutospacing="1" w:after="100" w:afterAutospacing="1"/>
        <w:rPr>
          <w:rFonts w:eastAsiaTheme="minorEastAsia"/>
          <w:b/>
          <w:bCs/>
          <w:sz w:val="36"/>
          <w:szCs w:val="36"/>
        </w:rPr>
      </w:pPr>
      <w:r>
        <w:rPr>
          <w:b/>
          <w:bCs/>
          <w:sz w:val="36"/>
          <w:szCs w:val="36"/>
        </w:rPr>
        <w:t>4. Connected, Co-Located, and Integrated Services</w:t>
      </w:r>
    </w:p>
    <w:p w14:paraId="3D592363" w14:textId="77777777" w:rsidR="003E2176" w:rsidRDefault="003E2176" w:rsidP="003E2176">
      <w:pPr>
        <w:spacing w:before="100" w:beforeAutospacing="1" w:after="100" w:afterAutospacing="1"/>
        <w:rPr>
          <w:sz w:val="24"/>
          <w:szCs w:val="24"/>
        </w:rPr>
      </w:pPr>
      <w:r>
        <w:t>Strong coordination and collaboration are essential to reducing duplication and improving client outcomes.</w:t>
      </w:r>
    </w:p>
    <w:p w14:paraId="1FAF5A11" w14:textId="77777777" w:rsidR="003E2176" w:rsidRDefault="003E2176" w:rsidP="003E2176">
      <w:pPr>
        <w:spacing w:before="100" w:beforeAutospacing="1" w:after="100" w:afterAutospacing="1"/>
      </w:pPr>
      <w:r>
        <w:t>In regional areas, the most effective integration strategies often include:</w:t>
      </w:r>
    </w:p>
    <w:p w14:paraId="251F147F" w14:textId="77777777" w:rsidR="003E2176" w:rsidRDefault="003E2176" w:rsidP="003E2176">
      <w:pPr>
        <w:numPr>
          <w:ilvl w:val="0"/>
          <w:numId w:val="5"/>
        </w:numPr>
        <w:spacing w:before="100" w:beforeAutospacing="1" w:after="100" w:afterAutospacing="1" w:line="240" w:lineRule="auto"/>
        <w:rPr>
          <w:rFonts w:eastAsia="Times New Roman"/>
        </w:rPr>
      </w:pPr>
      <w:r>
        <w:rPr>
          <w:rFonts w:eastAsia="Times New Roman"/>
        </w:rPr>
        <w:t>Interagency groups</w:t>
      </w:r>
    </w:p>
    <w:p w14:paraId="34620934" w14:textId="77777777" w:rsidR="003E2176" w:rsidRDefault="003E2176" w:rsidP="003E2176">
      <w:pPr>
        <w:numPr>
          <w:ilvl w:val="0"/>
          <w:numId w:val="5"/>
        </w:numPr>
        <w:spacing w:before="100" w:beforeAutospacing="1" w:after="100" w:afterAutospacing="1" w:line="240" w:lineRule="auto"/>
        <w:rPr>
          <w:rFonts w:eastAsia="Times New Roman"/>
        </w:rPr>
      </w:pPr>
      <w:r>
        <w:rPr>
          <w:rFonts w:eastAsia="Times New Roman"/>
        </w:rPr>
        <w:t>Formal and informal referral pathways</w:t>
      </w:r>
    </w:p>
    <w:p w14:paraId="3007EB28" w14:textId="77777777" w:rsidR="003E2176" w:rsidRDefault="003E2176" w:rsidP="003E2176">
      <w:pPr>
        <w:numPr>
          <w:ilvl w:val="0"/>
          <w:numId w:val="5"/>
        </w:numPr>
        <w:spacing w:before="100" w:beforeAutospacing="1" w:after="100" w:afterAutospacing="1" w:line="240" w:lineRule="auto"/>
        <w:rPr>
          <w:rFonts w:eastAsia="Times New Roman"/>
        </w:rPr>
      </w:pPr>
      <w:r>
        <w:rPr>
          <w:rFonts w:eastAsia="Times New Roman"/>
        </w:rPr>
        <w:t>Partnerships with schools and early childhood settings</w:t>
      </w:r>
    </w:p>
    <w:p w14:paraId="3AD51A26" w14:textId="77777777" w:rsidR="003E2176" w:rsidRDefault="003E2176" w:rsidP="003E2176">
      <w:pPr>
        <w:numPr>
          <w:ilvl w:val="0"/>
          <w:numId w:val="5"/>
        </w:numPr>
        <w:spacing w:before="100" w:beforeAutospacing="1" w:after="100" w:afterAutospacing="1" w:line="240" w:lineRule="auto"/>
        <w:rPr>
          <w:rFonts w:eastAsia="Times New Roman"/>
        </w:rPr>
      </w:pPr>
      <w:r>
        <w:rPr>
          <w:rFonts w:eastAsia="Times New Roman"/>
        </w:rPr>
        <w:t>Outreach models</w:t>
      </w:r>
    </w:p>
    <w:p w14:paraId="1C58FBA0" w14:textId="77777777" w:rsidR="003E2176" w:rsidRDefault="003E2176" w:rsidP="003E2176">
      <w:pPr>
        <w:numPr>
          <w:ilvl w:val="0"/>
          <w:numId w:val="5"/>
        </w:numPr>
        <w:spacing w:before="100" w:beforeAutospacing="1" w:after="100" w:afterAutospacing="1" w:line="240" w:lineRule="auto"/>
        <w:rPr>
          <w:rFonts w:eastAsia="Times New Roman"/>
        </w:rPr>
      </w:pPr>
      <w:r>
        <w:rPr>
          <w:rFonts w:eastAsia="Times New Roman"/>
        </w:rPr>
        <w:t>Community-led initiatives</w:t>
      </w:r>
    </w:p>
    <w:p w14:paraId="1CB9D81C" w14:textId="77777777" w:rsidR="003E2176" w:rsidRDefault="003E2176" w:rsidP="003E2176">
      <w:pPr>
        <w:numPr>
          <w:ilvl w:val="0"/>
          <w:numId w:val="5"/>
        </w:numPr>
        <w:spacing w:before="100" w:beforeAutospacing="1" w:after="100" w:afterAutospacing="1" w:line="240" w:lineRule="auto"/>
        <w:rPr>
          <w:rFonts w:eastAsia="Times New Roman"/>
        </w:rPr>
      </w:pPr>
      <w:r>
        <w:rPr>
          <w:rFonts w:eastAsia="Times New Roman"/>
        </w:rPr>
        <w:t>Local cross-sector collaboration</w:t>
      </w:r>
    </w:p>
    <w:p w14:paraId="5C05A259" w14:textId="0E0144CC" w:rsidR="003E2176" w:rsidRPr="003E2176" w:rsidRDefault="003E2176" w:rsidP="003E2176">
      <w:pPr>
        <w:spacing w:before="100" w:beforeAutospacing="1" w:after="100" w:afterAutospacing="1"/>
        <w:rPr>
          <w:rFonts w:eastAsiaTheme="minorEastAsia"/>
        </w:rPr>
      </w:pPr>
      <w:r>
        <w:lastRenderedPageBreak/>
        <w:t>Co-location alone does not guarantee effective integration in smaller communities, where privacy, workforce limitations, and infrastructure can restrict co-located models. DSS should recognise a broad range of place-based integration approaches that reflect regional realities.</w:t>
      </w:r>
    </w:p>
    <w:p w14:paraId="5F320E71" w14:textId="77777777" w:rsidR="003E2176" w:rsidRDefault="003E2176" w:rsidP="003E2176">
      <w:pPr>
        <w:spacing w:before="100" w:beforeAutospacing="1" w:after="100" w:afterAutospacing="1"/>
        <w:rPr>
          <w:rFonts w:eastAsiaTheme="minorEastAsia"/>
          <w:b/>
          <w:bCs/>
          <w:sz w:val="36"/>
          <w:szCs w:val="36"/>
        </w:rPr>
      </w:pPr>
      <w:r>
        <w:rPr>
          <w:b/>
          <w:bCs/>
          <w:sz w:val="36"/>
          <w:szCs w:val="36"/>
        </w:rPr>
        <w:t>5. Responding to Community Need</w:t>
      </w:r>
    </w:p>
    <w:p w14:paraId="1E60E449" w14:textId="77777777" w:rsidR="003E2176" w:rsidRDefault="003E2176" w:rsidP="003E2176">
      <w:pPr>
        <w:spacing w:before="100" w:beforeAutospacing="1" w:after="100" w:afterAutospacing="1"/>
        <w:rPr>
          <w:sz w:val="24"/>
          <w:szCs w:val="24"/>
        </w:rPr>
      </w:pPr>
      <w:r>
        <w:t>ac.care supports using a holistic approach to assessing community need. In our regions, vulnerability is shaped by:</w:t>
      </w:r>
    </w:p>
    <w:p w14:paraId="06229931" w14:textId="77777777" w:rsidR="003E2176" w:rsidRDefault="003E2176" w:rsidP="003E2176">
      <w:pPr>
        <w:numPr>
          <w:ilvl w:val="0"/>
          <w:numId w:val="6"/>
        </w:numPr>
        <w:spacing w:before="100" w:beforeAutospacing="1" w:after="100" w:afterAutospacing="1" w:line="240" w:lineRule="auto"/>
        <w:rPr>
          <w:rFonts w:eastAsia="Times New Roman"/>
        </w:rPr>
      </w:pPr>
      <w:r>
        <w:rPr>
          <w:rFonts w:eastAsia="Times New Roman"/>
        </w:rPr>
        <w:t>Prevalence of domestic and family violence</w:t>
      </w:r>
    </w:p>
    <w:p w14:paraId="785BAA04" w14:textId="77777777" w:rsidR="003E2176" w:rsidRDefault="003E2176" w:rsidP="003E2176">
      <w:pPr>
        <w:numPr>
          <w:ilvl w:val="0"/>
          <w:numId w:val="6"/>
        </w:numPr>
        <w:spacing w:before="100" w:beforeAutospacing="1" w:after="100" w:afterAutospacing="1" w:line="240" w:lineRule="auto"/>
        <w:rPr>
          <w:rFonts w:eastAsia="Times New Roman"/>
        </w:rPr>
      </w:pPr>
      <w:r>
        <w:rPr>
          <w:rFonts w:eastAsia="Times New Roman"/>
        </w:rPr>
        <w:t>Alcohol and other drug use</w:t>
      </w:r>
    </w:p>
    <w:p w14:paraId="6F9644A6" w14:textId="77777777" w:rsidR="003E2176" w:rsidRDefault="003E2176" w:rsidP="003E2176">
      <w:pPr>
        <w:numPr>
          <w:ilvl w:val="0"/>
          <w:numId w:val="6"/>
        </w:numPr>
        <w:spacing w:before="100" w:beforeAutospacing="1" w:after="100" w:afterAutospacing="1" w:line="240" w:lineRule="auto"/>
        <w:rPr>
          <w:rFonts w:eastAsia="Times New Roman"/>
        </w:rPr>
      </w:pPr>
      <w:r>
        <w:rPr>
          <w:rFonts w:eastAsia="Times New Roman"/>
        </w:rPr>
        <w:t>Mental health concerns and suicidality</w:t>
      </w:r>
    </w:p>
    <w:p w14:paraId="72D49567" w14:textId="77777777" w:rsidR="003E2176" w:rsidRDefault="003E2176" w:rsidP="003E2176">
      <w:pPr>
        <w:numPr>
          <w:ilvl w:val="0"/>
          <w:numId w:val="6"/>
        </w:numPr>
        <w:spacing w:before="100" w:beforeAutospacing="1" w:after="100" w:afterAutospacing="1" w:line="240" w:lineRule="auto"/>
        <w:rPr>
          <w:rFonts w:eastAsia="Times New Roman"/>
        </w:rPr>
      </w:pPr>
      <w:r>
        <w:rPr>
          <w:rFonts w:eastAsia="Times New Roman"/>
        </w:rPr>
        <w:t>Economic hardship and housing instability</w:t>
      </w:r>
    </w:p>
    <w:p w14:paraId="60748F6B" w14:textId="77777777" w:rsidR="003E2176" w:rsidRDefault="003E2176" w:rsidP="003E2176">
      <w:pPr>
        <w:numPr>
          <w:ilvl w:val="0"/>
          <w:numId w:val="6"/>
        </w:numPr>
        <w:spacing w:before="100" w:beforeAutospacing="1" w:after="100" w:afterAutospacing="1" w:line="240" w:lineRule="auto"/>
        <w:rPr>
          <w:rFonts w:eastAsia="Times New Roman"/>
        </w:rPr>
      </w:pPr>
      <w:r>
        <w:rPr>
          <w:rFonts w:eastAsia="Times New Roman"/>
        </w:rPr>
        <w:t>Drought, natural disasters, and environmental stress</w:t>
      </w:r>
    </w:p>
    <w:p w14:paraId="72AEF793" w14:textId="77777777" w:rsidR="003E2176" w:rsidRDefault="003E2176" w:rsidP="003E2176">
      <w:pPr>
        <w:numPr>
          <w:ilvl w:val="0"/>
          <w:numId w:val="6"/>
        </w:numPr>
        <w:spacing w:before="100" w:beforeAutospacing="1" w:after="100" w:afterAutospacing="1" w:line="240" w:lineRule="auto"/>
        <w:rPr>
          <w:rFonts w:eastAsia="Times New Roman"/>
        </w:rPr>
      </w:pPr>
      <w:r>
        <w:rPr>
          <w:rFonts w:eastAsia="Times New Roman"/>
        </w:rPr>
        <w:t>Workforce shortages</w:t>
      </w:r>
    </w:p>
    <w:p w14:paraId="29FEAD81" w14:textId="77777777" w:rsidR="003E2176" w:rsidRDefault="003E2176" w:rsidP="003E2176">
      <w:pPr>
        <w:numPr>
          <w:ilvl w:val="0"/>
          <w:numId w:val="6"/>
        </w:numPr>
        <w:spacing w:before="100" w:beforeAutospacing="1" w:after="100" w:afterAutospacing="1" w:line="240" w:lineRule="auto"/>
        <w:rPr>
          <w:rFonts w:eastAsia="Times New Roman"/>
        </w:rPr>
      </w:pPr>
      <w:r>
        <w:rPr>
          <w:rFonts w:eastAsia="Times New Roman"/>
        </w:rPr>
        <w:t>Ageing populations with reduced support networks</w:t>
      </w:r>
    </w:p>
    <w:p w14:paraId="2A52F38C" w14:textId="77777777" w:rsidR="003E2176" w:rsidRDefault="003E2176" w:rsidP="003E2176">
      <w:pPr>
        <w:spacing w:before="100" w:beforeAutospacing="1" w:after="100" w:afterAutospacing="1"/>
        <w:rPr>
          <w:rFonts w:eastAsiaTheme="minorEastAsia"/>
        </w:rPr>
      </w:pPr>
      <w:r>
        <w:t>Funding models must incorporate these drivers, not solely locational disadvantage.</w:t>
      </w:r>
    </w:p>
    <w:p w14:paraId="4B5618DA" w14:textId="77777777" w:rsidR="003E2176" w:rsidRDefault="003E2176" w:rsidP="003E2176">
      <w:pPr>
        <w:spacing w:before="100" w:beforeAutospacing="1" w:after="100" w:afterAutospacing="1"/>
      </w:pPr>
      <w:r>
        <w:t>Demonstrated community connection should be a key assessment factor, including:</w:t>
      </w:r>
    </w:p>
    <w:p w14:paraId="4104389D" w14:textId="77777777" w:rsidR="003E2176" w:rsidRDefault="003E2176" w:rsidP="003E2176">
      <w:pPr>
        <w:numPr>
          <w:ilvl w:val="0"/>
          <w:numId w:val="7"/>
        </w:numPr>
        <w:spacing w:before="100" w:beforeAutospacing="1" w:after="100" w:afterAutospacing="1" w:line="240" w:lineRule="auto"/>
        <w:rPr>
          <w:rFonts w:eastAsia="Times New Roman"/>
        </w:rPr>
      </w:pPr>
      <w:r>
        <w:rPr>
          <w:rFonts w:eastAsia="Times New Roman"/>
        </w:rPr>
        <w:t>Responsiveness to emerging issues</w:t>
      </w:r>
    </w:p>
    <w:p w14:paraId="59FCBB92" w14:textId="77777777" w:rsidR="003E2176" w:rsidRDefault="003E2176" w:rsidP="003E2176">
      <w:pPr>
        <w:numPr>
          <w:ilvl w:val="0"/>
          <w:numId w:val="7"/>
        </w:numPr>
        <w:spacing w:before="100" w:beforeAutospacing="1" w:after="100" w:afterAutospacing="1" w:line="240" w:lineRule="auto"/>
        <w:rPr>
          <w:rFonts w:eastAsia="Times New Roman"/>
        </w:rPr>
      </w:pPr>
      <w:r>
        <w:rPr>
          <w:rFonts w:eastAsia="Times New Roman"/>
        </w:rPr>
        <w:t>Adaptability of service models</w:t>
      </w:r>
    </w:p>
    <w:p w14:paraId="4FB4B664" w14:textId="77777777" w:rsidR="003E2176" w:rsidRDefault="003E2176" w:rsidP="003E2176">
      <w:pPr>
        <w:numPr>
          <w:ilvl w:val="0"/>
          <w:numId w:val="7"/>
        </w:numPr>
        <w:spacing w:before="100" w:beforeAutospacing="1" w:after="100" w:afterAutospacing="1" w:line="240" w:lineRule="auto"/>
        <w:rPr>
          <w:rFonts w:eastAsia="Times New Roman"/>
        </w:rPr>
      </w:pPr>
      <w:r>
        <w:rPr>
          <w:rFonts w:eastAsia="Times New Roman"/>
        </w:rPr>
        <w:t>Feedback mechanisms</w:t>
      </w:r>
    </w:p>
    <w:p w14:paraId="62C5F8D0" w14:textId="77777777" w:rsidR="003E2176" w:rsidRDefault="003E2176" w:rsidP="003E2176">
      <w:pPr>
        <w:numPr>
          <w:ilvl w:val="0"/>
          <w:numId w:val="7"/>
        </w:numPr>
        <w:spacing w:before="100" w:beforeAutospacing="1" w:after="100" w:afterAutospacing="1" w:line="240" w:lineRule="auto"/>
        <w:rPr>
          <w:rFonts w:eastAsia="Times New Roman"/>
        </w:rPr>
      </w:pPr>
      <w:r>
        <w:rPr>
          <w:rFonts w:eastAsia="Times New Roman"/>
        </w:rPr>
        <w:t>Local trust and relationship history</w:t>
      </w:r>
    </w:p>
    <w:p w14:paraId="40A7A6DB" w14:textId="37299ABC" w:rsidR="003E2176" w:rsidRPr="003E2176" w:rsidRDefault="003E2176" w:rsidP="003E2176">
      <w:pPr>
        <w:numPr>
          <w:ilvl w:val="0"/>
          <w:numId w:val="7"/>
        </w:numPr>
        <w:spacing w:before="100" w:beforeAutospacing="1" w:after="100" w:afterAutospacing="1" w:line="240" w:lineRule="auto"/>
        <w:rPr>
          <w:rFonts w:eastAsia="Times New Roman"/>
        </w:rPr>
      </w:pPr>
      <w:r>
        <w:rPr>
          <w:rFonts w:eastAsia="Times New Roman"/>
        </w:rPr>
        <w:t>Cultural safety and inclusion</w:t>
      </w:r>
    </w:p>
    <w:p w14:paraId="7AB90502" w14:textId="77777777" w:rsidR="003E2176" w:rsidRDefault="003E2176" w:rsidP="003E2176">
      <w:pPr>
        <w:spacing w:before="100" w:beforeAutospacing="1" w:after="100" w:afterAutospacing="1"/>
        <w:rPr>
          <w:rFonts w:eastAsiaTheme="minorEastAsia"/>
          <w:b/>
          <w:bCs/>
          <w:sz w:val="36"/>
          <w:szCs w:val="36"/>
        </w:rPr>
      </w:pPr>
      <w:r>
        <w:rPr>
          <w:b/>
          <w:bCs/>
          <w:sz w:val="36"/>
          <w:szCs w:val="36"/>
        </w:rPr>
        <w:t>6. Supporting Aboriginal and Torres Strait Islander Children and Families</w:t>
      </w:r>
    </w:p>
    <w:p w14:paraId="27021BAF" w14:textId="77777777" w:rsidR="003E2176" w:rsidRDefault="003E2176" w:rsidP="003E2176">
      <w:pPr>
        <w:spacing w:before="100" w:beforeAutospacing="1" w:after="100" w:afterAutospacing="1"/>
        <w:rPr>
          <w:sz w:val="24"/>
          <w:szCs w:val="24"/>
        </w:rPr>
      </w:pPr>
      <w:r>
        <w:t>ac.care strongly supports the principle of self-determination and acknowledges the critical leadership role of Aboriginal Community Controlled Organisations (ACCOs).</w:t>
      </w:r>
    </w:p>
    <w:p w14:paraId="16ECC917" w14:textId="77777777" w:rsidR="003E2176" w:rsidRDefault="003E2176" w:rsidP="003E2176">
      <w:pPr>
        <w:spacing w:before="100" w:beforeAutospacing="1" w:after="100" w:afterAutospacing="1"/>
      </w:pPr>
      <w:r>
        <w:t>ac.care recognises:</w:t>
      </w:r>
    </w:p>
    <w:p w14:paraId="14EB39E5" w14:textId="77777777" w:rsidR="003E2176" w:rsidRDefault="003E2176" w:rsidP="003E2176">
      <w:pPr>
        <w:numPr>
          <w:ilvl w:val="0"/>
          <w:numId w:val="8"/>
        </w:numPr>
        <w:spacing w:before="100" w:beforeAutospacing="1" w:after="100" w:afterAutospacing="1" w:line="240" w:lineRule="auto"/>
        <w:rPr>
          <w:rFonts w:eastAsia="Times New Roman"/>
        </w:rPr>
      </w:pPr>
      <w:r>
        <w:rPr>
          <w:rFonts w:eastAsia="Times New Roman"/>
        </w:rPr>
        <w:t>The strength of kinship networks</w:t>
      </w:r>
    </w:p>
    <w:p w14:paraId="1F18C50F" w14:textId="77777777" w:rsidR="003E2176" w:rsidRDefault="003E2176" w:rsidP="003E2176">
      <w:pPr>
        <w:numPr>
          <w:ilvl w:val="0"/>
          <w:numId w:val="8"/>
        </w:numPr>
        <w:spacing w:before="100" w:beforeAutospacing="1" w:after="100" w:afterAutospacing="1" w:line="240" w:lineRule="auto"/>
        <w:rPr>
          <w:rFonts w:eastAsia="Times New Roman"/>
        </w:rPr>
      </w:pPr>
      <w:r>
        <w:rPr>
          <w:rFonts w:eastAsia="Times New Roman"/>
        </w:rPr>
        <w:t>The importance of cultural identity for children</w:t>
      </w:r>
    </w:p>
    <w:p w14:paraId="144C9323" w14:textId="77777777" w:rsidR="003E2176" w:rsidRDefault="003E2176" w:rsidP="003E2176">
      <w:pPr>
        <w:numPr>
          <w:ilvl w:val="0"/>
          <w:numId w:val="8"/>
        </w:numPr>
        <w:spacing w:before="100" w:beforeAutospacing="1" w:after="100" w:afterAutospacing="1" w:line="240" w:lineRule="auto"/>
        <w:rPr>
          <w:rFonts w:eastAsia="Times New Roman"/>
        </w:rPr>
      </w:pPr>
      <w:r>
        <w:rPr>
          <w:rFonts w:eastAsia="Times New Roman"/>
        </w:rPr>
        <w:t>The need for long-term, consistent funding for Aboriginal-led models</w:t>
      </w:r>
    </w:p>
    <w:p w14:paraId="58B57284" w14:textId="77777777" w:rsidR="003E2176" w:rsidRDefault="003E2176" w:rsidP="003E2176">
      <w:pPr>
        <w:numPr>
          <w:ilvl w:val="0"/>
          <w:numId w:val="8"/>
        </w:numPr>
        <w:spacing w:before="100" w:beforeAutospacing="1" w:after="100" w:afterAutospacing="1" w:line="240" w:lineRule="auto"/>
        <w:rPr>
          <w:rFonts w:eastAsia="Times New Roman"/>
        </w:rPr>
      </w:pPr>
      <w:r>
        <w:rPr>
          <w:rFonts w:eastAsia="Times New Roman"/>
        </w:rPr>
        <w:t>The impact of intergenerational trauma and colonisation</w:t>
      </w:r>
    </w:p>
    <w:p w14:paraId="43F712C3" w14:textId="77777777" w:rsidR="003E2176" w:rsidRDefault="003E2176" w:rsidP="003E2176">
      <w:pPr>
        <w:numPr>
          <w:ilvl w:val="0"/>
          <w:numId w:val="8"/>
        </w:numPr>
        <w:spacing w:before="100" w:beforeAutospacing="1" w:after="100" w:afterAutospacing="1" w:line="240" w:lineRule="auto"/>
        <w:rPr>
          <w:rFonts w:eastAsia="Times New Roman"/>
        </w:rPr>
      </w:pPr>
      <w:r>
        <w:rPr>
          <w:rFonts w:eastAsia="Times New Roman"/>
        </w:rPr>
        <w:t>The value of locally designed responses led by Aboriginal people and organisations</w:t>
      </w:r>
    </w:p>
    <w:p w14:paraId="698B2617" w14:textId="011D6617" w:rsidR="003E2176" w:rsidRPr="003E2176" w:rsidRDefault="003E2176" w:rsidP="003E2176">
      <w:pPr>
        <w:spacing w:before="100" w:beforeAutospacing="1" w:after="100" w:afterAutospacing="1"/>
        <w:rPr>
          <w:rFonts w:eastAsiaTheme="minorEastAsia"/>
        </w:rPr>
      </w:pPr>
      <w:r>
        <w:t xml:space="preserve">Our role is to walk alongside Aboriginal communities, follow </w:t>
      </w:r>
      <w:r w:rsidRPr="00295BEE">
        <w:rPr>
          <w:b/>
          <w:bCs/>
        </w:rPr>
        <w:t>local</w:t>
      </w:r>
      <w:r>
        <w:t xml:space="preserve"> guidance, and ensure that service delivery is culturally safe, respectful, and aligned with community priorities.</w:t>
      </w:r>
      <w:r w:rsidR="00EC1B11">
        <w:t xml:space="preserve">  For us this means being led by First Nations people on their country.</w:t>
      </w:r>
    </w:p>
    <w:p w14:paraId="1A413193" w14:textId="77777777" w:rsidR="003E2176" w:rsidRDefault="003E2176" w:rsidP="003E2176">
      <w:pPr>
        <w:spacing w:before="100" w:beforeAutospacing="1" w:after="100" w:afterAutospacing="1"/>
        <w:rPr>
          <w:rFonts w:eastAsiaTheme="minorEastAsia"/>
          <w:b/>
          <w:bCs/>
          <w:sz w:val="36"/>
          <w:szCs w:val="36"/>
        </w:rPr>
      </w:pPr>
      <w:r>
        <w:rPr>
          <w:b/>
          <w:bCs/>
          <w:sz w:val="36"/>
          <w:szCs w:val="36"/>
        </w:rPr>
        <w:lastRenderedPageBreak/>
        <w:t>7. Measuring Outcomes</w:t>
      </w:r>
    </w:p>
    <w:p w14:paraId="5217997C" w14:textId="77777777" w:rsidR="003E2176" w:rsidRDefault="003E2176" w:rsidP="003E2176">
      <w:pPr>
        <w:spacing w:before="100" w:beforeAutospacing="1" w:after="100" w:afterAutospacing="1"/>
        <w:rPr>
          <w:sz w:val="24"/>
          <w:szCs w:val="24"/>
        </w:rPr>
      </w:pPr>
      <w:r>
        <w:t>ac.care supports an outcomes approach that is:</w:t>
      </w:r>
    </w:p>
    <w:p w14:paraId="6E681604" w14:textId="77777777" w:rsidR="003E2176" w:rsidRDefault="003E2176" w:rsidP="003E2176">
      <w:pPr>
        <w:numPr>
          <w:ilvl w:val="0"/>
          <w:numId w:val="9"/>
        </w:numPr>
        <w:spacing w:before="100" w:beforeAutospacing="1" w:after="100" w:afterAutospacing="1" w:line="240" w:lineRule="auto"/>
        <w:rPr>
          <w:rFonts w:eastAsia="Times New Roman"/>
        </w:rPr>
      </w:pPr>
      <w:r>
        <w:rPr>
          <w:rFonts w:eastAsia="Times New Roman"/>
        </w:rPr>
        <w:t>meaningful,</w:t>
      </w:r>
    </w:p>
    <w:p w14:paraId="2A218DD7" w14:textId="77777777" w:rsidR="003E2176" w:rsidRDefault="003E2176" w:rsidP="003E2176">
      <w:pPr>
        <w:numPr>
          <w:ilvl w:val="0"/>
          <w:numId w:val="9"/>
        </w:numPr>
        <w:spacing w:before="100" w:beforeAutospacing="1" w:after="100" w:afterAutospacing="1" w:line="240" w:lineRule="auto"/>
        <w:rPr>
          <w:rFonts w:eastAsia="Times New Roman"/>
        </w:rPr>
      </w:pPr>
      <w:r>
        <w:rPr>
          <w:rFonts w:eastAsia="Times New Roman"/>
        </w:rPr>
        <w:t>culturally safe,</w:t>
      </w:r>
    </w:p>
    <w:p w14:paraId="644B4AA5" w14:textId="77777777" w:rsidR="003E2176" w:rsidRDefault="003E2176" w:rsidP="003E2176">
      <w:pPr>
        <w:numPr>
          <w:ilvl w:val="0"/>
          <w:numId w:val="9"/>
        </w:numPr>
        <w:spacing w:before="100" w:beforeAutospacing="1" w:after="100" w:afterAutospacing="1" w:line="240" w:lineRule="auto"/>
        <w:rPr>
          <w:rFonts w:eastAsia="Times New Roman"/>
        </w:rPr>
      </w:pPr>
      <w:r>
        <w:rPr>
          <w:rFonts w:eastAsia="Times New Roman"/>
        </w:rPr>
        <w:t>ethical,</w:t>
      </w:r>
    </w:p>
    <w:p w14:paraId="377B781B" w14:textId="77777777" w:rsidR="003E2176" w:rsidRDefault="003E2176" w:rsidP="003E2176">
      <w:pPr>
        <w:numPr>
          <w:ilvl w:val="0"/>
          <w:numId w:val="9"/>
        </w:numPr>
        <w:spacing w:before="100" w:beforeAutospacing="1" w:after="100" w:afterAutospacing="1" w:line="240" w:lineRule="auto"/>
        <w:rPr>
          <w:rFonts w:eastAsia="Times New Roman"/>
        </w:rPr>
      </w:pPr>
      <w:r>
        <w:rPr>
          <w:rFonts w:eastAsia="Times New Roman"/>
        </w:rPr>
        <w:t>and not administratively burdensome.</w:t>
      </w:r>
    </w:p>
    <w:p w14:paraId="16BB6752" w14:textId="77777777" w:rsidR="003E2176" w:rsidRDefault="003E2176" w:rsidP="003E2176">
      <w:pPr>
        <w:spacing w:before="100" w:beforeAutospacing="1" w:after="100" w:afterAutospacing="1"/>
        <w:rPr>
          <w:rFonts w:eastAsiaTheme="minorEastAsia"/>
        </w:rPr>
      </w:pPr>
      <w:r>
        <w:t>Key considerations:</w:t>
      </w:r>
    </w:p>
    <w:p w14:paraId="2E778184" w14:textId="77777777" w:rsidR="003E2176" w:rsidRDefault="003E2176" w:rsidP="003E2176">
      <w:pPr>
        <w:spacing w:before="100" w:beforeAutospacing="1" w:after="100" w:afterAutospacing="1"/>
        <w:rPr>
          <w:b/>
          <w:bCs/>
          <w:sz w:val="27"/>
          <w:szCs w:val="27"/>
        </w:rPr>
      </w:pPr>
      <w:r>
        <w:rPr>
          <w:b/>
          <w:bCs/>
          <w:sz w:val="27"/>
          <w:szCs w:val="27"/>
        </w:rPr>
        <w:t>Data for improvement:</w:t>
      </w:r>
    </w:p>
    <w:p w14:paraId="39B07ECB" w14:textId="77777777" w:rsidR="003E2176" w:rsidRDefault="003E2176" w:rsidP="003E2176">
      <w:pPr>
        <w:numPr>
          <w:ilvl w:val="0"/>
          <w:numId w:val="10"/>
        </w:numPr>
        <w:spacing w:before="100" w:beforeAutospacing="1" w:after="100" w:afterAutospacing="1" w:line="240" w:lineRule="auto"/>
        <w:rPr>
          <w:rFonts w:eastAsia="Times New Roman"/>
          <w:sz w:val="24"/>
          <w:szCs w:val="24"/>
        </w:rPr>
      </w:pPr>
      <w:r>
        <w:rPr>
          <w:rFonts w:eastAsia="Times New Roman"/>
        </w:rPr>
        <w:t>Family functioning</w:t>
      </w:r>
    </w:p>
    <w:p w14:paraId="42FD036B" w14:textId="77777777" w:rsidR="003E2176" w:rsidRDefault="003E2176" w:rsidP="003E2176">
      <w:pPr>
        <w:numPr>
          <w:ilvl w:val="0"/>
          <w:numId w:val="10"/>
        </w:numPr>
        <w:spacing w:before="100" w:beforeAutospacing="1" w:after="100" w:afterAutospacing="1" w:line="240" w:lineRule="auto"/>
        <w:rPr>
          <w:rFonts w:eastAsia="Times New Roman"/>
        </w:rPr>
      </w:pPr>
      <w:r>
        <w:rPr>
          <w:rFonts w:eastAsia="Times New Roman"/>
        </w:rPr>
        <w:t>Safety</w:t>
      </w:r>
    </w:p>
    <w:p w14:paraId="7F78F942" w14:textId="77777777" w:rsidR="003E2176" w:rsidRDefault="003E2176" w:rsidP="003E2176">
      <w:pPr>
        <w:numPr>
          <w:ilvl w:val="0"/>
          <w:numId w:val="10"/>
        </w:numPr>
        <w:spacing w:before="100" w:beforeAutospacing="1" w:after="100" w:afterAutospacing="1" w:line="240" w:lineRule="auto"/>
        <w:rPr>
          <w:rFonts w:eastAsia="Times New Roman"/>
        </w:rPr>
      </w:pPr>
      <w:r>
        <w:rPr>
          <w:rFonts w:eastAsia="Times New Roman"/>
        </w:rPr>
        <w:t>Wellbeing and mental health</w:t>
      </w:r>
    </w:p>
    <w:p w14:paraId="5EFF4D90" w14:textId="77777777" w:rsidR="003E2176" w:rsidRDefault="003E2176" w:rsidP="003E2176">
      <w:pPr>
        <w:numPr>
          <w:ilvl w:val="0"/>
          <w:numId w:val="10"/>
        </w:numPr>
        <w:spacing w:before="100" w:beforeAutospacing="1" w:after="100" w:afterAutospacing="1" w:line="240" w:lineRule="auto"/>
        <w:rPr>
          <w:rFonts w:eastAsia="Times New Roman"/>
        </w:rPr>
      </w:pPr>
      <w:r>
        <w:rPr>
          <w:rFonts w:eastAsia="Times New Roman"/>
        </w:rPr>
        <w:t>Parenting capacity</w:t>
      </w:r>
    </w:p>
    <w:p w14:paraId="034F7F6F" w14:textId="77777777" w:rsidR="003E2176" w:rsidRDefault="003E2176" w:rsidP="003E2176">
      <w:pPr>
        <w:numPr>
          <w:ilvl w:val="0"/>
          <w:numId w:val="10"/>
        </w:numPr>
        <w:spacing w:before="100" w:beforeAutospacing="1" w:after="100" w:afterAutospacing="1" w:line="240" w:lineRule="auto"/>
        <w:rPr>
          <w:rFonts w:eastAsia="Times New Roman"/>
        </w:rPr>
      </w:pPr>
      <w:r>
        <w:rPr>
          <w:rFonts w:eastAsia="Times New Roman"/>
        </w:rPr>
        <w:t>Social connection</w:t>
      </w:r>
    </w:p>
    <w:p w14:paraId="1BD86AF1" w14:textId="77777777" w:rsidR="003E2176" w:rsidRDefault="003E2176" w:rsidP="003E2176">
      <w:pPr>
        <w:numPr>
          <w:ilvl w:val="0"/>
          <w:numId w:val="10"/>
        </w:numPr>
        <w:spacing w:before="100" w:beforeAutospacing="1" w:after="100" w:afterAutospacing="1" w:line="240" w:lineRule="auto"/>
        <w:rPr>
          <w:rFonts w:eastAsia="Times New Roman"/>
        </w:rPr>
      </w:pPr>
      <w:r>
        <w:rPr>
          <w:rFonts w:eastAsia="Times New Roman"/>
        </w:rPr>
        <w:t>Accessibility and participation trends</w:t>
      </w:r>
    </w:p>
    <w:p w14:paraId="588B5A12" w14:textId="77777777" w:rsidR="003E2176" w:rsidRDefault="003E2176" w:rsidP="003E2176">
      <w:pPr>
        <w:spacing w:before="100" w:beforeAutospacing="1" w:after="100" w:afterAutospacing="1"/>
        <w:rPr>
          <w:rFonts w:eastAsiaTheme="minorEastAsia"/>
          <w:b/>
          <w:bCs/>
          <w:sz w:val="27"/>
          <w:szCs w:val="27"/>
        </w:rPr>
      </w:pPr>
      <w:r>
        <w:rPr>
          <w:b/>
          <w:bCs/>
          <w:sz w:val="27"/>
          <w:szCs w:val="27"/>
        </w:rPr>
        <w:t>Data for demonstrating impact:</w:t>
      </w:r>
    </w:p>
    <w:p w14:paraId="750B500F" w14:textId="77777777" w:rsidR="003E2176" w:rsidRDefault="003E2176" w:rsidP="003E2176">
      <w:pPr>
        <w:numPr>
          <w:ilvl w:val="0"/>
          <w:numId w:val="11"/>
        </w:numPr>
        <w:spacing w:before="100" w:beforeAutospacing="1" w:after="100" w:afterAutospacing="1" w:line="240" w:lineRule="auto"/>
        <w:rPr>
          <w:rFonts w:eastAsia="Times New Roman"/>
          <w:sz w:val="24"/>
          <w:szCs w:val="24"/>
        </w:rPr>
      </w:pPr>
      <w:r>
        <w:rPr>
          <w:rFonts w:eastAsia="Times New Roman"/>
        </w:rPr>
        <w:t>Qualitative narrative and client voice</w:t>
      </w:r>
    </w:p>
    <w:p w14:paraId="4E0B4264" w14:textId="77777777" w:rsidR="003E2176" w:rsidRDefault="003E2176" w:rsidP="003E2176">
      <w:pPr>
        <w:numPr>
          <w:ilvl w:val="0"/>
          <w:numId w:val="11"/>
        </w:numPr>
        <w:spacing w:before="100" w:beforeAutospacing="1" w:after="100" w:afterAutospacing="1" w:line="240" w:lineRule="auto"/>
        <w:rPr>
          <w:rFonts w:eastAsia="Times New Roman"/>
        </w:rPr>
      </w:pPr>
      <w:r>
        <w:rPr>
          <w:rFonts w:eastAsia="Times New Roman"/>
        </w:rPr>
        <w:t>Changes in safety, stability, and resilience</w:t>
      </w:r>
    </w:p>
    <w:p w14:paraId="20FEC262" w14:textId="77777777" w:rsidR="003E2176" w:rsidRDefault="003E2176" w:rsidP="003E2176">
      <w:pPr>
        <w:numPr>
          <w:ilvl w:val="0"/>
          <w:numId w:val="11"/>
        </w:numPr>
        <w:spacing w:before="100" w:beforeAutospacing="1" w:after="100" w:afterAutospacing="1" w:line="240" w:lineRule="auto"/>
        <w:rPr>
          <w:rFonts w:eastAsia="Times New Roman"/>
        </w:rPr>
      </w:pPr>
      <w:r>
        <w:rPr>
          <w:rFonts w:eastAsia="Times New Roman"/>
        </w:rPr>
        <w:t>Trends over time</w:t>
      </w:r>
    </w:p>
    <w:p w14:paraId="6873EB16" w14:textId="77777777" w:rsidR="003E2176" w:rsidRDefault="003E2176" w:rsidP="003E2176">
      <w:pPr>
        <w:numPr>
          <w:ilvl w:val="0"/>
          <w:numId w:val="11"/>
        </w:numPr>
        <w:spacing w:before="100" w:beforeAutospacing="1" w:after="100" w:afterAutospacing="1" w:line="240" w:lineRule="auto"/>
        <w:rPr>
          <w:rFonts w:eastAsia="Times New Roman"/>
        </w:rPr>
      </w:pPr>
      <w:r>
        <w:rPr>
          <w:rFonts w:eastAsia="Times New Roman"/>
        </w:rPr>
        <w:t>Strength-based measures</w:t>
      </w:r>
    </w:p>
    <w:p w14:paraId="420EA1C1" w14:textId="77777777" w:rsidR="003E2176" w:rsidRDefault="003E2176" w:rsidP="003E2176">
      <w:pPr>
        <w:spacing w:before="100" w:beforeAutospacing="1" w:after="100" w:afterAutospacing="1"/>
        <w:rPr>
          <w:rFonts w:eastAsiaTheme="minorEastAsia"/>
        </w:rPr>
      </w:pPr>
      <w:r>
        <w:t>ac.care recommends:</w:t>
      </w:r>
    </w:p>
    <w:p w14:paraId="46603F22" w14:textId="77777777" w:rsidR="003E2176" w:rsidRDefault="003E2176" w:rsidP="003E2176">
      <w:pPr>
        <w:numPr>
          <w:ilvl w:val="0"/>
          <w:numId w:val="12"/>
        </w:numPr>
        <w:spacing w:before="100" w:beforeAutospacing="1" w:after="100" w:afterAutospacing="1" w:line="240" w:lineRule="auto"/>
        <w:rPr>
          <w:rFonts w:eastAsia="Times New Roman"/>
        </w:rPr>
      </w:pPr>
      <w:r>
        <w:rPr>
          <w:rFonts w:eastAsia="Times New Roman"/>
        </w:rPr>
        <w:t>Transparent data sharing to support system learning</w:t>
      </w:r>
    </w:p>
    <w:p w14:paraId="7562C2E8" w14:textId="77777777" w:rsidR="003E2176" w:rsidRDefault="003E2176" w:rsidP="003E2176">
      <w:pPr>
        <w:numPr>
          <w:ilvl w:val="0"/>
          <w:numId w:val="12"/>
        </w:numPr>
        <w:spacing w:before="100" w:beforeAutospacing="1" w:after="100" w:afterAutospacing="1" w:line="240" w:lineRule="auto"/>
        <w:rPr>
          <w:rFonts w:eastAsia="Times New Roman"/>
        </w:rPr>
      </w:pPr>
      <w:r>
        <w:rPr>
          <w:rFonts w:eastAsia="Times New Roman"/>
        </w:rPr>
        <w:t>Funding that includes staffing and resources necessary for reporting</w:t>
      </w:r>
    </w:p>
    <w:p w14:paraId="68DC2A07" w14:textId="77777777" w:rsidR="003E2176" w:rsidRDefault="003E2176" w:rsidP="003E2176">
      <w:pPr>
        <w:numPr>
          <w:ilvl w:val="0"/>
          <w:numId w:val="12"/>
        </w:numPr>
        <w:spacing w:before="100" w:beforeAutospacing="1" w:after="100" w:afterAutospacing="1" w:line="240" w:lineRule="auto"/>
        <w:rPr>
          <w:rFonts w:eastAsia="Times New Roman"/>
        </w:rPr>
      </w:pPr>
      <w:r>
        <w:rPr>
          <w:rFonts w:eastAsia="Times New Roman"/>
        </w:rPr>
        <w:t>Ethical guidelines for case studies to avoid deficit framing or tokenism</w:t>
      </w:r>
    </w:p>
    <w:p w14:paraId="3655FBD3" w14:textId="0BDA9936" w:rsidR="003E2176" w:rsidRPr="003E2176" w:rsidRDefault="003E2176" w:rsidP="003E2176">
      <w:pPr>
        <w:numPr>
          <w:ilvl w:val="0"/>
          <w:numId w:val="12"/>
        </w:numPr>
        <w:spacing w:before="100" w:beforeAutospacing="1" w:after="100" w:afterAutospacing="1" w:line="240" w:lineRule="auto"/>
        <w:rPr>
          <w:rFonts w:eastAsia="Times New Roman"/>
        </w:rPr>
      </w:pPr>
      <w:r>
        <w:rPr>
          <w:rFonts w:eastAsia="Times New Roman"/>
        </w:rPr>
        <w:t>Ongoing evaluation of the new model to ensure it is delivering the intended outcomes</w:t>
      </w:r>
    </w:p>
    <w:p w14:paraId="1BAAA073" w14:textId="77777777" w:rsidR="003E2176" w:rsidRDefault="003E2176" w:rsidP="003E2176">
      <w:pPr>
        <w:spacing w:before="100" w:beforeAutospacing="1" w:after="100" w:afterAutospacing="1"/>
        <w:rPr>
          <w:rFonts w:eastAsiaTheme="minorEastAsia"/>
          <w:b/>
          <w:bCs/>
          <w:sz w:val="36"/>
          <w:szCs w:val="36"/>
        </w:rPr>
      </w:pPr>
      <w:r>
        <w:rPr>
          <w:b/>
          <w:bCs/>
          <w:sz w:val="36"/>
          <w:szCs w:val="36"/>
        </w:rPr>
        <w:t>8. Working Together – Relational Contracting</w:t>
      </w:r>
    </w:p>
    <w:p w14:paraId="7BDA2A99" w14:textId="77777777" w:rsidR="003E2176" w:rsidRDefault="003E2176" w:rsidP="003E2176">
      <w:pPr>
        <w:spacing w:before="100" w:beforeAutospacing="1" w:after="100" w:afterAutospacing="1"/>
        <w:rPr>
          <w:sz w:val="24"/>
          <w:szCs w:val="24"/>
        </w:rPr>
      </w:pPr>
      <w:r>
        <w:t>ac.care strongly supports a relational contracting approach grounded in partnership, flexibility, and shared accountability.</w:t>
      </w:r>
    </w:p>
    <w:p w14:paraId="7BA13314" w14:textId="77777777" w:rsidR="003E2176" w:rsidRDefault="003E2176" w:rsidP="003E2176">
      <w:pPr>
        <w:spacing w:before="100" w:beforeAutospacing="1" w:after="100" w:afterAutospacing="1"/>
      </w:pPr>
      <w:r>
        <w:t>Key elements include:</w:t>
      </w:r>
    </w:p>
    <w:p w14:paraId="72317E13" w14:textId="77777777" w:rsidR="003E2176" w:rsidRDefault="003E2176" w:rsidP="003E2176">
      <w:pPr>
        <w:numPr>
          <w:ilvl w:val="0"/>
          <w:numId w:val="13"/>
        </w:numPr>
        <w:spacing w:before="100" w:beforeAutospacing="1" w:after="100" w:afterAutospacing="1" w:line="240" w:lineRule="auto"/>
        <w:rPr>
          <w:rFonts w:eastAsia="Times New Roman"/>
        </w:rPr>
      </w:pPr>
      <w:r>
        <w:rPr>
          <w:rFonts w:eastAsia="Times New Roman"/>
        </w:rPr>
        <w:t>Clear, consistent communication</w:t>
      </w:r>
    </w:p>
    <w:p w14:paraId="6FBE89D3" w14:textId="77777777" w:rsidR="003E2176" w:rsidRDefault="003E2176" w:rsidP="003E2176">
      <w:pPr>
        <w:numPr>
          <w:ilvl w:val="0"/>
          <w:numId w:val="13"/>
        </w:numPr>
        <w:spacing w:before="100" w:beforeAutospacing="1" w:after="100" w:afterAutospacing="1" w:line="240" w:lineRule="auto"/>
        <w:rPr>
          <w:rFonts w:eastAsia="Times New Roman"/>
        </w:rPr>
      </w:pPr>
      <w:r>
        <w:rPr>
          <w:rFonts w:eastAsia="Times New Roman"/>
        </w:rPr>
        <w:t>Trust-based relationships with DSS staff</w:t>
      </w:r>
    </w:p>
    <w:p w14:paraId="7BBA4548" w14:textId="77777777" w:rsidR="003E2176" w:rsidRDefault="003E2176" w:rsidP="003E2176">
      <w:pPr>
        <w:numPr>
          <w:ilvl w:val="0"/>
          <w:numId w:val="13"/>
        </w:numPr>
        <w:spacing w:before="100" w:beforeAutospacing="1" w:after="100" w:afterAutospacing="1" w:line="240" w:lineRule="auto"/>
        <w:rPr>
          <w:rFonts w:eastAsia="Times New Roman"/>
        </w:rPr>
      </w:pPr>
      <w:r>
        <w:rPr>
          <w:rFonts w:eastAsia="Times New Roman"/>
        </w:rPr>
        <w:t>Flexibility to innovate and adapt services</w:t>
      </w:r>
    </w:p>
    <w:p w14:paraId="3400CF12" w14:textId="77777777" w:rsidR="003E2176" w:rsidRDefault="003E2176" w:rsidP="003E2176">
      <w:pPr>
        <w:numPr>
          <w:ilvl w:val="0"/>
          <w:numId w:val="13"/>
        </w:numPr>
        <w:spacing w:before="100" w:beforeAutospacing="1" w:after="100" w:afterAutospacing="1" w:line="240" w:lineRule="auto"/>
        <w:rPr>
          <w:rFonts w:eastAsia="Times New Roman"/>
        </w:rPr>
      </w:pPr>
      <w:r>
        <w:rPr>
          <w:rFonts w:eastAsia="Times New Roman"/>
        </w:rPr>
        <w:lastRenderedPageBreak/>
        <w:t>Reasonable administrative expectations</w:t>
      </w:r>
    </w:p>
    <w:p w14:paraId="1E14BF61" w14:textId="77777777" w:rsidR="003E2176" w:rsidRDefault="003E2176" w:rsidP="003E2176">
      <w:pPr>
        <w:numPr>
          <w:ilvl w:val="0"/>
          <w:numId w:val="13"/>
        </w:numPr>
        <w:spacing w:before="100" w:beforeAutospacing="1" w:after="100" w:afterAutospacing="1" w:line="240" w:lineRule="auto"/>
        <w:rPr>
          <w:rFonts w:eastAsia="Times New Roman"/>
        </w:rPr>
      </w:pPr>
      <w:r>
        <w:rPr>
          <w:rFonts w:eastAsia="Times New Roman"/>
        </w:rPr>
        <w:t>Stability of departmental contacts</w:t>
      </w:r>
    </w:p>
    <w:p w14:paraId="1CFEBDEA" w14:textId="77777777" w:rsidR="003E2176" w:rsidRDefault="003E2176" w:rsidP="003E2176">
      <w:pPr>
        <w:numPr>
          <w:ilvl w:val="0"/>
          <w:numId w:val="13"/>
        </w:numPr>
        <w:spacing w:before="100" w:beforeAutospacing="1" w:after="100" w:afterAutospacing="1" w:line="240" w:lineRule="auto"/>
        <w:rPr>
          <w:rFonts w:eastAsia="Times New Roman"/>
        </w:rPr>
      </w:pPr>
      <w:r>
        <w:rPr>
          <w:rFonts w:eastAsia="Times New Roman"/>
        </w:rPr>
        <w:t>A culture of continuous improvement</w:t>
      </w:r>
    </w:p>
    <w:p w14:paraId="6B0BC07E" w14:textId="5FC1D11D" w:rsidR="003E2176" w:rsidRPr="003E2176" w:rsidRDefault="003E2176" w:rsidP="003E2176">
      <w:pPr>
        <w:spacing w:before="100" w:beforeAutospacing="1" w:after="100" w:afterAutospacing="1"/>
        <w:rPr>
          <w:rFonts w:eastAsiaTheme="minorEastAsia"/>
        </w:rPr>
      </w:pPr>
      <w:r>
        <w:t>Relational contracting is particularly important in regional areas where providers must respond quickly to emerging local issues, workforce shifts, or community crises.</w:t>
      </w:r>
    </w:p>
    <w:p w14:paraId="3CE493E4" w14:textId="77777777" w:rsidR="003E2176" w:rsidRDefault="003E2176" w:rsidP="003E2176">
      <w:pPr>
        <w:spacing w:before="100" w:beforeAutospacing="1" w:after="100" w:afterAutospacing="1"/>
        <w:rPr>
          <w:rFonts w:eastAsiaTheme="minorEastAsia"/>
          <w:b/>
          <w:bCs/>
          <w:sz w:val="36"/>
          <w:szCs w:val="36"/>
        </w:rPr>
      </w:pPr>
      <w:r>
        <w:rPr>
          <w:b/>
          <w:bCs/>
          <w:sz w:val="36"/>
          <w:szCs w:val="36"/>
        </w:rPr>
        <w:t>9. Additional Considerations for Regional Australia</w:t>
      </w:r>
    </w:p>
    <w:p w14:paraId="280A5DE2" w14:textId="77777777" w:rsidR="003E2176" w:rsidRDefault="003E2176" w:rsidP="003E2176">
      <w:pPr>
        <w:numPr>
          <w:ilvl w:val="0"/>
          <w:numId w:val="14"/>
        </w:numPr>
        <w:spacing w:before="100" w:beforeAutospacing="1" w:after="100" w:afterAutospacing="1" w:line="240" w:lineRule="auto"/>
        <w:rPr>
          <w:rFonts w:eastAsia="Times New Roman"/>
          <w:sz w:val="24"/>
          <w:szCs w:val="24"/>
        </w:rPr>
      </w:pPr>
      <w:r>
        <w:rPr>
          <w:rFonts w:eastAsia="Times New Roman"/>
        </w:rPr>
        <w:t>Transition periods must be carefully managed, particularly for services operating under the current FRC and FARS models.</w:t>
      </w:r>
    </w:p>
    <w:p w14:paraId="30C06897" w14:textId="77777777" w:rsidR="003E2176" w:rsidRDefault="003E2176" w:rsidP="003E2176">
      <w:pPr>
        <w:numPr>
          <w:ilvl w:val="0"/>
          <w:numId w:val="14"/>
        </w:numPr>
        <w:spacing w:before="100" w:beforeAutospacing="1" w:after="100" w:afterAutospacing="1" w:line="240" w:lineRule="auto"/>
        <w:rPr>
          <w:rFonts w:eastAsia="Times New Roman"/>
        </w:rPr>
      </w:pPr>
      <w:r>
        <w:rPr>
          <w:rFonts w:eastAsia="Times New Roman"/>
        </w:rPr>
        <w:t>A failed commissioning round has outsized impacts in regional Australia, where alternative providers may not exist.</w:t>
      </w:r>
    </w:p>
    <w:p w14:paraId="60793940" w14:textId="77777777" w:rsidR="003E2176" w:rsidRDefault="003E2176" w:rsidP="003E2176">
      <w:pPr>
        <w:numPr>
          <w:ilvl w:val="0"/>
          <w:numId w:val="14"/>
        </w:numPr>
        <w:spacing w:before="100" w:beforeAutospacing="1" w:after="100" w:afterAutospacing="1" w:line="240" w:lineRule="auto"/>
        <w:rPr>
          <w:rFonts w:eastAsia="Times New Roman"/>
        </w:rPr>
      </w:pPr>
      <w:r>
        <w:rPr>
          <w:rFonts w:eastAsia="Times New Roman"/>
        </w:rPr>
        <w:t>Providers need adequate time to prepare for the proposed 2026 procurement process.</w:t>
      </w:r>
    </w:p>
    <w:p w14:paraId="116D3669" w14:textId="3C1A0154" w:rsidR="003E2176" w:rsidRPr="003E2176" w:rsidRDefault="003E2176" w:rsidP="003E2176">
      <w:pPr>
        <w:numPr>
          <w:ilvl w:val="0"/>
          <w:numId w:val="14"/>
        </w:numPr>
        <w:spacing w:before="100" w:beforeAutospacing="1" w:after="100" w:afterAutospacing="1" w:line="240" w:lineRule="auto"/>
        <w:rPr>
          <w:rFonts w:eastAsia="Times New Roman"/>
        </w:rPr>
      </w:pPr>
      <w:r>
        <w:rPr>
          <w:rFonts w:eastAsia="Times New Roman"/>
        </w:rPr>
        <w:t>Workforce shortages are acute in regional areas — flexibility in role design and delivery models is essential.</w:t>
      </w:r>
    </w:p>
    <w:p w14:paraId="25CD1F88" w14:textId="77777777" w:rsidR="003E2176" w:rsidRDefault="003E2176" w:rsidP="003E2176">
      <w:pPr>
        <w:spacing w:before="100" w:beforeAutospacing="1" w:after="100" w:afterAutospacing="1"/>
        <w:rPr>
          <w:rFonts w:eastAsiaTheme="minorEastAsia"/>
          <w:b/>
          <w:bCs/>
          <w:sz w:val="36"/>
          <w:szCs w:val="36"/>
        </w:rPr>
      </w:pPr>
      <w:r>
        <w:rPr>
          <w:b/>
          <w:bCs/>
          <w:sz w:val="36"/>
          <w:szCs w:val="36"/>
        </w:rPr>
        <w:t>Conclusion</w:t>
      </w:r>
    </w:p>
    <w:p w14:paraId="493F5F86" w14:textId="77777777" w:rsidR="003E2176" w:rsidRDefault="003E2176" w:rsidP="003E2176">
      <w:pPr>
        <w:spacing w:before="100" w:beforeAutospacing="1" w:after="100" w:afterAutospacing="1"/>
        <w:rPr>
          <w:sz w:val="24"/>
          <w:szCs w:val="24"/>
        </w:rPr>
      </w:pPr>
      <w:r>
        <w:t>ac.care supports reforms that strengthen the family support system by promoting:</w:t>
      </w:r>
    </w:p>
    <w:p w14:paraId="1F407D96"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Flexibility and responsiveness</w:t>
      </w:r>
    </w:p>
    <w:p w14:paraId="081E982C"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Holistic, whole-of-family approaches</w:t>
      </w:r>
    </w:p>
    <w:p w14:paraId="18C077B3"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Seamless pathways between service types</w:t>
      </w:r>
    </w:p>
    <w:p w14:paraId="2ABCCBD8"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Culturally safe, trauma-informed practice</w:t>
      </w:r>
    </w:p>
    <w:p w14:paraId="27E4F1B1"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Strong community connection</w:t>
      </w:r>
    </w:p>
    <w:p w14:paraId="1518CD13"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Ethical, meaningful outcome measurement</w:t>
      </w:r>
    </w:p>
    <w:p w14:paraId="73800719"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Partnership and shared accountability</w:t>
      </w:r>
    </w:p>
    <w:p w14:paraId="119D48F0" w14:textId="77777777" w:rsidR="003E2176" w:rsidRDefault="003E2176" w:rsidP="003E2176">
      <w:pPr>
        <w:numPr>
          <w:ilvl w:val="0"/>
          <w:numId w:val="15"/>
        </w:numPr>
        <w:spacing w:before="100" w:beforeAutospacing="1" w:after="100" w:afterAutospacing="1" w:line="240" w:lineRule="auto"/>
        <w:rPr>
          <w:rFonts w:eastAsia="Times New Roman"/>
        </w:rPr>
      </w:pPr>
      <w:r>
        <w:rPr>
          <w:rFonts w:eastAsia="Times New Roman"/>
        </w:rPr>
        <w:t>Sustainability for regional service delivery</w:t>
      </w:r>
    </w:p>
    <w:p w14:paraId="73DEADD2" w14:textId="4531294D" w:rsidR="00FF08FA" w:rsidRPr="004D0492" w:rsidRDefault="003E2176" w:rsidP="004D0492">
      <w:pPr>
        <w:spacing w:before="100" w:beforeAutospacing="1" w:after="100" w:afterAutospacing="1"/>
        <w:rPr>
          <w:rFonts w:eastAsiaTheme="minorEastAsia"/>
        </w:rPr>
        <w:sectPr w:rsidR="00FF08FA" w:rsidRPr="004D0492" w:rsidSect="003E2176">
          <w:headerReference w:type="default" r:id="rId11"/>
          <w:footerReference w:type="default" r:id="rId12"/>
          <w:pgSz w:w="11906" w:h="16838" w:code="9"/>
          <w:pgMar w:top="1985" w:right="720" w:bottom="1134" w:left="720" w:header="709" w:footer="709" w:gutter="0"/>
          <w:cols w:space="708"/>
          <w:docGrid w:linePitch="360"/>
        </w:sectPr>
      </w:pPr>
      <w:r>
        <w:t>With careful design and implementation, these reforms offer significant potential to improve outcomes for children, young people, and families across regional Australi</w:t>
      </w:r>
      <w:r w:rsidR="004D0492">
        <w:t>a.</w:t>
      </w:r>
    </w:p>
    <w:p w14:paraId="2D086EB3" w14:textId="7029FC00" w:rsidR="004949E6" w:rsidRPr="00FC3FDB" w:rsidRDefault="004949E6" w:rsidP="004D0492">
      <w:pPr>
        <w:pStyle w:val="Heading1"/>
      </w:pPr>
    </w:p>
    <w:sectPr w:rsidR="004949E6" w:rsidRPr="00FC3FDB" w:rsidSect="00891B4B">
      <w:headerReference w:type="default" r:id="rId13"/>
      <w:pgSz w:w="11906" w:h="16838" w:code="9"/>
      <w:pgMar w:top="1985"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8794" w14:textId="77777777" w:rsidR="00704628" w:rsidRDefault="00704628" w:rsidP="00CF3714">
      <w:pPr>
        <w:spacing w:after="0" w:line="240" w:lineRule="auto"/>
      </w:pPr>
      <w:r>
        <w:separator/>
      </w:r>
    </w:p>
  </w:endnote>
  <w:endnote w:type="continuationSeparator" w:id="0">
    <w:p w14:paraId="7263B2D5" w14:textId="77777777" w:rsidR="00704628" w:rsidRDefault="00704628" w:rsidP="00CF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0156" w14:textId="77777777" w:rsidR="00CF3714" w:rsidRDefault="00CF3714">
    <w:pPr>
      <w:pStyle w:val="Footer"/>
      <w:rPr>
        <w:noProof/>
        <w:lang w:eastAsia="en-AU"/>
      </w:rPr>
    </w:pPr>
  </w:p>
  <w:p w14:paraId="524935E1" w14:textId="77777777" w:rsidR="00CF3714" w:rsidRDefault="00CF3714">
    <w:pPr>
      <w:pStyle w:val="Footer"/>
      <w:rPr>
        <w:noProof/>
        <w:lang w:eastAsia="en-AU"/>
      </w:rPr>
    </w:pPr>
  </w:p>
  <w:p w14:paraId="5DA4D978" w14:textId="77777777" w:rsidR="00CF3714" w:rsidRDefault="00CF3714">
    <w:pPr>
      <w:pStyle w:val="Footer"/>
      <w:rPr>
        <w:noProof/>
        <w:lang w:eastAsia="en-AU"/>
      </w:rPr>
    </w:pPr>
  </w:p>
  <w:p w14:paraId="1837BD8B" w14:textId="77777777" w:rsidR="00CF3714" w:rsidRDefault="00CF3714">
    <w:pPr>
      <w:pStyle w:val="Footer"/>
      <w:rPr>
        <w:noProof/>
        <w:lang w:eastAsia="en-AU"/>
      </w:rPr>
    </w:pPr>
    <w:r>
      <w:rPr>
        <w:noProof/>
        <w:lang w:eastAsia="en-AU"/>
      </w:rPr>
      <w:drawing>
        <wp:anchor distT="0" distB="0" distL="114300" distR="114300" simplePos="0" relativeHeight="251658240" behindDoc="0" locked="0" layoutInCell="1" allowOverlap="1" wp14:anchorId="52EFA369" wp14:editId="4E5CE6E8">
          <wp:simplePos x="0" y="0"/>
          <wp:positionH relativeFrom="page">
            <wp:posOffset>-19050</wp:posOffset>
          </wp:positionH>
          <wp:positionV relativeFrom="paragraph">
            <wp:posOffset>163470</wp:posOffset>
          </wp:positionV>
          <wp:extent cx="7571740" cy="550629"/>
          <wp:effectExtent l="0" t="0" r="0" b="1905"/>
          <wp:wrapNone/>
          <wp:docPr id="1946379595" name="Picture 194637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1740" cy="550629"/>
                  </a:xfrm>
                  <a:prstGeom prst="rect">
                    <a:avLst/>
                  </a:prstGeom>
                  <a:noFill/>
                </pic:spPr>
              </pic:pic>
            </a:graphicData>
          </a:graphic>
          <wp14:sizeRelH relativeFrom="margin">
            <wp14:pctWidth>0</wp14:pctWidth>
          </wp14:sizeRelH>
          <wp14:sizeRelV relativeFrom="margin">
            <wp14:pctHeight>0</wp14:pctHeight>
          </wp14:sizeRelV>
        </wp:anchor>
      </w:drawing>
    </w:r>
  </w:p>
  <w:p w14:paraId="2D6F3505" w14:textId="77777777" w:rsidR="00CF3714" w:rsidRDefault="00CF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F00A" w14:textId="77777777" w:rsidR="00704628" w:rsidRDefault="00704628" w:rsidP="00CF3714">
      <w:pPr>
        <w:spacing w:after="0" w:line="240" w:lineRule="auto"/>
      </w:pPr>
      <w:r>
        <w:separator/>
      </w:r>
    </w:p>
  </w:footnote>
  <w:footnote w:type="continuationSeparator" w:id="0">
    <w:p w14:paraId="7E78D5A7" w14:textId="77777777" w:rsidR="00704628" w:rsidRDefault="00704628" w:rsidP="00CF3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CBB5" w14:textId="2E3F93C0" w:rsidR="004240B7" w:rsidRDefault="004240B7">
    <w:pPr>
      <w:pStyle w:val="Header"/>
    </w:pPr>
    <w:r>
      <w:rPr>
        <w:noProof/>
      </w:rPr>
      <w:drawing>
        <wp:anchor distT="0" distB="0" distL="114300" distR="114300" simplePos="0" relativeHeight="251659264" behindDoc="1" locked="0" layoutInCell="1" allowOverlap="1" wp14:anchorId="077EA044" wp14:editId="12AAF66C">
          <wp:simplePos x="0" y="0"/>
          <wp:positionH relativeFrom="margin">
            <wp:align>center</wp:align>
          </wp:positionH>
          <wp:positionV relativeFrom="paragraph">
            <wp:posOffset>-251898</wp:posOffset>
          </wp:positionV>
          <wp:extent cx="2889885" cy="804545"/>
          <wp:effectExtent l="0" t="0" r="5715" b="0"/>
          <wp:wrapTight wrapText="bothSides">
            <wp:wrapPolygon edited="0">
              <wp:start x="18368" y="511"/>
              <wp:lineTo x="1566" y="1534"/>
              <wp:lineTo x="427" y="4092"/>
              <wp:lineTo x="427" y="15855"/>
              <wp:lineTo x="1424" y="17901"/>
              <wp:lineTo x="18083" y="19946"/>
              <wp:lineTo x="19934" y="19946"/>
              <wp:lineTo x="20788" y="17901"/>
              <wp:lineTo x="21500" y="14320"/>
              <wp:lineTo x="21500" y="4092"/>
              <wp:lineTo x="20076" y="511"/>
              <wp:lineTo x="18368" y="511"/>
            </wp:wrapPolygon>
          </wp:wrapTight>
          <wp:docPr id="207518427" name="Picture 20751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8045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9C3A" w14:textId="4EB7DC26" w:rsidR="00E15BCC" w:rsidRDefault="00E15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4C4"/>
    <w:multiLevelType w:val="multilevel"/>
    <w:tmpl w:val="69381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13EB2"/>
    <w:multiLevelType w:val="hybridMultilevel"/>
    <w:tmpl w:val="494652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D628CA"/>
    <w:multiLevelType w:val="multilevel"/>
    <w:tmpl w:val="0D6A0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26EE6"/>
    <w:multiLevelType w:val="multilevel"/>
    <w:tmpl w:val="57B4E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F7ADC"/>
    <w:multiLevelType w:val="multilevel"/>
    <w:tmpl w:val="40542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228D5"/>
    <w:multiLevelType w:val="multilevel"/>
    <w:tmpl w:val="415CD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768AD"/>
    <w:multiLevelType w:val="multilevel"/>
    <w:tmpl w:val="17CA0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04EE0"/>
    <w:multiLevelType w:val="multilevel"/>
    <w:tmpl w:val="4D32E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1272E"/>
    <w:multiLevelType w:val="multilevel"/>
    <w:tmpl w:val="9174A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6039F"/>
    <w:multiLevelType w:val="multilevel"/>
    <w:tmpl w:val="2622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A472C"/>
    <w:multiLevelType w:val="multilevel"/>
    <w:tmpl w:val="2A50B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474AF"/>
    <w:multiLevelType w:val="multilevel"/>
    <w:tmpl w:val="3E76A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34418"/>
    <w:multiLevelType w:val="multilevel"/>
    <w:tmpl w:val="42645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6189"/>
    <w:multiLevelType w:val="multilevel"/>
    <w:tmpl w:val="0CA0D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570DD"/>
    <w:multiLevelType w:val="multilevel"/>
    <w:tmpl w:val="20BAC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1408258">
    <w:abstractNumId w:val="1"/>
  </w:num>
  <w:num w:numId="2" w16cid:durableId="3213921">
    <w:abstractNumId w:val="9"/>
  </w:num>
  <w:num w:numId="3" w16cid:durableId="1217428081">
    <w:abstractNumId w:val="8"/>
  </w:num>
  <w:num w:numId="4" w16cid:durableId="1135761616">
    <w:abstractNumId w:val="4"/>
  </w:num>
  <w:num w:numId="5" w16cid:durableId="485829280">
    <w:abstractNumId w:val="13"/>
  </w:num>
  <w:num w:numId="6" w16cid:durableId="1205368710">
    <w:abstractNumId w:val="0"/>
  </w:num>
  <w:num w:numId="7" w16cid:durableId="1458140861">
    <w:abstractNumId w:val="12"/>
  </w:num>
  <w:num w:numId="8" w16cid:durableId="1634872780">
    <w:abstractNumId w:val="6"/>
  </w:num>
  <w:num w:numId="9" w16cid:durableId="1737583773">
    <w:abstractNumId w:val="7"/>
  </w:num>
  <w:num w:numId="10" w16cid:durableId="626818184">
    <w:abstractNumId w:val="5"/>
  </w:num>
  <w:num w:numId="11" w16cid:durableId="131289732">
    <w:abstractNumId w:val="10"/>
  </w:num>
  <w:num w:numId="12" w16cid:durableId="409161811">
    <w:abstractNumId w:val="11"/>
  </w:num>
  <w:num w:numId="13" w16cid:durableId="1245067218">
    <w:abstractNumId w:val="3"/>
  </w:num>
  <w:num w:numId="14" w16cid:durableId="1958101105">
    <w:abstractNumId w:val="2"/>
  </w:num>
  <w:num w:numId="15" w16cid:durableId="569385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14"/>
    <w:rsid w:val="00011ED7"/>
    <w:rsid w:val="00034854"/>
    <w:rsid w:val="00045C73"/>
    <w:rsid w:val="00136E09"/>
    <w:rsid w:val="00251DBE"/>
    <w:rsid w:val="00274FB1"/>
    <w:rsid w:val="00295BEE"/>
    <w:rsid w:val="002B6273"/>
    <w:rsid w:val="00343E40"/>
    <w:rsid w:val="003D335C"/>
    <w:rsid w:val="003D4922"/>
    <w:rsid w:val="003E2176"/>
    <w:rsid w:val="004240B7"/>
    <w:rsid w:val="004365FD"/>
    <w:rsid w:val="004949E6"/>
    <w:rsid w:val="004D0492"/>
    <w:rsid w:val="00511538"/>
    <w:rsid w:val="0070122F"/>
    <w:rsid w:val="00704628"/>
    <w:rsid w:val="007B63A8"/>
    <w:rsid w:val="007E7C23"/>
    <w:rsid w:val="00863119"/>
    <w:rsid w:val="00891B4B"/>
    <w:rsid w:val="00967161"/>
    <w:rsid w:val="009A723D"/>
    <w:rsid w:val="009C7C29"/>
    <w:rsid w:val="009D429A"/>
    <w:rsid w:val="00AC120A"/>
    <w:rsid w:val="00AC2D2D"/>
    <w:rsid w:val="00AC39A1"/>
    <w:rsid w:val="00AC4C8F"/>
    <w:rsid w:val="00C10559"/>
    <w:rsid w:val="00CA5E99"/>
    <w:rsid w:val="00CF3714"/>
    <w:rsid w:val="00E06876"/>
    <w:rsid w:val="00E15BCC"/>
    <w:rsid w:val="00E502CA"/>
    <w:rsid w:val="00E7231D"/>
    <w:rsid w:val="00EC1B11"/>
    <w:rsid w:val="00FA03D4"/>
    <w:rsid w:val="00FC3FDB"/>
    <w:rsid w:val="00FF08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6A8E7"/>
  <w15:chartTrackingRefBased/>
  <w15:docId w15:val="{3D98F18D-5B1A-4D04-BA6C-55C6DE04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9E6"/>
  </w:style>
  <w:style w:type="paragraph" w:styleId="Heading1">
    <w:name w:val="heading 1"/>
    <w:basedOn w:val="Normal"/>
    <w:next w:val="Normal"/>
    <w:link w:val="Heading1Char"/>
    <w:uiPriority w:val="9"/>
    <w:qFormat/>
    <w:rsid w:val="004949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9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0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714"/>
  </w:style>
  <w:style w:type="paragraph" w:styleId="Footer">
    <w:name w:val="footer"/>
    <w:basedOn w:val="Normal"/>
    <w:link w:val="FooterChar"/>
    <w:uiPriority w:val="99"/>
    <w:unhideWhenUsed/>
    <w:rsid w:val="00CF3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714"/>
  </w:style>
  <w:style w:type="character" w:customStyle="1" w:styleId="Heading1Char">
    <w:name w:val="Heading 1 Char"/>
    <w:basedOn w:val="DefaultParagraphFont"/>
    <w:link w:val="Heading1"/>
    <w:uiPriority w:val="9"/>
    <w:rsid w:val="004949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949E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949E6"/>
    <w:pPr>
      <w:outlineLvl w:val="9"/>
    </w:pPr>
    <w:rPr>
      <w:lang w:val="en-US"/>
    </w:rPr>
  </w:style>
  <w:style w:type="paragraph" w:styleId="TOC1">
    <w:name w:val="toc 1"/>
    <w:basedOn w:val="Normal"/>
    <w:next w:val="Normal"/>
    <w:autoRedefine/>
    <w:uiPriority w:val="39"/>
    <w:unhideWhenUsed/>
    <w:rsid w:val="004949E6"/>
    <w:pPr>
      <w:spacing w:after="100"/>
    </w:pPr>
  </w:style>
  <w:style w:type="paragraph" w:styleId="TOC2">
    <w:name w:val="toc 2"/>
    <w:basedOn w:val="Normal"/>
    <w:next w:val="Normal"/>
    <w:autoRedefine/>
    <w:uiPriority w:val="39"/>
    <w:unhideWhenUsed/>
    <w:rsid w:val="004949E6"/>
    <w:pPr>
      <w:spacing w:after="100"/>
      <w:ind w:left="220"/>
    </w:pPr>
  </w:style>
  <w:style w:type="character" w:styleId="Hyperlink">
    <w:name w:val="Hyperlink"/>
    <w:basedOn w:val="DefaultParagraphFont"/>
    <w:uiPriority w:val="99"/>
    <w:unhideWhenUsed/>
    <w:rsid w:val="004949E6"/>
    <w:rPr>
      <w:color w:val="0563C1" w:themeColor="hyperlink"/>
      <w:u w:val="single"/>
    </w:rPr>
  </w:style>
  <w:style w:type="character" w:customStyle="1" w:styleId="Heading3Char">
    <w:name w:val="Heading 3 Char"/>
    <w:basedOn w:val="DefaultParagraphFont"/>
    <w:link w:val="Heading3"/>
    <w:uiPriority w:val="9"/>
    <w:semiHidden/>
    <w:rsid w:val="00FF08F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F08FA"/>
    <w:pPr>
      <w:spacing w:after="200" w:line="276" w:lineRule="auto"/>
      <w:ind w:left="720"/>
      <w:contextualSpacing/>
    </w:pPr>
    <w:rPr>
      <w:rFonts w:ascii="Arial" w:hAnsi="Arial"/>
    </w:rPr>
  </w:style>
  <w:style w:type="table" w:styleId="TableGrid">
    <w:name w:val="Table Grid"/>
    <w:basedOn w:val="TableNormal"/>
    <w:uiPriority w:val="59"/>
    <w:rsid w:val="00FF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03D4"/>
    <w:pPr>
      <w:spacing w:after="0" w:line="240" w:lineRule="auto"/>
    </w:pPr>
  </w:style>
  <w:style w:type="character" w:styleId="CommentReference">
    <w:name w:val="annotation reference"/>
    <w:basedOn w:val="DefaultParagraphFont"/>
    <w:uiPriority w:val="99"/>
    <w:semiHidden/>
    <w:unhideWhenUsed/>
    <w:rsid w:val="002B6273"/>
    <w:rPr>
      <w:sz w:val="16"/>
      <w:szCs w:val="16"/>
    </w:rPr>
  </w:style>
  <w:style w:type="paragraph" w:styleId="CommentText">
    <w:name w:val="annotation text"/>
    <w:basedOn w:val="Normal"/>
    <w:link w:val="CommentTextChar"/>
    <w:uiPriority w:val="99"/>
    <w:unhideWhenUsed/>
    <w:rsid w:val="002B6273"/>
    <w:pPr>
      <w:spacing w:line="240" w:lineRule="auto"/>
    </w:pPr>
    <w:rPr>
      <w:sz w:val="20"/>
      <w:szCs w:val="20"/>
    </w:rPr>
  </w:style>
  <w:style w:type="character" w:customStyle="1" w:styleId="CommentTextChar">
    <w:name w:val="Comment Text Char"/>
    <w:basedOn w:val="DefaultParagraphFont"/>
    <w:link w:val="CommentText"/>
    <w:uiPriority w:val="99"/>
    <w:rsid w:val="002B6273"/>
    <w:rPr>
      <w:sz w:val="20"/>
      <w:szCs w:val="20"/>
    </w:rPr>
  </w:style>
  <w:style w:type="paragraph" w:styleId="CommentSubject">
    <w:name w:val="annotation subject"/>
    <w:basedOn w:val="CommentText"/>
    <w:next w:val="CommentText"/>
    <w:link w:val="CommentSubjectChar"/>
    <w:uiPriority w:val="99"/>
    <w:semiHidden/>
    <w:unhideWhenUsed/>
    <w:rsid w:val="002B6273"/>
    <w:rPr>
      <w:b/>
      <w:bCs/>
    </w:rPr>
  </w:style>
  <w:style w:type="character" w:customStyle="1" w:styleId="CommentSubjectChar">
    <w:name w:val="Comment Subject Char"/>
    <w:basedOn w:val="CommentTextChar"/>
    <w:link w:val="CommentSubject"/>
    <w:uiPriority w:val="99"/>
    <w:semiHidden/>
    <w:rsid w:val="002B62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9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617CD2A05EB418ACB2B849026C946" ma:contentTypeVersion="14" ma:contentTypeDescription="Create a new document." ma:contentTypeScope="" ma:versionID="959e5474712cfa85af6e5083c1da3c49">
  <xsd:schema xmlns:xsd="http://www.w3.org/2001/XMLSchema" xmlns:xs="http://www.w3.org/2001/XMLSchema" xmlns:p="http://schemas.microsoft.com/office/2006/metadata/properties" xmlns:ns3="98a42327-9db3-4b14-a2d3-84444e1faa55" xmlns:ns4="9e358586-bbf8-415b-bb26-74688680714a" targetNamespace="http://schemas.microsoft.com/office/2006/metadata/properties" ma:root="true" ma:fieldsID="f3b9ccc0b58955ca9b8ae963ad7229ac" ns3:_="" ns4:_="">
    <xsd:import namespace="98a42327-9db3-4b14-a2d3-84444e1faa55"/>
    <xsd:import namespace="9e358586-bbf8-415b-bb26-7468868071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42327-9db3-4b14-a2d3-84444e1fa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58586-bbf8-415b-bb26-7468868071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8a42327-9db3-4b14-a2d3-84444e1faa55" xsi:nil="true"/>
  </documentManagement>
</p:properties>
</file>

<file path=customXml/itemProps1.xml><?xml version="1.0" encoding="utf-8"?>
<ds:datastoreItem xmlns:ds="http://schemas.openxmlformats.org/officeDocument/2006/customXml" ds:itemID="{8B4CD8D2-7D77-4A4A-9778-16BEB01F7B06}">
  <ds:schemaRefs>
    <ds:schemaRef ds:uri="http://schemas.microsoft.com/sharepoint/v3/contenttype/forms"/>
  </ds:schemaRefs>
</ds:datastoreItem>
</file>

<file path=customXml/itemProps2.xml><?xml version="1.0" encoding="utf-8"?>
<ds:datastoreItem xmlns:ds="http://schemas.openxmlformats.org/officeDocument/2006/customXml" ds:itemID="{8B0D9F4C-9152-4CE4-B118-65C49EE00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42327-9db3-4b14-a2d3-84444e1faa55"/>
    <ds:schemaRef ds:uri="9e358586-bbf8-415b-bb26-746886807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2D550-A450-4628-BDF9-9408B11A4C0E}">
  <ds:schemaRefs>
    <ds:schemaRef ds:uri="http://schemas.openxmlformats.org/officeDocument/2006/bibliography"/>
  </ds:schemaRefs>
</ds:datastoreItem>
</file>

<file path=customXml/itemProps4.xml><?xml version="1.0" encoding="utf-8"?>
<ds:datastoreItem xmlns:ds="http://schemas.openxmlformats.org/officeDocument/2006/customXml" ds:itemID="{A5747D3B-FFCB-47FD-8DEC-BA751B1DA93E}">
  <ds:schemaRefs>
    <ds:schemaRef ds:uri="http://schemas.microsoft.com/office/2006/metadata/properties"/>
    <ds:schemaRef ds:uri="http://schemas.microsoft.com/office/infopath/2007/PartnerControls"/>
    <ds:schemaRef ds:uri="98a42327-9db3-4b14-a2d3-84444e1faa5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ac.care</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Wallace</dc:creator>
  <cp:keywords/>
  <dc:description/>
  <cp:lastModifiedBy>WEBB, Laura</cp:lastModifiedBy>
  <cp:revision>3</cp:revision>
  <dcterms:created xsi:type="dcterms:W3CDTF">2025-12-04T04:48:00Z</dcterms:created>
  <dcterms:modified xsi:type="dcterms:W3CDTF">2025-12-04T04:50:00Z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0x010100B55617CD2A05EB418ACB2B849026C946</vt:lpwstr>
  </property>
</Properties>
</file>