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0E12" w14:textId="77777777" w:rsidR="00790367" w:rsidRDefault="00AF5001">
      <w:pPr>
        <w:spacing w:after="0" w:line="259" w:lineRule="auto"/>
        <w:ind w:left="0"/>
        <w:jc w:val="left"/>
      </w:pPr>
      <w:r>
        <w:rPr>
          <w:sz w:val="48"/>
        </w:rPr>
        <w:t>Aboriginal</w:t>
      </w:r>
    </w:p>
    <w:p w14:paraId="1839B63D" w14:textId="77777777" w:rsidR="00790367" w:rsidRDefault="00AF5001">
      <w:pPr>
        <w:spacing w:after="0" w:line="259" w:lineRule="auto"/>
        <w:jc w:val="left"/>
      </w:pPr>
      <w:r>
        <w:rPr>
          <w:sz w:val="52"/>
        </w:rPr>
        <w:t>Legal</w:t>
      </w:r>
    </w:p>
    <w:p w14:paraId="7910F2A3" w14:textId="77777777" w:rsidR="00790367" w:rsidRDefault="00AF5001">
      <w:pPr>
        <w:spacing w:after="0" w:line="259" w:lineRule="auto"/>
        <w:jc w:val="left"/>
      </w:pPr>
      <w:r>
        <w:rPr>
          <w:sz w:val="50"/>
        </w:rPr>
        <w:t>Rights</w:t>
      </w:r>
    </w:p>
    <w:p w14:paraId="1A394510" w14:textId="77777777" w:rsidR="00790367" w:rsidRDefault="00AF5001">
      <w:pPr>
        <w:spacing w:after="536" w:line="259" w:lineRule="auto"/>
        <w:jc w:val="left"/>
      </w:pPr>
      <w:r>
        <w:rPr>
          <w:sz w:val="44"/>
        </w:rPr>
        <w:t>Movement</w:t>
      </w:r>
    </w:p>
    <w:p w14:paraId="221B3561" w14:textId="77777777" w:rsidR="00790367" w:rsidRDefault="00AF5001">
      <w:pPr>
        <w:spacing w:after="60" w:line="259" w:lineRule="auto"/>
        <w:ind w:left="15" w:hanging="10"/>
        <w:jc w:val="left"/>
      </w:pPr>
      <w:r>
        <w:rPr>
          <w:sz w:val="22"/>
        </w:rPr>
        <w:t>ABN 32 942 723 464</w:t>
      </w:r>
    </w:p>
    <w:p w14:paraId="08DB976B" w14:textId="77777777" w:rsidR="00790367" w:rsidRDefault="00AF5001">
      <w:pPr>
        <w:spacing w:after="0" w:line="259" w:lineRule="auto"/>
        <w:ind w:left="5" w:hanging="10"/>
        <w:jc w:val="left"/>
      </w:pPr>
      <w:r>
        <w:rPr>
          <w:sz w:val="20"/>
        </w:rPr>
        <w:t>ADELAIDE</w:t>
      </w:r>
    </w:p>
    <w:p w14:paraId="6B4C9ACB" w14:textId="77777777" w:rsidR="00790367" w:rsidRDefault="00AF5001">
      <w:pPr>
        <w:spacing w:after="0" w:line="259" w:lineRule="auto"/>
        <w:ind w:left="0"/>
        <w:jc w:val="left"/>
      </w:pPr>
      <w:r>
        <w:rPr>
          <w:sz w:val="16"/>
        </w:rPr>
        <w:t>321-325 King %lliam Street</w:t>
      </w:r>
    </w:p>
    <w:p w14:paraId="74DB3D0D" w14:textId="77777777" w:rsidR="00790367" w:rsidRDefault="00AF5001">
      <w:pPr>
        <w:spacing w:after="3" w:line="259" w:lineRule="auto"/>
        <w:ind w:left="5"/>
      </w:pPr>
      <w:r>
        <w:rPr>
          <w:sz w:val="18"/>
        </w:rPr>
        <w:t>Adelaide SA 5000</w:t>
      </w:r>
    </w:p>
    <w:p w14:paraId="19C21DBA" w14:textId="77777777" w:rsidR="00790367" w:rsidRDefault="00AF5001">
      <w:pPr>
        <w:spacing w:after="3" w:line="259" w:lineRule="auto"/>
        <w:ind w:left="5"/>
      </w:pPr>
      <w:r>
        <w:rPr>
          <w:sz w:val="18"/>
        </w:rPr>
        <w:t>Ph (08) 8113 3777</w:t>
      </w:r>
    </w:p>
    <w:p w14:paraId="46FB21BE" w14:textId="77777777" w:rsidR="00790367" w:rsidRDefault="00AF5001">
      <w:pPr>
        <w:spacing w:after="0" w:line="259" w:lineRule="auto"/>
        <w:ind w:left="5" w:hanging="10"/>
        <w:jc w:val="left"/>
      </w:pPr>
      <w:r>
        <w:rPr>
          <w:sz w:val="20"/>
        </w:rPr>
        <w:t>Fax</w:t>
      </w:r>
    </w:p>
    <w:p w14:paraId="2B4A4034" w14:textId="77777777" w:rsidR="00790367" w:rsidRDefault="00AF5001">
      <w:pPr>
        <w:spacing w:after="3" w:line="259" w:lineRule="auto"/>
        <w:ind w:left="5"/>
      </w:pPr>
      <w:r>
        <w:rPr>
          <w:sz w:val="18"/>
        </w:rPr>
        <w:t>(08) 8211 7618 (Admin/Civil)</w:t>
      </w:r>
    </w:p>
    <w:p w14:paraId="5A8DDDFC" w14:textId="77777777" w:rsidR="00790367" w:rsidRDefault="00AF5001">
      <w:pPr>
        <w:spacing w:after="152" w:line="259" w:lineRule="auto"/>
        <w:ind w:left="5"/>
      </w:pPr>
      <w:r>
        <w:rPr>
          <w:sz w:val="18"/>
        </w:rPr>
        <w:t>(08) 8211 8824 (Criminal)</w:t>
      </w:r>
    </w:p>
    <w:p w14:paraId="0F89F73F" w14:textId="77777777" w:rsidR="00790367" w:rsidRDefault="00AF5001">
      <w:pPr>
        <w:spacing w:after="0" w:line="259" w:lineRule="auto"/>
        <w:ind w:left="15" w:hanging="10"/>
        <w:jc w:val="left"/>
      </w:pPr>
      <w:r>
        <w:rPr>
          <w:sz w:val="22"/>
        </w:rPr>
        <w:t>FREE CALL (In SA only)</w:t>
      </w:r>
    </w:p>
    <w:p w14:paraId="3ADEF88A" w14:textId="77777777" w:rsidR="00790367" w:rsidRDefault="00AF5001">
      <w:pPr>
        <w:spacing w:after="289" w:line="259" w:lineRule="auto"/>
        <w:ind w:left="10"/>
        <w:jc w:val="left"/>
      </w:pPr>
      <w:r>
        <w:rPr>
          <w:rFonts w:ascii="Times New Roman" w:eastAsia="Times New Roman" w:hAnsi="Times New Roman" w:cs="Times New Roman"/>
        </w:rPr>
        <w:t>1800 643 222</w:t>
      </w:r>
    </w:p>
    <w:p w14:paraId="16F19902" w14:textId="77777777" w:rsidR="00790367" w:rsidRDefault="00AF5001">
      <w:pPr>
        <w:spacing w:after="4" w:line="256" w:lineRule="auto"/>
        <w:ind w:left="-2" w:hanging="3"/>
        <w:jc w:val="left"/>
      </w:pPr>
      <w:r>
        <w:rPr>
          <w:rFonts w:ascii="Times New Roman" w:eastAsia="Times New Roman" w:hAnsi="Times New Roman" w:cs="Times New Roman"/>
          <w:sz w:val="16"/>
        </w:rPr>
        <w:t>CEDUNA</w:t>
      </w:r>
    </w:p>
    <w:p w14:paraId="4D879128" w14:textId="77777777" w:rsidR="00790367" w:rsidRDefault="00AF5001">
      <w:pPr>
        <w:spacing w:after="3" w:line="259" w:lineRule="auto"/>
        <w:ind w:left="5"/>
      </w:pPr>
      <w:r>
        <w:rPr>
          <w:sz w:val="18"/>
        </w:rPr>
        <w:t>Shop 8/35 Poynton Street</w:t>
      </w:r>
    </w:p>
    <w:p w14:paraId="64D8848B" w14:textId="77777777" w:rsidR="00790367" w:rsidRDefault="00AF5001">
      <w:pPr>
        <w:spacing w:after="3" w:line="259" w:lineRule="auto"/>
        <w:ind w:left="5"/>
      </w:pPr>
      <w:r>
        <w:rPr>
          <w:sz w:val="18"/>
        </w:rPr>
        <w:t>Ceduna SA 5690</w:t>
      </w:r>
    </w:p>
    <w:p w14:paraId="6161C09B" w14:textId="77777777" w:rsidR="00790367" w:rsidRDefault="00AF5001">
      <w:pPr>
        <w:spacing w:after="111" w:line="259" w:lineRule="auto"/>
        <w:ind w:left="5"/>
      </w:pPr>
      <w:r>
        <w:rPr>
          <w:sz w:val="18"/>
        </w:rPr>
        <w:t>Ph (08) 8113 3799</w:t>
      </w:r>
    </w:p>
    <w:p w14:paraId="7E26DAAA" w14:textId="77777777" w:rsidR="00790367" w:rsidRDefault="00AF5001">
      <w:pPr>
        <w:spacing w:after="4" w:line="256" w:lineRule="auto"/>
        <w:ind w:left="-2" w:hanging="3"/>
        <w:jc w:val="left"/>
      </w:pPr>
      <w:r>
        <w:rPr>
          <w:rFonts w:ascii="Times New Roman" w:eastAsia="Times New Roman" w:hAnsi="Times New Roman" w:cs="Times New Roman"/>
          <w:sz w:val="16"/>
        </w:rPr>
        <w:t>PORT AUGUSTA</w:t>
      </w:r>
    </w:p>
    <w:p w14:paraId="339F9C3A" w14:textId="77777777" w:rsidR="00790367" w:rsidRDefault="00AF5001">
      <w:pPr>
        <w:spacing w:after="3" w:line="259" w:lineRule="auto"/>
        <w:ind w:left="5"/>
      </w:pPr>
      <w:r>
        <w:rPr>
          <w:sz w:val="18"/>
        </w:rPr>
        <w:t>12 Church Street</w:t>
      </w:r>
    </w:p>
    <w:p w14:paraId="0D392947" w14:textId="77777777" w:rsidR="00790367" w:rsidRDefault="00AF5001">
      <w:pPr>
        <w:spacing w:after="3" w:line="259" w:lineRule="auto"/>
        <w:ind w:left="5"/>
      </w:pPr>
      <w:r>
        <w:rPr>
          <w:sz w:val="18"/>
        </w:rPr>
        <w:t>PO Box 1771</w:t>
      </w:r>
    </w:p>
    <w:p w14:paraId="64F131DA" w14:textId="77777777" w:rsidR="00790367" w:rsidRDefault="00AF5001">
      <w:pPr>
        <w:spacing w:after="3" w:line="259" w:lineRule="auto"/>
        <w:ind w:left="5" w:right="500"/>
      </w:pPr>
      <w:r>
        <w:rPr>
          <w:sz w:val="18"/>
        </w:rPr>
        <w:t>Port Augusta SA 5700 Ph (08) 8113 3788 Fax (08) 86424650</w:t>
      </w:r>
    </w:p>
    <w:p w14:paraId="7FEEA583" w14:textId="3007E0A6" w:rsidR="00790367" w:rsidRDefault="00790367">
      <w:pPr>
        <w:spacing w:after="491"/>
        <w:ind w:left="14" w:right="62"/>
        <w:rPr>
          <w:sz w:val="26"/>
        </w:rPr>
      </w:pPr>
    </w:p>
    <w:p w14:paraId="358D8AA9" w14:textId="77777777" w:rsidR="00AF5001" w:rsidRDefault="00AF5001">
      <w:pPr>
        <w:spacing w:after="491"/>
        <w:ind w:left="14" w:right="62"/>
      </w:pPr>
    </w:p>
    <w:p w14:paraId="015085C2" w14:textId="77777777" w:rsidR="00790367" w:rsidRDefault="00AF5001">
      <w:pPr>
        <w:spacing w:after="212" w:line="259" w:lineRule="auto"/>
        <w:jc w:val="center"/>
      </w:pPr>
      <w:r>
        <w:rPr>
          <w:sz w:val="26"/>
        </w:rPr>
        <w:t>Submission to the New Approach to Programs for Families and Children</w:t>
      </w:r>
    </w:p>
    <w:p w14:paraId="09281E00" w14:textId="77777777" w:rsidR="00790367" w:rsidRDefault="00AF5001">
      <w:pPr>
        <w:pStyle w:val="Heading1"/>
        <w:spacing w:after="206"/>
        <w:ind w:left="33"/>
      </w:pPr>
      <w:r>
        <w:t>About the Aboriginal Legal Rights Movement</w:t>
      </w:r>
    </w:p>
    <w:p w14:paraId="63139428" w14:textId="77777777" w:rsidR="00790367" w:rsidRDefault="00AF5001">
      <w:pPr>
        <w:spacing w:after="242"/>
        <w:ind w:left="14" w:right="62"/>
      </w:pPr>
      <w:r>
        <w:t>Aboriginal Legal Rights Movement (ALRM) is an independent Aboriginal communitycontrolled organisation governed by our all-Aboriginal Board. ALRM is also a law practice for the purposes of the Legal Practitioners Act of South Australia, and this Submission is very much informed by the work of our various law practices and programs.</w:t>
      </w:r>
    </w:p>
    <w:p w14:paraId="0127A3AE" w14:textId="77777777" w:rsidR="00790367" w:rsidRDefault="00AF5001">
      <w:pPr>
        <w:pStyle w:val="Heading1"/>
        <w:spacing w:after="217"/>
        <w:ind w:left="33"/>
      </w:pPr>
      <w:r>
        <w:t>ALRM Submission</w:t>
      </w:r>
    </w:p>
    <w:p w14:paraId="68BEFD9C" w14:textId="77777777" w:rsidR="00790367" w:rsidRDefault="00AF5001">
      <w:pPr>
        <w:spacing w:after="287" w:line="222" w:lineRule="auto"/>
        <w:ind w:left="23" w:right="1"/>
        <w:jc w:val="left"/>
      </w:pPr>
      <w:r>
        <w:t>ALRM refers to the Consultation on the Discussion Paper: A New Approach to Programs for Families and Children ('the Discussion Paper') and makes this submission from our knowledge of representing Aboriginal and Torres Strait Islander families and children.</w:t>
      </w:r>
    </w:p>
    <w:p w14:paraId="02143ABE" w14:textId="77777777" w:rsidR="00790367" w:rsidRDefault="00AF5001">
      <w:pPr>
        <w:spacing w:after="250" w:line="222" w:lineRule="auto"/>
        <w:ind w:left="23" w:right="1"/>
        <w:jc w:val="left"/>
      </w:pPr>
      <w:r>
        <w:t>ALRM recognises the importance of the new approach in reducing fragmentation, simplifying processes, and ensuring families and children can access timely, culturally safe, and evidence informed supports. This is particularly important to those families experiencing disadvantage, in doing so, ALRM emphasises the importance of aligning these reforms with commitments under the National Agreement on Closing the Gap, as referenced in the Discussion Paper.</w:t>
      </w:r>
    </w:p>
    <w:p w14:paraId="5D1E4DA2" w14:textId="77777777" w:rsidR="00790367" w:rsidRDefault="00AF5001">
      <w:pPr>
        <w:pStyle w:val="Heading1"/>
        <w:ind w:left="33"/>
      </w:pPr>
      <w:r>
        <w:t>Program structure</w:t>
      </w:r>
    </w:p>
    <w:p w14:paraId="6E952C0C" w14:textId="77777777" w:rsidR="00790367" w:rsidRDefault="00AF5001">
      <w:pPr>
        <w:ind w:left="14"/>
      </w:pPr>
      <w:r>
        <w:t xml:space="preserve">ALRM acknowledges the intent of the reform to streamline programs for families and children. However, ALRM holds significant concerns that amalgamating existing programs may dilute the specialist expertise and critical focus each currently provides. This is particularly the case in areas requiring intensive early intervention, such </w:t>
      </w:r>
      <w:proofErr w:type="gramStart"/>
      <w:r>
        <w:t>as;</w:t>
      </w:r>
      <w:proofErr w:type="gramEnd"/>
      <w:r>
        <w:t xml:space="preserve"> family domestic violence, social and emotional wellbeing services, end culturally safe responses for Aboriginal families.</w:t>
      </w:r>
    </w:p>
    <w:p w14:paraId="6BC7C44A" w14:textId="77777777" w:rsidR="00790367" w:rsidRDefault="00AF5001">
      <w:pPr>
        <w:ind w:left="14"/>
      </w:pPr>
      <w:r>
        <w:t>ALRM urges caution in relation to the proposed consolidation. Aboriginal issues risk being subsumed into a broader conglomerate unless reforms are led by and adequately support Aboriginal Community Controlled Organisations (ACCOs). ALRM therefore recommends that reforms safeguard the distinct objectives of existing programs focused on Aboriginal needs and supports and ensure that Aboriginal specific expertise is retained through ACCO leadership.</w:t>
      </w:r>
    </w:p>
    <w:p w14:paraId="69C23581" w14:textId="77777777" w:rsidR="00790367" w:rsidRDefault="00790367">
      <w:pPr>
        <w:sectPr w:rsidR="00790367">
          <w:headerReference w:type="even" r:id="rId7"/>
          <w:headerReference w:type="default" r:id="rId8"/>
          <w:headerReference w:type="first" r:id="rId9"/>
          <w:pgSz w:w="11902" w:h="16834"/>
          <w:pgMar w:top="1440" w:right="570" w:bottom="1440" w:left="560" w:header="720" w:footer="720" w:gutter="0"/>
          <w:cols w:num="2" w:space="720" w:equalWidth="0">
            <w:col w:w="2030" w:space="330"/>
            <w:col w:w="8411"/>
          </w:cols>
          <w:titlePg/>
        </w:sectPr>
      </w:pPr>
    </w:p>
    <w:p w14:paraId="5A8B81FC" w14:textId="77777777" w:rsidR="00790367" w:rsidRDefault="00AF5001">
      <w:pPr>
        <w:pStyle w:val="Heading1"/>
        <w:ind w:left="33"/>
      </w:pPr>
      <w:r>
        <w:t>Vision, Outcomes and Priority Investment</w:t>
      </w:r>
    </w:p>
    <w:p w14:paraId="35067E82" w14:textId="77777777" w:rsidR="00790367" w:rsidRDefault="00AF5001">
      <w:pPr>
        <w:ind w:left="14" w:right="62"/>
      </w:pPr>
      <w:r>
        <w:t>Building on these concerns, ALRM agrees that the four priorities outlined are the correct areas for investment to improve outcomes for children and families. Each priority reflects a critical dimension of support that, if implemented effectively, will strengthen families end communities and contribute to long-term wellbeing.</w:t>
      </w:r>
    </w:p>
    <w:p w14:paraId="55301286" w14:textId="77777777" w:rsidR="00790367" w:rsidRDefault="00AF5001">
      <w:pPr>
        <w:spacing w:after="99"/>
        <w:ind w:left="14" w:right="62"/>
      </w:pPr>
      <w:r>
        <w:t>Improving Family Wellbeing</w:t>
      </w:r>
    </w:p>
    <w:p w14:paraId="30437B98" w14:textId="77777777" w:rsidR="00790367" w:rsidRDefault="00AF5001">
      <w:pPr>
        <w:spacing w:after="288"/>
        <w:ind w:left="14" w:right="62"/>
      </w:pPr>
      <w:r>
        <w:t xml:space="preserve">Improving femily wellbeing must remain central. Eerly intervention in the first five yeers of a child's tife is critical, as experiences during this period shape lifelong health and resilience. Investment in culturally safe, family focused supports that strengthen </w:t>
      </w:r>
      <w:r>
        <w:lastRenderedPageBreak/>
        <w:t xml:space="preserve">protective factors and reduces the risks of the involvement of the Department for Child protection is essential. The drivers of incarceration such as tow socioeconomic stetus, poor education participation, unemployment, unstable housing, end poor sociel connection, can be mitigated when Aboriginal and Torres Strait Islander families are supported through holistic, wraparound approaches thet prioritise social and emotional wellbeing. </w:t>
      </w:r>
      <w:r>
        <w:rPr>
          <w:vertAlign w:val="superscript"/>
        </w:rPr>
        <w:t xml:space="preserve">I </w:t>
      </w:r>
      <w:r>
        <w:t>AL RM considers the best way to do this is through ensuring it is ACCOS t</w:t>
      </w:r>
      <w:r>
        <w:t>het provide these services to Aboriginel children and their femilies.</w:t>
      </w:r>
    </w:p>
    <w:p w14:paraId="27E932B0" w14:textId="77777777" w:rsidR="00790367" w:rsidRDefault="00AF5001">
      <w:pPr>
        <w:spacing w:after="94"/>
        <w:ind w:left="14" w:right="62"/>
      </w:pPr>
      <w:r>
        <w:t>Measuring Outcomes</w:t>
      </w:r>
    </w:p>
    <w:p w14:paraId="384A53D1" w14:textId="77777777" w:rsidR="00790367" w:rsidRDefault="00AF5001">
      <w:pPr>
        <w:ind w:left="14" w:right="163"/>
      </w:pPr>
      <w:r>
        <w:t xml:space="preserve">western evidence-based models risk overshadowing Aboriginal cultural fremeworks and healing practices. Current reporting systems such es DEX do not capture cultural outcomes, strengths, or Aboriginal definitions of success. Without cultural indicators, Aboriginal </w:t>
      </w:r>
      <w:proofErr w:type="gramStart"/>
      <w:r>
        <w:t>families</w:t>
      </w:r>
      <w:proofErr w:type="gramEnd"/>
      <w:r>
        <w:t xml:space="preserve"> risk being rendered invisible in outcome measures.</w:t>
      </w:r>
    </w:p>
    <w:p w14:paraId="167E5684" w14:textId="77777777" w:rsidR="00790367" w:rsidRDefault="00AF5001">
      <w:pPr>
        <w:ind w:left="14" w:right="62"/>
      </w:pPr>
      <w:r>
        <w:t>ALRM recommends that reforms embed Aboriginal cultural indicators and definitions of success to ensure outcomes are measured in ways that reflect Aboriginal realities.</w:t>
      </w:r>
    </w:p>
    <w:p w14:paraId="07C9B46A" w14:textId="77777777" w:rsidR="00790367" w:rsidRDefault="00AF5001">
      <w:pPr>
        <w:spacing w:after="287" w:line="222" w:lineRule="auto"/>
        <w:ind w:left="23" w:right="1"/>
        <w:jc w:val="left"/>
      </w:pPr>
      <w:r>
        <w:t xml:space="preserve">We would support SNAICC as the peak to provide the culturel indicators and definition of success, it may be of use of e tool such as the blurred boarders programs </w:t>
      </w:r>
      <w:r>
        <w:rPr>
          <w:vertAlign w:val="superscript"/>
        </w:rPr>
        <w:t xml:space="preserve">2 </w:t>
      </w:r>
      <w:r>
        <w:t>will assist in seel&lt;ing community input on measurements of outcomes.</w:t>
      </w:r>
    </w:p>
    <w:p w14:paraId="601AEB4C" w14:textId="77777777" w:rsidR="00790367" w:rsidRDefault="00AF5001">
      <w:pPr>
        <w:pStyle w:val="Heading1"/>
        <w:ind w:left="106"/>
      </w:pPr>
      <w:r>
        <w:t>Connected, Co-located, and Integrated Services</w:t>
      </w:r>
    </w:p>
    <w:p w14:paraId="03C1A392" w14:textId="77777777" w:rsidR="00790367" w:rsidRDefault="00AF5001">
      <w:pPr>
        <w:spacing w:after="287" w:line="222" w:lineRule="auto"/>
        <w:ind w:left="23" w:right="1"/>
        <w:jc w:val="left"/>
      </w:pPr>
      <w:r>
        <w:t>Connected, collocated and integrated services are also vital. Families struggle when services are fragmented and disconnected. Bringing services together in integrated models makes support easier to access and delivers better outcomes. For Aboriginal and Torres Streit Islander families, integration must include culturally safe pathweys end be led and managed by ACCOs to ensure services are responsive end trusted. ALRM strongly supports the prioritisation of ACCOS as key partners to ensure culturally safe se</w:t>
      </w:r>
      <w:r>
        <w:t>rvice pathways.</w:t>
      </w:r>
    </w:p>
    <w:p w14:paraId="36ACCD2A" w14:textId="77777777" w:rsidR="00790367" w:rsidRDefault="00AF5001">
      <w:pPr>
        <w:pStyle w:val="Heading1"/>
        <w:ind w:left="33"/>
      </w:pPr>
      <w:r>
        <w:t>Responding to Community Need</w:t>
      </w:r>
    </w:p>
    <w:p w14:paraId="1E4795C8" w14:textId="77777777" w:rsidR="00790367" w:rsidRDefault="00AF5001">
      <w:pPr>
        <w:ind w:left="14" w:right="62"/>
      </w:pPr>
      <w:r>
        <w:t>Services informed by and responding to community need are necessary to address the diverse realities of disadvantage across regions. ALRM supports approaches thet involve; local governance, lived experience, workforce capacity building, ensuring services are flexible, place based, and reflective of community priorities.</w:t>
      </w:r>
    </w:p>
    <w:p w14:paraId="3B49E51C" w14:textId="77777777" w:rsidR="00790367" w:rsidRDefault="00AF5001">
      <w:pPr>
        <w:spacing w:after="127"/>
        <w:ind w:left="14" w:right="62"/>
      </w:pPr>
      <w:r>
        <w:t>Working Together</w:t>
      </w:r>
    </w:p>
    <w:p w14:paraId="1CE739A4" w14:textId="77777777" w:rsidR="00790367" w:rsidRDefault="00AF5001">
      <w:pPr>
        <w:ind w:left="14" w:right="62"/>
      </w:pPr>
      <w:r>
        <w:t>Relationet contracting has potential to improve government ACCO partnerships, but only if structural biases are addressed. Without safeguards, relational contracts may disproportionately benefit lerge nongovernment organisations at the expense of ACCOs. ALRM recommends that relational contracting frameworks include safeguards to ensure ACCOs ere the primary beneficiaries of partnership arrangements where Aboriginal children and families are involved.</w:t>
      </w:r>
    </w:p>
    <w:p w14:paraId="6D9B1394" w14:textId="77777777" w:rsidR="00790367" w:rsidRDefault="00AF5001">
      <w:pPr>
        <w:pStyle w:val="Heading1"/>
        <w:ind w:left="33"/>
      </w:pPr>
      <w:r>
        <w:t>Improving Outcomes for Aboriginal and Torres Strait Islander Children and Families</w:t>
      </w:r>
    </w:p>
    <w:p w14:paraId="714B0E26" w14:textId="77777777" w:rsidR="00790367" w:rsidRDefault="00AF5001">
      <w:pPr>
        <w:spacing w:after="287"/>
        <w:ind w:left="14" w:right="62"/>
      </w:pPr>
      <w:r>
        <w:t xml:space="preserve">Improving outcomes for Aboriginal and Torres Strait Islander children and families must be a priority. ALRM supports ACCO led service delivery in line with Priority Reform 2 of the National Agreement on Closing the Gap. This focuses on building the ACCO sector. Applying the Closing the Gep Grants Prioritisation Guide, as proposed, is critical to </w:t>
      </w:r>
      <w:r>
        <w:lastRenderedPageBreak/>
        <w:t>ensure funding flows to ACCOs. ACCOS provide; comprehensive, wraparound services including primary health, social and emotional wellbeing, housing, outreach, and supports for children end families. This all-inclusive, wrap around approach has been proven to work tar Aboriginal people and their families.</w:t>
      </w:r>
    </w:p>
    <w:p w14:paraId="676AAB88" w14:textId="77777777" w:rsidR="00790367" w:rsidRDefault="00AF5001">
      <w:pPr>
        <w:ind w:left="14" w:right="202"/>
      </w:pPr>
      <w:r>
        <w:t>ACCO led codesign must also be mandatory in all commissioning stages. Without Aboriginal Leadership in design, governance, and delivery, reforms risk replicating past failures where services were imposed rather than shaped by community priorities. ALRM recommends that ACCO led codesign be embedded es a mendetory requirement in all commissioning processes.</w:t>
      </w:r>
    </w:p>
    <w:p w14:paraId="0243779F" w14:textId="77777777" w:rsidR="00790367" w:rsidRDefault="00AF5001">
      <w:pPr>
        <w:ind w:left="14" w:right="62"/>
      </w:pPr>
      <w:r>
        <w:t xml:space="preserve">The best wey for organisations to demonstrate in their grant applications that their service is genuinely meeting the needs of the community is by showing clear evidence of community engagement, eccountebility, and alignment with local priorities. ACCOs are </w:t>
      </w:r>
      <w:proofErr w:type="gramStart"/>
      <w:r>
        <w:t>by definition set</w:t>
      </w:r>
      <w:proofErr w:type="gramEnd"/>
      <w:r>
        <w:t xml:space="preserve"> up by Aboriginal communities for Aboriginal communities. ACCOS ere uniquely positioned to show this alignment because they are governed by, and accountable to, their communities. They also deliver services that are culturally safe, holistic, end responsive to local needs. For non-ACCOs, evidence of community consultation, codesign processes, end governance structures that reflect Aboriginal voices should be central to grant applications. ALRM recommends thet grant assessment processes expl</w:t>
      </w:r>
      <w:r>
        <w:t xml:space="preserve">icitly require non-ACCOs to demonstrate alignment with Closing the Gap priority reforms, ensuring funding decisions strengthen self-determinetion and community led service delivery. The key is providing support witn </w:t>
      </w:r>
      <w:proofErr w:type="gramStart"/>
      <w:r>
        <w:t>Aborigine( families</w:t>
      </w:r>
      <w:proofErr w:type="gramEnd"/>
      <w:r>
        <w:t xml:space="preserve"> and not to them.</w:t>
      </w:r>
    </w:p>
    <w:p w14:paraId="7150C1DC" w14:textId="77777777" w:rsidR="00790367" w:rsidRDefault="00AF5001">
      <w:pPr>
        <w:pStyle w:val="Heading1"/>
        <w:ind w:left="33"/>
      </w:pPr>
      <w:r>
        <w:t>Partnerships</w:t>
      </w:r>
    </w:p>
    <w:p w14:paraId="422A107B" w14:textId="77777777" w:rsidR="00790367" w:rsidRDefault="00AF5001">
      <w:pPr>
        <w:ind w:left="14" w:right="806"/>
      </w:pPr>
      <w:r>
        <w:t>Where Aboriginal services partner with non aboriginal services, it is critical that pertnerships are guided by established best practice principles to ensure genuine collaboration end community benefit.</w:t>
      </w:r>
    </w:p>
    <w:p w14:paraId="62C71D51" w14:textId="77777777" w:rsidR="00790367" w:rsidRDefault="00AF5001">
      <w:pPr>
        <w:spacing w:after="287" w:line="222" w:lineRule="auto"/>
        <w:ind w:left="23" w:right="1"/>
        <w:jc w:val="left"/>
      </w:pPr>
      <w:r>
        <w:t xml:space="preserve">ALRM notes the eight interrelated Partnership Principles identified by Secretariate of National </w:t>
      </w:r>
      <w:proofErr w:type="gramStart"/>
      <w:r>
        <w:t>Aborigine[</w:t>
      </w:r>
      <w:proofErr w:type="gramEnd"/>
      <w:r>
        <w:t xml:space="preserve"> and </w:t>
      </w:r>
      <w:proofErr w:type="gramStart"/>
      <w:r>
        <w:t>Is[</w:t>
      </w:r>
      <w:proofErr w:type="gramEnd"/>
      <w:r>
        <w:t xml:space="preserve">ender Children Care (SNAICC) as the building blocks of successful partnerships between Aboriginal and Torres Strait Islander orgenisations and non-Indigenous service providers. </w:t>
      </w:r>
      <w:r>
        <w:rPr>
          <w:vertAlign w:val="superscript"/>
        </w:rPr>
        <w:t xml:space="preserve">3 </w:t>
      </w:r>
      <w:r>
        <w:t xml:space="preserve">These principles emphasise long term sustainable reletionships based on; trust, respect for Aboriginal and Torres Strait Islander cultures and history, commitment to salt-determination, a shared aim to improve long term wellbeing for children and families, shared responsibility and accountability, valuing process </w:t>
      </w:r>
      <w:r>
        <w:t>elements such as joint planning and review, redressing unequal or discriminatory structures and outcomes, and worl&lt;ing differently with Aboriginel and Torres Strait [slender families to ensure cultural sefety and competence. Embedding these principles into partnership errangements ensures that; Aboriginal organisations retain leadership, cultural knowledge is respected, end services are delivered in weys that genuinely meet the needs of Aboriginal and Torres Strait Islander communities.</w:t>
      </w:r>
    </w:p>
    <w:p w14:paraId="0BBC9614" w14:textId="77777777" w:rsidR="00790367" w:rsidRDefault="00AF5001">
      <w:pPr>
        <w:ind w:left="14" w:right="281"/>
      </w:pPr>
      <w:r>
        <w:t>Al-RM recommends that any funding applications or service delivery models involving partnerships between Aboriginal and non-Aboriginal organisati ons should demonstrate alignment with SNAICC's Partnership Principles to ensure accountabi lity, cultural safety, and community-led outcomes.</w:t>
      </w:r>
    </w:p>
    <w:p w14:paraId="5CD63516" w14:textId="77777777" w:rsidR="00790367" w:rsidRDefault="00AF5001">
      <w:pPr>
        <w:ind w:left="14" w:right="62"/>
      </w:pPr>
      <w:r>
        <w:t>Self-Determination</w:t>
      </w:r>
    </w:p>
    <w:p w14:paraId="20BF7332" w14:textId="77777777" w:rsidR="00790367" w:rsidRDefault="00AF5001">
      <w:pPr>
        <w:spacing w:after="0"/>
        <w:ind w:left="14" w:right="271"/>
      </w:pPr>
      <w:r>
        <w:lastRenderedPageBreak/>
        <w:t xml:space="preserve">Self-determination must also remain at the forefront of all reforms to ensure that Abori gine and Torres Strait Islander communities can make decisions about matters that affect their lives. Essential to the exercise of self-determination is choice, participation, and control. It is the right of peoples to freely determine their political status and economic, social, and cultural development. The outcomes of self-determining </w:t>
      </w:r>
      <w:r>
        <w:rPr>
          <w:noProof/>
        </w:rPr>
        <w:drawing>
          <wp:inline distT="0" distB="0" distL="0" distR="0" wp14:anchorId="6AD2871A" wp14:editId="2995E99B">
            <wp:extent cx="6352" cy="6348"/>
            <wp:effectExtent l="0" t="0" r="0" b="0"/>
            <wp:docPr id="13043" name="Picture 13043"/>
            <wp:cNvGraphicFramePr/>
            <a:graphic xmlns:a="http://schemas.openxmlformats.org/drawingml/2006/main">
              <a:graphicData uri="http://schemas.openxmlformats.org/drawingml/2006/picture">
                <pic:pic xmlns:pic="http://schemas.openxmlformats.org/drawingml/2006/picture">
                  <pic:nvPicPr>
                    <pic:cNvPr id="13043" name="Picture 13043"/>
                    <pic:cNvPicPr/>
                  </pic:nvPicPr>
                  <pic:blipFill>
                    <a:blip r:embed="rId10"/>
                    <a:stretch>
                      <a:fillRect/>
                    </a:stretch>
                  </pic:blipFill>
                  <pic:spPr>
                    <a:xfrm>
                      <a:off x="0" y="0"/>
                      <a:ext cx="6352" cy="6348"/>
                    </a:xfrm>
                    <a:prstGeom prst="rect">
                      <a:avLst/>
                    </a:prstGeom>
                  </pic:spPr>
                </pic:pic>
              </a:graphicData>
            </a:graphic>
          </wp:inline>
        </w:drawing>
      </w:r>
      <w:r>
        <w:t>processes must correspond to the free and voluntary choice of the people concerned. The right to self-determination is enshrined in international law under Article I of the</w:t>
      </w:r>
    </w:p>
    <w:p w14:paraId="6BB315B6" w14:textId="77777777" w:rsidR="00790367" w:rsidRDefault="00AF5001">
      <w:pPr>
        <w:spacing w:after="300"/>
        <w:ind w:left="14" w:right="261"/>
      </w:pPr>
      <w:r>
        <w:t>International Covenant on Civil and Political Rights as well as the International Covenant on Economic, Social and Cultural Rights.</w:t>
      </w:r>
      <w:r>
        <w:rPr>
          <w:vertAlign w:val="superscript"/>
        </w:rPr>
        <w:t xml:space="preserve">3 </w:t>
      </w:r>
      <w:r>
        <w:t>White many traditional human rights are concerned with individual members of a society, self-determination is a collective right exercised by peoples.</w:t>
      </w:r>
      <w:r>
        <w:rPr>
          <w:vertAlign w:val="superscript"/>
        </w:rPr>
        <w:t xml:space="preserve">4 </w:t>
      </w:r>
      <w:r>
        <w:t>Articles 3 and 4 of the United Nations Declaration on the Rights of Indigenous Peoples (UNDRIP) confirm that Indigenous peoples have the right to self-determination under international law.</w:t>
      </w:r>
    </w:p>
    <w:p w14:paraId="5054CB12" w14:textId="77777777" w:rsidR="00790367" w:rsidRDefault="00AF5001">
      <w:pPr>
        <w:spacing w:after="229" w:line="222" w:lineRule="auto"/>
        <w:ind w:left="23" w:right="1"/>
        <w:jc w:val="left"/>
      </w:pPr>
      <w:r>
        <w:t xml:space="preserve">ALRM recommends that all reforms to programs for families and children must explicitly embed self-determination, ensuring Aboriginal and Torres Strait Islander peoples are </w:t>
      </w:r>
      <w:r>
        <w:rPr>
          <w:noProof/>
        </w:rPr>
        <w:drawing>
          <wp:inline distT="0" distB="0" distL="0" distR="0" wp14:anchorId="772FAE34" wp14:editId="7B3B0B5B">
            <wp:extent cx="6352" cy="6348"/>
            <wp:effectExtent l="0" t="0" r="0" b="0"/>
            <wp:docPr id="13044" name="Picture 13044"/>
            <wp:cNvGraphicFramePr/>
            <a:graphic xmlns:a="http://schemas.openxmlformats.org/drawingml/2006/main">
              <a:graphicData uri="http://schemas.openxmlformats.org/drawingml/2006/picture">
                <pic:pic xmlns:pic="http://schemas.openxmlformats.org/drawingml/2006/picture">
                  <pic:nvPicPr>
                    <pic:cNvPr id="13044" name="Picture 13044"/>
                    <pic:cNvPicPr/>
                  </pic:nvPicPr>
                  <pic:blipFill>
                    <a:blip r:embed="rId11"/>
                    <a:stretch>
                      <a:fillRect/>
                    </a:stretch>
                  </pic:blipFill>
                  <pic:spPr>
                    <a:xfrm>
                      <a:off x="0" y="0"/>
                      <a:ext cx="6352" cy="6348"/>
                    </a:xfrm>
                    <a:prstGeom prst="rect">
                      <a:avLst/>
                    </a:prstGeom>
                  </pic:spPr>
                </pic:pic>
              </a:graphicData>
            </a:graphic>
          </wp:inline>
        </w:drawing>
      </w:r>
      <w:r>
        <w:t>central decision-makers in the design, governance, and delivery of services.</w:t>
      </w:r>
    </w:p>
    <w:p w14:paraId="5FFF575D" w14:textId="77777777" w:rsidR="00790367" w:rsidRDefault="00AF5001">
      <w:pPr>
        <w:pStyle w:val="Heading1"/>
        <w:ind w:left="33"/>
      </w:pPr>
      <w:r>
        <w:t>Other</w:t>
      </w:r>
    </w:p>
    <w:p w14:paraId="61C78537" w14:textId="77777777" w:rsidR="00790367" w:rsidRDefault="00AF5001">
      <w:pPr>
        <w:ind w:left="14" w:right="231"/>
      </w:pPr>
      <w:r>
        <w:t>In addition, Al-RM highlights the importance Of adopting an epidemiological approach to underpin the proposed reforms. Such an approach involves monitoring patterns in the population to understand the size and type Of service demand and identifying emerging trends in relation to child abuse and neglect. It also requires capturing a broad range of social-ecological risk and protective factors for high-risk populations and ensuring ongoing evaluation of the effectiveness of prevention and intervention strateg</w:t>
      </w:r>
      <w:r>
        <w:t xml:space="preserve">i es. Embedding this approach will ensure reforms ara evidence based, responsive to emerging </w:t>
      </w:r>
      <w:r>
        <w:rPr>
          <w:noProof/>
        </w:rPr>
        <w:drawing>
          <wp:inline distT="0" distB="0" distL="0" distR="0" wp14:anchorId="232F95AD" wp14:editId="738DCBCF">
            <wp:extent cx="6351" cy="6348"/>
            <wp:effectExtent l="0" t="0" r="0" b="0"/>
            <wp:docPr id="13045" name="Picture 13045"/>
            <wp:cNvGraphicFramePr/>
            <a:graphic xmlns:a="http://schemas.openxmlformats.org/drawingml/2006/main">
              <a:graphicData uri="http://schemas.openxmlformats.org/drawingml/2006/picture">
                <pic:pic xmlns:pic="http://schemas.openxmlformats.org/drawingml/2006/picture">
                  <pic:nvPicPr>
                    <pic:cNvPr id="13045" name="Picture 13045"/>
                    <pic:cNvPicPr/>
                  </pic:nvPicPr>
                  <pic:blipFill>
                    <a:blip r:embed="rId12"/>
                    <a:stretch>
                      <a:fillRect/>
                    </a:stretch>
                  </pic:blipFill>
                  <pic:spPr>
                    <a:xfrm>
                      <a:off x="0" y="0"/>
                      <a:ext cx="6351" cy="6348"/>
                    </a:xfrm>
                    <a:prstGeom prst="rect">
                      <a:avLst/>
                    </a:prstGeom>
                  </pic:spPr>
                </pic:pic>
              </a:graphicData>
            </a:graphic>
          </wp:inline>
        </w:drawing>
      </w:r>
      <w:r>
        <w:t>needs, and capable Of adapting to changi ng social conditions.</w:t>
      </w:r>
    </w:p>
    <w:p w14:paraId="65B29CEF" w14:textId="217AC4F6" w:rsidR="00790367" w:rsidRDefault="00AF5001" w:rsidP="00AF5001">
      <w:pPr>
        <w:ind w:left="14" w:right="62"/>
      </w:pPr>
      <w:r>
        <w:t>We take this opportunity to thank you for your consideration of ALRM's submission.</w:t>
      </w:r>
    </w:p>
    <w:p w14:paraId="103B7AEF" w14:textId="22E4EB23" w:rsidR="00790367" w:rsidRDefault="00790367">
      <w:pPr>
        <w:spacing w:after="0" w:line="259" w:lineRule="auto"/>
        <w:ind w:left="-126"/>
        <w:jc w:val="left"/>
      </w:pPr>
    </w:p>
    <w:p w14:paraId="54E7CAD6" w14:textId="77777777" w:rsidR="00790367" w:rsidRDefault="00AF5001">
      <w:pPr>
        <w:spacing w:after="19" w:line="224" w:lineRule="auto"/>
        <w:ind w:left="127" w:right="242" w:firstLine="4"/>
      </w:pPr>
      <w:r>
        <w:rPr>
          <w:noProof/>
        </w:rPr>
        <w:drawing>
          <wp:inline distT="0" distB="0" distL="0" distR="0" wp14:anchorId="09801A28" wp14:editId="12781DB7">
            <wp:extent cx="22860" cy="41148"/>
            <wp:effectExtent l="0" t="0" r="0" b="0"/>
            <wp:docPr id="14117" name="Picture 14117"/>
            <wp:cNvGraphicFramePr/>
            <a:graphic xmlns:a="http://schemas.openxmlformats.org/drawingml/2006/main">
              <a:graphicData uri="http://schemas.openxmlformats.org/drawingml/2006/picture">
                <pic:pic xmlns:pic="http://schemas.openxmlformats.org/drawingml/2006/picture">
                  <pic:nvPicPr>
                    <pic:cNvPr id="14117" name="Picture 14117"/>
                    <pic:cNvPicPr/>
                  </pic:nvPicPr>
                  <pic:blipFill>
                    <a:blip r:embed="rId13"/>
                    <a:stretch>
                      <a:fillRect/>
                    </a:stretch>
                  </pic:blipFill>
                  <pic:spPr>
                    <a:xfrm>
                      <a:off x="0" y="0"/>
                      <a:ext cx="22860" cy="41148"/>
                    </a:xfrm>
                    <a:prstGeom prst="rect">
                      <a:avLst/>
                    </a:prstGeom>
                  </pic:spPr>
                </pic:pic>
              </a:graphicData>
            </a:graphic>
          </wp:inline>
        </w:drawing>
      </w:r>
      <w:r>
        <w:rPr>
          <w:rFonts w:ascii="Times New Roman" w:eastAsia="Times New Roman" w:hAnsi="Times New Roman" w:cs="Times New Roman"/>
          <w:sz w:val="18"/>
        </w:rPr>
        <w:t xml:space="preserve"> See discussion of incarceration drivers: low socioeconomic status, poor education participaiion, unemployment, unstable housing and poor social connection.</w:t>
      </w:r>
    </w:p>
    <w:p w14:paraId="5B5D4D6E" w14:textId="77777777" w:rsidR="00790367" w:rsidRDefault="00AF5001">
      <w:pPr>
        <w:numPr>
          <w:ilvl w:val="0"/>
          <w:numId w:val="1"/>
        </w:numPr>
        <w:spacing w:after="19" w:line="224" w:lineRule="auto"/>
        <w:ind w:right="242" w:firstLine="4"/>
      </w:pPr>
      <w:r>
        <w:rPr>
          <w:rFonts w:ascii="Times New Roman" w:eastAsia="Times New Roman" w:hAnsi="Times New Roman" w:cs="Times New Roman"/>
          <w:sz w:val="18"/>
        </w:rPr>
        <w:t xml:space="preserve">SNAICC, Partnership Training Manual: Creating change through partnerships (2014), available at: </w:t>
      </w:r>
      <w:proofErr w:type="gramStart"/>
      <w:r>
        <w:rPr>
          <w:rFonts w:ascii="Times New Roman" w:eastAsia="Times New Roman" w:hAnsi="Times New Roman" w:cs="Times New Roman"/>
          <w:sz w:val="18"/>
        </w:rPr>
        <w:t>https.•</w:t>
      </w:r>
      <w:proofErr w:type="gramEnd"/>
      <w:r>
        <w:rPr>
          <w:rFonts w:ascii="Times New Roman" w:eastAsia="Times New Roman" w:hAnsi="Times New Roman" w:cs="Times New Roman"/>
          <w:sz w:val="18"/>
        </w:rPr>
        <w:t>/hvww.snaicc.org.au/partnership-training-m.anual-creating-change-through-partnerships-2014-snaiccresource/</w:t>
      </w:r>
    </w:p>
    <w:p w14:paraId="25705F10" w14:textId="77777777" w:rsidR="00790367" w:rsidRDefault="00AF5001">
      <w:pPr>
        <w:numPr>
          <w:ilvl w:val="0"/>
          <w:numId w:val="1"/>
        </w:numPr>
        <w:spacing w:after="19" w:line="224" w:lineRule="auto"/>
        <w:ind w:right="242" w:firstLine="4"/>
      </w:pPr>
      <w:r>
        <w:rPr>
          <w:rFonts w:ascii="Times New Roman" w:eastAsia="Times New Roman" w:hAnsi="Times New Roman" w:cs="Times New Roman"/>
          <w:sz w:val="18"/>
        </w:rPr>
        <w:t>International Covenant on Civil and Political Rights, 999 UNTS 1 71, 16 December 1966 (entered into force 23 March 1976), Art. l; International Covenant on Economic, Social and Cultural Rights, 993 UNTS 3, 16 December 1966 (entered into force 3 January 1976), Art. I.</w:t>
      </w:r>
    </w:p>
    <w:p w14:paraId="62FBA414" w14:textId="77777777" w:rsidR="00790367" w:rsidRDefault="00AF5001">
      <w:pPr>
        <w:spacing w:after="4" w:line="256" w:lineRule="auto"/>
        <w:ind w:left="145" w:right="1682" w:hanging="3"/>
        <w:jc w:val="left"/>
      </w:pPr>
      <w:r>
        <w:rPr>
          <w:rFonts w:ascii="Times New Roman" w:eastAsia="Times New Roman" w:hAnsi="Times New Roman" w:cs="Times New Roman"/>
          <w:sz w:val="16"/>
        </w:rPr>
        <w:t xml:space="preserve">'J James Anaya, Indigenous Peoples in International Law (Oxford University Press, 1996), p. 77. </w:t>
      </w:r>
      <w:r>
        <w:rPr>
          <w:rFonts w:ascii="Times New Roman" w:eastAsia="Times New Roman" w:hAnsi="Times New Roman" w:cs="Times New Roman"/>
          <w:sz w:val="16"/>
          <w:vertAlign w:val="superscript"/>
        </w:rPr>
        <w:t xml:space="preserve">s </w:t>
      </w:r>
      <w:r>
        <w:rPr>
          <w:rFonts w:ascii="Times New Roman" w:eastAsia="Times New Roman" w:hAnsi="Times New Roman" w:cs="Times New Roman"/>
          <w:sz w:val="16"/>
        </w:rPr>
        <w:t>United Nations Declaration on the Rights Qflndigenous Peoples, GA Res 61/295, UN</w:t>
      </w:r>
    </w:p>
    <w:sectPr w:rsidR="00790367">
      <w:type w:val="continuous"/>
      <w:pgSz w:w="11902" w:h="16834"/>
      <w:pgMar w:top="1161" w:right="499" w:bottom="1160" w:left="29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1F78" w14:textId="77777777" w:rsidR="00AF5001" w:rsidRDefault="00AF5001">
      <w:pPr>
        <w:spacing w:after="0" w:line="240" w:lineRule="auto"/>
      </w:pPr>
      <w:r>
        <w:separator/>
      </w:r>
    </w:p>
  </w:endnote>
  <w:endnote w:type="continuationSeparator" w:id="0">
    <w:p w14:paraId="2E34928A" w14:textId="77777777" w:rsidR="00AF5001" w:rsidRDefault="00AF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8DA1" w14:textId="77777777" w:rsidR="00AF5001" w:rsidRDefault="00AF5001">
      <w:pPr>
        <w:spacing w:after="0" w:line="240" w:lineRule="auto"/>
      </w:pPr>
      <w:r>
        <w:separator/>
      </w:r>
    </w:p>
  </w:footnote>
  <w:footnote w:type="continuationSeparator" w:id="0">
    <w:p w14:paraId="0F5FD757" w14:textId="77777777" w:rsidR="00AF5001" w:rsidRDefault="00AF5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4D7D" w14:textId="77777777" w:rsidR="00790367" w:rsidRDefault="00AF5001">
    <w:pPr>
      <w:spacing w:after="0" w:line="259" w:lineRule="auto"/>
      <w:ind w:left="0" w:right="-35"/>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4CE3" w14:textId="77777777" w:rsidR="00790367" w:rsidRDefault="00AF5001">
    <w:pPr>
      <w:spacing w:after="0" w:line="259" w:lineRule="auto"/>
      <w:ind w:left="0" w:right="-35"/>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E167" w14:textId="77777777" w:rsidR="00790367" w:rsidRDefault="00790367">
    <w:pPr>
      <w:spacing w:after="160" w:line="259"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67D"/>
    <w:multiLevelType w:val="hybridMultilevel"/>
    <w:tmpl w:val="F4445EF0"/>
    <w:lvl w:ilvl="0" w:tplc="897008F2">
      <w:start w:val="2"/>
      <w:numFmt w:val="decimal"/>
      <w:lvlText w:val="%1"/>
      <w:lvlJc w:val="left"/>
      <w:pPr>
        <w:ind w:left="127"/>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1" w:tplc="8346A8D2">
      <w:start w:val="1"/>
      <w:numFmt w:val="lowerLetter"/>
      <w:lvlText w:val="%2"/>
      <w:lvlJc w:val="left"/>
      <w:pPr>
        <w:ind w:left="109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2" w:tplc="FDB492F0">
      <w:start w:val="1"/>
      <w:numFmt w:val="lowerRoman"/>
      <w:lvlText w:val="%3"/>
      <w:lvlJc w:val="left"/>
      <w:pPr>
        <w:ind w:left="181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3" w:tplc="6EC29BD0">
      <w:start w:val="1"/>
      <w:numFmt w:val="decimal"/>
      <w:lvlText w:val="%4"/>
      <w:lvlJc w:val="left"/>
      <w:pPr>
        <w:ind w:left="253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4" w:tplc="1FCE6804">
      <w:start w:val="1"/>
      <w:numFmt w:val="lowerLetter"/>
      <w:lvlText w:val="%5"/>
      <w:lvlJc w:val="left"/>
      <w:pPr>
        <w:ind w:left="325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5" w:tplc="BD46D2BE">
      <w:start w:val="1"/>
      <w:numFmt w:val="lowerRoman"/>
      <w:lvlText w:val="%6"/>
      <w:lvlJc w:val="left"/>
      <w:pPr>
        <w:ind w:left="397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6" w:tplc="3A32FEF2">
      <w:start w:val="1"/>
      <w:numFmt w:val="decimal"/>
      <w:lvlText w:val="%7"/>
      <w:lvlJc w:val="left"/>
      <w:pPr>
        <w:ind w:left="469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7" w:tplc="21A89578">
      <w:start w:val="1"/>
      <w:numFmt w:val="lowerLetter"/>
      <w:lvlText w:val="%8"/>
      <w:lvlJc w:val="left"/>
      <w:pPr>
        <w:ind w:left="541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8" w:tplc="BFEC331C">
      <w:start w:val="1"/>
      <w:numFmt w:val="lowerRoman"/>
      <w:lvlText w:val="%9"/>
      <w:lvlJc w:val="left"/>
      <w:pPr>
        <w:ind w:left="613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abstractNum>
  <w:num w:numId="1" w16cid:durableId="84097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67"/>
    <w:rsid w:val="006843E2"/>
    <w:rsid w:val="00790367"/>
    <w:rsid w:val="00AF50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E5B78"/>
  <w15:docId w15:val="{F97C33B0-3868-4767-8B1D-0555BF94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5" w:line="226" w:lineRule="auto"/>
      <w:ind w:left="2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69" w:line="259" w:lineRule="auto"/>
      <w:ind w:left="20" w:hanging="10"/>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1735</Words>
  <Characters>10774</Characters>
  <Application>Microsoft Office Word</Application>
  <DocSecurity>0</DocSecurity>
  <Lines>296</Lines>
  <Paragraphs>64</Paragraphs>
  <ScaleCrop>false</ScaleCrop>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2025-12-12T03:02:00Z</dcterms:created>
  <dcterms:modified xsi:type="dcterms:W3CDTF">2025-12-12T03:02:00Z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v=2024.1;a=SHA256;h=9B479ADC3B0F287AF027D92860E650B3204BF0511B99FF0232613E697CDB27AE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2025-12-12T03:01:50Z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2025-12-12T03:01:50Z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8e42c4c98932402ab452b19845096ab6</vt:lpwstr>
  </property>
  <property fmtid="{D5CDD505-2E9C-101B-9397-08002B2CF9AE}" pid="24" name="PM_Originator_Hash_SHA1">
    <vt:lpwstr>70D524B4874D1B3B34D90FDE0E5D82AA5E75BD44</vt:lpwstr>
  </property>
  <property fmtid="{D5CDD505-2E9C-101B-9397-08002B2CF9AE}" pid="25" name="PM_Originating_FileId">
    <vt:lpwstr>66259913843046119B66D0E385B3FE36</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5A2CAC8077FA50A8417FE2B82CB752EB</vt:lpwstr>
  </property>
  <property fmtid="{D5CDD505-2E9C-101B-9397-08002B2CF9AE}" pid="33" name="PM_Hash_Salt">
    <vt:lpwstr>DA6B578F90DEE73B4915D4CB6E0E3C34</vt:lpwstr>
  </property>
  <property fmtid="{D5CDD505-2E9C-101B-9397-08002B2CF9AE}" pid="34" name="PM_Hash_SHA1">
    <vt:lpwstr>36074E0EBF3DB56A15F9870C0B890D086179A290</vt:lpwstr>
  </property>
</Properties>
</file>