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DF533" w14:textId="77777777" w:rsidR="002B623B" w:rsidRDefault="00AD04ED">
      <w:pPr>
        <w:spacing w:after="0" w:line="259" w:lineRule="auto"/>
        <w:ind w:left="-1190" w:right="1070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A1051B8" wp14:editId="4F1BB74A">
                <wp:simplePos x="0" y="0"/>
                <wp:positionH relativeFrom="page">
                  <wp:posOffset>0</wp:posOffset>
                </wp:positionH>
                <wp:positionV relativeFrom="page">
                  <wp:posOffset>3049</wp:posOffset>
                </wp:positionV>
                <wp:extent cx="7555993" cy="10690858"/>
                <wp:effectExtent l="0" t="0" r="0" b="0"/>
                <wp:wrapTopAndBottom/>
                <wp:docPr id="13960" name="Group 13960"/>
                <wp:cNvGraphicFramePr/>
                <a:graphic xmlns:a="http://schemas.openxmlformats.org/drawingml/2006/main">
                  <a:graphicData uri="http://schemas.microsoft.com/office/word/2010/wordprocessingGroup">
                    <wpg:wgp>
                      <wpg:cNvGrpSpPr/>
                      <wpg:grpSpPr>
                        <a:xfrm>
                          <a:off x="0" y="0"/>
                          <a:ext cx="7555993" cy="10690858"/>
                          <a:chOff x="0" y="0"/>
                          <a:chExt cx="7555993" cy="10690858"/>
                        </a:xfrm>
                      </wpg:grpSpPr>
                      <wps:wsp>
                        <wps:cNvPr id="6" name="Rectangle 6"/>
                        <wps:cNvSpPr/>
                        <wps:spPr>
                          <a:xfrm>
                            <a:off x="755904" y="471584"/>
                            <a:ext cx="41025" cy="186477"/>
                          </a:xfrm>
                          <a:prstGeom prst="rect">
                            <a:avLst/>
                          </a:prstGeom>
                          <a:ln>
                            <a:noFill/>
                          </a:ln>
                        </wps:spPr>
                        <wps:txbx>
                          <w:txbxContent>
                            <w:p w14:paraId="5980E441"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965" name="Picture 16965"/>
                          <pic:cNvPicPr/>
                        </pic:nvPicPr>
                        <pic:blipFill>
                          <a:blip r:embed="rId7"/>
                          <a:stretch>
                            <a:fillRect/>
                          </a:stretch>
                        </pic:blipFill>
                        <pic:spPr>
                          <a:xfrm>
                            <a:off x="0" y="-3048"/>
                            <a:ext cx="7543800" cy="10692385"/>
                          </a:xfrm>
                          <a:prstGeom prst="rect">
                            <a:avLst/>
                          </a:prstGeom>
                        </pic:spPr>
                      </pic:pic>
                      <wps:wsp>
                        <wps:cNvPr id="10" name="Rectangle 10"/>
                        <wps:cNvSpPr/>
                        <wps:spPr>
                          <a:xfrm>
                            <a:off x="3229991" y="6888504"/>
                            <a:ext cx="2242990" cy="405384"/>
                          </a:xfrm>
                          <a:prstGeom prst="rect">
                            <a:avLst/>
                          </a:prstGeom>
                          <a:ln>
                            <a:noFill/>
                          </a:ln>
                        </wps:spPr>
                        <wps:txbx>
                          <w:txbxContent>
                            <w:p w14:paraId="58BF81BE" w14:textId="77777777" w:rsidR="002B623B" w:rsidRDefault="00AD04ED">
                              <w:pPr>
                                <w:spacing w:after="160" w:line="259" w:lineRule="auto"/>
                                <w:ind w:left="0" w:firstLine="0"/>
                              </w:pPr>
                              <w:r>
                                <w:rPr>
                                  <w:b/>
                                  <w:color w:val="1E3582"/>
                                  <w:sz w:val="48"/>
                                </w:rPr>
                                <w:t xml:space="preserve">Submission </w:t>
                              </w:r>
                            </w:p>
                          </w:txbxContent>
                        </wps:txbx>
                        <wps:bodyPr horzOverflow="overflow" vert="horz" lIns="0" tIns="0" rIns="0" bIns="0" rtlCol="0">
                          <a:noAutofit/>
                        </wps:bodyPr>
                      </wps:wsp>
                      <wps:wsp>
                        <wps:cNvPr id="11" name="Rectangle 11"/>
                        <wps:cNvSpPr/>
                        <wps:spPr>
                          <a:xfrm>
                            <a:off x="4917313" y="6888504"/>
                            <a:ext cx="475921" cy="405384"/>
                          </a:xfrm>
                          <a:prstGeom prst="rect">
                            <a:avLst/>
                          </a:prstGeom>
                          <a:ln>
                            <a:noFill/>
                          </a:ln>
                        </wps:spPr>
                        <wps:txbx>
                          <w:txbxContent>
                            <w:p w14:paraId="69DC4FA1" w14:textId="77777777" w:rsidR="002B623B" w:rsidRDefault="00AD04ED">
                              <w:pPr>
                                <w:spacing w:after="160" w:line="259" w:lineRule="auto"/>
                                <w:ind w:left="0" w:firstLine="0"/>
                              </w:pPr>
                              <w:r>
                                <w:rPr>
                                  <w:b/>
                                  <w:color w:val="1E3582"/>
                                  <w:sz w:val="48"/>
                                </w:rPr>
                                <w:t>on</w:t>
                              </w:r>
                            </w:p>
                          </w:txbxContent>
                        </wps:txbx>
                        <wps:bodyPr horzOverflow="overflow" vert="horz" lIns="0" tIns="0" rIns="0" bIns="0" rtlCol="0">
                          <a:noAutofit/>
                        </wps:bodyPr>
                      </wps:wsp>
                      <wps:wsp>
                        <wps:cNvPr id="12" name="Rectangle 12"/>
                        <wps:cNvSpPr/>
                        <wps:spPr>
                          <a:xfrm>
                            <a:off x="5275453" y="6888504"/>
                            <a:ext cx="89184" cy="405384"/>
                          </a:xfrm>
                          <a:prstGeom prst="rect">
                            <a:avLst/>
                          </a:prstGeom>
                          <a:ln>
                            <a:noFill/>
                          </a:ln>
                        </wps:spPr>
                        <wps:txbx>
                          <w:txbxContent>
                            <w:p w14:paraId="2CE81F0C" w14:textId="77777777" w:rsidR="002B623B" w:rsidRDefault="00AD04ED">
                              <w:pPr>
                                <w:spacing w:after="160" w:line="259" w:lineRule="auto"/>
                                <w:ind w:left="0" w:firstLine="0"/>
                              </w:pPr>
                              <w:r>
                                <w:rPr>
                                  <w:b/>
                                  <w:color w:val="1E3582"/>
                                  <w:sz w:val="48"/>
                                </w:rPr>
                                <w:t xml:space="preserve"> </w:t>
                              </w:r>
                            </w:p>
                          </w:txbxContent>
                        </wps:txbx>
                        <wps:bodyPr horzOverflow="overflow" vert="horz" lIns="0" tIns="0" rIns="0" bIns="0" rtlCol="0">
                          <a:noAutofit/>
                        </wps:bodyPr>
                      </wps:wsp>
                      <wps:wsp>
                        <wps:cNvPr id="13" name="Rectangle 13"/>
                        <wps:cNvSpPr/>
                        <wps:spPr>
                          <a:xfrm>
                            <a:off x="5342509" y="6888504"/>
                            <a:ext cx="1256690" cy="405384"/>
                          </a:xfrm>
                          <a:prstGeom prst="rect">
                            <a:avLst/>
                          </a:prstGeom>
                          <a:ln>
                            <a:noFill/>
                          </a:ln>
                        </wps:spPr>
                        <wps:txbx>
                          <w:txbxContent>
                            <w:p w14:paraId="5C0BF3C5" w14:textId="77777777" w:rsidR="002B623B" w:rsidRDefault="00AD04ED">
                              <w:pPr>
                                <w:spacing w:after="160" w:line="259" w:lineRule="auto"/>
                                <w:ind w:left="0" w:firstLine="0"/>
                              </w:pPr>
                              <w:r>
                                <w:rPr>
                                  <w:b/>
                                  <w:color w:val="1E3582"/>
                                  <w:sz w:val="48"/>
                                </w:rPr>
                                <w:t xml:space="preserve">A New </w:t>
                              </w:r>
                            </w:p>
                          </w:txbxContent>
                        </wps:txbx>
                        <wps:bodyPr horzOverflow="overflow" vert="horz" lIns="0" tIns="0" rIns="0" bIns="0" rtlCol="0">
                          <a:noAutofit/>
                        </wps:bodyPr>
                      </wps:wsp>
                      <wps:wsp>
                        <wps:cNvPr id="14" name="Rectangle 14"/>
                        <wps:cNvSpPr/>
                        <wps:spPr>
                          <a:xfrm>
                            <a:off x="3229991" y="7317130"/>
                            <a:ext cx="1903278" cy="405384"/>
                          </a:xfrm>
                          <a:prstGeom prst="rect">
                            <a:avLst/>
                          </a:prstGeom>
                          <a:ln>
                            <a:noFill/>
                          </a:ln>
                        </wps:spPr>
                        <wps:txbx>
                          <w:txbxContent>
                            <w:p w14:paraId="2AAE1B12" w14:textId="77777777" w:rsidR="002B623B" w:rsidRDefault="00AD04ED">
                              <w:pPr>
                                <w:spacing w:after="160" w:line="259" w:lineRule="auto"/>
                                <w:ind w:left="0" w:firstLine="0"/>
                              </w:pPr>
                              <w:r>
                                <w:rPr>
                                  <w:b/>
                                  <w:color w:val="1E3582"/>
                                  <w:sz w:val="48"/>
                                </w:rPr>
                                <w:t xml:space="preserve">Approach </w:t>
                              </w:r>
                            </w:p>
                          </w:txbxContent>
                        </wps:txbx>
                        <wps:bodyPr horzOverflow="overflow" vert="horz" lIns="0" tIns="0" rIns="0" bIns="0" rtlCol="0">
                          <a:noAutofit/>
                        </wps:bodyPr>
                      </wps:wsp>
                      <wps:wsp>
                        <wps:cNvPr id="15" name="Rectangle 15"/>
                        <wps:cNvSpPr/>
                        <wps:spPr>
                          <a:xfrm>
                            <a:off x="4661281" y="7317130"/>
                            <a:ext cx="3025381" cy="405384"/>
                          </a:xfrm>
                          <a:prstGeom prst="rect">
                            <a:avLst/>
                          </a:prstGeom>
                          <a:ln>
                            <a:noFill/>
                          </a:ln>
                        </wps:spPr>
                        <wps:txbx>
                          <w:txbxContent>
                            <w:p w14:paraId="7098A4FE" w14:textId="77777777" w:rsidR="002B623B" w:rsidRDefault="00AD04ED">
                              <w:pPr>
                                <w:spacing w:after="160" w:line="259" w:lineRule="auto"/>
                                <w:ind w:left="0" w:firstLine="0"/>
                              </w:pPr>
                              <w:r>
                                <w:rPr>
                                  <w:b/>
                                  <w:color w:val="1E3582"/>
                                  <w:sz w:val="48"/>
                                </w:rPr>
                                <w:t xml:space="preserve">to Programs for </w:t>
                              </w:r>
                            </w:p>
                          </w:txbxContent>
                        </wps:txbx>
                        <wps:bodyPr horzOverflow="overflow" vert="horz" lIns="0" tIns="0" rIns="0" bIns="0" rtlCol="0">
                          <a:noAutofit/>
                        </wps:bodyPr>
                      </wps:wsp>
                      <wps:wsp>
                        <wps:cNvPr id="16" name="Rectangle 16"/>
                        <wps:cNvSpPr/>
                        <wps:spPr>
                          <a:xfrm>
                            <a:off x="3229991" y="7745373"/>
                            <a:ext cx="4080596" cy="405384"/>
                          </a:xfrm>
                          <a:prstGeom prst="rect">
                            <a:avLst/>
                          </a:prstGeom>
                          <a:ln>
                            <a:noFill/>
                          </a:ln>
                        </wps:spPr>
                        <wps:txbx>
                          <w:txbxContent>
                            <w:p w14:paraId="056EB447" w14:textId="77777777" w:rsidR="002B623B" w:rsidRDefault="00AD04ED">
                              <w:pPr>
                                <w:spacing w:after="160" w:line="259" w:lineRule="auto"/>
                                <w:ind w:left="0" w:firstLine="0"/>
                              </w:pPr>
                              <w:r>
                                <w:rPr>
                                  <w:b/>
                                  <w:color w:val="1E3582"/>
                                  <w:sz w:val="48"/>
                                </w:rPr>
                                <w:t>Families and Children</w:t>
                              </w:r>
                            </w:p>
                          </w:txbxContent>
                        </wps:txbx>
                        <wps:bodyPr horzOverflow="overflow" vert="horz" lIns="0" tIns="0" rIns="0" bIns="0" rtlCol="0">
                          <a:noAutofit/>
                        </wps:bodyPr>
                      </wps:wsp>
                      <wps:wsp>
                        <wps:cNvPr id="17" name="Rectangle 17"/>
                        <wps:cNvSpPr/>
                        <wps:spPr>
                          <a:xfrm>
                            <a:off x="6299962" y="7745373"/>
                            <a:ext cx="89184" cy="405384"/>
                          </a:xfrm>
                          <a:prstGeom prst="rect">
                            <a:avLst/>
                          </a:prstGeom>
                          <a:ln>
                            <a:noFill/>
                          </a:ln>
                        </wps:spPr>
                        <wps:txbx>
                          <w:txbxContent>
                            <w:p w14:paraId="362B2224" w14:textId="77777777" w:rsidR="002B623B" w:rsidRDefault="00AD04ED">
                              <w:pPr>
                                <w:spacing w:after="160" w:line="259" w:lineRule="auto"/>
                                <w:ind w:left="0" w:firstLine="0"/>
                              </w:pPr>
                              <w:r>
                                <w:rPr>
                                  <w:b/>
                                  <w:color w:val="1E3582"/>
                                  <w:sz w:val="48"/>
                                </w:rPr>
                                <w:t xml:space="preserve"> </w:t>
                              </w:r>
                            </w:p>
                          </w:txbxContent>
                        </wps:txbx>
                        <wps:bodyPr horzOverflow="overflow" vert="horz" lIns="0" tIns="0" rIns="0" bIns="0" rtlCol="0">
                          <a:noAutofit/>
                        </wps:bodyPr>
                      </wps:wsp>
                      <wps:wsp>
                        <wps:cNvPr id="18" name="Rectangle 18"/>
                        <wps:cNvSpPr/>
                        <wps:spPr>
                          <a:xfrm>
                            <a:off x="3229991" y="8147718"/>
                            <a:ext cx="41025" cy="186476"/>
                          </a:xfrm>
                          <a:prstGeom prst="rect">
                            <a:avLst/>
                          </a:prstGeom>
                          <a:ln>
                            <a:noFill/>
                          </a:ln>
                        </wps:spPr>
                        <wps:txbx>
                          <w:txbxContent>
                            <w:p w14:paraId="644434D0"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3229991" y="8351255"/>
                            <a:ext cx="1115078" cy="237149"/>
                          </a:xfrm>
                          <a:prstGeom prst="rect">
                            <a:avLst/>
                          </a:prstGeom>
                          <a:ln>
                            <a:noFill/>
                          </a:ln>
                        </wps:spPr>
                        <wps:txbx>
                          <w:txbxContent>
                            <w:p w14:paraId="632AA1B1" w14:textId="77777777" w:rsidR="002B623B" w:rsidRDefault="00AD04ED">
                              <w:pPr>
                                <w:spacing w:after="160" w:line="259" w:lineRule="auto"/>
                                <w:ind w:left="0" w:firstLine="0"/>
                              </w:pPr>
                              <w:r>
                                <w:rPr>
                                  <w:b/>
                                  <w:color w:val="0070C0"/>
                                  <w:sz w:val="28"/>
                                </w:rPr>
                                <w:t>December</w:t>
                              </w:r>
                            </w:p>
                          </w:txbxContent>
                        </wps:txbx>
                        <wps:bodyPr horzOverflow="overflow" vert="horz" lIns="0" tIns="0" rIns="0" bIns="0" rtlCol="0">
                          <a:noAutofit/>
                        </wps:bodyPr>
                      </wps:wsp>
                      <wps:wsp>
                        <wps:cNvPr id="20" name="Rectangle 20"/>
                        <wps:cNvSpPr/>
                        <wps:spPr>
                          <a:xfrm>
                            <a:off x="4068191" y="8351255"/>
                            <a:ext cx="52173" cy="237149"/>
                          </a:xfrm>
                          <a:prstGeom prst="rect">
                            <a:avLst/>
                          </a:prstGeom>
                          <a:ln>
                            <a:noFill/>
                          </a:ln>
                        </wps:spPr>
                        <wps:txbx>
                          <w:txbxContent>
                            <w:p w14:paraId="46E3E981" w14:textId="77777777" w:rsidR="002B623B" w:rsidRDefault="00AD04ED">
                              <w:pPr>
                                <w:spacing w:after="160" w:line="259" w:lineRule="auto"/>
                                <w:ind w:left="0" w:firstLine="0"/>
                              </w:pPr>
                              <w:r>
                                <w:rPr>
                                  <w:b/>
                                  <w:color w:val="0070C0"/>
                                  <w:sz w:val="28"/>
                                </w:rPr>
                                <w:t xml:space="preserve"> </w:t>
                              </w:r>
                            </w:p>
                          </w:txbxContent>
                        </wps:txbx>
                        <wps:bodyPr horzOverflow="overflow" vert="horz" lIns="0" tIns="0" rIns="0" bIns="0" rtlCol="0">
                          <a:noAutofit/>
                        </wps:bodyPr>
                      </wps:wsp>
                      <wps:wsp>
                        <wps:cNvPr id="21" name="Rectangle 21"/>
                        <wps:cNvSpPr/>
                        <wps:spPr>
                          <a:xfrm>
                            <a:off x="4107815" y="8351255"/>
                            <a:ext cx="280250" cy="237149"/>
                          </a:xfrm>
                          <a:prstGeom prst="rect">
                            <a:avLst/>
                          </a:prstGeom>
                          <a:ln>
                            <a:noFill/>
                          </a:ln>
                        </wps:spPr>
                        <wps:txbx>
                          <w:txbxContent>
                            <w:p w14:paraId="029A4FED" w14:textId="77777777" w:rsidR="002B623B" w:rsidRDefault="00AD04ED">
                              <w:pPr>
                                <w:spacing w:after="160" w:line="259" w:lineRule="auto"/>
                                <w:ind w:left="0" w:firstLine="0"/>
                              </w:pPr>
                              <w:r>
                                <w:rPr>
                                  <w:b/>
                                  <w:color w:val="0070C0"/>
                                  <w:sz w:val="28"/>
                                </w:rPr>
                                <w:t>20</w:t>
                              </w:r>
                            </w:p>
                          </w:txbxContent>
                        </wps:txbx>
                        <wps:bodyPr horzOverflow="overflow" vert="horz" lIns="0" tIns="0" rIns="0" bIns="0" rtlCol="0">
                          <a:noAutofit/>
                        </wps:bodyPr>
                      </wps:wsp>
                      <wps:wsp>
                        <wps:cNvPr id="22" name="Rectangle 22"/>
                        <wps:cNvSpPr/>
                        <wps:spPr>
                          <a:xfrm>
                            <a:off x="4318381" y="8351255"/>
                            <a:ext cx="140393" cy="237149"/>
                          </a:xfrm>
                          <a:prstGeom prst="rect">
                            <a:avLst/>
                          </a:prstGeom>
                          <a:ln>
                            <a:noFill/>
                          </a:ln>
                        </wps:spPr>
                        <wps:txbx>
                          <w:txbxContent>
                            <w:p w14:paraId="0A29B3A7" w14:textId="77777777" w:rsidR="002B623B" w:rsidRDefault="00AD04ED">
                              <w:pPr>
                                <w:spacing w:after="160" w:line="259" w:lineRule="auto"/>
                                <w:ind w:left="0" w:firstLine="0"/>
                              </w:pPr>
                              <w:r>
                                <w:rPr>
                                  <w:b/>
                                  <w:color w:val="0070C0"/>
                                  <w:sz w:val="28"/>
                                </w:rPr>
                                <w:t>2</w:t>
                              </w:r>
                            </w:p>
                          </w:txbxContent>
                        </wps:txbx>
                        <wps:bodyPr horzOverflow="overflow" vert="horz" lIns="0" tIns="0" rIns="0" bIns="0" rtlCol="0">
                          <a:noAutofit/>
                        </wps:bodyPr>
                      </wps:wsp>
                      <wps:wsp>
                        <wps:cNvPr id="23" name="Rectangle 23"/>
                        <wps:cNvSpPr/>
                        <wps:spPr>
                          <a:xfrm>
                            <a:off x="4423537" y="8351255"/>
                            <a:ext cx="140393" cy="237149"/>
                          </a:xfrm>
                          <a:prstGeom prst="rect">
                            <a:avLst/>
                          </a:prstGeom>
                          <a:ln>
                            <a:noFill/>
                          </a:ln>
                        </wps:spPr>
                        <wps:txbx>
                          <w:txbxContent>
                            <w:p w14:paraId="62477A1D" w14:textId="77777777" w:rsidR="002B623B" w:rsidRDefault="00AD04ED">
                              <w:pPr>
                                <w:spacing w:after="160" w:line="259" w:lineRule="auto"/>
                                <w:ind w:left="0" w:firstLine="0"/>
                              </w:pPr>
                              <w:r>
                                <w:rPr>
                                  <w:b/>
                                  <w:color w:val="0070C0"/>
                                  <w:sz w:val="28"/>
                                </w:rPr>
                                <w:t>5</w:t>
                              </w:r>
                            </w:p>
                          </w:txbxContent>
                        </wps:txbx>
                        <wps:bodyPr horzOverflow="overflow" vert="horz" lIns="0" tIns="0" rIns="0" bIns="0" rtlCol="0">
                          <a:noAutofit/>
                        </wps:bodyPr>
                      </wps:wsp>
                      <wps:wsp>
                        <wps:cNvPr id="24" name="Rectangle 24"/>
                        <wps:cNvSpPr/>
                        <wps:spPr>
                          <a:xfrm>
                            <a:off x="4527169" y="8351255"/>
                            <a:ext cx="52173" cy="237149"/>
                          </a:xfrm>
                          <a:prstGeom prst="rect">
                            <a:avLst/>
                          </a:prstGeom>
                          <a:ln>
                            <a:noFill/>
                          </a:ln>
                        </wps:spPr>
                        <wps:txbx>
                          <w:txbxContent>
                            <w:p w14:paraId="72EBA910" w14:textId="77777777" w:rsidR="002B623B" w:rsidRDefault="00AD04ED">
                              <w:pPr>
                                <w:spacing w:after="160" w:line="259" w:lineRule="auto"/>
                                <w:ind w:left="0" w:firstLine="0"/>
                              </w:pPr>
                              <w:r>
                                <w:rPr>
                                  <w:b/>
                                  <w:color w:val="0070C0"/>
                                  <w:sz w:val="28"/>
                                </w:rPr>
                                <w:t xml:space="preserve"> </w:t>
                              </w:r>
                            </w:p>
                          </w:txbxContent>
                        </wps:txbx>
                        <wps:bodyPr horzOverflow="overflow" vert="horz" lIns="0" tIns="0" rIns="0" bIns="0" rtlCol="0">
                          <a:noAutofit/>
                        </wps:bodyPr>
                      </wps:wsp>
                      <wps:wsp>
                        <wps:cNvPr id="25" name="Rectangle 25"/>
                        <wps:cNvSpPr/>
                        <wps:spPr>
                          <a:xfrm>
                            <a:off x="3229991" y="8594250"/>
                            <a:ext cx="41025" cy="186476"/>
                          </a:xfrm>
                          <a:prstGeom prst="rect">
                            <a:avLst/>
                          </a:prstGeom>
                          <a:ln>
                            <a:noFill/>
                          </a:ln>
                        </wps:spPr>
                        <wps:txbx>
                          <w:txbxContent>
                            <w:p w14:paraId="0343507C"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960" style="width:594.96pt;height:841.8pt;position:absolute;mso-position-horizontal-relative:page;mso-position-horizontal:absolute;margin-left:0pt;mso-position-vertical-relative:page;margin-top:0.240112pt;" coordsize="75559,106908">
                <v:rect id="Rectangle 6" style="position:absolute;width:410;height:1864;left:7559;top:4715;" filled="f" stroked="f">
                  <v:textbox inset="0,0,0,0">
                    <w:txbxContent>
                      <w:p>
                        <w:pPr>
                          <w:spacing w:before="0" w:after="160" w:line="259" w:lineRule="auto"/>
                          <w:ind w:left="0" w:firstLine="0"/>
                        </w:pPr>
                        <w:r>
                          <w:rPr/>
                          <w:t xml:space="preserve"> </w:t>
                        </w:r>
                      </w:p>
                    </w:txbxContent>
                  </v:textbox>
                </v:rect>
                <v:shape id="Picture 16965" style="position:absolute;width:75438;height:106923;left:0;top:-30;" filled="f">
                  <v:imagedata r:id="rId8"/>
                </v:shape>
                <v:rect id="Rectangle 10" style="position:absolute;width:22429;height:4053;left:32299;top:68885;" filled="f" stroked="f">
                  <v:textbox inset="0,0,0,0">
                    <w:txbxContent>
                      <w:p>
                        <w:pPr>
                          <w:spacing w:before="0" w:after="160" w:line="259" w:lineRule="auto"/>
                          <w:ind w:left="0" w:firstLine="0"/>
                        </w:pPr>
                        <w:r>
                          <w:rPr>
                            <w:rFonts w:cs="Cambria" w:hAnsi="Cambria" w:eastAsia="Cambria" w:ascii="Cambria"/>
                            <w:b w:val="1"/>
                            <w:color w:val="1e3582"/>
                            <w:sz w:val="48"/>
                          </w:rPr>
                          <w:t xml:space="preserve">Submission </w:t>
                        </w:r>
                      </w:p>
                    </w:txbxContent>
                  </v:textbox>
                </v:rect>
                <v:rect id="Rectangle 11" style="position:absolute;width:4759;height:4053;left:49173;top:68885;" filled="f" stroked="f">
                  <v:textbox inset="0,0,0,0">
                    <w:txbxContent>
                      <w:p>
                        <w:pPr>
                          <w:spacing w:before="0" w:after="160" w:line="259" w:lineRule="auto"/>
                          <w:ind w:left="0" w:firstLine="0"/>
                        </w:pPr>
                        <w:r>
                          <w:rPr>
                            <w:rFonts w:cs="Cambria" w:hAnsi="Cambria" w:eastAsia="Cambria" w:ascii="Cambria"/>
                            <w:b w:val="1"/>
                            <w:color w:val="1e3582"/>
                            <w:sz w:val="48"/>
                          </w:rPr>
                          <w:t xml:space="preserve">on</w:t>
                        </w:r>
                      </w:p>
                    </w:txbxContent>
                  </v:textbox>
                </v:rect>
                <v:rect id="Rectangle 12" style="position:absolute;width:891;height:4053;left:52754;top:68885;" filled="f" stroked="f">
                  <v:textbox inset="0,0,0,0">
                    <w:txbxContent>
                      <w:p>
                        <w:pPr>
                          <w:spacing w:before="0" w:after="160" w:line="259" w:lineRule="auto"/>
                          <w:ind w:left="0" w:firstLine="0"/>
                        </w:pPr>
                        <w:r>
                          <w:rPr>
                            <w:rFonts w:cs="Cambria" w:hAnsi="Cambria" w:eastAsia="Cambria" w:ascii="Cambria"/>
                            <w:b w:val="1"/>
                            <w:color w:val="1e3582"/>
                            <w:sz w:val="48"/>
                          </w:rPr>
                          <w:t xml:space="preserve"> </w:t>
                        </w:r>
                      </w:p>
                    </w:txbxContent>
                  </v:textbox>
                </v:rect>
                <v:rect id="Rectangle 13" style="position:absolute;width:12566;height:4053;left:53425;top:68885;" filled="f" stroked="f">
                  <v:textbox inset="0,0,0,0">
                    <w:txbxContent>
                      <w:p>
                        <w:pPr>
                          <w:spacing w:before="0" w:after="160" w:line="259" w:lineRule="auto"/>
                          <w:ind w:left="0" w:firstLine="0"/>
                        </w:pPr>
                        <w:r>
                          <w:rPr>
                            <w:rFonts w:cs="Cambria" w:hAnsi="Cambria" w:eastAsia="Cambria" w:ascii="Cambria"/>
                            <w:b w:val="1"/>
                            <w:color w:val="1e3582"/>
                            <w:sz w:val="48"/>
                          </w:rPr>
                          <w:t xml:space="preserve">A New </w:t>
                        </w:r>
                      </w:p>
                    </w:txbxContent>
                  </v:textbox>
                </v:rect>
                <v:rect id="Rectangle 14" style="position:absolute;width:19032;height:4053;left:32299;top:73171;" filled="f" stroked="f">
                  <v:textbox inset="0,0,0,0">
                    <w:txbxContent>
                      <w:p>
                        <w:pPr>
                          <w:spacing w:before="0" w:after="160" w:line="259" w:lineRule="auto"/>
                          <w:ind w:left="0" w:firstLine="0"/>
                        </w:pPr>
                        <w:r>
                          <w:rPr>
                            <w:rFonts w:cs="Cambria" w:hAnsi="Cambria" w:eastAsia="Cambria" w:ascii="Cambria"/>
                            <w:b w:val="1"/>
                            <w:color w:val="1e3582"/>
                            <w:sz w:val="48"/>
                          </w:rPr>
                          <w:t xml:space="preserve">Approach </w:t>
                        </w:r>
                      </w:p>
                    </w:txbxContent>
                  </v:textbox>
                </v:rect>
                <v:rect id="Rectangle 15" style="position:absolute;width:30253;height:4053;left:46612;top:73171;" filled="f" stroked="f">
                  <v:textbox inset="0,0,0,0">
                    <w:txbxContent>
                      <w:p>
                        <w:pPr>
                          <w:spacing w:before="0" w:after="160" w:line="259" w:lineRule="auto"/>
                          <w:ind w:left="0" w:firstLine="0"/>
                        </w:pPr>
                        <w:r>
                          <w:rPr>
                            <w:rFonts w:cs="Cambria" w:hAnsi="Cambria" w:eastAsia="Cambria" w:ascii="Cambria"/>
                            <w:b w:val="1"/>
                            <w:color w:val="1e3582"/>
                            <w:sz w:val="48"/>
                          </w:rPr>
                          <w:t xml:space="preserve">to Programs for </w:t>
                        </w:r>
                      </w:p>
                    </w:txbxContent>
                  </v:textbox>
                </v:rect>
                <v:rect id="Rectangle 16" style="position:absolute;width:40805;height:4053;left:32299;top:77453;" filled="f" stroked="f">
                  <v:textbox inset="0,0,0,0">
                    <w:txbxContent>
                      <w:p>
                        <w:pPr>
                          <w:spacing w:before="0" w:after="160" w:line="259" w:lineRule="auto"/>
                          <w:ind w:left="0" w:firstLine="0"/>
                        </w:pPr>
                        <w:r>
                          <w:rPr>
                            <w:rFonts w:cs="Cambria" w:hAnsi="Cambria" w:eastAsia="Cambria" w:ascii="Cambria"/>
                            <w:b w:val="1"/>
                            <w:color w:val="1e3582"/>
                            <w:sz w:val="48"/>
                          </w:rPr>
                          <w:t xml:space="preserve">Families and Children</w:t>
                        </w:r>
                      </w:p>
                    </w:txbxContent>
                  </v:textbox>
                </v:rect>
                <v:rect id="Rectangle 17" style="position:absolute;width:891;height:4053;left:62999;top:77453;" filled="f" stroked="f">
                  <v:textbox inset="0,0,0,0">
                    <w:txbxContent>
                      <w:p>
                        <w:pPr>
                          <w:spacing w:before="0" w:after="160" w:line="259" w:lineRule="auto"/>
                          <w:ind w:left="0" w:firstLine="0"/>
                        </w:pPr>
                        <w:r>
                          <w:rPr>
                            <w:rFonts w:cs="Cambria" w:hAnsi="Cambria" w:eastAsia="Cambria" w:ascii="Cambria"/>
                            <w:b w:val="1"/>
                            <w:color w:val="1e3582"/>
                            <w:sz w:val="48"/>
                          </w:rPr>
                          <w:t xml:space="preserve"> </w:t>
                        </w:r>
                      </w:p>
                    </w:txbxContent>
                  </v:textbox>
                </v:rect>
                <v:rect id="Rectangle 18" style="position:absolute;width:410;height:1864;left:32299;top:81477;" filled="f" stroked="f">
                  <v:textbox inset="0,0,0,0">
                    <w:txbxContent>
                      <w:p>
                        <w:pPr>
                          <w:spacing w:before="0" w:after="160" w:line="259" w:lineRule="auto"/>
                          <w:ind w:left="0" w:firstLine="0"/>
                        </w:pPr>
                        <w:r>
                          <w:rPr/>
                          <w:t xml:space="preserve"> </w:t>
                        </w:r>
                      </w:p>
                    </w:txbxContent>
                  </v:textbox>
                </v:rect>
                <v:rect id="Rectangle 19" style="position:absolute;width:11150;height:2371;left:32299;top:83512;" filled="f" stroked="f">
                  <v:textbox inset="0,0,0,0">
                    <w:txbxContent>
                      <w:p>
                        <w:pPr>
                          <w:spacing w:before="0" w:after="160" w:line="259" w:lineRule="auto"/>
                          <w:ind w:left="0" w:firstLine="0"/>
                        </w:pPr>
                        <w:r>
                          <w:rPr>
                            <w:rFonts w:cs="Cambria" w:hAnsi="Cambria" w:eastAsia="Cambria" w:ascii="Cambria"/>
                            <w:b w:val="1"/>
                            <w:color w:val="0070c0"/>
                            <w:sz w:val="28"/>
                          </w:rPr>
                          <w:t xml:space="preserve">December</w:t>
                        </w:r>
                      </w:p>
                    </w:txbxContent>
                  </v:textbox>
                </v:rect>
                <v:rect id="Rectangle 20" style="position:absolute;width:521;height:2371;left:40681;top:83512;" filled="f" stroked="f">
                  <v:textbox inset="0,0,0,0">
                    <w:txbxContent>
                      <w:p>
                        <w:pPr>
                          <w:spacing w:before="0" w:after="160" w:line="259" w:lineRule="auto"/>
                          <w:ind w:left="0" w:firstLine="0"/>
                        </w:pPr>
                        <w:r>
                          <w:rPr>
                            <w:rFonts w:cs="Cambria" w:hAnsi="Cambria" w:eastAsia="Cambria" w:ascii="Cambria"/>
                            <w:b w:val="1"/>
                            <w:color w:val="0070c0"/>
                            <w:sz w:val="28"/>
                          </w:rPr>
                          <w:t xml:space="preserve"> </w:t>
                        </w:r>
                      </w:p>
                    </w:txbxContent>
                  </v:textbox>
                </v:rect>
                <v:rect id="Rectangle 21" style="position:absolute;width:2802;height:2371;left:41078;top:83512;" filled="f" stroked="f">
                  <v:textbox inset="0,0,0,0">
                    <w:txbxContent>
                      <w:p>
                        <w:pPr>
                          <w:spacing w:before="0" w:after="160" w:line="259" w:lineRule="auto"/>
                          <w:ind w:left="0" w:firstLine="0"/>
                        </w:pPr>
                        <w:r>
                          <w:rPr>
                            <w:rFonts w:cs="Cambria" w:hAnsi="Cambria" w:eastAsia="Cambria" w:ascii="Cambria"/>
                            <w:b w:val="1"/>
                            <w:color w:val="0070c0"/>
                            <w:sz w:val="28"/>
                          </w:rPr>
                          <w:t xml:space="preserve">20</w:t>
                        </w:r>
                      </w:p>
                    </w:txbxContent>
                  </v:textbox>
                </v:rect>
                <v:rect id="Rectangle 22" style="position:absolute;width:1403;height:2371;left:43183;top:83512;" filled="f" stroked="f">
                  <v:textbox inset="0,0,0,0">
                    <w:txbxContent>
                      <w:p>
                        <w:pPr>
                          <w:spacing w:before="0" w:after="160" w:line="259" w:lineRule="auto"/>
                          <w:ind w:left="0" w:firstLine="0"/>
                        </w:pPr>
                        <w:r>
                          <w:rPr>
                            <w:rFonts w:cs="Cambria" w:hAnsi="Cambria" w:eastAsia="Cambria" w:ascii="Cambria"/>
                            <w:b w:val="1"/>
                            <w:color w:val="0070c0"/>
                            <w:sz w:val="28"/>
                          </w:rPr>
                          <w:t xml:space="preserve">2</w:t>
                        </w:r>
                      </w:p>
                    </w:txbxContent>
                  </v:textbox>
                </v:rect>
                <v:rect id="Rectangle 23" style="position:absolute;width:1403;height:2371;left:44235;top:83512;" filled="f" stroked="f">
                  <v:textbox inset="0,0,0,0">
                    <w:txbxContent>
                      <w:p>
                        <w:pPr>
                          <w:spacing w:before="0" w:after="160" w:line="259" w:lineRule="auto"/>
                          <w:ind w:left="0" w:firstLine="0"/>
                        </w:pPr>
                        <w:r>
                          <w:rPr>
                            <w:rFonts w:cs="Cambria" w:hAnsi="Cambria" w:eastAsia="Cambria" w:ascii="Cambria"/>
                            <w:b w:val="1"/>
                            <w:color w:val="0070c0"/>
                            <w:sz w:val="28"/>
                          </w:rPr>
                          <w:t xml:space="preserve">5</w:t>
                        </w:r>
                      </w:p>
                    </w:txbxContent>
                  </v:textbox>
                </v:rect>
                <v:rect id="Rectangle 24" style="position:absolute;width:521;height:2371;left:45271;top:83512;" filled="f" stroked="f">
                  <v:textbox inset="0,0,0,0">
                    <w:txbxContent>
                      <w:p>
                        <w:pPr>
                          <w:spacing w:before="0" w:after="160" w:line="259" w:lineRule="auto"/>
                          <w:ind w:left="0" w:firstLine="0"/>
                        </w:pPr>
                        <w:r>
                          <w:rPr>
                            <w:rFonts w:cs="Cambria" w:hAnsi="Cambria" w:eastAsia="Cambria" w:ascii="Cambria"/>
                            <w:b w:val="1"/>
                            <w:color w:val="0070c0"/>
                            <w:sz w:val="28"/>
                          </w:rPr>
                          <w:t xml:space="preserve"> </w:t>
                        </w:r>
                      </w:p>
                    </w:txbxContent>
                  </v:textbox>
                </v:rect>
                <v:rect id="Rectangle 25" style="position:absolute;width:410;height:1864;left:32299;top:85942;" filled="f" stroked="f">
                  <v:textbox inset="0,0,0,0">
                    <w:txbxContent>
                      <w:p>
                        <w:pPr>
                          <w:spacing w:before="0" w:after="160" w:line="259" w:lineRule="auto"/>
                          <w:ind w:left="0" w:firstLine="0"/>
                        </w:pPr>
                        <w:r>
                          <w:rPr/>
                          <w:t xml:space="preserve"> </w:t>
                        </w:r>
                      </w:p>
                    </w:txbxContent>
                  </v:textbox>
                </v:rect>
                <w10:wrap type="topAndBottom"/>
              </v:group>
            </w:pict>
          </mc:Fallback>
        </mc:AlternateContent>
      </w:r>
      <w:r>
        <w:br w:type="page"/>
      </w:r>
    </w:p>
    <w:p w14:paraId="25B46033" w14:textId="77777777" w:rsidR="002B623B" w:rsidRDefault="00AD04ED">
      <w:pPr>
        <w:spacing w:after="28" w:line="259" w:lineRule="auto"/>
        <w:ind w:left="0" w:firstLine="0"/>
      </w:pPr>
      <w:r>
        <w:lastRenderedPageBreak/>
        <w:t xml:space="preserve"> </w:t>
      </w:r>
    </w:p>
    <w:p w14:paraId="13DB409F" w14:textId="77777777" w:rsidR="002B623B" w:rsidRDefault="00AD04ED">
      <w:pPr>
        <w:spacing w:after="28" w:line="259" w:lineRule="auto"/>
        <w:ind w:left="0" w:firstLine="0"/>
      </w:pPr>
      <w:r>
        <w:t xml:space="preserve"> </w:t>
      </w:r>
    </w:p>
    <w:p w14:paraId="5D4AE129" w14:textId="77777777" w:rsidR="002B623B" w:rsidRDefault="00AD04ED">
      <w:pPr>
        <w:spacing w:after="28" w:line="259" w:lineRule="auto"/>
        <w:ind w:left="0" w:firstLine="0"/>
      </w:pPr>
      <w:r>
        <w:t xml:space="preserve"> </w:t>
      </w:r>
    </w:p>
    <w:p w14:paraId="1CACD416" w14:textId="77777777" w:rsidR="002B623B" w:rsidRDefault="00AD04ED">
      <w:pPr>
        <w:spacing w:after="28" w:line="259" w:lineRule="auto"/>
        <w:ind w:left="0" w:firstLine="0"/>
      </w:pPr>
      <w:r>
        <w:t xml:space="preserve"> </w:t>
      </w:r>
    </w:p>
    <w:p w14:paraId="2D5122F0" w14:textId="77777777" w:rsidR="002B623B" w:rsidRDefault="00AD04ED">
      <w:pPr>
        <w:spacing w:after="28" w:line="259" w:lineRule="auto"/>
        <w:ind w:left="0" w:firstLine="0"/>
      </w:pPr>
      <w:r>
        <w:t xml:space="preserve"> </w:t>
      </w:r>
    </w:p>
    <w:p w14:paraId="1CB62DF4" w14:textId="77777777" w:rsidR="002B623B" w:rsidRDefault="00AD04ED">
      <w:pPr>
        <w:spacing w:after="28" w:line="259" w:lineRule="auto"/>
        <w:ind w:left="0" w:firstLine="0"/>
      </w:pPr>
      <w:r>
        <w:t xml:space="preserve"> </w:t>
      </w:r>
    </w:p>
    <w:p w14:paraId="140D982D" w14:textId="77777777" w:rsidR="002B623B" w:rsidRDefault="00AD04ED">
      <w:pPr>
        <w:spacing w:after="28" w:line="259" w:lineRule="auto"/>
        <w:ind w:left="0" w:firstLine="0"/>
      </w:pPr>
      <w:r>
        <w:t xml:space="preserve"> </w:t>
      </w:r>
    </w:p>
    <w:p w14:paraId="6893A21B" w14:textId="77777777" w:rsidR="002B623B" w:rsidRDefault="00AD04ED">
      <w:pPr>
        <w:spacing w:after="28" w:line="259" w:lineRule="auto"/>
        <w:ind w:left="0" w:firstLine="0"/>
      </w:pPr>
      <w:r>
        <w:t xml:space="preserve"> </w:t>
      </w:r>
    </w:p>
    <w:p w14:paraId="02BEC2A6" w14:textId="77777777" w:rsidR="002B623B" w:rsidRDefault="00AD04ED">
      <w:pPr>
        <w:spacing w:after="90" w:line="259" w:lineRule="auto"/>
        <w:ind w:left="0" w:firstLine="0"/>
      </w:pPr>
      <w:r>
        <w:t xml:space="preserve"> </w:t>
      </w:r>
    </w:p>
    <w:p w14:paraId="6B3E0FCD" w14:textId="77777777" w:rsidR="002B623B" w:rsidRDefault="00AD04ED">
      <w:pPr>
        <w:pStyle w:val="Heading1"/>
        <w:ind w:left="-5"/>
      </w:pPr>
      <w:bookmarkStart w:id="0" w:name="_Toc17311"/>
      <w:r>
        <w:t xml:space="preserve">About Anglicare Australia </w:t>
      </w:r>
      <w:bookmarkEnd w:id="0"/>
    </w:p>
    <w:p w14:paraId="46F11FD7" w14:textId="77777777" w:rsidR="002B623B" w:rsidRDefault="00AD04ED">
      <w:pPr>
        <w:ind w:left="-5"/>
      </w:pPr>
      <w:r>
        <w:t xml:space="preserve">Anglicare Australia is a network of independent local, state, </w:t>
      </w:r>
      <w:r>
        <w:t xml:space="preserve">national and international organisations that are linked to the Anglican Church and are joined by values of service, innovation, leadership and the Christian faith that every individual has intrinsic value. Our services are delivered in partnership with people, the communities in which they live, and other like-minded organisations in those areas. With a combined income of $2.94 billion, a workforce of over 24,000 staff and 6,000 volunteers, the Network delivers 37 different service types in the Australian </w:t>
      </w:r>
      <w:r>
        <w:t xml:space="preserve">community. Our services are delivered to over 500,000 people. </w:t>
      </w:r>
    </w:p>
    <w:p w14:paraId="2B5F48F5" w14:textId="77777777" w:rsidR="002B623B" w:rsidRDefault="00AD04ED">
      <w:pPr>
        <w:spacing w:after="28" w:line="259" w:lineRule="auto"/>
        <w:ind w:left="0" w:firstLine="0"/>
      </w:pPr>
      <w:r>
        <w:t xml:space="preserve"> </w:t>
      </w:r>
    </w:p>
    <w:p w14:paraId="017EAE48" w14:textId="77777777" w:rsidR="002B623B" w:rsidRDefault="00AD04ED">
      <w:pPr>
        <w:ind w:left="-5"/>
      </w:pPr>
      <w:r>
        <w:t xml:space="preserve">As part of its mission, the Anglicare Australia Network partners with people, families and communities to provide services and advocacy and build resilience, inclusion and justice. Our first strategic goal charges us with reaching this by influencing social and economic policy across Australia with a strong prophetic voice; informed by research and the practical experience of the Network. </w:t>
      </w:r>
    </w:p>
    <w:p w14:paraId="73F0BA5F" w14:textId="77777777" w:rsidR="002B623B" w:rsidRDefault="00AD04ED">
      <w:pPr>
        <w:spacing w:after="73" w:line="259" w:lineRule="auto"/>
        <w:ind w:left="-20" w:firstLine="0"/>
      </w:pPr>
      <w:r>
        <w:rPr>
          <w:rFonts w:ascii="Calibri" w:eastAsia="Calibri" w:hAnsi="Calibri" w:cs="Calibri"/>
          <w:noProof/>
        </w:rPr>
        <mc:AlternateContent>
          <mc:Choice Requires="wpg">
            <w:drawing>
              <wp:inline distT="0" distB="0" distL="0" distR="0" wp14:anchorId="75537B9B" wp14:editId="1EB9CE77">
                <wp:extent cx="1703436" cy="1954967"/>
                <wp:effectExtent l="0" t="0" r="0" b="0"/>
                <wp:docPr id="15097" name="Group 15097"/>
                <wp:cNvGraphicFramePr/>
                <a:graphic xmlns:a="http://schemas.openxmlformats.org/drawingml/2006/main">
                  <a:graphicData uri="http://schemas.microsoft.com/office/word/2010/wordprocessingGroup">
                    <wpg:wgp>
                      <wpg:cNvGrpSpPr/>
                      <wpg:grpSpPr>
                        <a:xfrm>
                          <a:off x="0" y="0"/>
                          <a:ext cx="1703436" cy="1954967"/>
                          <a:chOff x="0" y="0"/>
                          <a:chExt cx="1703436" cy="1954967"/>
                        </a:xfrm>
                      </wpg:grpSpPr>
                      <wps:wsp>
                        <wps:cNvPr id="390" name="Rectangle 390"/>
                        <wps:cNvSpPr/>
                        <wps:spPr>
                          <a:xfrm>
                            <a:off x="12700" y="0"/>
                            <a:ext cx="44592" cy="202692"/>
                          </a:xfrm>
                          <a:prstGeom prst="rect">
                            <a:avLst/>
                          </a:prstGeom>
                          <a:ln>
                            <a:noFill/>
                          </a:ln>
                        </wps:spPr>
                        <wps:txbx>
                          <w:txbxContent>
                            <w:p w14:paraId="0BE7008E" w14:textId="77777777" w:rsidR="002B623B" w:rsidRDefault="00AD04ED">
                              <w:pPr>
                                <w:spacing w:after="160" w:line="259" w:lineRule="auto"/>
                                <w:ind w:left="0" w:firstLine="0"/>
                              </w:pPr>
                              <w:r>
                                <w:rPr>
                                  <w:b/>
                                  <w:color w:val="0070C0"/>
                                  <w:sz w:val="24"/>
                                </w:rPr>
                                <w:t xml:space="preserve"> </w:t>
                              </w:r>
                            </w:p>
                          </w:txbxContent>
                        </wps:txbx>
                        <wps:bodyPr horzOverflow="overflow" vert="horz" lIns="0" tIns="0" rIns="0" bIns="0" rtlCol="0">
                          <a:noAutofit/>
                        </wps:bodyPr>
                      </wps:wsp>
                      <wps:wsp>
                        <wps:cNvPr id="391" name="Rectangle 391"/>
                        <wps:cNvSpPr/>
                        <wps:spPr>
                          <a:xfrm>
                            <a:off x="12700" y="214884"/>
                            <a:ext cx="751582" cy="202692"/>
                          </a:xfrm>
                          <a:prstGeom prst="rect">
                            <a:avLst/>
                          </a:prstGeom>
                          <a:ln>
                            <a:noFill/>
                          </a:ln>
                        </wps:spPr>
                        <wps:txbx>
                          <w:txbxContent>
                            <w:p w14:paraId="6769CB11" w14:textId="77777777" w:rsidR="002B623B" w:rsidRDefault="00AD04ED">
                              <w:pPr>
                                <w:spacing w:after="160" w:line="259" w:lineRule="auto"/>
                                <w:ind w:left="0" w:firstLine="0"/>
                              </w:pPr>
                              <w:r>
                                <w:rPr>
                                  <w:b/>
                                  <w:color w:val="0070C0"/>
                                  <w:sz w:val="24"/>
                                </w:rPr>
                                <w:t xml:space="preserve">Contact </w:t>
                              </w:r>
                            </w:p>
                          </w:txbxContent>
                        </wps:txbx>
                        <wps:bodyPr horzOverflow="overflow" vert="horz" lIns="0" tIns="0" rIns="0" bIns="0" rtlCol="0">
                          <a:noAutofit/>
                        </wps:bodyPr>
                      </wps:wsp>
                      <wps:wsp>
                        <wps:cNvPr id="392" name="Rectangle 392"/>
                        <wps:cNvSpPr/>
                        <wps:spPr>
                          <a:xfrm>
                            <a:off x="576834" y="214884"/>
                            <a:ext cx="44592" cy="202692"/>
                          </a:xfrm>
                          <a:prstGeom prst="rect">
                            <a:avLst/>
                          </a:prstGeom>
                          <a:ln>
                            <a:noFill/>
                          </a:ln>
                        </wps:spPr>
                        <wps:txbx>
                          <w:txbxContent>
                            <w:p w14:paraId="7BF50DE5" w14:textId="77777777" w:rsidR="002B623B" w:rsidRDefault="00AD04ED">
                              <w:pPr>
                                <w:spacing w:after="160" w:line="259" w:lineRule="auto"/>
                                <w:ind w:left="0" w:firstLine="0"/>
                              </w:pPr>
                              <w:r>
                                <w:rPr>
                                  <w:b/>
                                  <w:color w:val="0070C0"/>
                                  <w:sz w:val="24"/>
                                </w:rPr>
                                <w:t xml:space="preserve"> </w:t>
                              </w:r>
                            </w:p>
                          </w:txbxContent>
                        </wps:txbx>
                        <wps:bodyPr horzOverflow="overflow" vert="horz" lIns="0" tIns="0" rIns="0" bIns="0" rtlCol="0">
                          <a:noAutofit/>
                        </wps:bodyPr>
                      </wps:wsp>
                      <wps:wsp>
                        <wps:cNvPr id="396" name="Rectangle 396"/>
                        <wps:cNvSpPr/>
                        <wps:spPr>
                          <a:xfrm>
                            <a:off x="933450" y="425535"/>
                            <a:ext cx="41025" cy="186477"/>
                          </a:xfrm>
                          <a:prstGeom prst="rect">
                            <a:avLst/>
                          </a:prstGeom>
                          <a:ln>
                            <a:noFill/>
                          </a:ln>
                        </wps:spPr>
                        <wps:txbx>
                          <w:txbxContent>
                            <w:p w14:paraId="734F8B0E"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400" name="Rectangle 400"/>
                        <wps:cNvSpPr/>
                        <wps:spPr>
                          <a:xfrm>
                            <a:off x="1120902" y="622131"/>
                            <a:ext cx="41025" cy="186477"/>
                          </a:xfrm>
                          <a:prstGeom prst="rect">
                            <a:avLst/>
                          </a:prstGeom>
                          <a:ln>
                            <a:noFill/>
                          </a:ln>
                        </wps:spPr>
                        <wps:txbx>
                          <w:txbxContent>
                            <w:p w14:paraId="23BC6A63"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401" name="Rectangle 401"/>
                        <wps:cNvSpPr/>
                        <wps:spPr>
                          <a:xfrm>
                            <a:off x="12700" y="818727"/>
                            <a:ext cx="41025" cy="186477"/>
                          </a:xfrm>
                          <a:prstGeom prst="rect">
                            <a:avLst/>
                          </a:prstGeom>
                          <a:ln>
                            <a:noFill/>
                          </a:ln>
                        </wps:spPr>
                        <wps:txbx>
                          <w:txbxContent>
                            <w:p w14:paraId="4C93FDF8"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408" name="Rectangle 408"/>
                        <wps:cNvSpPr/>
                        <wps:spPr>
                          <a:xfrm>
                            <a:off x="1152906" y="1015323"/>
                            <a:ext cx="41025" cy="186477"/>
                          </a:xfrm>
                          <a:prstGeom prst="rect">
                            <a:avLst/>
                          </a:prstGeom>
                          <a:ln>
                            <a:noFill/>
                          </a:ln>
                        </wps:spPr>
                        <wps:txbx>
                          <w:txbxContent>
                            <w:p w14:paraId="0D8081BC"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415" name="Rectangle 415"/>
                        <wps:cNvSpPr/>
                        <wps:spPr>
                          <a:xfrm>
                            <a:off x="781050" y="1211919"/>
                            <a:ext cx="41025" cy="186476"/>
                          </a:xfrm>
                          <a:prstGeom prst="rect">
                            <a:avLst/>
                          </a:prstGeom>
                          <a:ln>
                            <a:noFill/>
                          </a:ln>
                        </wps:spPr>
                        <wps:txbx>
                          <w:txbxContent>
                            <w:p w14:paraId="405FBF33"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422" name="Rectangle 422"/>
                        <wps:cNvSpPr/>
                        <wps:spPr>
                          <a:xfrm>
                            <a:off x="1041654" y="1408515"/>
                            <a:ext cx="41025" cy="186476"/>
                          </a:xfrm>
                          <a:prstGeom prst="rect">
                            <a:avLst/>
                          </a:prstGeom>
                          <a:ln>
                            <a:noFill/>
                          </a:ln>
                        </wps:spPr>
                        <wps:txbx>
                          <w:txbxContent>
                            <w:p w14:paraId="3806499B"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429" name="Rectangle 429"/>
                        <wps:cNvSpPr/>
                        <wps:spPr>
                          <a:xfrm>
                            <a:off x="998982" y="1605492"/>
                            <a:ext cx="41025" cy="186476"/>
                          </a:xfrm>
                          <a:prstGeom prst="rect">
                            <a:avLst/>
                          </a:prstGeom>
                          <a:ln>
                            <a:noFill/>
                          </a:ln>
                        </wps:spPr>
                        <wps:txbx>
                          <w:txbxContent>
                            <w:p w14:paraId="69C37AEE"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430" name="Rectangle 430"/>
                        <wps:cNvSpPr/>
                        <wps:spPr>
                          <a:xfrm>
                            <a:off x="1642110" y="1802089"/>
                            <a:ext cx="41025" cy="186476"/>
                          </a:xfrm>
                          <a:prstGeom prst="rect">
                            <a:avLst/>
                          </a:prstGeom>
                          <a:ln>
                            <a:noFill/>
                          </a:ln>
                        </wps:spPr>
                        <wps:txbx>
                          <w:txbxContent>
                            <w:p w14:paraId="16C7F57E"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431" name="Rectangle 431"/>
                        <wps:cNvSpPr/>
                        <wps:spPr>
                          <a:xfrm>
                            <a:off x="1672590" y="1802089"/>
                            <a:ext cx="41025" cy="186476"/>
                          </a:xfrm>
                          <a:prstGeom prst="rect">
                            <a:avLst/>
                          </a:prstGeom>
                          <a:ln>
                            <a:noFill/>
                          </a:ln>
                        </wps:spPr>
                        <wps:txbx>
                          <w:txbxContent>
                            <w:p w14:paraId="75B8ADF6" w14:textId="77777777" w:rsidR="002B623B" w:rsidRDefault="00AD04ED">
                              <w:pPr>
                                <w:spacing w:after="160" w:line="259" w:lineRule="auto"/>
                                <w:ind w:left="0" w:firstLine="0"/>
                              </w:pPr>
                              <w:r>
                                <w:t xml:space="preserve"> </w:t>
                              </w:r>
                            </w:p>
                          </w:txbxContent>
                        </wps:txbx>
                        <wps:bodyPr horzOverflow="overflow" vert="horz" lIns="0" tIns="0" rIns="0" bIns="0" rtlCol="0">
                          <a:noAutofit/>
                        </wps:bodyPr>
                      </wps:wsp>
                      <wps:wsp>
                        <wps:cNvPr id="17383" name="Shape 17383"/>
                        <wps:cNvSpPr/>
                        <wps:spPr>
                          <a:xfrm>
                            <a:off x="0" y="438206"/>
                            <a:ext cx="921029" cy="140208"/>
                          </a:xfrm>
                          <a:custGeom>
                            <a:avLst/>
                            <a:gdLst/>
                            <a:ahLst/>
                            <a:cxnLst/>
                            <a:rect l="0" t="0" r="0" b="0"/>
                            <a:pathLst>
                              <a:path w="921029" h="140208">
                                <a:moveTo>
                                  <a:pt x="0" y="0"/>
                                </a:moveTo>
                                <a:lnTo>
                                  <a:pt x="921029" y="0"/>
                                </a:lnTo>
                                <a:lnTo>
                                  <a:pt x="921029"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4" name="Shape 17384"/>
                        <wps:cNvSpPr/>
                        <wps:spPr>
                          <a:xfrm>
                            <a:off x="0" y="634802"/>
                            <a:ext cx="1108761" cy="140208"/>
                          </a:xfrm>
                          <a:custGeom>
                            <a:avLst/>
                            <a:gdLst/>
                            <a:ahLst/>
                            <a:cxnLst/>
                            <a:rect l="0" t="0" r="0" b="0"/>
                            <a:pathLst>
                              <a:path w="1108761" h="140208">
                                <a:moveTo>
                                  <a:pt x="0" y="0"/>
                                </a:moveTo>
                                <a:lnTo>
                                  <a:pt x="1108761" y="0"/>
                                </a:lnTo>
                                <a:lnTo>
                                  <a:pt x="1108761"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5" name="Shape 17385"/>
                        <wps:cNvSpPr/>
                        <wps:spPr>
                          <a:xfrm>
                            <a:off x="0" y="1027994"/>
                            <a:ext cx="1140740" cy="140208"/>
                          </a:xfrm>
                          <a:custGeom>
                            <a:avLst/>
                            <a:gdLst/>
                            <a:ahLst/>
                            <a:cxnLst/>
                            <a:rect l="0" t="0" r="0" b="0"/>
                            <a:pathLst>
                              <a:path w="1140740" h="140208">
                                <a:moveTo>
                                  <a:pt x="0" y="0"/>
                                </a:moveTo>
                                <a:lnTo>
                                  <a:pt x="1140740" y="0"/>
                                </a:lnTo>
                                <a:lnTo>
                                  <a:pt x="1140740"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6" name="Shape 17386"/>
                        <wps:cNvSpPr/>
                        <wps:spPr>
                          <a:xfrm>
                            <a:off x="0" y="1224590"/>
                            <a:ext cx="769455" cy="140208"/>
                          </a:xfrm>
                          <a:custGeom>
                            <a:avLst/>
                            <a:gdLst/>
                            <a:ahLst/>
                            <a:cxnLst/>
                            <a:rect l="0" t="0" r="0" b="0"/>
                            <a:pathLst>
                              <a:path w="769455" h="140208">
                                <a:moveTo>
                                  <a:pt x="0" y="0"/>
                                </a:moveTo>
                                <a:lnTo>
                                  <a:pt x="769455" y="0"/>
                                </a:lnTo>
                                <a:lnTo>
                                  <a:pt x="769455"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7" name="Shape 17387"/>
                        <wps:cNvSpPr/>
                        <wps:spPr>
                          <a:xfrm>
                            <a:off x="0" y="1421186"/>
                            <a:ext cx="1029970" cy="140208"/>
                          </a:xfrm>
                          <a:custGeom>
                            <a:avLst/>
                            <a:gdLst/>
                            <a:ahLst/>
                            <a:cxnLst/>
                            <a:rect l="0" t="0" r="0" b="0"/>
                            <a:pathLst>
                              <a:path w="1029970" h="140208">
                                <a:moveTo>
                                  <a:pt x="0" y="0"/>
                                </a:moveTo>
                                <a:lnTo>
                                  <a:pt x="1029970" y="0"/>
                                </a:lnTo>
                                <a:lnTo>
                                  <a:pt x="1029970"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8" name="Shape 17388"/>
                        <wps:cNvSpPr/>
                        <wps:spPr>
                          <a:xfrm>
                            <a:off x="0" y="1618163"/>
                            <a:ext cx="987488" cy="140208"/>
                          </a:xfrm>
                          <a:custGeom>
                            <a:avLst/>
                            <a:gdLst/>
                            <a:ahLst/>
                            <a:cxnLst/>
                            <a:rect l="0" t="0" r="0" b="0"/>
                            <a:pathLst>
                              <a:path w="987488" h="140208">
                                <a:moveTo>
                                  <a:pt x="0" y="0"/>
                                </a:moveTo>
                                <a:lnTo>
                                  <a:pt x="987488" y="0"/>
                                </a:lnTo>
                                <a:lnTo>
                                  <a:pt x="987488"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9" name="Shape 17389"/>
                        <wps:cNvSpPr/>
                        <wps:spPr>
                          <a:xfrm>
                            <a:off x="0" y="1814759"/>
                            <a:ext cx="1628102" cy="140208"/>
                          </a:xfrm>
                          <a:custGeom>
                            <a:avLst/>
                            <a:gdLst/>
                            <a:ahLst/>
                            <a:cxnLst/>
                            <a:rect l="0" t="0" r="0" b="0"/>
                            <a:pathLst>
                              <a:path w="1628102" h="140208">
                                <a:moveTo>
                                  <a:pt x="0" y="0"/>
                                </a:moveTo>
                                <a:lnTo>
                                  <a:pt x="1628102" y="0"/>
                                </a:lnTo>
                                <a:lnTo>
                                  <a:pt x="1628102"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97" style="width:134.129pt;height:153.934pt;mso-position-horizontal-relative:char;mso-position-vertical-relative:line" coordsize="17034,19549">
                <v:rect id="Rectangle 390" style="position:absolute;width:445;height:2026;left:127;top:0;" filled="f" stroked="f">
                  <v:textbox inset="0,0,0,0">
                    <w:txbxContent>
                      <w:p>
                        <w:pPr>
                          <w:spacing w:before="0" w:after="160" w:line="259" w:lineRule="auto"/>
                          <w:ind w:left="0" w:firstLine="0"/>
                        </w:pPr>
                        <w:r>
                          <w:rPr>
                            <w:rFonts w:cs="Cambria" w:hAnsi="Cambria" w:eastAsia="Cambria" w:ascii="Cambria"/>
                            <w:b w:val="1"/>
                            <w:color w:val="0070c0"/>
                            <w:sz w:val="24"/>
                          </w:rPr>
                          <w:t xml:space="preserve"> </w:t>
                        </w:r>
                      </w:p>
                    </w:txbxContent>
                  </v:textbox>
                </v:rect>
                <v:rect id="Rectangle 391" style="position:absolute;width:7515;height:2026;left:127;top:2148;" filled="f" stroked="f">
                  <v:textbox inset="0,0,0,0">
                    <w:txbxContent>
                      <w:p>
                        <w:pPr>
                          <w:spacing w:before="0" w:after="160" w:line="259" w:lineRule="auto"/>
                          <w:ind w:left="0" w:firstLine="0"/>
                        </w:pPr>
                        <w:r>
                          <w:rPr>
                            <w:rFonts w:cs="Cambria" w:hAnsi="Cambria" w:eastAsia="Cambria" w:ascii="Cambria"/>
                            <w:b w:val="1"/>
                            <w:color w:val="0070c0"/>
                            <w:sz w:val="24"/>
                          </w:rPr>
                          <w:t xml:space="preserve">Contact </w:t>
                        </w:r>
                      </w:p>
                    </w:txbxContent>
                  </v:textbox>
                </v:rect>
                <v:rect id="Rectangle 392" style="position:absolute;width:445;height:2026;left:5768;top:2148;" filled="f" stroked="f">
                  <v:textbox inset="0,0,0,0">
                    <w:txbxContent>
                      <w:p>
                        <w:pPr>
                          <w:spacing w:before="0" w:after="160" w:line="259" w:lineRule="auto"/>
                          <w:ind w:left="0" w:firstLine="0"/>
                        </w:pPr>
                        <w:r>
                          <w:rPr>
                            <w:rFonts w:cs="Cambria" w:hAnsi="Cambria" w:eastAsia="Cambria" w:ascii="Cambria"/>
                            <w:b w:val="1"/>
                            <w:color w:val="0070c0"/>
                            <w:sz w:val="24"/>
                          </w:rPr>
                          <w:t xml:space="preserve"> </w:t>
                        </w:r>
                      </w:p>
                    </w:txbxContent>
                  </v:textbox>
                </v:rect>
                <v:rect id="Rectangle 396" style="position:absolute;width:410;height:1864;left:9334;top:4255;" filled="f" stroked="f">
                  <v:textbox inset="0,0,0,0">
                    <w:txbxContent>
                      <w:p>
                        <w:pPr>
                          <w:spacing w:before="0" w:after="160" w:line="259" w:lineRule="auto"/>
                          <w:ind w:left="0" w:firstLine="0"/>
                        </w:pPr>
                        <w:r>
                          <w:rPr/>
                          <w:t xml:space="preserve"> </w:t>
                        </w:r>
                      </w:p>
                    </w:txbxContent>
                  </v:textbox>
                </v:rect>
                <v:rect id="Rectangle 400" style="position:absolute;width:410;height:1864;left:11209;top:6221;" filled="f" stroked="f">
                  <v:textbox inset="0,0,0,0">
                    <w:txbxContent>
                      <w:p>
                        <w:pPr>
                          <w:spacing w:before="0" w:after="160" w:line="259" w:lineRule="auto"/>
                          <w:ind w:left="0" w:firstLine="0"/>
                        </w:pPr>
                        <w:r>
                          <w:rPr/>
                          <w:t xml:space="preserve"> </w:t>
                        </w:r>
                      </w:p>
                    </w:txbxContent>
                  </v:textbox>
                </v:rect>
                <v:rect id="Rectangle 401" style="position:absolute;width:410;height:1864;left:127;top:8187;" filled="f" stroked="f">
                  <v:textbox inset="0,0,0,0">
                    <w:txbxContent>
                      <w:p>
                        <w:pPr>
                          <w:spacing w:before="0" w:after="160" w:line="259" w:lineRule="auto"/>
                          <w:ind w:left="0" w:firstLine="0"/>
                        </w:pPr>
                        <w:r>
                          <w:rPr/>
                          <w:t xml:space="preserve"> </w:t>
                        </w:r>
                      </w:p>
                    </w:txbxContent>
                  </v:textbox>
                </v:rect>
                <v:rect id="Rectangle 408" style="position:absolute;width:410;height:1864;left:11529;top:10153;" filled="f" stroked="f">
                  <v:textbox inset="0,0,0,0">
                    <w:txbxContent>
                      <w:p>
                        <w:pPr>
                          <w:spacing w:before="0" w:after="160" w:line="259" w:lineRule="auto"/>
                          <w:ind w:left="0" w:firstLine="0"/>
                        </w:pPr>
                        <w:r>
                          <w:rPr/>
                          <w:t xml:space="preserve"> </w:t>
                        </w:r>
                      </w:p>
                    </w:txbxContent>
                  </v:textbox>
                </v:rect>
                <v:rect id="Rectangle 415" style="position:absolute;width:410;height:1864;left:7810;top:12119;" filled="f" stroked="f">
                  <v:textbox inset="0,0,0,0">
                    <w:txbxContent>
                      <w:p>
                        <w:pPr>
                          <w:spacing w:before="0" w:after="160" w:line="259" w:lineRule="auto"/>
                          <w:ind w:left="0" w:firstLine="0"/>
                        </w:pPr>
                        <w:r>
                          <w:rPr/>
                          <w:t xml:space="preserve"> </w:t>
                        </w:r>
                      </w:p>
                    </w:txbxContent>
                  </v:textbox>
                </v:rect>
                <v:rect id="Rectangle 422" style="position:absolute;width:410;height:1864;left:10416;top:14085;" filled="f" stroked="f">
                  <v:textbox inset="0,0,0,0">
                    <w:txbxContent>
                      <w:p>
                        <w:pPr>
                          <w:spacing w:before="0" w:after="160" w:line="259" w:lineRule="auto"/>
                          <w:ind w:left="0" w:firstLine="0"/>
                        </w:pPr>
                        <w:r>
                          <w:rPr/>
                          <w:t xml:space="preserve"> </w:t>
                        </w:r>
                      </w:p>
                    </w:txbxContent>
                  </v:textbox>
                </v:rect>
                <v:rect id="Rectangle 429" style="position:absolute;width:410;height:1864;left:9989;top:16054;" filled="f" stroked="f">
                  <v:textbox inset="0,0,0,0">
                    <w:txbxContent>
                      <w:p>
                        <w:pPr>
                          <w:spacing w:before="0" w:after="160" w:line="259" w:lineRule="auto"/>
                          <w:ind w:left="0" w:firstLine="0"/>
                        </w:pPr>
                        <w:r>
                          <w:rPr/>
                          <w:t xml:space="preserve"> </w:t>
                        </w:r>
                      </w:p>
                    </w:txbxContent>
                  </v:textbox>
                </v:rect>
                <v:rect id="Rectangle 430" style="position:absolute;width:410;height:1864;left:16421;top:18020;" filled="f" stroked="f">
                  <v:textbox inset="0,0,0,0">
                    <w:txbxContent>
                      <w:p>
                        <w:pPr>
                          <w:spacing w:before="0" w:after="160" w:line="259" w:lineRule="auto"/>
                          <w:ind w:left="0" w:firstLine="0"/>
                        </w:pPr>
                        <w:r>
                          <w:rPr/>
                          <w:t xml:space="preserve"> </w:t>
                        </w:r>
                      </w:p>
                    </w:txbxContent>
                  </v:textbox>
                </v:rect>
                <v:rect id="Rectangle 431" style="position:absolute;width:410;height:1864;left:16725;top:18020;" filled="f" stroked="f">
                  <v:textbox inset="0,0,0,0">
                    <w:txbxContent>
                      <w:p>
                        <w:pPr>
                          <w:spacing w:before="0" w:after="160" w:line="259" w:lineRule="auto"/>
                          <w:ind w:left="0" w:firstLine="0"/>
                        </w:pPr>
                        <w:r>
                          <w:rPr/>
                          <w:t xml:space="preserve"> </w:t>
                        </w:r>
                      </w:p>
                    </w:txbxContent>
                  </v:textbox>
                </v:rect>
                <v:shape id="Shape 17390" style="position:absolute;width:9210;height:1402;left:0;top:4382;" coordsize="921029,140208" path="m0,0l921029,0l921029,140208l0,140208l0,0">
                  <v:stroke weight="0pt" endcap="flat" joinstyle="miter" miterlimit="10" on="false" color="#000000" opacity="0"/>
                  <v:fill on="true" color="#000000"/>
                </v:shape>
                <v:shape id="Shape 17391" style="position:absolute;width:11087;height:1402;left:0;top:6348;" coordsize="1108761,140208" path="m0,0l1108761,0l1108761,140208l0,140208l0,0">
                  <v:stroke weight="0pt" endcap="flat" joinstyle="miter" miterlimit="10" on="false" color="#000000" opacity="0"/>
                  <v:fill on="true" color="#000000"/>
                </v:shape>
                <v:shape id="Shape 17392" style="position:absolute;width:11407;height:1402;left:0;top:10279;" coordsize="1140740,140208" path="m0,0l1140740,0l1140740,140208l0,140208l0,0">
                  <v:stroke weight="0pt" endcap="flat" joinstyle="miter" miterlimit="10" on="false" color="#000000" opacity="0"/>
                  <v:fill on="true" color="#000000"/>
                </v:shape>
                <v:shape id="Shape 17393" style="position:absolute;width:7694;height:1402;left:0;top:12245;" coordsize="769455,140208" path="m0,0l769455,0l769455,140208l0,140208l0,0">
                  <v:stroke weight="0pt" endcap="flat" joinstyle="miter" miterlimit="10" on="false" color="#000000" opacity="0"/>
                  <v:fill on="true" color="#000000"/>
                </v:shape>
                <v:shape id="Shape 17394" style="position:absolute;width:10299;height:1402;left:0;top:14211;" coordsize="1029970,140208" path="m0,0l1029970,0l1029970,140208l0,140208l0,0">
                  <v:stroke weight="0pt" endcap="flat" joinstyle="miter" miterlimit="10" on="false" color="#000000" opacity="0"/>
                  <v:fill on="true" color="#000000"/>
                </v:shape>
                <v:shape id="Shape 17395" style="position:absolute;width:9874;height:1402;left:0;top:16181;" coordsize="987488,140208" path="m0,0l987488,0l987488,140208l0,140208l0,0">
                  <v:stroke weight="0pt" endcap="flat" joinstyle="miter" miterlimit="10" on="false" color="#000000" opacity="0"/>
                  <v:fill on="true" color="#000000"/>
                </v:shape>
                <v:shape id="Shape 17396" style="position:absolute;width:16281;height:1402;left:0;top:18147;" coordsize="1628102,140208" path="m0,0l1628102,0l1628102,140208l0,140208l0,0">
                  <v:stroke weight="0pt" endcap="flat" joinstyle="miter" miterlimit="10" on="false" color="#000000" opacity="0"/>
                  <v:fill on="true" color="#000000"/>
                </v:shape>
              </v:group>
            </w:pict>
          </mc:Fallback>
        </mc:AlternateContent>
      </w:r>
    </w:p>
    <w:p w14:paraId="752AD3E2" w14:textId="77777777" w:rsidR="002B623B" w:rsidRDefault="00AD04ED">
      <w:pPr>
        <w:spacing w:after="0" w:line="259" w:lineRule="auto"/>
        <w:ind w:left="0" w:firstLine="0"/>
      </w:pPr>
      <w:r>
        <w:rPr>
          <w:sz w:val="24"/>
        </w:rPr>
        <w:t xml:space="preserve"> </w:t>
      </w:r>
    </w:p>
    <w:bookmarkStart w:id="1" w:name="_Toc17312" w:displacedByCustomXml="next"/>
    <w:sdt>
      <w:sdtPr>
        <w:rPr>
          <w:rFonts w:ascii="Cambria" w:eastAsia="Cambria" w:hAnsi="Cambria" w:cs="Cambria"/>
          <w:b w:val="0"/>
          <w:color w:val="000000"/>
          <w:sz w:val="22"/>
        </w:rPr>
        <w:id w:val="480885870"/>
        <w:docPartObj>
          <w:docPartGallery w:val="Table of Contents"/>
        </w:docPartObj>
      </w:sdtPr>
      <w:sdtEndPr/>
      <w:sdtContent>
        <w:p w14:paraId="070F76C6" w14:textId="77777777" w:rsidR="002B623B" w:rsidRDefault="00AD04ED">
          <w:pPr>
            <w:pStyle w:val="Heading1"/>
            <w:ind w:left="-5"/>
          </w:pPr>
          <w:r>
            <w:t xml:space="preserve">Contents </w:t>
          </w:r>
          <w:bookmarkEnd w:id="1"/>
        </w:p>
        <w:p w14:paraId="774C2C2B" w14:textId="77777777" w:rsidR="002B623B" w:rsidRDefault="00AD04ED">
          <w:pPr>
            <w:spacing w:after="0" w:line="259" w:lineRule="auto"/>
            <w:ind w:left="0" w:firstLine="0"/>
          </w:pPr>
          <w:r>
            <w:rPr>
              <w:rFonts w:ascii="Calibri" w:eastAsia="Calibri" w:hAnsi="Calibri" w:cs="Calibri"/>
              <w:b/>
              <w:color w:val="365F91"/>
              <w:sz w:val="28"/>
            </w:rPr>
            <w:t xml:space="preserve"> </w:t>
          </w:r>
        </w:p>
        <w:p w14:paraId="40476E33" w14:textId="77777777" w:rsidR="002B623B" w:rsidRDefault="00AD04ED">
          <w:pPr>
            <w:pStyle w:val="TOC1"/>
            <w:tabs>
              <w:tab w:val="right" w:leader="dot" w:pos="9515"/>
            </w:tabs>
          </w:pPr>
          <w:r>
            <w:fldChar w:fldCharType="begin"/>
          </w:r>
          <w:r>
            <w:instrText xml:space="preserve"> TOC \o "1-2" \h \z \u </w:instrText>
          </w:r>
          <w:r>
            <w:fldChar w:fldCharType="separate"/>
          </w:r>
          <w:hyperlink w:anchor="_Toc17311">
            <w:r>
              <w:rPr>
                <w:rFonts w:ascii="Segoe UI" w:eastAsia="Segoe UI" w:hAnsi="Segoe UI" w:cs="Segoe UI"/>
              </w:rPr>
              <w:t>About Anglicare Australia</w:t>
            </w:r>
            <w:r>
              <w:tab/>
            </w:r>
            <w:r>
              <w:fldChar w:fldCharType="begin"/>
            </w:r>
            <w:r>
              <w:instrText>PAGEREF _Toc17311 \h</w:instrText>
            </w:r>
            <w:r>
              <w:fldChar w:fldCharType="separate"/>
            </w:r>
            <w:r>
              <w:t xml:space="preserve">2 </w:t>
            </w:r>
            <w:r>
              <w:fldChar w:fldCharType="end"/>
            </w:r>
          </w:hyperlink>
        </w:p>
        <w:p w14:paraId="0F5B68AE" w14:textId="77777777" w:rsidR="002B623B" w:rsidRDefault="00AD04ED">
          <w:pPr>
            <w:pStyle w:val="TOC1"/>
            <w:tabs>
              <w:tab w:val="right" w:leader="dot" w:pos="9515"/>
            </w:tabs>
          </w:pPr>
          <w:hyperlink w:anchor="_Toc17312">
            <w:r>
              <w:rPr>
                <w:rFonts w:ascii="Segoe UI" w:eastAsia="Segoe UI" w:hAnsi="Segoe UI" w:cs="Segoe UI"/>
              </w:rPr>
              <w:t>Contents</w:t>
            </w:r>
            <w:r>
              <w:tab/>
            </w:r>
            <w:r>
              <w:fldChar w:fldCharType="begin"/>
            </w:r>
            <w:r>
              <w:instrText>PAGEREF _Toc17312 \h</w:instrText>
            </w:r>
            <w:r>
              <w:fldChar w:fldCharType="separate"/>
            </w:r>
            <w:r>
              <w:t xml:space="preserve">3 </w:t>
            </w:r>
            <w:r>
              <w:fldChar w:fldCharType="end"/>
            </w:r>
          </w:hyperlink>
        </w:p>
        <w:p w14:paraId="40CB9FFF" w14:textId="77777777" w:rsidR="002B623B" w:rsidRDefault="00AD04ED">
          <w:pPr>
            <w:pStyle w:val="TOC1"/>
            <w:tabs>
              <w:tab w:val="right" w:leader="dot" w:pos="9515"/>
            </w:tabs>
          </w:pPr>
          <w:hyperlink w:anchor="_Toc17313">
            <w:r>
              <w:rPr>
                <w:rFonts w:ascii="Segoe UI" w:eastAsia="Segoe UI" w:hAnsi="Segoe UI" w:cs="Segoe UI"/>
              </w:rPr>
              <w:t>Introduction</w:t>
            </w:r>
            <w:r>
              <w:tab/>
            </w:r>
            <w:r>
              <w:fldChar w:fldCharType="begin"/>
            </w:r>
            <w:r>
              <w:instrText>PAGEREF _Toc17313 \h</w:instrText>
            </w:r>
            <w:r>
              <w:fldChar w:fldCharType="separate"/>
            </w:r>
            <w:r>
              <w:t xml:space="preserve">4 </w:t>
            </w:r>
            <w:r>
              <w:fldChar w:fldCharType="end"/>
            </w:r>
          </w:hyperlink>
        </w:p>
        <w:p w14:paraId="5EC5C9BC" w14:textId="77777777" w:rsidR="002B623B" w:rsidRDefault="00AD04ED">
          <w:pPr>
            <w:pStyle w:val="TOC1"/>
            <w:tabs>
              <w:tab w:val="right" w:leader="dot" w:pos="9515"/>
            </w:tabs>
          </w:pPr>
          <w:hyperlink w:anchor="_Toc17314">
            <w:r>
              <w:rPr>
                <w:rFonts w:ascii="Segoe UI" w:eastAsia="Segoe UI" w:hAnsi="Segoe UI" w:cs="Segoe UI"/>
              </w:rPr>
              <w:t>Vision and Outcomes</w:t>
            </w:r>
            <w:r>
              <w:tab/>
            </w:r>
            <w:r>
              <w:fldChar w:fldCharType="begin"/>
            </w:r>
            <w:r>
              <w:instrText>PAGEREF _Toc17314 \h</w:instrText>
            </w:r>
            <w:r>
              <w:fldChar w:fldCharType="separate"/>
            </w:r>
            <w:r>
              <w:t xml:space="preserve">5 </w:t>
            </w:r>
            <w:r>
              <w:fldChar w:fldCharType="end"/>
            </w:r>
          </w:hyperlink>
        </w:p>
        <w:p w14:paraId="64D911CD" w14:textId="77777777" w:rsidR="002B623B" w:rsidRDefault="00AD04ED">
          <w:pPr>
            <w:pStyle w:val="TOC2"/>
            <w:tabs>
              <w:tab w:val="right" w:leader="dot" w:pos="9515"/>
            </w:tabs>
          </w:pPr>
          <w:hyperlink w:anchor="_Toc17315">
            <w:r>
              <w:rPr>
                <w:rFonts w:ascii="Segoe UI" w:eastAsia="Segoe UI" w:hAnsi="Segoe UI" w:cs="Segoe UI"/>
              </w:rPr>
              <w:t>Inclusivity</w:t>
            </w:r>
            <w:r>
              <w:tab/>
            </w:r>
            <w:r>
              <w:fldChar w:fldCharType="begin"/>
            </w:r>
            <w:r>
              <w:instrText>PAGEREF _Toc17315 \h</w:instrText>
            </w:r>
            <w:r>
              <w:fldChar w:fldCharType="separate"/>
            </w:r>
            <w:r>
              <w:t xml:space="preserve">5 </w:t>
            </w:r>
            <w:r>
              <w:fldChar w:fldCharType="end"/>
            </w:r>
          </w:hyperlink>
        </w:p>
        <w:p w14:paraId="768CE3E0" w14:textId="77777777" w:rsidR="002B623B" w:rsidRDefault="00AD04ED">
          <w:pPr>
            <w:pStyle w:val="TOC2"/>
            <w:tabs>
              <w:tab w:val="right" w:leader="dot" w:pos="9515"/>
            </w:tabs>
          </w:pPr>
          <w:hyperlink w:anchor="_Toc17316">
            <w:r>
              <w:rPr>
                <w:rFonts w:ascii="Segoe UI" w:eastAsia="Segoe UI" w:hAnsi="Segoe UI" w:cs="Segoe UI"/>
              </w:rPr>
              <w:t>Diversity</w:t>
            </w:r>
            <w:r>
              <w:tab/>
            </w:r>
            <w:r>
              <w:fldChar w:fldCharType="begin"/>
            </w:r>
            <w:r>
              <w:instrText>PAGEREF _Toc17316 \h</w:instrText>
            </w:r>
            <w:r>
              <w:fldChar w:fldCharType="separate"/>
            </w:r>
            <w:r>
              <w:t xml:space="preserve">5 </w:t>
            </w:r>
            <w:r>
              <w:fldChar w:fldCharType="end"/>
            </w:r>
          </w:hyperlink>
        </w:p>
        <w:p w14:paraId="160EF2A0" w14:textId="77777777" w:rsidR="002B623B" w:rsidRDefault="00AD04ED">
          <w:pPr>
            <w:pStyle w:val="TOC2"/>
            <w:tabs>
              <w:tab w:val="right" w:leader="dot" w:pos="9515"/>
            </w:tabs>
          </w:pPr>
          <w:hyperlink w:anchor="_Toc17317">
            <w:r>
              <w:rPr>
                <w:rFonts w:ascii="Segoe UI" w:eastAsia="Segoe UI" w:hAnsi="Segoe UI" w:cs="Segoe UI"/>
              </w:rPr>
              <w:t>Rights of the Child</w:t>
            </w:r>
            <w:r>
              <w:tab/>
            </w:r>
            <w:r>
              <w:fldChar w:fldCharType="begin"/>
            </w:r>
            <w:r>
              <w:instrText>PAGEREF _Toc17317 \h</w:instrText>
            </w:r>
            <w:r>
              <w:fldChar w:fldCharType="separate"/>
            </w:r>
            <w:r>
              <w:t xml:space="preserve">5 </w:t>
            </w:r>
            <w:r>
              <w:fldChar w:fldCharType="end"/>
            </w:r>
          </w:hyperlink>
        </w:p>
        <w:p w14:paraId="567EAD7B" w14:textId="77777777" w:rsidR="002B623B" w:rsidRDefault="00AD04ED">
          <w:pPr>
            <w:pStyle w:val="TOC1"/>
            <w:tabs>
              <w:tab w:val="right" w:leader="dot" w:pos="9515"/>
            </w:tabs>
          </w:pPr>
          <w:hyperlink w:anchor="_Toc17318">
            <w:r>
              <w:rPr>
                <w:rFonts w:ascii="Segoe UI" w:eastAsia="Segoe UI" w:hAnsi="Segoe UI" w:cs="Segoe UI"/>
              </w:rPr>
              <w:t>Program Structure</w:t>
            </w:r>
            <w:r>
              <w:tab/>
            </w:r>
            <w:r>
              <w:fldChar w:fldCharType="begin"/>
            </w:r>
            <w:r>
              <w:instrText>PAGEREF _Toc17318 \h</w:instrText>
            </w:r>
            <w:r>
              <w:fldChar w:fldCharType="separate"/>
            </w:r>
            <w:r>
              <w:t xml:space="preserve">7 </w:t>
            </w:r>
            <w:r>
              <w:fldChar w:fldCharType="end"/>
            </w:r>
          </w:hyperlink>
        </w:p>
        <w:p w14:paraId="54D21ADA" w14:textId="77777777" w:rsidR="002B623B" w:rsidRDefault="00AD04ED">
          <w:pPr>
            <w:pStyle w:val="TOC2"/>
            <w:tabs>
              <w:tab w:val="right" w:leader="dot" w:pos="9515"/>
            </w:tabs>
          </w:pPr>
          <w:hyperlink w:anchor="_Toc17319">
            <w:r>
              <w:rPr>
                <w:rFonts w:ascii="Segoe UI" w:eastAsia="Segoe UI" w:hAnsi="Segoe UI" w:cs="Segoe UI"/>
              </w:rPr>
              <w:t>Clarifying funding adequacy and operational detail</w:t>
            </w:r>
            <w:r>
              <w:tab/>
            </w:r>
            <w:r>
              <w:fldChar w:fldCharType="begin"/>
            </w:r>
            <w:r>
              <w:instrText>PAGEREF _Toc17319 \h</w:instrText>
            </w:r>
            <w:r>
              <w:fldChar w:fldCharType="separate"/>
            </w:r>
            <w:r>
              <w:t xml:space="preserve">7 </w:t>
            </w:r>
            <w:r>
              <w:fldChar w:fldCharType="end"/>
            </w:r>
          </w:hyperlink>
        </w:p>
        <w:p w14:paraId="1B5D0EDD" w14:textId="77777777" w:rsidR="002B623B" w:rsidRDefault="00AD04ED">
          <w:pPr>
            <w:pStyle w:val="TOC2"/>
            <w:tabs>
              <w:tab w:val="right" w:leader="dot" w:pos="9515"/>
            </w:tabs>
          </w:pPr>
          <w:hyperlink w:anchor="_Toc17320">
            <w:r>
              <w:rPr>
                <w:rFonts w:ascii="Segoe UI" w:eastAsia="Segoe UI" w:hAnsi="Segoe UI" w:cs="Segoe UI"/>
              </w:rPr>
              <w:t>Information-sharing and collaboration</w:t>
            </w:r>
            <w:r>
              <w:tab/>
            </w:r>
            <w:r>
              <w:fldChar w:fldCharType="begin"/>
            </w:r>
            <w:r>
              <w:instrText>PAGEREF _Toc17320 \h</w:instrText>
            </w:r>
            <w:r>
              <w:fldChar w:fldCharType="separate"/>
            </w:r>
            <w:r>
              <w:t xml:space="preserve">7 </w:t>
            </w:r>
            <w:r>
              <w:fldChar w:fldCharType="end"/>
            </w:r>
          </w:hyperlink>
        </w:p>
        <w:p w14:paraId="5C0FFCD0" w14:textId="77777777" w:rsidR="002B623B" w:rsidRDefault="00AD04ED">
          <w:pPr>
            <w:pStyle w:val="TOC2"/>
            <w:tabs>
              <w:tab w:val="right" w:leader="dot" w:pos="9515"/>
            </w:tabs>
          </w:pPr>
          <w:hyperlink w:anchor="_Toc17321">
            <w:r>
              <w:rPr>
                <w:rFonts w:ascii="Segoe UI" w:eastAsia="Segoe UI" w:hAnsi="Segoe UI" w:cs="Segoe UI"/>
              </w:rPr>
              <w:t>Scale of reform and transition risks</w:t>
            </w:r>
            <w:r>
              <w:tab/>
            </w:r>
            <w:r>
              <w:fldChar w:fldCharType="begin"/>
            </w:r>
            <w:r>
              <w:instrText>PAGEREF _Toc17321 \h</w:instrText>
            </w:r>
            <w:r>
              <w:fldChar w:fldCharType="separate"/>
            </w:r>
            <w:r>
              <w:t xml:space="preserve">8 </w:t>
            </w:r>
            <w:r>
              <w:fldChar w:fldCharType="end"/>
            </w:r>
          </w:hyperlink>
        </w:p>
        <w:p w14:paraId="6C62B12B" w14:textId="77777777" w:rsidR="002B623B" w:rsidRDefault="00AD04ED">
          <w:pPr>
            <w:pStyle w:val="TOC1"/>
            <w:tabs>
              <w:tab w:val="right" w:leader="dot" w:pos="9515"/>
            </w:tabs>
          </w:pPr>
          <w:hyperlink w:anchor="_Toc17322">
            <w:r>
              <w:rPr>
                <w:rFonts w:ascii="Segoe UI" w:eastAsia="Segoe UI" w:hAnsi="Segoe UI" w:cs="Segoe UI"/>
              </w:rPr>
              <w:t>Priority Investment Areas</w:t>
            </w:r>
            <w:r>
              <w:tab/>
            </w:r>
            <w:r>
              <w:fldChar w:fldCharType="begin"/>
            </w:r>
            <w:r>
              <w:instrText>PAGEREF _Toc17322 \h</w:instrText>
            </w:r>
            <w:r>
              <w:fldChar w:fldCharType="separate"/>
            </w:r>
            <w:r>
              <w:t xml:space="preserve">9 </w:t>
            </w:r>
            <w:r>
              <w:fldChar w:fldCharType="end"/>
            </w:r>
          </w:hyperlink>
        </w:p>
        <w:p w14:paraId="2133B742" w14:textId="77777777" w:rsidR="002B623B" w:rsidRDefault="00AD04ED">
          <w:pPr>
            <w:pStyle w:val="TOC2"/>
            <w:tabs>
              <w:tab w:val="right" w:leader="dot" w:pos="9515"/>
            </w:tabs>
          </w:pPr>
          <w:hyperlink w:anchor="_Toc17323">
            <w:r>
              <w:rPr>
                <w:rFonts w:ascii="Segoe UI" w:eastAsia="Segoe UI" w:hAnsi="Segoe UI" w:cs="Segoe UI"/>
              </w:rPr>
              <w:t>Connected, co-located, and integrated services</w:t>
            </w:r>
            <w:r>
              <w:tab/>
            </w:r>
            <w:r>
              <w:fldChar w:fldCharType="begin"/>
            </w:r>
            <w:r>
              <w:instrText>PAGEREF _Toc17323 \h</w:instrText>
            </w:r>
            <w:r>
              <w:fldChar w:fldCharType="separate"/>
            </w:r>
            <w:r>
              <w:t xml:space="preserve">9 </w:t>
            </w:r>
            <w:r>
              <w:fldChar w:fldCharType="end"/>
            </w:r>
          </w:hyperlink>
        </w:p>
        <w:p w14:paraId="580A2389" w14:textId="77777777" w:rsidR="002B623B" w:rsidRDefault="00AD04ED">
          <w:pPr>
            <w:pStyle w:val="TOC2"/>
            <w:tabs>
              <w:tab w:val="right" w:leader="dot" w:pos="9515"/>
            </w:tabs>
          </w:pPr>
          <w:hyperlink w:anchor="_Toc17324">
            <w:r>
              <w:rPr>
                <w:rFonts w:ascii="Segoe UI" w:eastAsia="Segoe UI" w:hAnsi="Segoe UI" w:cs="Segoe UI"/>
              </w:rPr>
              <w:t>Improving outcomes for First Nations children and families</w:t>
            </w:r>
            <w:r>
              <w:tab/>
            </w:r>
            <w:r>
              <w:fldChar w:fldCharType="begin"/>
            </w:r>
            <w:r>
              <w:instrText>PAGEREF _Toc17324 \h</w:instrText>
            </w:r>
            <w:r>
              <w:fldChar w:fldCharType="separate"/>
            </w:r>
            <w:r>
              <w:t xml:space="preserve">10 </w:t>
            </w:r>
            <w:r>
              <w:fldChar w:fldCharType="end"/>
            </w:r>
          </w:hyperlink>
        </w:p>
        <w:p w14:paraId="18022054" w14:textId="77777777" w:rsidR="002B623B" w:rsidRDefault="00AD04ED">
          <w:pPr>
            <w:pStyle w:val="TOC2"/>
            <w:tabs>
              <w:tab w:val="right" w:leader="dot" w:pos="9515"/>
            </w:tabs>
          </w:pPr>
          <w:hyperlink w:anchor="_Toc17325">
            <w:r>
              <w:rPr>
                <w:rFonts w:ascii="Segoe UI" w:eastAsia="Segoe UI" w:hAnsi="Segoe UI" w:cs="Segoe UI"/>
              </w:rPr>
              <w:t>Investing early to improve family wellbeing</w:t>
            </w:r>
            <w:r>
              <w:tab/>
            </w:r>
            <w:r>
              <w:fldChar w:fldCharType="begin"/>
            </w:r>
            <w:r>
              <w:instrText>PAGEREF _Toc17325 \h</w:instrText>
            </w:r>
            <w:r>
              <w:fldChar w:fldCharType="separate"/>
            </w:r>
            <w:r>
              <w:t xml:space="preserve">10 </w:t>
            </w:r>
            <w:r>
              <w:fldChar w:fldCharType="end"/>
            </w:r>
          </w:hyperlink>
        </w:p>
        <w:p w14:paraId="249EFD06" w14:textId="77777777" w:rsidR="002B623B" w:rsidRDefault="00AD04ED">
          <w:pPr>
            <w:pStyle w:val="TOC2"/>
            <w:tabs>
              <w:tab w:val="right" w:leader="dot" w:pos="9515"/>
            </w:tabs>
          </w:pPr>
          <w:hyperlink w:anchor="_Toc17326">
            <w:r>
              <w:rPr>
                <w:rFonts w:ascii="Segoe UI" w:eastAsia="Segoe UI" w:hAnsi="Segoe UI" w:cs="Segoe UI"/>
              </w:rPr>
              <w:t>Responding to community need</w:t>
            </w:r>
            <w:r>
              <w:tab/>
            </w:r>
            <w:r>
              <w:fldChar w:fldCharType="begin"/>
            </w:r>
            <w:r>
              <w:instrText>PAGEREF _Toc17326 \h</w:instrText>
            </w:r>
            <w:r>
              <w:fldChar w:fldCharType="separate"/>
            </w:r>
            <w:r>
              <w:t xml:space="preserve">12 </w:t>
            </w:r>
            <w:r>
              <w:fldChar w:fldCharType="end"/>
            </w:r>
          </w:hyperlink>
        </w:p>
        <w:p w14:paraId="025DA61A" w14:textId="77777777" w:rsidR="002B623B" w:rsidRDefault="00AD04ED">
          <w:pPr>
            <w:pStyle w:val="TOC1"/>
            <w:tabs>
              <w:tab w:val="right" w:leader="dot" w:pos="9515"/>
            </w:tabs>
          </w:pPr>
          <w:hyperlink w:anchor="_Toc17327">
            <w:r>
              <w:rPr>
                <w:rFonts w:ascii="Segoe UI" w:eastAsia="Segoe UI" w:hAnsi="Segoe UI" w:cs="Segoe UI"/>
              </w:rPr>
              <w:t>Working Together</w:t>
            </w:r>
            <w:r>
              <w:tab/>
            </w:r>
            <w:r>
              <w:fldChar w:fldCharType="begin"/>
            </w:r>
            <w:r>
              <w:instrText>PAGEREF _Toc17327 \h</w:instrText>
            </w:r>
            <w:r>
              <w:fldChar w:fldCharType="separate"/>
            </w:r>
            <w:r>
              <w:t xml:space="preserve">13 </w:t>
            </w:r>
            <w:r>
              <w:fldChar w:fldCharType="end"/>
            </w:r>
          </w:hyperlink>
        </w:p>
        <w:p w14:paraId="5DB9DB88" w14:textId="77777777" w:rsidR="002B623B" w:rsidRDefault="00AD04ED">
          <w:pPr>
            <w:pStyle w:val="TOC2"/>
            <w:tabs>
              <w:tab w:val="right" w:leader="dot" w:pos="9515"/>
            </w:tabs>
          </w:pPr>
          <w:hyperlink w:anchor="_Toc17328">
            <w:r>
              <w:rPr>
                <w:rFonts w:ascii="Segoe UI" w:eastAsia="Segoe UI" w:hAnsi="Segoe UI" w:cs="Segoe UI"/>
              </w:rPr>
              <w:t>Streamlined reporting arrangements</w:t>
            </w:r>
            <w:r>
              <w:tab/>
            </w:r>
            <w:r>
              <w:fldChar w:fldCharType="begin"/>
            </w:r>
            <w:r>
              <w:instrText>PAGEREF _Toc17328 \h</w:instrText>
            </w:r>
            <w:r>
              <w:fldChar w:fldCharType="separate"/>
            </w:r>
            <w:r>
              <w:t xml:space="preserve">13 </w:t>
            </w:r>
            <w:r>
              <w:fldChar w:fldCharType="end"/>
            </w:r>
          </w:hyperlink>
        </w:p>
        <w:p w14:paraId="3E27D111" w14:textId="77777777" w:rsidR="002B623B" w:rsidRDefault="00AD04ED">
          <w:pPr>
            <w:pStyle w:val="TOC2"/>
            <w:tabs>
              <w:tab w:val="right" w:leader="dot" w:pos="9515"/>
            </w:tabs>
          </w:pPr>
          <w:hyperlink w:anchor="_Toc17329">
            <w:r>
              <w:rPr>
                <w:rFonts w:ascii="Segoe UI" w:eastAsia="Segoe UI" w:hAnsi="Segoe UI" w:cs="Segoe UI"/>
              </w:rPr>
              <w:t>Alternative ways of commissioning</w:t>
            </w:r>
            <w:r>
              <w:tab/>
            </w:r>
            <w:r>
              <w:fldChar w:fldCharType="begin"/>
            </w:r>
            <w:r>
              <w:instrText>PAGEREF _Toc17329 \h</w:instrText>
            </w:r>
            <w:r>
              <w:fldChar w:fldCharType="separate"/>
            </w:r>
            <w:r>
              <w:t xml:space="preserve">14 </w:t>
            </w:r>
            <w:r>
              <w:fldChar w:fldCharType="end"/>
            </w:r>
          </w:hyperlink>
        </w:p>
        <w:p w14:paraId="188C4FCC" w14:textId="77777777" w:rsidR="002B623B" w:rsidRDefault="00AD04ED">
          <w:pPr>
            <w:pStyle w:val="TOC1"/>
            <w:tabs>
              <w:tab w:val="right" w:leader="dot" w:pos="9515"/>
            </w:tabs>
          </w:pPr>
          <w:hyperlink w:anchor="_Toc17330">
            <w:r>
              <w:rPr>
                <w:rFonts w:ascii="Segoe UI" w:eastAsia="Segoe UI" w:hAnsi="Segoe UI" w:cs="Segoe UI"/>
              </w:rPr>
              <w:t>Conclusion</w:t>
            </w:r>
            <w:r>
              <w:tab/>
            </w:r>
            <w:r>
              <w:fldChar w:fldCharType="begin"/>
            </w:r>
            <w:r>
              <w:instrText>PAGEREF _Toc17330 \h</w:instrText>
            </w:r>
            <w:r>
              <w:fldChar w:fldCharType="separate"/>
            </w:r>
            <w:r>
              <w:t xml:space="preserve">15 </w:t>
            </w:r>
            <w:r>
              <w:fldChar w:fldCharType="end"/>
            </w:r>
          </w:hyperlink>
        </w:p>
        <w:p w14:paraId="59DDF7AF" w14:textId="77777777" w:rsidR="002B623B" w:rsidRDefault="00AD04ED">
          <w:r>
            <w:fldChar w:fldCharType="end"/>
          </w:r>
        </w:p>
      </w:sdtContent>
    </w:sdt>
    <w:p w14:paraId="3373E5B8" w14:textId="77777777" w:rsidR="002B623B" w:rsidRDefault="00AD04ED">
      <w:pPr>
        <w:spacing w:after="268" w:line="259" w:lineRule="auto"/>
        <w:ind w:left="0" w:firstLine="0"/>
      </w:pPr>
      <w:r>
        <w:t xml:space="preserve"> </w:t>
      </w:r>
    </w:p>
    <w:p w14:paraId="004081F7" w14:textId="77777777" w:rsidR="002B623B" w:rsidRDefault="00AD04ED">
      <w:pPr>
        <w:spacing w:after="0" w:line="259" w:lineRule="auto"/>
        <w:ind w:left="0" w:firstLine="0"/>
      </w:pPr>
      <w:r>
        <w:rPr>
          <w:b/>
        </w:rPr>
        <w:t xml:space="preserve"> </w:t>
      </w:r>
    </w:p>
    <w:p w14:paraId="45C68419" w14:textId="77777777" w:rsidR="002B623B" w:rsidRDefault="00AD04ED">
      <w:pPr>
        <w:pStyle w:val="Heading1"/>
        <w:ind w:left="-5"/>
      </w:pPr>
      <w:bookmarkStart w:id="2" w:name="_Toc17313"/>
      <w:r>
        <w:t xml:space="preserve">Introduction </w:t>
      </w:r>
      <w:bookmarkEnd w:id="2"/>
    </w:p>
    <w:p w14:paraId="6BC682BB" w14:textId="77777777" w:rsidR="002B623B" w:rsidRDefault="00AD04ED">
      <w:pPr>
        <w:ind w:left="-5"/>
      </w:pPr>
      <w:r>
        <w:t xml:space="preserve">Anglicare Australia welcomes the opportunity to provide feedback on the Department of Social </w:t>
      </w:r>
      <w:r>
        <w:t xml:space="preserve">Services’ proposed </w:t>
      </w:r>
      <w:r>
        <w:t xml:space="preserve">new approach to programs for families and children. As a national network that works alongside thousands of families every year, Anglicare Australia has a direct stake in how these reforms are shaped and implemented. </w:t>
      </w:r>
    </w:p>
    <w:p w14:paraId="39922B62" w14:textId="77777777" w:rsidR="002B623B" w:rsidRDefault="00AD04ED">
      <w:pPr>
        <w:spacing w:after="28" w:line="259" w:lineRule="auto"/>
        <w:ind w:left="0" w:firstLine="0"/>
      </w:pPr>
      <w:r>
        <w:t xml:space="preserve"> </w:t>
      </w:r>
    </w:p>
    <w:p w14:paraId="3797145C" w14:textId="77777777" w:rsidR="002B623B" w:rsidRDefault="00AD04ED">
      <w:pPr>
        <w:ind w:left="-5"/>
      </w:pPr>
      <w:r>
        <w:t xml:space="preserve">Anglicare Australia is a network of organisations linked to the Anglican Church of Australia. Anglicare Australia network members supported over 73,000 Australians through children, family and relationship services across all states and territories in the 2023-24 financial year. With the support of more than 1,500 staff and 154 volunteers, the Network delivers a range of programs that are captured under the proposed reforms. In addition, Network members support thousands of other families through emergency </w:t>
      </w:r>
      <w:r>
        <w:t xml:space="preserve">relief services, financial counselling, housing and homelessness support </w:t>
      </w:r>
      <w:r>
        <w:lastRenderedPageBreak/>
        <w:t xml:space="preserve">and community-based mental health programs. This experience has given us unique insights into what families and children need to thrive, and what many struggle with each day. </w:t>
      </w:r>
    </w:p>
    <w:p w14:paraId="39F4EB62" w14:textId="77777777" w:rsidR="002B623B" w:rsidRDefault="00AD04ED">
      <w:pPr>
        <w:spacing w:after="28" w:line="259" w:lineRule="auto"/>
        <w:ind w:left="0" w:firstLine="0"/>
      </w:pPr>
      <w:r>
        <w:t xml:space="preserve"> </w:t>
      </w:r>
    </w:p>
    <w:p w14:paraId="03F6DFE7" w14:textId="77777777" w:rsidR="002B623B" w:rsidRDefault="00AD04ED">
      <w:pPr>
        <w:ind w:left="-5"/>
      </w:pPr>
      <w:r>
        <w:t xml:space="preserve">We believe that children and young people deserve to grow up in safe, stable and nurturing environments, and that the most effective way to achieve this is by supporting families and caregivers. We also recognise the vital role of government-funded programs in helping families at risk, and in supporting those already facing crisis or disadvantage. </w:t>
      </w:r>
    </w:p>
    <w:p w14:paraId="30F85778" w14:textId="77777777" w:rsidR="002B623B" w:rsidRDefault="00AD04ED">
      <w:pPr>
        <w:spacing w:after="28" w:line="259" w:lineRule="auto"/>
        <w:ind w:left="0" w:firstLine="0"/>
      </w:pPr>
      <w:r>
        <w:t xml:space="preserve"> </w:t>
      </w:r>
    </w:p>
    <w:p w14:paraId="42405310" w14:textId="77777777" w:rsidR="002B623B" w:rsidRDefault="00AD04ED">
      <w:pPr>
        <w:ind w:left="-5"/>
      </w:pPr>
      <w:r>
        <w:t xml:space="preserve">Overall, </w:t>
      </w:r>
      <w:r>
        <w:t xml:space="preserve">Anglicare Australia supports the Government’s ambition to design a more coordinated, </w:t>
      </w:r>
      <w:r>
        <w:t xml:space="preserve">flexible and coherent system. However, we are concerned that several elements of the proposed model risk falling short of that ambition. Without a stronger focus on inclusion, diversity, local need, and the rights of children, and without clear transition planning, there is a risk that families will face disruption rather than improved support. </w:t>
      </w:r>
    </w:p>
    <w:p w14:paraId="38BF56B1" w14:textId="77777777" w:rsidR="002B623B" w:rsidRDefault="00AD04ED">
      <w:pPr>
        <w:spacing w:after="28" w:line="259" w:lineRule="auto"/>
        <w:ind w:left="0" w:firstLine="0"/>
      </w:pPr>
      <w:r>
        <w:t xml:space="preserve"> </w:t>
      </w:r>
    </w:p>
    <w:p w14:paraId="1F6DA1E3" w14:textId="77777777" w:rsidR="002B623B" w:rsidRDefault="00AD04ED">
      <w:pPr>
        <w:ind w:left="-5"/>
      </w:pPr>
      <w:r>
        <w:t xml:space="preserve">This submission </w:t>
      </w:r>
      <w:r>
        <w:t xml:space="preserve">highlights key areas for refinement in the program’s </w:t>
      </w:r>
      <w:r>
        <w:t xml:space="preserve">outcomes, structure, and investment priorities. It also outlines changes needed to ensure the reforms are achievable in practice and deliver the strongest outcomes for children, families and communities. </w:t>
      </w:r>
    </w:p>
    <w:p w14:paraId="4BE85649" w14:textId="77777777" w:rsidR="002B623B" w:rsidRDefault="00AD04ED">
      <w:pPr>
        <w:spacing w:after="28" w:line="259" w:lineRule="auto"/>
        <w:ind w:left="0" w:firstLine="0"/>
      </w:pPr>
      <w:r>
        <w:t xml:space="preserve"> </w:t>
      </w:r>
    </w:p>
    <w:p w14:paraId="2B42F9AD" w14:textId="77777777" w:rsidR="002B623B" w:rsidRDefault="00AD04ED">
      <w:pPr>
        <w:ind w:left="-5"/>
      </w:pPr>
      <w:r>
        <w:t xml:space="preserve">In the development of this submission Anglicare Australia consulted with Network members who provide family and children services, including programs that are captured under the proposed reform. The feedback and insight gained through this consultation has been used to inform our responses and recommendations. </w:t>
      </w:r>
    </w:p>
    <w:p w14:paraId="43711C71" w14:textId="77777777" w:rsidR="002B623B" w:rsidRDefault="00AD04ED">
      <w:pPr>
        <w:spacing w:after="28" w:line="259" w:lineRule="auto"/>
        <w:ind w:left="0" w:firstLine="0"/>
      </w:pPr>
      <w:r>
        <w:t xml:space="preserve"> </w:t>
      </w:r>
    </w:p>
    <w:p w14:paraId="655CF689" w14:textId="77777777" w:rsidR="002B623B" w:rsidRDefault="00AD04ED">
      <w:pPr>
        <w:spacing w:after="28" w:line="259" w:lineRule="auto"/>
        <w:ind w:left="0" w:firstLine="0"/>
      </w:pPr>
      <w:r>
        <w:t xml:space="preserve"> </w:t>
      </w:r>
    </w:p>
    <w:p w14:paraId="3A6ADDA8" w14:textId="77777777" w:rsidR="002B623B" w:rsidRDefault="00AD04ED">
      <w:pPr>
        <w:spacing w:after="28" w:line="259" w:lineRule="auto"/>
        <w:ind w:left="0" w:firstLine="0"/>
      </w:pPr>
      <w:r>
        <w:t xml:space="preserve"> </w:t>
      </w:r>
    </w:p>
    <w:p w14:paraId="30C6417C" w14:textId="77777777" w:rsidR="002B623B" w:rsidRDefault="00AD04ED">
      <w:pPr>
        <w:spacing w:after="28" w:line="259" w:lineRule="auto"/>
        <w:ind w:left="0" w:firstLine="0"/>
      </w:pPr>
      <w:r>
        <w:t xml:space="preserve"> </w:t>
      </w:r>
    </w:p>
    <w:p w14:paraId="40CB0884" w14:textId="77777777" w:rsidR="002B623B" w:rsidRDefault="00AD04ED">
      <w:pPr>
        <w:spacing w:after="106" w:line="259" w:lineRule="auto"/>
        <w:ind w:left="0" w:firstLine="0"/>
      </w:pPr>
      <w:r>
        <w:t xml:space="preserve"> </w:t>
      </w:r>
    </w:p>
    <w:p w14:paraId="48127AF5" w14:textId="77777777" w:rsidR="002B623B" w:rsidRDefault="00AD04ED">
      <w:pPr>
        <w:spacing w:after="0" w:line="259" w:lineRule="auto"/>
        <w:ind w:left="0" w:firstLine="0"/>
      </w:pPr>
      <w:r>
        <w:t xml:space="preserve"> </w:t>
      </w:r>
      <w:r>
        <w:tab/>
      </w:r>
      <w:r>
        <w:rPr>
          <w:rFonts w:ascii="Calibri" w:eastAsia="Calibri" w:hAnsi="Calibri" w:cs="Calibri"/>
          <w:b/>
          <w:color w:val="00437A"/>
          <w:sz w:val="28"/>
        </w:rPr>
        <w:t xml:space="preserve"> </w:t>
      </w:r>
    </w:p>
    <w:p w14:paraId="0803DC07" w14:textId="77777777" w:rsidR="002B623B" w:rsidRDefault="00AD04ED">
      <w:pPr>
        <w:pStyle w:val="Heading1"/>
        <w:ind w:left="-5"/>
      </w:pPr>
      <w:bookmarkStart w:id="3" w:name="_Toc17314"/>
      <w:r>
        <w:t xml:space="preserve">Vision and Outcomes </w:t>
      </w:r>
      <w:bookmarkEnd w:id="3"/>
    </w:p>
    <w:p w14:paraId="171CB5E9" w14:textId="77777777" w:rsidR="002B623B" w:rsidRDefault="00AD04ED">
      <w:pPr>
        <w:ind w:left="-5"/>
      </w:pPr>
      <w:r>
        <w:t xml:space="preserve">Anglicare Australia supports the intent of the proposed vision and agrees that a national program should set clear expectations for how children and families can be supported to thrive. However, we believe the draft outcomes require refinement to ensure they are inclusive, reflect the diversity of </w:t>
      </w:r>
      <w:r>
        <w:t xml:space="preserve">Australian families, and recognise children’s inherent rights, as well as their future development into </w:t>
      </w:r>
      <w:r>
        <w:t xml:space="preserve">adulthood. </w:t>
      </w:r>
    </w:p>
    <w:p w14:paraId="437B7C6B" w14:textId="77777777" w:rsidR="002B623B" w:rsidRDefault="00AD04ED">
      <w:pPr>
        <w:spacing w:after="47" w:line="259" w:lineRule="auto"/>
        <w:ind w:left="0" w:firstLine="0"/>
      </w:pPr>
      <w:r>
        <w:t xml:space="preserve"> </w:t>
      </w:r>
    </w:p>
    <w:p w14:paraId="7360E75D" w14:textId="77777777" w:rsidR="002B623B" w:rsidRDefault="00AD04ED">
      <w:pPr>
        <w:pStyle w:val="Heading2"/>
        <w:ind w:left="-5"/>
      </w:pPr>
      <w:bookmarkStart w:id="4" w:name="_Toc17315"/>
      <w:r>
        <w:t xml:space="preserve">Inclusivity </w:t>
      </w:r>
      <w:bookmarkEnd w:id="4"/>
    </w:p>
    <w:p w14:paraId="6798DA76" w14:textId="77777777" w:rsidR="002B623B" w:rsidRDefault="00AD04ED">
      <w:pPr>
        <w:ind w:left="-5"/>
      </w:pPr>
      <w:r>
        <w:t xml:space="preserve">The proposed outcomes emphasise two attributes they aspire children to achieve: health and resilience. For people living with disability, the term </w:t>
      </w:r>
      <w:r>
        <w:rPr>
          <w:i/>
        </w:rPr>
        <w:t>healthy</w:t>
      </w:r>
      <w:r>
        <w:t xml:space="preserve"> can be prejudicial, and can be used to imply that people with disability are un-</w:t>
      </w:r>
      <w:r>
        <w:t>healthy or not “normal</w:t>
      </w:r>
      <w:r>
        <w:t>.</w:t>
      </w:r>
      <w:r>
        <w:t xml:space="preserve">” </w:t>
      </w:r>
      <w:r>
        <w:t>More than one in five Australians live with disability,</w:t>
      </w:r>
      <w:r>
        <w:rPr>
          <w:vertAlign w:val="superscript"/>
        </w:rPr>
        <w:t>i</w:t>
      </w:r>
      <w:r>
        <w:t xml:space="preserve"> and eight in ten people have at least one long-term health condition.</w:t>
      </w:r>
      <w:r>
        <w:rPr>
          <w:vertAlign w:val="superscript"/>
        </w:rPr>
        <w:t>ii</w:t>
      </w:r>
      <w:r>
        <w:t xml:space="preserve"> Framing outcomes around health risks overlooking the lived reality of a large proportion of the population. </w:t>
      </w:r>
    </w:p>
    <w:p w14:paraId="6E01CE7C" w14:textId="77777777" w:rsidR="002B623B" w:rsidRDefault="00AD04ED">
      <w:pPr>
        <w:spacing w:after="28" w:line="259" w:lineRule="auto"/>
        <w:ind w:left="0" w:firstLine="0"/>
      </w:pPr>
      <w:r>
        <w:t xml:space="preserve"> </w:t>
      </w:r>
    </w:p>
    <w:p w14:paraId="565B6148" w14:textId="77777777" w:rsidR="002B623B" w:rsidRDefault="00AD04ED">
      <w:pPr>
        <w:ind w:left="-5"/>
      </w:pPr>
      <w:r>
        <w:t xml:space="preserve">Overall, Anglicare Australia does not support the use of ableist language and recommend the Department remove the term </w:t>
      </w:r>
      <w:r>
        <w:rPr>
          <w:i/>
        </w:rPr>
        <w:t>healthy</w:t>
      </w:r>
      <w:r>
        <w:t xml:space="preserve">.  </w:t>
      </w:r>
    </w:p>
    <w:p w14:paraId="0AAFF947" w14:textId="77777777" w:rsidR="002B623B" w:rsidRDefault="00AD04ED">
      <w:pPr>
        <w:spacing w:after="47" w:line="259" w:lineRule="auto"/>
        <w:ind w:left="0" w:firstLine="0"/>
      </w:pPr>
      <w:r>
        <w:t xml:space="preserve"> </w:t>
      </w:r>
    </w:p>
    <w:p w14:paraId="1BFABE69" w14:textId="77777777" w:rsidR="002B623B" w:rsidRDefault="00AD04ED">
      <w:pPr>
        <w:pStyle w:val="Heading2"/>
        <w:ind w:left="-5"/>
      </w:pPr>
      <w:bookmarkStart w:id="5" w:name="_Toc17316"/>
      <w:r>
        <w:t xml:space="preserve">Diversity  </w:t>
      </w:r>
      <w:bookmarkEnd w:id="5"/>
    </w:p>
    <w:p w14:paraId="7D677CA9" w14:textId="77777777" w:rsidR="002B623B" w:rsidRDefault="00AD04ED">
      <w:pPr>
        <w:ind w:left="-5"/>
      </w:pPr>
      <w:r>
        <w:t xml:space="preserve">There is no one size, shape or composition that can describe every Australian family. The present day </w:t>
      </w:r>
      <w:r>
        <w:t>“typical” family</w:t>
      </w:r>
      <w:r>
        <w:t xml:space="preserve"> looks vastly different to previous decades, with the 2021 Census revealing that 39 percent of Australian families consist of couples without children.</w:t>
      </w:r>
      <w:r>
        <w:rPr>
          <w:vertAlign w:val="superscript"/>
        </w:rPr>
        <w:t>iii</w:t>
      </w:r>
      <w:r>
        <w:t xml:space="preserve"> This is a ten percent increase from 1981.</w:t>
      </w:r>
      <w:r>
        <w:rPr>
          <w:vertAlign w:val="superscript"/>
        </w:rPr>
        <w:t>iv</w:t>
      </w:r>
      <w:r>
        <w:t xml:space="preserve"> Despite this, the Discussion Paper has proposed two outcomes for </w:t>
      </w:r>
      <w:r>
        <w:t xml:space="preserve">a national families and children program that do not actually include the term </w:t>
      </w:r>
      <w:r>
        <w:rPr>
          <w:i/>
        </w:rPr>
        <w:t>family</w:t>
      </w:r>
      <w:r>
        <w:t xml:space="preserve">. Instead, they reflect a typically </w:t>
      </w:r>
      <w:r>
        <w:t>‘nuclear’ family type</w:t>
      </w:r>
      <w:r>
        <w:t xml:space="preserve">, families with children, ignoring the diversity in family forms that exist within the Australian community.  </w:t>
      </w:r>
    </w:p>
    <w:p w14:paraId="06265A48" w14:textId="77777777" w:rsidR="002B623B" w:rsidRDefault="00AD04ED">
      <w:pPr>
        <w:spacing w:after="28" w:line="259" w:lineRule="auto"/>
        <w:ind w:left="0" w:firstLine="0"/>
      </w:pPr>
      <w:r>
        <w:t xml:space="preserve"> </w:t>
      </w:r>
    </w:p>
    <w:p w14:paraId="08622B71" w14:textId="77777777" w:rsidR="002B623B" w:rsidRDefault="00AD04ED">
      <w:pPr>
        <w:ind w:left="-5"/>
      </w:pPr>
      <w:r>
        <w:t>We recognise that improving outcomes for children will require delivering services to families with children, however it is important that all forms of family are recognised under the new program. This is of particular concern for Family and Relationship Services</w:t>
      </w:r>
      <w:r>
        <w:t>, whose clients include “</w:t>
      </w:r>
      <w:r>
        <w:t>family members with intact relationships, separated families, extended family members, individuals, children and young people, couples and significant others such as grandparents and kinship carers who have caring or other relationship responsibilities,</w:t>
      </w:r>
      <w:r>
        <w:t>”</w:t>
      </w:r>
      <w:r>
        <w:rPr>
          <w:vertAlign w:val="superscript"/>
        </w:rPr>
        <w:t>v</w:t>
      </w:r>
      <w:r>
        <w:t xml:space="preserve"> This is also the case for Specialised Family Violence </w:t>
      </w:r>
    </w:p>
    <w:p w14:paraId="392932C4" w14:textId="77777777" w:rsidR="002B623B" w:rsidRDefault="00AD04ED">
      <w:pPr>
        <w:ind w:left="-5"/>
      </w:pPr>
      <w:r>
        <w:t>Services which provide support to eligible individuals, couples, children and families.</w:t>
      </w:r>
      <w:r>
        <w:rPr>
          <w:vertAlign w:val="superscript"/>
        </w:rPr>
        <w:t>vi</w:t>
      </w:r>
      <w:r>
        <w:t xml:space="preserve">  </w:t>
      </w:r>
    </w:p>
    <w:p w14:paraId="7C8D6330" w14:textId="77777777" w:rsidR="002B623B" w:rsidRDefault="00AD04ED">
      <w:pPr>
        <w:spacing w:after="28" w:line="259" w:lineRule="auto"/>
        <w:ind w:left="0" w:firstLine="0"/>
      </w:pPr>
      <w:r>
        <w:t xml:space="preserve"> </w:t>
      </w:r>
    </w:p>
    <w:p w14:paraId="57232E68" w14:textId="77777777" w:rsidR="002B623B" w:rsidRDefault="00AD04ED">
      <w:pPr>
        <w:ind w:left="-5"/>
      </w:pPr>
      <w:r>
        <w:t xml:space="preserve">Anglicare Australia recommends that the program outcomes include language that reflects diverse family composition, specifically those that are recognised and supported within the existing programs.  </w:t>
      </w:r>
    </w:p>
    <w:p w14:paraId="7BB8434A" w14:textId="77777777" w:rsidR="002B623B" w:rsidRDefault="00AD04ED">
      <w:pPr>
        <w:spacing w:after="47" w:line="259" w:lineRule="auto"/>
        <w:ind w:left="0" w:firstLine="0"/>
      </w:pPr>
      <w:r>
        <w:t xml:space="preserve"> </w:t>
      </w:r>
    </w:p>
    <w:p w14:paraId="66FA6338" w14:textId="77777777" w:rsidR="002B623B" w:rsidRDefault="00AD04ED">
      <w:pPr>
        <w:pStyle w:val="Heading2"/>
        <w:ind w:left="-5"/>
      </w:pPr>
      <w:bookmarkStart w:id="6" w:name="_Toc17317"/>
      <w:r>
        <w:t xml:space="preserve">Rights of the Child </w:t>
      </w:r>
      <w:bookmarkEnd w:id="6"/>
    </w:p>
    <w:p w14:paraId="2EBD4691" w14:textId="77777777" w:rsidR="002B623B" w:rsidRDefault="00AD04ED">
      <w:pPr>
        <w:ind w:left="-5"/>
      </w:pPr>
      <w:r>
        <w:t xml:space="preserve">The current emphasis on the development of children to adults in the program outcomes fails to acknowledge </w:t>
      </w:r>
      <w:r>
        <w:t xml:space="preserve">a child’s inherent right to </w:t>
      </w:r>
      <w:r>
        <w:t>childhood. Childhood plays an invaluable role in development, and it should not simply be viewed as a preparation stage for adulthood. We believe that our focus should be on doing our utmost to afford every child with a full life which includes allowing them time to play, imagine, learn and simply be children. Providing this means children will have access to safe environments where they can not only make mistakes, but learn to recover from them, experience change and learn to ad</w:t>
      </w:r>
      <w:r>
        <w:t xml:space="preserve">apt, and most importantly discover who they are and what they need to succeed. As a result, children will learn to thrive in every stage of life.  </w:t>
      </w:r>
    </w:p>
    <w:p w14:paraId="2E48FFBE" w14:textId="77777777" w:rsidR="002B623B" w:rsidRDefault="00AD04ED">
      <w:pPr>
        <w:spacing w:after="28" w:line="259" w:lineRule="auto"/>
        <w:ind w:left="0" w:firstLine="0"/>
      </w:pPr>
      <w:r>
        <w:t xml:space="preserve"> </w:t>
      </w:r>
    </w:p>
    <w:p w14:paraId="4187F869" w14:textId="77777777" w:rsidR="002B623B" w:rsidRDefault="00AD04ED">
      <w:pPr>
        <w:ind w:left="-5"/>
      </w:pPr>
      <w:r>
        <w:t xml:space="preserve">To ensure the program outcomes recognises that children are deserving of a full life in their own right, Anglicare Australia recommends that references to adulthood be removed from the program outcomes.  </w:t>
      </w:r>
    </w:p>
    <w:p w14:paraId="1851AC90" w14:textId="77777777" w:rsidR="002B623B" w:rsidRDefault="00AD04ED">
      <w:pPr>
        <w:spacing w:after="29" w:line="259" w:lineRule="auto"/>
        <w:ind w:left="0" w:firstLine="0"/>
      </w:pPr>
      <w:r>
        <w:t xml:space="preserve"> </w:t>
      </w:r>
    </w:p>
    <w:p w14:paraId="1055D0AE" w14:textId="77777777" w:rsidR="002B623B" w:rsidRDefault="00AD04ED">
      <w:pPr>
        <w:ind w:left="-5"/>
      </w:pPr>
      <w:r>
        <w:t xml:space="preserve">Overall, Anglicare Australia does not believe the two proposed outcomes capture what should be strived for under the new national program. We believe that the draft outcomes are insufficient measures of what we need to achieve to deliver on the programs vision and improve outcomes for all children and families. Further, the proposed outcomes fail to promote inclusivity, diversity or individual rights and risk excluding individuals currently eligible for children and family services from future programs.  </w:t>
      </w:r>
    </w:p>
    <w:p w14:paraId="473357CF" w14:textId="77777777" w:rsidR="002B623B" w:rsidRDefault="00AD04ED">
      <w:pPr>
        <w:spacing w:after="59" w:line="259" w:lineRule="auto"/>
        <w:ind w:left="0" w:firstLine="0"/>
      </w:pPr>
      <w:r>
        <w:t xml:space="preserve"> </w:t>
      </w:r>
    </w:p>
    <w:p w14:paraId="17BC8DAC" w14:textId="77777777" w:rsidR="002B623B" w:rsidRDefault="00AD04ED">
      <w:pPr>
        <w:pStyle w:val="Heading3"/>
        <w:ind w:left="-5" w:right="41"/>
      </w:pPr>
      <w:r>
        <w:t xml:space="preserve">Recommendations  </w:t>
      </w:r>
    </w:p>
    <w:p w14:paraId="3793C16C" w14:textId="77777777" w:rsidR="002B623B" w:rsidRDefault="00AD04ED">
      <w:pPr>
        <w:pBdr>
          <w:top w:val="single" w:sz="4" w:space="0" w:color="000000"/>
          <w:left w:val="single" w:sz="4" w:space="0" w:color="000000"/>
          <w:bottom w:val="single" w:sz="4" w:space="0" w:color="000000"/>
          <w:right w:val="single" w:sz="4" w:space="0" w:color="000000"/>
        </w:pBdr>
        <w:spacing w:after="14" w:line="286" w:lineRule="auto"/>
        <w:ind w:left="-15" w:right="41" w:firstLine="0"/>
        <w:jc w:val="both"/>
      </w:pPr>
      <w:r>
        <w:t xml:space="preserve">Anglicare Australia recommends </w:t>
      </w:r>
      <w:r>
        <w:t xml:space="preserve">that the program outcomes be revised to better embrace diversity, be more inclusive and to recognise the value of childhood. Anglicare Australia proposes the following alternative outcomes:  </w:t>
      </w:r>
    </w:p>
    <w:p w14:paraId="3A702014"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right="41" w:firstLine="0"/>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That families are empowered to build home environments that are safe, strong and nourishing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That children are supported to grow up in safe and nurturing environments. </w:t>
      </w:r>
    </w:p>
    <w:p w14:paraId="7A8B82EB" w14:textId="77777777" w:rsidR="002B623B" w:rsidRDefault="00AD04ED">
      <w:pPr>
        <w:spacing w:after="28" w:line="259" w:lineRule="auto"/>
        <w:ind w:left="0" w:firstLine="0"/>
      </w:pPr>
      <w:r>
        <w:t xml:space="preserve"> </w:t>
      </w:r>
    </w:p>
    <w:p w14:paraId="552A618A" w14:textId="77777777" w:rsidR="002B623B" w:rsidRDefault="00AD04ED">
      <w:pPr>
        <w:spacing w:after="106" w:line="259" w:lineRule="auto"/>
        <w:ind w:left="0" w:firstLine="0"/>
      </w:pPr>
      <w:r>
        <w:rPr>
          <w:i/>
        </w:rPr>
        <w:t xml:space="preserve"> </w:t>
      </w:r>
    </w:p>
    <w:p w14:paraId="55ECC1D3" w14:textId="77777777" w:rsidR="002B623B" w:rsidRDefault="00AD04ED">
      <w:pPr>
        <w:spacing w:after="0" w:line="259" w:lineRule="auto"/>
        <w:ind w:left="0" w:firstLine="0"/>
      </w:pPr>
      <w:r>
        <w:t xml:space="preserve"> </w:t>
      </w:r>
      <w:r>
        <w:tab/>
      </w:r>
      <w:r>
        <w:rPr>
          <w:rFonts w:ascii="Calibri" w:eastAsia="Calibri" w:hAnsi="Calibri" w:cs="Calibri"/>
          <w:b/>
          <w:color w:val="00437A"/>
          <w:sz w:val="28"/>
        </w:rPr>
        <w:t xml:space="preserve"> </w:t>
      </w:r>
    </w:p>
    <w:p w14:paraId="76D49B8F" w14:textId="77777777" w:rsidR="002B623B" w:rsidRDefault="00AD04ED">
      <w:pPr>
        <w:pStyle w:val="Heading1"/>
        <w:ind w:left="-5"/>
      </w:pPr>
      <w:bookmarkStart w:id="7" w:name="_Toc17318"/>
      <w:r>
        <w:t xml:space="preserve">Program Structure </w:t>
      </w:r>
      <w:bookmarkEnd w:id="7"/>
    </w:p>
    <w:p w14:paraId="5560A9F8" w14:textId="77777777" w:rsidR="002B623B" w:rsidRDefault="00AD04ED">
      <w:pPr>
        <w:ind w:left="-5"/>
      </w:pPr>
      <w:r>
        <w:t xml:space="preserve">Anglicare Australia supports the Government’s intention to increase flexibility by consolidating </w:t>
      </w:r>
      <w:r>
        <w:t xml:space="preserve">services under a single contract model. This shift has the potential to reduce duplication, improve coordination and allow providers to respond more effectively to the needs of families. However, the Discussion Paper does not yet provide sufficient detail for the sector to understand how the new structure will operate in practice, nor how key risks will be managed during the transition. </w:t>
      </w:r>
    </w:p>
    <w:p w14:paraId="78657405" w14:textId="77777777" w:rsidR="002B623B" w:rsidRDefault="00AD04ED">
      <w:pPr>
        <w:spacing w:after="47" w:line="259" w:lineRule="auto"/>
        <w:ind w:left="0" w:firstLine="0"/>
      </w:pPr>
      <w:r>
        <w:t xml:space="preserve"> </w:t>
      </w:r>
    </w:p>
    <w:p w14:paraId="6720D75B" w14:textId="77777777" w:rsidR="002B623B" w:rsidRDefault="00AD04ED">
      <w:pPr>
        <w:pStyle w:val="Heading2"/>
        <w:ind w:left="-5"/>
      </w:pPr>
      <w:bookmarkStart w:id="8" w:name="_Toc17319"/>
      <w:r>
        <w:t xml:space="preserve">Clarifying funding adequacy and operational detail </w:t>
      </w:r>
      <w:bookmarkEnd w:id="8"/>
    </w:p>
    <w:p w14:paraId="71F29B7E" w14:textId="77777777" w:rsidR="002B623B" w:rsidRDefault="00AD04ED">
      <w:pPr>
        <w:ind w:left="-5"/>
      </w:pPr>
      <w:r>
        <w:t>A consistent concern raised by Anglicare Australia members relates to funding adequacy across different service streams. A single contract model will only succeed if funding reflects the real costs of delivering each component within the program, including workforce, travel, supervision, compliance and cost-of-living pressures. Without mechanisms to recognise changes in service intensity and cost over time, organisations will face growing shortfalls and may be forced to redirect resources away from essentia</w:t>
      </w:r>
      <w:r>
        <w:t xml:space="preserve">l supports. </w:t>
      </w:r>
    </w:p>
    <w:p w14:paraId="03441E06" w14:textId="77777777" w:rsidR="002B623B" w:rsidRDefault="00AD04ED">
      <w:pPr>
        <w:spacing w:after="28" w:line="259" w:lineRule="auto"/>
        <w:ind w:left="0" w:firstLine="0"/>
      </w:pPr>
      <w:r>
        <w:t xml:space="preserve"> </w:t>
      </w:r>
    </w:p>
    <w:p w14:paraId="6740795C" w14:textId="77777777" w:rsidR="002B623B" w:rsidRDefault="00AD04ED">
      <w:pPr>
        <w:ind w:left="-5"/>
      </w:pPr>
      <w:r>
        <w:t xml:space="preserve">There is also a risk that services sitting across multiple streams, such as family relationship support, mental health interventions, and early intervention programs, will be underfunded if the financial model does not account for the different cost structures of each type of work. This could inadvertently weaken the continuum of supports the reform seeks to strengthen. </w:t>
      </w:r>
    </w:p>
    <w:p w14:paraId="2F7CAC92" w14:textId="77777777" w:rsidR="002B623B" w:rsidRDefault="00AD04ED">
      <w:pPr>
        <w:spacing w:after="60" w:line="259" w:lineRule="auto"/>
        <w:ind w:left="0" w:firstLine="0"/>
      </w:pPr>
      <w:r>
        <w:t xml:space="preserve"> </w:t>
      </w:r>
    </w:p>
    <w:p w14:paraId="5CF527F7" w14:textId="77777777" w:rsidR="002B623B" w:rsidRDefault="00AD04ED">
      <w:pPr>
        <w:pStyle w:val="Heading3"/>
        <w:ind w:left="-5"/>
      </w:pPr>
      <w:r>
        <w:t xml:space="preserve">Recommendations  </w:t>
      </w:r>
    </w:p>
    <w:p w14:paraId="440B2125"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firstLine="0"/>
      </w:pPr>
      <w:r>
        <w:t xml:space="preserve">Anglicare Australia recommends that the Department: </w:t>
      </w:r>
    </w:p>
    <w:p w14:paraId="7A03704A" w14:textId="77777777" w:rsidR="002B623B" w:rsidRDefault="00AD04ED">
      <w:pPr>
        <w:numPr>
          <w:ilvl w:val="0"/>
          <w:numId w:val="1"/>
        </w:numPr>
        <w:pBdr>
          <w:top w:val="single" w:sz="4" w:space="0" w:color="000000"/>
          <w:left w:val="single" w:sz="4" w:space="0" w:color="000000"/>
          <w:bottom w:val="single" w:sz="4" w:space="0" w:color="000000"/>
          <w:right w:val="single" w:sz="4" w:space="0" w:color="000000"/>
        </w:pBdr>
        <w:spacing w:line="292" w:lineRule="auto"/>
        <w:ind w:left="345" w:hanging="360"/>
      </w:pPr>
      <w:r>
        <w:t xml:space="preserve">Provide detailed guidance on the proposed funding model, including how service costs, intensity, and workforce requirements will be recognised across different program streams. </w:t>
      </w:r>
    </w:p>
    <w:p w14:paraId="70F7BDA4" w14:textId="77777777" w:rsidR="002B623B" w:rsidRDefault="00AD04ED">
      <w:pPr>
        <w:numPr>
          <w:ilvl w:val="0"/>
          <w:numId w:val="1"/>
        </w:numPr>
        <w:pBdr>
          <w:top w:val="single" w:sz="4" w:space="0" w:color="000000"/>
          <w:left w:val="single" w:sz="4" w:space="0" w:color="000000"/>
          <w:bottom w:val="single" w:sz="4" w:space="0" w:color="000000"/>
          <w:right w:val="single" w:sz="4" w:space="0" w:color="000000"/>
        </w:pBdr>
        <w:spacing w:line="292" w:lineRule="auto"/>
        <w:ind w:left="345" w:hanging="360"/>
      </w:pPr>
      <w:r>
        <w:t xml:space="preserve">Develop mechanisms to regularly monitor changes in service demand and delivery cost, ensuring funding can be adjusted where necessary to maintain service quality and continuity. </w:t>
      </w:r>
    </w:p>
    <w:p w14:paraId="6B333908" w14:textId="77777777" w:rsidR="002B623B" w:rsidRDefault="00AD04ED">
      <w:pPr>
        <w:spacing w:after="45" w:line="259" w:lineRule="auto"/>
        <w:ind w:left="0" w:firstLine="0"/>
      </w:pPr>
      <w:r>
        <w:t xml:space="preserve"> </w:t>
      </w:r>
    </w:p>
    <w:p w14:paraId="271FDCDF" w14:textId="77777777" w:rsidR="002B623B" w:rsidRDefault="00AD04ED">
      <w:pPr>
        <w:pStyle w:val="Heading2"/>
        <w:ind w:left="-5"/>
      </w:pPr>
      <w:bookmarkStart w:id="9" w:name="_Toc17320"/>
      <w:r>
        <w:t xml:space="preserve">Information-sharing and collaboration </w:t>
      </w:r>
      <w:bookmarkEnd w:id="9"/>
    </w:p>
    <w:p w14:paraId="0C691F52" w14:textId="77777777" w:rsidR="002B623B" w:rsidRDefault="00AD04ED">
      <w:pPr>
        <w:ind w:left="-5"/>
      </w:pPr>
      <w:r>
        <w:t xml:space="preserve">The proposed structure assumes increased collaboration between providers, but collaboration depends on timely access to information. Under the current system, providers have limited visibility of other funded services in their region, making it difficult to coordinate referrals or identify service gaps. </w:t>
      </w:r>
    </w:p>
    <w:p w14:paraId="37E34B21" w14:textId="77777777" w:rsidR="002B623B" w:rsidRDefault="00AD04ED">
      <w:pPr>
        <w:spacing w:after="28" w:line="259" w:lineRule="auto"/>
        <w:ind w:left="0" w:firstLine="0"/>
      </w:pPr>
      <w:r>
        <w:t xml:space="preserve"> </w:t>
      </w:r>
    </w:p>
    <w:p w14:paraId="25C60FA0" w14:textId="77777777" w:rsidR="002B623B" w:rsidRDefault="00AD04ED">
      <w:pPr>
        <w:ind w:left="-5"/>
      </w:pPr>
      <w:r>
        <w:t xml:space="preserve">The Department already collects extensive data. Making aggregated, de-identified information available to providers through a national funding map or regional program dashboards would support smoother coordination, reduce duplication, and allow scarce resources to be directed where they are most needed. Without improved information-sharing, the collaborative features of the new model will not be realised. </w:t>
      </w:r>
    </w:p>
    <w:p w14:paraId="3A523069" w14:textId="77777777" w:rsidR="002B623B" w:rsidRDefault="00AD04ED">
      <w:pPr>
        <w:spacing w:after="0" w:line="259" w:lineRule="auto"/>
        <w:ind w:left="0" w:firstLine="0"/>
      </w:pPr>
      <w:r>
        <w:t xml:space="preserve"> </w:t>
      </w:r>
      <w:r>
        <w:tab/>
        <w:t xml:space="preserve"> </w:t>
      </w:r>
    </w:p>
    <w:p w14:paraId="7E180A53" w14:textId="77777777" w:rsidR="002B623B" w:rsidRDefault="00AD04ED">
      <w:pPr>
        <w:spacing w:after="59" w:line="259" w:lineRule="auto"/>
        <w:ind w:left="0" w:firstLine="0"/>
      </w:pPr>
      <w:r>
        <w:t xml:space="preserve"> </w:t>
      </w:r>
    </w:p>
    <w:p w14:paraId="7B511EB7" w14:textId="77777777" w:rsidR="002B623B" w:rsidRDefault="00AD04ED">
      <w:pPr>
        <w:pStyle w:val="Heading3"/>
        <w:ind w:left="-5"/>
      </w:pPr>
      <w:r>
        <w:t xml:space="preserve">Recommendation </w:t>
      </w:r>
    </w:p>
    <w:p w14:paraId="72144964"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firstLine="0"/>
      </w:pPr>
      <w:r>
        <w:t xml:space="preserve">Anglicare Australia recommends that the Department: </w:t>
      </w:r>
    </w:p>
    <w:p w14:paraId="0F50655C"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355" w:hanging="370"/>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Improve information-sharing and transparency, including the creation of tools that allow providers to understand what is funded in their area and coordinate effectively. </w:t>
      </w:r>
    </w:p>
    <w:p w14:paraId="1A4D40C8" w14:textId="77777777" w:rsidR="002B623B" w:rsidRDefault="00AD04ED">
      <w:pPr>
        <w:spacing w:after="47" w:line="259" w:lineRule="auto"/>
        <w:ind w:left="0" w:firstLine="0"/>
      </w:pPr>
      <w:r>
        <w:t xml:space="preserve"> </w:t>
      </w:r>
    </w:p>
    <w:p w14:paraId="20BB01A3" w14:textId="77777777" w:rsidR="002B623B" w:rsidRDefault="00AD04ED">
      <w:pPr>
        <w:pStyle w:val="Heading2"/>
        <w:ind w:left="-5"/>
      </w:pPr>
      <w:bookmarkStart w:id="10" w:name="_Toc17321"/>
      <w:r>
        <w:t xml:space="preserve">Scale of reform and transition risks </w:t>
      </w:r>
      <w:bookmarkEnd w:id="10"/>
    </w:p>
    <w:p w14:paraId="413AA0E8" w14:textId="77777777" w:rsidR="002B623B" w:rsidRDefault="00AD04ED">
      <w:pPr>
        <w:ind w:left="-5"/>
      </w:pPr>
      <w:r>
        <w:t xml:space="preserve">The reforms represent the most significant restructuring of family and children’s programs in nearly </w:t>
      </w:r>
      <w:r>
        <w:t xml:space="preserve">a decade. Anglicare Australia members are preparing for tendering in 2026, but the scope of the change goes far beyond what the sector anticipated. Many providers have built deep local networks, employ specialised staff, and hold trusted relationships with communities. These relationships are not easily replaced and are at risk if transition processes are rushed or poorly resourced. </w:t>
      </w:r>
    </w:p>
    <w:p w14:paraId="013BC432" w14:textId="77777777" w:rsidR="002B623B" w:rsidRDefault="00AD04ED">
      <w:pPr>
        <w:spacing w:after="28" w:line="259" w:lineRule="auto"/>
        <w:ind w:left="0" w:firstLine="0"/>
      </w:pPr>
      <w:r>
        <w:t xml:space="preserve"> </w:t>
      </w:r>
    </w:p>
    <w:p w14:paraId="6CE25275" w14:textId="77777777" w:rsidR="002B623B" w:rsidRDefault="00AD04ED">
      <w:pPr>
        <w:ind w:left="-5"/>
      </w:pPr>
      <w:r>
        <w:t xml:space="preserve">There is a clear opportunity cost if these reforms disrupt service continuity. Families experiencing vulnerability cannot absorb instability in essential supports, nor can organisations simply pause service delivery during transition. To mitigate this, the Government must invest in clear transition planning, adequate timeframes, and practical support for adaptation. </w:t>
      </w:r>
    </w:p>
    <w:p w14:paraId="4182375C" w14:textId="77777777" w:rsidR="002B623B" w:rsidRDefault="00AD04ED">
      <w:pPr>
        <w:spacing w:after="28" w:line="259" w:lineRule="auto"/>
        <w:ind w:left="0" w:firstLine="0"/>
      </w:pPr>
      <w:r>
        <w:t xml:space="preserve"> </w:t>
      </w:r>
    </w:p>
    <w:p w14:paraId="3B92962B" w14:textId="77777777" w:rsidR="002B623B" w:rsidRDefault="00AD04ED">
      <w:pPr>
        <w:ind w:left="-5"/>
      </w:pPr>
      <w:r>
        <w:t xml:space="preserve">Strong transition arrangements are also needed to manage unintended consequences, including the risk of workforce displacement, the loss of community trust, and operational costs borne by organisations during the change. </w:t>
      </w:r>
    </w:p>
    <w:p w14:paraId="0197CFFC" w14:textId="77777777" w:rsidR="002B623B" w:rsidRDefault="00AD04ED">
      <w:pPr>
        <w:spacing w:after="59" w:line="259" w:lineRule="auto"/>
        <w:ind w:left="0" w:firstLine="0"/>
      </w:pPr>
      <w:r>
        <w:t xml:space="preserve"> </w:t>
      </w:r>
    </w:p>
    <w:p w14:paraId="38129A4A" w14:textId="77777777" w:rsidR="002B623B" w:rsidRDefault="00AD04ED">
      <w:pPr>
        <w:pStyle w:val="Heading3"/>
        <w:ind w:left="-5"/>
      </w:pPr>
      <w:r>
        <w:t xml:space="preserve">Recommendation </w:t>
      </w:r>
    </w:p>
    <w:p w14:paraId="3CB5D503"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firstLine="0"/>
      </w:pPr>
      <w:r>
        <w:t xml:space="preserve">Anglicare Australia recommends that the Department: </w:t>
      </w:r>
    </w:p>
    <w:p w14:paraId="26B9A803" w14:textId="77777777" w:rsidR="002B623B" w:rsidRDefault="00AD04ED">
      <w:pPr>
        <w:pBdr>
          <w:top w:val="single" w:sz="4" w:space="0" w:color="000000"/>
          <w:left w:val="single" w:sz="4" w:space="0" w:color="000000"/>
          <w:bottom w:val="single" w:sz="4" w:space="0" w:color="000000"/>
          <w:right w:val="single" w:sz="4" w:space="0" w:color="000000"/>
        </w:pBdr>
        <w:spacing w:after="14" w:line="286" w:lineRule="auto"/>
        <w:ind w:left="355" w:hanging="370"/>
        <w:jc w:val="both"/>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Allocate adequate time, resources and support for transition, including early sector engagement, clear communication, realistic tender timeframes, and resourcing to address unintended costs or disruptions. </w:t>
      </w:r>
    </w:p>
    <w:p w14:paraId="3B6F3F5A" w14:textId="77777777" w:rsidR="002B623B" w:rsidRDefault="00AD04ED">
      <w:pPr>
        <w:spacing w:after="26" w:line="259" w:lineRule="auto"/>
        <w:ind w:left="0" w:firstLine="0"/>
      </w:pPr>
      <w:r>
        <w:t xml:space="preserve"> </w:t>
      </w:r>
    </w:p>
    <w:p w14:paraId="35DE2561" w14:textId="77777777" w:rsidR="002B623B" w:rsidRDefault="00AD04ED">
      <w:pPr>
        <w:spacing w:after="106" w:line="259" w:lineRule="auto"/>
        <w:ind w:left="0" w:firstLine="0"/>
      </w:pPr>
      <w:r>
        <w:rPr>
          <w:b/>
          <w:color w:val="548DD4"/>
        </w:rPr>
        <w:t xml:space="preserve"> </w:t>
      </w:r>
    </w:p>
    <w:p w14:paraId="264CD13B" w14:textId="77777777" w:rsidR="002B623B" w:rsidRDefault="00AD04ED">
      <w:pPr>
        <w:spacing w:after="0" w:line="259" w:lineRule="auto"/>
        <w:ind w:left="0" w:firstLine="0"/>
      </w:pPr>
      <w:r>
        <w:t xml:space="preserve"> </w:t>
      </w:r>
      <w:r>
        <w:tab/>
      </w:r>
      <w:r>
        <w:rPr>
          <w:rFonts w:ascii="Calibri" w:eastAsia="Calibri" w:hAnsi="Calibri" w:cs="Calibri"/>
          <w:b/>
          <w:color w:val="00437A"/>
          <w:sz w:val="28"/>
        </w:rPr>
        <w:t xml:space="preserve"> </w:t>
      </w:r>
    </w:p>
    <w:p w14:paraId="6C0399D9" w14:textId="77777777" w:rsidR="002B623B" w:rsidRDefault="00AD04ED">
      <w:pPr>
        <w:pStyle w:val="Heading1"/>
        <w:ind w:left="-5"/>
      </w:pPr>
      <w:bookmarkStart w:id="11" w:name="_Toc17322"/>
      <w:r>
        <w:t xml:space="preserve">Priority Investment Areas </w:t>
      </w:r>
      <w:bookmarkEnd w:id="11"/>
    </w:p>
    <w:p w14:paraId="61321CBB" w14:textId="77777777" w:rsidR="002B623B" w:rsidRDefault="00AD04ED">
      <w:pPr>
        <w:ind w:left="-5"/>
      </w:pPr>
      <w:r>
        <w:t xml:space="preserve">Anglicare Australia welcomes the Government’s commitment to prevention, early intervention, and </w:t>
      </w:r>
      <w:r>
        <w:t xml:space="preserve">the strengthening of the Aboriginal and Torres Strait Islander community-controlled sector. These priorities reflect long-standing feedback from service providers and evidence from recent reviews. However, several aspects of the priority investment areas require refinement to avoid unintended consequences and ensure they genuinely support the families and communities they aim to serve. </w:t>
      </w:r>
    </w:p>
    <w:p w14:paraId="5A85185C" w14:textId="77777777" w:rsidR="002B623B" w:rsidRDefault="00AD04ED">
      <w:pPr>
        <w:spacing w:after="47" w:line="259" w:lineRule="auto"/>
        <w:ind w:left="0" w:firstLine="0"/>
      </w:pPr>
      <w:r>
        <w:t xml:space="preserve"> </w:t>
      </w:r>
    </w:p>
    <w:p w14:paraId="3F0466E0" w14:textId="77777777" w:rsidR="002B623B" w:rsidRDefault="00AD04ED">
      <w:pPr>
        <w:pStyle w:val="Heading2"/>
        <w:ind w:left="-5"/>
      </w:pPr>
      <w:bookmarkStart w:id="12" w:name="_Toc17323"/>
      <w:r>
        <w:t>Connected, co-</w:t>
      </w:r>
      <w:r>
        <w:t xml:space="preserve">located, and integrated services </w:t>
      </w:r>
      <w:bookmarkEnd w:id="12"/>
    </w:p>
    <w:p w14:paraId="26EB76F8" w14:textId="77777777" w:rsidR="002B623B" w:rsidRDefault="00AD04ED">
      <w:pPr>
        <w:ind w:left="-5"/>
      </w:pPr>
      <w:r>
        <w:t xml:space="preserve">Anglicare Australia supports efforts to promote collaboration, co-location and service integration. These qualities can improve access, reduce duplication, and support more holistic responses for families. However, the priority area as currently drafted is overly prescriptive and does not acknowledge that these features vary in value depending on service type, community needs, and local context. </w:t>
      </w:r>
    </w:p>
    <w:p w14:paraId="323FC889" w14:textId="77777777" w:rsidR="002B623B" w:rsidRDefault="00AD04ED">
      <w:pPr>
        <w:spacing w:after="28" w:line="259" w:lineRule="auto"/>
        <w:ind w:left="0" w:firstLine="0"/>
      </w:pPr>
      <w:r>
        <w:t xml:space="preserve"> </w:t>
      </w:r>
    </w:p>
    <w:p w14:paraId="53FCEB56" w14:textId="77777777" w:rsidR="002B623B" w:rsidRDefault="00AD04ED">
      <w:pPr>
        <w:ind w:left="-5"/>
      </w:pPr>
      <w:r>
        <w:t>For example, co-</w:t>
      </w:r>
      <w:r>
        <w:t xml:space="preserve">location is not universally beneficial. Research has shown that co-locating family and </w:t>
      </w:r>
      <w:r>
        <w:t xml:space="preserve">domestic violence services with child protection agencies can heighten First Nations women’s fears </w:t>
      </w:r>
      <w:r>
        <w:t>of child removal, reducing their willingness to seek support.</w:t>
      </w:r>
      <w:r>
        <w:rPr>
          <w:vertAlign w:val="superscript"/>
        </w:rPr>
        <w:t>vii</w:t>
      </w:r>
      <w:r>
        <w:t xml:space="preserve"> Similarly, co-location often depends on </w:t>
      </w:r>
      <w:r>
        <w:t xml:space="preserve">factors outside a provider’s control, including workforce availability, local infrastructure, and the </w:t>
      </w:r>
      <w:r>
        <w:t xml:space="preserve">willingness of partner organisations to collaborate. </w:t>
      </w:r>
    </w:p>
    <w:p w14:paraId="28DD2B98" w14:textId="77777777" w:rsidR="002B623B" w:rsidRDefault="00AD04ED">
      <w:pPr>
        <w:spacing w:after="28" w:line="259" w:lineRule="auto"/>
        <w:ind w:left="0" w:firstLine="0"/>
      </w:pPr>
      <w:r>
        <w:t xml:space="preserve"> </w:t>
      </w:r>
    </w:p>
    <w:p w14:paraId="47DE2888" w14:textId="77777777" w:rsidR="002B623B" w:rsidRDefault="00AD04ED">
      <w:pPr>
        <w:ind w:left="-5"/>
      </w:pPr>
      <w:r>
        <w:t>A broader, strengths-</w:t>
      </w:r>
      <w:r>
        <w:t xml:space="preserve">based understanding of “connected” and “integrated” practice would better </w:t>
      </w:r>
      <w:r>
        <w:t xml:space="preserve">reflect the diverse ways organisations build relationships and support communities. This includes outreach models, virtual service pathways, trauma-informed and culturally safe practices, and practical innovations that remove access barriers. Anglicare Australia members provide strong </w:t>
      </w:r>
      <w:r>
        <w:t xml:space="preserve">examples, such as ac.care’s free shuttle service in Mount Gambier, which was introduced in response </w:t>
      </w:r>
      <w:r>
        <w:t>to transport exclusion and has improved engagement a</w:t>
      </w:r>
      <w:r>
        <w:t>nd reduced missed appointments.</w:t>
      </w:r>
      <w:r>
        <w:rPr>
          <w:vertAlign w:val="superscript"/>
        </w:rPr>
        <w:t xml:space="preserve"> viii</w:t>
      </w:r>
      <w:r>
        <w:t xml:space="preserve"> </w:t>
      </w:r>
    </w:p>
    <w:p w14:paraId="30C5B9BB" w14:textId="77777777" w:rsidR="002B623B" w:rsidRDefault="00AD04ED">
      <w:pPr>
        <w:spacing w:after="26" w:line="259" w:lineRule="auto"/>
        <w:ind w:left="0" w:firstLine="0"/>
      </w:pPr>
      <w:r>
        <w:t xml:space="preserve"> </w:t>
      </w:r>
    </w:p>
    <w:p w14:paraId="2C7309FC" w14:textId="77777777" w:rsidR="002B623B" w:rsidRDefault="00AD04ED">
      <w:pPr>
        <w:ind w:left="-5"/>
      </w:pPr>
      <w:r>
        <w:t xml:space="preserve">The grant assessment process should therefore recognise multiple forms of connection and integration, including partnerships with peak bodies, informal networks, volunteer engagement, and the use of lived experience in governance and service design. </w:t>
      </w:r>
    </w:p>
    <w:p w14:paraId="5452D439" w14:textId="77777777" w:rsidR="002B623B" w:rsidRDefault="00AD04ED">
      <w:pPr>
        <w:spacing w:after="60" w:line="259" w:lineRule="auto"/>
        <w:ind w:left="0" w:firstLine="0"/>
      </w:pPr>
      <w:r>
        <w:t xml:space="preserve"> </w:t>
      </w:r>
    </w:p>
    <w:p w14:paraId="08A47A15" w14:textId="77777777" w:rsidR="002B623B" w:rsidRDefault="00AD04ED">
      <w:pPr>
        <w:pStyle w:val="Heading3"/>
        <w:ind w:left="-5"/>
      </w:pPr>
      <w:r>
        <w:t xml:space="preserve">Recommendation </w:t>
      </w:r>
    </w:p>
    <w:p w14:paraId="28EC3645"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firstLine="0"/>
      </w:pPr>
      <w:r>
        <w:t xml:space="preserve">Anglicare Australia recommends that:  </w:t>
      </w:r>
    </w:p>
    <w:p w14:paraId="08EAC937" w14:textId="77777777" w:rsidR="002B623B" w:rsidRDefault="00AD04ED">
      <w:pPr>
        <w:pBdr>
          <w:top w:val="single" w:sz="4" w:space="0" w:color="000000"/>
          <w:left w:val="single" w:sz="4" w:space="0" w:color="000000"/>
          <w:bottom w:val="single" w:sz="4" w:space="0" w:color="000000"/>
          <w:right w:val="single" w:sz="4" w:space="0" w:color="000000"/>
        </w:pBdr>
        <w:spacing w:after="14" w:line="286" w:lineRule="auto"/>
        <w:ind w:left="355" w:hanging="370"/>
        <w:jc w:val="both"/>
      </w:pPr>
      <w:r>
        <w:rPr>
          <w:rFonts w:ascii="Wingdings" w:eastAsia="Wingdings" w:hAnsi="Wingdings" w:cs="Wingdings"/>
        </w:rPr>
        <w:t>▪</w:t>
      </w:r>
      <w:r>
        <w:rPr>
          <w:rFonts w:ascii="Arial" w:eastAsia="Arial" w:hAnsi="Arial" w:cs="Arial"/>
        </w:rPr>
        <w:t xml:space="preserve"> </w:t>
      </w:r>
      <w:r>
        <w:t xml:space="preserve">The integrated services priority be broadened to recognise diverse ways providers build strong relationships and improve access, including outreach, virtual models, culturally safe practice, and local innovations. </w:t>
      </w:r>
    </w:p>
    <w:p w14:paraId="3235F5C8" w14:textId="77777777" w:rsidR="002B623B" w:rsidRDefault="00AD04ED">
      <w:pPr>
        <w:spacing w:after="0" w:line="259" w:lineRule="auto"/>
        <w:ind w:left="0" w:firstLine="0"/>
      </w:pPr>
      <w:r>
        <w:t xml:space="preserve"> </w:t>
      </w:r>
      <w:r>
        <w:tab/>
        <w:t xml:space="preserve"> </w:t>
      </w:r>
    </w:p>
    <w:p w14:paraId="5B22D957" w14:textId="77777777" w:rsidR="002B623B" w:rsidRDefault="00AD04ED">
      <w:pPr>
        <w:pStyle w:val="Heading2"/>
        <w:ind w:left="-5"/>
      </w:pPr>
      <w:bookmarkStart w:id="13" w:name="_Toc17324"/>
      <w:r>
        <w:t xml:space="preserve">Improving outcomes for First Nations children and families </w:t>
      </w:r>
      <w:bookmarkEnd w:id="13"/>
    </w:p>
    <w:p w14:paraId="62F8B6B8" w14:textId="77777777" w:rsidR="002B623B" w:rsidRDefault="00AD04ED">
      <w:pPr>
        <w:ind w:left="-5"/>
      </w:pPr>
      <w:r>
        <w:t xml:space="preserve">Anglicare Australia strongly supports the priority of expanding and strengthening the Aboriginal Community Controlled Organisation (ACCO) sector. First Nations organisations are best placed to design, govern and deliver services for their communities, and increasing their role is essential for achieving self-determination and improved outcomes. </w:t>
      </w:r>
    </w:p>
    <w:p w14:paraId="7A86A20F" w14:textId="77777777" w:rsidR="002B623B" w:rsidRDefault="00AD04ED">
      <w:pPr>
        <w:spacing w:after="28" w:line="259" w:lineRule="auto"/>
        <w:ind w:left="0" w:firstLine="0"/>
      </w:pPr>
      <w:r>
        <w:t xml:space="preserve"> </w:t>
      </w:r>
    </w:p>
    <w:p w14:paraId="1A0404E6" w14:textId="77777777" w:rsidR="002B623B" w:rsidRDefault="00AD04ED">
      <w:pPr>
        <w:ind w:left="-5"/>
      </w:pPr>
      <w:r>
        <w:t>However, this priority cannot be measured solely through the number of ACCOs funded. Sustainable growth requires equitable procurement processes and investment in core organisational functions. Findings from the Stronger ACCOs, Stronger Families report highlight how historical and ongoing discrimination has created structural disadvantages for ACCOs in competitive tendering.</w:t>
      </w:r>
      <w:r>
        <w:rPr>
          <w:vertAlign w:val="superscript"/>
        </w:rPr>
        <w:t>ix</w:t>
      </w:r>
      <w:r>
        <w:t xml:space="preserve"> Many lack the assets and administrative resources that mainstream organisations use to meet tender requirements, despite delivering high-quality, culturally grounded services. </w:t>
      </w:r>
    </w:p>
    <w:p w14:paraId="273CB151" w14:textId="77777777" w:rsidR="002B623B" w:rsidRDefault="00AD04ED">
      <w:pPr>
        <w:spacing w:after="28" w:line="259" w:lineRule="auto"/>
        <w:ind w:left="0" w:firstLine="0"/>
      </w:pPr>
      <w:r>
        <w:t xml:space="preserve"> </w:t>
      </w:r>
    </w:p>
    <w:p w14:paraId="5E6B2805" w14:textId="77777777" w:rsidR="002B623B" w:rsidRDefault="00AD04ED">
      <w:pPr>
        <w:ind w:left="-5"/>
      </w:pPr>
      <w:r>
        <w:t xml:space="preserve">To genuinely strengthen the sector, tender processes must be simplified, reporting requirements must be proportionate, and core operational funding must be built into contracts. The priority area should also recognise the value of meaningful partnerships between ACCOs and non-Indigenous organisations that build capacity, transfer knowledge, and support long-term sustainability without diluting ACCO leadership or control. </w:t>
      </w:r>
    </w:p>
    <w:p w14:paraId="4FEB3F7A" w14:textId="77777777" w:rsidR="002B623B" w:rsidRDefault="00AD04ED">
      <w:pPr>
        <w:spacing w:after="59" w:line="259" w:lineRule="auto"/>
        <w:ind w:left="0" w:firstLine="0"/>
      </w:pPr>
      <w:r>
        <w:t xml:space="preserve"> </w:t>
      </w:r>
    </w:p>
    <w:p w14:paraId="0EEF083C" w14:textId="77777777" w:rsidR="002B623B" w:rsidRDefault="00AD04ED">
      <w:pPr>
        <w:pStyle w:val="Heading3"/>
        <w:ind w:left="-5"/>
      </w:pPr>
      <w:r>
        <w:t xml:space="preserve">Recommendation </w:t>
      </w:r>
    </w:p>
    <w:p w14:paraId="031BA245"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firstLine="0"/>
      </w:pPr>
      <w:r>
        <w:t xml:space="preserve">Anglicare Australia recommends that:  </w:t>
      </w:r>
    </w:p>
    <w:p w14:paraId="562CD495"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355" w:hanging="370"/>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The First Nations priority be strengthened by ensuring tender processes are not onerous, providing core operational funding for ACCOs, and recognising meaningful partnerships that build capacity and support self-determination. </w:t>
      </w:r>
    </w:p>
    <w:p w14:paraId="10E435B8" w14:textId="77777777" w:rsidR="002B623B" w:rsidRDefault="00AD04ED">
      <w:pPr>
        <w:spacing w:after="47" w:line="259" w:lineRule="auto"/>
        <w:ind w:left="0" w:firstLine="0"/>
      </w:pPr>
      <w:r>
        <w:t xml:space="preserve"> </w:t>
      </w:r>
    </w:p>
    <w:p w14:paraId="1DED994E" w14:textId="77777777" w:rsidR="002B623B" w:rsidRDefault="00AD04ED">
      <w:pPr>
        <w:pStyle w:val="Heading2"/>
        <w:ind w:left="-5"/>
      </w:pPr>
      <w:bookmarkStart w:id="14" w:name="_Toc17325"/>
      <w:r>
        <w:t xml:space="preserve">Investing early to improve family wellbeing </w:t>
      </w:r>
      <w:bookmarkEnd w:id="14"/>
    </w:p>
    <w:p w14:paraId="3F1F076C" w14:textId="77777777" w:rsidR="002B623B" w:rsidRDefault="00AD04ED">
      <w:pPr>
        <w:ind w:left="-5"/>
      </w:pPr>
      <w:r>
        <w:t xml:space="preserve">Anglicare Australia welcomes the strong emphasis on prevention and early intervention. Targeted supports for families at risk of child protection involvement, for young parents, and for children aged under five are vital components of an effective national program. However, the priority area should be broadened to reflect other groups whose wellbeing has profound lifelong and intergenerational impacts. </w:t>
      </w:r>
    </w:p>
    <w:p w14:paraId="246C9C05" w14:textId="77777777" w:rsidR="002B623B" w:rsidRDefault="00AD04ED">
      <w:pPr>
        <w:spacing w:after="28" w:line="259" w:lineRule="auto"/>
        <w:ind w:left="0" w:firstLine="0"/>
      </w:pPr>
      <w:r>
        <w:t xml:space="preserve"> </w:t>
      </w:r>
    </w:p>
    <w:p w14:paraId="75AA20DD" w14:textId="77777777" w:rsidR="002B623B" w:rsidRDefault="00AD04ED">
      <w:pPr>
        <w:pStyle w:val="Heading3"/>
        <w:pBdr>
          <w:top w:val="none" w:sz="0" w:space="0" w:color="auto"/>
          <w:left w:val="none" w:sz="0" w:space="0" w:color="auto"/>
          <w:bottom w:val="none" w:sz="0" w:space="0" w:color="auto"/>
          <w:right w:val="none" w:sz="0" w:space="0" w:color="auto"/>
        </w:pBdr>
        <w:spacing w:after="28"/>
        <w:ind w:left="-5"/>
      </w:pPr>
      <w:r>
        <w:t xml:space="preserve">Domestic and family violence </w:t>
      </w:r>
    </w:p>
    <w:p w14:paraId="1ABBAF34" w14:textId="77777777" w:rsidR="002B623B" w:rsidRDefault="00AD04ED">
      <w:pPr>
        <w:ind w:left="-5"/>
      </w:pPr>
      <w:r>
        <w:t xml:space="preserve">Domestic and family violence remains a pervasive driver of harm for individuals, families and communities. It contributes significantly to homelessness, mental health issues, disability, and intergenerational cycles of trauma. Children who witness or experience violence are at higher risk of future victimisation or perpetration. Given its prevalence and impact, eliminating violence should be explicitly included as an early-intervention priority within the program. </w:t>
      </w:r>
    </w:p>
    <w:p w14:paraId="2D3D2D8A" w14:textId="77777777" w:rsidR="002B623B" w:rsidRDefault="00AD04ED">
      <w:pPr>
        <w:spacing w:after="0" w:line="259" w:lineRule="auto"/>
        <w:ind w:left="0" w:firstLine="0"/>
      </w:pPr>
      <w:r>
        <w:t xml:space="preserve"> </w:t>
      </w:r>
      <w:r>
        <w:tab/>
        <w:t xml:space="preserve"> </w:t>
      </w:r>
    </w:p>
    <w:p w14:paraId="1F08E432" w14:textId="77777777" w:rsidR="002B623B" w:rsidRDefault="00AD04ED">
      <w:pPr>
        <w:spacing w:after="28" w:line="259" w:lineRule="auto"/>
        <w:ind w:left="0" w:firstLine="0"/>
      </w:pPr>
      <w:r>
        <w:t xml:space="preserve"> </w:t>
      </w:r>
    </w:p>
    <w:p w14:paraId="33271C92" w14:textId="77777777" w:rsidR="002B623B" w:rsidRDefault="00AD04ED">
      <w:pPr>
        <w:pStyle w:val="Heading3"/>
        <w:pBdr>
          <w:top w:val="none" w:sz="0" w:space="0" w:color="auto"/>
          <w:left w:val="none" w:sz="0" w:space="0" w:color="auto"/>
          <w:bottom w:val="none" w:sz="0" w:space="0" w:color="auto"/>
          <w:right w:val="none" w:sz="0" w:space="0" w:color="auto"/>
        </w:pBdr>
        <w:spacing w:after="28"/>
        <w:ind w:left="-5"/>
      </w:pPr>
      <w:r>
        <w:t xml:space="preserve">Culturally and linguistically diverse families and people with disability </w:t>
      </w:r>
    </w:p>
    <w:p w14:paraId="7E7FCEAC" w14:textId="77777777" w:rsidR="002B623B" w:rsidRDefault="00AD04ED">
      <w:pPr>
        <w:ind w:left="-5"/>
      </w:pPr>
      <w:r>
        <w:t xml:space="preserve">Families from culturally and linguistically diverse backgrounds and families including people with disability often face unique barriers to accessing mainstream services, including language, unfamiliarity with systems, and accessibility constraints. Yet evidence shows they are significantly less likely to access children, youth and parenting programs despite having equal or greater need. Early intervention efforts must therefore include targeted, culturally informed approaches for these communities. </w:t>
      </w:r>
    </w:p>
    <w:p w14:paraId="0828A130" w14:textId="77777777" w:rsidR="002B623B" w:rsidRDefault="00AD04ED">
      <w:pPr>
        <w:spacing w:after="28" w:line="259" w:lineRule="auto"/>
        <w:ind w:left="0" w:firstLine="0"/>
      </w:pPr>
      <w:r>
        <w:t xml:space="preserve"> </w:t>
      </w:r>
    </w:p>
    <w:p w14:paraId="19BC55ED" w14:textId="77777777" w:rsidR="002B623B" w:rsidRDefault="00AD04ED">
      <w:pPr>
        <w:pStyle w:val="Heading3"/>
        <w:pBdr>
          <w:top w:val="none" w:sz="0" w:space="0" w:color="auto"/>
          <w:left w:val="none" w:sz="0" w:space="0" w:color="auto"/>
          <w:bottom w:val="none" w:sz="0" w:space="0" w:color="auto"/>
          <w:right w:val="none" w:sz="0" w:space="0" w:color="auto"/>
        </w:pBdr>
        <w:spacing w:after="28"/>
        <w:ind w:left="-5"/>
      </w:pPr>
      <w:r>
        <w:t xml:space="preserve">Addressing unmet need and providing wraparound support </w:t>
      </w:r>
    </w:p>
    <w:p w14:paraId="6939345F" w14:textId="77777777" w:rsidR="002B623B" w:rsidRDefault="00AD04ED">
      <w:pPr>
        <w:ind w:left="-5"/>
      </w:pPr>
      <w:r>
        <w:t xml:space="preserve">Families frequently rely on a range of interconnected services, ranging from mental health, housing, disability support, and drug and alcohol treatment, to achieve stability and wellbeing. Long waits or service gaps in these adjacent systems can undermine the effectiveness of interventions funded </w:t>
      </w:r>
      <w:r>
        <w:t xml:space="preserve">through this program. While family and children’s program should not be expected to backfill other </w:t>
      </w:r>
      <w:r>
        <w:t xml:space="preserve">systems, it must recognise that families need support while waiting for essential services. A priority focus on addressing unmet need and facilitating wraparound responses is therefore critical. </w:t>
      </w:r>
    </w:p>
    <w:p w14:paraId="529B0118" w14:textId="77777777" w:rsidR="002B623B" w:rsidRDefault="00AD04ED">
      <w:pPr>
        <w:spacing w:after="59" w:line="259" w:lineRule="auto"/>
        <w:ind w:left="0" w:firstLine="0"/>
      </w:pPr>
      <w:r>
        <w:t xml:space="preserve"> </w:t>
      </w:r>
    </w:p>
    <w:p w14:paraId="1F85D4BB" w14:textId="77777777" w:rsidR="002B623B" w:rsidRDefault="00AD04ED">
      <w:pPr>
        <w:pStyle w:val="Heading3"/>
        <w:ind w:left="-5"/>
      </w:pPr>
      <w:r>
        <w:t xml:space="preserve">Recommendations  </w:t>
      </w:r>
    </w:p>
    <w:p w14:paraId="6C3EC9B2"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firstLine="0"/>
      </w:pPr>
      <w:r>
        <w:t xml:space="preserve">Anglicare Australia recommends that:  </w:t>
      </w:r>
    </w:p>
    <w:p w14:paraId="3FCCA19B" w14:textId="77777777" w:rsidR="002B623B" w:rsidRDefault="00AD04ED">
      <w:pPr>
        <w:numPr>
          <w:ilvl w:val="0"/>
          <w:numId w:val="2"/>
        </w:numPr>
        <w:pBdr>
          <w:top w:val="single" w:sz="4" w:space="0" w:color="000000"/>
          <w:left w:val="single" w:sz="4" w:space="0" w:color="000000"/>
          <w:bottom w:val="single" w:sz="4" w:space="0" w:color="000000"/>
          <w:right w:val="single" w:sz="4" w:space="0" w:color="000000"/>
        </w:pBdr>
        <w:spacing w:line="292" w:lineRule="auto"/>
        <w:ind w:left="345" w:hanging="360"/>
      </w:pPr>
      <w:r>
        <w:t xml:space="preserve">Eliminating domestic and family violence be included as a priority area given its profound intergenerational impacts on children and families. </w:t>
      </w:r>
    </w:p>
    <w:p w14:paraId="28609F89" w14:textId="77777777" w:rsidR="002B623B" w:rsidRDefault="00AD04ED">
      <w:pPr>
        <w:numPr>
          <w:ilvl w:val="0"/>
          <w:numId w:val="2"/>
        </w:numPr>
        <w:pBdr>
          <w:top w:val="single" w:sz="4" w:space="0" w:color="000000"/>
          <w:left w:val="single" w:sz="4" w:space="0" w:color="000000"/>
          <w:bottom w:val="single" w:sz="4" w:space="0" w:color="000000"/>
          <w:right w:val="single" w:sz="4" w:space="0" w:color="000000"/>
        </w:pBdr>
        <w:spacing w:line="292" w:lineRule="auto"/>
        <w:ind w:left="345" w:hanging="360"/>
      </w:pPr>
      <w:r>
        <w:t xml:space="preserve">Culturally and linguistically diverse communities and people with disability be explicitly included within early-intervention priorities to address persistent inequities in access. </w:t>
      </w:r>
    </w:p>
    <w:p w14:paraId="1DD517A6" w14:textId="77777777" w:rsidR="002B623B" w:rsidRDefault="00AD04ED">
      <w:pPr>
        <w:numPr>
          <w:ilvl w:val="0"/>
          <w:numId w:val="2"/>
        </w:numPr>
        <w:pBdr>
          <w:top w:val="single" w:sz="4" w:space="0" w:color="000000"/>
          <w:left w:val="single" w:sz="4" w:space="0" w:color="000000"/>
          <w:bottom w:val="single" w:sz="4" w:space="0" w:color="000000"/>
          <w:right w:val="single" w:sz="4" w:space="0" w:color="000000"/>
        </w:pBdr>
        <w:spacing w:after="103" w:line="292" w:lineRule="auto"/>
        <w:ind w:left="345" w:hanging="360"/>
      </w:pPr>
      <w:r>
        <w:t xml:space="preserve">The Government work across departments to reduce system silos, ensuring families can access essential mental health, housing and disability supports in a timely way, and that the family and </w:t>
      </w:r>
      <w:r>
        <w:t>children’s program can support families while they wait.</w:t>
      </w:r>
      <w:r>
        <w:t xml:space="preserve"> </w:t>
      </w:r>
    </w:p>
    <w:p w14:paraId="12F8FCB8" w14:textId="77777777" w:rsidR="002B623B" w:rsidRDefault="00AD04ED">
      <w:pPr>
        <w:spacing w:after="0" w:line="259" w:lineRule="auto"/>
        <w:ind w:left="0" w:firstLine="0"/>
      </w:pPr>
      <w:r>
        <w:t xml:space="preserve"> </w:t>
      </w:r>
      <w:r>
        <w:tab/>
      </w:r>
      <w:r>
        <w:rPr>
          <w:rFonts w:ascii="Calibri" w:eastAsia="Calibri" w:hAnsi="Calibri" w:cs="Calibri"/>
          <w:b/>
          <w:color w:val="00437A"/>
          <w:sz w:val="28"/>
        </w:rPr>
        <w:t xml:space="preserve"> </w:t>
      </w:r>
    </w:p>
    <w:p w14:paraId="7503E845" w14:textId="77777777" w:rsidR="002B623B" w:rsidRDefault="00AD04ED">
      <w:pPr>
        <w:pStyle w:val="Heading2"/>
        <w:ind w:left="-5"/>
      </w:pPr>
      <w:bookmarkStart w:id="15" w:name="_Toc17326"/>
      <w:r>
        <w:t xml:space="preserve">Responding to community need  </w:t>
      </w:r>
      <w:bookmarkEnd w:id="15"/>
    </w:p>
    <w:p w14:paraId="31F29F92" w14:textId="77777777" w:rsidR="002B623B" w:rsidRDefault="00AD04ED">
      <w:pPr>
        <w:ind w:left="-5"/>
      </w:pPr>
      <w:r>
        <w:t>Anglicare Australia welcomes the shift to merit-based grant applications that reflect local community needs rather than relying on population-based formulas. Disadvantage does not map neatly onto population size, and funding approaches must recognise where communities face higher levels of vulnerability or have distinct demographic profiles. For example, communities with concentrated asylum seeker populations or high proportions of older Australians will require different service approaches, staffing, and l</w:t>
      </w:r>
      <w:r>
        <w:t xml:space="preserve">evels of cultural capability. </w:t>
      </w:r>
    </w:p>
    <w:p w14:paraId="43E06B4C" w14:textId="77777777" w:rsidR="002B623B" w:rsidRDefault="00AD04ED">
      <w:pPr>
        <w:spacing w:after="28" w:line="259" w:lineRule="auto"/>
        <w:ind w:left="0" w:firstLine="0"/>
      </w:pPr>
      <w:r>
        <w:t xml:space="preserve"> </w:t>
      </w:r>
    </w:p>
    <w:p w14:paraId="1381127C" w14:textId="77777777" w:rsidR="002B623B" w:rsidRDefault="00AD04ED">
      <w:pPr>
        <w:ind w:left="-5"/>
      </w:pPr>
      <w:r>
        <w:t xml:space="preserve">The cost of delivering services also varies significantly across regions. Providers in rural and remote communities face higher expenses for travel, fuel, insurance and compliance, yet these costs are rarely reflected in funding models. Without appropriate cost loadings, services in these areas are placed at risk and families in already under-resourced communities can face reduced access or long waiting times. </w:t>
      </w:r>
    </w:p>
    <w:p w14:paraId="59AEEAA6" w14:textId="77777777" w:rsidR="002B623B" w:rsidRDefault="00AD04ED">
      <w:pPr>
        <w:spacing w:after="28" w:line="259" w:lineRule="auto"/>
        <w:ind w:left="0" w:firstLine="0"/>
      </w:pPr>
      <w:r>
        <w:t xml:space="preserve"> </w:t>
      </w:r>
    </w:p>
    <w:p w14:paraId="266CC6B6" w14:textId="77777777" w:rsidR="002B623B" w:rsidRDefault="00AD04ED">
      <w:pPr>
        <w:ind w:left="-5"/>
      </w:pPr>
      <w:r>
        <w:t xml:space="preserve">Finally, service delivery methods must be shaped by community preference and circumstance. Some communities value virtual delivery, while others, particularly those experiencing digital exclusion or complex need, rely on face-to-face or outreach models. The new program must therefore allow flexibility and provide adequate resourcing so services remain accessible and responsive. </w:t>
      </w:r>
    </w:p>
    <w:p w14:paraId="360FF6E1" w14:textId="77777777" w:rsidR="002B623B" w:rsidRDefault="00AD04ED">
      <w:pPr>
        <w:spacing w:after="59" w:line="259" w:lineRule="auto"/>
        <w:ind w:left="0" w:firstLine="0"/>
      </w:pPr>
      <w:r>
        <w:t xml:space="preserve"> </w:t>
      </w:r>
    </w:p>
    <w:p w14:paraId="1D7EE983" w14:textId="77777777" w:rsidR="002B623B" w:rsidRDefault="00AD04ED">
      <w:pPr>
        <w:pStyle w:val="Heading3"/>
        <w:ind w:left="-5"/>
      </w:pPr>
      <w:r>
        <w:t xml:space="preserve">Recommendation </w:t>
      </w:r>
    </w:p>
    <w:p w14:paraId="28D0FCEA"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firstLine="0"/>
      </w:pPr>
      <w:r>
        <w:t xml:space="preserve">Anglicare Australia recommends that:  </w:t>
      </w:r>
    </w:p>
    <w:p w14:paraId="74836AEE" w14:textId="77777777" w:rsidR="002B623B" w:rsidRDefault="00AD04ED">
      <w:pPr>
        <w:pBdr>
          <w:top w:val="single" w:sz="4" w:space="0" w:color="000000"/>
          <w:left w:val="single" w:sz="4" w:space="0" w:color="000000"/>
          <w:bottom w:val="single" w:sz="4" w:space="0" w:color="000000"/>
          <w:right w:val="single" w:sz="4" w:space="0" w:color="000000"/>
        </w:pBdr>
        <w:spacing w:after="103" w:line="292" w:lineRule="auto"/>
        <w:ind w:left="355" w:hanging="370"/>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Assessments of community need include demographic profiles, regional delivery costs, and local preferences for service delivery, ensuring funding levels allow providers to meet community circumstances in a practical and responsive way. </w:t>
      </w:r>
    </w:p>
    <w:p w14:paraId="70AA2910" w14:textId="77777777" w:rsidR="002B623B" w:rsidRDefault="00AD04ED">
      <w:pPr>
        <w:spacing w:after="0" w:line="259" w:lineRule="auto"/>
        <w:ind w:left="0" w:firstLine="0"/>
      </w:pPr>
      <w:r>
        <w:t xml:space="preserve"> </w:t>
      </w:r>
      <w:r>
        <w:tab/>
      </w:r>
      <w:r>
        <w:rPr>
          <w:rFonts w:ascii="Calibri" w:eastAsia="Calibri" w:hAnsi="Calibri" w:cs="Calibri"/>
          <w:b/>
          <w:color w:val="00437A"/>
          <w:sz w:val="28"/>
        </w:rPr>
        <w:t xml:space="preserve"> </w:t>
      </w:r>
    </w:p>
    <w:p w14:paraId="4AF64DB6" w14:textId="77777777" w:rsidR="002B623B" w:rsidRDefault="00AD04ED">
      <w:pPr>
        <w:pStyle w:val="Heading1"/>
        <w:ind w:left="-5"/>
      </w:pPr>
      <w:bookmarkStart w:id="16" w:name="_Toc17327"/>
      <w:r>
        <w:t xml:space="preserve">Working Together </w:t>
      </w:r>
      <w:bookmarkEnd w:id="16"/>
    </w:p>
    <w:p w14:paraId="6610258B" w14:textId="77777777" w:rsidR="002B623B" w:rsidRDefault="00AD04ED">
      <w:pPr>
        <w:spacing w:after="47" w:line="259" w:lineRule="auto"/>
        <w:ind w:left="0" w:firstLine="0"/>
      </w:pPr>
      <w:r>
        <w:t xml:space="preserve"> </w:t>
      </w:r>
    </w:p>
    <w:p w14:paraId="147D2AF4" w14:textId="77777777" w:rsidR="002B623B" w:rsidRDefault="00AD04ED">
      <w:pPr>
        <w:pStyle w:val="Heading2"/>
        <w:ind w:left="-5"/>
      </w:pPr>
      <w:bookmarkStart w:id="17" w:name="_Toc17328"/>
      <w:r>
        <w:t xml:space="preserve">Streamlined reporting arrangements </w:t>
      </w:r>
      <w:bookmarkEnd w:id="17"/>
    </w:p>
    <w:p w14:paraId="20E583DF" w14:textId="77777777" w:rsidR="002B623B" w:rsidRDefault="00AD04ED">
      <w:pPr>
        <w:ind w:left="-5"/>
      </w:pPr>
      <w:r>
        <w:t>Anglicare Australia welcomes the Government’s intention to reduce the long</w:t>
      </w:r>
      <w:r>
        <w:t xml:space="preserve">-standing reporting burden on community organisations. Streamlined processes, meaningful data use and reduced duplication are essential to freeing up resources for direct service delivery. However, the proposed arrangements still raise concerns about how collaboration, reporting expectations and data sharing will work in practice. </w:t>
      </w:r>
    </w:p>
    <w:p w14:paraId="2000C274" w14:textId="77777777" w:rsidR="002B623B" w:rsidRDefault="00AD04ED">
      <w:pPr>
        <w:spacing w:after="29" w:line="259" w:lineRule="auto"/>
        <w:ind w:left="0" w:firstLine="0"/>
      </w:pPr>
      <w:r>
        <w:t xml:space="preserve"> </w:t>
      </w:r>
    </w:p>
    <w:p w14:paraId="583097B5" w14:textId="77777777" w:rsidR="002B623B" w:rsidRDefault="00AD04ED">
      <w:pPr>
        <w:ind w:left="-5"/>
      </w:pPr>
      <w:r>
        <w:t>One of the major barriers to collaboration under the current models is the limited visibility of other services operating in each region. Although providers are required to report substantial information through the Data Exchange, this data is not made available in ways that support coordination or strategic planning. Improved access to aggregated, de-identified data, such as regional service maps or demand trends, would allow providers to reduce duplication, identify gaps, and direct scarce resources to ar</w:t>
      </w:r>
      <w:r>
        <w:t xml:space="preserve">eas of highest need. Without this visibility, the program’s aspiration for more </w:t>
      </w:r>
      <w:r>
        <w:t xml:space="preserve">collaborative service systems will not be realised. </w:t>
      </w:r>
    </w:p>
    <w:p w14:paraId="5B38E41A" w14:textId="77777777" w:rsidR="002B623B" w:rsidRDefault="00AD04ED">
      <w:pPr>
        <w:spacing w:after="28" w:line="259" w:lineRule="auto"/>
        <w:ind w:left="0" w:firstLine="0"/>
      </w:pPr>
      <w:r>
        <w:t xml:space="preserve"> </w:t>
      </w:r>
    </w:p>
    <w:p w14:paraId="3093A21F" w14:textId="77777777" w:rsidR="002B623B" w:rsidRDefault="00AD04ED">
      <w:pPr>
        <w:ind w:left="-5"/>
      </w:pPr>
      <w:r>
        <w:t>We also note that while the intention to simplify reporting is welcome, high-quality outcomes measurement is inherently resource-</w:t>
      </w:r>
      <w:r>
        <w:t xml:space="preserve">intensive. Collecting, analysing and interpreting outcomes data requires staff skills and time, yet no additional funding is proposed to support this work. If reporting expectations increase without matching resources, providers will be forced to redirect funding away from core service delivery to meet compliance obligations. Contracts must therefore explicitly provide for the roles and time needed to undertake rigorous reporting. </w:t>
      </w:r>
    </w:p>
    <w:p w14:paraId="2ABF4F96" w14:textId="77777777" w:rsidR="002B623B" w:rsidRDefault="00AD04ED">
      <w:pPr>
        <w:spacing w:after="28" w:line="259" w:lineRule="auto"/>
        <w:ind w:left="0" w:firstLine="0"/>
      </w:pPr>
      <w:r>
        <w:t xml:space="preserve"> </w:t>
      </w:r>
    </w:p>
    <w:p w14:paraId="085CFC8C" w14:textId="77777777" w:rsidR="002B623B" w:rsidRDefault="00AD04ED">
      <w:pPr>
        <w:ind w:left="-5"/>
      </w:pPr>
      <w:r>
        <w:t xml:space="preserve">Finally, we are concerned by the Discussion Paper’s emphasis on case studies and social media </w:t>
      </w:r>
      <w:r>
        <w:t>content as a routine reporting requirement. While storytelling can play a valuable role in policy and advocacy, it must be undertaken safely, ethically and with robust governance, particularly when children or vulnerable people are involved. Treating case studies as a compliance requirement risks normalising inappropriate consent practices, compromising client confidentiality and placing undue pressure on frontline staff. These forms of content should never be used as a formal measure of program performance</w:t>
      </w:r>
      <w:r>
        <w:t xml:space="preserve">. </w:t>
      </w:r>
    </w:p>
    <w:p w14:paraId="72512C2C" w14:textId="77777777" w:rsidR="002B623B" w:rsidRDefault="00AD04ED">
      <w:pPr>
        <w:spacing w:after="59" w:line="259" w:lineRule="auto"/>
        <w:ind w:left="0" w:firstLine="0"/>
      </w:pPr>
      <w:r>
        <w:t xml:space="preserve"> </w:t>
      </w:r>
    </w:p>
    <w:p w14:paraId="2F187F5C" w14:textId="77777777" w:rsidR="002B623B" w:rsidRDefault="00AD04ED">
      <w:pPr>
        <w:pStyle w:val="Heading3"/>
        <w:ind w:left="-5"/>
      </w:pPr>
      <w:r>
        <w:t xml:space="preserve">Recommendations  </w:t>
      </w:r>
    </w:p>
    <w:p w14:paraId="59DAAB23"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firstLine="0"/>
      </w:pPr>
      <w:r>
        <w:t xml:space="preserve">Anglicare Australia recommends that the Government:  </w:t>
      </w:r>
    </w:p>
    <w:p w14:paraId="34E438D4" w14:textId="77777777" w:rsidR="002B623B" w:rsidRDefault="00AD04ED">
      <w:pPr>
        <w:numPr>
          <w:ilvl w:val="0"/>
          <w:numId w:val="3"/>
        </w:numPr>
        <w:pBdr>
          <w:top w:val="single" w:sz="4" w:space="0" w:color="000000"/>
          <w:left w:val="single" w:sz="4" w:space="0" w:color="000000"/>
          <w:bottom w:val="single" w:sz="4" w:space="0" w:color="000000"/>
          <w:right w:val="single" w:sz="4" w:space="0" w:color="000000"/>
        </w:pBdr>
        <w:spacing w:line="292" w:lineRule="auto"/>
        <w:ind w:left="345" w:hanging="360"/>
      </w:pPr>
      <w:r>
        <w:t xml:space="preserve">Improve transparency and data sharing by giving providers access to aggregated, de-identified data insights to support collaboration and reduce duplication. </w:t>
      </w:r>
    </w:p>
    <w:p w14:paraId="3264F20F" w14:textId="77777777" w:rsidR="002B623B" w:rsidRDefault="00AD04ED">
      <w:pPr>
        <w:numPr>
          <w:ilvl w:val="0"/>
          <w:numId w:val="3"/>
        </w:numPr>
        <w:pBdr>
          <w:top w:val="single" w:sz="4" w:space="0" w:color="000000"/>
          <w:left w:val="single" w:sz="4" w:space="0" w:color="000000"/>
          <w:bottom w:val="single" w:sz="4" w:space="0" w:color="000000"/>
          <w:right w:val="single" w:sz="4" w:space="0" w:color="000000"/>
        </w:pBdr>
        <w:spacing w:line="292" w:lineRule="auto"/>
        <w:ind w:left="345" w:hanging="360"/>
      </w:pPr>
      <w:r>
        <w:t xml:space="preserve">Resource reporting requirements adequately, including explicit contract provisions for staff time and roles needed to deliver high-quality outcomes reporting. </w:t>
      </w:r>
    </w:p>
    <w:p w14:paraId="65A70981" w14:textId="77777777" w:rsidR="002B623B" w:rsidRDefault="00AD04ED">
      <w:pPr>
        <w:numPr>
          <w:ilvl w:val="0"/>
          <w:numId w:val="3"/>
        </w:numPr>
        <w:pBdr>
          <w:top w:val="single" w:sz="4" w:space="0" w:color="000000"/>
          <w:left w:val="single" w:sz="4" w:space="0" w:color="000000"/>
          <w:bottom w:val="single" w:sz="4" w:space="0" w:color="000000"/>
          <w:right w:val="single" w:sz="4" w:space="0" w:color="000000"/>
        </w:pBdr>
        <w:spacing w:line="292" w:lineRule="auto"/>
        <w:ind w:left="345" w:hanging="360"/>
      </w:pPr>
      <w:r>
        <w:t xml:space="preserve">Remove case studies and social media content from formal reporting obligations, ensuring ethical storytelling remains separate from compliance requirements. </w:t>
      </w:r>
    </w:p>
    <w:p w14:paraId="542494D2" w14:textId="77777777" w:rsidR="002B623B" w:rsidRDefault="00AD04ED">
      <w:pPr>
        <w:spacing w:after="28" w:line="259" w:lineRule="auto"/>
        <w:ind w:left="0" w:firstLine="0"/>
      </w:pPr>
      <w:r>
        <w:t xml:space="preserve"> </w:t>
      </w:r>
    </w:p>
    <w:p w14:paraId="1A6E18E7" w14:textId="77777777" w:rsidR="002B623B" w:rsidRDefault="00AD04ED">
      <w:pPr>
        <w:spacing w:after="0" w:line="259" w:lineRule="auto"/>
        <w:ind w:left="0" w:firstLine="0"/>
      </w:pPr>
      <w:r>
        <w:t xml:space="preserve"> </w:t>
      </w:r>
    </w:p>
    <w:p w14:paraId="0CBE1CE1" w14:textId="77777777" w:rsidR="002B623B" w:rsidRDefault="00AD04ED">
      <w:pPr>
        <w:pStyle w:val="Heading2"/>
        <w:ind w:left="-5"/>
      </w:pPr>
      <w:bookmarkStart w:id="18" w:name="_Toc17329"/>
      <w:r>
        <w:t xml:space="preserve">Alternative ways of commissioning </w:t>
      </w:r>
      <w:bookmarkEnd w:id="18"/>
    </w:p>
    <w:p w14:paraId="746697BC" w14:textId="77777777" w:rsidR="002B623B" w:rsidRDefault="00AD04ED">
      <w:pPr>
        <w:ind w:left="-5"/>
      </w:pPr>
      <w:r>
        <w:t xml:space="preserve">Anglicare Australia supports the introduction of relational contracting as an option within the new program. This approach reflects long-standing sector advocacy for more flexible, collaborative funding models and has the potential to strengthen service innovation and improve outcomes. However, relational contracting can only succeed if both Government and providers invest in the time, capability and trust required to make it work. </w:t>
      </w:r>
    </w:p>
    <w:p w14:paraId="1ED809C0" w14:textId="77777777" w:rsidR="002B623B" w:rsidRDefault="00AD04ED">
      <w:pPr>
        <w:spacing w:after="28" w:line="259" w:lineRule="auto"/>
        <w:ind w:left="0" w:firstLine="0"/>
      </w:pPr>
      <w:r>
        <w:t xml:space="preserve"> </w:t>
      </w:r>
    </w:p>
    <w:p w14:paraId="60FAC75E" w14:textId="77777777" w:rsidR="002B623B" w:rsidRDefault="00AD04ED">
      <w:pPr>
        <w:ind w:left="-5"/>
      </w:pPr>
      <w:r>
        <w:t xml:space="preserve">Our members’ experiences of past departmental engagement highlight key risks: high staff turnover, </w:t>
      </w:r>
      <w:r>
        <w:t xml:space="preserve">inconsistent communication, and uneven power dynamics. These key risks can undermine the stability and partnership required for relational contracting. For this approach to be effective, departmental staff must be supported to build sustained relationships, understand the broader policy and service context, and avoid requiring providers to repeatedly retell their story. </w:t>
      </w:r>
    </w:p>
    <w:p w14:paraId="0FBF38F8" w14:textId="77777777" w:rsidR="002B623B" w:rsidRDefault="00AD04ED">
      <w:pPr>
        <w:spacing w:after="28" w:line="259" w:lineRule="auto"/>
        <w:ind w:left="0" w:firstLine="0"/>
      </w:pPr>
      <w:r>
        <w:t xml:space="preserve"> </w:t>
      </w:r>
    </w:p>
    <w:p w14:paraId="35F93113" w14:textId="77777777" w:rsidR="002B623B" w:rsidRDefault="00AD04ED">
      <w:pPr>
        <w:ind w:left="-5"/>
      </w:pPr>
      <w:r>
        <w:t xml:space="preserve">The trial of relational contracting should therefore be accompanied by clear expectations around communication, transparency and flexibility; investment in departmental capability; and safeguards that allow providers to innovate without fear of punitive consequences if a trial or initiative does not </w:t>
      </w:r>
      <w:r>
        <w:t xml:space="preserve">succeed. Eligibility for piloting relational contracting should consider not only an organisation’s </w:t>
      </w:r>
      <w:r>
        <w:t xml:space="preserve">willingness to participate, but also its demonstrated capacity for continuous improvement, its track record in supporting families and children, and the strength of its existing relationships with government.  </w:t>
      </w:r>
    </w:p>
    <w:p w14:paraId="33DC7B79" w14:textId="77777777" w:rsidR="002B623B" w:rsidRDefault="00AD04ED">
      <w:pPr>
        <w:spacing w:after="60" w:line="259" w:lineRule="auto"/>
        <w:ind w:left="0" w:firstLine="0"/>
      </w:pPr>
      <w:r>
        <w:t xml:space="preserve"> </w:t>
      </w:r>
    </w:p>
    <w:p w14:paraId="2C799512" w14:textId="77777777" w:rsidR="002B623B" w:rsidRDefault="00AD04ED">
      <w:pPr>
        <w:pStyle w:val="Heading3"/>
        <w:ind w:left="-5"/>
      </w:pPr>
      <w:r>
        <w:t xml:space="preserve">Recommendations  </w:t>
      </w:r>
    </w:p>
    <w:p w14:paraId="4F588B49" w14:textId="77777777" w:rsidR="002B623B" w:rsidRDefault="00AD04ED">
      <w:pPr>
        <w:pBdr>
          <w:top w:val="single" w:sz="4" w:space="0" w:color="000000"/>
          <w:left w:val="single" w:sz="4" w:space="0" w:color="000000"/>
          <w:bottom w:val="single" w:sz="4" w:space="0" w:color="000000"/>
          <w:right w:val="single" w:sz="4" w:space="0" w:color="000000"/>
        </w:pBdr>
        <w:spacing w:line="292" w:lineRule="auto"/>
        <w:ind w:left="-15" w:firstLine="0"/>
      </w:pPr>
      <w:r>
        <w:t xml:space="preserve">Anglicare Australia recommends that the Government:  </w:t>
      </w:r>
    </w:p>
    <w:p w14:paraId="12E44EC2" w14:textId="77777777" w:rsidR="002B623B" w:rsidRDefault="00AD04ED">
      <w:pPr>
        <w:numPr>
          <w:ilvl w:val="0"/>
          <w:numId w:val="4"/>
        </w:numPr>
        <w:pBdr>
          <w:top w:val="single" w:sz="4" w:space="0" w:color="000000"/>
          <w:left w:val="single" w:sz="4" w:space="0" w:color="000000"/>
          <w:bottom w:val="single" w:sz="4" w:space="0" w:color="000000"/>
          <w:right w:val="single" w:sz="4" w:space="0" w:color="000000"/>
        </w:pBdr>
        <w:spacing w:line="292" w:lineRule="auto"/>
        <w:ind w:left="345" w:hanging="360"/>
      </w:pPr>
      <w:r>
        <w:t xml:space="preserve">Support the success of relational contracting by investing in departmental capability, ensuring consistent and transparent communication, and providing flexibility for innovation without sanctions. </w:t>
      </w:r>
    </w:p>
    <w:p w14:paraId="5BAE16C8" w14:textId="77777777" w:rsidR="002B623B" w:rsidRDefault="00AD04ED">
      <w:pPr>
        <w:numPr>
          <w:ilvl w:val="0"/>
          <w:numId w:val="4"/>
        </w:numPr>
        <w:pBdr>
          <w:top w:val="single" w:sz="4" w:space="0" w:color="000000"/>
          <w:left w:val="single" w:sz="4" w:space="0" w:color="000000"/>
          <w:bottom w:val="single" w:sz="4" w:space="0" w:color="000000"/>
          <w:right w:val="single" w:sz="4" w:space="0" w:color="000000"/>
        </w:pBdr>
        <w:spacing w:line="292" w:lineRule="auto"/>
        <w:ind w:left="345" w:hanging="360"/>
      </w:pPr>
      <w:r>
        <w:t xml:space="preserve">Select relational contracting pilots based on demonstrated organisational capability, including experience with continuous improvement, high-quality service delivery and effective partnership with government. </w:t>
      </w:r>
    </w:p>
    <w:p w14:paraId="40ACDA3C" w14:textId="77777777" w:rsidR="002B623B" w:rsidRDefault="00AD04ED">
      <w:pPr>
        <w:pStyle w:val="Heading1"/>
        <w:ind w:left="-5"/>
      </w:pPr>
      <w:bookmarkStart w:id="19" w:name="_Toc17330"/>
      <w:r>
        <w:t xml:space="preserve">Conclusion </w:t>
      </w:r>
      <w:bookmarkEnd w:id="19"/>
    </w:p>
    <w:p w14:paraId="423D18FF" w14:textId="77777777" w:rsidR="002B623B" w:rsidRDefault="00AD04ED">
      <w:pPr>
        <w:ind w:left="-5"/>
      </w:pPr>
      <w:r>
        <w:t>Anglicare Australia welcomes the opportunity to contribute to the development of a new national approach to programs for families and children. The proposed reforms reflect significant work to respond to long-</w:t>
      </w:r>
      <w:r>
        <w:t xml:space="preserve">standing issues in the current system, and we share the Government’s commitment </w:t>
      </w:r>
      <w:r>
        <w:t xml:space="preserve">to ensuring that all children and families can be safe, strong and thriving. </w:t>
      </w:r>
    </w:p>
    <w:p w14:paraId="3CF4C960" w14:textId="77777777" w:rsidR="002B623B" w:rsidRDefault="00AD04ED">
      <w:pPr>
        <w:spacing w:after="28" w:line="259" w:lineRule="auto"/>
        <w:ind w:left="0" w:firstLine="0"/>
      </w:pPr>
      <w:r>
        <w:t xml:space="preserve"> </w:t>
      </w:r>
    </w:p>
    <w:p w14:paraId="15DE4071" w14:textId="77777777" w:rsidR="002B623B" w:rsidRDefault="00AD04ED">
      <w:pPr>
        <w:ind w:left="-5"/>
      </w:pPr>
      <w:r>
        <w:t>Throughout this submission, we have highlighted the changes needed to ensure the new program fulfils its vision. We have emphasised the importance of outcomes that genuinely reflect the diversity of Australian families; a funding and transition framework that gives providers the stability to plan and adapt; priority investment settings that address unmet need and support the growth of ACCO leadership; and program structures that enable genuine collaboration rather than adding additional administrative press</w:t>
      </w:r>
      <w:r>
        <w:t xml:space="preserve">ure. </w:t>
      </w:r>
    </w:p>
    <w:p w14:paraId="0A5AFD5B" w14:textId="77777777" w:rsidR="002B623B" w:rsidRDefault="00AD04ED">
      <w:pPr>
        <w:spacing w:after="28" w:line="259" w:lineRule="auto"/>
        <w:ind w:left="0" w:firstLine="0"/>
      </w:pPr>
      <w:r>
        <w:t xml:space="preserve"> </w:t>
      </w:r>
    </w:p>
    <w:p w14:paraId="5FB6386A" w14:textId="77777777" w:rsidR="002B623B" w:rsidRDefault="00AD04ED">
      <w:pPr>
        <w:ind w:left="-5"/>
      </w:pPr>
      <w:r>
        <w:t xml:space="preserve">We urge the Government to consider these recommendations closely as the model is finalised. Getting this reform right is critical, not only for the families who rely on these services today, but for the long-term strength and stability of the community service system and its ability to provide these services to families in need into the future. </w:t>
      </w:r>
    </w:p>
    <w:p w14:paraId="6C9F28BA" w14:textId="77777777" w:rsidR="002B623B" w:rsidRDefault="00AD04ED">
      <w:pPr>
        <w:spacing w:after="28" w:line="259" w:lineRule="auto"/>
        <w:ind w:left="0" w:firstLine="0"/>
      </w:pPr>
      <w:r>
        <w:t xml:space="preserve"> </w:t>
      </w:r>
    </w:p>
    <w:p w14:paraId="30EA48D4" w14:textId="77777777" w:rsidR="002B623B" w:rsidRDefault="00AD04ED">
      <w:pPr>
        <w:ind w:left="-5"/>
      </w:pPr>
      <w:r>
        <w:t xml:space="preserve">Anglicare Australia and our members are ready to work with the Department throughout the design and transition process. We would welcome the opportunity to discuss these recommendations further or facilitate additional feedback from service providers across our Network. </w:t>
      </w:r>
    </w:p>
    <w:p w14:paraId="26F8BE2A" w14:textId="77777777" w:rsidR="002B623B" w:rsidRDefault="00AD04ED">
      <w:pPr>
        <w:spacing w:after="26" w:line="259" w:lineRule="auto"/>
        <w:ind w:left="0" w:firstLine="0"/>
      </w:pPr>
      <w:r>
        <w:t xml:space="preserve"> </w:t>
      </w:r>
    </w:p>
    <w:p w14:paraId="2FA4203C" w14:textId="77777777" w:rsidR="002B623B" w:rsidRDefault="00AD04ED">
      <w:pPr>
        <w:spacing w:after="0" w:line="259" w:lineRule="auto"/>
        <w:ind w:left="0" w:firstLine="0"/>
      </w:pPr>
      <w:r>
        <w:rPr>
          <w:rFonts w:ascii="Calibri" w:eastAsia="Calibri" w:hAnsi="Calibri" w:cs="Calibri"/>
          <w:noProof/>
        </w:rPr>
        <mc:AlternateContent>
          <mc:Choice Requires="wpg">
            <w:drawing>
              <wp:inline distT="0" distB="0" distL="0" distR="0" wp14:anchorId="59326719" wp14:editId="7DAA08F0">
                <wp:extent cx="1829435" cy="7620"/>
                <wp:effectExtent l="0" t="0" r="0" b="0"/>
                <wp:docPr id="16180" name="Group 16180"/>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17708" name="Shape 1770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80" style="width:144.05pt;height:0.600006pt;mso-position-horizontal-relative:char;mso-position-vertical-relative:line" coordsize="18294,76">
                <v:shape id="Shape 17709" style="position:absolute;width:18294;height:91;left:0;top:0;" coordsize="1829435,9144" path="m0,0l1829435,0l1829435,9144l0,9144l0,0">
                  <v:stroke weight="0pt" endcap="flat" joinstyle="miter" miterlimit="10" on="false" color="#000000" opacity="0"/>
                  <v:fill on="true" color="#000000"/>
                </v:shape>
              </v:group>
            </w:pict>
          </mc:Fallback>
        </mc:AlternateContent>
      </w:r>
      <w:r>
        <w:t xml:space="preserve"> </w:t>
      </w:r>
    </w:p>
    <w:p w14:paraId="46756282" w14:textId="77777777" w:rsidR="002B623B" w:rsidRDefault="00AD04ED">
      <w:pPr>
        <w:numPr>
          <w:ilvl w:val="0"/>
          <w:numId w:val="5"/>
        </w:numPr>
        <w:spacing w:after="28" w:line="259" w:lineRule="auto"/>
        <w:ind w:right="2827" w:hanging="80"/>
      </w:pPr>
      <w:r>
        <w:rPr>
          <w:sz w:val="20"/>
        </w:rPr>
        <w:t xml:space="preserve">Australian Bureau of Statistics (2024) </w:t>
      </w:r>
      <w:r>
        <w:rPr>
          <w:color w:val="009FE3"/>
          <w:sz w:val="20"/>
          <w:u w:val="single" w:color="009FE3"/>
        </w:rPr>
        <w:t>5.5 million Australians have disability</w:t>
      </w:r>
      <w:r>
        <w:rPr>
          <w:sz w:val="20"/>
        </w:rPr>
        <w:t xml:space="preserve">. </w:t>
      </w:r>
    </w:p>
    <w:p w14:paraId="2050DE5C" w14:textId="77777777" w:rsidR="002B623B" w:rsidRDefault="00AD04ED">
      <w:pPr>
        <w:numPr>
          <w:ilvl w:val="0"/>
          <w:numId w:val="5"/>
        </w:numPr>
        <w:spacing w:after="28" w:line="259" w:lineRule="auto"/>
        <w:ind w:right="2827" w:hanging="80"/>
      </w:pPr>
      <w:r>
        <w:rPr>
          <w:sz w:val="20"/>
        </w:rPr>
        <w:t xml:space="preserve">Australian Bureau of Statistics (2023) </w:t>
      </w:r>
      <w:r>
        <w:rPr>
          <w:color w:val="009FE3"/>
          <w:sz w:val="20"/>
          <w:u w:val="single" w:color="009FE3"/>
        </w:rPr>
        <w:t>Health conditions prevalence</w:t>
      </w:r>
      <w:r>
        <w:rPr>
          <w:sz w:val="20"/>
        </w:rPr>
        <w:t xml:space="preserve">. </w:t>
      </w:r>
      <w:r>
        <w:rPr>
          <w:sz w:val="20"/>
          <w:vertAlign w:val="superscript"/>
        </w:rPr>
        <w:t>iii</w:t>
      </w:r>
      <w:r>
        <w:rPr>
          <w:sz w:val="20"/>
        </w:rPr>
        <w:t xml:space="preserve"> Australian Institute of Family Studies (2023) </w:t>
      </w:r>
      <w:r>
        <w:rPr>
          <w:color w:val="009FE3"/>
          <w:sz w:val="20"/>
          <w:u w:val="single" w:color="009FE3"/>
        </w:rPr>
        <w:t>Family and family composition</w:t>
      </w:r>
      <w:r>
        <w:rPr>
          <w:sz w:val="20"/>
        </w:rPr>
        <w:t xml:space="preserve">. </w:t>
      </w:r>
      <w:r>
        <w:rPr>
          <w:sz w:val="20"/>
          <w:vertAlign w:val="superscript"/>
        </w:rPr>
        <w:t>iv</w:t>
      </w:r>
      <w:r>
        <w:rPr>
          <w:sz w:val="20"/>
        </w:rPr>
        <w:t xml:space="preserve"> Ibid. </w:t>
      </w:r>
    </w:p>
    <w:p w14:paraId="596F2DB0" w14:textId="77777777" w:rsidR="002B623B" w:rsidRDefault="00AD04ED">
      <w:pPr>
        <w:spacing w:after="3" w:line="291" w:lineRule="auto"/>
        <w:ind w:left="-5" w:right="257"/>
      </w:pPr>
      <w:r>
        <w:rPr>
          <w:sz w:val="20"/>
          <w:vertAlign w:val="superscript"/>
        </w:rPr>
        <w:t>v</w:t>
      </w:r>
      <w:r>
        <w:rPr>
          <w:sz w:val="20"/>
        </w:rPr>
        <w:t xml:space="preserve"> Department of Social Services (2025) </w:t>
      </w:r>
      <w:r>
        <w:rPr>
          <w:color w:val="009FE3"/>
          <w:sz w:val="20"/>
          <w:u w:val="single" w:color="009FE3"/>
        </w:rPr>
        <w:t>Family and Relationship Services (FaRS) Operational Guidelines |</w:t>
      </w:r>
      <w:r>
        <w:rPr>
          <w:color w:val="009FE3"/>
          <w:sz w:val="20"/>
        </w:rPr>
        <w:t xml:space="preserve"> </w:t>
      </w:r>
      <w:r>
        <w:rPr>
          <w:color w:val="009FE3"/>
          <w:sz w:val="20"/>
          <w:u w:val="single" w:color="009FE3"/>
        </w:rPr>
        <w:t>Department of Social Services</w:t>
      </w:r>
      <w:r>
        <w:rPr>
          <w:sz w:val="20"/>
        </w:rPr>
        <w:t xml:space="preserve"> </w:t>
      </w:r>
      <w:r>
        <w:rPr>
          <w:sz w:val="20"/>
          <w:vertAlign w:val="superscript"/>
        </w:rPr>
        <w:t>vi</w:t>
      </w:r>
      <w:r>
        <w:rPr>
          <w:sz w:val="20"/>
        </w:rPr>
        <w:t xml:space="preserve"> Department of Social Services (2024) </w:t>
      </w:r>
      <w:r>
        <w:rPr>
          <w:color w:val="009FE3"/>
          <w:sz w:val="20"/>
          <w:u w:val="single" w:color="009FE3"/>
        </w:rPr>
        <w:t>Improving personal and family safety | Department of Social Services</w:t>
      </w:r>
      <w:r>
        <w:rPr>
          <w:sz w:val="20"/>
        </w:rPr>
        <w:t xml:space="preserve"> </w:t>
      </w:r>
      <w:r>
        <w:rPr>
          <w:sz w:val="20"/>
          <w:vertAlign w:val="superscript"/>
        </w:rPr>
        <w:t>vii</w:t>
      </w:r>
      <w:r>
        <w:rPr>
          <w:sz w:val="20"/>
        </w:rPr>
        <w:t xml:space="preserve"> ANROWS (2020) </w:t>
      </w:r>
      <w:r>
        <w:rPr>
          <w:color w:val="009FE3"/>
          <w:sz w:val="20"/>
          <w:u w:val="single" w:color="009FE3"/>
        </w:rPr>
        <w:t>Improving family violence legal and support services for Aboriginal and Torres Strait</w:t>
      </w:r>
      <w:r>
        <w:rPr>
          <w:color w:val="009FE3"/>
          <w:sz w:val="20"/>
        </w:rPr>
        <w:t xml:space="preserve"> </w:t>
      </w:r>
      <w:r>
        <w:rPr>
          <w:color w:val="009FE3"/>
          <w:sz w:val="20"/>
          <w:u w:val="single" w:color="009FE3"/>
        </w:rPr>
        <w:t>Islander Women</w:t>
      </w:r>
      <w:r>
        <w:rPr>
          <w:sz w:val="20"/>
        </w:rPr>
        <w:t xml:space="preserve">.  </w:t>
      </w:r>
    </w:p>
    <w:p w14:paraId="1938909B" w14:textId="77777777" w:rsidR="002B623B" w:rsidRDefault="00AD04ED">
      <w:pPr>
        <w:spacing w:after="3" w:line="291" w:lineRule="auto"/>
        <w:ind w:left="-5" w:right="3941"/>
      </w:pPr>
      <w:r>
        <w:rPr>
          <w:sz w:val="20"/>
          <w:vertAlign w:val="superscript"/>
        </w:rPr>
        <w:t>viii</w:t>
      </w:r>
      <w:r>
        <w:rPr>
          <w:sz w:val="20"/>
        </w:rPr>
        <w:t xml:space="preserve"> Anglicare Australia (2025) </w:t>
      </w:r>
      <w:r>
        <w:rPr>
          <w:color w:val="009FE3"/>
          <w:sz w:val="20"/>
          <w:u w:val="single" w:color="009FE3"/>
        </w:rPr>
        <w:t>In Every Community</w:t>
      </w:r>
      <w:r>
        <w:rPr>
          <w:sz w:val="20"/>
        </w:rPr>
        <w:t xml:space="preserve">. </w:t>
      </w:r>
      <w:r>
        <w:rPr>
          <w:sz w:val="20"/>
          <w:vertAlign w:val="superscript"/>
        </w:rPr>
        <w:t>ix</w:t>
      </w:r>
      <w:r>
        <w:rPr>
          <w:sz w:val="20"/>
        </w:rPr>
        <w:t xml:space="preserve"> SNAICC (2023) </w:t>
      </w:r>
      <w:r>
        <w:rPr>
          <w:color w:val="009FE3"/>
          <w:sz w:val="20"/>
          <w:u w:val="single" w:color="009FE3"/>
        </w:rPr>
        <w:t>Stronger ACCOs, Stronger Families Final Report</w:t>
      </w:r>
      <w:r>
        <w:rPr>
          <w:sz w:val="20"/>
        </w:rPr>
        <w:t xml:space="preserve">. </w:t>
      </w:r>
    </w:p>
    <w:sectPr w:rsidR="002B623B">
      <w:headerReference w:type="even" r:id="rId9"/>
      <w:headerReference w:type="default" r:id="rId10"/>
      <w:footerReference w:type="even" r:id="rId11"/>
      <w:footerReference w:type="default" r:id="rId12"/>
      <w:headerReference w:type="first" r:id="rId13"/>
      <w:footerReference w:type="first" r:id="rId14"/>
      <w:pgSz w:w="11899" w:h="16841"/>
      <w:pgMar w:top="1883" w:right="1193" w:bottom="1871" w:left="119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49C36" w14:textId="77777777" w:rsidR="00AD04ED" w:rsidRDefault="00AD04ED">
      <w:pPr>
        <w:spacing w:after="0" w:line="240" w:lineRule="auto"/>
      </w:pPr>
      <w:r>
        <w:separator/>
      </w:r>
    </w:p>
  </w:endnote>
  <w:endnote w:type="continuationSeparator" w:id="0">
    <w:p w14:paraId="7E1D836F" w14:textId="77777777" w:rsidR="00AD04ED" w:rsidRDefault="00AD0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461C1" w14:textId="77777777" w:rsidR="002B623B" w:rsidRDefault="00AD04ED">
    <w:pPr>
      <w:spacing w:after="0" w:line="259" w:lineRule="auto"/>
      <w:ind w:left="0" w:right="-66"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C367968" wp14:editId="60DC5662">
              <wp:simplePos x="0" y="0"/>
              <wp:positionH relativeFrom="page">
                <wp:posOffset>755650</wp:posOffset>
              </wp:positionH>
              <wp:positionV relativeFrom="page">
                <wp:posOffset>10081260</wp:posOffset>
              </wp:positionV>
              <wp:extent cx="6045708" cy="21336"/>
              <wp:effectExtent l="0" t="0" r="0" b="0"/>
              <wp:wrapSquare wrapText="bothSides"/>
              <wp:docPr id="17045" name="Group 17045"/>
              <wp:cNvGraphicFramePr/>
              <a:graphic xmlns:a="http://schemas.openxmlformats.org/drawingml/2006/main">
                <a:graphicData uri="http://schemas.microsoft.com/office/word/2010/wordprocessingGroup">
                  <wpg:wgp>
                    <wpg:cNvGrpSpPr/>
                    <wpg:grpSpPr>
                      <a:xfrm>
                        <a:off x="0" y="0"/>
                        <a:ext cx="6045708" cy="21336"/>
                        <a:chOff x="0" y="0"/>
                        <a:chExt cx="6045708" cy="21336"/>
                      </a:xfrm>
                    </wpg:grpSpPr>
                    <wps:wsp>
                      <wps:cNvPr id="17764" name="Shape 17764"/>
                      <wps:cNvSpPr/>
                      <wps:spPr>
                        <a:xfrm>
                          <a:off x="0" y="0"/>
                          <a:ext cx="6044565" cy="19685"/>
                        </a:xfrm>
                        <a:custGeom>
                          <a:avLst/>
                          <a:gdLst/>
                          <a:ahLst/>
                          <a:cxnLst/>
                          <a:rect l="0" t="0" r="0" b="0"/>
                          <a:pathLst>
                            <a:path w="6044565" h="19685">
                              <a:moveTo>
                                <a:pt x="0" y="0"/>
                              </a:moveTo>
                              <a:lnTo>
                                <a:pt x="6044565" y="0"/>
                              </a:lnTo>
                              <a:lnTo>
                                <a:pt x="604456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65" name="Shape 17765"/>
                      <wps:cNvSpPr/>
                      <wps:spPr>
                        <a:xfrm>
                          <a:off x="254"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66" name="Shape 17766"/>
                      <wps:cNvSpPr/>
                      <wps:spPr>
                        <a:xfrm>
                          <a:off x="3302" y="1524"/>
                          <a:ext cx="6039358" cy="9144"/>
                        </a:xfrm>
                        <a:custGeom>
                          <a:avLst/>
                          <a:gdLst/>
                          <a:ahLst/>
                          <a:cxnLst/>
                          <a:rect l="0" t="0" r="0" b="0"/>
                          <a:pathLst>
                            <a:path w="6039358" h="9144">
                              <a:moveTo>
                                <a:pt x="0" y="0"/>
                              </a:moveTo>
                              <a:lnTo>
                                <a:pt x="6039358" y="0"/>
                              </a:lnTo>
                              <a:lnTo>
                                <a:pt x="603935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67" name="Shape 17767"/>
                      <wps:cNvSpPr/>
                      <wps:spPr>
                        <a:xfrm>
                          <a:off x="6042660"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68" name="Shape 17768"/>
                      <wps:cNvSpPr/>
                      <wps:spPr>
                        <a:xfrm>
                          <a:off x="254"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69" name="Shape 17769"/>
                      <wps:cNvSpPr/>
                      <wps:spPr>
                        <a:xfrm>
                          <a:off x="6042660"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70" name="Shape 17770"/>
                      <wps:cNvSpPr/>
                      <wps:spPr>
                        <a:xfrm>
                          <a:off x="254"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71" name="Shape 17771"/>
                      <wps:cNvSpPr/>
                      <wps:spPr>
                        <a:xfrm>
                          <a:off x="3302" y="18288"/>
                          <a:ext cx="6039358" cy="9144"/>
                        </a:xfrm>
                        <a:custGeom>
                          <a:avLst/>
                          <a:gdLst/>
                          <a:ahLst/>
                          <a:cxnLst/>
                          <a:rect l="0" t="0" r="0" b="0"/>
                          <a:pathLst>
                            <a:path w="6039358" h="9144">
                              <a:moveTo>
                                <a:pt x="0" y="0"/>
                              </a:moveTo>
                              <a:lnTo>
                                <a:pt x="6039358" y="0"/>
                              </a:lnTo>
                              <a:lnTo>
                                <a:pt x="6039358"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72" name="Shape 17772"/>
                      <wps:cNvSpPr/>
                      <wps:spPr>
                        <a:xfrm>
                          <a:off x="6042660"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17045" style="width:476.04pt;height:1.67999pt;position:absolute;mso-position-horizontal-relative:page;mso-position-horizontal:absolute;margin-left:59.5pt;mso-position-vertical-relative:page;margin-top:793.8pt;" coordsize="60457,213">
              <v:shape id="Shape 17773" style="position:absolute;width:60445;height:196;left:0;top:0;" coordsize="6044565,19685" path="m0,0l6044565,0l6044565,19685l0,19685l0,0">
                <v:stroke weight="0pt" endcap="flat" joinstyle="miter" miterlimit="10" on="false" color="#000000" opacity="0"/>
                <v:fill on="true" color="#a0a0a0"/>
              </v:shape>
              <v:shape id="Shape 17774" style="position:absolute;width:91;height:91;left:2;top:15;" coordsize="9144,9144" path="m0,0l9144,0l9144,9144l0,9144l0,0">
                <v:stroke weight="0pt" endcap="flat" joinstyle="miter" miterlimit="10" on="false" color="#000000" opacity="0"/>
                <v:fill on="true" color="#a0a0a0"/>
              </v:shape>
              <v:shape id="Shape 17775" style="position:absolute;width:60393;height:91;left:33;top:15;" coordsize="6039358,9144" path="m0,0l6039358,0l6039358,9144l0,9144l0,0">
                <v:stroke weight="0pt" endcap="flat" joinstyle="miter" miterlimit="10" on="false" color="#000000" opacity="0"/>
                <v:fill on="true" color="#a0a0a0"/>
              </v:shape>
              <v:shape id="Shape 17776" style="position:absolute;width:91;height:91;left:60426;top:15;" coordsize="9144,9144" path="m0,0l9144,0l9144,9144l0,9144l0,0">
                <v:stroke weight="0pt" endcap="flat" joinstyle="miter" miterlimit="10" on="false" color="#000000" opacity="0"/>
                <v:fill on="true" color="#a0a0a0"/>
              </v:shape>
              <v:shape id="Shape 17777" style="position:absolute;width:91;height:137;left:2;top:45;" coordsize="9144,13716" path="m0,0l9144,0l9144,13716l0,13716l0,0">
                <v:stroke weight="0pt" endcap="flat" joinstyle="miter" miterlimit="10" on="false" color="#000000" opacity="0"/>
                <v:fill on="true" color="#a0a0a0"/>
              </v:shape>
              <v:shape id="Shape 17778" style="position:absolute;width:91;height:137;left:60426;top:45;" coordsize="9144,13716" path="m0,0l9144,0l9144,13716l0,13716l0,0">
                <v:stroke weight="0pt" endcap="flat" joinstyle="miter" miterlimit="10" on="false" color="#000000" opacity="0"/>
                <v:fill on="true" color="#e3e3e3"/>
              </v:shape>
              <v:shape id="Shape 17779" style="position:absolute;width:91;height:91;left:2;top:182;" coordsize="9144,9144" path="m0,0l9144,0l9144,9144l0,9144l0,0">
                <v:stroke weight="0pt" endcap="flat" joinstyle="miter" miterlimit="10" on="false" color="#000000" opacity="0"/>
                <v:fill on="true" color="#e3e3e3"/>
              </v:shape>
              <v:shape id="Shape 17780" style="position:absolute;width:60393;height:91;left:33;top:182;" coordsize="6039358,9144" path="m0,0l6039358,0l6039358,9144l0,9144l0,0">
                <v:stroke weight="0pt" endcap="flat" joinstyle="miter" miterlimit="10" on="false" color="#000000" opacity="0"/>
                <v:fill on="true" color="#e3e3e3"/>
              </v:shape>
              <v:shape id="Shape 17781" style="position:absolute;width:91;height:91;left:60426;top:182;" coordsize="9144,9144" path="m0,0l9144,0l9144,9144l0,9144l0,0">
                <v:stroke weight="0pt" endcap="flat" joinstyle="miter" miterlimit="10" on="false" color="#000000" opacity="0"/>
                <v:fill on="true" color="#e3e3e3"/>
              </v:shape>
              <w10:wrap type="square"/>
            </v:group>
          </w:pict>
        </mc:Fallback>
      </mc:AlternateContent>
    </w:r>
    <w:r>
      <w:rPr>
        <w:rFonts w:ascii="Segoe UI" w:eastAsia="Segoe UI" w:hAnsi="Segoe UI" w:cs="Segoe UI"/>
      </w:rPr>
      <w:t xml:space="preserve"> </w:t>
    </w:r>
  </w:p>
  <w:p w14:paraId="61071A2E" w14:textId="77777777" w:rsidR="002B623B" w:rsidRDefault="00AD04ED">
    <w:pPr>
      <w:tabs>
        <w:tab w:val="center" w:pos="493"/>
        <w:tab w:val="center" w:pos="4760"/>
        <w:tab w:val="center" w:pos="8140"/>
      </w:tabs>
      <w:spacing w:after="0" w:line="259" w:lineRule="auto"/>
      <w:ind w:left="0" w:firstLine="0"/>
    </w:pPr>
    <w:r>
      <w:rPr>
        <w:rFonts w:ascii="Calibri" w:eastAsia="Calibri" w:hAnsi="Calibri" w:cs="Calibri"/>
      </w:rPr>
      <w:tab/>
    </w:r>
    <w:r>
      <w:fldChar w:fldCharType="begin"/>
    </w:r>
    <w:r>
      <w:instrText xml:space="preserve"> PAGE   \* MERGEFORMAT </w:instrText>
    </w:r>
    <w:r>
      <w:fldChar w:fldCharType="separate"/>
    </w:r>
    <w:r>
      <w:rPr>
        <w:rFonts w:ascii="Segoe UI" w:eastAsia="Segoe UI" w:hAnsi="Segoe UI" w:cs="Segoe UI"/>
        <w:sz w:val="20"/>
      </w:rPr>
      <w:t>2</w:t>
    </w:r>
    <w:r>
      <w:rPr>
        <w:rFonts w:ascii="Segoe UI" w:eastAsia="Segoe UI" w:hAnsi="Segoe UI" w:cs="Segoe UI"/>
        <w:sz w:val="20"/>
      </w:rPr>
      <w:fldChar w:fldCharType="end"/>
    </w:r>
    <w:r>
      <w:rPr>
        <w:rFonts w:ascii="Segoe UI" w:eastAsia="Segoe UI" w:hAnsi="Segoe UI" w:cs="Segoe UI"/>
        <w:sz w:val="20"/>
      </w:rPr>
      <w:t xml:space="preserve"> </w:t>
    </w:r>
    <w:r>
      <w:rPr>
        <w:rFonts w:ascii="Segoe UI" w:eastAsia="Segoe UI" w:hAnsi="Segoe UI" w:cs="Segoe UI"/>
        <w:sz w:val="20"/>
      </w:rPr>
      <w:tab/>
      <w:t xml:space="preserve"> </w:t>
    </w:r>
    <w:r>
      <w:rPr>
        <w:rFonts w:ascii="Segoe UI" w:eastAsia="Segoe UI" w:hAnsi="Segoe UI" w:cs="Segoe UI"/>
        <w:sz w:val="20"/>
      </w:rPr>
      <w:tab/>
    </w:r>
    <w:r>
      <w:rPr>
        <w:rFonts w:ascii="Segoe UI" w:eastAsia="Segoe UI" w:hAnsi="Segoe UI" w:cs="Segoe UI"/>
        <w:i/>
        <w:color w:val="BD2B0B"/>
        <w:sz w:val="20"/>
      </w:rPr>
      <w:t>www.anglicare.asn.au</w:t>
    </w:r>
    <w:r>
      <w:rPr>
        <w:rFonts w:ascii="Segoe UI" w:eastAsia="Segoe UI" w:hAnsi="Segoe UI" w:cs="Segoe U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71C6E" w14:textId="77777777" w:rsidR="002B623B" w:rsidRDefault="00AD04ED">
    <w:pPr>
      <w:spacing w:after="0" w:line="259" w:lineRule="auto"/>
      <w:ind w:left="0" w:right="-66"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FEAD200" wp14:editId="6E87597C">
              <wp:simplePos x="0" y="0"/>
              <wp:positionH relativeFrom="page">
                <wp:posOffset>755650</wp:posOffset>
              </wp:positionH>
              <wp:positionV relativeFrom="page">
                <wp:posOffset>10081260</wp:posOffset>
              </wp:positionV>
              <wp:extent cx="6045708" cy="21336"/>
              <wp:effectExtent l="0" t="0" r="0" b="0"/>
              <wp:wrapSquare wrapText="bothSides"/>
              <wp:docPr id="16999" name="Group 16999"/>
              <wp:cNvGraphicFramePr/>
              <a:graphic xmlns:a="http://schemas.openxmlformats.org/drawingml/2006/main">
                <a:graphicData uri="http://schemas.microsoft.com/office/word/2010/wordprocessingGroup">
                  <wpg:wgp>
                    <wpg:cNvGrpSpPr/>
                    <wpg:grpSpPr>
                      <a:xfrm>
                        <a:off x="0" y="0"/>
                        <a:ext cx="6045708" cy="21336"/>
                        <a:chOff x="0" y="0"/>
                        <a:chExt cx="6045708" cy="21336"/>
                      </a:xfrm>
                    </wpg:grpSpPr>
                    <wps:wsp>
                      <wps:cNvPr id="17746" name="Shape 17746"/>
                      <wps:cNvSpPr/>
                      <wps:spPr>
                        <a:xfrm>
                          <a:off x="0" y="0"/>
                          <a:ext cx="6044565" cy="19685"/>
                        </a:xfrm>
                        <a:custGeom>
                          <a:avLst/>
                          <a:gdLst/>
                          <a:ahLst/>
                          <a:cxnLst/>
                          <a:rect l="0" t="0" r="0" b="0"/>
                          <a:pathLst>
                            <a:path w="6044565" h="19685">
                              <a:moveTo>
                                <a:pt x="0" y="0"/>
                              </a:moveTo>
                              <a:lnTo>
                                <a:pt x="6044565" y="0"/>
                              </a:lnTo>
                              <a:lnTo>
                                <a:pt x="604456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47" name="Shape 17747"/>
                      <wps:cNvSpPr/>
                      <wps:spPr>
                        <a:xfrm>
                          <a:off x="254"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48" name="Shape 17748"/>
                      <wps:cNvSpPr/>
                      <wps:spPr>
                        <a:xfrm>
                          <a:off x="3302" y="1524"/>
                          <a:ext cx="6039358" cy="9144"/>
                        </a:xfrm>
                        <a:custGeom>
                          <a:avLst/>
                          <a:gdLst/>
                          <a:ahLst/>
                          <a:cxnLst/>
                          <a:rect l="0" t="0" r="0" b="0"/>
                          <a:pathLst>
                            <a:path w="6039358" h="9144">
                              <a:moveTo>
                                <a:pt x="0" y="0"/>
                              </a:moveTo>
                              <a:lnTo>
                                <a:pt x="6039358" y="0"/>
                              </a:lnTo>
                              <a:lnTo>
                                <a:pt x="603935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49" name="Shape 17749"/>
                      <wps:cNvSpPr/>
                      <wps:spPr>
                        <a:xfrm>
                          <a:off x="6042660"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50" name="Shape 17750"/>
                      <wps:cNvSpPr/>
                      <wps:spPr>
                        <a:xfrm>
                          <a:off x="254"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51" name="Shape 17751"/>
                      <wps:cNvSpPr/>
                      <wps:spPr>
                        <a:xfrm>
                          <a:off x="6042660"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52" name="Shape 17752"/>
                      <wps:cNvSpPr/>
                      <wps:spPr>
                        <a:xfrm>
                          <a:off x="254"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53" name="Shape 17753"/>
                      <wps:cNvSpPr/>
                      <wps:spPr>
                        <a:xfrm>
                          <a:off x="3302" y="18288"/>
                          <a:ext cx="6039358" cy="9144"/>
                        </a:xfrm>
                        <a:custGeom>
                          <a:avLst/>
                          <a:gdLst/>
                          <a:ahLst/>
                          <a:cxnLst/>
                          <a:rect l="0" t="0" r="0" b="0"/>
                          <a:pathLst>
                            <a:path w="6039358" h="9144">
                              <a:moveTo>
                                <a:pt x="0" y="0"/>
                              </a:moveTo>
                              <a:lnTo>
                                <a:pt x="6039358" y="0"/>
                              </a:lnTo>
                              <a:lnTo>
                                <a:pt x="6039358"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54" name="Shape 17754"/>
                      <wps:cNvSpPr/>
                      <wps:spPr>
                        <a:xfrm>
                          <a:off x="6042660"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16999" style="width:476.04pt;height:1.67999pt;position:absolute;mso-position-horizontal-relative:page;mso-position-horizontal:absolute;margin-left:59.5pt;mso-position-vertical-relative:page;margin-top:793.8pt;" coordsize="60457,213">
              <v:shape id="Shape 17755" style="position:absolute;width:60445;height:196;left:0;top:0;" coordsize="6044565,19685" path="m0,0l6044565,0l6044565,19685l0,19685l0,0">
                <v:stroke weight="0pt" endcap="flat" joinstyle="miter" miterlimit="10" on="false" color="#000000" opacity="0"/>
                <v:fill on="true" color="#a0a0a0"/>
              </v:shape>
              <v:shape id="Shape 17756" style="position:absolute;width:91;height:91;left:2;top:15;" coordsize="9144,9144" path="m0,0l9144,0l9144,9144l0,9144l0,0">
                <v:stroke weight="0pt" endcap="flat" joinstyle="miter" miterlimit="10" on="false" color="#000000" opacity="0"/>
                <v:fill on="true" color="#a0a0a0"/>
              </v:shape>
              <v:shape id="Shape 17757" style="position:absolute;width:60393;height:91;left:33;top:15;" coordsize="6039358,9144" path="m0,0l6039358,0l6039358,9144l0,9144l0,0">
                <v:stroke weight="0pt" endcap="flat" joinstyle="miter" miterlimit="10" on="false" color="#000000" opacity="0"/>
                <v:fill on="true" color="#a0a0a0"/>
              </v:shape>
              <v:shape id="Shape 17758" style="position:absolute;width:91;height:91;left:60426;top:15;" coordsize="9144,9144" path="m0,0l9144,0l9144,9144l0,9144l0,0">
                <v:stroke weight="0pt" endcap="flat" joinstyle="miter" miterlimit="10" on="false" color="#000000" opacity="0"/>
                <v:fill on="true" color="#a0a0a0"/>
              </v:shape>
              <v:shape id="Shape 17759" style="position:absolute;width:91;height:137;left:2;top:45;" coordsize="9144,13716" path="m0,0l9144,0l9144,13716l0,13716l0,0">
                <v:stroke weight="0pt" endcap="flat" joinstyle="miter" miterlimit="10" on="false" color="#000000" opacity="0"/>
                <v:fill on="true" color="#a0a0a0"/>
              </v:shape>
              <v:shape id="Shape 17760" style="position:absolute;width:91;height:137;left:60426;top:45;" coordsize="9144,13716" path="m0,0l9144,0l9144,13716l0,13716l0,0">
                <v:stroke weight="0pt" endcap="flat" joinstyle="miter" miterlimit="10" on="false" color="#000000" opacity="0"/>
                <v:fill on="true" color="#e3e3e3"/>
              </v:shape>
              <v:shape id="Shape 17761" style="position:absolute;width:91;height:91;left:2;top:182;" coordsize="9144,9144" path="m0,0l9144,0l9144,9144l0,9144l0,0">
                <v:stroke weight="0pt" endcap="flat" joinstyle="miter" miterlimit="10" on="false" color="#000000" opacity="0"/>
                <v:fill on="true" color="#e3e3e3"/>
              </v:shape>
              <v:shape id="Shape 17762" style="position:absolute;width:60393;height:91;left:33;top:182;" coordsize="6039358,9144" path="m0,0l6039358,0l6039358,9144l0,9144l0,0">
                <v:stroke weight="0pt" endcap="flat" joinstyle="miter" miterlimit="10" on="false" color="#000000" opacity="0"/>
                <v:fill on="true" color="#e3e3e3"/>
              </v:shape>
              <v:shape id="Shape 17763" style="position:absolute;width:91;height:91;left:60426;top:182;" coordsize="9144,9144" path="m0,0l9144,0l9144,9144l0,9144l0,0">
                <v:stroke weight="0pt" endcap="flat" joinstyle="miter" miterlimit="10" on="false" color="#000000" opacity="0"/>
                <v:fill on="true" color="#e3e3e3"/>
              </v:shape>
              <w10:wrap type="square"/>
            </v:group>
          </w:pict>
        </mc:Fallback>
      </mc:AlternateContent>
    </w:r>
    <w:r>
      <w:rPr>
        <w:rFonts w:ascii="Segoe UI" w:eastAsia="Segoe UI" w:hAnsi="Segoe UI" w:cs="Segoe UI"/>
      </w:rPr>
      <w:t xml:space="preserve"> </w:t>
    </w:r>
  </w:p>
  <w:p w14:paraId="016A731E" w14:textId="77777777" w:rsidR="002B623B" w:rsidRDefault="00AD04ED">
    <w:pPr>
      <w:tabs>
        <w:tab w:val="center" w:pos="493"/>
        <w:tab w:val="center" w:pos="4760"/>
        <w:tab w:val="center" w:pos="8140"/>
      </w:tabs>
      <w:spacing w:after="0" w:line="259" w:lineRule="auto"/>
      <w:ind w:left="0" w:firstLine="0"/>
    </w:pPr>
    <w:r>
      <w:rPr>
        <w:rFonts w:ascii="Calibri" w:eastAsia="Calibri" w:hAnsi="Calibri" w:cs="Calibri"/>
      </w:rPr>
      <w:tab/>
    </w:r>
    <w:r>
      <w:fldChar w:fldCharType="begin"/>
    </w:r>
    <w:r>
      <w:instrText xml:space="preserve"> PAGE   \* MERGEFORMAT </w:instrText>
    </w:r>
    <w:r>
      <w:fldChar w:fldCharType="separate"/>
    </w:r>
    <w:r>
      <w:rPr>
        <w:rFonts w:ascii="Segoe UI" w:eastAsia="Segoe UI" w:hAnsi="Segoe UI" w:cs="Segoe UI"/>
        <w:sz w:val="20"/>
      </w:rPr>
      <w:t>2</w:t>
    </w:r>
    <w:r>
      <w:rPr>
        <w:rFonts w:ascii="Segoe UI" w:eastAsia="Segoe UI" w:hAnsi="Segoe UI" w:cs="Segoe UI"/>
        <w:sz w:val="20"/>
      </w:rPr>
      <w:fldChar w:fldCharType="end"/>
    </w:r>
    <w:r>
      <w:rPr>
        <w:rFonts w:ascii="Segoe UI" w:eastAsia="Segoe UI" w:hAnsi="Segoe UI" w:cs="Segoe UI"/>
        <w:sz w:val="20"/>
      </w:rPr>
      <w:t xml:space="preserve"> </w:t>
    </w:r>
    <w:r>
      <w:rPr>
        <w:rFonts w:ascii="Segoe UI" w:eastAsia="Segoe UI" w:hAnsi="Segoe UI" w:cs="Segoe UI"/>
        <w:sz w:val="20"/>
      </w:rPr>
      <w:tab/>
      <w:t xml:space="preserve"> </w:t>
    </w:r>
    <w:r>
      <w:rPr>
        <w:rFonts w:ascii="Segoe UI" w:eastAsia="Segoe UI" w:hAnsi="Segoe UI" w:cs="Segoe UI"/>
        <w:sz w:val="20"/>
      </w:rPr>
      <w:tab/>
    </w:r>
    <w:r>
      <w:rPr>
        <w:rFonts w:ascii="Segoe UI" w:eastAsia="Segoe UI" w:hAnsi="Segoe UI" w:cs="Segoe UI"/>
        <w:i/>
        <w:color w:val="BD2B0B"/>
        <w:sz w:val="20"/>
      </w:rPr>
      <w:t>www.anglicare.asn.au</w:t>
    </w:r>
    <w:r>
      <w:rPr>
        <w:rFonts w:ascii="Segoe UI" w:eastAsia="Segoe UI" w:hAnsi="Segoe UI" w:cs="Segoe U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A69C4" w14:textId="77777777" w:rsidR="002B623B" w:rsidRDefault="002B623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893EB" w14:textId="77777777" w:rsidR="00AD04ED" w:rsidRDefault="00AD04ED">
      <w:pPr>
        <w:spacing w:after="0" w:line="240" w:lineRule="auto"/>
      </w:pPr>
      <w:r>
        <w:separator/>
      </w:r>
    </w:p>
  </w:footnote>
  <w:footnote w:type="continuationSeparator" w:id="0">
    <w:p w14:paraId="5D971DDA" w14:textId="77777777" w:rsidR="00AD04ED" w:rsidRDefault="00AD0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32A8" w14:textId="77777777" w:rsidR="002B623B" w:rsidRDefault="00AD04ED">
    <w:pPr>
      <w:spacing w:after="89" w:line="259" w:lineRule="auto"/>
      <w:ind w:left="0" w:right="-6" w:firstLine="0"/>
      <w:jc w:val="right"/>
    </w:pPr>
    <w:r>
      <w:rPr>
        <w:rFonts w:ascii="Segoe UI" w:eastAsia="Segoe UI" w:hAnsi="Segoe UI" w:cs="Segoe UI"/>
      </w:rPr>
      <w:t xml:space="preserve">Submission on a new approach to programs for families and children </w:t>
    </w:r>
  </w:p>
  <w:p w14:paraId="76B33331" w14:textId="77777777" w:rsidR="002B623B" w:rsidRDefault="00AD04ED">
    <w:pPr>
      <w:spacing w:after="0" w:line="259" w:lineRule="auto"/>
      <w:ind w:left="0" w:right="-66"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FE967B2" wp14:editId="583BD34E">
              <wp:simplePos x="0" y="0"/>
              <wp:positionH relativeFrom="page">
                <wp:posOffset>755650</wp:posOffset>
              </wp:positionH>
              <wp:positionV relativeFrom="page">
                <wp:posOffset>807720</wp:posOffset>
              </wp:positionV>
              <wp:extent cx="6045708" cy="19812"/>
              <wp:effectExtent l="0" t="0" r="0" b="0"/>
              <wp:wrapSquare wrapText="bothSides"/>
              <wp:docPr id="17029" name="Group 17029"/>
              <wp:cNvGraphicFramePr/>
              <a:graphic xmlns:a="http://schemas.openxmlformats.org/drawingml/2006/main">
                <a:graphicData uri="http://schemas.microsoft.com/office/word/2010/wordprocessingGroup">
                  <wpg:wgp>
                    <wpg:cNvGrpSpPr/>
                    <wpg:grpSpPr>
                      <a:xfrm>
                        <a:off x="0" y="0"/>
                        <a:ext cx="6045708" cy="19812"/>
                        <a:chOff x="0" y="0"/>
                        <a:chExt cx="6045708" cy="19812"/>
                      </a:xfrm>
                    </wpg:grpSpPr>
                    <wps:wsp>
                      <wps:cNvPr id="17728" name="Shape 17728"/>
                      <wps:cNvSpPr/>
                      <wps:spPr>
                        <a:xfrm>
                          <a:off x="0" y="0"/>
                          <a:ext cx="6044565" cy="19685"/>
                        </a:xfrm>
                        <a:custGeom>
                          <a:avLst/>
                          <a:gdLst/>
                          <a:ahLst/>
                          <a:cxnLst/>
                          <a:rect l="0" t="0" r="0" b="0"/>
                          <a:pathLst>
                            <a:path w="6044565" h="19685">
                              <a:moveTo>
                                <a:pt x="0" y="0"/>
                              </a:moveTo>
                              <a:lnTo>
                                <a:pt x="6044565" y="0"/>
                              </a:lnTo>
                              <a:lnTo>
                                <a:pt x="604456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29" name="Shape 17729"/>
                      <wps:cNvSpPr/>
                      <wps:spPr>
                        <a:xfrm>
                          <a:off x="2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30" name="Shape 17730"/>
                      <wps:cNvSpPr/>
                      <wps:spPr>
                        <a:xfrm>
                          <a:off x="3302" y="0"/>
                          <a:ext cx="6039358" cy="9144"/>
                        </a:xfrm>
                        <a:custGeom>
                          <a:avLst/>
                          <a:gdLst/>
                          <a:ahLst/>
                          <a:cxnLst/>
                          <a:rect l="0" t="0" r="0" b="0"/>
                          <a:pathLst>
                            <a:path w="6039358" h="9144">
                              <a:moveTo>
                                <a:pt x="0" y="0"/>
                              </a:moveTo>
                              <a:lnTo>
                                <a:pt x="6039358" y="0"/>
                              </a:lnTo>
                              <a:lnTo>
                                <a:pt x="603935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31" name="Shape 17731"/>
                      <wps:cNvSpPr/>
                      <wps:spPr>
                        <a:xfrm>
                          <a:off x="60426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32" name="Shape 17732"/>
                      <wps:cNvSpPr/>
                      <wps:spPr>
                        <a:xfrm>
                          <a:off x="254"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33" name="Shape 17733"/>
                      <wps:cNvSpPr/>
                      <wps:spPr>
                        <a:xfrm>
                          <a:off x="6042660"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34" name="Shape 17734"/>
                      <wps:cNvSpPr/>
                      <wps:spPr>
                        <a:xfrm>
                          <a:off x="254"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35" name="Shape 17735"/>
                      <wps:cNvSpPr/>
                      <wps:spPr>
                        <a:xfrm>
                          <a:off x="3302" y="16764"/>
                          <a:ext cx="6039358" cy="9144"/>
                        </a:xfrm>
                        <a:custGeom>
                          <a:avLst/>
                          <a:gdLst/>
                          <a:ahLst/>
                          <a:cxnLst/>
                          <a:rect l="0" t="0" r="0" b="0"/>
                          <a:pathLst>
                            <a:path w="6039358" h="9144">
                              <a:moveTo>
                                <a:pt x="0" y="0"/>
                              </a:moveTo>
                              <a:lnTo>
                                <a:pt x="6039358" y="0"/>
                              </a:lnTo>
                              <a:lnTo>
                                <a:pt x="6039358"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36" name="Shape 17736"/>
                      <wps:cNvSpPr/>
                      <wps:spPr>
                        <a:xfrm>
                          <a:off x="604266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17029" style="width:476.04pt;height:1.56pt;position:absolute;mso-position-horizontal-relative:page;mso-position-horizontal:absolute;margin-left:59.5pt;mso-position-vertical-relative:page;margin-top:63.6pt;" coordsize="60457,198">
              <v:shape id="Shape 17737" style="position:absolute;width:60445;height:196;left:0;top:0;" coordsize="6044565,19685" path="m0,0l6044565,0l6044565,19685l0,19685l0,0">
                <v:stroke weight="0pt" endcap="flat" joinstyle="miter" miterlimit="10" on="false" color="#000000" opacity="0"/>
                <v:fill on="true" color="#a0a0a0"/>
              </v:shape>
              <v:shape id="Shape 17738" style="position:absolute;width:91;height:91;left:2;top:0;" coordsize="9144,9144" path="m0,0l9144,0l9144,9144l0,9144l0,0">
                <v:stroke weight="0pt" endcap="flat" joinstyle="miter" miterlimit="10" on="false" color="#000000" opacity="0"/>
                <v:fill on="true" color="#a0a0a0"/>
              </v:shape>
              <v:shape id="Shape 17739" style="position:absolute;width:60393;height:91;left:33;top:0;" coordsize="6039358,9144" path="m0,0l6039358,0l6039358,9144l0,9144l0,0">
                <v:stroke weight="0pt" endcap="flat" joinstyle="miter" miterlimit="10" on="false" color="#000000" opacity="0"/>
                <v:fill on="true" color="#a0a0a0"/>
              </v:shape>
              <v:shape id="Shape 17740" style="position:absolute;width:91;height:91;left:60426;top:0;" coordsize="9144,9144" path="m0,0l9144,0l9144,9144l0,9144l0,0">
                <v:stroke weight="0pt" endcap="flat" joinstyle="miter" miterlimit="10" on="false" color="#000000" opacity="0"/>
                <v:fill on="true" color="#a0a0a0"/>
              </v:shape>
              <v:shape id="Shape 17741" style="position:absolute;width:91;height:137;left:2;top:30;" coordsize="9144,13716" path="m0,0l9144,0l9144,13716l0,13716l0,0">
                <v:stroke weight="0pt" endcap="flat" joinstyle="miter" miterlimit="10" on="false" color="#000000" opacity="0"/>
                <v:fill on="true" color="#a0a0a0"/>
              </v:shape>
              <v:shape id="Shape 17742" style="position:absolute;width:91;height:137;left:60426;top:30;" coordsize="9144,13716" path="m0,0l9144,0l9144,13716l0,13716l0,0">
                <v:stroke weight="0pt" endcap="flat" joinstyle="miter" miterlimit="10" on="false" color="#000000" opacity="0"/>
                <v:fill on="true" color="#e3e3e3"/>
              </v:shape>
              <v:shape id="Shape 17743" style="position:absolute;width:91;height:91;left:2;top:167;" coordsize="9144,9144" path="m0,0l9144,0l9144,9144l0,9144l0,0">
                <v:stroke weight="0pt" endcap="flat" joinstyle="miter" miterlimit="10" on="false" color="#000000" opacity="0"/>
                <v:fill on="true" color="#e3e3e3"/>
              </v:shape>
              <v:shape id="Shape 17744" style="position:absolute;width:60393;height:91;left:33;top:167;" coordsize="6039358,9144" path="m0,0l6039358,0l6039358,9144l0,9144l0,0">
                <v:stroke weight="0pt" endcap="flat" joinstyle="miter" miterlimit="10" on="false" color="#000000" opacity="0"/>
                <v:fill on="true" color="#e3e3e3"/>
              </v:shape>
              <v:shape id="Shape 17745" style="position:absolute;width:91;height:91;left:60426;top:167;" coordsize="9144,9144" path="m0,0l9144,0l9144,9144l0,9144l0,0">
                <v:stroke weight="0pt" endcap="flat" joinstyle="miter" miterlimit="10" on="false" color="#000000" opacity="0"/>
                <v:fill on="true" color="#e3e3e3"/>
              </v:shape>
              <w10:wrap type="square"/>
            </v:group>
          </w:pict>
        </mc:Fallback>
      </mc:AlternateContent>
    </w:r>
    <w:r>
      <w:rPr>
        <w:rFonts w:ascii="Segoe UI" w:eastAsia="Segoe UI" w:hAnsi="Segoe UI" w:cs="Segoe U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61A5" w14:textId="77777777" w:rsidR="002B623B" w:rsidRDefault="00AD04ED">
    <w:pPr>
      <w:spacing w:after="89" w:line="259" w:lineRule="auto"/>
      <w:ind w:left="0" w:right="-6" w:firstLine="0"/>
      <w:jc w:val="right"/>
    </w:pPr>
    <w:r>
      <w:rPr>
        <w:rFonts w:ascii="Segoe UI" w:eastAsia="Segoe UI" w:hAnsi="Segoe UI" w:cs="Segoe UI"/>
      </w:rPr>
      <w:t xml:space="preserve">Submission on a new approach to programs for families and children </w:t>
    </w:r>
  </w:p>
  <w:p w14:paraId="47E8FE1D" w14:textId="77777777" w:rsidR="002B623B" w:rsidRDefault="00AD04ED">
    <w:pPr>
      <w:spacing w:after="0" w:line="259" w:lineRule="auto"/>
      <w:ind w:left="0" w:right="-66"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A2647A8" wp14:editId="7997B638">
              <wp:simplePos x="0" y="0"/>
              <wp:positionH relativeFrom="page">
                <wp:posOffset>755650</wp:posOffset>
              </wp:positionH>
              <wp:positionV relativeFrom="page">
                <wp:posOffset>807720</wp:posOffset>
              </wp:positionV>
              <wp:extent cx="6045708" cy="19812"/>
              <wp:effectExtent l="0" t="0" r="0" b="0"/>
              <wp:wrapSquare wrapText="bothSides"/>
              <wp:docPr id="16983" name="Group 16983"/>
              <wp:cNvGraphicFramePr/>
              <a:graphic xmlns:a="http://schemas.openxmlformats.org/drawingml/2006/main">
                <a:graphicData uri="http://schemas.microsoft.com/office/word/2010/wordprocessingGroup">
                  <wpg:wgp>
                    <wpg:cNvGrpSpPr/>
                    <wpg:grpSpPr>
                      <a:xfrm>
                        <a:off x="0" y="0"/>
                        <a:ext cx="6045708" cy="19812"/>
                        <a:chOff x="0" y="0"/>
                        <a:chExt cx="6045708" cy="19812"/>
                      </a:xfrm>
                    </wpg:grpSpPr>
                    <wps:wsp>
                      <wps:cNvPr id="17710" name="Shape 17710"/>
                      <wps:cNvSpPr/>
                      <wps:spPr>
                        <a:xfrm>
                          <a:off x="0" y="0"/>
                          <a:ext cx="6044565" cy="19685"/>
                        </a:xfrm>
                        <a:custGeom>
                          <a:avLst/>
                          <a:gdLst/>
                          <a:ahLst/>
                          <a:cxnLst/>
                          <a:rect l="0" t="0" r="0" b="0"/>
                          <a:pathLst>
                            <a:path w="6044565" h="19685">
                              <a:moveTo>
                                <a:pt x="0" y="0"/>
                              </a:moveTo>
                              <a:lnTo>
                                <a:pt x="6044565" y="0"/>
                              </a:lnTo>
                              <a:lnTo>
                                <a:pt x="604456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11" name="Shape 17711"/>
                      <wps:cNvSpPr/>
                      <wps:spPr>
                        <a:xfrm>
                          <a:off x="2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12" name="Shape 17712"/>
                      <wps:cNvSpPr/>
                      <wps:spPr>
                        <a:xfrm>
                          <a:off x="3302" y="0"/>
                          <a:ext cx="6039358" cy="9144"/>
                        </a:xfrm>
                        <a:custGeom>
                          <a:avLst/>
                          <a:gdLst/>
                          <a:ahLst/>
                          <a:cxnLst/>
                          <a:rect l="0" t="0" r="0" b="0"/>
                          <a:pathLst>
                            <a:path w="6039358" h="9144">
                              <a:moveTo>
                                <a:pt x="0" y="0"/>
                              </a:moveTo>
                              <a:lnTo>
                                <a:pt x="6039358" y="0"/>
                              </a:lnTo>
                              <a:lnTo>
                                <a:pt x="603935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13" name="Shape 17713"/>
                      <wps:cNvSpPr/>
                      <wps:spPr>
                        <a:xfrm>
                          <a:off x="60426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14" name="Shape 17714"/>
                      <wps:cNvSpPr/>
                      <wps:spPr>
                        <a:xfrm>
                          <a:off x="254"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715" name="Shape 17715"/>
                      <wps:cNvSpPr/>
                      <wps:spPr>
                        <a:xfrm>
                          <a:off x="6042660"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16" name="Shape 17716"/>
                      <wps:cNvSpPr/>
                      <wps:spPr>
                        <a:xfrm>
                          <a:off x="254"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17" name="Shape 17717"/>
                      <wps:cNvSpPr/>
                      <wps:spPr>
                        <a:xfrm>
                          <a:off x="3302" y="16764"/>
                          <a:ext cx="6039358" cy="9144"/>
                        </a:xfrm>
                        <a:custGeom>
                          <a:avLst/>
                          <a:gdLst/>
                          <a:ahLst/>
                          <a:cxnLst/>
                          <a:rect l="0" t="0" r="0" b="0"/>
                          <a:pathLst>
                            <a:path w="6039358" h="9144">
                              <a:moveTo>
                                <a:pt x="0" y="0"/>
                              </a:moveTo>
                              <a:lnTo>
                                <a:pt x="6039358" y="0"/>
                              </a:lnTo>
                              <a:lnTo>
                                <a:pt x="6039358"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718" name="Shape 17718"/>
                      <wps:cNvSpPr/>
                      <wps:spPr>
                        <a:xfrm>
                          <a:off x="604266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16983" style="width:476.04pt;height:1.56pt;position:absolute;mso-position-horizontal-relative:page;mso-position-horizontal:absolute;margin-left:59.5pt;mso-position-vertical-relative:page;margin-top:63.6pt;" coordsize="60457,198">
              <v:shape id="Shape 17719" style="position:absolute;width:60445;height:196;left:0;top:0;" coordsize="6044565,19685" path="m0,0l6044565,0l6044565,19685l0,19685l0,0">
                <v:stroke weight="0pt" endcap="flat" joinstyle="miter" miterlimit="10" on="false" color="#000000" opacity="0"/>
                <v:fill on="true" color="#a0a0a0"/>
              </v:shape>
              <v:shape id="Shape 17720" style="position:absolute;width:91;height:91;left:2;top:0;" coordsize="9144,9144" path="m0,0l9144,0l9144,9144l0,9144l0,0">
                <v:stroke weight="0pt" endcap="flat" joinstyle="miter" miterlimit="10" on="false" color="#000000" opacity="0"/>
                <v:fill on="true" color="#a0a0a0"/>
              </v:shape>
              <v:shape id="Shape 17721" style="position:absolute;width:60393;height:91;left:33;top:0;" coordsize="6039358,9144" path="m0,0l6039358,0l6039358,9144l0,9144l0,0">
                <v:stroke weight="0pt" endcap="flat" joinstyle="miter" miterlimit="10" on="false" color="#000000" opacity="0"/>
                <v:fill on="true" color="#a0a0a0"/>
              </v:shape>
              <v:shape id="Shape 17722" style="position:absolute;width:91;height:91;left:60426;top:0;" coordsize="9144,9144" path="m0,0l9144,0l9144,9144l0,9144l0,0">
                <v:stroke weight="0pt" endcap="flat" joinstyle="miter" miterlimit="10" on="false" color="#000000" opacity="0"/>
                <v:fill on="true" color="#a0a0a0"/>
              </v:shape>
              <v:shape id="Shape 17723" style="position:absolute;width:91;height:137;left:2;top:30;" coordsize="9144,13716" path="m0,0l9144,0l9144,13716l0,13716l0,0">
                <v:stroke weight="0pt" endcap="flat" joinstyle="miter" miterlimit="10" on="false" color="#000000" opacity="0"/>
                <v:fill on="true" color="#a0a0a0"/>
              </v:shape>
              <v:shape id="Shape 17724" style="position:absolute;width:91;height:137;left:60426;top:30;" coordsize="9144,13716" path="m0,0l9144,0l9144,13716l0,13716l0,0">
                <v:stroke weight="0pt" endcap="flat" joinstyle="miter" miterlimit="10" on="false" color="#000000" opacity="0"/>
                <v:fill on="true" color="#e3e3e3"/>
              </v:shape>
              <v:shape id="Shape 17725" style="position:absolute;width:91;height:91;left:2;top:167;" coordsize="9144,9144" path="m0,0l9144,0l9144,9144l0,9144l0,0">
                <v:stroke weight="0pt" endcap="flat" joinstyle="miter" miterlimit="10" on="false" color="#000000" opacity="0"/>
                <v:fill on="true" color="#e3e3e3"/>
              </v:shape>
              <v:shape id="Shape 17726" style="position:absolute;width:60393;height:91;left:33;top:167;" coordsize="6039358,9144" path="m0,0l6039358,0l6039358,9144l0,9144l0,0">
                <v:stroke weight="0pt" endcap="flat" joinstyle="miter" miterlimit="10" on="false" color="#000000" opacity="0"/>
                <v:fill on="true" color="#e3e3e3"/>
              </v:shape>
              <v:shape id="Shape 17727" style="position:absolute;width:91;height:91;left:60426;top:167;" coordsize="9144,9144" path="m0,0l9144,0l9144,9144l0,9144l0,0">
                <v:stroke weight="0pt" endcap="flat" joinstyle="miter" miterlimit="10" on="false" color="#000000" opacity="0"/>
                <v:fill on="true" color="#e3e3e3"/>
              </v:shape>
              <w10:wrap type="square"/>
            </v:group>
          </w:pict>
        </mc:Fallback>
      </mc:AlternateContent>
    </w:r>
    <w:r>
      <w:rPr>
        <w:rFonts w:ascii="Segoe UI" w:eastAsia="Segoe UI" w:hAnsi="Segoe UI" w:cs="Segoe U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BD42" w14:textId="77777777" w:rsidR="002B623B" w:rsidRDefault="002B623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27C"/>
    <w:multiLevelType w:val="hybridMultilevel"/>
    <w:tmpl w:val="D6E8413C"/>
    <w:lvl w:ilvl="0" w:tplc="2946AAE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B526E2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6540E7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0B87FD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BB6A44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510108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A528C8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DD0072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274D53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EA4702"/>
    <w:multiLevelType w:val="hybridMultilevel"/>
    <w:tmpl w:val="92065FB6"/>
    <w:lvl w:ilvl="0" w:tplc="222C345C">
      <w:start w:val="1"/>
      <w:numFmt w:val="lowerRoman"/>
      <w:lvlText w:val="%1"/>
      <w:lvlJc w:val="left"/>
      <w:pPr>
        <w:ind w:left="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1" w:tplc="08A26DBA">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2" w:tplc="F69A0DD8">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3" w:tplc="8D8CA99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4" w:tplc="228C98E6">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5" w:tplc="53B496AC">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6" w:tplc="B7E2CD24">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7" w:tplc="5256284A">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8" w:tplc="FEA4A0D2">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abstractNum>
  <w:abstractNum w:abstractNumId="2" w15:restartNumberingAfterBreak="0">
    <w:nsid w:val="2AAE21B7"/>
    <w:multiLevelType w:val="hybridMultilevel"/>
    <w:tmpl w:val="3376A9FA"/>
    <w:lvl w:ilvl="0" w:tplc="679058D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942D9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370DD1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560A1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C7E2EA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F06555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866FC4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E5826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316BA8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7A50133"/>
    <w:multiLevelType w:val="hybridMultilevel"/>
    <w:tmpl w:val="8ED2729E"/>
    <w:lvl w:ilvl="0" w:tplc="A60A447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B40125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172AB7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7E45BF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7D6B65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A4EBD8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CDE9E0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59A375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858FF5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C4F59C2"/>
    <w:multiLevelType w:val="hybridMultilevel"/>
    <w:tmpl w:val="6FF8FBCA"/>
    <w:lvl w:ilvl="0" w:tplc="F5F4550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5D8684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A027C5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54A760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B96E57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202019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920A49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EC551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4D80B3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180706126">
    <w:abstractNumId w:val="3"/>
  </w:num>
  <w:num w:numId="2" w16cid:durableId="907961298">
    <w:abstractNumId w:val="4"/>
  </w:num>
  <w:num w:numId="3" w16cid:durableId="552811785">
    <w:abstractNumId w:val="0"/>
  </w:num>
  <w:num w:numId="4" w16cid:durableId="1592618355">
    <w:abstractNumId w:val="2"/>
  </w:num>
  <w:num w:numId="5" w16cid:durableId="1732071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3B"/>
    <w:rsid w:val="0008730D"/>
    <w:rsid w:val="002B623B"/>
    <w:rsid w:val="00AD04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052FB"/>
  <w15:docId w15:val="{0BC5DA0E-D912-4B52-BD46-5D21EFDF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84" w:lineRule="auto"/>
      <w:ind w:left="10" w:hanging="10"/>
    </w:pPr>
    <w:rPr>
      <w:rFonts w:ascii="Cambria" w:eastAsia="Cambria" w:hAnsi="Cambria" w:cs="Cambria"/>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00437A"/>
      <w:sz w:val="28"/>
    </w:rPr>
  </w:style>
  <w:style w:type="paragraph" w:styleId="Heading2">
    <w:name w:val="heading 2"/>
    <w:next w:val="Normal"/>
    <w:link w:val="Heading2Char"/>
    <w:uiPriority w:val="9"/>
    <w:unhideWhenUsed/>
    <w:qFormat/>
    <w:pPr>
      <w:keepNext/>
      <w:keepLines/>
      <w:spacing w:after="12" w:line="259" w:lineRule="auto"/>
      <w:ind w:left="10" w:hanging="10"/>
      <w:outlineLvl w:val="1"/>
    </w:pPr>
    <w:rPr>
      <w:rFonts w:ascii="Cambria" w:eastAsia="Cambria" w:hAnsi="Cambria" w:cs="Cambria"/>
      <w:b/>
      <w:color w:val="0070C0"/>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after="27" w:line="259" w:lineRule="auto"/>
      <w:ind w:left="10" w:hanging="10"/>
      <w:outlineLvl w:val="2"/>
    </w:pPr>
    <w:rPr>
      <w:rFonts w:ascii="Cambria" w:eastAsia="Cambria" w:hAnsi="Cambria" w:cs="Cambria"/>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2"/>
    </w:rPr>
  </w:style>
  <w:style w:type="character" w:customStyle="1" w:styleId="Heading2Char">
    <w:name w:val="Heading 2 Char"/>
    <w:link w:val="Heading2"/>
    <w:rPr>
      <w:rFonts w:ascii="Cambria" w:eastAsia="Cambria" w:hAnsi="Cambria" w:cs="Cambria"/>
      <w:b/>
      <w:color w:val="0070C0"/>
      <w:sz w:val="24"/>
    </w:rPr>
  </w:style>
  <w:style w:type="character" w:customStyle="1" w:styleId="Heading1Char">
    <w:name w:val="Heading 1 Char"/>
    <w:link w:val="Heading1"/>
    <w:rPr>
      <w:rFonts w:ascii="Calibri" w:eastAsia="Calibri" w:hAnsi="Calibri" w:cs="Calibri"/>
      <w:b/>
      <w:color w:val="00437A"/>
      <w:sz w:val="28"/>
    </w:rPr>
  </w:style>
  <w:style w:type="paragraph" w:styleId="TOC1">
    <w:name w:val="toc 1"/>
    <w:hidden/>
    <w:pPr>
      <w:spacing w:after="134" w:line="284" w:lineRule="auto"/>
      <w:ind w:left="25" w:right="23" w:hanging="10"/>
    </w:pPr>
    <w:rPr>
      <w:rFonts w:ascii="Cambria" w:eastAsia="Cambria" w:hAnsi="Cambria" w:cs="Cambria"/>
      <w:color w:val="000000"/>
      <w:sz w:val="22"/>
    </w:rPr>
  </w:style>
  <w:style w:type="paragraph" w:styleId="TOC2">
    <w:name w:val="toc 2"/>
    <w:hidden/>
    <w:pPr>
      <w:spacing w:after="134" w:line="284" w:lineRule="auto"/>
      <w:ind w:left="505" w:right="23" w:hanging="10"/>
    </w:pPr>
    <w:rPr>
      <w:rFonts w:ascii="Cambria" w:eastAsia="Cambria" w:hAnsi="Cambria" w:cs="Cambria"/>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3966</Words>
  <Characters>24668</Characters>
  <Application>Microsoft Office Word</Application>
  <DocSecurity>0</DocSecurity>
  <Lines>459</Lines>
  <Paragraphs>135</Paragraphs>
  <ScaleCrop>false</ScaleCrop>
  <Company/>
  <LinksUpToDate>false</LinksUpToDate>
  <CharactersWithSpaces>28765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CATLIN-STRUTHERS, Lydia</dc:creator>
  <cp:keywords>[SEC=OFFICIAL]</cp:keywords>
  <cp:lastModifiedBy>CATLIN-STRUTHERS, Lydia</cp:lastModifiedBy>
  <cp:revision>2</cp:revision>
  <dcterms:created xsi:type="dcterms:W3CDTF">2025-12-12T03:25:00Z</dcterms:created>
  <dcterms:modified xsi:type="dcterms:W3CDTF">2025-12-12T03:25:00Z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v=2024.1;a=SHA256;h=93E4475F6D9B9B24027A8520237ED6978AFF1D129CD63B998BA12399C45C28D5</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2025-12-12T03:25:47Z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2025-12-12T03:25:47Z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950b1031ba92405282545ff97990cc42</vt:lpwstr>
  </property>
  <property fmtid="{D5CDD505-2E9C-101B-9397-08002B2CF9AE}" pid="24" name="PM_Originator_Hash_SHA1">
    <vt:lpwstr>70D524B4874D1B3B34D90FDE0E5D82AA5E75BD44</vt:lpwstr>
  </property>
  <property fmtid="{D5CDD505-2E9C-101B-9397-08002B2CF9AE}" pid="25" name="PM_Originating_FileId">
    <vt:lpwstr>5709ACCAA40A406FB50C683983E0C18E</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6F2E39E86991B4C7D8FF6681E8428BB0</vt:lpwstr>
  </property>
  <property fmtid="{D5CDD505-2E9C-101B-9397-08002B2CF9AE}" pid="33" name="PM_Hash_Salt">
    <vt:lpwstr>5A22B0F1433E34D6A5D1F59769DF2460</vt:lpwstr>
  </property>
  <property fmtid="{D5CDD505-2E9C-101B-9397-08002B2CF9AE}" pid="34" name="PM_Hash_SHA1">
    <vt:lpwstr>4DCC2CEA3E7DDBB542292539D9D44CCB2BFC3004</vt:lpwstr>
  </property>
</Properties>
</file>