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shd w:val="clear" w:color="auto" w:fill="FFFFFF"/>
        <w:tblCellMar>
          <w:top w:w="50" w:type="dxa"/>
          <w:left w:w="50" w:type="dxa"/>
          <w:bottom w:w="50" w:type="dxa"/>
          <w:right w:w="50" w:type="dxa"/>
        </w:tblCellMar>
        <w:tblLook w:val="04A0" w:firstRow="1" w:lastRow="0" w:firstColumn="1" w:lastColumn="0" w:noHBand="0" w:noVBand="1"/>
      </w:tblPr>
      <w:tblGrid>
        <w:gridCol w:w="300"/>
        <w:gridCol w:w="8726"/>
      </w:tblGrid>
      <w:tr w:rsidR="00E91037" w:rsidRPr="00E91037" w14:paraId="2089D473" w14:textId="77777777">
        <w:trPr>
          <w:tblCellSpacing w:w="0" w:type="dxa"/>
        </w:trPr>
        <w:tc>
          <w:tcPr>
            <w:tcW w:w="0" w:type="auto"/>
            <w:gridSpan w:val="2"/>
            <w:shd w:val="clear" w:color="auto" w:fill="EAF2FA"/>
            <w:vAlign w:val="center"/>
            <w:hideMark/>
          </w:tcPr>
          <w:p w14:paraId="614EA12B" w14:textId="77777777" w:rsidR="00E91037" w:rsidRPr="00E91037" w:rsidRDefault="00E91037" w:rsidP="00E91037">
            <w:pPr>
              <w:rPr>
                <w:lang w:val="en-GB"/>
              </w:rPr>
            </w:pPr>
            <w:r w:rsidRPr="00E91037">
              <w:rPr>
                <w:b/>
                <w:bCs/>
                <w:lang w:val="en-GB"/>
              </w:rPr>
              <w:t>Are you an individual or making a submission on behalf of an organisation?</w:t>
            </w:r>
            <w:r w:rsidRPr="00E91037">
              <w:rPr>
                <w:lang w:val="en-GB"/>
              </w:rPr>
              <w:t xml:space="preserve"> </w:t>
            </w:r>
          </w:p>
        </w:tc>
      </w:tr>
      <w:tr w:rsidR="00E91037" w:rsidRPr="00E91037" w14:paraId="6E6E7658" w14:textId="77777777">
        <w:trPr>
          <w:tblCellSpacing w:w="0" w:type="dxa"/>
        </w:trPr>
        <w:tc>
          <w:tcPr>
            <w:tcW w:w="300" w:type="dxa"/>
            <w:shd w:val="clear" w:color="auto" w:fill="FFFFFF"/>
            <w:vAlign w:val="center"/>
            <w:hideMark/>
          </w:tcPr>
          <w:p w14:paraId="62A813D8" w14:textId="77777777" w:rsidR="00E91037" w:rsidRPr="00E91037" w:rsidRDefault="00E91037" w:rsidP="00E91037">
            <w:pPr>
              <w:rPr>
                <w:lang w:val="en-GB"/>
              </w:rPr>
            </w:pPr>
            <w:r w:rsidRPr="00E91037">
              <w:rPr>
                <w:lang w:val="en-GB"/>
              </w:rPr>
              <w:t> </w:t>
            </w:r>
          </w:p>
        </w:tc>
        <w:tc>
          <w:tcPr>
            <w:tcW w:w="0" w:type="auto"/>
            <w:shd w:val="clear" w:color="auto" w:fill="FFFFFF"/>
            <w:vAlign w:val="center"/>
            <w:hideMark/>
          </w:tcPr>
          <w:p w14:paraId="650E3E07" w14:textId="77777777" w:rsidR="00E91037" w:rsidRPr="00E91037" w:rsidRDefault="00E91037" w:rsidP="00E91037">
            <w:pPr>
              <w:rPr>
                <w:lang w:val="en-GB"/>
              </w:rPr>
            </w:pPr>
            <w:r w:rsidRPr="00E91037">
              <w:rPr>
                <w:lang w:val="en-GB"/>
              </w:rPr>
              <w:t xml:space="preserve">Organisation </w:t>
            </w:r>
          </w:p>
        </w:tc>
      </w:tr>
      <w:tr w:rsidR="00E91037" w:rsidRPr="00E91037" w14:paraId="223F035B" w14:textId="77777777">
        <w:trPr>
          <w:tblCellSpacing w:w="0" w:type="dxa"/>
        </w:trPr>
        <w:tc>
          <w:tcPr>
            <w:tcW w:w="0" w:type="auto"/>
            <w:gridSpan w:val="2"/>
            <w:shd w:val="clear" w:color="auto" w:fill="EAF2FA"/>
            <w:vAlign w:val="center"/>
            <w:hideMark/>
          </w:tcPr>
          <w:p w14:paraId="1EBF0C13" w14:textId="77777777" w:rsidR="00E91037" w:rsidRPr="00E91037" w:rsidRDefault="00E91037" w:rsidP="00E91037">
            <w:pPr>
              <w:rPr>
                <w:lang w:val="en-GB"/>
              </w:rPr>
            </w:pPr>
            <w:r w:rsidRPr="00E91037">
              <w:rPr>
                <w:b/>
                <w:bCs/>
                <w:lang w:val="en-GB"/>
              </w:rPr>
              <w:t>Organisation name</w:t>
            </w:r>
            <w:r w:rsidRPr="00E91037">
              <w:rPr>
                <w:lang w:val="en-GB"/>
              </w:rPr>
              <w:t xml:space="preserve"> </w:t>
            </w:r>
          </w:p>
        </w:tc>
      </w:tr>
      <w:tr w:rsidR="00E91037" w:rsidRPr="00E91037" w14:paraId="5E37567D" w14:textId="77777777">
        <w:trPr>
          <w:tblCellSpacing w:w="0" w:type="dxa"/>
        </w:trPr>
        <w:tc>
          <w:tcPr>
            <w:tcW w:w="300" w:type="dxa"/>
            <w:shd w:val="clear" w:color="auto" w:fill="FFFFFF"/>
            <w:vAlign w:val="center"/>
            <w:hideMark/>
          </w:tcPr>
          <w:p w14:paraId="6670745A" w14:textId="77777777" w:rsidR="00E91037" w:rsidRPr="00E91037" w:rsidRDefault="00E91037" w:rsidP="00E91037">
            <w:pPr>
              <w:rPr>
                <w:lang w:val="en-GB"/>
              </w:rPr>
            </w:pPr>
            <w:r w:rsidRPr="00E91037">
              <w:rPr>
                <w:lang w:val="en-GB"/>
              </w:rPr>
              <w:t> </w:t>
            </w:r>
          </w:p>
        </w:tc>
        <w:tc>
          <w:tcPr>
            <w:tcW w:w="0" w:type="auto"/>
            <w:shd w:val="clear" w:color="auto" w:fill="FFFFFF"/>
            <w:vAlign w:val="center"/>
            <w:hideMark/>
          </w:tcPr>
          <w:p w14:paraId="032C86AD" w14:textId="77777777" w:rsidR="00E91037" w:rsidRPr="00E91037" w:rsidRDefault="00E91037" w:rsidP="00E91037">
            <w:pPr>
              <w:rPr>
                <w:lang w:val="en-GB"/>
              </w:rPr>
            </w:pPr>
            <w:proofErr w:type="spellStart"/>
            <w:r w:rsidRPr="00E91037">
              <w:rPr>
                <w:lang w:val="en-GB"/>
              </w:rPr>
              <w:t>CatholicCare</w:t>
            </w:r>
            <w:proofErr w:type="spellEnd"/>
            <w:r w:rsidRPr="00E91037">
              <w:rPr>
                <w:lang w:val="en-GB"/>
              </w:rPr>
              <w:t xml:space="preserve"> Victoria Tasmania </w:t>
            </w:r>
          </w:p>
        </w:tc>
      </w:tr>
      <w:tr w:rsidR="00E91037" w:rsidRPr="00E91037" w14:paraId="6D5E23AA" w14:textId="77777777">
        <w:trPr>
          <w:tblCellSpacing w:w="0" w:type="dxa"/>
        </w:trPr>
        <w:tc>
          <w:tcPr>
            <w:tcW w:w="0" w:type="auto"/>
            <w:gridSpan w:val="2"/>
            <w:shd w:val="clear" w:color="auto" w:fill="EAF2FA"/>
            <w:vAlign w:val="center"/>
            <w:hideMark/>
          </w:tcPr>
          <w:p w14:paraId="560733E1" w14:textId="77777777" w:rsidR="00E91037" w:rsidRPr="00E91037" w:rsidRDefault="00E91037" w:rsidP="00E91037">
            <w:pPr>
              <w:rPr>
                <w:lang w:val="en-GB"/>
              </w:rPr>
            </w:pPr>
            <w:r w:rsidRPr="00E91037">
              <w:rPr>
                <w:b/>
                <w:bCs/>
                <w:lang w:val="en-GB"/>
              </w:rPr>
              <w:t>Is your organisation….?</w:t>
            </w:r>
            <w:r w:rsidRPr="00E91037">
              <w:rPr>
                <w:lang w:val="en-GB"/>
              </w:rPr>
              <w:t xml:space="preserve"> </w:t>
            </w:r>
          </w:p>
        </w:tc>
      </w:tr>
      <w:tr w:rsidR="00E91037" w:rsidRPr="00E91037" w14:paraId="1657743F" w14:textId="77777777">
        <w:trPr>
          <w:tblCellSpacing w:w="0" w:type="dxa"/>
        </w:trPr>
        <w:tc>
          <w:tcPr>
            <w:tcW w:w="300" w:type="dxa"/>
            <w:shd w:val="clear" w:color="auto" w:fill="FFFFFF"/>
            <w:vAlign w:val="center"/>
            <w:hideMark/>
          </w:tcPr>
          <w:p w14:paraId="4F8B244C" w14:textId="77777777" w:rsidR="00E91037" w:rsidRPr="00E91037" w:rsidRDefault="00E91037" w:rsidP="00E91037">
            <w:pPr>
              <w:rPr>
                <w:lang w:val="en-GB"/>
              </w:rPr>
            </w:pPr>
            <w:r w:rsidRPr="00E91037">
              <w:rPr>
                <w:lang w:val="en-GB"/>
              </w:rPr>
              <w:t> </w:t>
            </w:r>
          </w:p>
        </w:tc>
        <w:tc>
          <w:tcPr>
            <w:tcW w:w="0" w:type="auto"/>
            <w:shd w:val="clear" w:color="auto" w:fill="FFFFFF"/>
            <w:vAlign w:val="center"/>
            <w:hideMark/>
          </w:tcPr>
          <w:p w14:paraId="27FC550C" w14:textId="77777777" w:rsidR="00E91037" w:rsidRPr="00E91037" w:rsidRDefault="00E91037" w:rsidP="00E91037">
            <w:pPr>
              <w:numPr>
                <w:ilvl w:val="0"/>
                <w:numId w:val="1"/>
              </w:numPr>
              <w:rPr>
                <w:lang w:val="en-GB"/>
              </w:rPr>
            </w:pPr>
            <w:r w:rsidRPr="00E91037">
              <w:rPr>
                <w:lang w:val="en-GB"/>
              </w:rPr>
              <w:t>A provider currently funded under one or more of the 5 programs in scope for this consultation</w:t>
            </w:r>
          </w:p>
        </w:tc>
      </w:tr>
      <w:tr w:rsidR="00E91037" w:rsidRPr="00E91037" w14:paraId="61D4B494" w14:textId="77777777">
        <w:trPr>
          <w:tblCellSpacing w:w="0" w:type="dxa"/>
        </w:trPr>
        <w:tc>
          <w:tcPr>
            <w:tcW w:w="0" w:type="auto"/>
            <w:gridSpan w:val="2"/>
            <w:shd w:val="clear" w:color="auto" w:fill="EAF2FA"/>
            <w:vAlign w:val="center"/>
            <w:hideMark/>
          </w:tcPr>
          <w:p w14:paraId="341341EB" w14:textId="77777777" w:rsidR="00E91037" w:rsidRPr="00E91037" w:rsidRDefault="00E91037" w:rsidP="00E91037">
            <w:pPr>
              <w:rPr>
                <w:lang w:val="en-GB"/>
              </w:rPr>
            </w:pPr>
            <w:r w:rsidRPr="00E91037">
              <w:rPr>
                <w:b/>
                <w:bCs/>
                <w:lang w:val="en-GB"/>
              </w:rPr>
              <w:t>What type of service or support do you mostly provide?</w:t>
            </w:r>
            <w:r w:rsidRPr="00E91037">
              <w:rPr>
                <w:lang w:val="en-GB"/>
              </w:rPr>
              <w:t xml:space="preserve"> </w:t>
            </w:r>
          </w:p>
        </w:tc>
      </w:tr>
      <w:tr w:rsidR="00E91037" w:rsidRPr="00E91037" w14:paraId="47D91C0B" w14:textId="77777777">
        <w:trPr>
          <w:tblCellSpacing w:w="0" w:type="dxa"/>
        </w:trPr>
        <w:tc>
          <w:tcPr>
            <w:tcW w:w="300" w:type="dxa"/>
            <w:shd w:val="clear" w:color="auto" w:fill="FFFFFF"/>
            <w:vAlign w:val="center"/>
            <w:hideMark/>
          </w:tcPr>
          <w:p w14:paraId="3820744C" w14:textId="77777777" w:rsidR="00E91037" w:rsidRPr="00E91037" w:rsidRDefault="00E91037" w:rsidP="00E91037">
            <w:pPr>
              <w:rPr>
                <w:lang w:val="en-GB"/>
              </w:rPr>
            </w:pPr>
            <w:r w:rsidRPr="00E91037">
              <w:rPr>
                <w:lang w:val="en-GB"/>
              </w:rPr>
              <w:t> </w:t>
            </w:r>
          </w:p>
        </w:tc>
        <w:tc>
          <w:tcPr>
            <w:tcW w:w="0" w:type="auto"/>
            <w:shd w:val="clear" w:color="auto" w:fill="FFFFFF"/>
            <w:vAlign w:val="center"/>
            <w:hideMark/>
          </w:tcPr>
          <w:p w14:paraId="501A5BFA" w14:textId="77777777" w:rsidR="00E91037" w:rsidRPr="00E91037" w:rsidRDefault="00E91037" w:rsidP="00E91037">
            <w:pPr>
              <w:numPr>
                <w:ilvl w:val="0"/>
                <w:numId w:val="2"/>
              </w:numPr>
              <w:rPr>
                <w:lang w:val="en-GB"/>
              </w:rPr>
            </w:pPr>
            <w:r w:rsidRPr="00E91037">
              <w:rPr>
                <w:lang w:val="en-GB"/>
              </w:rPr>
              <w:t>A national program and/or information service</w:t>
            </w:r>
          </w:p>
          <w:p w14:paraId="1E4773E4" w14:textId="77777777" w:rsidR="00E91037" w:rsidRPr="00E91037" w:rsidRDefault="00E91037" w:rsidP="00E91037">
            <w:pPr>
              <w:numPr>
                <w:ilvl w:val="0"/>
                <w:numId w:val="2"/>
              </w:numPr>
              <w:rPr>
                <w:lang w:val="en-GB"/>
              </w:rPr>
            </w:pPr>
            <w:r w:rsidRPr="00E91037">
              <w:rPr>
                <w:lang w:val="en-GB"/>
              </w:rPr>
              <w:t>Prevention or early intervention services</w:t>
            </w:r>
          </w:p>
          <w:p w14:paraId="3635C526" w14:textId="77777777" w:rsidR="00E91037" w:rsidRPr="00E91037" w:rsidRDefault="00E91037" w:rsidP="00E91037">
            <w:pPr>
              <w:numPr>
                <w:ilvl w:val="0"/>
                <w:numId w:val="2"/>
              </w:numPr>
              <w:rPr>
                <w:lang w:val="en-GB"/>
              </w:rPr>
            </w:pPr>
            <w:r w:rsidRPr="00E91037">
              <w:rPr>
                <w:lang w:val="en-GB"/>
              </w:rPr>
              <w:t>Intensive family supports</w:t>
            </w:r>
          </w:p>
        </w:tc>
      </w:tr>
      <w:tr w:rsidR="00E91037" w:rsidRPr="00E91037" w14:paraId="2F598C4D" w14:textId="77777777">
        <w:trPr>
          <w:tblCellSpacing w:w="0" w:type="dxa"/>
        </w:trPr>
        <w:tc>
          <w:tcPr>
            <w:tcW w:w="0" w:type="auto"/>
            <w:gridSpan w:val="2"/>
            <w:shd w:val="clear" w:color="auto" w:fill="EAF2FA"/>
            <w:vAlign w:val="center"/>
            <w:hideMark/>
          </w:tcPr>
          <w:p w14:paraId="6F15B8A5" w14:textId="77777777" w:rsidR="00E91037" w:rsidRPr="00E91037" w:rsidRDefault="00E91037" w:rsidP="00E91037">
            <w:pPr>
              <w:rPr>
                <w:lang w:val="en-GB"/>
              </w:rPr>
            </w:pPr>
            <w:r w:rsidRPr="00E91037">
              <w:rPr>
                <w:b/>
                <w:bCs/>
                <w:lang w:val="en-GB"/>
              </w:rPr>
              <w:t>What state or territory does your organisation deliver services and supports in?</w:t>
            </w:r>
            <w:r w:rsidRPr="00E91037">
              <w:rPr>
                <w:lang w:val="en-GB"/>
              </w:rPr>
              <w:t xml:space="preserve"> </w:t>
            </w:r>
          </w:p>
        </w:tc>
      </w:tr>
      <w:tr w:rsidR="00E91037" w:rsidRPr="00E91037" w14:paraId="1FAC3354" w14:textId="77777777">
        <w:trPr>
          <w:tblCellSpacing w:w="0" w:type="dxa"/>
        </w:trPr>
        <w:tc>
          <w:tcPr>
            <w:tcW w:w="300" w:type="dxa"/>
            <w:shd w:val="clear" w:color="auto" w:fill="FFFFFF"/>
            <w:vAlign w:val="center"/>
            <w:hideMark/>
          </w:tcPr>
          <w:p w14:paraId="19683147" w14:textId="77777777" w:rsidR="00E91037" w:rsidRPr="00E91037" w:rsidRDefault="00E91037" w:rsidP="00E91037">
            <w:pPr>
              <w:rPr>
                <w:lang w:val="en-GB"/>
              </w:rPr>
            </w:pPr>
            <w:r w:rsidRPr="00E91037">
              <w:rPr>
                <w:lang w:val="en-GB"/>
              </w:rPr>
              <w:t> </w:t>
            </w:r>
          </w:p>
        </w:tc>
        <w:tc>
          <w:tcPr>
            <w:tcW w:w="0" w:type="auto"/>
            <w:shd w:val="clear" w:color="auto" w:fill="FFFFFF"/>
            <w:vAlign w:val="center"/>
            <w:hideMark/>
          </w:tcPr>
          <w:p w14:paraId="4D373953" w14:textId="77777777" w:rsidR="00E91037" w:rsidRPr="00E91037" w:rsidRDefault="00E91037" w:rsidP="00E91037">
            <w:pPr>
              <w:numPr>
                <w:ilvl w:val="0"/>
                <w:numId w:val="3"/>
              </w:numPr>
              <w:rPr>
                <w:lang w:val="en-GB"/>
              </w:rPr>
            </w:pPr>
            <w:r w:rsidRPr="00E91037">
              <w:rPr>
                <w:lang w:val="en-GB"/>
              </w:rPr>
              <w:t>Victoria</w:t>
            </w:r>
          </w:p>
          <w:p w14:paraId="5A9EF865" w14:textId="77777777" w:rsidR="00E91037" w:rsidRPr="00E91037" w:rsidRDefault="00E91037" w:rsidP="00E91037">
            <w:pPr>
              <w:numPr>
                <w:ilvl w:val="0"/>
                <w:numId w:val="3"/>
              </w:numPr>
              <w:rPr>
                <w:lang w:val="en-GB"/>
              </w:rPr>
            </w:pPr>
            <w:r w:rsidRPr="00E91037">
              <w:rPr>
                <w:lang w:val="en-GB"/>
              </w:rPr>
              <w:t>Tasmania</w:t>
            </w:r>
          </w:p>
        </w:tc>
      </w:tr>
      <w:tr w:rsidR="00E91037" w:rsidRPr="00E91037" w14:paraId="439D14B8" w14:textId="77777777">
        <w:trPr>
          <w:tblCellSpacing w:w="0" w:type="dxa"/>
        </w:trPr>
        <w:tc>
          <w:tcPr>
            <w:tcW w:w="0" w:type="auto"/>
            <w:gridSpan w:val="2"/>
            <w:shd w:val="clear" w:color="auto" w:fill="EAF2FA"/>
            <w:vAlign w:val="center"/>
            <w:hideMark/>
          </w:tcPr>
          <w:p w14:paraId="2C39E1ED" w14:textId="77777777" w:rsidR="00E91037" w:rsidRPr="00E91037" w:rsidRDefault="00E91037" w:rsidP="00E91037">
            <w:pPr>
              <w:rPr>
                <w:lang w:val="en-GB"/>
              </w:rPr>
            </w:pPr>
            <w:r w:rsidRPr="00E91037">
              <w:rPr>
                <w:b/>
                <w:bCs/>
                <w:lang w:val="en-GB"/>
              </w:rPr>
              <w:t>Where does your organisation deliver most of their services and supports?</w:t>
            </w:r>
            <w:r w:rsidRPr="00E91037">
              <w:rPr>
                <w:lang w:val="en-GB"/>
              </w:rPr>
              <w:t xml:space="preserve"> </w:t>
            </w:r>
          </w:p>
        </w:tc>
      </w:tr>
      <w:tr w:rsidR="00E91037" w:rsidRPr="00E91037" w14:paraId="475C419C" w14:textId="77777777">
        <w:trPr>
          <w:tblCellSpacing w:w="0" w:type="dxa"/>
        </w:trPr>
        <w:tc>
          <w:tcPr>
            <w:tcW w:w="300" w:type="dxa"/>
            <w:shd w:val="clear" w:color="auto" w:fill="FFFFFF"/>
            <w:vAlign w:val="center"/>
            <w:hideMark/>
          </w:tcPr>
          <w:p w14:paraId="7C30A597" w14:textId="77777777" w:rsidR="00E91037" w:rsidRPr="00E91037" w:rsidRDefault="00E91037" w:rsidP="00E91037">
            <w:pPr>
              <w:rPr>
                <w:lang w:val="en-GB"/>
              </w:rPr>
            </w:pPr>
            <w:r w:rsidRPr="00E91037">
              <w:rPr>
                <w:lang w:val="en-GB"/>
              </w:rPr>
              <w:t> </w:t>
            </w:r>
          </w:p>
        </w:tc>
        <w:tc>
          <w:tcPr>
            <w:tcW w:w="0" w:type="auto"/>
            <w:shd w:val="clear" w:color="auto" w:fill="FFFFFF"/>
            <w:vAlign w:val="center"/>
            <w:hideMark/>
          </w:tcPr>
          <w:p w14:paraId="714D8E62" w14:textId="77777777" w:rsidR="00E91037" w:rsidRPr="00E91037" w:rsidRDefault="00E91037" w:rsidP="00E91037">
            <w:pPr>
              <w:rPr>
                <w:lang w:val="en-GB"/>
              </w:rPr>
            </w:pPr>
            <w:r w:rsidRPr="00E91037">
              <w:rPr>
                <w:lang w:val="en-GB"/>
              </w:rPr>
              <w:t xml:space="preserve">Regional area </w:t>
            </w:r>
          </w:p>
        </w:tc>
      </w:tr>
      <w:tr w:rsidR="00E91037" w:rsidRPr="00E91037" w14:paraId="781E279B" w14:textId="77777777">
        <w:trPr>
          <w:tblCellSpacing w:w="0" w:type="dxa"/>
        </w:trPr>
        <w:tc>
          <w:tcPr>
            <w:tcW w:w="0" w:type="auto"/>
            <w:gridSpan w:val="2"/>
            <w:shd w:val="clear" w:color="auto" w:fill="EAF2FA"/>
            <w:vAlign w:val="center"/>
            <w:hideMark/>
          </w:tcPr>
          <w:p w14:paraId="394DC8D3" w14:textId="77777777" w:rsidR="00E91037" w:rsidRPr="00E91037" w:rsidRDefault="00E91037" w:rsidP="00E91037">
            <w:pPr>
              <w:rPr>
                <w:lang w:val="en-GB"/>
              </w:rPr>
            </w:pPr>
            <w:r w:rsidRPr="00E91037">
              <w:rPr>
                <w:b/>
                <w:bCs/>
                <w:lang w:val="en-GB"/>
              </w:rPr>
              <w:t>1. Does the new vision reflect what we all want for children and families?</w:t>
            </w:r>
            <w:r w:rsidRPr="00E91037">
              <w:rPr>
                <w:lang w:val="en-GB"/>
              </w:rPr>
              <w:t xml:space="preserve"> </w:t>
            </w:r>
          </w:p>
        </w:tc>
      </w:tr>
      <w:tr w:rsidR="00E91037" w:rsidRPr="00E91037" w14:paraId="2154F132" w14:textId="77777777">
        <w:trPr>
          <w:tblCellSpacing w:w="0" w:type="dxa"/>
        </w:trPr>
        <w:tc>
          <w:tcPr>
            <w:tcW w:w="300" w:type="dxa"/>
            <w:shd w:val="clear" w:color="auto" w:fill="FFFFFF"/>
            <w:vAlign w:val="center"/>
            <w:hideMark/>
          </w:tcPr>
          <w:p w14:paraId="37E26729" w14:textId="77777777" w:rsidR="00E91037" w:rsidRPr="00E91037" w:rsidRDefault="00E91037" w:rsidP="00E91037">
            <w:pPr>
              <w:rPr>
                <w:lang w:val="en-GB"/>
              </w:rPr>
            </w:pPr>
            <w:r w:rsidRPr="00E91037">
              <w:rPr>
                <w:lang w:val="en-GB"/>
              </w:rPr>
              <w:t> </w:t>
            </w:r>
          </w:p>
        </w:tc>
        <w:tc>
          <w:tcPr>
            <w:tcW w:w="0" w:type="auto"/>
            <w:shd w:val="clear" w:color="auto" w:fill="FFFFFF"/>
            <w:vAlign w:val="center"/>
            <w:hideMark/>
          </w:tcPr>
          <w:p w14:paraId="039C617F" w14:textId="77777777" w:rsidR="00E91037" w:rsidRPr="00E91037" w:rsidRDefault="00E91037" w:rsidP="00E91037">
            <w:pPr>
              <w:rPr>
                <w:lang w:val="en-GB"/>
              </w:rPr>
            </w:pPr>
            <w:r w:rsidRPr="00E91037">
              <w:rPr>
                <w:lang w:val="en-GB"/>
              </w:rPr>
              <w:t xml:space="preserve">Yes, the proposed vision strongly aligns with our mission supporting children and families to thrive in safe, connected, and resilient communities. We welcome reform across the service continuum from prevention, early intervention, to more targeted intensive services. The challenge lies in ensuring that individuals, families and children can move seamlessly along this continuum. The service system needs to be more integrated and connected, with service gaps identified and filled wherever possible, particularly in regional and rural areas where there are less services given population numbers compared to metropolitan and capital cities. </w:t>
            </w:r>
            <w:r w:rsidRPr="00E91037">
              <w:rPr>
                <w:lang w:val="en-GB"/>
              </w:rPr>
              <w:br/>
              <w:t>The approach reflected by the new vision aligns with the holistic, strengths-based approach we use in our programs.</w:t>
            </w:r>
            <w:r w:rsidRPr="00E91037">
              <w:rPr>
                <w:lang w:val="en-GB"/>
              </w:rPr>
              <w:br/>
            </w:r>
            <w:r w:rsidRPr="00E91037">
              <w:rPr>
                <w:lang w:val="en-GB"/>
              </w:rPr>
              <w:br/>
              <w:t xml:space="preserve">Responding to the diverse support needs of families, children, individuals and </w:t>
            </w:r>
            <w:r w:rsidRPr="00E91037">
              <w:rPr>
                <w:lang w:val="en-GB"/>
              </w:rPr>
              <w:lastRenderedPageBreak/>
              <w:t xml:space="preserve">communities </w:t>
            </w:r>
            <w:r w:rsidRPr="00E91037">
              <w:rPr>
                <w:lang w:val="en-GB"/>
              </w:rPr>
              <w:br/>
              <w:t>While we welcome the intent to streamline programs and strengthen supports for children and families, and target more intensive need, we are concerned that the proposed model may unintentionally overlook individuals and groups who do not fit the family/child cohort. Many vulnerable people who rely on current services—including individuals, older adults, non-traditional families, culturally and linguistically diverse (CALD) families, grandparents providing care for children and community members without children—may have reduced access to support under a model that is narrowly framed around family and child outcomes. While families and children can be prioritised, other vulnerable individuals should not be excluded. We encourage the Department to clarify how the needs of these groups will be recognised and funded within this new program structure.</w:t>
            </w:r>
            <w:r w:rsidRPr="00E91037">
              <w:rPr>
                <w:lang w:val="en-GB"/>
              </w:rPr>
              <w:br/>
            </w:r>
            <w:r w:rsidRPr="00E91037">
              <w:rPr>
                <w:lang w:val="en-GB"/>
              </w:rPr>
              <w:br/>
              <w:t>Additionally, we highlight the ongoing issue of working with an increasingly diverse client population and with families that move along this service continuum due to crisis, family and developmental transitions across the life course and more vulnerable clients.</w:t>
            </w:r>
            <w:r w:rsidRPr="00E91037">
              <w:rPr>
                <w:lang w:val="en-GB"/>
              </w:rPr>
              <w:br/>
            </w:r>
            <w:r w:rsidRPr="00E91037">
              <w:rPr>
                <w:lang w:val="en-GB"/>
              </w:rPr>
              <w:br/>
              <w:t xml:space="preserve">Prior reforms within the Department of Social Services (DSS) portfolio in the Families and Communities stream, such as the Vulnerable and Disadvantage Client Access Strategy (VADCAS), assisted organisations to prioritise access for priority vulnerable populations. This prioritisation of access has continued post covid with families and individuals experiencing additional stress with </w:t>
            </w:r>
            <w:proofErr w:type="gramStart"/>
            <w:r w:rsidRPr="00E91037">
              <w:rPr>
                <w:lang w:val="en-GB"/>
              </w:rPr>
              <w:t>cost of living</w:t>
            </w:r>
            <w:proofErr w:type="gramEnd"/>
            <w:r w:rsidRPr="00E91037">
              <w:rPr>
                <w:lang w:val="en-GB"/>
              </w:rPr>
              <w:t xml:space="preserve"> pressures and associated social / emotional / relationship / employment issues with more acute pressure in suburban growth corridors where there is limited support. In regional, rural and remote areas there are also different challenges related to geography, seasonal impact (droughts, bushfires, floods, etc.) and industry and manufacturing contraction and transition of workforce. For many providers, especially those supporting emerging CALD communities, there needs to be greater services interface with other government funded activities and linking some of these services to mainstream support (not necessarily just ethno-specific services) is essential. </w:t>
            </w:r>
            <w:r w:rsidRPr="00E91037">
              <w:rPr>
                <w:lang w:val="en-GB"/>
              </w:rPr>
              <w:br/>
              <w:t>It was not clear from the discussion paper, what the definition and intent of intensive supports is, and whether there are groups or cohorts of clients, and settings / locations that will be prioritised for service delivery.</w:t>
            </w:r>
            <w:r w:rsidRPr="00E91037">
              <w:rPr>
                <w:lang w:val="en-GB"/>
              </w:rPr>
              <w:br/>
            </w:r>
            <w:r w:rsidRPr="00E91037">
              <w:rPr>
                <w:lang w:val="en-GB"/>
              </w:rPr>
              <w:br/>
              <w:t>National approach for universal access and information or a National Program?</w:t>
            </w:r>
            <w:r w:rsidRPr="00E91037">
              <w:rPr>
                <w:lang w:val="en-GB"/>
              </w:rPr>
              <w:br/>
              <w:t xml:space="preserve">The Discussion paper’s messaging and interpretation is ambiguous. Even within our own organisation, there were differing opinions and interpretation with respect to the ‘national approach’. With some of the collateral that was distributed with the </w:t>
            </w:r>
            <w:r w:rsidRPr="00E91037">
              <w:rPr>
                <w:lang w:val="en-GB"/>
              </w:rPr>
              <w:lastRenderedPageBreak/>
              <w:t xml:space="preserve">Discussion paper, the ‘national approach’ was referred to as the entire program with information and universal access, with the other two streams being more localised. However, at the consultations there is reference to creating one new national program comprising three elements: </w:t>
            </w:r>
            <w:r w:rsidRPr="00E91037">
              <w:rPr>
                <w:lang w:val="en-GB"/>
              </w:rPr>
              <w:br/>
              <w:t>• Information and Universal Access</w:t>
            </w:r>
            <w:r w:rsidRPr="00E91037">
              <w:rPr>
                <w:lang w:val="en-GB"/>
              </w:rPr>
              <w:br/>
              <w:t>• Prevention and Early Intervention</w:t>
            </w:r>
            <w:r w:rsidRPr="00E91037">
              <w:rPr>
                <w:lang w:val="en-GB"/>
              </w:rPr>
              <w:br/>
              <w:t>• Intensive Family Support.</w:t>
            </w:r>
            <w:r w:rsidRPr="00E91037">
              <w:rPr>
                <w:lang w:val="en-GB"/>
              </w:rPr>
              <w:br/>
            </w:r>
            <w:r w:rsidRPr="00E91037">
              <w:rPr>
                <w:lang w:val="en-GB"/>
              </w:rPr>
              <w:br/>
              <w:t>For this service model to work, these three streams must be integrated and connected along the service continuum from universal to early intervention and prevention right through to targeted and sometimes specialised treatment services.</w:t>
            </w:r>
            <w:r w:rsidRPr="00E91037">
              <w:rPr>
                <w:lang w:val="en-GB"/>
              </w:rPr>
              <w:br/>
            </w:r>
            <w:r w:rsidRPr="00E91037">
              <w:rPr>
                <w:lang w:val="en-GB"/>
              </w:rPr>
              <w:br/>
              <w:t xml:space="preserve">Additionally, this service offering needs to be better integrated to State based supports (which does vary nationally) as families move between these types of support based on need rather than funding source. Eligibility prioritisation criteria can moderate access to support as seen in State based referral and statutory systems where access is controlled via a centralised intake process. These services </w:t>
            </w:r>
            <w:proofErr w:type="gramStart"/>
            <w:r w:rsidRPr="00E91037">
              <w:rPr>
                <w:lang w:val="en-GB"/>
              </w:rPr>
              <w:t>by definition are</w:t>
            </w:r>
            <w:proofErr w:type="gramEnd"/>
            <w:r w:rsidRPr="00E91037">
              <w:rPr>
                <w:lang w:val="en-GB"/>
              </w:rPr>
              <w:t xml:space="preserve"> not universal or preventative. With the exception of most family and relationship counselling and specialised family violence, most of the service activity in the FAC activity is preventative and focused on early intervention.</w:t>
            </w:r>
            <w:r w:rsidRPr="00E91037">
              <w:rPr>
                <w:lang w:val="en-GB"/>
              </w:rPr>
              <w:br/>
            </w:r>
            <w:r w:rsidRPr="00E91037">
              <w:rPr>
                <w:lang w:val="en-GB"/>
              </w:rPr>
              <w:br/>
              <w:t xml:space="preserve">As such, skills and competencies to support clients across these three streams are quite divergent and different, however strong facilitated referral pathways, service networks and clear eligibility requirements – can bridge these gaps. </w:t>
            </w:r>
            <w:r w:rsidRPr="00E91037">
              <w:rPr>
                <w:lang w:val="en-GB"/>
              </w:rPr>
              <w:br/>
            </w:r>
            <w:r w:rsidRPr="00E91037">
              <w:rPr>
                <w:lang w:val="en-GB"/>
              </w:rPr>
              <w:br/>
              <w:t>Service activity undertaken well can transverse all three streams. Many universal services such as Maternal and Child Health Care are the first point to triage vulnerable mothers, babies and young children to additional targeted support. Similarly, universal information, prevention and early intervention activities in the FAC program like local Communities for Children programs, group parenting activity, etc. refer to Family and Relationship Counselling, Specialised Family Violence Services and other Family Service even outside of the DSS space now like Family Law support (Family Law Counselling, Family Relationship Centres, FDR etc). Additionally, organisations providing State funded Family Support will refer families to these Federal programs to increase parenting capacity, learn new skills, deal with emotional and fractured relationships to prevent families entering the State statutory Child Protection system.</w:t>
            </w:r>
            <w:r w:rsidRPr="00E91037">
              <w:rPr>
                <w:lang w:val="en-GB"/>
              </w:rPr>
              <w:br/>
            </w:r>
            <w:r w:rsidRPr="00E91037">
              <w:rPr>
                <w:lang w:val="en-GB"/>
              </w:rPr>
              <w:br/>
              <w:t xml:space="preserve">While the discussion paper articulates a broad vision, operational details remain unclear. </w:t>
            </w:r>
            <w:r w:rsidRPr="00E91037">
              <w:rPr>
                <w:lang w:val="en-GB"/>
              </w:rPr>
              <w:br/>
            </w:r>
            <w:r w:rsidRPr="00E91037">
              <w:rPr>
                <w:lang w:val="en-GB"/>
              </w:rPr>
              <w:lastRenderedPageBreak/>
              <w:br/>
              <w:t>Key challenges include:</w:t>
            </w:r>
            <w:r w:rsidRPr="00E91037">
              <w:rPr>
                <w:lang w:val="en-GB"/>
              </w:rPr>
              <w:br/>
              <w:t>• Operational Eligibility criteria and prioritisation of vulnerable and priority populations</w:t>
            </w:r>
            <w:r w:rsidRPr="00E91037">
              <w:rPr>
                <w:lang w:val="en-GB"/>
              </w:rPr>
              <w:br/>
              <w:t>• Mechanisms for integration across streams</w:t>
            </w:r>
            <w:r w:rsidRPr="00E91037">
              <w:rPr>
                <w:lang w:val="en-GB"/>
              </w:rPr>
              <w:br/>
              <w:t>• Alignment with State-based systems</w:t>
            </w:r>
            <w:r w:rsidRPr="00E91037">
              <w:rPr>
                <w:lang w:val="en-GB"/>
              </w:rPr>
              <w:br/>
              <w:t>• Better integration at the State and Federal level is essential to deliver on priorities outlined in the National Plan to Protect Australia’s Children, including Child Protection, family violence, out-of-home care, and self-determination for Aboriginal children and families. Integration appears to occur more effectively across service delivery, rather than at the state and federal governmental level.</w:t>
            </w:r>
            <w:r w:rsidRPr="00E91037">
              <w:rPr>
                <w:lang w:val="en-GB"/>
              </w:rPr>
              <w:br/>
            </w:r>
            <w:r w:rsidRPr="00E91037">
              <w:rPr>
                <w:lang w:val="en-GB"/>
              </w:rPr>
              <w:br/>
              <w:t>Key Recommendations</w:t>
            </w:r>
            <w:r w:rsidRPr="00E91037">
              <w:rPr>
                <w:lang w:val="en-GB"/>
              </w:rPr>
              <w:br/>
              <w:t>• Ensure inclusive service design that recognises individuals and diverse family structures beyond the child/family cohort.</w:t>
            </w:r>
            <w:r w:rsidRPr="00E91037">
              <w:rPr>
                <w:lang w:val="en-GB"/>
              </w:rPr>
              <w:br/>
              <w:t>• Develop clear operational guidelines for eligibility, prioritisation, and referral pathways across all three streams.</w:t>
            </w:r>
            <w:r w:rsidRPr="00E91037">
              <w:rPr>
                <w:lang w:val="en-GB"/>
              </w:rPr>
              <w:br/>
              <w:t>• Strengthen integration across the 3 streams and with state-funded services to avoid duplication, fragmentation and improve continuity of care.</w:t>
            </w:r>
            <w:r w:rsidRPr="00E91037">
              <w:rPr>
                <w:lang w:val="en-GB"/>
              </w:rPr>
              <w:br/>
              <w:t>• Maintain flexibility for providers to deliver services that span universal, early intervention, and intensive support.</w:t>
            </w:r>
            <w:r w:rsidRPr="00E91037">
              <w:rPr>
                <w:lang w:val="en-GB"/>
              </w:rPr>
              <w:br/>
              <w:t>• Address regional and rural service gaps through targeted funding and collaborative networks.</w:t>
            </w:r>
            <w:r w:rsidRPr="00E91037">
              <w:rPr>
                <w:lang w:val="en-GB"/>
              </w:rPr>
              <w:br/>
              <w:t xml:space="preserve">• Embed cultural responsiveness and link CALD services with mainstream supports. </w:t>
            </w:r>
          </w:p>
        </w:tc>
      </w:tr>
      <w:tr w:rsidR="00E91037" w:rsidRPr="00E91037" w14:paraId="25FFB5F8" w14:textId="77777777">
        <w:trPr>
          <w:tblCellSpacing w:w="0" w:type="dxa"/>
        </w:trPr>
        <w:tc>
          <w:tcPr>
            <w:tcW w:w="0" w:type="auto"/>
            <w:gridSpan w:val="2"/>
            <w:shd w:val="clear" w:color="auto" w:fill="EAF2FA"/>
            <w:vAlign w:val="center"/>
            <w:hideMark/>
          </w:tcPr>
          <w:p w14:paraId="52B5DD82" w14:textId="77777777" w:rsidR="00E91037" w:rsidRPr="00E91037" w:rsidRDefault="00E91037" w:rsidP="00E91037">
            <w:pPr>
              <w:rPr>
                <w:lang w:val="en-GB"/>
              </w:rPr>
            </w:pPr>
            <w:r w:rsidRPr="00E91037">
              <w:rPr>
                <w:b/>
                <w:bCs/>
                <w:lang w:val="en-GB"/>
              </w:rPr>
              <w:lastRenderedPageBreak/>
              <w:t>2. Are the two main outcomes what we should be working towards for children and families? Why/Why not? - Outcome 1: Parents and caregivers are empowered to raise healthy, resilient children - Outcome 2: Children are supported to grow into healthy, resilient adults.</w:t>
            </w:r>
            <w:r w:rsidRPr="00E91037">
              <w:rPr>
                <w:lang w:val="en-GB"/>
              </w:rPr>
              <w:t xml:space="preserve"> </w:t>
            </w:r>
          </w:p>
        </w:tc>
      </w:tr>
      <w:tr w:rsidR="00E91037" w:rsidRPr="00E91037" w14:paraId="77C38A9D" w14:textId="77777777">
        <w:trPr>
          <w:tblCellSpacing w:w="0" w:type="dxa"/>
        </w:trPr>
        <w:tc>
          <w:tcPr>
            <w:tcW w:w="300" w:type="dxa"/>
            <w:shd w:val="clear" w:color="auto" w:fill="FFFFFF"/>
            <w:vAlign w:val="center"/>
            <w:hideMark/>
          </w:tcPr>
          <w:p w14:paraId="5DF4BA97" w14:textId="77777777" w:rsidR="00E91037" w:rsidRPr="00E91037" w:rsidRDefault="00E91037" w:rsidP="00E91037">
            <w:pPr>
              <w:rPr>
                <w:lang w:val="en-GB"/>
              </w:rPr>
            </w:pPr>
            <w:r w:rsidRPr="00E91037">
              <w:rPr>
                <w:lang w:val="en-GB"/>
              </w:rPr>
              <w:t> </w:t>
            </w:r>
          </w:p>
        </w:tc>
        <w:tc>
          <w:tcPr>
            <w:tcW w:w="0" w:type="auto"/>
            <w:shd w:val="clear" w:color="auto" w:fill="FFFFFF"/>
            <w:vAlign w:val="center"/>
            <w:hideMark/>
          </w:tcPr>
          <w:p w14:paraId="10A72859" w14:textId="77777777" w:rsidR="00E91037" w:rsidRPr="00E91037" w:rsidRDefault="00E91037" w:rsidP="00E91037">
            <w:pPr>
              <w:rPr>
                <w:lang w:val="en-GB"/>
              </w:rPr>
            </w:pPr>
            <w:r w:rsidRPr="00E91037">
              <w:rPr>
                <w:lang w:val="en-GB"/>
              </w:rPr>
              <w:t>Yes, both outcomes capture the intergenerational nature of family wellbeing:</w:t>
            </w:r>
            <w:r w:rsidRPr="00E91037">
              <w:rPr>
                <w:lang w:val="en-GB"/>
              </w:rPr>
              <w:br/>
              <w:t>• Outcome 1 recognises that strong parents and caregivers are the foundation of healthy childhood development. Supporting them with practical tools, education, and emotional support is key to breaking cycles of disadvantage.</w:t>
            </w:r>
            <w:r w:rsidRPr="00E91037">
              <w:rPr>
                <w:lang w:val="en-GB"/>
              </w:rPr>
              <w:br/>
              <w:t>• Outcome 2 ensures we maintain a long-term focus on helping children grow into healthy, resilient adults. This aligns with our own practice of focusing on sustained change rather than short-term outcomes.</w:t>
            </w:r>
            <w:r w:rsidRPr="00E91037">
              <w:rPr>
                <w:lang w:val="en-GB"/>
              </w:rPr>
              <w:br/>
            </w:r>
            <w:r w:rsidRPr="00E91037">
              <w:rPr>
                <w:lang w:val="en-GB"/>
              </w:rPr>
              <w:br/>
              <w:t xml:space="preserve">Whilst a focus or priority on family and children is important, broader family configurations need to be considered and included. There also needs to be a priority </w:t>
            </w:r>
            <w:r w:rsidRPr="00E91037">
              <w:rPr>
                <w:lang w:val="en-GB"/>
              </w:rPr>
              <w:lastRenderedPageBreak/>
              <w:t xml:space="preserve">focus on vulnerable individuals, couples and families. A life-stage lens helps identify intersection points where individuals, couples and families can be supported at different developmental life stages. </w:t>
            </w:r>
            <w:r w:rsidRPr="00E91037">
              <w:rPr>
                <w:lang w:val="en-GB"/>
              </w:rPr>
              <w:br/>
            </w:r>
            <w:r w:rsidRPr="00E91037">
              <w:rPr>
                <w:lang w:val="en-GB"/>
              </w:rPr>
              <w:br/>
              <w:t xml:space="preserve">Relationship issues within families (step, blended, grandparents, kinship, extended family, parent/adolescent, non-traditional families or intimate partner relationships) are a key feature of the targeted counselling support that is currently provided through the </w:t>
            </w:r>
            <w:proofErr w:type="spellStart"/>
            <w:r w:rsidRPr="00E91037">
              <w:rPr>
                <w:lang w:val="en-GB"/>
              </w:rPr>
              <w:t>FaRS</w:t>
            </w:r>
            <w:proofErr w:type="spellEnd"/>
            <w:r w:rsidRPr="00E91037">
              <w:rPr>
                <w:lang w:val="en-GB"/>
              </w:rPr>
              <w:t xml:space="preserve"> activity. Access to this service is prioritised according to need for more vulnerable clients, including those from marginalised cohorts as well as those experiencing financial barriers to accessing private or fee for service. There are a proportion of vulnerable adults and couples that also access support that do not have children or are yet to have children, particularly in </w:t>
            </w:r>
            <w:proofErr w:type="spellStart"/>
            <w:r w:rsidRPr="00E91037">
              <w:rPr>
                <w:lang w:val="en-GB"/>
              </w:rPr>
              <w:t>FaRS</w:t>
            </w:r>
            <w:proofErr w:type="spellEnd"/>
            <w:r w:rsidRPr="00E91037">
              <w:rPr>
                <w:lang w:val="en-GB"/>
              </w:rPr>
              <w:t xml:space="preserve"> - we are concerned these individuals may not be eligible for this activity going forward, however they are an integral part of the community raising children. </w:t>
            </w:r>
            <w:r w:rsidRPr="00E91037">
              <w:rPr>
                <w:lang w:val="en-GB"/>
              </w:rPr>
              <w:br/>
            </w:r>
            <w:r w:rsidRPr="00E91037">
              <w:rPr>
                <w:lang w:val="en-GB"/>
              </w:rPr>
              <w:br/>
              <w:t xml:space="preserve">Preventative and earlier intervention are critical. Communities for Children programs provides connections and skill development for new parents and target vulnerable cohorts – young mothers, to connect gain confidence and be referred to additional support if required. A significant proportion of the activity in the Communities for Children area focuses on hard-to-reach and disengaged families. Expanding soft entry approaches to empower parents and children to be resilient is important as a way of providing access to more targeted support. </w:t>
            </w:r>
            <w:r w:rsidRPr="00E91037">
              <w:rPr>
                <w:lang w:val="en-GB"/>
              </w:rPr>
              <w:br/>
            </w:r>
            <w:r w:rsidRPr="00E91037">
              <w:rPr>
                <w:lang w:val="en-GB"/>
              </w:rPr>
              <w:br/>
              <w:t>Key recommendations:</w:t>
            </w:r>
            <w:r w:rsidRPr="00E91037">
              <w:rPr>
                <w:lang w:val="en-GB"/>
              </w:rPr>
              <w:br/>
              <w:t>Strengthen outcomes:</w:t>
            </w:r>
            <w:r w:rsidRPr="00E91037">
              <w:rPr>
                <w:lang w:val="en-GB"/>
              </w:rPr>
              <w:br/>
              <w:t>• Maintain inclusivity for all vulnerable family configurations, including adults and couples without children.</w:t>
            </w:r>
            <w:r w:rsidRPr="00E91037">
              <w:rPr>
                <w:lang w:val="en-GB"/>
              </w:rPr>
              <w:br/>
              <w:t>• Continue applying a life-stage lens to ensure support at key developmental points.</w:t>
            </w:r>
            <w:r w:rsidRPr="00E91037">
              <w:rPr>
                <w:lang w:val="en-GB"/>
              </w:rPr>
              <w:br/>
              <w:t>• Expand soft-entry and early intervention programs to reach disengaged families and vulnerable cohorts.</w:t>
            </w:r>
            <w:r w:rsidRPr="00E91037">
              <w:rPr>
                <w:lang w:val="en-GB"/>
              </w:rPr>
              <w:br/>
              <w:t>• Invest in trauma-informed and culturally appropriate counselling to empower reconnection and community resilience.</w:t>
            </w:r>
            <w:r w:rsidRPr="00E91037">
              <w:rPr>
                <w:lang w:val="en-GB"/>
              </w:rPr>
              <w:br/>
              <w:t xml:space="preserve">Example: an Aboriginal elder who is disconnected from her family and community due to trauma, might be empowered, through trauma and culturally informed counselling, to reengage her family or community, to share her knowledge and wisdom with the younger generation and their children, creating stronger, healthier communities that are less in need of crisis management in the future. </w:t>
            </w:r>
            <w:r w:rsidRPr="00E91037">
              <w:rPr>
                <w:lang w:val="en-GB"/>
              </w:rPr>
              <w:br/>
            </w:r>
            <w:r w:rsidRPr="00E91037">
              <w:rPr>
                <w:lang w:val="en-GB"/>
              </w:rPr>
              <w:br/>
              <w:t xml:space="preserve">The evidence is clear: the 2024 Cost of Later Intervention report demonstrates the </w:t>
            </w:r>
            <w:r w:rsidRPr="00E91037">
              <w:rPr>
                <w:lang w:val="en-GB"/>
              </w:rPr>
              <w:lastRenderedPageBreak/>
              <w:t xml:space="preserve">benefits of a well-resourced, skilled early intervention sector. Appropriate investment now will prevent long-term harm and reduce future cost. </w:t>
            </w:r>
          </w:p>
        </w:tc>
      </w:tr>
      <w:tr w:rsidR="00E91037" w:rsidRPr="00E91037" w14:paraId="3B11260C" w14:textId="77777777">
        <w:trPr>
          <w:tblCellSpacing w:w="0" w:type="dxa"/>
        </w:trPr>
        <w:tc>
          <w:tcPr>
            <w:tcW w:w="0" w:type="auto"/>
            <w:gridSpan w:val="2"/>
            <w:shd w:val="clear" w:color="auto" w:fill="EAF2FA"/>
            <w:vAlign w:val="center"/>
            <w:hideMark/>
          </w:tcPr>
          <w:p w14:paraId="23A9904A" w14:textId="77777777" w:rsidR="00E91037" w:rsidRPr="00E91037" w:rsidRDefault="00E91037" w:rsidP="00E91037">
            <w:pPr>
              <w:rPr>
                <w:lang w:val="en-GB"/>
              </w:rPr>
            </w:pPr>
            <w:r w:rsidRPr="00E91037">
              <w:rPr>
                <w:b/>
                <w:bCs/>
                <w:lang w:val="en-GB"/>
              </w:rPr>
              <w:lastRenderedPageBreak/>
              <w:t>3. Will a single national program provide more flexibility for your organisation?</w:t>
            </w:r>
            <w:r w:rsidRPr="00E91037">
              <w:rPr>
                <w:lang w:val="en-GB"/>
              </w:rPr>
              <w:t xml:space="preserve"> </w:t>
            </w:r>
          </w:p>
        </w:tc>
      </w:tr>
      <w:tr w:rsidR="00E91037" w:rsidRPr="00E91037" w14:paraId="666F7F07" w14:textId="77777777">
        <w:trPr>
          <w:tblCellSpacing w:w="0" w:type="dxa"/>
        </w:trPr>
        <w:tc>
          <w:tcPr>
            <w:tcW w:w="300" w:type="dxa"/>
            <w:shd w:val="clear" w:color="auto" w:fill="FFFFFF"/>
            <w:vAlign w:val="center"/>
            <w:hideMark/>
          </w:tcPr>
          <w:p w14:paraId="1BED78EC" w14:textId="77777777" w:rsidR="00E91037" w:rsidRPr="00E91037" w:rsidRDefault="00E91037" w:rsidP="00E91037">
            <w:pPr>
              <w:rPr>
                <w:lang w:val="en-GB"/>
              </w:rPr>
            </w:pPr>
            <w:r w:rsidRPr="00E91037">
              <w:rPr>
                <w:lang w:val="en-GB"/>
              </w:rPr>
              <w:t> </w:t>
            </w:r>
          </w:p>
        </w:tc>
        <w:tc>
          <w:tcPr>
            <w:tcW w:w="0" w:type="auto"/>
            <w:shd w:val="clear" w:color="auto" w:fill="FFFFFF"/>
            <w:vAlign w:val="center"/>
            <w:hideMark/>
          </w:tcPr>
          <w:p w14:paraId="0044B20E" w14:textId="77777777" w:rsidR="00E91037" w:rsidRPr="00E91037" w:rsidRDefault="00E91037" w:rsidP="00E91037">
            <w:pPr>
              <w:rPr>
                <w:lang w:val="en-GB"/>
              </w:rPr>
            </w:pPr>
            <w:r w:rsidRPr="00E91037">
              <w:rPr>
                <w:lang w:val="en-GB"/>
              </w:rPr>
              <w:t>A single, consolidated program could reduce administrative burden and allow our staff to focus more on service delivery. In principle if a single consolidated program for each stream was offered it could likely reduce the number of resources required to manage multiple funding streams. However, in programs like Communities for Children the community sector essential manages a number of local agreements (on behalf of the government) and if this was reduced to minimize the burden on CSO’s the government would need to provide this level of oversight.</w:t>
            </w:r>
            <w:r w:rsidRPr="00E91037">
              <w:rPr>
                <w:lang w:val="en-GB"/>
              </w:rPr>
              <w:br/>
            </w:r>
            <w:r w:rsidRPr="00E91037">
              <w:rPr>
                <w:lang w:val="en-GB"/>
              </w:rPr>
              <w:br/>
              <w:t>CCVT experience has been that the administrative burden has been reasonable, but it is not proportional to the type and amount of funding. Where we have raised issues with grant managers around changes to service delivery due to significant events (closures of manufacturing in a regional town, a local crisis, etc.), there has been demonstrated flexibility to adjust to some extent. However, we agree there should be more flexibility to update grant agreements every year due to changes in the external environment, changes in emerging need, demand in growth corridors, or other external factors. Currently, managing multiple funding streams with different reporting cycles, and additional compliance measures and variations to the contract, are very resource intensive. Variations for indexation and supplementation, and approvals for rollover, need to be provided earlier to assist with organisational planning and forecasting.</w:t>
            </w:r>
            <w:r w:rsidRPr="00E91037">
              <w:rPr>
                <w:lang w:val="en-GB"/>
              </w:rPr>
              <w:br/>
            </w:r>
            <w:r w:rsidRPr="00E91037">
              <w:rPr>
                <w:lang w:val="en-GB"/>
              </w:rPr>
              <w:br/>
              <w:t xml:space="preserve">There is merit in allocating funding to </w:t>
            </w:r>
            <w:proofErr w:type="gramStart"/>
            <w:r w:rsidRPr="00E91037">
              <w:rPr>
                <w:lang w:val="en-GB"/>
              </w:rPr>
              <w:t>particular SA4s</w:t>
            </w:r>
            <w:proofErr w:type="gramEnd"/>
            <w:r w:rsidRPr="00E91037">
              <w:rPr>
                <w:lang w:val="en-GB"/>
              </w:rPr>
              <w:t xml:space="preserve"> or smaller catchments where there is strong evidence of vulnerability and community need. This is most evident in the Community for Children’s space, e.g. the First Nations community in Greater </w:t>
            </w:r>
            <w:proofErr w:type="spellStart"/>
            <w:r w:rsidRPr="00E91037">
              <w:rPr>
                <w:lang w:val="en-GB"/>
              </w:rPr>
              <w:t>Shepparton</w:t>
            </w:r>
            <w:proofErr w:type="spellEnd"/>
            <w:r w:rsidRPr="00E91037">
              <w:rPr>
                <w:lang w:val="en-GB"/>
              </w:rPr>
              <w:t xml:space="preserve">, or the CALD community in Greater </w:t>
            </w:r>
            <w:proofErr w:type="spellStart"/>
            <w:r w:rsidRPr="00E91037">
              <w:rPr>
                <w:lang w:val="en-GB"/>
              </w:rPr>
              <w:t>Shepparton</w:t>
            </w:r>
            <w:proofErr w:type="spellEnd"/>
            <w:r w:rsidRPr="00E91037">
              <w:rPr>
                <w:lang w:val="en-GB"/>
              </w:rPr>
              <w:t xml:space="preserve"> or Burnie. As an organisation we can only be responsive to local needs if the resources (funding, mandate, etc.) exist. This program has provided leadership and resources to complete needs assessments, build stronger collaboration between services, build capacity in program development including measurement and evaluation and managing agreements (as a facilitating partner), and providing local services in a community, informed by need. The Communities for Children (</w:t>
            </w:r>
            <w:proofErr w:type="spellStart"/>
            <w:r w:rsidRPr="00E91037">
              <w:rPr>
                <w:lang w:val="en-GB"/>
              </w:rPr>
              <w:t>CfC</w:t>
            </w:r>
            <w:proofErr w:type="spellEnd"/>
            <w:r w:rsidRPr="00E91037">
              <w:rPr>
                <w:lang w:val="en-GB"/>
              </w:rPr>
              <w:t>) has a strong presence with supporting vulnerable cohorts in the prevention and early intervention space.</w:t>
            </w:r>
            <w:r w:rsidRPr="00E91037">
              <w:rPr>
                <w:lang w:val="en-GB"/>
              </w:rPr>
              <w:br/>
            </w:r>
            <w:r w:rsidRPr="00E91037">
              <w:rPr>
                <w:lang w:val="en-GB"/>
              </w:rPr>
              <w:br/>
              <w:t>Other Considerations</w:t>
            </w:r>
            <w:r w:rsidRPr="00E91037">
              <w:rPr>
                <w:lang w:val="en-GB"/>
              </w:rPr>
              <w:br/>
              <w:t xml:space="preserve">Relationship between Family and Relationship Counselling and Family Law </w:t>
            </w:r>
            <w:r w:rsidRPr="00E91037">
              <w:rPr>
                <w:lang w:val="en-GB"/>
              </w:rPr>
              <w:lastRenderedPageBreak/>
              <w:t xml:space="preserve">Counselling </w:t>
            </w:r>
            <w:r w:rsidRPr="00E91037">
              <w:rPr>
                <w:lang w:val="en-GB"/>
              </w:rPr>
              <w:br/>
              <w:t>Some of the funded activity in the Family and Relationship Services activity has been previously connected to other funded services in the Family Law Stream when both these programs were managed by the Department of Social Services, particularly Family and Relationship Counselling and Family Law Counselling with input from the Federal Attorney-General’s Department.</w:t>
            </w:r>
            <w:r w:rsidRPr="00E91037">
              <w:rPr>
                <w:lang w:val="en-GB"/>
              </w:rPr>
              <w:br/>
            </w:r>
            <w:r w:rsidRPr="00E91037">
              <w:rPr>
                <w:lang w:val="en-GB"/>
              </w:rPr>
              <w:br/>
              <w:t>In more recent years this activity has been separated from DSS, and Family Law Counselling is now seen as a separate activity to Family and Relationship Counselling. However, legacy remains in that often it is the same Professional Counsellors that provide this activity across both programs (they are interdependent) which is often contingent on the funding amount and service access by presenting issues/problem. For example, if a client presents with issues relating to separation the activity is recorded as Family Law Counselling if it relates to grief and loss, it is Family and Relationship Counselling. This may have implications regarding service delivery if significant changes are made to this program.</w:t>
            </w:r>
            <w:r w:rsidRPr="00E91037">
              <w:rPr>
                <w:lang w:val="en-GB"/>
              </w:rPr>
              <w:br/>
            </w:r>
            <w:r w:rsidRPr="00E91037">
              <w:rPr>
                <w:lang w:val="en-GB"/>
              </w:rPr>
              <w:br/>
              <w:t xml:space="preserve">Links to other reform across Government - particularly the Thriving Kids Reform </w:t>
            </w:r>
            <w:r w:rsidRPr="00E91037">
              <w:rPr>
                <w:lang w:val="en-GB"/>
              </w:rPr>
              <w:br/>
              <w:t xml:space="preserve">The Health Minister has also announced significant reform to address the issue regarding the growing number of children and families requiring support that do not meet the threshold or qualify for a NDIS plan. Nonetheless these families require assistance and support for a range of conditions particularly on the Autism spectrum and other associated neuro diverse and developmental presentations. Additionally, the growing number of children requiring assistance is not sustainable and this activity needs to be rationalised and supported differently - not necessarily by individual case plans. Across CCVT we are seeing increasing presentations by families seeking assistance that do not qualify for support however they are needing to cope. This is more challenging in regional areas. At this point it is unclear how this reform will integrate with the Thriving Kids Initiative, due to roll out from 1 July 2026. </w:t>
            </w:r>
            <w:r w:rsidRPr="00E91037">
              <w:rPr>
                <w:lang w:val="en-GB"/>
              </w:rPr>
              <w:br/>
            </w:r>
            <w:r w:rsidRPr="00E91037">
              <w:rPr>
                <w:lang w:val="en-GB"/>
              </w:rPr>
              <w:br/>
              <w:t>Service Collaboration, Emerging Need and Hubs</w:t>
            </w:r>
            <w:r w:rsidRPr="00E91037">
              <w:rPr>
                <w:lang w:val="en-GB"/>
              </w:rPr>
              <w:br/>
              <w:t>It is widely acknowledged that service collaboration and joined up service delivery is integral to effective outcomes. However, this takes time and resources and needs to be factored into service delivery in regions and catchments on a regular (quarterly) basis and this must be considered a part of service delivery and acknowledged as such and recognised in grant agreements. Responsive service delivery in this context values service co-ordination, referral pathways with other State and Federal services in a catchment.</w:t>
            </w:r>
            <w:r w:rsidRPr="00E91037">
              <w:rPr>
                <w:lang w:val="en-GB"/>
              </w:rPr>
              <w:br/>
            </w:r>
            <w:r w:rsidRPr="00E91037">
              <w:rPr>
                <w:lang w:val="en-GB"/>
              </w:rPr>
              <w:br/>
            </w:r>
            <w:r w:rsidRPr="00E91037">
              <w:rPr>
                <w:lang w:val="en-GB"/>
              </w:rPr>
              <w:lastRenderedPageBreak/>
              <w:t>In the discussion paper, reference is made to Community organisations using validated data sources such as the AEDC, SEIFA Index, the ABS to substantiate need as part of submissions or tenders. Government has historically procured services based on population and demographic data and proportional allocations of funding to catchments. Whilst Organisations do present data to justify need, this is provided in the context of the funding envelope and activity criteria. We also assume that the Government has or will conduct some service mapping to identify areas of high need. Without this, there is not a common foundation for the procurement process that ensures equity of submissions.</w:t>
            </w:r>
            <w:r w:rsidRPr="00E91037">
              <w:rPr>
                <w:lang w:val="en-GB"/>
              </w:rPr>
              <w:br/>
            </w:r>
            <w:r w:rsidRPr="00E91037">
              <w:rPr>
                <w:lang w:val="en-GB"/>
              </w:rPr>
              <w:br/>
              <w:t xml:space="preserve">Tendering and recommissioning </w:t>
            </w:r>
            <w:r w:rsidRPr="00E91037">
              <w:rPr>
                <w:lang w:val="en-GB"/>
              </w:rPr>
              <w:br/>
              <w:t xml:space="preserve">Whilst we understand the desire and need for government to reform this area, a wholesale competitive tendering process will be extremely disruptive to the sector, particularly where services have been provided for decades. Unfortunately, there is the potential for major service disruption if there are significant changes to services, particularly with valued and trusted service providers that have a strong service presence in the community. There is some collective concern that smaller, localised providers do not have the capacity to compete on the same scale as larger / national organisations. The value of the sector is the diversity of the service system with small, medium and larger providers. </w:t>
            </w:r>
          </w:p>
        </w:tc>
      </w:tr>
      <w:tr w:rsidR="00E91037" w:rsidRPr="00E91037" w14:paraId="0065BFF9" w14:textId="77777777">
        <w:trPr>
          <w:tblCellSpacing w:w="0" w:type="dxa"/>
        </w:trPr>
        <w:tc>
          <w:tcPr>
            <w:tcW w:w="0" w:type="auto"/>
            <w:gridSpan w:val="2"/>
            <w:shd w:val="clear" w:color="auto" w:fill="EAF2FA"/>
            <w:vAlign w:val="center"/>
            <w:hideMark/>
          </w:tcPr>
          <w:p w14:paraId="5E69155F" w14:textId="77777777" w:rsidR="00E91037" w:rsidRPr="00E91037" w:rsidRDefault="00E91037" w:rsidP="00E91037">
            <w:pPr>
              <w:rPr>
                <w:lang w:val="en-GB"/>
              </w:rPr>
            </w:pPr>
            <w:r w:rsidRPr="00E91037">
              <w:rPr>
                <w:b/>
                <w:bCs/>
                <w:lang w:val="en-GB"/>
              </w:rPr>
              <w:lastRenderedPageBreak/>
              <w:t>4. Does the service or activity you deliver fit within one of the three funding streams? Do these streams reflect what children and families in your community need now – and what they might need in the future?</w:t>
            </w:r>
            <w:r w:rsidRPr="00E91037">
              <w:rPr>
                <w:lang w:val="en-GB"/>
              </w:rPr>
              <w:t xml:space="preserve"> </w:t>
            </w:r>
          </w:p>
        </w:tc>
      </w:tr>
      <w:tr w:rsidR="00E91037" w:rsidRPr="00E91037" w14:paraId="21DE3611" w14:textId="77777777">
        <w:trPr>
          <w:tblCellSpacing w:w="0" w:type="dxa"/>
        </w:trPr>
        <w:tc>
          <w:tcPr>
            <w:tcW w:w="300" w:type="dxa"/>
            <w:shd w:val="clear" w:color="auto" w:fill="FFFFFF"/>
            <w:vAlign w:val="center"/>
            <w:hideMark/>
          </w:tcPr>
          <w:p w14:paraId="5A825A7E" w14:textId="77777777" w:rsidR="00E91037" w:rsidRPr="00E91037" w:rsidRDefault="00E91037" w:rsidP="00E91037">
            <w:pPr>
              <w:rPr>
                <w:lang w:val="en-GB"/>
              </w:rPr>
            </w:pPr>
            <w:r w:rsidRPr="00E91037">
              <w:rPr>
                <w:lang w:val="en-GB"/>
              </w:rPr>
              <w:t> </w:t>
            </w:r>
          </w:p>
        </w:tc>
        <w:tc>
          <w:tcPr>
            <w:tcW w:w="0" w:type="auto"/>
            <w:shd w:val="clear" w:color="auto" w:fill="FFFFFF"/>
            <w:vAlign w:val="center"/>
            <w:hideMark/>
          </w:tcPr>
          <w:p w14:paraId="55D685F7" w14:textId="77777777" w:rsidR="00E91037" w:rsidRPr="00E91037" w:rsidRDefault="00E91037" w:rsidP="00E91037">
            <w:pPr>
              <w:rPr>
                <w:lang w:val="en-GB"/>
              </w:rPr>
            </w:pPr>
            <w:r w:rsidRPr="00E91037">
              <w:rPr>
                <w:lang w:val="en-GB"/>
              </w:rPr>
              <w:t>CCVT provides four current service activities (</w:t>
            </w:r>
            <w:proofErr w:type="spellStart"/>
            <w:r w:rsidRPr="00E91037">
              <w:rPr>
                <w:lang w:val="en-GB"/>
              </w:rPr>
              <w:t>FaRS</w:t>
            </w:r>
            <w:proofErr w:type="spellEnd"/>
            <w:r w:rsidRPr="00E91037">
              <w:rPr>
                <w:lang w:val="en-GB"/>
              </w:rPr>
              <w:t xml:space="preserve">, FMHSS, SFVS and </w:t>
            </w:r>
            <w:proofErr w:type="spellStart"/>
            <w:r w:rsidRPr="00E91037">
              <w:rPr>
                <w:lang w:val="en-GB"/>
              </w:rPr>
              <w:t>CfC</w:t>
            </w:r>
            <w:proofErr w:type="spellEnd"/>
            <w:r w:rsidRPr="00E91037">
              <w:rPr>
                <w:lang w:val="en-GB"/>
              </w:rPr>
              <w:t xml:space="preserve">) that fit across these three funding streams. </w:t>
            </w:r>
            <w:r w:rsidRPr="00E91037">
              <w:rPr>
                <w:lang w:val="en-GB"/>
              </w:rPr>
              <w:br/>
            </w:r>
            <w:r w:rsidRPr="00E91037">
              <w:rPr>
                <w:lang w:val="en-GB"/>
              </w:rPr>
              <w:br/>
              <w:t xml:space="preserve">The first point we would make is that information and universal support is generally provided, or should be provided, as part of good practice for individuals/families accessing generic support or targeted support. As part of any service delivery, individuals and families are often triaged and supported according to need, including intake and assessment. For some families this includes the capacity to provide relevant universal information that may ameliorate or resolve the issue (including referral), basic information about parenting issues, developmental milestones, or navigating the transition to primary or secondary school, single session work or light touch service intervention. In this context, robust service delivery should involve information and education for families and individuals. Information and universal services require more than the provision of digital information and websites like self-help resources. This will do little to assist families. Meaningful support via intake and assessment does involve providing </w:t>
            </w:r>
            <w:r w:rsidRPr="00E91037">
              <w:rPr>
                <w:lang w:val="en-GB"/>
              </w:rPr>
              <w:lastRenderedPageBreak/>
              <w:t>developmentally appropriate information, including relevant advice, follow up and facilitated referrals.</w:t>
            </w:r>
            <w:r w:rsidRPr="00E91037">
              <w:rPr>
                <w:lang w:val="en-GB"/>
              </w:rPr>
              <w:br/>
            </w:r>
            <w:r w:rsidRPr="00E91037">
              <w:rPr>
                <w:lang w:val="en-GB"/>
              </w:rPr>
              <w:br/>
              <w:t>Most of the current Family and Communities activity appears to fit within the Prevention and Early Intervention and Intensive Family Support streams. These streams accurately reflect the continuum of need we see — from early parenting support to complex case coordination and targeted counselling support for children and individuals, couples and families navigating crisis, grief, anxiety and relationship challenges and difficulties.</w:t>
            </w:r>
            <w:r w:rsidRPr="00E91037">
              <w:rPr>
                <w:lang w:val="en-GB"/>
              </w:rPr>
              <w:br/>
            </w:r>
            <w:r w:rsidRPr="00E91037">
              <w:rPr>
                <w:lang w:val="en-GB"/>
              </w:rPr>
              <w:br/>
              <w:t xml:space="preserve">The Communities for Children model enhances community connection providing local support – connects and funds evidenced based activities to support children in group and parenting capacity, interact with other parents, and build a sense of community. It is materially different to relationship counselling with a parent or child, which is more of a transactional, time limited, therapeutic support intended to develop transferrable skills and resources as families move throughout the </w:t>
            </w:r>
            <w:proofErr w:type="spellStart"/>
            <w:r w:rsidRPr="00E91037">
              <w:rPr>
                <w:lang w:val="en-GB"/>
              </w:rPr>
              <w:t>lifecourse</w:t>
            </w:r>
            <w:proofErr w:type="spellEnd"/>
            <w:r w:rsidRPr="00E91037">
              <w:rPr>
                <w:lang w:val="en-GB"/>
              </w:rPr>
              <w:t xml:space="preserve">. The National Programs and Information Services stream could also help us strengthen digital and outreach components to reach isolated families. The Communities for Children approach demonstrates an existing model which responds to community need via the development and implementation of locally responsive, evidence informed activities. </w:t>
            </w:r>
            <w:r w:rsidRPr="00E91037">
              <w:rPr>
                <w:lang w:val="en-GB"/>
              </w:rPr>
              <w:br/>
            </w:r>
            <w:r w:rsidRPr="00E91037">
              <w:rPr>
                <w:lang w:val="en-GB"/>
              </w:rPr>
              <w:br/>
              <w:t>In relation to Family and Relationship Services (</w:t>
            </w:r>
            <w:proofErr w:type="spellStart"/>
            <w:r w:rsidRPr="00E91037">
              <w:rPr>
                <w:lang w:val="en-GB"/>
              </w:rPr>
              <w:t>FaRS</w:t>
            </w:r>
            <w:proofErr w:type="spellEnd"/>
            <w:r w:rsidRPr="00E91037">
              <w:rPr>
                <w:lang w:val="en-GB"/>
              </w:rPr>
              <w:t xml:space="preserve">) Counselling this service has been the backbone of assistance to individuals, couples and families seeking support for a range of personal and relationship issues. Past reform with the Vulnerable and Disadvantaged Client Access Strategy initiated by DSS, saw a move towards more vulnerable clients and families accessing the program as a priority for example, people accessing income support, migrants, refugees and asylum seekers, sole parents, carers, families in growth corridors, Aboriginal, culturally diverse clients, young people, etc. Many of the clients we see across all three streams of support in the discussion paper experience disadvantage and vulnerability on one or more domains as evidenced by our data. </w:t>
            </w:r>
            <w:r w:rsidRPr="00E91037">
              <w:rPr>
                <w:lang w:val="en-GB"/>
              </w:rPr>
              <w:br/>
            </w:r>
            <w:r w:rsidRPr="00E91037">
              <w:rPr>
                <w:lang w:val="en-GB"/>
              </w:rPr>
              <w:br/>
              <w:t xml:space="preserve">In the </w:t>
            </w:r>
            <w:proofErr w:type="spellStart"/>
            <w:r w:rsidRPr="00E91037">
              <w:rPr>
                <w:lang w:val="en-GB"/>
              </w:rPr>
              <w:t>FaRS</w:t>
            </w:r>
            <w:proofErr w:type="spellEnd"/>
            <w:r w:rsidRPr="00E91037">
              <w:rPr>
                <w:lang w:val="en-GB"/>
              </w:rPr>
              <w:t xml:space="preserve"> program (with a large focus on Counselling as well as group-based activity) we have data for over 14,947 clients across Victoria and 7,160 clients across Tasmania over the past 9 years. Analysis of client profile trends over this period indicates the following:</w:t>
            </w:r>
            <w:r w:rsidRPr="00E91037">
              <w:rPr>
                <w:lang w:val="en-GB"/>
              </w:rPr>
              <w:br/>
            </w:r>
            <w:r w:rsidRPr="00E91037">
              <w:rPr>
                <w:lang w:val="en-GB"/>
              </w:rPr>
              <w:br/>
              <w:t xml:space="preserve">Victoria </w:t>
            </w:r>
            <w:r w:rsidRPr="00E91037">
              <w:rPr>
                <w:lang w:val="en-GB"/>
              </w:rPr>
              <w:br/>
              <w:t xml:space="preserve">• An increasing proportion of clients on lower incomes / health care card - 16% in </w:t>
            </w:r>
            <w:r w:rsidRPr="00E91037">
              <w:rPr>
                <w:lang w:val="en-GB"/>
              </w:rPr>
              <w:lastRenderedPageBreak/>
              <w:t>2017 to 43% in 2025</w:t>
            </w:r>
            <w:r w:rsidRPr="00E91037">
              <w:rPr>
                <w:lang w:val="en-GB"/>
              </w:rPr>
              <w:br/>
              <w:t>• In terms of household composition, there is relatively consistent number of clients over time - sole parents (15-20%), single people (8%), couples with dependents (20-25%), couples without children (8-10%), groups of related or unrelated adults (8-9%)</w:t>
            </w:r>
            <w:r w:rsidRPr="00E91037">
              <w:rPr>
                <w:lang w:val="en-GB"/>
              </w:rPr>
              <w:br/>
              <w:t>• In terms of education level achieved, the largest category by a significant margin is completion of secondary education (35%)</w:t>
            </w:r>
            <w:r w:rsidRPr="00E91037">
              <w:rPr>
                <w:lang w:val="en-GB"/>
              </w:rPr>
              <w:br/>
            </w:r>
            <w:r w:rsidRPr="00E91037">
              <w:rPr>
                <w:lang w:val="en-GB"/>
              </w:rPr>
              <w:br/>
              <w:t>Tasmania</w:t>
            </w:r>
            <w:r w:rsidRPr="00E91037">
              <w:rPr>
                <w:lang w:val="en-GB"/>
              </w:rPr>
              <w:br/>
              <w:t>• An increasing proportion of clients on lower incomes / health care card - 34% in 2017 to 50% in 2025</w:t>
            </w:r>
            <w:r w:rsidRPr="00E91037">
              <w:rPr>
                <w:lang w:val="en-GB"/>
              </w:rPr>
              <w:br/>
              <w:t>• In terms of household composition, there is also relatively consistent number of clients over time - sole parents (18%), single people (13%), couples with dependents (20%), couples without children (8%), groups of related or unrelated adults (8-9%)</w:t>
            </w:r>
            <w:r w:rsidRPr="00E91037">
              <w:rPr>
                <w:lang w:val="en-GB"/>
              </w:rPr>
              <w:br/>
              <w:t>• In terms of education level achieved, the largest category by a significant margin is completion of secondary education (43.5%)</w:t>
            </w:r>
            <w:r w:rsidRPr="00E91037">
              <w:rPr>
                <w:lang w:val="en-GB"/>
              </w:rPr>
              <w:br/>
              <w:t>As evidenced from our data, there is an increasing cohort of vulnerable clients.</w:t>
            </w:r>
            <w:r w:rsidRPr="00E91037">
              <w:rPr>
                <w:lang w:val="en-GB"/>
              </w:rPr>
              <w:br/>
            </w:r>
            <w:r w:rsidRPr="00E91037">
              <w:rPr>
                <w:lang w:val="en-GB"/>
              </w:rPr>
              <w:br/>
              <w:t xml:space="preserve">Ability to charge fees for Family and Relationship Counselling </w:t>
            </w:r>
            <w:r w:rsidRPr="00E91037">
              <w:rPr>
                <w:lang w:val="en-GB"/>
              </w:rPr>
              <w:br/>
              <w:t xml:space="preserve">Many of the programs and support we provide as CCVT does target and prioritise more vulnerable families, which also aligns with our collective mission. </w:t>
            </w:r>
            <w:proofErr w:type="spellStart"/>
            <w:r w:rsidRPr="00E91037">
              <w:rPr>
                <w:lang w:val="en-GB"/>
              </w:rPr>
              <w:t>FaRS</w:t>
            </w:r>
            <w:proofErr w:type="spellEnd"/>
            <w:r w:rsidRPr="00E91037">
              <w:rPr>
                <w:lang w:val="en-GB"/>
              </w:rPr>
              <w:t xml:space="preserve"> Counselling is the only current activity that enables fee collection, based on a sliding scale fee schedule and client capacity to pay. Fee contribution enables community organisations to add to government subsidised service delivery and increase capacity for professional services provided by credentialed practitioners. This is a value add for government as well as strengthening sustainability for providers. </w:t>
            </w:r>
            <w:r w:rsidRPr="00E91037">
              <w:rPr>
                <w:lang w:val="en-GB"/>
              </w:rPr>
              <w:br/>
            </w:r>
            <w:r w:rsidRPr="00E91037">
              <w:rPr>
                <w:lang w:val="en-GB"/>
              </w:rPr>
              <w:br/>
              <w:t xml:space="preserve">However, it is important to note that the capacity to leverage fees can be moderated </w:t>
            </w:r>
            <w:proofErr w:type="gramStart"/>
            <w:r w:rsidRPr="00E91037">
              <w:rPr>
                <w:lang w:val="en-GB"/>
              </w:rPr>
              <w:t>to a large extent</w:t>
            </w:r>
            <w:proofErr w:type="gramEnd"/>
            <w:r w:rsidRPr="00E91037">
              <w:rPr>
                <w:lang w:val="en-GB"/>
              </w:rPr>
              <w:t xml:space="preserve"> of where you locate services and the eligibility requirements for such services requiring a contribution (threshold of evidence to substantiate payment). Clearly suburbs with a higher median income generally have the capacity to leverage more fees.</w:t>
            </w:r>
            <w:r w:rsidRPr="00E91037">
              <w:rPr>
                <w:lang w:val="en-GB"/>
              </w:rPr>
              <w:br/>
            </w:r>
            <w:r w:rsidRPr="00E91037">
              <w:rPr>
                <w:lang w:val="en-GB"/>
              </w:rPr>
              <w:br/>
              <w:t>Being responsive to new and emerging need</w:t>
            </w:r>
            <w:r w:rsidRPr="00E91037">
              <w:rPr>
                <w:lang w:val="en-GB"/>
              </w:rPr>
              <w:br/>
              <w:t xml:space="preserve">Timely access to appropriate, quality training and program flexibility is required to be able to move quickly into the emerging social challenges experienced by children, young people and their families. For example, in more recent years we are seeing the sudden rise of supporting children and young people and the impact on schooling (refusal or exclusion due to vaping, bullying, social emotional </w:t>
            </w:r>
            <w:r w:rsidRPr="00E91037">
              <w:rPr>
                <w:lang w:val="en-GB"/>
              </w:rPr>
              <w:lastRenderedPageBreak/>
              <w:t xml:space="preserve">dysregulation, gaming addiction, poor peer relationships, inappropriate digital use and access, challenges with responding to neuro diversity, etc). Families need professionals who </w:t>
            </w:r>
            <w:proofErr w:type="gramStart"/>
            <w:r w:rsidRPr="00E91037">
              <w:rPr>
                <w:lang w:val="en-GB"/>
              </w:rPr>
              <w:t>are able to</w:t>
            </w:r>
            <w:proofErr w:type="gramEnd"/>
            <w:r w:rsidRPr="00E91037">
              <w:rPr>
                <w:lang w:val="en-GB"/>
              </w:rPr>
              <w:t xml:space="preserve"> provide timely interventions to increase family capacity to navigate and support these challenges. The changing nature of families – some of the traditional, and previous family activities that build connection and resilience in families i.e.- having a meal together during the week as a family which may be now considered a novelty. Working with families involves psychoeducation and parenting support to talk through issues and ensuring families have down time to just connect and speak informally to foster and develop relationships before issues may escalate. </w:t>
            </w:r>
          </w:p>
        </w:tc>
      </w:tr>
      <w:tr w:rsidR="00E91037" w:rsidRPr="00E91037" w14:paraId="22184493" w14:textId="77777777">
        <w:trPr>
          <w:tblCellSpacing w:w="0" w:type="dxa"/>
        </w:trPr>
        <w:tc>
          <w:tcPr>
            <w:tcW w:w="0" w:type="auto"/>
            <w:gridSpan w:val="2"/>
            <w:shd w:val="clear" w:color="auto" w:fill="EAF2FA"/>
            <w:vAlign w:val="center"/>
            <w:hideMark/>
          </w:tcPr>
          <w:p w14:paraId="64CCDBC7" w14:textId="77777777" w:rsidR="00E91037" w:rsidRPr="00E91037" w:rsidRDefault="00E91037" w:rsidP="00E91037">
            <w:pPr>
              <w:rPr>
                <w:lang w:val="en-GB"/>
              </w:rPr>
            </w:pPr>
            <w:r w:rsidRPr="00E91037">
              <w:rPr>
                <w:b/>
                <w:bCs/>
                <w:lang w:val="en-GB"/>
              </w:rPr>
              <w:lastRenderedPageBreak/>
              <w:t>5. Are there other changes we could make to the program to help your organisation or community overcome current challenges?</w:t>
            </w:r>
            <w:r w:rsidRPr="00E91037">
              <w:rPr>
                <w:lang w:val="en-GB"/>
              </w:rPr>
              <w:t xml:space="preserve"> </w:t>
            </w:r>
          </w:p>
        </w:tc>
      </w:tr>
      <w:tr w:rsidR="00E91037" w:rsidRPr="00E91037" w14:paraId="636E6CD0" w14:textId="77777777">
        <w:trPr>
          <w:tblCellSpacing w:w="0" w:type="dxa"/>
        </w:trPr>
        <w:tc>
          <w:tcPr>
            <w:tcW w:w="300" w:type="dxa"/>
            <w:shd w:val="clear" w:color="auto" w:fill="FFFFFF"/>
            <w:vAlign w:val="center"/>
            <w:hideMark/>
          </w:tcPr>
          <w:p w14:paraId="180B88BB" w14:textId="77777777" w:rsidR="00E91037" w:rsidRPr="00E91037" w:rsidRDefault="00E91037" w:rsidP="00E91037">
            <w:pPr>
              <w:rPr>
                <w:lang w:val="en-GB"/>
              </w:rPr>
            </w:pPr>
            <w:r w:rsidRPr="00E91037">
              <w:rPr>
                <w:lang w:val="en-GB"/>
              </w:rPr>
              <w:t> </w:t>
            </w:r>
          </w:p>
        </w:tc>
        <w:tc>
          <w:tcPr>
            <w:tcW w:w="0" w:type="auto"/>
            <w:shd w:val="clear" w:color="auto" w:fill="FFFFFF"/>
            <w:vAlign w:val="center"/>
            <w:hideMark/>
          </w:tcPr>
          <w:p w14:paraId="0D8932CC" w14:textId="77777777" w:rsidR="00E91037" w:rsidRPr="00E91037" w:rsidRDefault="00E91037" w:rsidP="00E91037">
            <w:pPr>
              <w:rPr>
                <w:lang w:val="en-GB"/>
              </w:rPr>
            </w:pPr>
            <w:r w:rsidRPr="00E91037">
              <w:rPr>
                <w:lang w:val="en-GB"/>
              </w:rPr>
              <w:t>• Allow adequate transition periods between the old and new programs to avoid service disruption.</w:t>
            </w:r>
            <w:r w:rsidRPr="00E91037">
              <w:rPr>
                <w:lang w:val="en-GB"/>
              </w:rPr>
              <w:br/>
              <w:t>• Include indexation and fair funding models that reflect actual delivery costs, especially in regional and remote areas.</w:t>
            </w:r>
            <w:r w:rsidRPr="00E91037">
              <w:rPr>
                <w:lang w:val="en-GB"/>
              </w:rPr>
              <w:br/>
              <w:t>• Invest in workforce development and trauma-informed practice training.</w:t>
            </w:r>
            <w:r w:rsidRPr="00E91037">
              <w:rPr>
                <w:lang w:val="en-GB"/>
              </w:rPr>
              <w:br/>
              <w:t>• Provide capacity-building grants to help smaller community organisations and Aboriginal Community Controlled Organisations (ACCOs) strengthen governance and evaluation systems. Supporting and resourcing Aboriginal Controlled Community Organisations is not just about transferring funding across to the Aboriginal community. How can other Community based organisations be resourced to mentor and support Aboriginal Organisations sensitively - the challenge is that this type of response could be seen as continuing a colonial imperialist agenda on ACCOs.</w:t>
            </w:r>
            <w:r w:rsidRPr="00E91037">
              <w:rPr>
                <w:lang w:val="en-GB"/>
              </w:rPr>
              <w:br/>
              <w:t xml:space="preserve">• Some of the responses assume that the workforce or capacity to implement this reform is available. In small and regional and remote communities there may not be practitioners that can deliver evidence-based programs. Having a focus on evidence informed programs will assist organisations to better tailor programs that support community to overcome emerging challenges. </w:t>
            </w:r>
            <w:r w:rsidRPr="00E91037">
              <w:rPr>
                <w:lang w:val="en-GB"/>
              </w:rPr>
              <w:br/>
              <w:t xml:space="preserve">• Increasingly the important role of people with lived experience, better qualitative reporting and the use of relational contracting leads itself to a more dynamic reporting relationship with government. </w:t>
            </w:r>
            <w:r w:rsidRPr="00E91037">
              <w:rPr>
                <w:lang w:val="en-GB"/>
              </w:rPr>
              <w:br/>
              <w:t xml:space="preserve">• The use of public health frameworks given the increasing evidence that social determinants of health are often utilised when developing, measuring and evaluating activities. The community sector does not currently have this public health capacity. </w:t>
            </w:r>
            <w:r w:rsidRPr="00E91037">
              <w:rPr>
                <w:lang w:val="en-GB"/>
              </w:rPr>
              <w:br/>
              <w:t xml:space="preserve">• There needs to be greater co-ordination of programs and services in catchments where there a multiple service provider providing similar services. When </w:t>
            </w:r>
            <w:proofErr w:type="gramStart"/>
            <w:r w:rsidRPr="00E91037">
              <w:rPr>
                <w:lang w:val="en-GB"/>
              </w:rPr>
              <w:t>all of</w:t>
            </w:r>
            <w:proofErr w:type="gramEnd"/>
            <w:r w:rsidRPr="00E91037">
              <w:rPr>
                <w:lang w:val="en-GB"/>
              </w:rPr>
              <w:t xml:space="preserve"> the </w:t>
            </w:r>
            <w:r w:rsidRPr="00E91037">
              <w:rPr>
                <w:lang w:val="en-GB"/>
              </w:rPr>
              <w:lastRenderedPageBreak/>
              <w:t xml:space="preserve">local organisations are offering the same groupwork programs the market becomes oversaturated and therefore extremely difficult in rural/remote areas to successfully deliver beneficial groupwork programs. For example, if two or three organisations schedule a Parenting Program at the same time this can result in low participant numbers for each organisation, therefore groups are cancelled. </w:t>
            </w:r>
          </w:p>
        </w:tc>
      </w:tr>
      <w:tr w:rsidR="00E91037" w:rsidRPr="00E91037" w14:paraId="2EA899B2" w14:textId="77777777">
        <w:trPr>
          <w:tblCellSpacing w:w="0" w:type="dxa"/>
        </w:trPr>
        <w:tc>
          <w:tcPr>
            <w:tcW w:w="0" w:type="auto"/>
            <w:gridSpan w:val="2"/>
            <w:shd w:val="clear" w:color="auto" w:fill="EAF2FA"/>
            <w:vAlign w:val="center"/>
            <w:hideMark/>
          </w:tcPr>
          <w:p w14:paraId="1E5143F4" w14:textId="77777777" w:rsidR="00E91037" w:rsidRPr="00E91037" w:rsidRDefault="00E91037" w:rsidP="00E91037">
            <w:pPr>
              <w:rPr>
                <w:lang w:val="en-GB"/>
              </w:rPr>
            </w:pPr>
            <w:r w:rsidRPr="00E91037">
              <w:rPr>
                <w:b/>
                <w:bCs/>
                <w:lang w:val="en-GB"/>
              </w:rPr>
              <w:lastRenderedPageBreak/>
              <w:t>6. Do you agree that the four priorities listed on Page 4 are right areas for investment to improve outcomes for children and families?</w:t>
            </w:r>
            <w:r w:rsidRPr="00E91037">
              <w:rPr>
                <w:lang w:val="en-GB"/>
              </w:rPr>
              <w:t xml:space="preserve"> </w:t>
            </w:r>
          </w:p>
        </w:tc>
      </w:tr>
      <w:tr w:rsidR="00E91037" w:rsidRPr="00E91037" w14:paraId="7BB7BF55" w14:textId="77777777">
        <w:trPr>
          <w:tblCellSpacing w:w="0" w:type="dxa"/>
        </w:trPr>
        <w:tc>
          <w:tcPr>
            <w:tcW w:w="300" w:type="dxa"/>
            <w:shd w:val="clear" w:color="auto" w:fill="FFFFFF"/>
            <w:vAlign w:val="center"/>
            <w:hideMark/>
          </w:tcPr>
          <w:p w14:paraId="151D0208" w14:textId="77777777" w:rsidR="00E91037" w:rsidRPr="00E91037" w:rsidRDefault="00E91037" w:rsidP="00E91037">
            <w:pPr>
              <w:rPr>
                <w:lang w:val="en-GB"/>
              </w:rPr>
            </w:pPr>
            <w:r w:rsidRPr="00E91037">
              <w:rPr>
                <w:lang w:val="en-GB"/>
              </w:rPr>
              <w:t> </w:t>
            </w:r>
          </w:p>
        </w:tc>
        <w:tc>
          <w:tcPr>
            <w:tcW w:w="0" w:type="auto"/>
            <w:shd w:val="clear" w:color="auto" w:fill="FFFFFF"/>
            <w:vAlign w:val="center"/>
            <w:hideMark/>
          </w:tcPr>
          <w:p w14:paraId="14E3A182" w14:textId="77777777" w:rsidR="00E91037" w:rsidRPr="00E91037" w:rsidRDefault="00E91037" w:rsidP="00E91037">
            <w:pPr>
              <w:rPr>
                <w:lang w:val="en-GB"/>
              </w:rPr>
            </w:pPr>
            <w:r w:rsidRPr="00E91037">
              <w:rPr>
                <w:lang w:val="en-GB"/>
              </w:rPr>
              <w:t>Yes, the priorities align with the key drivers of family wellbeing that we see through our work. Prevention, safety, inclusion, and community connection all underpin healthy family functioning and reduce long-term demand on crisis services.</w:t>
            </w:r>
            <w:r w:rsidRPr="00E91037">
              <w:rPr>
                <w:lang w:val="en-GB"/>
              </w:rPr>
              <w:br/>
            </w:r>
            <w:r w:rsidRPr="00E91037">
              <w:rPr>
                <w:lang w:val="en-GB"/>
              </w:rPr>
              <w:br/>
              <w:t xml:space="preserve">We note that the </w:t>
            </w:r>
            <w:proofErr w:type="gramStart"/>
            <w:r w:rsidRPr="00E91037">
              <w:rPr>
                <w:lang w:val="en-GB"/>
              </w:rPr>
              <w:t>first priority</w:t>
            </w:r>
            <w:proofErr w:type="gramEnd"/>
            <w:r w:rsidRPr="00E91037">
              <w:rPr>
                <w:lang w:val="en-GB"/>
              </w:rPr>
              <w:t xml:space="preserve"> requires action across the social and structural determinants of health i.e. FACS initiatives are not within the scope. These determinants are well captured in ARACY’s The Nest Wellbeing Framework.</w:t>
            </w:r>
            <w:r w:rsidRPr="00E91037">
              <w:rPr>
                <w:lang w:val="en-GB"/>
              </w:rPr>
              <w:br/>
            </w:r>
            <w:r w:rsidRPr="00E91037">
              <w:rPr>
                <w:lang w:val="en-GB"/>
              </w:rPr>
              <w:br/>
              <w:t>There is strong support for better co-ordination of service delivery to bring key stakeholders and services together to increase collaboration and/or to use funding agreements to determine site of delivery, etc., to leverage connected, integrated and where possible/viable, co-located services. For example, this has worked very well in the past, particularly in regional settings and under the VADCAS where all the DSS providers in the Geelong region submitted the one plan to provide joint training and monitor service delivery trends and referral pathways.</w:t>
            </w:r>
            <w:r w:rsidRPr="00E91037">
              <w:rPr>
                <w:lang w:val="en-GB"/>
              </w:rPr>
              <w:br/>
            </w:r>
            <w:r w:rsidRPr="00E91037">
              <w:rPr>
                <w:lang w:val="en-GB"/>
              </w:rPr>
              <w:br/>
              <w:t xml:space="preserve">We also need to acknowledge that ‘community’ means many different things including place, culture, language, religion, place of birth, etc. CCVT fully supports the UN Declaration on the Rights of Indigenous Peoples as well as Closing the Gap while also recognising that many First Nations people also chose to use ‘mainstream’ services. We also acknowledge that people should be able to choose where they go to receive service. </w:t>
            </w:r>
            <w:r w:rsidRPr="00E91037">
              <w:rPr>
                <w:lang w:val="en-GB"/>
              </w:rPr>
              <w:br/>
            </w:r>
            <w:r w:rsidRPr="00E91037">
              <w:rPr>
                <w:lang w:val="en-GB"/>
              </w:rPr>
              <w:br/>
              <w:t>We note that the ‘Community Sector Grants Engagement Framework’ (</w:t>
            </w:r>
            <w:hyperlink r:id="rId5" w:history="1">
              <w:r w:rsidRPr="00E91037">
                <w:rPr>
                  <w:rStyle w:val="Hyperlink"/>
                  <w:lang w:val="en-GB"/>
                </w:rPr>
                <w:t>https://www.dss.gov.au/strengthening-community-sector/resource/community-sector-grants-engagement-framework</w:t>
              </w:r>
            </w:hyperlink>
            <w:r w:rsidRPr="00E91037">
              <w:rPr>
                <w:lang w:val="en-GB"/>
              </w:rPr>
              <w:t>) referenced and linked to in the DSS consultation document, is at risk of becoming redundant, given the timeline proposed for the FACS reform by DSS. The ‘Not for Profit Sector Development Blueprint’ (</w:t>
            </w:r>
            <w:hyperlink r:id="rId6" w:history="1">
              <w:r w:rsidRPr="00E91037">
                <w:rPr>
                  <w:rStyle w:val="Hyperlink"/>
                  <w:lang w:val="en-GB"/>
                </w:rPr>
                <w:t>https://www.dss.gov.au/system/files/documents/2024-11/d24-1528640-not-profit-sector-development-blueprint-web-accessible.pdf</w:t>
              </w:r>
            </w:hyperlink>
            <w:r w:rsidRPr="00E91037">
              <w:rPr>
                <w:lang w:val="en-GB"/>
              </w:rPr>
              <w:t xml:space="preserve">) [referred to in the Community Sector Grants Engagement Framework] notes “…the need to rapidly uplift the NFP sector’s digital and data capabilities” (p 10). The use of data and the </w:t>
            </w:r>
            <w:r w:rsidRPr="00E91037">
              <w:rPr>
                <w:lang w:val="en-GB"/>
              </w:rPr>
              <w:lastRenderedPageBreak/>
              <w:t xml:space="preserve">capacity to complete an adequate needs assessment (for example, using the Bradshaw needs assessment framework), needs to be funded by DSS if organisations are to deliver/meet the outcomes defined while also rapidly responding to changing community needs. </w:t>
            </w:r>
          </w:p>
        </w:tc>
      </w:tr>
      <w:tr w:rsidR="00E91037" w:rsidRPr="00E91037" w14:paraId="0E2AA08F" w14:textId="77777777">
        <w:trPr>
          <w:tblCellSpacing w:w="0" w:type="dxa"/>
        </w:trPr>
        <w:tc>
          <w:tcPr>
            <w:tcW w:w="0" w:type="auto"/>
            <w:gridSpan w:val="2"/>
            <w:shd w:val="clear" w:color="auto" w:fill="EAF2FA"/>
            <w:vAlign w:val="center"/>
            <w:hideMark/>
          </w:tcPr>
          <w:p w14:paraId="5334082E" w14:textId="77777777" w:rsidR="00E91037" w:rsidRPr="00E91037" w:rsidRDefault="00E91037" w:rsidP="00E91037">
            <w:pPr>
              <w:rPr>
                <w:lang w:val="en-GB"/>
              </w:rPr>
            </w:pPr>
            <w:r w:rsidRPr="00E91037">
              <w:rPr>
                <w:b/>
                <w:bCs/>
                <w:lang w:val="en-GB"/>
              </w:rPr>
              <w:lastRenderedPageBreak/>
              <w:t>7. Are there any other priorities or issues you think the department should be focusing on?</w:t>
            </w:r>
            <w:r w:rsidRPr="00E91037">
              <w:rPr>
                <w:lang w:val="en-GB"/>
              </w:rPr>
              <w:t xml:space="preserve"> </w:t>
            </w:r>
          </w:p>
        </w:tc>
      </w:tr>
      <w:tr w:rsidR="00E91037" w:rsidRPr="00E91037" w14:paraId="497E9422" w14:textId="77777777">
        <w:trPr>
          <w:tblCellSpacing w:w="0" w:type="dxa"/>
        </w:trPr>
        <w:tc>
          <w:tcPr>
            <w:tcW w:w="300" w:type="dxa"/>
            <w:shd w:val="clear" w:color="auto" w:fill="FFFFFF"/>
            <w:vAlign w:val="center"/>
            <w:hideMark/>
          </w:tcPr>
          <w:p w14:paraId="145E4B3E" w14:textId="77777777" w:rsidR="00E91037" w:rsidRPr="00E91037" w:rsidRDefault="00E91037" w:rsidP="00E91037">
            <w:pPr>
              <w:rPr>
                <w:lang w:val="en-GB"/>
              </w:rPr>
            </w:pPr>
            <w:r w:rsidRPr="00E91037">
              <w:rPr>
                <w:lang w:val="en-GB"/>
              </w:rPr>
              <w:t> </w:t>
            </w:r>
          </w:p>
        </w:tc>
        <w:tc>
          <w:tcPr>
            <w:tcW w:w="0" w:type="auto"/>
            <w:shd w:val="clear" w:color="auto" w:fill="FFFFFF"/>
            <w:vAlign w:val="center"/>
            <w:hideMark/>
          </w:tcPr>
          <w:p w14:paraId="00795355" w14:textId="77777777" w:rsidR="00E91037" w:rsidRPr="00E91037" w:rsidRDefault="00E91037" w:rsidP="00E91037">
            <w:pPr>
              <w:rPr>
                <w:lang w:val="en-GB"/>
              </w:rPr>
            </w:pPr>
            <w:r w:rsidRPr="00E91037">
              <w:rPr>
                <w:lang w:val="en-GB"/>
              </w:rPr>
              <w:t>Yes, there are other contextual factors which impact on this program, but which are currently not in scope. These include:</w:t>
            </w:r>
            <w:r w:rsidRPr="00E91037">
              <w:rPr>
                <w:lang w:val="en-GB"/>
              </w:rPr>
              <w:br/>
              <w:t>• Cost-of-living and housing stress, which increasingly affects family stability and mental health and wellbeing.</w:t>
            </w:r>
            <w:r w:rsidRPr="00E91037">
              <w:rPr>
                <w:lang w:val="en-GB"/>
              </w:rPr>
              <w:br/>
              <w:t>• Digital access and literacy, ensuring all families can engage with online services and information.</w:t>
            </w:r>
            <w:r w:rsidRPr="00E91037">
              <w:rPr>
                <w:lang w:val="en-GB"/>
              </w:rPr>
              <w:br/>
              <w:t>• Culturally safe practice and anti-racism initiatives, particularly for families from Aboriginal, Torres Strait Islander, and culturally diverse backgrounds.</w:t>
            </w:r>
            <w:r w:rsidRPr="00E91037">
              <w:rPr>
                <w:lang w:val="en-GB"/>
              </w:rPr>
              <w:br/>
              <w:t>• Cross-sector partnerships with education, health, and employment systems to address complex, multi-factor issues.</w:t>
            </w:r>
            <w:r w:rsidRPr="00E91037">
              <w:rPr>
                <w:lang w:val="en-GB"/>
              </w:rPr>
              <w:br/>
              <w:t>• Better connection with State Government funded service delivery to strengthen impact and prioritisation of service delivery that does not duplicate state based programs and initiatives.</w:t>
            </w:r>
            <w:r w:rsidRPr="00E91037">
              <w:rPr>
                <w:lang w:val="en-GB"/>
              </w:rPr>
              <w:br/>
            </w:r>
            <w:r w:rsidRPr="00E91037">
              <w:rPr>
                <w:lang w:val="en-GB"/>
              </w:rPr>
              <w:br/>
              <w:t xml:space="preserve">Sharing of relevant population, demographic data, incidents of family violence and child protection data and other data sets relevant to families and communities is important and critical. </w:t>
            </w:r>
            <w:r w:rsidRPr="00E91037">
              <w:rPr>
                <w:lang w:val="en-GB"/>
              </w:rPr>
              <w:br/>
            </w:r>
            <w:r w:rsidRPr="00E91037">
              <w:rPr>
                <w:lang w:val="en-GB"/>
              </w:rPr>
              <w:br/>
              <w:t>More consideration needs to be given to assessing community needs, cross sector partnerships, relational contracting, developing and implementing evidence informed activities. Access to data and timely data sharing is not readily available. Data related to risk factors and protective factors for child protection involvement, as well as localised child protection and youth justice data is not in the public domain.</w:t>
            </w:r>
            <w:r w:rsidRPr="00E91037">
              <w:rPr>
                <w:lang w:val="en-GB"/>
              </w:rPr>
              <w:br/>
              <w:t xml:space="preserve">Reducing the development and/or impact of poor mental health and psychological distress at all ages, with a specific focus on children, families and carers. </w:t>
            </w:r>
            <w:r w:rsidRPr="00E91037">
              <w:rPr>
                <w:lang w:val="en-GB"/>
              </w:rPr>
              <w:br/>
            </w:r>
            <w:r w:rsidRPr="00E91037">
              <w:rPr>
                <w:lang w:val="en-GB"/>
              </w:rPr>
              <w:br/>
              <w:t>Australia has lead the way in this area, e.g. ‘Microsoft Word - COPMIwebversion.doc’ (</w:t>
            </w:r>
            <w:hyperlink r:id="rId7" w:history="1">
              <w:r w:rsidRPr="00E91037">
                <w:rPr>
                  <w:rStyle w:val="Hyperlink"/>
                  <w:lang w:val="en-GB"/>
                </w:rPr>
                <w:t>https://www.easternhealth.org.au/images/services/champsreport.pdf</w:t>
              </w:r>
            </w:hyperlink>
            <w:r w:rsidRPr="00E91037">
              <w:rPr>
                <w:lang w:val="en-GB"/>
              </w:rPr>
              <w:t>) and more recently the work at Emerging Minds and the Parenting Research Centre. While acknowledging that ‘The National Strategic Framework for Aboriginal and Torres Strait Islander Peoples’ Mental Health and Social and Emotional Wellbeing 2017–</w:t>
            </w:r>
            <w:r w:rsidRPr="00E91037">
              <w:rPr>
                <w:lang w:val="en-GB"/>
              </w:rPr>
              <w:lastRenderedPageBreak/>
              <w:t>2023’ (</w:t>
            </w:r>
            <w:hyperlink r:id="rId8" w:history="1">
              <w:r w:rsidRPr="00E91037">
                <w:rPr>
                  <w:rStyle w:val="Hyperlink"/>
                  <w:lang w:val="en-GB"/>
                </w:rPr>
                <w:t>https://www.niaa.gov.au/sites/default/files/documents/publications/mhsewb-framework_0.pdf</w:t>
              </w:r>
            </w:hyperlink>
            <w:r w:rsidRPr="00E91037">
              <w:rPr>
                <w:lang w:val="en-GB"/>
              </w:rPr>
              <w:t xml:space="preserve">) has expired, the information it provides is invaluable to all organisations working to support Closing the Gap. </w:t>
            </w:r>
            <w:r w:rsidRPr="00E91037">
              <w:rPr>
                <w:lang w:val="en-GB"/>
              </w:rPr>
              <w:br/>
            </w:r>
            <w:r w:rsidRPr="00E91037">
              <w:rPr>
                <w:lang w:val="en-GB"/>
              </w:rPr>
              <w:br/>
              <w:t>CCVT strongly supports the Federal Government ‘Measuring What Matters: Australia’s First Wellbeing Framework (Measuring What Matters)’ (</w:t>
            </w:r>
            <w:hyperlink r:id="rId9" w:history="1">
              <w:r w:rsidRPr="00E91037">
                <w:rPr>
                  <w:rStyle w:val="Hyperlink"/>
                  <w:lang w:val="en-GB"/>
                </w:rPr>
                <w:t>https://treasury.gov.au/sites/default/files/2023-07/measuring-what-matters-statement020230721_0.pdf</w:t>
              </w:r>
            </w:hyperlink>
            <w:r w:rsidRPr="00E91037">
              <w:rPr>
                <w:lang w:val="en-GB"/>
              </w:rPr>
              <w:t xml:space="preserve">) fully implemented and extended and is cited in the evidence document for the DSS consultation paper. </w:t>
            </w:r>
          </w:p>
        </w:tc>
      </w:tr>
      <w:tr w:rsidR="00E91037" w:rsidRPr="00E91037" w14:paraId="2E08D47D" w14:textId="77777777">
        <w:trPr>
          <w:tblCellSpacing w:w="0" w:type="dxa"/>
        </w:trPr>
        <w:tc>
          <w:tcPr>
            <w:tcW w:w="0" w:type="auto"/>
            <w:gridSpan w:val="2"/>
            <w:shd w:val="clear" w:color="auto" w:fill="EAF2FA"/>
            <w:vAlign w:val="center"/>
            <w:hideMark/>
          </w:tcPr>
          <w:p w14:paraId="1805B54C" w14:textId="77777777" w:rsidR="00E91037" w:rsidRPr="00E91037" w:rsidRDefault="00E91037" w:rsidP="00E91037">
            <w:pPr>
              <w:rPr>
                <w:lang w:val="en-GB"/>
              </w:rPr>
            </w:pPr>
            <w:r w:rsidRPr="00E91037">
              <w:rPr>
                <w:b/>
                <w:bCs/>
                <w:lang w:val="en-GB"/>
              </w:rPr>
              <w:lastRenderedPageBreak/>
              <w:t>8. Do the proposed focus areas – like supporting families at risk of child protection involvement and young parents match the needs or priorities of your service?</w:t>
            </w:r>
            <w:r w:rsidRPr="00E91037">
              <w:rPr>
                <w:lang w:val="en-GB"/>
              </w:rPr>
              <w:t xml:space="preserve"> </w:t>
            </w:r>
          </w:p>
        </w:tc>
      </w:tr>
      <w:tr w:rsidR="00E91037" w:rsidRPr="00E91037" w14:paraId="28FD9A4C" w14:textId="77777777">
        <w:trPr>
          <w:tblCellSpacing w:w="0" w:type="dxa"/>
        </w:trPr>
        <w:tc>
          <w:tcPr>
            <w:tcW w:w="300" w:type="dxa"/>
            <w:shd w:val="clear" w:color="auto" w:fill="FFFFFF"/>
            <w:vAlign w:val="center"/>
            <w:hideMark/>
          </w:tcPr>
          <w:p w14:paraId="23CC9BE0" w14:textId="77777777" w:rsidR="00E91037" w:rsidRPr="00E91037" w:rsidRDefault="00E91037" w:rsidP="00E91037">
            <w:pPr>
              <w:rPr>
                <w:lang w:val="en-GB"/>
              </w:rPr>
            </w:pPr>
            <w:r w:rsidRPr="00E91037">
              <w:rPr>
                <w:lang w:val="en-GB"/>
              </w:rPr>
              <w:t> </w:t>
            </w:r>
          </w:p>
        </w:tc>
        <w:tc>
          <w:tcPr>
            <w:tcW w:w="0" w:type="auto"/>
            <w:shd w:val="clear" w:color="auto" w:fill="FFFFFF"/>
            <w:vAlign w:val="center"/>
            <w:hideMark/>
          </w:tcPr>
          <w:p w14:paraId="7B849964" w14:textId="77777777" w:rsidR="00E91037" w:rsidRPr="00E91037" w:rsidRDefault="00E91037" w:rsidP="00E91037">
            <w:pPr>
              <w:rPr>
                <w:lang w:val="en-GB"/>
              </w:rPr>
            </w:pPr>
            <w:r w:rsidRPr="00E91037">
              <w:rPr>
                <w:lang w:val="en-GB"/>
              </w:rPr>
              <w:t>Yes, these focus areas reflect the key vulnerabilities we see in our community. Early support for families at risk of entering the child protection system can prevent escalation, while not only young parents, but also parents with other vulnerabilities, often benefit from wraparound practical and emotional support.</w:t>
            </w:r>
            <w:r w:rsidRPr="00E91037">
              <w:rPr>
                <w:lang w:val="en-GB"/>
              </w:rPr>
              <w:br/>
            </w:r>
            <w:r w:rsidRPr="00E91037">
              <w:rPr>
                <w:lang w:val="en-GB"/>
              </w:rPr>
              <w:br/>
              <w:t xml:space="preserve">Communities for Children in Burnie already fund programs such as case management programs for young parents under 25, and a range of evidence-based parenting programs. These current programs support children and family's sense of belonging and social connection to their local community. Public health type models of prevention and early intervention are strengthened and targeted to populations who have the lowest number of protective factors/highest number of risk factors. Communities for Children in </w:t>
            </w:r>
            <w:proofErr w:type="spellStart"/>
            <w:r w:rsidRPr="00E91037">
              <w:rPr>
                <w:lang w:val="en-GB"/>
              </w:rPr>
              <w:t>Shepparton</w:t>
            </w:r>
            <w:proofErr w:type="spellEnd"/>
            <w:r w:rsidRPr="00E91037">
              <w:rPr>
                <w:lang w:val="en-GB"/>
              </w:rPr>
              <w:t xml:space="preserve"> also funds several activities focussed on parents under the age of 25, including evidence-based programs, as well as CALD specific programs including bicultural support at kindergartens and CALD Tuning into Kids and Tuning into Teens.</w:t>
            </w:r>
            <w:r w:rsidRPr="00E91037">
              <w:rPr>
                <w:lang w:val="en-GB"/>
              </w:rPr>
              <w:br/>
              <w:t>Prevention and early intervention activities need to be more targeted to specific cohorts.</w:t>
            </w:r>
            <w:r w:rsidRPr="00E91037">
              <w:rPr>
                <w:lang w:val="en-GB"/>
              </w:rPr>
              <w:br/>
            </w:r>
            <w:r w:rsidRPr="00E91037">
              <w:rPr>
                <w:lang w:val="en-GB"/>
              </w:rPr>
              <w:br/>
              <w:t xml:space="preserve">Across the </w:t>
            </w:r>
            <w:proofErr w:type="spellStart"/>
            <w:r w:rsidRPr="00E91037">
              <w:rPr>
                <w:lang w:val="en-GB"/>
              </w:rPr>
              <w:t>FaRS</w:t>
            </w:r>
            <w:proofErr w:type="spellEnd"/>
            <w:r w:rsidRPr="00E91037">
              <w:rPr>
                <w:lang w:val="en-GB"/>
              </w:rPr>
              <w:t xml:space="preserve"> activity we support families at risk of child protection involvement. We assist parents in understanding the impact of their parenting. There is a focus on parents' values and strengths to assist them to develop their own parenting to increase connection, motivation and break negative generational cycles. We assist parents to create space for meaningful, intentional and enjoyable time with their children which increases sense of connection as a protective factor. We assist parents to develop regulation tools to be able to manage difficult emotions that could potentially escalate into violence or inappropriate discipline. </w:t>
            </w:r>
          </w:p>
        </w:tc>
      </w:tr>
      <w:tr w:rsidR="00E91037" w:rsidRPr="00E91037" w14:paraId="5C039DDC" w14:textId="77777777">
        <w:trPr>
          <w:tblCellSpacing w:w="0" w:type="dxa"/>
        </w:trPr>
        <w:tc>
          <w:tcPr>
            <w:tcW w:w="0" w:type="auto"/>
            <w:gridSpan w:val="2"/>
            <w:shd w:val="clear" w:color="auto" w:fill="EAF2FA"/>
            <w:vAlign w:val="center"/>
            <w:hideMark/>
          </w:tcPr>
          <w:p w14:paraId="241530F3" w14:textId="77777777" w:rsidR="00E91037" w:rsidRPr="00E91037" w:rsidRDefault="00E91037" w:rsidP="00E91037">
            <w:pPr>
              <w:rPr>
                <w:lang w:val="en-GB"/>
              </w:rPr>
            </w:pPr>
            <w:r w:rsidRPr="00E91037">
              <w:rPr>
                <w:b/>
                <w:bCs/>
                <w:lang w:val="en-GB"/>
              </w:rPr>
              <w:lastRenderedPageBreak/>
              <w:t>9. Are there other groups in your community, or different approaches, that you think the department should consider to better support family wellbeing?</w:t>
            </w:r>
            <w:r w:rsidRPr="00E91037">
              <w:rPr>
                <w:lang w:val="en-GB"/>
              </w:rPr>
              <w:t xml:space="preserve"> </w:t>
            </w:r>
          </w:p>
        </w:tc>
      </w:tr>
      <w:tr w:rsidR="00E91037" w:rsidRPr="00E91037" w14:paraId="102823F8" w14:textId="77777777">
        <w:trPr>
          <w:tblCellSpacing w:w="0" w:type="dxa"/>
        </w:trPr>
        <w:tc>
          <w:tcPr>
            <w:tcW w:w="300" w:type="dxa"/>
            <w:shd w:val="clear" w:color="auto" w:fill="FFFFFF"/>
            <w:vAlign w:val="center"/>
            <w:hideMark/>
          </w:tcPr>
          <w:p w14:paraId="11CBFAFC" w14:textId="77777777" w:rsidR="00E91037" w:rsidRPr="00E91037" w:rsidRDefault="00E91037" w:rsidP="00E91037">
            <w:pPr>
              <w:rPr>
                <w:lang w:val="en-GB"/>
              </w:rPr>
            </w:pPr>
            <w:r w:rsidRPr="00E91037">
              <w:rPr>
                <w:lang w:val="en-GB"/>
              </w:rPr>
              <w:t> </w:t>
            </w:r>
          </w:p>
        </w:tc>
        <w:tc>
          <w:tcPr>
            <w:tcW w:w="0" w:type="auto"/>
            <w:shd w:val="clear" w:color="auto" w:fill="FFFFFF"/>
            <w:vAlign w:val="center"/>
            <w:hideMark/>
          </w:tcPr>
          <w:p w14:paraId="596844E6" w14:textId="77777777" w:rsidR="00E91037" w:rsidRPr="00E91037" w:rsidRDefault="00E91037" w:rsidP="00E91037">
            <w:pPr>
              <w:rPr>
                <w:lang w:val="en-GB"/>
              </w:rPr>
            </w:pPr>
            <w:r w:rsidRPr="00E91037">
              <w:rPr>
                <w:lang w:val="en-GB"/>
              </w:rPr>
              <w:t>• Culturally and linguistically diverse families, including recent migrants and refugees.</w:t>
            </w:r>
            <w:r w:rsidRPr="00E91037">
              <w:rPr>
                <w:lang w:val="en-GB"/>
              </w:rPr>
              <w:br/>
              <w:t>• Grandparent and kinship carers, who often step in informally with limited resources.</w:t>
            </w:r>
            <w:r w:rsidRPr="00E91037">
              <w:rPr>
                <w:lang w:val="en-GB"/>
              </w:rPr>
              <w:br/>
              <w:t>• Families impacted by intergenerational trauma or domestic and family violence.</w:t>
            </w:r>
            <w:r w:rsidRPr="00E91037">
              <w:rPr>
                <w:lang w:val="en-GB"/>
              </w:rPr>
              <w:br/>
              <w:t>We also recommend increased investment in peer-led programs and community co-design approaches, which often build stronger engagement and trust.</w:t>
            </w:r>
            <w:r w:rsidRPr="00E91037">
              <w:rPr>
                <w:lang w:val="en-GB"/>
              </w:rPr>
              <w:br/>
            </w:r>
            <w:r w:rsidRPr="00E91037">
              <w:rPr>
                <w:lang w:val="en-GB"/>
              </w:rPr>
              <w:br/>
              <w:t xml:space="preserve">In the Communities for Children activity across Burnie and </w:t>
            </w:r>
            <w:proofErr w:type="spellStart"/>
            <w:r w:rsidRPr="00E91037">
              <w:rPr>
                <w:lang w:val="en-GB"/>
              </w:rPr>
              <w:t>Shepparton</w:t>
            </w:r>
            <w:proofErr w:type="spellEnd"/>
            <w:r w:rsidRPr="00E91037">
              <w:rPr>
                <w:lang w:val="en-GB"/>
              </w:rPr>
              <w:t>, the playgroup model supports family wellbeing and social connection particularly after a child is born. The First thousand days model strengthens parents' skills and understanding through a peer-to-peer model. This could be developed further to support CALD communities, especially refugees and asylum seekers, given the impact of trauma on people who are now parents.</w:t>
            </w:r>
            <w:r w:rsidRPr="00E91037">
              <w:rPr>
                <w:lang w:val="en-GB"/>
              </w:rPr>
              <w:br/>
            </w:r>
            <w:r w:rsidRPr="00E91037">
              <w:rPr>
                <w:lang w:val="en-GB"/>
              </w:rPr>
              <w:br/>
              <w:t>The inclusion of people with lived experience (CALD, mental health, family violence, etc.) in funding allocation, program design and program delivery is essential.</w:t>
            </w:r>
            <w:r w:rsidRPr="00E91037">
              <w:rPr>
                <w:lang w:val="en-GB"/>
              </w:rPr>
              <w:br/>
              <w:t xml:space="preserve">This type of response can be linked to Community service hubs either virtually or in person/place. Such hubs can provide a soft landing for many people, as well as a place for co-located services and warm referrals. </w:t>
            </w:r>
          </w:p>
        </w:tc>
      </w:tr>
      <w:tr w:rsidR="00E91037" w:rsidRPr="00E91037" w14:paraId="50D01D91" w14:textId="77777777">
        <w:trPr>
          <w:tblCellSpacing w:w="0" w:type="dxa"/>
        </w:trPr>
        <w:tc>
          <w:tcPr>
            <w:tcW w:w="0" w:type="auto"/>
            <w:gridSpan w:val="2"/>
            <w:shd w:val="clear" w:color="auto" w:fill="EAF2FA"/>
            <w:vAlign w:val="center"/>
            <w:hideMark/>
          </w:tcPr>
          <w:p w14:paraId="6EF89099" w14:textId="77777777" w:rsidR="00E91037" w:rsidRPr="00E91037" w:rsidRDefault="00E91037" w:rsidP="00E91037">
            <w:pPr>
              <w:rPr>
                <w:lang w:val="en-GB"/>
              </w:rPr>
            </w:pPr>
            <w:r w:rsidRPr="00E91037">
              <w:rPr>
                <w:b/>
                <w:bCs/>
                <w:lang w:val="en-GB"/>
              </w:rPr>
              <w:t>10. What are other effective ways, beyond co-location, that you’ve seen work well to connect and coordinate services for families?</w:t>
            </w:r>
            <w:r w:rsidRPr="00E91037">
              <w:rPr>
                <w:lang w:val="en-GB"/>
              </w:rPr>
              <w:t xml:space="preserve"> </w:t>
            </w:r>
          </w:p>
        </w:tc>
      </w:tr>
      <w:tr w:rsidR="00E91037" w:rsidRPr="00E91037" w14:paraId="57462B3A" w14:textId="77777777">
        <w:trPr>
          <w:tblCellSpacing w:w="0" w:type="dxa"/>
        </w:trPr>
        <w:tc>
          <w:tcPr>
            <w:tcW w:w="300" w:type="dxa"/>
            <w:shd w:val="clear" w:color="auto" w:fill="FFFFFF"/>
            <w:vAlign w:val="center"/>
            <w:hideMark/>
          </w:tcPr>
          <w:p w14:paraId="5B0B1160" w14:textId="77777777" w:rsidR="00E91037" w:rsidRPr="00E91037" w:rsidRDefault="00E91037" w:rsidP="00E91037">
            <w:pPr>
              <w:rPr>
                <w:lang w:val="en-GB"/>
              </w:rPr>
            </w:pPr>
            <w:r w:rsidRPr="00E91037">
              <w:rPr>
                <w:lang w:val="en-GB"/>
              </w:rPr>
              <w:t> </w:t>
            </w:r>
          </w:p>
        </w:tc>
        <w:tc>
          <w:tcPr>
            <w:tcW w:w="0" w:type="auto"/>
            <w:shd w:val="clear" w:color="auto" w:fill="FFFFFF"/>
            <w:vAlign w:val="center"/>
            <w:hideMark/>
          </w:tcPr>
          <w:p w14:paraId="52A67793" w14:textId="77777777" w:rsidR="00E91037" w:rsidRPr="00E91037" w:rsidRDefault="00E91037" w:rsidP="00E91037">
            <w:pPr>
              <w:rPr>
                <w:lang w:val="en-GB"/>
              </w:rPr>
            </w:pPr>
            <w:r w:rsidRPr="00E91037">
              <w:rPr>
                <w:lang w:val="en-GB"/>
              </w:rPr>
              <w:t>• Warm referrals and shared care planning between agencies and services in a given catchment.</w:t>
            </w:r>
            <w:r w:rsidRPr="00E91037">
              <w:rPr>
                <w:lang w:val="en-GB"/>
              </w:rPr>
              <w:br/>
              <w:t>• Joint case conferencing and interagency networks to coordinate support.</w:t>
            </w:r>
            <w:r w:rsidRPr="00E91037">
              <w:rPr>
                <w:lang w:val="en-GB"/>
              </w:rPr>
              <w:br/>
              <w:t>• Shared digital referral and data platforms to reduce duplication.</w:t>
            </w:r>
            <w:r w:rsidRPr="00E91037">
              <w:rPr>
                <w:lang w:val="en-GB"/>
              </w:rPr>
              <w:br/>
              <w:t>• Community hub models where outreach is delivered through schools, neighbourhood centres, or local gathering spaces.</w:t>
            </w:r>
            <w:r w:rsidRPr="00E91037">
              <w:rPr>
                <w:lang w:val="en-GB"/>
              </w:rPr>
              <w:br/>
              <w:t xml:space="preserve">• Network / Alliance meetings to share practice and referral information of relevant clustered programs (across both State and Federal Services in a given catchment). This works particularly well in regional locations and new or emerging service provision in growth corridors. </w:t>
            </w:r>
            <w:r w:rsidRPr="00E91037">
              <w:rPr>
                <w:lang w:val="en-GB"/>
              </w:rPr>
              <w:br/>
              <w:t xml:space="preserve">• </w:t>
            </w:r>
            <w:proofErr w:type="gramStart"/>
            <w:r w:rsidRPr="00E91037">
              <w:rPr>
                <w:lang w:val="en-GB"/>
              </w:rPr>
              <w:t>MOU’s</w:t>
            </w:r>
            <w:proofErr w:type="gramEnd"/>
            <w:r w:rsidRPr="00E91037">
              <w:rPr>
                <w:lang w:val="en-GB"/>
              </w:rPr>
              <w:t xml:space="preserve"> between organisations to support client pathways. </w:t>
            </w:r>
            <w:r w:rsidRPr="00E91037">
              <w:rPr>
                <w:lang w:val="en-GB"/>
              </w:rPr>
              <w:br/>
              <w:t xml:space="preserve">• An example of a strong and active network is the </w:t>
            </w:r>
            <w:proofErr w:type="gramStart"/>
            <w:r w:rsidRPr="00E91037">
              <w:rPr>
                <w:lang w:val="en-GB"/>
              </w:rPr>
              <w:t>North West</w:t>
            </w:r>
            <w:proofErr w:type="gramEnd"/>
            <w:r w:rsidRPr="00E91037">
              <w:rPr>
                <w:lang w:val="en-GB"/>
              </w:rPr>
              <w:t xml:space="preserve"> Service Providers Forum (NWSPF), facilitated by </w:t>
            </w:r>
            <w:proofErr w:type="spellStart"/>
            <w:r w:rsidRPr="00E91037">
              <w:rPr>
                <w:lang w:val="en-GB"/>
              </w:rPr>
              <w:t>CatholicCare</w:t>
            </w:r>
            <w:proofErr w:type="spellEnd"/>
            <w:r w:rsidRPr="00E91037">
              <w:rPr>
                <w:lang w:val="en-GB"/>
              </w:rPr>
              <w:t xml:space="preserve"> Tasmania, is a strong, vibrant, connected and continually growing network of services (over 95 local providers). </w:t>
            </w:r>
            <w:r w:rsidRPr="00E91037">
              <w:rPr>
                <w:lang w:val="en-GB"/>
              </w:rPr>
              <w:lastRenderedPageBreak/>
              <w:t>The NWSPF meets face-to-face four times a year where service providers present on programs, referral pathways, group-based activity, resources, etc. and collaborate, co-ordinate and share for the benefit of current, potential and future clients; including families, individuals and children. The NWSPF also utilises digital resource and information sharing to maintain current knowledge of service offerings.</w:t>
            </w:r>
            <w:r w:rsidRPr="00E91037">
              <w:rPr>
                <w:lang w:val="en-GB"/>
              </w:rPr>
              <w:br/>
              <w:t xml:space="preserve">• Geographic based provider sessions to inform on service offerings, referral pathways and other supports in local communities. </w:t>
            </w:r>
          </w:p>
        </w:tc>
      </w:tr>
      <w:tr w:rsidR="00E91037" w:rsidRPr="00E91037" w14:paraId="0DFF39B1" w14:textId="77777777">
        <w:trPr>
          <w:tblCellSpacing w:w="0" w:type="dxa"/>
        </w:trPr>
        <w:tc>
          <w:tcPr>
            <w:tcW w:w="0" w:type="auto"/>
            <w:gridSpan w:val="2"/>
            <w:shd w:val="clear" w:color="auto" w:fill="EAF2FA"/>
            <w:vAlign w:val="center"/>
            <w:hideMark/>
          </w:tcPr>
          <w:p w14:paraId="39F52E55" w14:textId="77777777" w:rsidR="00E91037" w:rsidRPr="00E91037" w:rsidRDefault="00E91037" w:rsidP="00E91037">
            <w:pPr>
              <w:rPr>
                <w:lang w:val="en-GB"/>
              </w:rPr>
            </w:pPr>
            <w:r w:rsidRPr="00E91037">
              <w:rPr>
                <w:b/>
                <w:bCs/>
                <w:lang w:val="en-GB"/>
              </w:rPr>
              <w:lastRenderedPageBreak/>
              <w:t>11. What would you highlight in a grant application to demonstrate a service is connected to the community it serves? What should applicants be assessed on?</w:t>
            </w:r>
            <w:r w:rsidRPr="00E91037">
              <w:rPr>
                <w:lang w:val="en-GB"/>
              </w:rPr>
              <w:t xml:space="preserve"> </w:t>
            </w:r>
          </w:p>
        </w:tc>
      </w:tr>
      <w:tr w:rsidR="00E91037" w:rsidRPr="00E91037" w14:paraId="2609E7B1" w14:textId="77777777">
        <w:trPr>
          <w:tblCellSpacing w:w="0" w:type="dxa"/>
        </w:trPr>
        <w:tc>
          <w:tcPr>
            <w:tcW w:w="300" w:type="dxa"/>
            <w:shd w:val="clear" w:color="auto" w:fill="FFFFFF"/>
            <w:vAlign w:val="center"/>
            <w:hideMark/>
          </w:tcPr>
          <w:p w14:paraId="1354E15E" w14:textId="77777777" w:rsidR="00E91037" w:rsidRPr="00E91037" w:rsidRDefault="00E91037" w:rsidP="00E91037">
            <w:pPr>
              <w:rPr>
                <w:lang w:val="en-GB"/>
              </w:rPr>
            </w:pPr>
            <w:r w:rsidRPr="00E91037">
              <w:rPr>
                <w:lang w:val="en-GB"/>
              </w:rPr>
              <w:t> </w:t>
            </w:r>
          </w:p>
        </w:tc>
        <w:tc>
          <w:tcPr>
            <w:tcW w:w="0" w:type="auto"/>
            <w:shd w:val="clear" w:color="auto" w:fill="FFFFFF"/>
            <w:vAlign w:val="center"/>
            <w:hideMark/>
          </w:tcPr>
          <w:p w14:paraId="3A56911D" w14:textId="77777777" w:rsidR="00E91037" w:rsidRPr="00E91037" w:rsidRDefault="00E91037" w:rsidP="00E91037">
            <w:pPr>
              <w:rPr>
                <w:lang w:val="en-GB"/>
              </w:rPr>
            </w:pPr>
            <w:r w:rsidRPr="00E91037">
              <w:rPr>
                <w:lang w:val="en-GB"/>
              </w:rPr>
              <w:t>We would highlight:</w:t>
            </w:r>
            <w:r w:rsidRPr="00E91037">
              <w:rPr>
                <w:lang w:val="en-GB"/>
              </w:rPr>
              <w:br/>
              <w:t xml:space="preserve">• Community participation activities. </w:t>
            </w:r>
            <w:r w:rsidRPr="00E91037">
              <w:rPr>
                <w:lang w:val="en-GB"/>
              </w:rPr>
              <w:br/>
              <w:t xml:space="preserve">• Demonstrated co-design initiatives. </w:t>
            </w:r>
            <w:r w:rsidRPr="00E91037">
              <w:rPr>
                <w:lang w:val="en-GB"/>
              </w:rPr>
              <w:br/>
              <w:t>• Partnerships with schools, health and social service providers, and local government.</w:t>
            </w:r>
            <w:r w:rsidRPr="00E91037">
              <w:rPr>
                <w:lang w:val="en-GB"/>
              </w:rPr>
              <w:br/>
              <w:t>• Client feedback mechanisms and the correlation with enhanced service delivery.</w:t>
            </w:r>
            <w:r w:rsidRPr="00E91037">
              <w:rPr>
                <w:lang w:val="en-GB"/>
              </w:rPr>
              <w:br/>
              <w:t>• Evidence of service commitment to a catchment.</w:t>
            </w:r>
            <w:r w:rsidRPr="00E91037">
              <w:rPr>
                <w:lang w:val="en-GB"/>
              </w:rPr>
              <w:br/>
              <w:t>• Referrals from community providers, including community service organisations, GPs, allied health, etc.</w:t>
            </w:r>
            <w:r w:rsidRPr="00E91037">
              <w:rPr>
                <w:lang w:val="en-GB"/>
              </w:rPr>
              <w:br/>
              <w:t>• Demonstrated engagement with those with lived experience.</w:t>
            </w:r>
            <w:r w:rsidRPr="00E91037">
              <w:rPr>
                <w:lang w:val="en-GB"/>
              </w:rPr>
              <w:br/>
              <w:t>• Demonstrated relationships with broader and specialist service sector organisations, e.g. legal services, family courts, corrective / justice services, mental health services, AOD services, and family violence services.</w:t>
            </w:r>
            <w:r w:rsidRPr="00E91037">
              <w:rPr>
                <w:lang w:val="en-GB"/>
              </w:rPr>
              <w:br/>
              <w:t>We would highlight:</w:t>
            </w:r>
            <w:r w:rsidRPr="00E91037">
              <w:rPr>
                <w:lang w:val="en-GB"/>
              </w:rPr>
              <w:br/>
              <w:t xml:space="preserve">• Community participation activities. </w:t>
            </w:r>
            <w:r w:rsidRPr="00E91037">
              <w:rPr>
                <w:lang w:val="en-GB"/>
              </w:rPr>
              <w:br/>
              <w:t xml:space="preserve">• Demonstrated co-design initiatives. </w:t>
            </w:r>
            <w:r w:rsidRPr="00E91037">
              <w:rPr>
                <w:lang w:val="en-GB"/>
              </w:rPr>
              <w:br/>
              <w:t>• Partnerships with schools, health and social service providers, and local government.</w:t>
            </w:r>
            <w:r w:rsidRPr="00E91037">
              <w:rPr>
                <w:lang w:val="en-GB"/>
              </w:rPr>
              <w:br/>
              <w:t>• Client feedback mechanisms and the correlation with enhanced service delivery.</w:t>
            </w:r>
            <w:r w:rsidRPr="00E91037">
              <w:rPr>
                <w:lang w:val="en-GB"/>
              </w:rPr>
              <w:br/>
              <w:t>• Evidence of service commitment to a catchment.</w:t>
            </w:r>
            <w:r w:rsidRPr="00E91037">
              <w:rPr>
                <w:lang w:val="en-GB"/>
              </w:rPr>
              <w:br/>
              <w:t>• Referrals from community providers, including community service organisations, GPs, allied health, etc.</w:t>
            </w:r>
            <w:r w:rsidRPr="00E91037">
              <w:rPr>
                <w:lang w:val="en-GB"/>
              </w:rPr>
              <w:br/>
              <w:t>• Demonstrated engagement with those with lived experience.</w:t>
            </w:r>
            <w:r w:rsidRPr="00E91037">
              <w:rPr>
                <w:lang w:val="en-GB"/>
              </w:rPr>
              <w:br/>
              <w:t xml:space="preserve">• Demonstrated relationships with broader and specialist service sector organisations, e.g. legal services, family courts, corrective / justice services, mental health services, AOD services, and family violence services. </w:t>
            </w:r>
          </w:p>
        </w:tc>
      </w:tr>
      <w:tr w:rsidR="00E91037" w:rsidRPr="00E91037" w14:paraId="56A6B91D" w14:textId="77777777">
        <w:trPr>
          <w:tblCellSpacing w:w="0" w:type="dxa"/>
        </w:trPr>
        <w:tc>
          <w:tcPr>
            <w:tcW w:w="0" w:type="auto"/>
            <w:gridSpan w:val="2"/>
            <w:shd w:val="clear" w:color="auto" w:fill="EAF2FA"/>
            <w:vAlign w:val="center"/>
            <w:hideMark/>
          </w:tcPr>
          <w:p w14:paraId="650A4931" w14:textId="77777777" w:rsidR="00E91037" w:rsidRPr="00E91037" w:rsidRDefault="00E91037" w:rsidP="00E91037">
            <w:pPr>
              <w:rPr>
                <w:lang w:val="en-GB"/>
              </w:rPr>
            </w:pPr>
            <w:r w:rsidRPr="00E91037">
              <w:rPr>
                <w:b/>
                <w:bCs/>
                <w:lang w:val="en-GB"/>
              </w:rPr>
              <w:t xml:space="preserve">12. Beyond locational disadvantage, what other factors should the department consider </w:t>
            </w:r>
            <w:proofErr w:type="gramStart"/>
            <w:r w:rsidRPr="00E91037">
              <w:rPr>
                <w:b/>
                <w:bCs/>
                <w:lang w:val="en-GB"/>
              </w:rPr>
              <w:t>to make sure</w:t>
            </w:r>
            <w:proofErr w:type="gramEnd"/>
            <w:r w:rsidRPr="00E91037">
              <w:rPr>
                <w:b/>
                <w:bCs/>
                <w:lang w:val="en-GB"/>
              </w:rPr>
              <w:t xml:space="preserve"> funding reflects the needs of communities?</w:t>
            </w:r>
            <w:r w:rsidRPr="00E91037">
              <w:rPr>
                <w:lang w:val="en-GB"/>
              </w:rPr>
              <w:t xml:space="preserve"> </w:t>
            </w:r>
          </w:p>
        </w:tc>
      </w:tr>
      <w:tr w:rsidR="00E91037" w:rsidRPr="00E91037" w14:paraId="6C21437E" w14:textId="77777777">
        <w:trPr>
          <w:tblCellSpacing w:w="0" w:type="dxa"/>
        </w:trPr>
        <w:tc>
          <w:tcPr>
            <w:tcW w:w="300" w:type="dxa"/>
            <w:shd w:val="clear" w:color="auto" w:fill="FFFFFF"/>
            <w:vAlign w:val="center"/>
            <w:hideMark/>
          </w:tcPr>
          <w:p w14:paraId="55185EFB" w14:textId="77777777" w:rsidR="00E91037" w:rsidRPr="00E91037" w:rsidRDefault="00E91037" w:rsidP="00E91037">
            <w:pPr>
              <w:rPr>
                <w:lang w:val="en-GB"/>
              </w:rPr>
            </w:pPr>
            <w:r w:rsidRPr="00E91037">
              <w:rPr>
                <w:lang w:val="en-GB"/>
              </w:rPr>
              <w:lastRenderedPageBreak/>
              <w:t> </w:t>
            </w:r>
          </w:p>
        </w:tc>
        <w:tc>
          <w:tcPr>
            <w:tcW w:w="0" w:type="auto"/>
            <w:shd w:val="clear" w:color="auto" w:fill="FFFFFF"/>
            <w:vAlign w:val="center"/>
            <w:hideMark/>
          </w:tcPr>
          <w:p w14:paraId="2300AE09" w14:textId="77777777" w:rsidR="00E91037" w:rsidRPr="00E91037" w:rsidRDefault="00E91037" w:rsidP="00E91037">
            <w:pPr>
              <w:rPr>
                <w:lang w:val="en-GB"/>
              </w:rPr>
            </w:pPr>
            <w:r w:rsidRPr="00E91037">
              <w:rPr>
                <w:lang w:val="en-GB"/>
              </w:rPr>
              <w:t>• Social isolation, especially among regional and newly arrived families.</w:t>
            </w:r>
            <w:r w:rsidRPr="00E91037">
              <w:rPr>
                <w:lang w:val="en-GB"/>
              </w:rPr>
              <w:br/>
              <w:t>• Access to transport.</w:t>
            </w:r>
            <w:r w:rsidRPr="00E91037">
              <w:rPr>
                <w:lang w:val="en-GB"/>
              </w:rPr>
              <w:br/>
              <w:t>• Digital connectivity.</w:t>
            </w:r>
            <w:r w:rsidRPr="00E91037">
              <w:rPr>
                <w:lang w:val="en-GB"/>
              </w:rPr>
              <w:br/>
              <w:t>• Local employment.</w:t>
            </w:r>
            <w:r w:rsidRPr="00E91037">
              <w:rPr>
                <w:lang w:val="en-GB"/>
              </w:rPr>
              <w:br/>
              <w:t>• Housing and homelessness.</w:t>
            </w:r>
            <w:r w:rsidRPr="00E91037">
              <w:rPr>
                <w:lang w:val="en-GB"/>
              </w:rPr>
              <w:br/>
              <w:t>• Financial wellbeing, e.g. cost-of-living pressures.</w:t>
            </w:r>
            <w:r w:rsidRPr="00E91037">
              <w:rPr>
                <w:lang w:val="en-GB"/>
              </w:rPr>
              <w:br/>
              <w:t xml:space="preserve">• Changing demographics particularly in growth corridors and major capital cities. </w:t>
            </w:r>
          </w:p>
        </w:tc>
      </w:tr>
      <w:tr w:rsidR="00E91037" w:rsidRPr="00E91037" w14:paraId="207A1ABF" w14:textId="77777777">
        <w:trPr>
          <w:tblCellSpacing w:w="0" w:type="dxa"/>
        </w:trPr>
        <w:tc>
          <w:tcPr>
            <w:tcW w:w="0" w:type="auto"/>
            <w:gridSpan w:val="2"/>
            <w:shd w:val="clear" w:color="auto" w:fill="EAF2FA"/>
            <w:vAlign w:val="center"/>
            <w:hideMark/>
          </w:tcPr>
          <w:p w14:paraId="532729C4" w14:textId="77777777" w:rsidR="00E91037" w:rsidRPr="00E91037" w:rsidRDefault="00E91037" w:rsidP="00E91037">
            <w:pPr>
              <w:rPr>
                <w:lang w:val="en-GB"/>
              </w:rPr>
            </w:pPr>
            <w:r w:rsidRPr="00E91037">
              <w:rPr>
                <w:b/>
                <w:bCs/>
                <w:lang w:val="en-GB"/>
              </w:rPr>
              <w:t>13. What’s the best way for organisations to show in grant applications, that their service is genuinely meeting the needs of the community?</w:t>
            </w:r>
            <w:r w:rsidRPr="00E91037">
              <w:rPr>
                <w:lang w:val="en-GB"/>
              </w:rPr>
              <w:t xml:space="preserve"> </w:t>
            </w:r>
          </w:p>
        </w:tc>
      </w:tr>
      <w:tr w:rsidR="00E91037" w:rsidRPr="00E91037" w14:paraId="15FBA0E5" w14:textId="77777777">
        <w:trPr>
          <w:tblCellSpacing w:w="0" w:type="dxa"/>
        </w:trPr>
        <w:tc>
          <w:tcPr>
            <w:tcW w:w="300" w:type="dxa"/>
            <w:shd w:val="clear" w:color="auto" w:fill="FFFFFF"/>
            <w:vAlign w:val="center"/>
            <w:hideMark/>
          </w:tcPr>
          <w:p w14:paraId="0760E35D" w14:textId="77777777" w:rsidR="00E91037" w:rsidRPr="00E91037" w:rsidRDefault="00E91037" w:rsidP="00E91037">
            <w:pPr>
              <w:rPr>
                <w:lang w:val="en-GB"/>
              </w:rPr>
            </w:pPr>
            <w:r w:rsidRPr="00E91037">
              <w:rPr>
                <w:lang w:val="en-GB"/>
              </w:rPr>
              <w:t> </w:t>
            </w:r>
          </w:p>
        </w:tc>
        <w:tc>
          <w:tcPr>
            <w:tcW w:w="0" w:type="auto"/>
            <w:shd w:val="clear" w:color="auto" w:fill="FFFFFF"/>
            <w:vAlign w:val="center"/>
            <w:hideMark/>
          </w:tcPr>
          <w:p w14:paraId="2AFF0F53" w14:textId="77777777" w:rsidR="00E91037" w:rsidRPr="00E91037" w:rsidRDefault="00E91037" w:rsidP="00E91037">
            <w:pPr>
              <w:rPr>
                <w:lang w:val="en-GB"/>
              </w:rPr>
            </w:pPr>
            <w:r w:rsidRPr="00E91037">
              <w:rPr>
                <w:lang w:val="en-GB"/>
              </w:rPr>
              <w:t>• Use local data (e.g. census, wellbeing surveys), population data and lived experience input.</w:t>
            </w:r>
            <w:r w:rsidRPr="00E91037">
              <w:rPr>
                <w:lang w:val="en-GB"/>
              </w:rPr>
              <w:br/>
              <w:t>• Provide evidence of community consultation and collaboration.</w:t>
            </w:r>
            <w:r w:rsidRPr="00E91037">
              <w:rPr>
                <w:lang w:val="en-GB"/>
              </w:rPr>
              <w:br/>
              <w:t>• Demonstrate adaptability — showing how services have evolved in response to local challenges.</w:t>
            </w:r>
            <w:r w:rsidRPr="00E91037">
              <w:rPr>
                <w:lang w:val="en-GB"/>
              </w:rPr>
              <w:br/>
              <w:t>• Include both quantitative outcomes and qualitative data and stories of change.</w:t>
            </w:r>
            <w:r w:rsidRPr="00E91037">
              <w:rPr>
                <w:lang w:val="en-GB"/>
              </w:rPr>
              <w:br/>
              <w:t xml:space="preserve">• Client and participant feedback, case studies. </w:t>
            </w:r>
            <w:r w:rsidRPr="00E91037">
              <w:rPr>
                <w:lang w:val="en-GB"/>
              </w:rPr>
              <w:br/>
              <w:t>• Demographics of clients.</w:t>
            </w:r>
            <w:r w:rsidRPr="00E91037">
              <w:rPr>
                <w:lang w:val="en-GB"/>
              </w:rPr>
              <w:br/>
              <w:t>• Measures of accessibility.</w:t>
            </w:r>
            <w:r w:rsidRPr="00E91037">
              <w:rPr>
                <w:lang w:val="en-GB"/>
              </w:rPr>
              <w:br/>
              <w:t>• Outcomes measurement.</w:t>
            </w:r>
            <w:r w:rsidRPr="00E91037">
              <w:rPr>
                <w:lang w:val="en-GB"/>
              </w:rPr>
              <w:br/>
              <w:t>• Quality improvement processes.</w:t>
            </w:r>
            <w:r w:rsidRPr="00E91037">
              <w:rPr>
                <w:lang w:val="en-GB"/>
              </w:rPr>
              <w:br/>
              <w:t xml:space="preserve">• Workforce diversity and inclusivity. </w:t>
            </w:r>
          </w:p>
        </w:tc>
      </w:tr>
      <w:tr w:rsidR="00E91037" w:rsidRPr="00E91037" w14:paraId="6160594E" w14:textId="77777777">
        <w:trPr>
          <w:tblCellSpacing w:w="0" w:type="dxa"/>
        </w:trPr>
        <w:tc>
          <w:tcPr>
            <w:tcW w:w="0" w:type="auto"/>
            <w:gridSpan w:val="2"/>
            <w:shd w:val="clear" w:color="auto" w:fill="EAF2FA"/>
            <w:vAlign w:val="center"/>
            <w:hideMark/>
          </w:tcPr>
          <w:p w14:paraId="71583E71" w14:textId="77777777" w:rsidR="00E91037" w:rsidRPr="00E91037" w:rsidRDefault="00E91037" w:rsidP="00E91037">
            <w:pPr>
              <w:rPr>
                <w:lang w:val="en-GB"/>
              </w:rPr>
            </w:pPr>
            <w:r w:rsidRPr="00E91037">
              <w:rPr>
                <w:b/>
                <w:bCs/>
                <w:lang w:val="en-GB"/>
              </w:rPr>
              <w:t>14. How could the grant process be designed to support and increase the number of ACCOs delivering services to children and families?</w:t>
            </w:r>
            <w:r w:rsidRPr="00E91037">
              <w:rPr>
                <w:lang w:val="en-GB"/>
              </w:rPr>
              <w:t xml:space="preserve"> </w:t>
            </w:r>
          </w:p>
        </w:tc>
      </w:tr>
      <w:tr w:rsidR="00E91037" w:rsidRPr="00E91037" w14:paraId="57994605" w14:textId="77777777">
        <w:trPr>
          <w:tblCellSpacing w:w="0" w:type="dxa"/>
        </w:trPr>
        <w:tc>
          <w:tcPr>
            <w:tcW w:w="300" w:type="dxa"/>
            <w:shd w:val="clear" w:color="auto" w:fill="FFFFFF"/>
            <w:vAlign w:val="center"/>
            <w:hideMark/>
          </w:tcPr>
          <w:p w14:paraId="484EE0AC" w14:textId="77777777" w:rsidR="00E91037" w:rsidRPr="00E91037" w:rsidRDefault="00E91037" w:rsidP="00E91037">
            <w:pPr>
              <w:rPr>
                <w:lang w:val="en-GB"/>
              </w:rPr>
            </w:pPr>
            <w:r w:rsidRPr="00E91037">
              <w:rPr>
                <w:lang w:val="en-GB"/>
              </w:rPr>
              <w:t> </w:t>
            </w:r>
          </w:p>
        </w:tc>
        <w:tc>
          <w:tcPr>
            <w:tcW w:w="0" w:type="auto"/>
            <w:shd w:val="clear" w:color="auto" w:fill="FFFFFF"/>
            <w:vAlign w:val="center"/>
            <w:hideMark/>
          </w:tcPr>
          <w:p w14:paraId="150E1070" w14:textId="77777777" w:rsidR="00E91037" w:rsidRPr="00E91037" w:rsidRDefault="00E91037" w:rsidP="00E91037">
            <w:pPr>
              <w:rPr>
                <w:lang w:val="en-GB"/>
              </w:rPr>
            </w:pPr>
            <w:r w:rsidRPr="00E91037">
              <w:rPr>
                <w:lang w:val="en-GB"/>
              </w:rPr>
              <w:t>• Allocation of additional funding to increase ACCO service response.</w:t>
            </w:r>
            <w:r w:rsidRPr="00E91037">
              <w:rPr>
                <w:lang w:val="en-GB"/>
              </w:rPr>
              <w:br/>
              <w:t>• Simplify and de-bureaucratise application and reporting processes.</w:t>
            </w:r>
            <w:r w:rsidRPr="00E91037">
              <w:rPr>
                <w:lang w:val="en-GB"/>
              </w:rPr>
              <w:br/>
              <w:t>• Provide mentoring and partnership pathways between ACCOs and NGOs to share capacity, governance, and evaluation expertise.</w:t>
            </w:r>
            <w:r w:rsidRPr="00E91037">
              <w:rPr>
                <w:lang w:val="en-GB"/>
              </w:rPr>
              <w:br/>
              <w:t>• Expand relational contracting models to prioritise trust-based, long-term partnerships over short-term compliance.</w:t>
            </w:r>
            <w:r w:rsidRPr="00E91037">
              <w:rPr>
                <w:lang w:val="en-GB"/>
              </w:rPr>
              <w:br/>
              <w:t>• Decrease the burden for ACCOs; while maintaining and/or increasing funding, decrease the complexity, the number of Agreements, etc.</w:t>
            </w:r>
            <w:r w:rsidRPr="00E91037">
              <w:rPr>
                <w:lang w:val="en-GB"/>
              </w:rPr>
              <w:br/>
              <w:t xml:space="preserve">• Recognising and supporting data sovereignty </w:t>
            </w:r>
            <w:r w:rsidRPr="00E91037">
              <w:rPr>
                <w:lang w:val="en-GB"/>
              </w:rPr>
              <w:br/>
              <w:t xml:space="preserve">• Recognise the differing circumstances for ACCOs/ACCHOs existing across Australia due to state-based initiatives. For example, many ACCOs face challenging workforce pressures with the transition of child protection responsibilities to them as well as Intensive Family Support Services, etc. State and Federal governments are requiring them to be involved in significant reform. </w:t>
            </w:r>
            <w:r w:rsidRPr="00E91037">
              <w:rPr>
                <w:lang w:val="en-GB"/>
              </w:rPr>
              <w:br/>
            </w:r>
            <w:r w:rsidRPr="00E91037">
              <w:rPr>
                <w:lang w:val="en-GB"/>
              </w:rPr>
              <w:lastRenderedPageBreak/>
              <w:t>• Either set % funding allocation requirement where mainstream services are funded in geographic areas with large populations of First Nations people or, where an overlap exists with regard to service type e.g. pre-existing ATSI focussed place-based initiative, increase their funding directly thereby allowing them to continue business without govt forcing the ACCO to engage in another partnership.</w:t>
            </w:r>
            <w:r w:rsidRPr="00E91037">
              <w:rPr>
                <w:lang w:val="en-GB"/>
              </w:rPr>
              <w:br/>
              <w:t xml:space="preserve">• Require all DSS funded programs to seek to maintain and/or increase the number of First Nations people using their services – demonstrated through DEX. </w:t>
            </w:r>
          </w:p>
        </w:tc>
      </w:tr>
      <w:tr w:rsidR="00E91037" w:rsidRPr="00E91037" w14:paraId="1D3470D2" w14:textId="77777777">
        <w:trPr>
          <w:tblCellSpacing w:w="0" w:type="dxa"/>
        </w:trPr>
        <w:tc>
          <w:tcPr>
            <w:tcW w:w="0" w:type="auto"/>
            <w:gridSpan w:val="2"/>
            <w:shd w:val="clear" w:color="auto" w:fill="EAF2FA"/>
            <w:vAlign w:val="center"/>
            <w:hideMark/>
          </w:tcPr>
          <w:p w14:paraId="2E200389" w14:textId="77777777" w:rsidR="00E91037" w:rsidRPr="00E91037" w:rsidRDefault="00E91037" w:rsidP="00E91037">
            <w:pPr>
              <w:rPr>
                <w:lang w:val="en-GB"/>
              </w:rPr>
            </w:pPr>
            <w:r w:rsidRPr="00E91037">
              <w:rPr>
                <w:b/>
                <w:bCs/>
                <w:lang w:val="en-GB"/>
              </w:rPr>
              <w:lastRenderedPageBreak/>
              <w:t>15. What else should be built into the program design to help improve outcomes for Aboriginal and Torres Strait Islander children and families?</w:t>
            </w:r>
            <w:r w:rsidRPr="00E91037">
              <w:rPr>
                <w:lang w:val="en-GB"/>
              </w:rPr>
              <w:t xml:space="preserve"> </w:t>
            </w:r>
          </w:p>
        </w:tc>
      </w:tr>
      <w:tr w:rsidR="00E91037" w:rsidRPr="00E91037" w14:paraId="4800E1A2" w14:textId="77777777">
        <w:trPr>
          <w:tblCellSpacing w:w="0" w:type="dxa"/>
        </w:trPr>
        <w:tc>
          <w:tcPr>
            <w:tcW w:w="300" w:type="dxa"/>
            <w:shd w:val="clear" w:color="auto" w:fill="FFFFFF"/>
            <w:vAlign w:val="center"/>
            <w:hideMark/>
          </w:tcPr>
          <w:p w14:paraId="7FD8D7CA" w14:textId="77777777" w:rsidR="00E91037" w:rsidRPr="00E91037" w:rsidRDefault="00E91037" w:rsidP="00E91037">
            <w:pPr>
              <w:rPr>
                <w:lang w:val="en-GB"/>
              </w:rPr>
            </w:pPr>
            <w:r w:rsidRPr="00E91037">
              <w:rPr>
                <w:lang w:val="en-GB"/>
              </w:rPr>
              <w:t> </w:t>
            </w:r>
          </w:p>
        </w:tc>
        <w:tc>
          <w:tcPr>
            <w:tcW w:w="0" w:type="auto"/>
            <w:shd w:val="clear" w:color="auto" w:fill="FFFFFF"/>
            <w:vAlign w:val="center"/>
            <w:hideMark/>
          </w:tcPr>
          <w:p w14:paraId="3CDB66BB" w14:textId="77777777" w:rsidR="00E91037" w:rsidRPr="00E91037" w:rsidRDefault="00E91037" w:rsidP="00E91037">
            <w:pPr>
              <w:rPr>
                <w:lang w:val="en-GB"/>
              </w:rPr>
            </w:pPr>
            <w:r w:rsidRPr="00E91037">
              <w:rPr>
                <w:lang w:val="en-GB"/>
              </w:rPr>
              <w:t>• Embed self-determination principles and align with the Closing the Gap Priority Reforms.</w:t>
            </w:r>
            <w:r w:rsidRPr="00E91037">
              <w:rPr>
                <w:lang w:val="en-GB"/>
              </w:rPr>
              <w:br/>
              <w:t>• Support community-led design and evaluation frameworks.</w:t>
            </w:r>
            <w:r w:rsidRPr="00E91037">
              <w:rPr>
                <w:lang w:val="en-GB"/>
              </w:rPr>
              <w:br/>
              <w:t>• Require cultural safety standards across all funded services.</w:t>
            </w:r>
            <w:r w:rsidRPr="00E91037">
              <w:rPr>
                <w:lang w:val="en-GB"/>
              </w:rPr>
              <w:br/>
              <w:t>• Fund cultural connection activities as legitimate program outcomes, not just add-ons.</w:t>
            </w:r>
            <w:r w:rsidRPr="00E91037">
              <w:rPr>
                <w:lang w:val="en-GB"/>
              </w:rPr>
              <w:br/>
              <w:t>• Ensure awareness and understanding of the UN Declaration on the Rights of Indigenous People and how the declaration relates to service delivery by mainstream services.</w:t>
            </w:r>
            <w:r w:rsidRPr="00E91037">
              <w:rPr>
                <w:lang w:val="en-GB"/>
              </w:rPr>
              <w:br/>
              <w:t>• All organisations to understand and support data sovereignty.</w:t>
            </w:r>
            <w:r w:rsidRPr="00E91037">
              <w:rPr>
                <w:lang w:val="en-GB"/>
              </w:rPr>
              <w:br/>
              <w:t>• Ensure activities/programs are strengths based and appropriate to local cultural requirements, and that reporting is also focussed on strengths and not deficits.</w:t>
            </w:r>
            <w:r w:rsidRPr="00E91037">
              <w:rPr>
                <w:lang w:val="en-GB"/>
              </w:rPr>
              <w:br/>
              <w:t xml:space="preserve">• Note that in Victoria, Treaty will likely require stronger relationships with Traditional Owners at the place-based level. </w:t>
            </w:r>
          </w:p>
        </w:tc>
      </w:tr>
      <w:tr w:rsidR="00E91037" w:rsidRPr="00E91037" w14:paraId="0A45690D" w14:textId="77777777">
        <w:trPr>
          <w:tblCellSpacing w:w="0" w:type="dxa"/>
        </w:trPr>
        <w:tc>
          <w:tcPr>
            <w:tcW w:w="0" w:type="auto"/>
            <w:gridSpan w:val="2"/>
            <w:shd w:val="clear" w:color="auto" w:fill="EAF2FA"/>
            <w:vAlign w:val="center"/>
            <w:hideMark/>
          </w:tcPr>
          <w:p w14:paraId="64DCEB8D" w14:textId="77777777" w:rsidR="00E91037" w:rsidRPr="00E91037" w:rsidRDefault="00E91037" w:rsidP="00E91037">
            <w:pPr>
              <w:rPr>
                <w:lang w:val="en-GB"/>
              </w:rPr>
            </w:pPr>
            <w:r w:rsidRPr="00E91037">
              <w:rPr>
                <w:b/>
                <w:bCs/>
                <w:lang w:val="en-GB"/>
              </w:rPr>
              <w:t>16. What types of data would help your organisation better understand its impact and continuously improve its services?</w:t>
            </w:r>
            <w:r w:rsidRPr="00E91037">
              <w:rPr>
                <w:lang w:val="en-GB"/>
              </w:rPr>
              <w:t xml:space="preserve"> </w:t>
            </w:r>
          </w:p>
        </w:tc>
      </w:tr>
      <w:tr w:rsidR="00E91037" w:rsidRPr="00E91037" w14:paraId="46B32677" w14:textId="77777777">
        <w:trPr>
          <w:tblCellSpacing w:w="0" w:type="dxa"/>
        </w:trPr>
        <w:tc>
          <w:tcPr>
            <w:tcW w:w="300" w:type="dxa"/>
            <w:shd w:val="clear" w:color="auto" w:fill="FFFFFF"/>
            <w:vAlign w:val="center"/>
            <w:hideMark/>
          </w:tcPr>
          <w:p w14:paraId="23DBCF9F" w14:textId="77777777" w:rsidR="00E91037" w:rsidRPr="00E91037" w:rsidRDefault="00E91037" w:rsidP="00E91037">
            <w:pPr>
              <w:rPr>
                <w:lang w:val="en-GB"/>
              </w:rPr>
            </w:pPr>
            <w:r w:rsidRPr="00E91037">
              <w:rPr>
                <w:lang w:val="en-GB"/>
              </w:rPr>
              <w:t> </w:t>
            </w:r>
          </w:p>
        </w:tc>
        <w:tc>
          <w:tcPr>
            <w:tcW w:w="0" w:type="auto"/>
            <w:shd w:val="clear" w:color="auto" w:fill="FFFFFF"/>
            <w:vAlign w:val="center"/>
            <w:hideMark/>
          </w:tcPr>
          <w:p w14:paraId="42B8CD92" w14:textId="77777777" w:rsidR="00E91037" w:rsidRPr="00E91037" w:rsidRDefault="00E91037" w:rsidP="00E91037">
            <w:pPr>
              <w:rPr>
                <w:lang w:val="en-GB"/>
              </w:rPr>
            </w:pPr>
            <w:r w:rsidRPr="00E91037">
              <w:rPr>
                <w:lang w:val="en-GB"/>
              </w:rPr>
              <w:t>• Client feedback data (surveys, closure feedback, aggregated complaints, interviews, focus groups).</w:t>
            </w:r>
            <w:r w:rsidRPr="00E91037">
              <w:rPr>
                <w:lang w:val="en-GB"/>
              </w:rPr>
              <w:br/>
              <w:t>• Longitudinal measures of family wellbeing and resilience.</w:t>
            </w:r>
            <w:r w:rsidRPr="00E91037">
              <w:rPr>
                <w:lang w:val="en-GB"/>
              </w:rPr>
              <w:br/>
              <w:t>• Referral pathway information and service connection data.</w:t>
            </w:r>
            <w:r w:rsidRPr="00E91037">
              <w:rPr>
                <w:lang w:val="en-GB"/>
              </w:rPr>
              <w:br/>
              <w:t>• Data from service delivery informed by local service intelligence at the catchment level.</w:t>
            </w:r>
            <w:r w:rsidRPr="00E91037">
              <w:rPr>
                <w:lang w:val="en-GB"/>
              </w:rPr>
              <w:br/>
              <w:t>• Changes in demographic profile over time by location (metropolitan vs regional, rural and remote).</w:t>
            </w:r>
            <w:r w:rsidRPr="00E91037">
              <w:rPr>
                <w:lang w:val="en-GB"/>
              </w:rPr>
              <w:br/>
              <w:t>• Cultural and community participation indicators.</w:t>
            </w:r>
            <w:r w:rsidRPr="00E91037">
              <w:rPr>
                <w:lang w:val="en-GB"/>
              </w:rPr>
              <w:br/>
              <w:t>• Changing community need and diversity, for example, DEX data shows us who we are servicing but does not necessarily reflect changing community need.</w:t>
            </w:r>
            <w:r w:rsidRPr="00E91037">
              <w:rPr>
                <w:lang w:val="en-GB"/>
              </w:rPr>
              <w:br/>
              <w:t xml:space="preserve">• Aggregated data from DEX and community profiles should be made more public to </w:t>
            </w:r>
            <w:r w:rsidRPr="00E91037">
              <w:rPr>
                <w:lang w:val="en-GB"/>
              </w:rPr>
              <w:lastRenderedPageBreak/>
              <w:t>assist organisations to review how their local dataset compares to a regional or statewide dataset over time.</w:t>
            </w:r>
            <w:r w:rsidRPr="00E91037">
              <w:rPr>
                <w:lang w:val="en-GB"/>
              </w:rPr>
              <w:br/>
              <w:t>• Service disengagement data including an overview of this profile and understanding of the reasons the service was not suitable / appropriate or relevant.</w:t>
            </w:r>
            <w:r w:rsidRPr="00E91037">
              <w:rPr>
                <w:lang w:val="en-GB"/>
              </w:rPr>
              <w:br/>
              <w:t xml:space="preserve">• A range of whole of community data, ideally both quantitative and qualitative, that is disaggregated so particular cohorts are prioritised for service/support. Current organisational data only reflects those already accessing services. There is an information gap for those cohorts categorised as vulnerable yet for whom data is not available and accessible. </w:t>
            </w:r>
          </w:p>
        </w:tc>
      </w:tr>
      <w:tr w:rsidR="00E91037" w:rsidRPr="00E91037" w14:paraId="24785B1B" w14:textId="77777777">
        <w:trPr>
          <w:tblCellSpacing w:w="0" w:type="dxa"/>
        </w:trPr>
        <w:tc>
          <w:tcPr>
            <w:tcW w:w="0" w:type="auto"/>
            <w:gridSpan w:val="2"/>
            <w:shd w:val="clear" w:color="auto" w:fill="EAF2FA"/>
            <w:vAlign w:val="center"/>
            <w:hideMark/>
          </w:tcPr>
          <w:p w14:paraId="61D7878F" w14:textId="77777777" w:rsidR="00E91037" w:rsidRPr="00E91037" w:rsidRDefault="00E91037" w:rsidP="00E91037">
            <w:pPr>
              <w:rPr>
                <w:lang w:val="en-GB"/>
              </w:rPr>
            </w:pPr>
            <w:r w:rsidRPr="00E91037">
              <w:rPr>
                <w:b/>
                <w:bCs/>
                <w:lang w:val="en-GB"/>
              </w:rPr>
              <w:lastRenderedPageBreak/>
              <w:t>17. What kinds of data or information would be most valuable for you to share, to show how your service is positively impacting children and families?</w:t>
            </w:r>
            <w:r w:rsidRPr="00E91037">
              <w:rPr>
                <w:lang w:val="en-GB"/>
              </w:rPr>
              <w:t xml:space="preserve"> </w:t>
            </w:r>
          </w:p>
        </w:tc>
      </w:tr>
      <w:tr w:rsidR="00E91037" w:rsidRPr="00E91037" w14:paraId="2FC9700E" w14:textId="77777777">
        <w:trPr>
          <w:tblCellSpacing w:w="0" w:type="dxa"/>
        </w:trPr>
        <w:tc>
          <w:tcPr>
            <w:tcW w:w="300" w:type="dxa"/>
            <w:shd w:val="clear" w:color="auto" w:fill="FFFFFF"/>
            <w:vAlign w:val="center"/>
            <w:hideMark/>
          </w:tcPr>
          <w:p w14:paraId="384BF2B3" w14:textId="77777777" w:rsidR="00E91037" w:rsidRPr="00E91037" w:rsidRDefault="00E91037" w:rsidP="00E91037">
            <w:pPr>
              <w:rPr>
                <w:lang w:val="en-GB"/>
              </w:rPr>
            </w:pPr>
            <w:r w:rsidRPr="00E91037">
              <w:rPr>
                <w:lang w:val="en-GB"/>
              </w:rPr>
              <w:t> </w:t>
            </w:r>
          </w:p>
        </w:tc>
        <w:tc>
          <w:tcPr>
            <w:tcW w:w="0" w:type="auto"/>
            <w:shd w:val="clear" w:color="auto" w:fill="FFFFFF"/>
            <w:vAlign w:val="center"/>
            <w:hideMark/>
          </w:tcPr>
          <w:p w14:paraId="54AA9957" w14:textId="77777777" w:rsidR="00E91037" w:rsidRPr="00E91037" w:rsidRDefault="00E91037" w:rsidP="00E91037">
            <w:pPr>
              <w:rPr>
                <w:lang w:val="en-GB"/>
              </w:rPr>
            </w:pPr>
            <w:r w:rsidRPr="00E91037">
              <w:rPr>
                <w:lang w:val="en-GB"/>
              </w:rPr>
              <w:t>This is dependent on the type of service being provided. However, across CCVT we closely monitor Service delivery and operational risks to understand trends and issues to inform improved service delivery, including:</w:t>
            </w:r>
            <w:r w:rsidRPr="00E91037">
              <w:rPr>
                <w:lang w:val="en-GB"/>
              </w:rPr>
              <w:br/>
              <w:t>• Risk and Safety Data - tracks risk trends including suicidal ideation, child protection notifications, family violence presentations, aggressive clients, etc.</w:t>
            </w:r>
            <w:r w:rsidRPr="00E91037">
              <w:rPr>
                <w:lang w:val="en-GB"/>
              </w:rPr>
              <w:br/>
              <w:t>• Wait Times - monitor demand patterns for differing client cohorts/programs, e.g., individual vs group support etc.</w:t>
            </w:r>
            <w:r w:rsidRPr="00E91037">
              <w:rPr>
                <w:lang w:val="en-GB"/>
              </w:rPr>
              <w:br/>
              <w:t>• Engagement patterns – School holiday impacts; demand for counselling for children; readiness for change; facilitated referrals; assertive outreach; colocation for more vulnerable cohorts.</w:t>
            </w:r>
            <w:r w:rsidRPr="00E91037">
              <w:rPr>
                <w:lang w:val="en-GB"/>
              </w:rPr>
              <w:br/>
              <w:t>• Client feedback – compliments and complaints; feedback on improvements to systems and processes; information for prospective clients.</w:t>
            </w:r>
            <w:r w:rsidRPr="00E91037">
              <w:rPr>
                <w:lang w:val="en-GB"/>
              </w:rPr>
              <w:br/>
              <w:t>• Case studies and personal stories that demonstrate lived experience outcomes.</w:t>
            </w:r>
            <w:r w:rsidRPr="00E91037">
              <w:rPr>
                <w:lang w:val="en-GB"/>
              </w:rPr>
              <w:br/>
              <w:t>• Before and after wellbeing measures for clients.</w:t>
            </w:r>
            <w:r w:rsidRPr="00E91037">
              <w:rPr>
                <w:lang w:val="en-GB"/>
              </w:rPr>
              <w:br/>
              <w:t>• Engagement and retention data, inclusive of accessibility and reach.</w:t>
            </w:r>
            <w:r w:rsidRPr="00E91037">
              <w:rPr>
                <w:lang w:val="en-GB"/>
              </w:rPr>
              <w:br/>
              <w:t>• Collaborative outcomes achieved through partnerships.</w:t>
            </w:r>
            <w:r w:rsidRPr="00E91037">
              <w:rPr>
                <w:lang w:val="en-GB"/>
              </w:rPr>
              <w:br/>
              <w:t>• Proportion of funding allocated to specific ‘at risk’ cohorts. E.g., young parents, refugee/asylum seekers, First Nations, people with health care card, etc.</w:t>
            </w:r>
            <w:r w:rsidRPr="00E91037">
              <w:rPr>
                <w:lang w:val="en-GB"/>
              </w:rPr>
              <w:br/>
              <w:t xml:space="preserve">• Pre and post surveys to measure change over time including the use of validated tools. </w:t>
            </w:r>
            <w:r w:rsidRPr="00E91037">
              <w:rPr>
                <w:lang w:val="en-GB"/>
              </w:rPr>
              <w:br/>
              <w:t xml:space="preserve">• The use of digital tools to elicit and aggregate feedback from SMS, email questionnaires etc. </w:t>
            </w:r>
          </w:p>
        </w:tc>
      </w:tr>
      <w:tr w:rsidR="00E91037" w:rsidRPr="00E91037" w14:paraId="712FF4A0" w14:textId="77777777">
        <w:trPr>
          <w:tblCellSpacing w:w="0" w:type="dxa"/>
        </w:trPr>
        <w:tc>
          <w:tcPr>
            <w:tcW w:w="0" w:type="auto"/>
            <w:gridSpan w:val="2"/>
            <w:shd w:val="clear" w:color="auto" w:fill="EAF2FA"/>
            <w:vAlign w:val="center"/>
            <w:hideMark/>
          </w:tcPr>
          <w:p w14:paraId="5DDC8D92" w14:textId="77777777" w:rsidR="00E91037" w:rsidRPr="00E91037" w:rsidRDefault="00E91037" w:rsidP="00E91037">
            <w:pPr>
              <w:rPr>
                <w:lang w:val="en-GB"/>
              </w:rPr>
            </w:pPr>
            <w:r w:rsidRPr="00E91037">
              <w:rPr>
                <w:b/>
                <w:bCs/>
                <w:lang w:val="en-GB"/>
              </w:rPr>
              <w:t>18. If your organisation currently reports in the Data Exchange (DEX), what SCORE Circumstances domain is most relevant to the service you deliver?</w:t>
            </w:r>
            <w:r w:rsidRPr="00E91037">
              <w:rPr>
                <w:lang w:val="en-GB"/>
              </w:rPr>
              <w:t xml:space="preserve"> </w:t>
            </w:r>
          </w:p>
        </w:tc>
      </w:tr>
      <w:tr w:rsidR="00E91037" w:rsidRPr="00E91037" w14:paraId="3212E906" w14:textId="77777777">
        <w:trPr>
          <w:tblCellSpacing w:w="0" w:type="dxa"/>
        </w:trPr>
        <w:tc>
          <w:tcPr>
            <w:tcW w:w="300" w:type="dxa"/>
            <w:shd w:val="clear" w:color="auto" w:fill="FFFFFF"/>
            <w:vAlign w:val="center"/>
            <w:hideMark/>
          </w:tcPr>
          <w:p w14:paraId="57C88F1E" w14:textId="77777777" w:rsidR="00E91037" w:rsidRPr="00E91037" w:rsidRDefault="00E91037" w:rsidP="00E91037">
            <w:pPr>
              <w:rPr>
                <w:lang w:val="en-GB"/>
              </w:rPr>
            </w:pPr>
            <w:r w:rsidRPr="00E91037">
              <w:rPr>
                <w:lang w:val="en-GB"/>
              </w:rPr>
              <w:t> </w:t>
            </w:r>
          </w:p>
        </w:tc>
        <w:tc>
          <w:tcPr>
            <w:tcW w:w="0" w:type="auto"/>
            <w:shd w:val="clear" w:color="auto" w:fill="FFFFFF"/>
            <w:vAlign w:val="center"/>
            <w:hideMark/>
          </w:tcPr>
          <w:p w14:paraId="44274871" w14:textId="77777777" w:rsidR="00E91037" w:rsidRPr="00E91037" w:rsidRDefault="00E91037" w:rsidP="00E91037">
            <w:pPr>
              <w:rPr>
                <w:lang w:val="en-GB"/>
              </w:rPr>
            </w:pPr>
            <w:r w:rsidRPr="00E91037">
              <w:rPr>
                <w:lang w:val="en-GB"/>
              </w:rPr>
              <w:t xml:space="preserve">The most relevant domains for CCVT are Family Functioning, Personal and Family Safety, Mental Health and Wellbeing, Age-Appropriate Development and </w:t>
            </w:r>
            <w:r w:rsidRPr="00E91037">
              <w:rPr>
                <w:lang w:val="en-GB"/>
              </w:rPr>
              <w:lastRenderedPageBreak/>
              <w:t>Community Participation. These domains most accurately reflect the changes we aim to achieve with clients.</w:t>
            </w:r>
            <w:r w:rsidRPr="00E91037">
              <w:rPr>
                <w:lang w:val="en-GB"/>
              </w:rPr>
              <w:br/>
              <w:t>It is important to note that these are different depending on the type of program and Family Functioning is so broad that in general it is rendered meaningless. More specific categories and measures should be established for programs that are linked to the specific service activity provided. For example, in terms of counselling - improved communication skills, reduced conflict, increase coping skills after dealing with loss etc.</w:t>
            </w:r>
            <w:r w:rsidRPr="00E91037">
              <w:rPr>
                <w:lang w:val="en-GB"/>
              </w:rPr>
              <w:br/>
              <w:t xml:space="preserve">We are curious as to why DSS are only referring to SCORE Circumstances. A change of circumstances </w:t>
            </w:r>
            <w:proofErr w:type="gramStart"/>
            <w:r w:rsidRPr="00E91037">
              <w:rPr>
                <w:lang w:val="en-GB"/>
              </w:rPr>
              <w:t>in itself does</w:t>
            </w:r>
            <w:proofErr w:type="gramEnd"/>
            <w:r w:rsidRPr="00E91037">
              <w:rPr>
                <w:lang w:val="en-GB"/>
              </w:rPr>
              <w:t xml:space="preserve"> not necessarily reflect a change in coping skills, knowledge or behaviour. </w:t>
            </w:r>
          </w:p>
        </w:tc>
      </w:tr>
      <w:tr w:rsidR="00E91037" w:rsidRPr="00E91037" w14:paraId="15C6955F" w14:textId="77777777">
        <w:trPr>
          <w:tblCellSpacing w:w="0" w:type="dxa"/>
        </w:trPr>
        <w:tc>
          <w:tcPr>
            <w:tcW w:w="0" w:type="auto"/>
            <w:gridSpan w:val="2"/>
            <w:shd w:val="clear" w:color="auto" w:fill="EAF2FA"/>
            <w:vAlign w:val="center"/>
            <w:hideMark/>
          </w:tcPr>
          <w:p w14:paraId="1A825A15" w14:textId="77777777" w:rsidR="00E91037" w:rsidRPr="00E91037" w:rsidRDefault="00E91037" w:rsidP="00E91037">
            <w:pPr>
              <w:rPr>
                <w:lang w:val="en-GB"/>
              </w:rPr>
            </w:pPr>
            <w:r w:rsidRPr="00E91037">
              <w:rPr>
                <w:b/>
                <w:bCs/>
                <w:lang w:val="en-GB"/>
              </w:rPr>
              <w:lastRenderedPageBreak/>
              <w:t>19. What kinds of templates or guidance would help you prepare strong case studies that show the impact of your service?</w:t>
            </w:r>
            <w:r w:rsidRPr="00E91037">
              <w:rPr>
                <w:lang w:val="en-GB"/>
              </w:rPr>
              <w:t xml:space="preserve"> </w:t>
            </w:r>
          </w:p>
        </w:tc>
      </w:tr>
      <w:tr w:rsidR="00E91037" w:rsidRPr="00E91037" w14:paraId="0ED2F70F" w14:textId="77777777">
        <w:trPr>
          <w:tblCellSpacing w:w="0" w:type="dxa"/>
        </w:trPr>
        <w:tc>
          <w:tcPr>
            <w:tcW w:w="300" w:type="dxa"/>
            <w:shd w:val="clear" w:color="auto" w:fill="FFFFFF"/>
            <w:vAlign w:val="center"/>
            <w:hideMark/>
          </w:tcPr>
          <w:p w14:paraId="7E5D2AC2" w14:textId="77777777" w:rsidR="00E91037" w:rsidRPr="00E91037" w:rsidRDefault="00E91037" w:rsidP="00E91037">
            <w:pPr>
              <w:rPr>
                <w:lang w:val="en-GB"/>
              </w:rPr>
            </w:pPr>
            <w:r w:rsidRPr="00E91037">
              <w:rPr>
                <w:lang w:val="en-GB"/>
              </w:rPr>
              <w:t> </w:t>
            </w:r>
          </w:p>
        </w:tc>
        <w:tc>
          <w:tcPr>
            <w:tcW w:w="0" w:type="auto"/>
            <w:shd w:val="clear" w:color="auto" w:fill="FFFFFF"/>
            <w:vAlign w:val="center"/>
            <w:hideMark/>
          </w:tcPr>
          <w:p w14:paraId="573E5F18" w14:textId="77777777" w:rsidR="00E91037" w:rsidRPr="00E91037" w:rsidRDefault="00E91037" w:rsidP="00E91037">
            <w:pPr>
              <w:rPr>
                <w:lang w:val="en-GB"/>
              </w:rPr>
            </w:pPr>
            <w:r w:rsidRPr="00E91037">
              <w:rPr>
                <w:lang w:val="en-GB"/>
              </w:rPr>
              <w:t>• A structured narrative template guiding staff through client context, supports provided, outcomes achieved, and lessons learned.</w:t>
            </w:r>
            <w:r w:rsidRPr="00E91037">
              <w:rPr>
                <w:lang w:val="en-GB"/>
              </w:rPr>
              <w:br/>
              <w:t>• Clear advice on consent and ethical storytelling, especially for children and Aboriginal and Torres Strait Islander clients.</w:t>
            </w:r>
            <w:r w:rsidRPr="00E91037">
              <w:rPr>
                <w:lang w:val="en-GB"/>
              </w:rPr>
              <w:br/>
              <w:t>• Examples of best-practice case studies that demonstrate how qualitative evidence complements DEX data.</w:t>
            </w:r>
            <w:r w:rsidRPr="00E91037">
              <w:rPr>
                <w:lang w:val="en-GB"/>
              </w:rPr>
              <w:br/>
              <w:t xml:space="preserve">• Training and ongoing support in the use of recognised qualitative evaluation techniques like the Most Significant Change (MSC). </w:t>
            </w:r>
            <w:r w:rsidRPr="00E91037">
              <w:rPr>
                <w:lang w:val="en-GB"/>
              </w:rPr>
              <w:br/>
              <w:t xml:space="preserve">• A tool that allows the actual voice of the service user/client to be heard. </w:t>
            </w:r>
            <w:r w:rsidRPr="00E91037">
              <w:rPr>
                <w:lang w:val="en-GB"/>
              </w:rPr>
              <w:br/>
              <w:t xml:space="preserve">• Tools that have been developed by people with lived experience expertise using a codesign process with others who have a lived experience. The Outcomes Star suite is an evidence-based example of this and used across mostly case management activities. </w:t>
            </w:r>
          </w:p>
        </w:tc>
      </w:tr>
      <w:tr w:rsidR="00E91037" w:rsidRPr="00E91037" w14:paraId="56F332F7" w14:textId="77777777">
        <w:trPr>
          <w:tblCellSpacing w:w="0" w:type="dxa"/>
        </w:trPr>
        <w:tc>
          <w:tcPr>
            <w:tcW w:w="0" w:type="auto"/>
            <w:gridSpan w:val="2"/>
            <w:shd w:val="clear" w:color="auto" w:fill="EAF2FA"/>
            <w:vAlign w:val="center"/>
            <w:hideMark/>
          </w:tcPr>
          <w:p w14:paraId="4E5CBE09" w14:textId="77777777" w:rsidR="00E91037" w:rsidRPr="00E91037" w:rsidRDefault="00E91037" w:rsidP="00E91037">
            <w:pPr>
              <w:rPr>
                <w:lang w:val="en-GB"/>
              </w:rPr>
            </w:pPr>
            <w:r w:rsidRPr="00E91037">
              <w:rPr>
                <w:b/>
                <w:bCs/>
                <w:lang w:val="en-GB"/>
              </w:rPr>
              <w:t>20. What does a relational contracting approach mean to you in practice? What criteria would you like to see included in a relational contract?</w:t>
            </w:r>
            <w:r w:rsidRPr="00E91037">
              <w:rPr>
                <w:lang w:val="en-GB"/>
              </w:rPr>
              <w:t xml:space="preserve"> </w:t>
            </w:r>
          </w:p>
        </w:tc>
      </w:tr>
      <w:tr w:rsidR="00E91037" w:rsidRPr="00E91037" w14:paraId="612D8885" w14:textId="77777777">
        <w:trPr>
          <w:tblCellSpacing w:w="0" w:type="dxa"/>
        </w:trPr>
        <w:tc>
          <w:tcPr>
            <w:tcW w:w="300" w:type="dxa"/>
            <w:shd w:val="clear" w:color="auto" w:fill="FFFFFF"/>
            <w:vAlign w:val="center"/>
            <w:hideMark/>
          </w:tcPr>
          <w:p w14:paraId="4AF70373" w14:textId="77777777" w:rsidR="00E91037" w:rsidRPr="00E91037" w:rsidRDefault="00E91037" w:rsidP="00E91037">
            <w:pPr>
              <w:rPr>
                <w:lang w:val="en-GB"/>
              </w:rPr>
            </w:pPr>
            <w:r w:rsidRPr="00E91037">
              <w:rPr>
                <w:lang w:val="en-GB"/>
              </w:rPr>
              <w:t> </w:t>
            </w:r>
          </w:p>
        </w:tc>
        <w:tc>
          <w:tcPr>
            <w:tcW w:w="0" w:type="auto"/>
            <w:shd w:val="clear" w:color="auto" w:fill="FFFFFF"/>
            <w:vAlign w:val="center"/>
            <w:hideMark/>
          </w:tcPr>
          <w:p w14:paraId="014C24D4" w14:textId="77777777" w:rsidR="00E91037" w:rsidRPr="00E91037" w:rsidRDefault="00E91037" w:rsidP="00E91037">
            <w:pPr>
              <w:rPr>
                <w:lang w:val="en-GB"/>
              </w:rPr>
            </w:pPr>
            <w:r w:rsidRPr="00E91037">
              <w:rPr>
                <w:lang w:val="en-GB"/>
              </w:rPr>
              <w:t>To CCVT, relational contracting means building a genuine, long-term partnership between our organisation and the department — one that is based on trust, shared goals, and mutual accountability rather than legal compliance.</w:t>
            </w:r>
            <w:r w:rsidRPr="00E91037">
              <w:rPr>
                <w:lang w:val="en-GB"/>
              </w:rPr>
              <w:br/>
              <w:t>In practice, this would look like:</w:t>
            </w:r>
            <w:r w:rsidRPr="00E91037">
              <w:rPr>
                <w:lang w:val="en-GB"/>
              </w:rPr>
              <w:br/>
              <w:t>• Collaborative problem-solving rather than punitive oversight.</w:t>
            </w:r>
            <w:r w:rsidRPr="00E91037">
              <w:rPr>
                <w:lang w:val="en-GB"/>
              </w:rPr>
              <w:br/>
              <w:t>• Open communication channels where issues or innovations can be discussed early.</w:t>
            </w:r>
            <w:r w:rsidRPr="00E91037">
              <w:rPr>
                <w:lang w:val="en-GB"/>
              </w:rPr>
              <w:br/>
              <w:t>• Flexibility to adapt services when community needs change.</w:t>
            </w:r>
            <w:r w:rsidRPr="00E91037">
              <w:rPr>
                <w:lang w:val="en-GB"/>
              </w:rPr>
              <w:br/>
              <w:t>• Joint learning and evaluation, using data to improve outcomes together.</w:t>
            </w:r>
            <w:r w:rsidRPr="00E91037">
              <w:rPr>
                <w:lang w:val="en-GB"/>
              </w:rPr>
              <w:br/>
            </w:r>
            <w:r w:rsidRPr="00E91037">
              <w:rPr>
                <w:lang w:val="en-GB"/>
              </w:rPr>
              <w:lastRenderedPageBreak/>
              <w:t>• Respect for the expertise of community services organisations, acknowledging that local knowledge and relationships are critical to achieving sustainable results.</w:t>
            </w:r>
            <w:r w:rsidRPr="00E91037">
              <w:rPr>
                <w:lang w:val="en-GB"/>
              </w:rPr>
              <w:br/>
            </w:r>
            <w:r w:rsidRPr="00E91037">
              <w:rPr>
                <w:lang w:val="en-GB"/>
              </w:rPr>
              <w:br/>
              <w:t>We would like relational contracts to include criteria such as:</w:t>
            </w:r>
            <w:r w:rsidRPr="00E91037">
              <w:rPr>
                <w:lang w:val="en-GB"/>
              </w:rPr>
              <w:br/>
              <w:t>• Demonstrated track record of collaboration and community connection.</w:t>
            </w:r>
            <w:r w:rsidRPr="00E91037">
              <w:rPr>
                <w:lang w:val="en-GB"/>
              </w:rPr>
              <w:br/>
              <w:t>• Transparency and accountability measures that focus on outcomes, not just outputs.</w:t>
            </w:r>
            <w:r w:rsidRPr="00E91037">
              <w:rPr>
                <w:lang w:val="en-GB"/>
              </w:rPr>
              <w:br/>
              <w:t>• A clear commitment to co-design, continuous improvement, and cultural safety.</w:t>
            </w:r>
            <w:r w:rsidRPr="00E91037">
              <w:rPr>
                <w:lang w:val="en-GB"/>
              </w:rPr>
              <w:br/>
              <w:t>• Recognition of shared risk and shared success between the department and providers.</w:t>
            </w:r>
            <w:r w:rsidRPr="00E91037">
              <w:rPr>
                <w:lang w:val="en-GB"/>
              </w:rPr>
              <w:br/>
            </w:r>
            <w:r w:rsidRPr="00E91037">
              <w:rPr>
                <w:lang w:val="en-GB"/>
              </w:rPr>
              <w:br/>
              <w:t xml:space="preserve">Relational Contracting does assume the need to develop a working relationship over time and factoring more flexibility to the grant, noting that service delivery is dynamic and changing and approaches to resource and measuring activity also needs to be moderated based on need. </w:t>
            </w:r>
          </w:p>
        </w:tc>
      </w:tr>
      <w:tr w:rsidR="00E91037" w:rsidRPr="00E91037" w14:paraId="36BF0110" w14:textId="77777777">
        <w:trPr>
          <w:tblCellSpacing w:w="0" w:type="dxa"/>
        </w:trPr>
        <w:tc>
          <w:tcPr>
            <w:tcW w:w="0" w:type="auto"/>
            <w:gridSpan w:val="2"/>
            <w:shd w:val="clear" w:color="auto" w:fill="EAF2FA"/>
            <w:vAlign w:val="center"/>
            <w:hideMark/>
          </w:tcPr>
          <w:p w14:paraId="2ADB364D" w14:textId="77777777" w:rsidR="00E91037" w:rsidRPr="00E91037" w:rsidRDefault="00E91037" w:rsidP="00E91037">
            <w:pPr>
              <w:rPr>
                <w:lang w:val="en-GB"/>
              </w:rPr>
            </w:pPr>
            <w:r w:rsidRPr="00E91037">
              <w:rPr>
                <w:b/>
                <w:bCs/>
                <w:lang w:val="en-GB"/>
              </w:rPr>
              <w:lastRenderedPageBreak/>
              <w:t>21. What’s the best way for the department to decide which organisations should be offered a relational contract?</w:t>
            </w:r>
            <w:r w:rsidRPr="00E91037">
              <w:rPr>
                <w:lang w:val="en-GB"/>
              </w:rPr>
              <w:t xml:space="preserve"> </w:t>
            </w:r>
          </w:p>
        </w:tc>
      </w:tr>
      <w:tr w:rsidR="00E91037" w:rsidRPr="00E91037" w14:paraId="3EC7A2A3" w14:textId="77777777">
        <w:trPr>
          <w:tblCellSpacing w:w="0" w:type="dxa"/>
        </w:trPr>
        <w:tc>
          <w:tcPr>
            <w:tcW w:w="300" w:type="dxa"/>
            <w:shd w:val="clear" w:color="auto" w:fill="FFFFFF"/>
            <w:vAlign w:val="center"/>
            <w:hideMark/>
          </w:tcPr>
          <w:p w14:paraId="58989B87" w14:textId="77777777" w:rsidR="00E91037" w:rsidRPr="00E91037" w:rsidRDefault="00E91037" w:rsidP="00E91037">
            <w:pPr>
              <w:rPr>
                <w:lang w:val="en-GB"/>
              </w:rPr>
            </w:pPr>
            <w:r w:rsidRPr="00E91037">
              <w:rPr>
                <w:lang w:val="en-GB"/>
              </w:rPr>
              <w:t> </w:t>
            </w:r>
          </w:p>
        </w:tc>
        <w:tc>
          <w:tcPr>
            <w:tcW w:w="0" w:type="auto"/>
            <w:shd w:val="clear" w:color="auto" w:fill="FFFFFF"/>
            <w:vAlign w:val="center"/>
            <w:hideMark/>
          </w:tcPr>
          <w:p w14:paraId="71936647" w14:textId="77777777" w:rsidR="00E91037" w:rsidRPr="00E91037" w:rsidRDefault="00E91037" w:rsidP="00E91037">
            <w:pPr>
              <w:rPr>
                <w:lang w:val="en-GB"/>
              </w:rPr>
            </w:pPr>
            <w:r w:rsidRPr="00E91037">
              <w:rPr>
                <w:lang w:val="en-GB"/>
              </w:rPr>
              <w:t>The department could use a transparent, evidence-based process that considers:</w:t>
            </w:r>
            <w:r w:rsidRPr="00E91037">
              <w:rPr>
                <w:lang w:val="en-GB"/>
              </w:rPr>
              <w:br/>
              <w:t>• Proven performance and quality outcomes under previous programs.</w:t>
            </w:r>
            <w:r w:rsidRPr="00E91037">
              <w:rPr>
                <w:lang w:val="en-GB"/>
              </w:rPr>
              <w:br/>
              <w:t>• A strong record of partnership, trust, and constructive engagement with government and local stakeholders.</w:t>
            </w:r>
            <w:r w:rsidRPr="00E91037">
              <w:rPr>
                <w:lang w:val="en-GB"/>
              </w:rPr>
              <w:br/>
              <w:t>• Organisational capacity for data collection, evaluation, and adaptation.</w:t>
            </w:r>
            <w:r w:rsidRPr="00E91037">
              <w:rPr>
                <w:lang w:val="en-GB"/>
              </w:rPr>
              <w:br/>
              <w:t>• Demonstrated alignment with program outcomes and commitment to collaboration.</w:t>
            </w:r>
            <w:r w:rsidRPr="00E91037">
              <w:rPr>
                <w:lang w:val="en-GB"/>
              </w:rPr>
              <w:br/>
              <w:t>• A range and diversity of providers — ensuring smaller and regional organisations also have access to relational contracting opportunities, not only large national agencies.</w:t>
            </w:r>
            <w:r w:rsidRPr="00E91037">
              <w:rPr>
                <w:lang w:val="en-GB"/>
              </w:rPr>
              <w:br/>
              <w:t>• Proven capacity to deliver strong client outcomes.</w:t>
            </w:r>
            <w:r w:rsidRPr="00E91037">
              <w:rPr>
                <w:lang w:val="en-GB"/>
              </w:rPr>
              <w:br/>
              <w:t>• Clear Clinical Governance, training and Supervision systems.</w:t>
            </w:r>
            <w:r w:rsidRPr="00E91037">
              <w:rPr>
                <w:lang w:val="en-GB"/>
              </w:rPr>
              <w:br/>
              <w:t>• Cultural safety and Inclusion.</w:t>
            </w:r>
            <w:r w:rsidRPr="00E91037">
              <w:rPr>
                <w:lang w:val="en-GB"/>
              </w:rPr>
              <w:br/>
              <w:t xml:space="preserve">• Active participation in evaluation and reflective practice as a learning organisation </w:t>
            </w:r>
            <w:r w:rsidRPr="00E91037">
              <w:rPr>
                <w:lang w:val="en-GB"/>
              </w:rPr>
              <w:br/>
              <w:t xml:space="preserve">• Clear and transparent processes for resolving disputes. </w:t>
            </w:r>
            <w:r w:rsidRPr="00E91037">
              <w:rPr>
                <w:lang w:val="en-GB"/>
              </w:rPr>
              <w:br/>
            </w:r>
            <w:r w:rsidRPr="00E91037">
              <w:rPr>
                <w:lang w:val="en-GB"/>
              </w:rPr>
              <w:br/>
              <w:t xml:space="preserve">Ideally, the department should also engage in joint readiness assessments to determine if both the provider and the department have the structures and skills to sustain a relational approach effectively. </w:t>
            </w:r>
          </w:p>
        </w:tc>
      </w:tr>
      <w:tr w:rsidR="00E91037" w:rsidRPr="00E91037" w14:paraId="08EC853F" w14:textId="77777777">
        <w:trPr>
          <w:tblCellSpacing w:w="0" w:type="dxa"/>
        </w:trPr>
        <w:tc>
          <w:tcPr>
            <w:tcW w:w="0" w:type="auto"/>
            <w:gridSpan w:val="2"/>
            <w:shd w:val="clear" w:color="auto" w:fill="EAF2FA"/>
            <w:vAlign w:val="center"/>
            <w:hideMark/>
          </w:tcPr>
          <w:p w14:paraId="0BB70FF9" w14:textId="77777777" w:rsidR="00E91037" w:rsidRPr="00E91037" w:rsidRDefault="00E91037" w:rsidP="00E91037">
            <w:pPr>
              <w:rPr>
                <w:lang w:val="en-GB"/>
              </w:rPr>
            </w:pPr>
            <w:r w:rsidRPr="00E91037">
              <w:rPr>
                <w:b/>
                <w:bCs/>
                <w:lang w:val="en-GB"/>
              </w:rPr>
              <w:t>22. Is your organisation interested in a relational contracting approach? Why/why not?</w:t>
            </w:r>
            <w:r w:rsidRPr="00E91037">
              <w:rPr>
                <w:lang w:val="en-GB"/>
              </w:rPr>
              <w:t xml:space="preserve"> </w:t>
            </w:r>
          </w:p>
        </w:tc>
      </w:tr>
      <w:tr w:rsidR="00E91037" w:rsidRPr="00E91037" w14:paraId="70A31CFE" w14:textId="77777777">
        <w:trPr>
          <w:tblCellSpacing w:w="0" w:type="dxa"/>
        </w:trPr>
        <w:tc>
          <w:tcPr>
            <w:tcW w:w="300" w:type="dxa"/>
            <w:shd w:val="clear" w:color="auto" w:fill="FFFFFF"/>
            <w:vAlign w:val="center"/>
            <w:hideMark/>
          </w:tcPr>
          <w:p w14:paraId="74C087CB" w14:textId="77777777" w:rsidR="00E91037" w:rsidRPr="00E91037" w:rsidRDefault="00E91037" w:rsidP="00E91037">
            <w:pPr>
              <w:rPr>
                <w:lang w:val="en-GB"/>
              </w:rPr>
            </w:pPr>
            <w:r w:rsidRPr="00E91037">
              <w:rPr>
                <w:lang w:val="en-GB"/>
              </w:rPr>
              <w:lastRenderedPageBreak/>
              <w:t> </w:t>
            </w:r>
          </w:p>
        </w:tc>
        <w:tc>
          <w:tcPr>
            <w:tcW w:w="0" w:type="auto"/>
            <w:shd w:val="clear" w:color="auto" w:fill="FFFFFF"/>
            <w:vAlign w:val="center"/>
            <w:hideMark/>
          </w:tcPr>
          <w:p w14:paraId="192662A5" w14:textId="77777777" w:rsidR="00E91037" w:rsidRPr="00E91037" w:rsidRDefault="00E91037" w:rsidP="00E91037">
            <w:pPr>
              <w:rPr>
                <w:lang w:val="en-GB"/>
              </w:rPr>
            </w:pPr>
            <w:r w:rsidRPr="00E91037">
              <w:rPr>
                <w:lang w:val="en-GB"/>
              </w:rPr>
              <w:t>Yes, our organisation would be very interested in a relational contracting approach.</w:t>
            </w:r>
            <w:r w:rsidRPr="00E91037">
              <w:rPr>
                <w:lang w:val="en-GB"/>
              </w:rPr>
              <w:br/>
              <w:t>We believe that strong, trust-based relationships between funders and providers lead to better outcomes for families and communities. A relational model aligns with our own values of collaboration, transparency, and continuous learning.</w:t>
            </w:r>
            <w:r w:rsidRPr="00E91037">
              <w:rPr>
                <w:lang w:val="en-GB"/>
              </w:rPr>
              <w:br/>
              <w:t>We are particularly interested in the potential for:</w:t>
            </w:r>
            <w:r w:rsidRPr="00E91037">
              <w:rPr>
                <w:lang w:val="en-GB"/>
              </w:rPr>
              <w:br/>
              <w:t>• Longer-term funding security; allowing us to plan ahead and retain skilled staff.</w:t>
            </w:r>
            <w:r w:rsidRPr="00E91037">
              <w:rPr>
                <w:lang w:val="en-GB"/>
              </w:rPr>
              <w:br/>
              <w:t>• Reduced administrative burden, freeing us to spend more time supporting families directly.</w:t>
            </w:r>
            <w:r w:rsidRPr="00E91037">
              <w:rPr>
                <w:lang w:val="en-GB"/>
              </w:rPr>
              <w:br/>
              <w:t>• Collaborative evaluation: where data is used to improve rather than simply report.</w:t>
            </w:r>
            <w:r w:rsidRPr="00E91037">
              <w:rPr>
                <w:lang w:val="en-GB"/>
              </w:rPr>
              <w:br/>
              <w:t xml:space="preserve">• Systemic improvements to the program or activity informed by feedback </w:t>
            </w:r>
            <w:r w:rsidRPr="00E91037">
              <w:rPr>
                <w:lang w:val="en-GB"/>
              </w:rPr>
              <w:br/>
            </w:r>
            <w:r w:rsidRPr="00E91037">
              <w:rPr>
                <w:lang w:val="en-GB"/>
              </w:rPr>
              <w:br/>
              <w:t xml:space="preserve">However, it is important that relational contracts come with clear expectations, consistent communication, and equitable access for organisations of different sizes and capacities. </w:t>
            </w:r>
            <w:r w:rsidRPr="00E91037">
              <w:rPr>
                <w:lang w:val="en-GB"/>
              </w:rPr>
              <w:br/>
            </w:r>
            <w:r w:rsidRPr="00E91037">
              <w:rPr>
                <w:lang w:val="en-GB"/>
              </w:rPr>
              <w:br/>
              <w:t xml:space="preserve">As we work with people and not on people, this mirrors our organisation belief that healing and family strengthening happens through relationships. </w:t>
            </w:r>
          </w:p>
        </w:tc>
      </w:tr>
      <w:tr w:rsidR="00E91037" w:rsidRPr="00E91037" w14:paraId="515B7F8C" w14:textId="77777777">
        <w:trPr>
          <w:tblCellSpacing w:w="0" w:type="dxa"/>
        </w:trPr>
        <w:tc>
          <w:tcPr>
            <w:tcW w:w="0" w:type="auto"/>
            <w:gridSpan w:val="2"/>
            <w:shd w:val="clear" w:color="auto" w:fill="EAF2FA"/>
            <w:vAlign w:val="center"/>
            <w:hideMark/>
          </w:tcPr>
          <w:p w14:paraId="3C9C404C" w14:textId="77777777" w:rsidR="00E91037" w:rsidRPr="00E91037" w:rsidRDefault="00E91037" w:rsidP="00E91037">
            <w:pPr>
              <w:rPr>
                <w:lang w:val="en-GB"/>
              </w:rPr>
            </w:pPr>
            <w:r w:rsidRPr="00E91037">
              <w:rPr>
                <w:b/>
                <w:bCs/>
                <w:lang w:val="en-GB"/>
              </w:rPr>
              <w:t>23. Is there anything else you think the department should understand or consider about this proposed approach?</w:t>
            </w:r>
            <w:r w:rsidRPr="00E91037">
              <w:rPr>
                <w:lang w:val="en-GB"/>
              </w:rPr>
              <w:t xml:space="preserve"> </w:t>
            </w:r>
          </w:p>
        </w:tc>
      </w:tr>
      <w:tr w:rsidR="00E91037" w:rsidRPr="00E91037" w14:paraId="0D1A4C87" w14:textId="77777777">
        <w:trPr>
          <w:tblCellSpacing w:w="0" w:type="dxa"/>
        </w:trPr>
        <w:tc>
          <w:tcPr>
            <w:tcW w:w="300" w:type="dxa"/>
            <w:shd w:val="clear" w:color="auto" w:fill="FFFFFF"/>
            <w:vAlign w:val="center"/>
            <w:hideMark/>
          </w:tcPr>
          <w:p w14:paraId="3E38F2D4" w14:textId="77777777" w:rsidR="00E91037" w:rsidRPr="00E91037" w:rsidRDefault="00E91037" w:rsidP="00E91037">
            <w:pPr>
              <w:rPr>
                <w:lang w:val="en-GB"/>
              </w:rPr>
            </w:pPr>
            <w:r w:rsidRPr="00E91037">
              <w:rPr>
                <w:lang w:val="en-GB"/>
              </w:rPr>
              <w:t> </w:t>
            </w:r>
          </w:p>
        </w:tc>
        <w:tc>
          <w:tcPr>
            <w:tcW w:w="0" w:type="auto"/>
            <w:shd w:val="clear" w:color="auto" w:fill="FFFFFF"/>
            <w:vAlign w:val="center"/>
            <w:hideMark/>
          </w:tcPr>
          <w:p w14:paraId="29C8881B" w14:textId="77777777" w:rsidR="00E91037" w:rsidRPr="00E91037" w:rsidRDefault="00E91037" w:rsidP="00E91037">
            <w:pPr>
              <w:rPr>
                <w:lang w:val="en-GB"/>
              </w:rPr>
            </w:pPr>
            <w:r w:rsidRPr="00E91037">
              <w:rPr>
                <w:lang w:val="en-GB"/>
              </w:rPr>
              <w:t>Yes, from a community services perspective, we encourage the department to:</w:t>
            </w:r>
            <w:r w:rsidRPr="00E91037">
              <w:rPr>
                <w:lang w:val="en-GB"/>
              </w:rPr>
              <w:br/>
              <w:t>• Invest in relationships early — genuine partnership requires time to build trust before contractual arrangements begin.</w:t>
            </w:r>
            <w:r w:rsidRPr="00E91037">
              <w:rPr>
                <w:lang w:val="en-GB"/>
              </w:rPr>
              <w:br/>
              <w:t>• Ensure transparency and fairness in how relational contracts are offered and managed.</w:t>
            </w:r>
            <w:r w:rsidRPr="00E91037">
              <w:rPr>
                <w:lang w:val="en-GB"/>
              </w:rPr>
              <w:br/>
              <w:t>• Recognise that relational contracting is a two-way process — both the department and providers must commit to shared values, learning, and flexibility.</w:t>
            </w:r>
            <w:r w:rsidRPr="00E91037">
              <w:rPr>
                <w:lang w:val="en-GB"/>
              </w:rPr>
              <w:br/>
              <w:t>• Provide capacity-building and support (e.g. training, communities of practice) to assist organisations — particularly smaller NGOs and ACCOs — transition into this new model.</w:t>
            </w:r>
            <w:r w:rsidRPr="00E91037">
              <w:rPr>
                <w:lang w:val="en-GB"/>
              </w:rPr>
              <w:br/>
              <w:t>• Maintain a focus on outcomes for families and children, ensuring administrative or structural changes don’t overshadow the core purpose of improving lives.</w:t>
            </w:r>
            <w:r w:rsidRPr="00E91037">
              <w:rPr>
                <w:lang w:val="en-GB"/>
              </w:rPr>
              <w:br/>
              <w:t xml:space="preserve">• The important role of place-based initiatives to address equity. Place based work requires some government investment in a backbone type entity, which is most evident in Communities for Children programs “Broad-brushstroke strategies for improving children’s outcomes are unlikely to be enough unless they are supplemented by local area approaches (Dyson et al 2012) that pay attention to geographical diversity and different socioeconomic, political, and funding contexts (McBride 2018). </w:t>
            </w:r>
            <w:proofErr w:type="gramStart"/>
            <w:r w:rsidRPr="00E91037">
              <w:rPr>
                <w:lang w:val="en-GB"/>
              </w:rPr>
              <w:t>“ page</w:t>
            </w:r>
            <w:proofErr w:type="gramEnd"/>
            <w:r w:rsidRPr="00E91037">
              <w:rPr>
                <w:lang w:val="en-GB"/>
              </w:rPr>
              <w:t xml:space="preserve"> 5 of ‘The effectiveness of place-based programmes and campaigns in improving outcomes for children: A literature review, Melanie Crew, </w:t>
            </w:r>
            <w:r w:rsidRPr="00E91037">
              <w:rPr>
                <w:lang w:val="en-GB"/>
              </w:rPr>
              <w:lastRenderedPageBreak/>
              <w:t xml:space="preserve">2020’ (https://files.eric.ed.gov/fulltext/ED607978.pdf). </w:t>
            </w:r>
            <w:r w:rsidRPr="00E91037">
              <w:rPr>
                <w:lang w:val="en-GB"/>
              </w:rPr>
              <w:br/>
              <w:t>• “Preliminary analysis undertaken by Equity Economics of the 2021 Australian Early Development Census (AEDC) indicates that Local Government Areas (LGAs) with a Communities for Children coordinating partner may have outperformed the state averaged trends for child developmental vulnerability since 2009 in one or more dimensions by a factor of 2. Meanwhile, the ACT, which did not have a Communities for Children program, saw the largest increase in developmental vulnerability of all states.” Pg 18 of ‘Where are we? Place-based approaches to tackling community challenges in Australia’ Report, Paul Ramsey Foundation, 2023.</w:t>
            </w:r>
            <w:r w:rsidRPr="00E91037">
              <w:rPr>
                <w:lang w:val="en-GB"/>
              </w:rPr>
              <w:br/>
              <w:t>• “CBAs of the Communities for Children Facilitating Partners have estimated a return on investment of between $3.28 and $4.76 for every dollar spent.” Pg 54 From the ‘Family and Relationship Services Economic Evaluation Using cost-benefit analysis to assess the value of services Report’, The Centre for International Economics, 2023 (https://frsa.org.au/wp-content/uploads/2023/09/CIE-Final-Report_FRSA_Family-and-Relationship-Services-Evaluation-11092023.pdf).</w:t>
            </w:r>
            <w:r w:rsidRPr="00E91037">
              <w:rPr>
                <w:lang w:val="en-GB"/>
              </w:rPr>
              <w:br/>
              <w:t xml:space="preserve">• Continue to focus on the implementation and then extension of the </w:t>
            </w:r>
            <w:proofErr w:type="gramStart"/>
            <w:r w:rsidRPr="00E91037">
              <w:rPr>
                <w:lang w:val="en-GB"/>
              </w:rPr>
              <w:t>Not for Profit</w:t>
            </w:r>
            <w:proofErr w:type="gramEnd"/>
            <w:r w:rsidRPr="00E91037">
              <w:rPr>
                <w:lang w:val="en-GB"/>
              </w:rPr>
              <w:t xml:space="preserve"> Sector Development Blueprint. The Government spent significant resources developing this blueprint. These proposed changes by DSS should not ignore or negate this Blueprint.</w:t>
            </w:r>
            <w:r w:rsidRPr="00E91037">
              <w:rPr>
                <w:lang w:val="en-GB"/>
              </w:rPr>
              <w:br/>
              <w:t>• Reiterate that the ‘Community Sector Grants Engagement Framework’ (https://www.dss.gov.au/strengthening-community-sector/resource/community-sector-grants-engagement-framework) [referenced and linked to in the DSS consultation document] is at risk of being lost given the timeline proposed by DSS for these changes to FACS.</w:t>
            </w:r>
            <w:r w:rsidRPr="00E91037">
              <w:rPr>
                <w:lang w:val="en-GB"/>
              </w:rPr>
              <w:br/>
              <w:t>• Reiterate the need for ‘Measuring What Matters: Australia’s First Wellbeing Framework (Measuring What Matters)’ (https://treasury.gov.au/sites/default/files/2023-07/measuring-what-matters-statement020230721_0.pdf) fully implemented and extended. [‘Measuring What Matters’ is cited in the evidence document for the DSS consultation paper.]</w:t>
            </w:r>
            <w:r w:rsidRPr="00E91037">
              <w:rPr>
                <w:lang w:val="en-GB"/>
              </w:rPr>
              <w:br/>
            </w:r>
            <w:r w:rsidRPr="00E91037">
              <w:rPr>
                <w:lang w:val="en-GB"/>
              </w:rPr>
              <w:br/>
              <w:t xml:space="preserve">Ultimately, this proposed reform offers a valuable opportunity to simplify funding, strengthen partnerships, and align national policy with the real needs of communities. If implemented thoughtfully and collaboratively, it could lead to a more connected, effective, and compassionate service system for children and families across Australia. </w:t>
            </w:r>
          </w:p>
        </w:tc>
      </w:tr>
    </w:tbl>
    <w:p w14:paraId="5EB3D318" w14:textId="77777777" w:rsidR="00390C4B" w:rsidRDefault="00390C4B"/>
    <w:sectPr w:rsidR="00390C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03B00"/>
    <w:multiLevelType w:val="multilevel"/>
    <w:tmpl w:val="489A8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6B4E03"/>
    <w:multiLevelType w:val="multilevel"/>
    <w:tmpl w:val="39B68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EE4BF6"/>
    <w:multiLevelType w:val="multilevel"/>
    <w:tmpl w:val="A9F23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82747387">
    <w:abstractNumId w:val="2"/>
    <w:lvlOverride w:ilvl="0"/>
    <w:lvlOverride w:ilvl="1"/>
    <w:lvlOverride w:ilvl="2"/>
    <w:lvlOverride w:ilvl="3"/>
    <w:lvlOverride w:ilvl="4"/>
    <w:lvlOverride w:ilvl="5"/>
    <w:lvlOverride w:ilvl="6"/>
    <w:lvlOverride w:ilvl="7"/>
    <w:lvlOverride w:ilvl="8"/>
  </w:num>
  <w:num w:numId="2" w16cid:durableId="773479659">
    <w:abstractNumId w:val="0"/>
    <w:lvlOverride w:ilvl="0"/>
    <w:lvlOverride w:ilvl="1"/>
    <w:lvlOverride w:ilvl="2"/>
    <w:lvlOverride w:ilvl="3"/>
    <w:lvlOverride w:ilvl="4"/>
    <w:lvlOverride w:ilvl="5"/>
    <w:lvlOverride w:ilvl="6"/>
    <w:lvlOverride w:ilvl="7"/>
    <w:lvlOverride w:ilvl="8"/>
  </w:num>
  <w:num w:numId="3" w16cid:durableId="201870378">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037"/>
    <w:rsid w:val="00390C4B"/>
    <w:rsid w:val="00A50B94"/>
    <w:rsid w:val="00BF5F92"/>
    <w:rsid w:val="00CA740C"/>
    <w:rsid w:val="00E910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0BE04"/>
  <w15:chartTrackingRefBased/>
  <w15:docId w15:val="{FF63B4C7-7481-4FE6-B704-FFEF101D4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10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10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10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10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10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10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10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10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10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0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10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10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10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10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10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10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10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1037"/>
    <w:rPr>
      <w:rFonts w:eastAsiaTheme="majorEastAsia" w:cstheme="majorBidi"/>
      <w:color w:val="272727" w:themeColor="text1" w:themeTint="D8"/>
    </w:rPr>
  </w:style>
  <w:style w:type="paragraph" w:styleId="Title">
    <w:name w:val="Title"/>
    <w:basedOn w:val="Normal"/>
    <w:next w:val="Normal"/>
    <w:link w:val="TitleChar"/>
    <w:uiPriority w:val="10"/>
    <w:qFormat/>
    <w:rsid w:val="00E910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10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10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10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1037"/>
    <w:pPr>
      <w:spacing w:before="160"/>
      <w:jc w:val="center"/>
    </w:pPr>
    <w:rPr>
      <w:i/>
      <w:iCs/>
      <w:color w:val="404040" w:themeColor="text1" w:themeTint="BF"/>
    </w:rPr>
  </w:style>
  <w:style w:type="character" w:customStyle="1" w:styleId="QuoteChar">
    <w:name w:val="Quote Char"/>
    <w:basedOn w:val="DefaultParagraphFont"/>
    <w:link w:val="Quote"/>
    <w:uiPriority w:val="29"/>
    <w:rsid w:val="00E91037"/>
    <w:rPr>
      <w:i/>
      <w:iCs/>
      <w:color w:val="404040" w:themeColor="text1" w:themeTint="BF"/>
    </w:rPr>
  </w:style>
  <w:style w:type="paragraph" w:styleId="ListParagraph">
    <w:name w:val="List Paragraph"/>
    <w:basedOn w:val="Normal"/>
    <w:uiPriority w:val="34"/>
    <w:qFormat/>
    <w:rsid w:val="00E91037"/>
    <w:pPr>
      <w:ind w:left="720"/>
      <w:contextualSpacing/>
    </w:pPr>
  </w:style>
  <w:style w:type="character" w:styleId="IntenseEmphasis">
    <w:name w:val="Intense Emphasis"/>
    <w:basedOn w:val="DefaultParagraphFont"/>
    <w:uiPriority w:val="21"/>
    <w:qFormat/>
    <w:rsid w:val="00E91037"/>
    <w:rPr>
      <w:i/>
      <w:iCs/>
      <w:color w:val="0F4761" w:themeColor="accent1" w:themeShade="BF"/>
    </w:rPr>
  </w:style>
  <w:style w:type="paragraph" w:styleId="IntenseQuote">
    <w:name w:val="Intense Quote"/>
    <w:basedOn w:val="Normal"/>
    <w:next w:val="Normal"/>
    <w:link w:val="IntenseQuoteChar"/>
    <w:uiPriority w:val="30"/>
    <w:qFormat/>
    <w:rsid w:val="00E910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1037"/>
    <w:rPr>
      <w:i/>
      <w:iCs/>
      <w:color w:val="0F4761" w:themeColor="accent1" w:themeShade="BF"/>
    </w:rPr>
  </w:style>
  <w:style w:type="character" w:styleId="IntenseReference">
    <w:name w:val="Intense Reference"/>
    <w:basedOn w:val="DefaultParagraphFont"/>
    <w:uiPriority w:val="32"/>
    <w:qFormat/>
    <w:rsid w:val="00E91037"/>
    <w:rPr>
      <w:b/>
      <w:bCs/>
      <w:smallCaps/>
      <w:color w:val="0F4761" w:themeColor="accent1" w:themeShade="BF"/>
      <w:spacing w:val="5"/>
    </w:rPr>
  </w:style>
  <w:style w:type="character" w:styleId="Hyperlink">
    <w:name w:val="Hyperlink"/>
    <w:basedOn w:val="DefaultParagraphFont"/>
    <w:uiPriority w:val="99"/>
    <w:unhideWhenUsed/>
    <w:rsid w:val="00E91037"/>
    <w:rPr>
      <w:color w:val="467886" w:themeColor="hyperlink"/>
      <w:u w:val="single"/>
    </w:rPr>
  </w:style>
  <w:style w:type="character" w:styleId="UnresolvedMention">
    <w:name w:val="Unresolved Mention"/>
    <w:basedOn w:val="DefaultParagraphFont"/>
    <w:uiPriority w:val="99"/>
    <w:semiHidden/>
    <w:unhideWhenUsed/>
    <w:rsid w:val="00E910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aa.gov.au/sites/default/files/documents/publications/mhsewb-framework_0.pdf" TargetMode="External"/><Relationship Id="rId3" Type="http://schemas.openxmlformats.org/officeDocument/2006/relationships/settings" Target="settings.xml"/><Relationship Id="rId7" Type="http://schemas.openxmlformats.org/officeDocument/2006/relationships/hyperlink" Target="https://www.easternhealth.org.au/images/services/champsrepor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ss.gov.au/system/files/documents/2024-11/d24-1528640-not-profit-sector-development-blueprint-web-accessible.pdf" TargetMode="External"/><Relationship Id="rId11" Type="http://schemas.openxmlformats.org/officeDocument/2006/relationships/theme" Target="theme/theme1.xml"/><Relationship Id="rId5" Type="http://schemas.openxmlformats.org/officeDocument/2006/relationships/hyperlink" Target="https://www.dss.gov.au/strengthening-community-sector/resource/community-sector-grants-engagement-framewor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reasury.gov.au/sites/default/files/2023-07/measuring-what-matters-statement020230721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23</Pages>
  <Words>8455</Words>
  <Characters>48199</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 Laura</dc:creator>
  <cp:keywords/>
  <dc:description/>
  <cp:lastModifiedBy>WEBB, Laura</cp:lastModifiedBy>
  <cp:revision>1</cp:revision>
  <dcterms:created xsi:type="dcterms:W3CDTF">2025-12-12T07:30:00Z</dcterms:created>
  <dcterms:modified xsi:type="dcterms:W3CDTF">2025-12-12T08:11:00Z</dcterms:modified>
</cp:coreProperties>
</file>