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787FA" w14:textId="77777777" w:rsidR="00C80A0C" w:rsidRDefault="005E499E">
      <w:pPr>
        <w:spacing w:after="0" w:line="259" w:lineRule="auto"/>
        <w:ind w:left="-617" w:right="11274" w:firstLine="0"/>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14:anchorId="628C3F8D" wp14:editId="396EF584">
                <wp:simplePos x="0" y="0"/>
                <wp:positionH relativeFrom="page">
                  <wp:posOffset>0</wp:posOffset>
                </wp:positionH>
                <wp:positionV relativeFrom="page">
                  <wp:posOffset>0</wp:posOffset>
                </wp:positionV>
                <wp:extent cx="7559675" cy="10678158"/>
                <wp:effectExtent l="0" t="0" r="0" b="0"/>
                <wp:wrapTopAndBottom/>
                <wp:docPr id="46663" name="Group 46663"/>
                <wp:cNvGraphicFramePr/>
                <a:graphic xmlns:a="http://schemas.openxmlformats.org/drawingml/2006/main">
                  <a:graphicData uri="http://schemas.microsoft.com/office/word/2010/wordprocessingGroup">
                    <wpg:wgp>
                      <wpg:cNvGrpSpPr/>
                      <wpg:grpSpPr>
                        <a:xfrm>
                          <a:off x="0" y="0"/>
                          <a:ext cx="7559675" cy="10678158"/>
                          <a:chOff x="0" y="0"/>
                          <a:chExt cx="7559675" cy="10678158"/>
                        </a:xfrm>
                      </wpg:grpSpPr>
                      <pic:pic xmlns:pic="http://schemas.openxmlformats.org/drawingml/2006/picture">
                        <pic:nvPicPr>
                          <pic:cNvPr id="8" name="Picture 8"/>
                          <pic:cNvPicPr/>
                        </pic:nvPicPr>
                        <pic:blipFill>
                          <a:blip r:embed="rId7"/>
                          <a:stretch>
                            <a:fillRect/>
                          </a:stretch>
                        </pic:blipFill>
                        <pic:spPr>
                          <a:xfrm>
                            <a:off x="0" y="4791709"/>
                            <a:ext cx="7548245" cy="5886450"/>
                          </a:xfrm>
                          <a:prstGeom prst="rect">
                            <a:avLst/>
                          </a:prstGeom>
                        </pic:spPr>
                      </pic:pic>
                      <wps:wsp>
                        <wps:cNvPr id="9" name="Shape 9"/>
                        <wps:cNvSpPr/>
                        <wps:spPr>
                          <a:xfrm>
                            <a:off x="0" y="0"/>
                            <a:ext cx="7559675" cy="5349240"/>
                          </a:xfrm>
                          <a:custGeom>
                            <a:avLst/>
                            <a:gdLst/>
                            <a:ahLst/>
                            <a:cxnLst/>
                            <a:rect l="0" t="0" r="0" b="0"/>
                            <a:pathLst>
                              <a:path w="7559675" h="5349240">
                                <a:moveTo>
                                  <a:pt x="0" y="0"/>
                                </a:moveTo>
                                <a:lnTo>
                                  <a:pt x="7559675" y="0"/>
                                </a:lnTo>
                                <a:lnTo>
                                  <a:pt x="7559675" y="4840986"/>
                                </a:lnTo>
                                <a:cubicBezTo>
                                  <a:pt x="7559675" y="5121656"/>
                                  <a:pt x="7332091" y="5349240"/>
                                  <a:pt x="7051421" y="5349240"/>
                                </a:cubicBezTo>
                                <a:lnTo>
                                  <a:pt x="508216" y="5349240"/>
                                </a:lnTo>
                                <a:cubicBezTo>
                                  <a:pt x="227533" y="5349240"/>
                                  <a:pt x="0" y="5121656"/>
                                  <a:pt x="0" y="4840986"/>
                                </a:cubicBezTo>
                                <a:lnTo>
                                  <a:pt x="0" y="0"/>
                                </a:lnTo>
                                <a:close/>
                              </a:path>
                            </a:pathLst>
                          </a:custGeom>
                          <a:ln w="0" cap="flat">
                            <a:miter lim="127000"/>
                          </a:ln>
                        </wps:spPr>
                        <wps:style>
                          <a:lnRef idx="0">
                            <a:srgbClr val="000000">
                              <a:alpha val="0"/>
                            </a:srgbClr>
                          </a:lnRef>
                          <a:fillRef idx="1">
                            <a:srgbClr val="FDFBF6"/>
                          </a:fillRef>
                          <a:effectRef idx="0">
                            <a:scrgbClr r="0" g="0" b="0"/>
                          </a:effectRef>
                          <a:fontRef idx="none"/>
                        </wps:style>
                        <wps:bodyPr/>
                      </wps:wsp>
                      <pic:pic xmlns:pic="http://schemas.openxmlformats.org/drawingml/2006/picture">
                        <pic:nvPicPr>
                          <pic:cNvPr id="11" name="Picture 11"/>
                          <pic:cNvPicPr/>
                        </pic:nvPicPr>
                        <pic:blipFill>
                          <a:blip r:embed="rId8"/>
                          <a:stretch>
                            <a:fillRect/>
                          </a:stretch>
                        </pic:blipFill>
                        <pic:spPr>
                          <a:xfrm>
                            <a:off x="4572" y="437388"/>
                            <a:ext cx="7549896" cy="4006596"/>
                          </a:xfrm>
                          <a:prstGeom prst="rect">
                            <a:avLst/>
                          </a:prstGeom>
                        </pic:spPr>
                      </pic:pic>
                      <wps:wsp>
                        <wps:cNvPr id="12" name="Rectangle 12"/>
                        <wps:cNvSpPr/>
                        <wps:spPr>
                          <a:xfrm>
                            <a:off x="400812" y="462244"/>
                            <a:ext cx="6367711" cy="791369"/>
                          </a:xfrm>
                          <a:prstGeom prst="rect">
                            <a:avLst/>
                          </a:prstGeom>
                          <a:ln>
                            <a:noFill/>
                          </a:ln>
                        </wps:spPr>
                        <wps:txbx>
                          <w:txbxContent>
                            <w:p w14:paraId="4C85496E" w14:textId="77777777" w:rsidR="00C80A0C" w:rsidRDefault="005E499E">
                              <w:pPr>
                                <w:spacing w:after="160" w:line="259" w:lineRule="auto"/>
                                <w:ind w:left="0" w:firstLine="0"/>
                              </w:pPr>
                              <w:r>
                                <w:rPr>
                                  <w:rFonts w:ascii="Georgia" w:eastAsia="Georgia" w:hAnsi="Georgia" w:cs="Georgia"/>
                                  <w:color w:val="092F2D"/>
                                  <w:sz w:val="96"/>
                                </w:rPr>
                                <w:t xml:space="preserve">Discussion Paper </w:t>
                              </w:r>
                            </w:p>
                          </w:txbxContent>
                        </wps:txbx>
                        <wps:bodyPr horzOverflow="overflow" vert="horz" lIns="0" tIns="0" rIns="0" bIns="0" rtlCol="0">
                          <a:noAutofit/>
                        </wps:bodyPr>
                      </wps:wsp>
                      <wps:wsp>
                        <wps:cNvPr id="13" name="Rectangle 13"/>
                        <wps:cNvSpPr/>
                        <wps:spPr>
                          <a:xfrm>
                            <a:off x="400812" y="1066233"/>
                            <a:ext cx="3431981" cy="790974"/>
                          </a:xfrm>
                          <a:prstGeom prst="rect">
                            <a:avLst/>
                          </a:prstGeom>
                          <a:ln>
                            <a:noFill/>
                          </a:ln>
                        </wps:spPr>
                        <wps:txbx>
                          <w:txbxContent>
                            <w:p w14:paraId="407B8D79" w14:textId="77777777" w:rsidR="00C80A0C" w:rsidRDefault="005E499E">
                              <w:pPr>
                                <w:spacing w:after="160" w:line="259" w:lineRule="auto"/>
                                <w:ind w:left="0" w:firstLine="0"/>
                              </w:pPr>
                              <w:r>
                                <w:rPr>
                                  <w:rFonts w:ascii="Georgia" w:eastAsia="Georgia" w:hAnsi="Georgia" w:cs="Georgia"/>
                                  <w:color w:val="092F2D"/>
                                  <w:sz w:val="96"/>
                                </w:rPr>
                                <w:t>Response</w:t>
                              </w:r>
                            </w:p>
                          </w:txbxContent>
                        </wps:txbx>
                        <wps:bodyPr horzOverflow="overflow" vert="horz" lIns="0" tIns="0" rIns="0" bIns="0" rtlCol="0">
                          <a:noAutofit/>
                        </wps:bodyPr>
                      </wps:wsp>
                      <wps:wsp>
                        <wps:cNvPr id="14" name="Rectangle 14"/>
                        <wps:cNvSpPr/>
                        <wps:spPr>
                          <a:xfrm>
                            <a:off x="2981579" y="1066233"/>
                            <a:ext cx="195395" cy="790974"/>
                          </a:xfrm>
                          <a:prstGeom prst="rect">
                            <a:avLst/>
                          </a:prstGeom>
                          <a:ln>
                            <a:noFill/>
                          </a:ln>
                        </wps:spPr>
                        <wps:txbx>
                          <w:txbxContent>
                            <w:p w14:paraId="1BFCAE70" w14:textId="77777777" w:rsidR="00C80A0C" w:rsidRDefault="005E499E">
                              <w:pPr>
                                <w:spacing w:after="160" w:line="259" w:lineRule="auto"/>
                                <w:ind w:left="0" w:firstLine="0"/>
                              </w:pPr>
                              <w:r>
                                <w:rPr>
                                  <w:rFonts w:ascii="Georgia" w:eastAsia="Georgia" w:hAnsi="Georgia" w:cs="Georgia"/>
                                  <w:color w:val="092F2D"/>
                                  <w:sz w:val="96"/>
                                </w:rPr>
                                <w:t xml:space="preserve"> </w:t>
                              </w:r>
                            </w:p>
                          </w:txbxContent>
                        </wps:txbx>
                        <wps:bodyPr horzOverflow="overflow" vert="horz" lIns="0" tIns="0" rIns="0" bIns="0" rtlCol="0">
                          <a:noAutofit/>
                        </wps:bodyPr>
                      </wps:wsp>
                      <wps:wsp>
                        <wps:cNvPr id="15" name="Rectangle 15"/>
                        <wps:cNvSpPr/>
                        <wps:spPr>
                          <a:xfrm>
                            <a:off x="400812" y="1943993"/>
                            <a:ext cx="7004830" cy="318166"/>
                          </a:xfrm>
                          <a:prstGeom prst="rect">
                            <a:avLst/>
                          </a:prstGeom>
                          <a:ln>
                            <a:noFill/>
                          </a:ln>
                        </wps:spPr>
                        <wps:txbx>
                          <w:txbxContent>
                            <w:p w14:paraId="2CAA0B54" w14:textId="77777777" w:rsidR="00C80A0C" w:rsidRDefault="005E499E">
                              <w:pPr>
                                <w:spacing w:after="160" w:line="259" w:lineRule="auto"/>
                                <w:ind w:left="0" w:firstLine="0"/>
                              </w:pPr>
                              <w:r>
                                <w:rPr>
                                  <w:color w:val="092F2D"/>
                                  <w:sz w:val="40"/>
                                </w:rPr>
                                <w:t xml:space="preserve">DSS: A new approach to programs for families </w:t>
                              </w:r>
                            </w:p>
                          </w:txbxContent>
                        </wps:txbx>
                        <wps:bodyPr horzOverflow="overflow" vert="horz" lIns="0" tIns="0" rIns="0" bIns="0" rtlCol="0">
                          <a:noAutofit/>
                        </wps:bodyPr>
                      </wps:wsp>
                      <wps:wsp>
                        <wps:cNvPr id="16" name="Rectangle 16"/>
                        <wps:cNvSpPr/>
                        <wps:spPr>
                          <a:xfrm>
                            <a:off x="400812" y="2198502"/>
                            <a:ext cx="1841755" cy="318166"/>
                          </a:xfrm>
                          <a:prstGeom prst="rect">
                            <a:avLst/>
                          </a:prstGeom>
                          <a:ln>
                            <a:noFill/>
                          </a:ln>
                        </wps:spPr>
                        <wps:txbx>
                          <w:txbxContent>
                            <w:p w14:paraId="0888DF88" w14:textId="77777777" w:rsidR="00C80A0C" w:rsidRDefault="005E499E">
                              <w:pPr>
                                <w:spacing w:after="160" w:line="259" w:lineRule="auto"/>
                                <w:ind w:left="0" w:firstLine="0"/>
                              </w:pPr>
                              <w:r>
                                <w:rPr>
                                  <w:color w:val="092F2D"/>
                                  <w:sz w:val="40"/>
                                </w:rPr>
                                <w:t>and children</w:t>
                              </w:r>
                            </w:p>
                          </w:txbxContent>
                        </wps:txbx>
                        <wps:bodyPr horzOverflow="overflow" vert="horz" lIns="0" tIns="0" rIns="0" bIns="0" rtlCol="0">
                          <a:noAutofit/>
                        </wps:bodyPr>
                      </wps:wsp>
                      <wps:wsp>
                        <wps:cNvPr id="17" name="Rectangle 17"/>
                        <wps:cNvSpPr/>
                        <wps:spPr>
                          <a:xfrm>
                            <a:off x="1784858" y="2198502"/>
                            <a:ext cx="94102" cy="318166"/>
                          </a:xfrm>
                          <a:prstGeom prst="rect">
                            <a:avLst/>
                          </a:prstGeom>
                          <a:ln>
                            <a:noFill/>
                          </a:ln>
                        </wps:spPr>
                        <wps:txbx>
                          <w:txbxContent>
                            <w:p w14:paraId="7EDADB11" w14:textId="77777777" w:rsidR="00C80A0C" w:rsidRDefault="005E499E">
                              <w:pPr>
                                <w:spacing w:after="160" w:line="259" w:lineRule="auto"/>
                                <w:ind w:left="0" w:firstLine="0"/>
                              </w:pPr>
                              <w:r>
                                <w:rPr>
                                  <w:color w:val="092F2D"/>
                                  <w:sz w:val="40"/>
                                </w:rPr>
                                <w:t xml:space="preserve"> </w:t>
                              </w:r>
                            </w:p>
                          </w:txbxContent>
                        </wps:txbx>
                        <wps:bodyPr horzOverflow="overflow" vert="horz" lIns="0" tIns="0" rIns="0" bIns="0" rtlCol="0">
                          <a:noAutofit/>
                        </wps:bodyPr>
                      </wps:wsp>
                      <wps:wsp>
                        <wps:cNvPr id="18" name="Shape 18"/>
                        <wps:cNvSpPr/>
                        <wps:spPr>
                          <a:xfrm>
                            <a:off x="669138" y="4764993"/>
                            <a:ext cx="100870" cy="139239"/>
                          </a:xfrm>
                          <a:custGeom>
                            <a:avLst/>
                            <a:gdLst/>
                            <a:ahLst/>
                            <a:cxnLst/>
                            <a:rect l="0" t="0" r="0" b="0"/>
                            <a:pathLst>
                              <a:path w="100870" h="139239">
                                <a:moveTo>
                                  <a:pt x="100870" y="0"/>
                                </a:moveTo>
                                <a:lnTo>
                                  <a:pt x="100870" y="35438"/>
                                </a:lnTo>
                                <a:lnTo>
                                  <a:pt x="89789" y="38401"/>
                                </a:lnTo>
                                <a:cubicBezTo>
                                  <a:pt x="67386" y="44497"/>
                                  <a:pt x="53048" y="53387"/>
                                  <a:pt x="53048" y="71167"/>
                                </a:cubicBezTo>
                                <a:cubicBezTo>
                                  <a:pt x="53048" y="90471"/>
                                  <a:pt x="66954" y="99107"/>
                                  <a:pt x="85649" y="99107"/>
                                </a:cubicBezTo>
                                <a:lnTo>
                                  <a:pt x="100870" y="96932"/>
                                </a:lnTo>
                                <a:lnTo>
                                  <a:pt x="100870" y="136683"/>
                                </a:lnTo>
                                <a:lnTo>
                                  <a:pt x="73038" y="139239"/>
                                </a:lnTo>
                                <a:cubicBezTo>
                                  <a:pt x="31940" y="139239"/>
                                  <a:pt x="0" y="119046"/>
                                  <a:pt x="0" y="75739"/>
                                </a:cubicBezTo>
                                <a:cubicBezTo>
                                  <a:pt x="0" y="32432"/>
                                  <a:pt x="34544" y="17700"/>
                                  <a:pt x="78245" y="5889"/>
                                </a:cubicBezTo>
                                <a:lnTo>
                                  <a:pt x="100870" y="0"/>
                                </a:lnTo>
                                <a:close/>
                              </a:path>
                            </a:pathLst>
                          </a:custGeom>
                          <a:ln w="0" cap="flat">
                            <a:miter lim="127000"/>
                          </a:ln>
                        </wps:spPr>
                        <wps:style>
                          <a:lnRef idx="0">
                            <a:srgbClr val="000000">
                              <a:alpha val="0"/>
                            </a:srgbClr>
                          </a:lnRef>
                          <a:fillRef idx="1">
                            <a:srgbClr val="092F2D"/>
                          </a:fillRef>
                          <a:effectRef idx="0">
                            <a:scrgbClr r="0" g="0" b="0"/>
                          </a:effectRef>
                          <a:fontRef idx="none"/>
                        </wps:style>
                        <wps:bodyPr/>
                      </wps:wsp>
                      <wps:wsp>
                        <wps:cNvPr id="19" name="Shape 19"/>
                        <wps:cNvSpPr/>
                        <wps:spPr>
                          <a:xfrm>
                            <a:off x="664578" y="4663240"/>
                            <a:ext cx="105429" cy="84020"/>
                          </a:xfrm>
                          <a:custGeom>
                            <a:avLst/>
                            <a:gdLst/>
                            <a:ahLst/>
                            <a:cxnLst/>
                            <a:rect l="0" t="0" r="0" b="0"/>
                            <a:pathLst>
                              <a:path w="105429" h="84020">
                                <a:moveTo>
                                  <a:pt x="105429" y="0"/>
                                </a:moveTo>
                                <a:lnTo>
                                  <a:pt x="105429" y="46393"/>
                                </a:lnTo>
                                <a:lnTo>
                                  <a:pt x="100203" y="45666"/>
                                </a:lnTo>
                                <a:cubicBezTo>
                                  <a:pt x="73241" y="45666"/>
                                  <a:pt x="53683" y="58239"/>
                                  <a:pt x="37821" y="84020"/>
                                </a:cubicBezTo>
                                <a:lnTo>
                                  <a:pt x="0" y="61160"/>
                                </a:lnTo>
                                <a:cubicBezTo>
                                  <a:pt x="16469" y="32204"/>
                                  <a:pt x="40517" y="12250"/>
                                  <a:pt x="71963" y="4082"/>
                                </a:cubicBezTo>
                                <a:lnTo>
                                  <a:pt x="105429" y="0"/>
                                </a:lnTo>
                                <a:close/>
                              </a:path>
                            </a:pathLst>
                          </a:custGeom>
                          <a:ln w="0" cap="flat">
                            <a:miter lim="127000"/>
                          </a:ln>
                        </wps:spPr>
                        <wps:style>
                          <a:lnRef idx="0">
                            <a:srgbClr val="000000">
                              <a:alpha val="0"/>
                            </a:srgbClr>
                          </a:lnRef>
                          <a:fillRef idx="1">
                            <a:srgbClr val="092F2D"/>
                          </a:fillRef>
                          <a:effectRef idx="0">
                            <a:scrgbClr r="0" g="0" b="0"/>
                          </a:effectRef>
                          <a:fontRef idx="none"/>
                        </wps:style>
                        <wps:bodyPr/>
                      </wps:wsp>
                      <wps:wsp>
                        <wps:cNvPr id="20" name="Shape 20"/>
                        <wps:cNvSpPr/>
                        <wps:spPr>
                          <a:xfrm>
                            <a:off x="417754" y="4579747"/>
                            <a:ext cx="232804" cy="320167"/>
                          </a:xfrm>
                          <a:custGeom>
                            <a:avLst/>
                            <a:gdLst/>
                            <a:ahLst/>
                            <a:cxnLst/>
                            <a:rect l="0" t="0" r="0" b="0"/>
                            <a:pathLst>
                              <a:path w="232804" h="320167">
                                <a:moveTo>
                                  <a:pt x="0" y="0"/>
                                </a:moveTo>
                                <a:lnTo>
                                  <a:pt x="223888" y="0"/>
                                </a:lnTo>
                                <a:lnTo>
                                  <a:pt x="223888" y="46990"/>
                                </a:lnTo>
                                <a:lnTo>
                                  <a:pt x="53696" y="46990"/>
                                </a:lnTo>
                                <a:lnTo>
                                  <a:pt x="53696" y="133350"/>
                                </a:lnTo>
                                <a:lnTo>
                                  <a:pt x="204546" y="133350"/>
                                </a:lnTo>
                                <a:lnTo>
                                  <a:pt x="204546" y="180340"/>
                                </a:lnTo>
                                <a:lnTo>
                                  <a:pt x="53696" y="180340"/>
                                </a:lnTo>
                                <a:lnTo>
                                  <a:pt x="53696" y="273177"/>
                                </a:lnTo>
                                <a:lnTo>
                                  <a:pt x="232804" y="273177"/>
                                </a:lnTo>
                                <a:lnTo>
                                  <a:pt x="232804" y="320167"/>
                                </a:lnTo>
                                <a:lnTo>
                                  <a:pt x="0" y="320167"/>
                                </a:lnTo>
                                <a:lnTo>
                                  <a:pt x="0" y="0"/>
                                </a:lnTo>
                                <a:close/>
                              </a:path>
                            </a:pathLst>
                          </a:custGeom>
                          <a:ln w="0" cap="flat">
                            <a:miter lim="127000"/>
                          </a:ln>
                        </wps:spPr>
                        <wps:style>
                          <a:lnRef idx="0">
                            <a:srgbClr val="000000">
                              <a:alpha val="0"/>
                            </a:srgbClr>
                          </a:lnRef>
                          <a:fillRef idx="1">
                            <a:srgbClr val="092F2D"/>
                          </a:fillRef>
                          <a:effectRef idx="0">
                            <a:scrgbClr r="0" g="0" b="0"/>
                          </a:effectRef>
                          <a:fontRef idx="none"/>
                        </wps:style>
                        <wps:bodyPr/>
                      </wps:wsp>
                      <wps:wsp>
                        <wps:cNvPr id="21" name="Shape 21"/>
                        <wps:cNvSpPr/>
                        <wps:spPr>
                          <a:xfrm>
                            <a:off x="770007" y="4663186"/>
                            <a:ext cx="357168" cy="241046"/>
                          </a:xfrm>
                          <a:custGeom>
                            <a:avLst/>
                            <a:gdLst/>
                            <a:ahLst/>
                            <a:cxnLst/>
                            <a:rect l="0" t="0" r="0" b="0"/>
                            <a:pathLst>
                              <a:path w="357168" h="241046">
                                <a:moveTo>
                                  <a:pt x="438" y="0"/>
                                </a:moveTo>
                                <a:cubicBezTo>
                                  <a:pt x="62605" y="0"/>
                                  <a:pt x="100857" y="34671"/>
                                  <a:pt x="100857" y="95885"/>
                                </a:cubicBezTo>
                                <a:lnTo>
                                  <a:pt x="100857" y="175514"/>
                                </a:lnTo>
                                <a:cubicBezTo>
                                  <a:pt x="101124" y="184912"/>
                                  <a:pt x="108871" y="192532"/>
                                  <a:pt x="118370" y="192532"/>
                                </a:cubicBezTo>
                                <a:cubicBezTo>
                                  <a:pt x="119780" y="192532"/>
                                  <a:pt x="121164" y="192278"/>
                                  <a:pt x="122485" y="192024"/>
                                </a:cubicBezTo>
                                <a:cubicBezTo>
                                  <a:pt x="131985" y="189738"/>
                                  <a:pt x="136823" y="179197"/>
                                  <a:pt x="133306" y="170180"/>
                                </a:cubicBezTo>
                                <a:cubicBezTo>
                                  <a:pt x="127705" y="155702"/>
                                  <a:pt x="124581" y="139192"/>
                                  <a:pt x="124581" y="120523"/>
                                </a:cubicBezTo>
                                <a:cubicBezTo>
                                  <a:pt x="124581" y="42291"/>
                                  <a:pt x="179788" y="0"/>
                                  <a:pt x="243707" y="0"/>
                                </a:cubicBezTo>
                                <a:cubicBezTo>
                                  <a:pt x="300222" y="0"/>
                                  <a:pt x="344570" y="27813"/>
                                  <a:pt x="357168" y="82423"/>
                                </a:cubicBezTo>
                                <a:lnTo>
                                  <a:pt x="304349" y="92329"/>
                                </a:lnTo>
                                <a:cubicBezTo>
                                  <a:pt x="296310" y="61595"/>
                                  <a:pt x="271736" y="47117"/>
                                  <a:pt x="243694" y="47117"/>
                                </a:cubicBezTo>
                                <a:lnTo>
                                  <a:pt x="243669" y="47117"/>
                                </a:lnTo>
                                <a:cubicBezTo>
                                  <a:pt x="208451" y="47117"/>
                                  <a:pt x="177578" y="68707"/>
                                  <a:pt x="177578" y="120523"/>
                                </a:cubicBezTo>
                                <a:cubicBezTo>
                                  <a:pt x="177578" y="172339"/>
                                  <a:pt x="208451" y="194183"/>
                                  <a:pt x="243669" y="194183"/>
                                </a:cubicBezTo>
                                <a:cubicBezTo>
                                  <a:pt x="271926" y="194183"/>
                                  <a:pt x="296488" y="179705"/>
                                  <a:pt x="304311" y="148717"/>
                                </a:cubicBezTo>
                                <a:lnTo>
                                  <a:pt x="357143" y="158877"/>
                                </a:lnTo>
                                <a:cubicBezTo>
                                  <a:pt x="344532" y="213487"/>
                                  <a:pt x="300196" y="241046"/>
                                  <a:pt x="243681" y="241046"/>
                                </a:cubicBezTo>
                                <a:cubicBezTo>
                                  <a:pt x="215843" y="241046"/>
                                  <a:pt x="189655" y="233045"/>
                                  <a:pt x="168967" y="217551"/>
                                </a:cubicBezTo>
                                <a:cubicBezTo>
                                  <a:pt x="156801" y="231902"/>
                                  <a:pt x="138640" y="241046"/>
                                  <a:pt x="118358" y="241046"/>
                                </a:cubicBezTo>
                                <a:cubicBezTo>
                                  <a:pt x="92996" y="241046"/>
                                  <a:pt x="70923" y="226822"/>
                                  <a:pt x="59798" y="205867"/>
                                </a:cubicBezTo>
                                <a:cubicBezTo>
                                  <a:pt x="48177" y="220059"/>
                                  <a:pt x="30520" y="232751"/>
                                  <a:pt x="3050" y="238210"/>
                                </a:cubicBezTo>
                                <a:lnTo>
                                  <a:pt x="0" y="238490"/>
                                </a:lnTo>
                                <a:lnTo>
                                  <a:pt x="0" y="198739"/>
                                </a:lnTo>
                                <a:lnTo>
                                  <a:pt x="6920" y="197751"/>
                                </a:lnTo>
                                <a:cubicBezTo>
                                  <a:pt x="28748" y="191309"/>
                                  <a:pt x="47822" y="174688"/>
                                  <a:pt x="47822" y="144780"/>
                                </a:cubicBezTo>
                                <a:lnTo>
                                  <a:pt x="47822" y="124460"/>
                                </a:lnTo>
                                <a:lnTo>
                                  <a:pt x="0" y="137245"/>
                                </a:lnTo>
                                <a:lnTo>
                                  <a:pt x="0" y="101807"/>
                                </a:lnTo>
                                <a:lnTo>
                                  <a:pt x="47149" y="89535"/>
                                </a:lnTo>
                                <a:cubicBezTo>
                                  <a:pt x="44548" y="67913"/>
                                  <a:pt x="32897" y="54078"/>
                                  <a:pt x="14852" y="48512"/>
                                </a:cubicBezTo>
                                <a:lnTo>
                                  <a:pt x="0" y="46446"/>
                                </a:lnTo>
                                <a:lnTo>
                                  <a:pt x="0" y="53"/>
                                </a:lnTo>
                                <a:lnTo>
                                  <a:pt x="438" y="0"/>
                                </a:lnTo>
                                <a:close/>
                              </a:path>
                            </a:pathLst>
                          </a:custGeom>
                          <a:ln w="0" cap="flat">
                            <a:miter lim="127000"/>
                          </a:ln>
                        </wps:spPr>
                        <wps:style>
                          <a:lnRef idx="0">
                            <a:srgbClr val="000000">
                              <a:alpha val="0"/>
                            </a:srgbClr>
                          </a:lnRef>
                          <a:fillRef idx="1">
                            <a:srgbClr val="092F2D"/>
                          </a:fillRef>
                          <a:effectRef idx="0">
                            <a:scrgbClr r="0" g="0" b="0"/>
                          </a:effectRef>
                          <a:fontRef idx="none"/>
                        </wps:style>
                        <wps:bodyPr/>
                      </wps:wsp>
                      <wps:wsp>
                        <wps:cNvPr id="22" name="Shape 22"/>
                        <wps:cNvSpPr/>
                        <wps:spPr>
                          <a:xfrm>
                            <a:off x="1150226" y="4562856"/>
                            <a:ext cx="214389" cy="337058"/>
                          </a:xfrm>
                          <a:custGeom>
                            <a:avLst/>
                            <a:gdLst/>
                            <a:ahLst/>
                            <a:cxnLst/>
                            <a:rect l="0" t="0" r="0" b="0"/>
                            <a:pathLst>
                              <a:path w="214389" h="337058">
                                <a:moveTo>
                                  <a:pt x="0" y="0"/>
                                </a:moveTo>
                                <a:lnTo>
                                  <a:pt x="53251" y="0"/>
                                </a:lnTo>
                                <a:lnTo>
                                  <a:pt x="53251" y="133477"/>
                                </a:lnTo>
                                <a:cubicBezTo>
                                  <a:pt x="68263" y="113411"/>
                                  <a:pt x="91516" y="100330"/>
                                  <a:pt x="122441" y="100330"/>
                                </a:cubicBezTo>
                                <a:cubicBezTo>
                                  <a:pt x="178702" y="100330"/>
                                  <a:pt x="214389" y="139192"/>
                                  <a:pt x="214389" y="195707"/>
                                </a:cubicBezTo>
                                <a:lnTo>
                                  <a:pt x="214389" y="337058"/>
                                </a:lnTo>
                                <a:lnTo>
                                  <a:pt x="161557" y="337058"/>
                                </a:lnTo>
                                <a:lnTo>
                                  <a:pt x="161557" y="201168"/>
                                </a:lnTo>
                                <a:cubicBezTo>
                                  <a:pt x="161557" y="167513"/>
                                  <a:pt x="138062" y="146304"/>
                                  <a:pt x="106947" y="146304"/>
                                </a:cubicBezTo>
                                <a:cubicBezTo>
                                  <a:pt x="75870" y="146304"/>
                                  <a:pt x="53251" y="167513"/>
                                  <a:pt x="53251" y="200660"/>
                                </a:cubicBezTo>
                                <a:lnTo>
                                  <a:pt x="53251" y="337058"/>
                                </a:lnTo>
                                <a:lnTo>
                                  <a:pt x="0" y="337058"/>
                                </a:lnTo>
                                <a:lnTo>
                                  <a:pt x="0" y="0"/>
                                </a:lnTo>
                                <a:close/>
                              </a:path>
                            </a:pathLst>
                          </a:custGeom>
                          <a:ln w="0" cap="flat">
                            <a:miter lim="127000"/>
                          </a:ln>
                        </wps:spPr>
                        <wps:style>
                          <a:lnRef idx="0">
                            <a:srgbClr val="000000">
                              <a:alpha val="0"/>
                            </a:srgbClr>
                          </a:lnRef>
                          <a:fillRef idx="1">
                            <a:srgbClr val="092F2D"/>
                          </a:fillRef>
                          <a:effectRef idx="0">
                            <a:scrgbClr r="0" g="0" b="0"/>
                          </a:effectRef>
                          <a:fontRef idx="none"/>
                        </wps:style>
                        <wps:bodyPr/>
                      </wps:wsp>
                      <wps:wsp>
                        <wps:cNvPr id="23" name="Shape 23"/>
                        <wps:cNvSpPr/>
                        <wps:spPr>
                          <a:xfrm>
                            <a:off x="6854444" y="4840859"/>
                            <a:ext cx="162688" cy="65405"/>
                          </a:xfrm>
                          <a:custGeom>
                            <a:avLst/>
                            <a:gdLst/>
                            <a:ahLst/>
                            <a:cxnLst/>
                            <a:rect l="0" t="0" r="0" b="0"/>
                            <a:pathLst>
                              <a:path w="162688" h="65405">
                                <a:moveTo>
                                  <a:pt x="81407" y="0"/>
                                </a:moveTo>
                                <a:cubicBezTo>
                                  <a:pt x="110744" y="0"/>
                                  <a:pt x="139192" y="11557"/>
                                  <a:pt x="161672" y="32766"/>
                                </a:cubicBezTo>
                                <a:cubicBezTo>
                                  <a:pt x="162688" y="33655"/>
                                  <a:pt x="162688" y="35306"/>
                                  <a:pt x="161672" y="36322"/>
                                </a:cubicBezTo>
                                <a:lnTo>
                                  <a:pt x="133986" y="64389"/>
                                </a:lnTo>
                                <a:cubicBezTo>
                                  <a:pt x="133097" y="65405"/>
                                  <a:pt x="131573" y="65405"/>
                                  <a:pt x="130556" y="64516"/>
                                </a:cubicBezTo>
                                <a:cubicBezTo>
                                  <a:pt x="116332" y="51308"/>
                                  <a:pt x="99314" y="44323"/>
                                  <a:pt x="81407" y="44323"/>
                                </a:cubicBezTo>
                                <a:cubicBezTo>
                                  <a:pt x="63374" y="44323"/>
                                  <a:pt x="46355" y="51308"/>
                                  <a:pt x="32131" y="64516"/>
                                </a:cubicBezTo>
                                <a:cubicBezTo>
                                  <a:pt x="31115" y="65405"/>
                                  <a:pt x="29591" y="65405"/>
                                  <a:pt x="28702" y="64516"/>
                                </a:cubicBezTo>
                                <a:lnTo>
                                  <a:pt x="1016" y="36322"/>
                                </a:lnTo>
                                <a:cubicBezTo>
                                  <a:pt x="0" y="35306"/>
                                  <a:pt x="0" y="33655"/>
                                  <a:pt x="1016" y="32766"/>
                                </a:cubicBezTo>
                                <a:cubicBezTo>
                                  <a:pt x="23495" y="11557"/>
                                  <a:pt x="51943" y="0"/>
                                  <a:pt x="81407" y="0"/>
                                </a:cubicBezTo>
                                <a:close/>
                              </a:path>
                            </a:pathLst>
                          </a:custGeom>
                          <a:ln w="0" cap="flat">
                            <a:miter lim="127000"/>
                          </a:ln>
                        </wps:spPr>
                        <wps:style>
                          <a:lnRef idx="0">
                            <a:srgbClr val="000000">
                              <a:alpha val="0"/>
                            </a:srgbClr>
                          </a:lnRef>
                          <a:fillRef idx="1">
                            <a:srgbClr val="092F2D"/>
                          </a:fillRef>
                          <a:effectRef idx="0">
                            <a:scrgbClr r="0" g="0" b="0"/>
                          </a:effectRef>
                          <a:fontRef idx="none"/>
                        </wps:style>
                        <wps:bodyPr/>
                      </wps:wsp>
                      <wps:wsp>
                        <wps:cNvPr id="24" name="Shape 24"/>
                        <wps:cNvSpPr/>
                        <wps:spPr>
                          <a:xfrm>
                            <a:off x="7019290" y="4728591"/>
                            <a:ext cx="101473" cy="141224"/>
                          </a:xfrm>
                          <a:custGeom>
                            <a:avLst/>
                            <a:gdLst/>
                            <a:ahLst/>
                            <a:cxnLst/>
                            <a:rect l="0" t="0" r="0" b="0"/>
                            <a:pathLst>
                              <a:path w="101473" h="141224">
                                <a:moveTo>
                                  <a:pt x="87503" y="381"/>
                                </a:moveTo>
                                <a:cubicBezTo>
                                  <a:pt x="88773" y="0"/>
                                  <a:pt x="90170" y="762"/>
                                  <a:pt x="90551" y="2032"/>
                                </a:cubicBezTo>
                                <a:lnTo>
                                  <a:pt x="101219" y="40132"/>
                                </a:lnTo>
                                <a:cubicBezTo>
                                  <a:pt x="101473" y="41402"/>
                                  <a:pt x="100838" y="42672"/>
                                  <a:pt x="99568" y="43053"/>
                                </a:cubicBezTo>
                                <a:cubicBezTo>
                                  <a:pt x="80899" y="48768"/>
                                  <a:pt x="66421" y="59944"/>
                                  <a:pt x="57403" y="75438"/>
                                </a:cubicBezTo>
                                <a:cubicBezTo>
                                  <a:pt x="48387" y="91059"/>
                                  <a:pt x="45974" y="109220"/>
                                  <a:pt x="50292" y="128143"/>
                                </a:cubicBezTo>
                                <a:cubicBezTo>
                                  <a:pt x="50673" y="129413"/>
                                  <a:pt x="49784" y="130683"/>
                                  <a:pt x="48514" y="131064"/>
                                </a:cubicBezTo>
                                <a:lnTo>
                                  <a:pt x="10160" y="140843"/>
                                </a:lnTo>
                                <a:cubicBezTo>
                                  <a:pt x="8890" y="141224"/>
                                  <a:pt x="7493" y="140335"/>
                                  <a:pt x="7112" y="139065"/>
                                </a:cubicBezTo>
                                <a:cubicBezTo>
                                  <a:pt x="0" y="109093"/>
                                  <a:pt x="4191" y="78613"/>
                                  <a:pt x="18796" y="53340"/>
                                </a:cubicBezTo>
                                <a:cubicBezTo>
                                  <a:pt x="33528" y="27940"/>
                                  <a:pt x="57912" y="9144"/>
                                  <a:pt x="87503" y="381"/>
                                </a:cubicBezTo>
                                <a:close/>
                              </a:path>
                            </a:pathLst>
                          </a:custGeom>
                          <a:ln w="0" cap="flat">
                            <a:miter lim="127000"/>
                          </a:ln>
                        </wps:spPr>
                        <wps:style>
                          <a:lnRef idx="0">
                            <a:srgbClr val="000000">
                              <a:alpha val="0"/>
                            </a:srgbClr>
                          </a:lnRef>
                          <a:fillRef idx="1">
                            <a:srgbClr val="092F2D"/>
                          </a:fillRef>
                          <a:effectRef idx="0">
                            <a:scrgbClr r="0" g="0" b="0"/>
                          </a:effectRef>
                          <a:fontRef idx="none"/>
                        </wps:style>
                        <wps:bodyPr/>
                      </wps:wsp>
                      <wps:wsp>
                        <wps:cNvPr id="25" name="Shape 25"/>
                        <wps:cNvSpPr/>
                        <wps:spPr>
                          <a:xfrm>
                            <a:off x="6750685" y="4728591"/>
                            <a:ext cx="101600" cy="140843"/>
                          </a:xfrm>
                          <a:custGeom>
                            <a:avLst/>
                            <a:gdLst/>
                            <a:ahLst/>
                            <a:cxnLst/>
                            <a:rect l="0" t="0" r="0" b="0"/>
                            <a:pathLst>
                              <a:path w="101600" h="140843">
                                <a:moveTo>
                                  <a:pt x="14097" y="381"/>
                                </a:moveTo>
                                <a:cubicBezTo>
                                  <a:pt x="43688" y="9144"/>
                                  <a:pt x="68072" y="27940"/>
                                  <a:pt x="82804" y="53340"/>
                                </a:cubicBezTo>
                                <a:cubicBezTo>
                                  <a:pt x="97409" y="78740"/>
                                  <a:pt x="101600" y="109093"/>
                                  <a:pt x="94361" y="139065"/>
                                </a:cubicBezTo>
                                <a:lnTo>
                                  <a:pt x="91440" y="140843"/>
                                </a:lnTo>
                                <a:lnTo>
                                  <a:pt x="53086" y="131064"/>
                                </a:lnTo>
                                <a:cubicBezTo>
                                  <a:pt x="51816" y="130683"/>
                                  <a:pt x="51054" y="129413"/>
                                  <a:pt x="51308" y="128143"/>
                                </a:cubicBezTo>
                                <a:cubicBezTo>
                                  <a:pt x="55626" y="109220"/>
                                  <a:pt x="53213" y="91059"/>
                                  <a:pt x="44197" y="75438"/>
                                </a:cubicBezTo>
                                <a:cubicBezTo>
                                  <a:pt x="35179" y="59944"/>
                                  <a:pt x="20701" y="48768"/>
                                  <a:pt x="2032" y="43053"/>
                                </a:cubicBezTo>
                                <a:cubicBezTo>
                                  <a:pt x="762" y="42672"/>
                                  <a:pt x="0" y="41402"/>
                                  <a:pt x="381" y="40132"/>
                                </a:cubicBezTo>
                                <a:lnTo>
                                  <a:pt x="11049" y="2032"/>
                                </a:lnTo>
                                <a:cubicBezTo>
                                  <a:pt x="11430" y="762"/>
                                  <a:pt x="12827" y="0"/>
                                  <a:pt x="14097" y="381"/>
                                </a:cubicBezTo>
                                <a:close/>
                              </a:path>
                            </a:pathLst>
                          </a:custGeom>
                          <a:ln w="0" cap="flat">
                            <a:miter lim="127000"/>
                          </a:ln>
                        </wps:spPr>
                        <wps:style>
                          <a:lnRef idx="0">
                            <a:srgbClr val="000000">
                              <a:alpha val="0"/>
                            </a:srgbClr>
                          </a:lnRef>
                          <a:fillRef idx="1">
                            <a:srgbClr val="092F2D"/>
                          </a:fillRef>
                          <a:effectRef idx="0">
                            <a:scrgbClr r="0" g="0" b="0"/>
                          </a:effectRef>
                          <a:fontRef idx="none"/>
                        </wps:style>
                        <wps:bodyPr/>
                      </wps:wsp>
                      <wps:wsp>
                        <wps:cNvPr id="26" name="Shape 26"/>
                        <wps:cNvSpPr/>
                        <wps:spPr>
                          <a:xfrm>
                            <a:off x="7019290" y="4576191"/>
                            <a:ext cx="101600" cy="141224"/>
                          </a:xfrm>
                          <a:custGeom>
                            <a:avLst/>
                            <a:gdLst/>
                            <a:ahLst/>
                            <a:cxnLst/>
                            <a:rect l="0" t="0" r="0" b="0"/>
                            <a:pathLst>
                              <a:path w="101600" h="141224">
                                <a:moveTo>
                                  <a:pt x="10160" y="254"/>
                                </a:moveTo>
                                <a:lnTo>
                                  <a:pt x="48514" y="10160"/>
                                </a:lnTo>
                                <a:cubicBezTo>
                                  <a:pt x="49784" y="10541"/>
                                  <a:pt x="50546" y="11811"/>
                                  <a:pt x="50292" y="13081"/>
                                </a:cubicBezTo>
                                <a:cubicBezTo>
                                  <a:pt x="45974" y="32004"/>
                                  <a:pt x="48387" y="50165"/>
                                  <a:pt x="57403" y="65659"/>
                                </a:cubicBezTo>
                                <a:cubicBezTo>
                                  <a:pt x="66421" y="81280"/>
                                  <a:pt x="80899" y="92329"/>
                                  <a:pt x="99568" y="98044"/>
                                </a:cubicBezTo>
                                <a:cubicBezTo>
                                  <a:pt x="100838" y="98425"/>
                                  <a:pt x="101600" y="99822"/>
                                  <a:pt x="101219" y="101092"/>
                                </a:cubicBezTo>
                                <a:lnTo>
                                  <a:pt x="90551" y="139065"/>
                                </a:lnTo>
                                <a:cubicBezTo>
                                  <a:pt x="90170" y="140462"/>
                                  <a:pt x="88773" y="141224"/>
                                  <a:pt x="87503" y="140843"/>
                                </a:cubicBezTo>
                                <a:cubicBezTo>
                                  <a:pt x="57785" y="131953"/>
                                  <a:pt x="33528" y="113284"/>
                                  <a:pt x="18796" y="87884"/>
                                </a:cubicBezTo>
                                <a:cubicBezTo>
                                  <a:pt x="4191" y="62484"/>
                                  <a:pt x="0" y="32131"/>
                                  <a:pt x="7239" y="2032"/>
                                </a:cubicBezTo>
                                <a:cubicBezTo>
                                  <a:pt x="7493" y="762"/>
                                  <a:pt x="8890" y="0"/>
                                  <a:pt x="10160" y="254"/>
                                </a:cubicBezTo>
                                <a:close/>
                              </a:path>
                            </a:pathLst>
                          </a:custGeom>
                          <a:ln w="0" cap="flat">
                            <a:miter lim="127000"/>
                          </a:ln>
                        </wps:spPr>
                        <wps:style>
                          <a:lnRef idx="0">
                            <a:srgbClr val="000000">
                              <a:alpha val="0"/>
                            </a:srgbClr>
                          </a:lnRef>
                          <a:fillRef idx="1">
                            <a:srgbClr val="092F2D"/>
                          </a:fillRef>
                          <a:effectRef idx="0">
                            <a:scrgbClr r="0" g="0" b="0"/>
                          </a:effectRef>
                          <a:fontRef idx="none"/>
                        </wps:style>
                        <wps:bodyPr/>
                      </wps:wsp>
                      <wps:wsp>
                        <wps:cNvPr id="27" name="Shape 27"/>
                        <wps:cNvSpPr/>
                        <wps:spPr>
                          <a:xfrm>
                            <a:off x="6750685" y="4576191"/>
                            <a:ext cx="101600" cy="141224"/>
                          </a:xfrm>
                          <a:custGeom>
                            <a:avLst/>
                            <a:gdLst/>
                            <a:ahLst/>
                            <a:cxnLst/>
                            <a:rect l="0" t="0" r="0" b="0"/>
                            <a:pathLst>
                              <a:path w="101600" h="141224">
                                <a:moveTo>
                                  <a:pt x="91440" y="254"/>
                                </a:moveTo>
                                <a:cubicBezTo>
                                  <a:pt x="92710" y="0"/>
                                  <a:pt x="94107" y="762"/>
                                  <a:pt x="94361" y="2032"/>
                                </a:cubicBezTo>
                                <a:cubicBezTo>
                                  <a:pt x="101600" y="32131"/>
                                  <a:pt x="97409" y="62484"/>
                                  <a:pt x="82804" y="87884"/>
                                </a:cubicBezTo>
                                <a:cubicBezTo>
                                  <a:pt x="68072" y="113284"/>
                                  <a:pt x="43688" y="131953"/>
                                  <a:pt x="14097" y="140843"/>
                                </a:cubicBezTo>
                                <a:cubicBezTo>
                                  <a:pt x="12827" y="141224"/>
                                  <a:pt x="11430" y="140462"/>
                                  <a:pt x="11049" y="139065"/>
                                </a:cubicBezTo>
                                <a:lnTo>
                                  <a:pt x="381" y="101092"/>
                                </a:lnTo>
                                <a:cubicBezTo>
                                  <a:pt x="0" y="99822"/>
                                  <a:pt x="762" y="98425"/>
                                  <a:pt x="2032" y="98044"/>
                                </a:cubicBezTo>
                                <a:cubicBezTo>
                                  <a:pt x="20701" y="92329"/>
                                  <a:pt x="35179" y="81280"/>
                                  <a:pt x="44197" y="65659"/>
                                </a:cubicBezTo>
                                <a:cubicBezTo>
                                  <a:pt x="53213" y="50165"/>
                                  <a:pt x="55626" y="32004"/>
                                  <a:pt x="51308" y="13081"/>
                                </a:cubicBezTo>
                                <a:cubicBezTo>
                                  <a:pt x="50927" y="11811"/>
                                  <a:pt x="51816" y="10414"/>
                                  <a:pt x="53086" y="10160"/>
                                </a:cubicBezTo>
                                <a:lnTo>
                                  <a:pt x="91440" y="254"/>
                                </a:lnTo>
                                <a:close/>
                              </a:path>
                            </a:pathLst>
                          </a:custGeom>
                          <a:ln w="0" cap="flat">
                            <a:miter lim="127000"/>
                          </a:ln>
                        </wps:spPr>
                        <wps:style>
                          <a:lnRef idx="0">
                            <a:srgbClr val="000000">
                              <a:alpha val="0"/>
                            </a:srgbClr>
                          </a:lnRef>
                          <a:fillRef idx="1">
                            <a:srgbClr val="092F2D"/>
                          </a:fillRef>
                          <a:effectRef idx="0">
                            <a:scrgbClr r="0" g="0" b="0"/>
                          </a:effectRef>
                          <a:fontRef idx="none"/>
                        </wps:style>
                        <wps:bodyPr/>
                      </wps:wsp>
                      <wps:wsp>
                        <wps:cNvPr id="28" name="Shape 28"/>
                        <wps:cNvSpPr/>
                        <wps:spPr>
                          <a:xfrm>
                            <a:off x="6854444" y="4539615"/>
                            <a:ext cx="162688" cy="65532"/>
                          </a:xfrm>
                          <a:custGeom>
                            <a:avLst/>
                            <a:gdLst/>
                            <a:ahLst/>
                            <a:cxnLst/>
                            <a:rect l="0" t="0" r="0" b="0"/>
                            <a:pathLst>
                              <a:path w="162688" h="65532">
                                <a:moveTo>
                                  <a:pt x="32131" y="889"/>
                                </a:moveTo>
                                <a:cubicBezTo>
                                  <a:pt x="46355" y="14224"/>
                                  <a:pt x="63374" y="21209"/>
                                  <a:pt x="81280" y="21209"/>
                                </a:cubicBezTo>
                                <a:cubicBezTo>
                                  <a:pt x="99314" y="21209"/>
                                  <a:pt x="116332" y="14224"/>
                                  <a:pt x="130556" y="889"/>
                                </a:cubicBezTo>
                                <a:cubicBezTo>
                                  <a:pt x="131573" y="0"/>
                                  <a:pt x="133097" y="127"/>
                                  <a:pt x="133986" y="1016"/>
                                </a:cubicBezTo>
                                <a:lnTo>
                                  <a:pt x="161672" y="29210"/>
                                </a:lnTo>
                                <a:cubicBezTo>
                                  <a:pt x="162688" y="30226"/>
                                  <a:pt x="162688" y="31750"/>
                                  <a:pt x="161672" y="32766"/>
                                </a:cubicBezTo>
                                <a:cubicBezTo>
                                  <a:pt x="139192" y="53848"/>
                                  <a:pt x="110744" y="65532"/>
                                  <a:pt x="81280" y="65532"/>
                                </a:cubicBezTo>
                                <a:cubicBezTo>
                                  <a:pt x="51943" y="65532"/>
                                  <a:pt x="23495" y="53848"/>
                                  <a:pt x="1016" y="32766"/>
                                </a:cubicBezTo>
                                <a:cubicBezTo>
                                  <a:pt x="0" y="31750"/>
                                  <a:pt x="0" y="30226"/>
                                  <a:pt x="1016" y="29210"/>
                                </a:cubicBezTo>
                                <a:lnTo>
                                  <a:pt x="28702" y="1016"/>
                                </a:lnTo>
                                <a:cubicBezTo>
                                  <a:pt x="29591" y="127"/>
                                  <a:pt x="31115" y="0"/>
                                  <a:pt x="32131" y="889"/>
                                </a:cubicBezTo>
                                <a:close/>
                              </a:path>
                            </a:pathLst>
                          </a:custGeom>
                          <a:ln w="0" cap="flat">
                            <a:miter lim="127000"/>
                          </a:ln>
                        </wps:spPr>
                        <wps:style>
                          <a:lnRef idx="0">
                            <a:srgbClr val="000000">
                              <a:alpha val="0"/>
                            </a:srgbClr>
                          </a:lnRef>
                          <a:fillRef idx="1">
                            <a:srgbClr val="092F2D"/>
                          </a:fillRef>
                          <a:effectRef idx="0">
                            <a:scrgbClr r="0" g="0" b="0"/>
                          </a:effectRef>
                          <a:fontRef idx="none"/>
                        </wps:style>
                        <wps:bodyPr/>
                      </wps:wsp>
                      <wps:wsp>
                        <wps:cNvPr id="29" name="Rectangle 29"/>
                        <wps:cNvSpPr/>
                        <wps:spPr>
                          <a:xfrm>
                            <a:off x="396240" y="2729771"/>
                            <a:ext cx="51840" cy="175277"/>
                          </a:xfrm>
                          <a:prstGeom prst="rect">
                            <a:avLst/>
                          </a:prstGeom>
                          <a:ln>
                            <a:noFill/>
                          </a:ln>
                        </wps:spPr>
                        <wps:txbx>
                          <w:txbxContent>
                            <w:p w14:paraId="4E50C98A" w14:textId="77777777" w:rsidR="00C80A0C" w:rsidRDefault="005E499E">
                              <w:pPr>
                                <w:spacing w:after="160" w:line="259" w:lineRule="auto"/>
                                <w:ind w:left="0" w:firstLine="0"/>
                              </w:pPr>
                              <w:r>
                                <w:t xml:space="preserve"> </w:t>
                              </w:r>
                            </w:p>
                          </w:txbxContent>
                        </wps:txbx>
                        <wps:bodyPr horzOverflow="overflow" vert="horz" lIns="0" tIns="0" rIns="0" bIns="0" rtlCol="0">
                          <a:noAutofit/>
                        </wps:bodyPr>
                      </wps:wsp>
                      <wps:wsp>
                        <wps:cNvPr id="30" name="Rectangle 30"/>
                        <wps:cNvSpPr/>
                        <wps:spPr>
                          <a:xfrm>
                            <a:off x="396240" y="3082196"/>
                            <a:ext cx="51840" cy="175277"/>
                          </a:xfrm>
                          <a:prstGeom prst="rect">
                            <a:avLst/>
                          </a:prstGeom>
                          <a:ln>
                            <a:noFill/>
                          </a:ln>
                        </wps:spPr>
                        <wps:txbx>
                          <w:txbxContent>
                            <w:p w14:paraId="0B6D84EA" w14:textId="77777777" w:rsidR="00C80A0C" w:rsidRDefault="005E499E">
                              <w:pPr>
                                <w:spacing w:after="160" w:line="259" w:lineRule="auto"/>
                                <w:ind w:left="0" w:firstLine="0"/>
                              </w:pPr>
                              <w:r>
                                <w:t xml:space="preserve"> </w:t>
                              </w:r>
                            </w:p>
                          </w:txbxContent>
                        </wps:txbx>
                        <wps:bodyPr horzOverflow="overflow" vert="horz" lIns="0" tIns="0" rIns="0" bIns="0" rtlCol="0">
                          <a:noAutofit/>
                        </wps:bodyPr>
                      </wps:wsp>
                      <wps:wsp>
                        <wps:cNvPr id="31" name="Rectangle 31"/>
                        <wps:cNvSpPr/>
                        <wps:spPr>
                          <a:xfrm>
                            <a:off x="396240" y="3432715"/>
                            <a:ext cx="51840" cy="175277"/>
                          </a:xfrm>
                          <a:prstGeom prst="rect">
                            <a:avLst/>
                          </a:prstGeom>
                          <a:ln>
                            <a:noFill/>
                          </a:ln>
                        </wps:spPr>
                        <wps:txbx>
                          <w:txbxContent>
                            <w:p w14:paraId="623E9C00" w14:textId="77777777" w:rsidR="00C80A0C" w:rsidRDefault="005E499E">
                              <w:pPr>
                                <w:spacing w:after="160" w:line="259" w:lineRule="auto"/>
                                <w:ind w:left="0" w:firstLine="0"/>
                              </w:pPr>
                              <w:r>
                                <w:t xml:space="preserve"> </w:t>
                              </w:r>
                            </w:p>
                          </w:txbxContent>
                        </wps:txbx>
                        <wps:bodyPr horzOverflow="overflow" vert="horz" lIns="0" tIns="0" rIns="0" bIns="0" rtlCol="0">
                          <a:noAutofit/>
                        </wps:bodyPr>
                      </wps:wsp>
                      <wps:wsp>
                        <wps:cNvPr id="32" name="Rectangle 32"/>
                        <wps:cNvSpPr/>
                        <wps:spPr>
                          <a:xfrm>
                            <a:off x="2225675" y="3432715"/>
                            <a:ext cx="51841" cy="175277"/>
                          </a:xfrm>
                          <a:prstGeom prst="rect">
                            <a:avLst/>
                          </a:prstGeom>
                          <a:ln>
                            <a:noFill/>
                          </a:ln>
                        </wps:spPr>
                        <wps:txbx>
                          <w:txbxContent>
                            <w:p w14:paraId="1B984A48" w14:textId="77777777" w:rsidR="00C80A0C" w:rsidRDefault="005E499E">
                              <w:pPr>
                                <w:spacing w:after="160" w:line="259" w:lineRule="auto"/>
                                <w:ind w:left="0" w:firstLine="0"/>
                              </w:pPr>
                              <w:r>
                                <w:t xml:space="preserve"> </w:t>
                              </w:r>
                            </w:p>
                          </w:txbxContent>
                        </wps:txbx>
                        <wps:bodyPr horzOverflow="overflow" vert="horz" lIns="0" tIns="0" rIns="0" bIns="0" rtlCol="0">
                          <a:noAutofit/>
                        </wps:bodyPr>
                      </wps:wsp>
                      <wps:wsp>
                        <wps:cNvPr id="33" name="Rectangle 33"/>
                        <wps:cNvSpPr/>
                        <wps:spPr>
                          <a:xfrm>
                            <a:off x="6232906" y="485271"/>
                            <a:ext cx="753716" cy="318166"/>
                          </a:xfrm>
                          <a:prstGeom prst="rect">
                            <a:avLst/>
                          </a:prstGeom>
                          <a:ln>
                            <a:noFill/>
                          </a:ln>
                        </wps:spPr>
                        <wps:txbx>
                          <w:txbxContent>
                            <w:p w14:paraId="427D4CD6" w14:textId="77777777" w:rsidR="00C80A0C" w:rsidRDefault="005E499E">
                              <w:pPr>
                                <w:spacing w:after="160" w:line="259" w:lineRule="auto"/>
                                <w:ind w:left="0" w:firstLine="0"/>
                              </w:pPr>
                              <w:r>
                                <w:rPr>
                                  <w:color w:val="092F2D"/>
                                  <w:sz w:val="40"/>
                                </w:rPr>
                                <w:t>2025</w:t>
                              </w:r>
                            </w:p>
                          </w:txbxContent>
                        </wps:txbx>
                        <wps:bodyPr horzOverflow="overflow" vert="horz" lIns="0" tIns="0" rIns="0" bIns="0" rtlCol="0">
                          <a:noAutofit/>
                        </wps:bodyPr>
                      </wps:wsp>
                      <wps:wsp>
                        <wps:cNvPr id="34" name="Rectangle 34"/>
                        <wps:cNvSpPr/>
                        <wps:spPr>
                          <a:xfrm>
                            <a:off x="6798564" y="485271"/>
                            <a:ext cx="112719" cy="318166"/>
                          </a:xfrm>
                          <a:prstGeom prst="rect">
                            <a:avLst/>
                          </a:prstGeom>
                          <a:ln>
                            <a:noFill/>
                          </a:ln>
                        </wps:spPr>
                        <wps:txbx>
                          <w:txbxContent>
                            <w:p w14:paraId="1006C2F7" w14:textId="77777777" w:rsidR="00C80A0C" w:rsidRDefault="005E499E">
                              <w:pPr>
                                <w:spacing w:after="160" w:line="259" w:lineRule="auto"/>
                                <w:ind w:left="0" w:firstLine="0"/>
                              </w:pPr>
                              <w:r>
                                <w:rPr>
                                  <w:color w:val="092F2D"/>
                                  <w:sz w:val="40"/>
                                </w:rPr>
                                <w:t>-</w:t>
                              </w:r>
                            </w:p>
                          </w:txbxContent>
                        </wps:txbx>
                        <wps:bodyPr horzOverflow="overflow" vert="horz" lIns="0" tIns="0" rIns="0" bIns="0" rtlCol="0">
                          <a:noAutofit/>
                        </wps:bodyPr>
                      </wps:wsp>
                      <wps:wsp>
                        <wps:cNvPr id="35" name="Rectangle 35"/>
                        <wps:cNvSpPr/>
                        <wps:spPr>
                          <a:xfrm>
                            <a:off x="6883908" y="485271"/>
                            <a:ext cx="376708" cy="318166"/>
                          </a:xfrm>
                          <a:prstGeom prst="rect">
                            <a:avLst/>
                          </a:prstGeom>
                          <a:ln>
                            <a:noFill/>
                          </a:ln>
                        </wps:spPr>
                        <wps:txbx>
                          <w:txbxContent>
                            <w:p w14:paraId="30ADCF35" w14:textId="77777777" w:rsidR="00C80A0C" w:rsidRDefault="005E499E">
                              <w:pPr>
                                <w:spacing w:after="160" w:line="259" w:lineRule="auto"/>
                                <w:ind w:left="0" w:firstLine="0"/>
                              </w:pPr>
                              <w:r>
                                <w:rPr>
                                  <w:color w:val="092F2D"/>
                                  <w:sz w:val="40"/>
                                </w:rPr>
                                <w:t>11</w:t>
                              </w:r>
                            </w:p>
                          </w:txbxContent>
                        </wps:txbx>
                        <wps:bodyPr horzOverflow="overflow" vert="horz" lIns="0" tIns="0" rIns="0" bIns="0" rtlCol="0">
                          <a:noAutofit/>
                        </wps:bodyPr>
                      </wps:wsp>
                      <wps:wsp>
                        <wps:cNvPr id="36" name="Rectangle 36"/>
                        <wps:cNvSpPr/>
                        <wps:spPr>
                          <a:xfrm>
                            <a:off x="7165848" y="485271"/>
                            <a:ext cx="94102" cy="318166"/>
                          </a:xfrm>
                          <a:prstGeom prst="rect">
                            <a:avLst/>
                          </a:prstGeom>
                          <a:ln>
                            <a:noFill/>
                          </a:ln>
                        </wps:spPr>
                        <wps:txbx>
                          <w:txbxContent>
                            <w:p w14:paraId="01F6BCCF" w14:textId="77777777" w:rsidR="00C80A0C" w:rsidRDefault="005E499E">
                              <w:pPr>
                                <w:spacing w:after="160" w:line="259" w:lineRule="auto"/>
                                <w:ind w:left="0" w:firstLine="0"/>
                              </w:pPr>
                              <w:r>
                                <w:rPr>
                                  <w:color w:val="092F2D"/>
                                  <w:sz w:val="4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6663" style="width:595.25pt;height:840.8pt;position:absolute;mso-position-horizontal-relative:page;mso-position-horizontal:absolute;margin-left:0pt;mso-position-vertical-relative:page;margin-top:0pt;" coordsize="75596,106781">
                <v:shape id="Picture 8" style="position:absolute;width:75482;height:58864;left:0;top:47917;" filled="f">
                  <v:imagedata r:id="rId61"/>
                </v:shape>
                <v:shape id="Shape 9" style="position:absolute;width:75596;height:53492;left:0;top:0;" coordsize="7559675,5349240" path="m0,0l7559675,0l7559675,4840986c7559675,5121656,7332091,5349240,7051421,5349240l508216,5349240c227533,5349240,0,5121656,0,4840986l0,0x">
                  <v:stroke weight="0pt" endcap="flat" joinstyle="miter" miterlimit="10" on="false" color="#000000" opacity="0"/>
                  <v:fill on="true" color="#fdfbf6"/>
                </v:shape>
                <v:shape id="Picture 11" style="position:absolute;width:75498;height:40065;left:45;top:4373;" filled="f">
                  <v:imagedata r:id="rId62"/>
                </v:shape>
                <v:rect id="Rectangle 12" style="position:absolute;width:63677;height:7913;left:4008;top:4622;" filled="f" stroked="f">
                  <v:textbox inset="0,0,0,0">
                    <w:txbxContent>
                      <w:p>
                        <w:pPr>
                          <w:spacing w:before="0" w:after="160" w:line="259" w:lineRule="auto"/>
                          <w:ind w:left="0" w:firstLine="0"/>
                        </w:pPr>
                        <w:r>
                          <w:rPr>
                            <w:rFonts w:cs="Georgia" w:hAnsi="Georgia" w:eastAsia="Georgia" w:ascii="Georgia"/>
                            <w:color w:val="092f2d"/>
                            <w:sz w:val="96"/>
                          </w:rPr>
                          <w:t xml:space="preserve">Discussion Paper </w:t>
                        </w:r>
                      </w:p>
                    </w:txbxContent>
                  </v:textbox>
                </v:rect>
                <v:rect id="Rectangle 13" style="position:absolute;width:34319;height:7909;left:4008;top:10662;" filled="f" stroked="f">
                  <v:textbox inset="0,0,0,0">
                    <w:txbxContent>
                      <w:p>
                        <w:pPr>
                          <w:spacing w:before="0" w:after="160" w:line="259" w:lineRule="auto"/>
                          <w:ind w:left="0" w:firstLine="0"/>
                        </w:pPr>
                        <w:r>
                          <w:rPr>
                            <w:rFonts w:cs="Georgia" w:hAnsi="Georgia" w:eastAsia="Georgia" w:ascii="Georgia"/>
                            <w:color w:val="092f2d"/>
                            <w:sz w:val="96"/>
                          </w:rPr>
                          <w:t xml:space="preserve">Response</w:t>
                        </w:r>
                      </w:p>
                    </w:txbxContent>
                  </v:textbox>
                </v:rect>
                <v:rect id="Rectangle 14" style="position:absolute;width:1953;height:7909;left:29815;top:10662;" filled="f" stroked="f">
                  <v:textbox inset="0,0,0,0">
                    <w:txbxContent>
                      <w:p>
                        <w:pPr>
                          <w:spacing w:before="0" w:after="160" w:line="259" w:lineRule="auto"/>
                          <w:ind w:left="0" w:firstLine="0"/>
                        </w:pPr>
                        <w:r>
                          <w:rPr>
                            <w:rFonts w:cs="Georgia" w:hAnsi="Georgia" w:eastAsia="Georgia" w:ascii="Georgia"/>
                            <w:color w:val="092f2d"/>
                            <w:sz w:val="96"/>
                          </w:rPr>
                          <w:t xml:space="preserve"> </w:t>
                        </w:r>
                      </w:p>
                    </w:txbxContent>
                  </v:textbox>
                </v:rect>
                <v:rect id="Rectangle 15" style="position:absolute;width:70048;height:3181;left:4008;top:19439;" filled="f" stroked="f">
                  <v:textbox inset="0,0,0,0">
                    <w:txbxContent>
                      <w:p>
                        <w:pPr>
                          <w:spacing w:before="0" w:after="160" w:line="259" w:lineRule="auto"/>
                          <w:ind w:left="0" w:firstLine="0"/>
                        </w:pPr>
                        <w:r>
                          <w:rPr>
                            <w:rFonts w:cs="Arial" w:hAnsi="Arial" w:eastAsia="Arial" w:ascii="Arial"/>
                            <w:color w:val="092f2d"/>
                            <w:sz w:val="40"/>
                          </w:rPr>
                          <w:t xml:space="preserve">DSS: A new approach to programs for families </w:t>
                        </w:r>
                      </w:p>
                    </w:txbxContent>
                  </v:textbox>
                </v:rect>
                <v:rect id="Rectangle 16" style="position:absolute;width:18417;height:3181;left:4008;top:21985;" filled="f" stroked="f">
                  <v:textbox inset="0,0,0,0">
                    <w:txbxContent>
                      <w:p>
                        <w:pPr>
                          <w:spacing w:before="0" w:after="160" w:line="259" w:lineRule="auto"/>
                          <w:ind w:left="0" w:firstLine="0"/>
                        </w:pPr>
                        <w:r>
                          <w:rPr>
                            <w:rFonts w:cs="Arial" w:hAnsi="Arial" w:eastAsia="Arial" w:ascii="Arial"/>
                            <w:color w:val="092f2d"/>
                            <w:sz w:val="40"/>
                          </w:rPr>
                          <w:t xml:space="preserve">and children</w:t>
                        </w:r>
                      </w:p>
                    </w:txbxContent>
                  </v:textbox>
                </v:rect>
                <v:rect id="Rectangle 17" style="position:absolute;width:941;height:3181;left:17848;top:21985;" filled="f" stroked="f">
                  <v:textbox inset="0,0,0,0">
                    <w:txbxContent>
                      <w:p>
                        <w:pPr>
                          <w:spacing w:before="0" w:after="160" w:line="259" w:lineRule="auto"/>
                          <w:ind w:left="0" w:firstLine="0"/>
                        </w:pPr>
                        <w:r>
                          <w:rPr>
                            <w:color w:val="092f2d"/>
                            <w:sz w:val="40"/>
                          </w:rPr>
                          <w:t xml:space="preserve"> </w:t>
                        </w:r>
                      </w:p>
                    </w:txbxContent>
                  </v:textbox>
                </v:rect>
                <v:shape id="Shape 18" style="position:absolute;width:1008;height:1392;left:6691;top:47649;" coordsize="100870,139239" path="m100870,0l100870,35438l89789,38401c67386,44497,53048,53387,53048,71167c53048,90471,66954,99107,85649,99107l100870,96932l100870,136683l73038,139239c31940,139239,0,119046,0,75739c0,32432,34544,17700,78245,5889l100870,0x">
                  <v:stroke weight="0pt" endcap="flat" joinstyle="miter" miterlimit="10" on="false" color="#000000" opacity="0"/>
                  <v:fill on="true" color="#092f2d"/>
                </v:shape>
                <v:shape id="Shape 19" style="position:absolute;width:1054;height:840;left:6645;top:46632;" coordsize="105429,84020" path="m105429,0l105429,46393l100203,45666c73241,45666,53683,58239,37821,84020l0,61160c16469,32204,40517,12250,71963,4082l105429,0x">
                  <v:stroke weight="0pt" endcap="flat" joinstyle="miter" miterlimit="10" on="false" color="#000000" opacity="0"/>
                  <v:fill on="true" color="#092f2d"/>
                </v:shape>
                <v:shape id="Shape 20" style="position:absolute;width:2328;height:3201;left:4177;top:45797;" coordsize="232804,320167" path="m0,0l223888,0l223888,46990l53696,46990l53696,133350l204546,133350l204546,180340l53696,180340l53696,273177l232804,273177l232804,320167l0,320167l0,0x">
                  <v:stroke weight="0pt" endcap="flat" joinstyle="miter" miterlimit="10" on="false" color="#000000" opacity="0"/>
                  <v:fill on="true" color="#092f2d"/>
                </v:shape>
                <v:shape id="Shape 21" style="position:absolute;width:3571;height:2410;left:7700;top:46631;" coordsize="357168,241046" path="m438,0c62605,0,100857,34671,100857,95885l100857,175514c101124,184912,108871,192532,118370,192532c119780,192532,121164,192278,122485,192024c131985,189738,136823,179197,133306,170180c127705,155702,124581,139192,124581,120523c124581,42291,179788,0,243707,0c300222,0,344570,27813,357168,82423l304349,92329c296310,61595,271736,47117,243694,47117l243669,47117c208451,47117,177578,68707,177578,120523c177578,172339,208451,194183,243669,194183c271926,194183,296488,179705,304311,148717l357143,158877c344532,213487,300196,241046,243681,241046c215843,241046,189655,233045,168967,217551c156801,231902,138640,241046,118358,241046c92996,241046,70923,226822,59798,205867c48177,220059,30520,232751,3050,238210l0,238490l0,198739l6920,197751c28748,191309,47822,174688,47822,144780l47822,124460l0,137245l0,101807l47149,89535c44548,67913,32897,54078,14852,48512l0,46446l0,53l438,0x">
                  <v:stroke weight="0pt" endcap="flat" joinstyle="miter" miterlimit="10" on="false" color="#000000" opacity="0"/>
                  <v:fill on="true" color="#092f2d"/>
                </v:shape>
                <v:shape id="Shape 22" style="position:absolute;width:2143;height:3370;left:11502;top:45628;" coordsize="214389,337058" path="m0,0l53251,0l53251,133477c68263,113411,91516,100330,122441,100330c178702,100330,214389,139192,214389,195707l214389,337058l161557,337058l161557,201168c161557,167513,138062,146304,106947,146304c75870,146304,53251,167513,53251,200660l53251,337058l0,337058l0,0x">
                  <v:stroke weight="0pt" endcap="flat" joinstyle="miter" miterlimit="10" on="false" color="#000000" opacity="0"/>
                  <v:fill on="true" color="#092f2d"/>
                </v:shape>
                <v:shape id="Shape 23" style="position:absolute;width:1626;height:654;left:68544;top:48408;" coordsize="162688,65405" path="m81407,0c110744,0,139192,11557,161672,32766c162688,33655,162688,35306,161672,36322l133986,64389c133097,65405,131573,65405,130556,64516c116332,51308,99314,44323,81407,44323c63374,44323,46355,51308,32131,64516c31115,65405,29591,65405,28702,64516l1016,36322c0,35306,0,33655,1016,32766c23495,11557,51943,0,81407,0x">
                  <v:stroke weight="0pt" endcap="flat" joinstyle="miter" miterlimit="10" on="false" color="#000000" opacity="0"/>
                  <v:fill on="true" color="#092f2d"/>
                </v:shape>
                <v:shape id="Shape 24" style="position:absolute;width:1014;height:1412;left:70192;top:47285;" coordsize="101473,141224" path="m87503,381c88773,0,90170,762,90551,2032l101219,40132c101473,41402,100838,42672,99568,43053c80899,48768,66421,59944,57403,75438c48387,91059,45974,109220,50292,128143c50673,129413,49784,130683,48514,131064l10160,140843c8890,141224,7493,140335,7112,139065c0,109093,4191,78613,18796,53340c33528,27940,57912,9144,87503,381x">
                  <v:stroke weight="0pt" endcap="flat" joinstyle="miter" miterlimit="10" on="false" color="#000000" opacity="0"/>
                  <v:fill on="true" color="#092f2d"/>
                </v:shape>
                <v:shape id="Shape 25" style="position:absolute;width:1016;height:1408;left:67506;top:47285;" coordsize="101600,140843" path="m14097,381c43688,9144,68072,27940,82804,53340c97409,78740,101600,109093,94361,139065l91440,140843l53086,131064c51816,130683,51054,129413,51308,128143c55626,109220,53213,91059,44197,75438c35179,59944,20701,48768,2032,43053c762,42672,0,41402,381,40132l11049,2032c11430,762,12827,0,14097,381x">
                  <v:stroke weight="0pt" endcap="flat" joinstyle="miter" miterlimit="10" on="false" color="#000000" opacity="0"/>
                  <v:fill on="true" color="#092f2d"/>
                </v:shape>
                <v:shape id="Shape 26" style="position:absolute;width:1016;height:1412;left:70192;top:45761;" coordsize="101600,141224" path="m10160,254l48514,10160c49784,10541,50546,11811,50292,13081c45974,32004,48387,50165,57403,65659c66421,81280,80899,92329,99568,98044c100838,98425,101600,99822,101219,101092l90551,139065c90170,140462,88773,141224,87503,140843c57785,131953,33528,113284,18796,87884c4191,62484,0,32131,7239,2032c7493,762,8890,0,10160,254x">
                  <v:stroke weight="0pt" endcap="flat" joinstyle="miter" miterlimit="10" on="false" color="#000000" opacity="0"/>
                  <v:fill on="true" color="#092f2d"/>
                </v:shape>
                <v:shape id="Shape 27" style="position:absolute;width:1016;height:1412;left:67506;top:45761;" coordsize="101600,141224" path="m91440,254c92710,0,94107,762,94361,2032c101600,32131,97409,62484,82804,87884c68072,113284,43688,131953,14097,140843c12827,141224,11430,140462,11049,139065l381,101092c0,99822,762,98425,2032,98044c20701,92329,35179,81280,44197,65659c53213,50165,55626,32004,51308,13081c50927,11811,51816,10414,53086,10160l91440,254x">
                  <v:stroke weight="0pt" endcap="flat" joinstyle="miter" miterlimit="10" on="false" color="#000000" opacity="0"/>
                  <v:fill on="true" color="#092f2d"/>
                </v:shape>
                <v:shape id="Shape 28" style="position:absolute;width:1626;height:655;left:68544;top:45396;" coordsize="162688,65532" path="m32131,889c46355,14224,63374,21209,81280,21209c99314,21209,116332,14224,130556,889c131573,0,133097,127,133986,1016l161672,29210c162688,30226,162688,31750,161672,32766c139192,53848,110744,65532,81280,65532c51943,65532,23495,53848,1016,32766c0,31750,0,30226,1016,29210l28702,1016c29591,127,31115,0,32131,889x">
                  <v:stroke weight="0pt" endcap="flat" joinstyle="miter" miterlimit="10" on="false" color="#000000" opacity="0"/>
                  <v:fill on="true" color="#092f2d"/>
                </v:shape>
                <v:rect id="Rectangle 29" style="position:absolute;width:518;height:1752;left:3962;top:27297;" filled="f" stroked="f">
                  <v:textbox inset="0,0,0,0">
                    <w:txbxContent>
                      <w:p>
                        <w:pPr>
                          <w:spacing w:before="0" w:after="160" w:line="259" w:lineRule="auto"/>
                          <w:ind w:left="0" w:firstLine="0"/>
                        </w:pPr>
                        <w:r>
                          <w:rPr/>
                          <w:t xml:space="preserve"> </w:t>
                        </w:r>
                      </w:p>
                    </w:txbxContent>
                  </v:textbox>
                </v:rect>
                <v:rect id="Rectangle 30" style="position:absolute;width:518;height:1752;left:3962;top:30821;" filled="f" stroked="f">
                  <v:textbox inset="0,0,0,0">
                    <w:txbxContent>
                      <w:p>
                        <w:pPr>
                          <w:spacing w:before="0" w:after="160" w:line="259" w:lineRule="auto"/>
                          <w:ind w:left="0" w:firstLine="0"/>
                        </w:pPr>
                        <w:r>
                          <w:rPr/>
                          <w:t xml:space="preserve"> </w:t>
                        </w:r>
                      </w:p>
                    </w:txbxContent>
                  </v:textbox>
                </v:rect>
                <v:rect id="Rectangle 31" style="position:absolute;width:518;height:1752;left:3962;top:34327;" filled="f" stroked="f">
                  <v:textbox inset="0,0,0,0">
                    <w:txbxContent>
                      <w:p>
                        <w:pPr>
                          <w:spacing w:before="0" w:after="160" w:line="259" w:lineRule="auto"/>
                          <w:ind w:left="0" w:firstLine="0"/>
                        </w:pPr>
                        <w:r>
                          <w:rPr/>
                          <w:t xml:space="preserve"> </w:t>
                        </w:r>
                      </w:p>
                    </w:txbxContent>
                  </v:textbox>
                </v:rect>
                <v:rect id="Rectangle 32" style="position:absolute;width:518;height:1752;left:22256;top:34327;" filled="f" stroked="f">
                  <v:textbox inset="0,0,0,0">
                    <w:txbxContent>
                      <w:p>
                        <w:pPr>
                          <w:spacing w:before="0" w:after="160" w:line="259" w:lineRule="auto"/>
                          <w:ind w:left="0" w:firstLine="0"/>
                        </w:pPr>
                        <w:r>
                          <w:rPr/>
                          <w:t xml:space="preserve"> </w:t>
                        </w:r>
                      </w:p>
                    </w:txbxContent>
                  </v:textbox>
                </v:rect>
                <v:rect id="Rectangle 33" style="position:absolute;width:7537;height:3181;left:62329;top:4852;" filled="f" stroked="f">
                  <v:textbox inset="0,0,0,0">
                    <w:txbxContent>
                      <w:p>
                        <w:pPr>
                          <w:spacing w:before="0" w:after="160" w:line="259" w:lineRule="auto"/>
                          <w:ind w:left="0" w:firstLine="0"/>
                        </w:pPr>
                        <w:r>
                          <w:rPr>
                            <w:color w:val="092f2d"/>
                            <w:sz w:val="40"/>
                          </w:rPr>
                          <w:t xml:space="preserve">2025</w:t>
                        </w:r>
                      </w:p>
                    </w:txbxContent>
                  </v:textbox>
                </v:rect>
                <v:rect id="Rectangle 34" style="position:absolute;width:1127;height:3181;left:67985;top:4852;" filled="f" stroked="f">
                  <v:textbox inset="0,0,0,0">
                    <w:txbxContent>
                      <w:p>
                        <w:pPr>
                          <w:spacing w:before="0" w:after="160" w:line="259" w:lineRule="auto"/>
                          <w:ind w:left="0" w:firstLine="0"/>
                        </w:pPr>
                        <w:r>
                          <w:rPr>
                            <w:color w:val="092f2d"/>
                            <w:sz w:val="40"/>
                          </w:rPr>
                          <w:t xml:space="preserve">-</w:t>
                        </w:r>
                      </w:p>
                    </w:txbxContent>
                  </v:textbox>
                </v:rect>
                <v:rect id="Rectangle 35" style="position:absolute;width:3767;height:3181;left:68839;top:4852;" filled="f" stroked="f">
                  <v:textbox inset="0,0,0,0">
                    <w:txbxContent>
                      <w:p>
                        <w:pPr>
                          <w:spacing w:before="0" w:after="160" w:line="259" w:lineRule="auto"/>
                          <w:ind w:left="0" w:firstLine="0"/>
                        </w:pPr>
                        <w:r>
                          <w:rPr>
                            <w:color w:val="092f2d"/>
                            <w:sz w:val="40"/>
                          </w:rPr>
                          <w:t xml:space="preserve">11</w:t>
                        </w:r>
                      </w:p>
                    </w:txbxContent>
                  </v:textbox>
                </v:rect>
                <v:rect id="Rectangle 36" style="position:absolute;width:941;height:3181;left:71658;top:4852;" filled="f" stroked="f">
                  <v:textbox inset="0,0,0,0">
                    <w:txbxContent>
                      <w:p>
                        <w:pPr>
                          <w:spacing w:before="0" w:after="160" w:line="259" w:lineRule="auto"/>
                          <w:ind w:left="0" w:firstLine="0"/>
                        </w:pPr>
                        <w:r>
                          <w:rPr>
                            <w:color w:val="092f2d"/>
                            <w:sz w:val="40"/>
                          </w:rPr>
                          <w:t xml:space="preserve"> </w:t>
                        </w:r>
                      </w:p>
                    </w:txbxContent>
                  </v:textbox>
                </v:rect>
                <w10:wrap type="topAndBottom"/>
              </v:group>
            </w:pict>
          </mc:Fallback>
        </mc:AlternateContent>
      </w:r>
      <w:r>
        <w:br w:type="page"/>
      </w:r>
    </w:p>
    <w:p w14:paraId="72586BD7" w14:textId="77777777" w:rsidR="00C80A0C" w:rsidRDefault="005E499E">
      <w:pPr>
        <w:spacing w:after="105" w:line="259" w:lineRule="auto"/>
        <w:ind w:left="0" w:firstLine="0"/>
      </w:pPr>
      <w:r>
        <w:rPr>
          <w:color w:val="000000"/>
          <w:sz w:val="16"/>
        </w:rPr>
        <w:lastRenderedPageBreak/>
        <w:t xml:space="preserve"> </w:t>
      </w:r>
      <w:r>
        <w:rPr>
          <w:color w:val="000000"/>
          <w:sz w:val="16"/>
        </w:rPr>
        <w:tab/>
        <w:t xml:space="preserve"> </w:t>
      </w:r>
    </w:p>
    <w:p w14:paraId="452E1822" w14:textId="77777777" w:rsidR="00C80A0C" w:rsidRDefault="005E499E">
      <w:pPr>
        <w:spacing w:after="3583" w:line="259" w:lineRule="auto"/>
        <w:ind w:left="7" w:firstLine="0"/>
      </w:pPr>
      <w:r>
        <w:rPr>
          <w:color w:val="000000"/>
          <w:sz w:val="16"/>
        </w:rPr>
        <w:t xml:space="preserve"> </w:t>
      </w:r>
    </w:p>
    <w:p w14:paraId="1460A21A" w14:textId="77777777" w:rsidR="00C80A0C" w:rsidRDefault="005E499E">
      <w:pPr>
        <w:spacing w:after="606" w:line="259" w:lineRule="auto"/>
        <w:ind w:left="1892" w:firstLine="0"/>
        <w:jc w:val="center"/>
      </w:pPr>
      <w:r>
        <w:t xml:space="preserve"> </w:t>
      </w:r>
    </w:p>
    <w:p w14:paraId="5A377970" w14:textId="77777777" w:rsidR="00C80A0C" w:rsidRDefault="005E499E">
      <w:pPr>
        <w:tabs>
          <w:tab w:val="right" w:pos="10657"/>
        </w:tabs>
        <w:spacing w:after="0" w:line="259" w:lineRule="auto"/>
        <w:ind w:left="0" w:right="-14" w:firstLine="0"/>
      </w:pPr>
      <w:r>
        <w:rPr>
          <w:rFonts w:ascii="Georgia" w:eastAsia="Georgia" w:hAnsi="Georgia" w:cs="Georgia"/>
          <w:sz w:val="80"/>
        </w:rPr>
        <w:t xml:space="preserve">Contents </w:t>
      </w:r>
      <w:r>
        <w:rPr>
          <w:rFonts w:ascii="Georgia" w:eastAsia="Georgia" w:hAnsi="Georgia" w:cs="Georgia"/>
          <w:sz w:val="80"/>
        </w:rPr>
        <w:tab/>
      </w:r>
      <w:r>
        <w:rPr>
          <w:sz w:val="24"/>
        </w:rPr>
        <w:t>Acknowledgement of Country ................ 3</w:t>
      </w:r>
      <w:r>
        <w:rPr>
          <w:color w:val="000000"/>
          <w:sz w:val="24"/>
        </w:rPr>
        <w:t xml:space="preserve"> </w:t>
      </w:r>
    </w:p>
    <w:p w14:paraId="1D3AAE28" w14:textId="77777777" w:rsidR="00C80A0C" w:rsidRDefault="005E499E">
      <w:pPr>
        <w:spacing w:after="0" w:line="259" w:lineRule="auto"/>
        <w:ind w:left="7" w:firstLine="0"/>
      </w:pPr>
      <w:r>
        <w:t xml:space="preserve"> </w:t>
      </w:r>
    </w:p>
    <w:sdt>
      <w:sdtPr>
        <w:rPr>
          <w:sz w:val="22"/>
        </w:rPr>
        <w:id w:val="-1120147066"/>
        <w:docPartObj>
          <w:docPartGallery w:val="Table of Contents"/>
        </w:docPartObj>
      </w:sdtPr>
      <w:sdtEndPr/>
      <w:sdtContent>
        <w:p w14:paraId="6F3800A8" w14:textId="77777777" w:rsidR="00C80A0C" w:rsidRDefault="005E499E">
          <w:pPr>
            <w:pStyle w:val="TOC1"/>
            <w:tabs>
              <w:tab w:val="right" w:leader="dot" w:pos="10657"/>
            </w:tabs>
          </w:pPr>
          <w:r>
            <w:fldChar w:fldCharType="begin"/>
          </w:r>
          <w:r>
            <w:instrText xml:space="preserve"> TOC \o "1-1" \h \z \u </w:instrText>
          </w:r>
          <w:r>
            <w:fldChar w:fldCharType="separate"/>
          </w:r>
          <w:hyperlink w:anchor="_Toc55825">
            <w:r>
              <w:t>Overview</w:t>
            </w:r>
            <w:r>
              <w:tab/>
            </w:r>
            <w:r>
              <w:fldChar w:fldCharType="begin"/>
            </w:r>
            <w:r>
              <w:instrText>PAGEREF _Toc55825 \h</w:instrText>
            </w:r>
            <w:r>
              <w:fldChar w:fldCharType="separate"/>
            </w:r>
            <w:r>
              <w:t xml:space="preserve">4 </w:t>
            </w:r>
            <w:r>
              <w:fldChar w:fldCharType="end"/>
            </w:r>
          </w:hyperlink>
        </w:p>
        <w:p w14:paraId="527E1BD9" w14:textId="77777777" w:rsidR="00C80A0C" w:rsidRDefault="005E499E">
          <w:pPr>
            <w:pStyle w:val="TOC1"/>
            <w:tabs>
              <w:tab w:val="right" w:leader="dot" w:pos="10657"/>
            </w:tabs>
          </w:pPr>
          <w:hyperlink w:anchor="_Toc55826">
            <w:r>
              <w:t>Discussion Questions Responses</w:t>
            </w:r>
            <w:r>
              <w:tab/>
            </w:r>
            <w:r>
              <w:fldChar w:fldCharType="begin"/>
            </w:r>
            <w:r>
              <w:instrText>PAGEREF _Toc55826 \h</w:instrText>
            </w:r>
            <w:r>
              <w:fldChar w:fldCharType="separate"/>
            </w:r>
            <w:r>
              <w:t xml:space="preserve">5 </w:t>
            </w:r>
            <w:r>
              <w:fldChar w:fldCharType="end"/>
            </w:r>
          </w:hyperlink>
        </w:p>
        <w:p w14:paraId="4AFF468C" w14:textId="77777777" w:rsidR="00C80A0C" w:rsidRDefault="005E499E">
          <w:pPr>
            <w:pStyle w:val="TOC1"/>
            <w:tabs>
              <w:tab w:val="right" w:leader="dot" w:pos="10657"/>
            </w:tabs>
          </w:pPr>
          <w:hyperlink w:anchor="_Toc55827">
            <w:r>
              <w:rPr>
                <w:b/>
              </w:rPr>
              <w:t>Vision and Outcomes</w:t>
            </w:r>
            <w:r>
              <w:tab/>
            </w:r>
            <w:r>
              <w:fldChar w:fldCharType="begin"/>
            </w:r>
            <w:r>
              <w:instrText>PAGEREF _Toc55827 \h</w:instrText>
            </w:r>
            <w:r>
              <w:fldChar w:fldCharType="separate"/>
            </w:r>
            <w:r>
              <w:t xml:space="preserve">5 </w:t>
            </w:r>
            <w:r>
              <w:fldChar w:fldCharType="end"/>
            </w:r>
          </w:hyperlink>
        </w:p>
        <w:p w14:paraId="3E424638" w14:textId="77777777" w:rsidR="00C80A0C" w:rsidRDefault="005E499E">
          <w:pPr>
            <w:pStyle w:val="TOC1"/>
            <w:tabs>
              <w:tab w:val="right" w:leader="dot" w:pos="10657"/>
            </w:tabs>
          </w:pPr>
          <w:hyperlink w:anchor="_Toc55828">
            <w:r>
              <w:rPr>
                <w:b/>
              </w:rPr>
              <w:t>Program Structure</w:t>
            </w:r>
            <w:r>
              <w:tab/>
            </w:r>
            <w:r>
              <w:fldChar w:fldCharType="begin"/>
            </w:r>
            <w:r>
              <w:instrText>PAGEREF _Toc55828 \h</w:instrText>
            </w:r>
            <w:r>
              <w:fldChar w:fldCharType="separate"/>
            </w:r>
            <w:r>
              <w:t xml:space="preserve">8 </w:t>
            </w:r>
            <w:r>
              <w:fldChar w:fldCharType="end"/>
            </w:r>
          </w:hyperlink>
        </w:p>
        <w:p w14:paraId="0F8CB8A0" w14:textId="77777777" w:rsidR="00C80A0C" w:rsidRDefault="005E499E">
          <w:pPr>
            <w:pStyle w:val="TOC1"/>
            <w:tabs>
              <w:tab w:val="right" w:leader="dot" w:pos="10657"/>
            </w:tabs>
          </w:pPr>
          <w:hyperlink w:anchor="_Toc55829">
            <w:r>
              <w:rPr>
                <w:b/>
              </w:rPr>
              <w:t>Prioritising Investment</w:t>
            </w:r>
            <w:r>
              <w:tab/>
            </w:r>
            <w:r>
              <w:fldChar w:fldCharType="begin"/>
            </w:r>
            <w:r>
              <w:instrText>PAGEREF _Toc55829 \h</w:instrText>
            </w:r>
            <w:r>
              <w:fldChar w:fldCharType="separate"/>
            </w:r>
            <w:r>
              <w:t xml:space="preserve">11 </w:t>
            </w:r>
            <w:r>
              <w:fldChar w:fldCharType="end"/>
            </w:r>
          </w:hyperlink>
        </w:p>
        <w:p w14:paraId="24938348" w14:textId="77777777" w:rsidR="00C80A0C" w:rsidRDefault="005E499E">
          <w:pPr>
            <w:pStyle w:val="TOC1"/>
            <w:tabs>
              <w:tab w:val="right" w:leader="dot" w:pos="10657"/>
            </w:tabs>
          </w:pPr>
          <w:hyperlink w:anchor="_Toc55830">
            <w:r>
              <w:rPr>
                <w:b/>
              </w:rPr>
              <w:t>Improving Family Wellbeing</w:t>
            </w:r>
            <w:r>
              <w:tab/>
            </w:r>
            <w:r>
              <w:fldChar w:fldCharType="begin"/>
            </w:r>
            <w:r>
              <w:instrText>PAGEREF _Toc55830 \h</w:instrText>
            </w:r>
            <w:r>
              <w:fldChar w:fldCharType="separate"/>
            </w:r>
            <w:r>
              <w:t xml:space="preserve">13 </w:t>
            </w:r>
            <w:r>
              <w:fldChar w:fldCharType="end"/>
            </w:r>
          </w:hyperlink>
        </w:p>
        <w:p w14:paraId="4A201AA0" w14:textId="77777777" w:rsidR="00C80A0C" w:rsidRDefault="005E499E">
          <w:pPr>
            <w:pStyle w:val="TOC1"/>
            <w:tabs>
              <w:tab w:val="right" w:leader="dot" w:pos="10657"/>
            </w:tabs>
          </w:pPr>
          <w:hyperlink w:anchor="_Toc55831">
            <w:r>
              <w:rPr>
                <w:b/>
              </w:rPr>
              <w:t>Connected, Co-Located and Integrated Services</w:t>
            </w:r>
            <w:r>
              <w:tab/>
            </w:r>
            <w:r>
              <w:fldChar w:fldCharType="begin"/>
            </w:r>
            <w:r>
              <w:instrText>PAGEREF _Toc55831 \h</w:instrText>
            </w:r>
            <w:r>
              <w:fldChar w:fldCharType="separate"/>
            </w:r>
            <w:r>
              <w:t xml:space="preserve">15 </w:t>
            </w:r>
            <w:r>
              <w:fldChar w:fldCharType="end"/>
            </w:r>
          </w:hyperlink>
        </w:p>
        <w:p w14:paraId="4CAA522D" w14:textId="77777777" w:rsidR="00C80A0C" w:rsidRDefault="005E499E">
          <w:pPr>
            <w:pStyle w:val="TOC1"/>
            <w:tabs>
              <w:tab w:val="right" w:leader="dot" w:pos="10657"/>
            </w:tabs>
          </w:pPr>
          <w:hyperlink w:anchor="_Toc55832">
            <w:r>
              <w:rPr>
                <w:b/>
              </w:rPr>
              <w:t>Responding to community need</w:t>
            </w:r>
            <w:r>
              <w:tab/>
            </w:r>
            <w:r>
              <w:fldChar w:fldCharType="begin"/>
            </w:r>
            <w:r>
              <w:instrText>PAGEREF _Toc55832 \h</w:instrText>
            </w:r>
            <w:r>
              <w:fldChar w:fldCharType="separate"/>
            </w:r>
            <w:r>
              <w:t xml:space="preserve">18 </w:t>
            </w:r>
            <w:r>
              <w:fldChar w:fldCharType="end"/>
            </w:r>
          </w:hyperlink>
        </w:p>
        <w:p w14:paraId="3D1F7153" w14:textId="77777777" w:rsidR="00C80A0C" w:rsidRDefault="005E499E">
          <w:pPr>
            <w:pStyle w:val="TOC1"/>
            <w:tabs>
              <w:tab w:val="right" w:leader="dot" w:pos="10657"/>
            </w:tabs>
          </w:pPr>
          <w:hyperlink w:anchor="_Toc55833">
            <w:r>
              <w:rPr>
                <w:b/>
              </w:rPr>
              <w:t xml:space="preserve">Improving outcomes for Aboriginal and Torres Strait </w:t>
            </w:r>
            <w:r>
              <w:tab/>
            </w:r>
            <w:r>
              <w:fldChar w:fldCharType="begin"/>
            </w:r>
            <w:r>
              <w:instrText>PAGEREF _Toc55833 \h</w:instrText>
            </w:r>
            <w:r>
              <w:fldChar w:fldCharType="separate"/>
            </w:r>
            <w:r>
              <w:fldChar w:fldCharType="end"/>
            </w:r>
          </w:hyperlink>
        </w:p>
        <w:p w14:paraId="7A4B42FB" w14:textId="77777777" w:rsidR="00C80A0C" w:rsidRDefault="005E499E">
          <w:pPr>
            <w:pStyle w:val="TOC1"/>
            <w:tabs>
              <w:tab w:val="right" w:leader="dot" w:pos="10657"/>
            </w:tabs>
          </w:pPr>
          <w:hyperlink w:anchor="_Toc55834">
            <w:r>
              <w:rPr>
                <w:b/>
              </w:rPr>
              <w:t>Islander children and families</w:t>
            </w:r>
            <w:r>
              <w:tab/>
            </w:r>
            <w:r>
              <w:fldChar w:fldCharType="begin"/>
            </w:r>
            <w:r>
              <w:instrText>PAGEREF _Toc55834 \h</w:instrText>
            </w:r>
            <w:r>
              <w:fldChar w:fldCharType="separate"/>
            </w:r>
            <w:r>
              <w:t xml:space="preserve">20 </w:t>
            </w:r>
            <w:r>
              <w:fldChar w:fldCharType="end"/>
            </w:r>
          </w:hyperlink>
        </w:p>
        <w:p w14:paraId="3455A27A" w14:textId="77777777" w:rsidR="00C80A0C" w:rsidRDefault="005E499E">
          <w:pPr>
            <w:pStyle w:val="TOC1"/>
            <w:tabs>
              <w:tab w:val="right" w:leader="dot" w:pos="10657"/>
            </w:tabs>
          </w:pPr>
          <w:hyperlink w:anchor="_Toc55835">
            <w:r>
              <w:rPr>
                <w:b/>
              </w:rPr>
              <w:t>Measuring outcomes</w:t>
            </w:r>
            <w:r>
              <w:tab/>
            </w:r>
            <w:r>
              <w:fldChar w:fldCharType="begin"/>
            </w:r>
            <w:r>
              <w:instrText>PAGEREF _Toc55835 \h</w:instrText>
            </w:r>
            <w:r>
              <w:fldChar w:fldCharType="separate"/>
            </w:r>
            <w:r>
              <w:t xml:space="preserve">21 </w:t>
            </w:r>
            <w:r>
              <w:fldChar w:fldCharType="end"/>
            </w:r>
          </w:hyperlink>
        </w:p>
        <w:p w14:paraId="5446EF92" w14:textId="77777777" w:rsidR="00C80A0C" w:rsidRDefault="005E499E">
          <w:pPr>
            <w:pStyle w:val="TOC1"/>
            <w:tabs>
              <w:tab w:val="right" w:leader="dot" w:pos="10657"/>
            </w:tabs>
          </w:pPr>
          <w:hyperlink w:anchor="_Toc55836">
            <w:r>
              <w:rPr>
                <w:b/>
              </w:rPr>
              <w:t>Working together</w:t>
            </w:r>
            <w:r>
              <w:tab/>
            </w:r>
            <w:r>
              <w:fldChar w:fldCharType="begin"/>
            </w:r>
            <w:r>
              <w:instrText>PAGEREF _Toc55836 \h</w:instrText>
            </w:r>
            <w:r>
              <w:fldChar w:fldCharType="separate"/>
            </w:r>
            <w:r>
              <w:t xml:space="preserve">23 </w:t>
            </w:r>
            <w:r>
              <w:fldChar w:fldCharType="end"/>
            </w:r>
          </w:hyperlink>
        </w:p>
        <w:p w14:paraId="4061984B" w14:textId="77777777" w:rsidR="00C80A0C" w:rsidRDefault="005E499E">
          <w:pPr>
            <w:pStyle w:val="TOC1"/>
            <w:tabs>
              <w:tab w:val="right" w:leader="dot" w:pos="10657"/>
            </w:tabs>
          </w:pPr>
          <w:hyperlink w:anchor="_Toc55837">
            <w:r>
              <w:rPr>
                <w:b/>
              </w:rPr>
              <w:t>Other</w:t>
            </w:r>
            <w:r>
              <w:tab/>
            </w:r>
            <w:r>
              <w:fldChar w:fldCharType="begin"/>
            </w:r>
            <w:r>
              <w:instrText>PAGEREF _Toc55837 \h</w:instrText>
            </w:r>
            <w:r>
              <w:fldChar w:fldCharType="separate"/>
            </w:r>
            <w:r>
              <w:t xml:space="preserve">26 </w:t>
            </w:r>
            <w:r>
              <w:fldChar w:fldCharType="end"/>
            </w:r>
          </w:hyperlink>
        </w:p>
        <w:p w14:paraId="7B1C506E" w14:textId="77777777" w:rsidR="00C80A0C" w:rsidRDefault="005E499E">
          <w:pPr>
            <w:pStyle w:val="TOC1"/>
            <w:tabs>
              <w:tab w:val="right" w:leader="dot" w:pos="10657"/>
            </w:tabs>
          </w:pPr>
          <w:hyperlink w:anchor="_Toc55838">
            <w:r>
              <w:rPr>
                <w:b/>
              </w:rPr>
              <w:t>Appendices</w:t>
            </w:r>
            <w:r>
              <w:tab/>
            </w:r>
            <w:r>
              <w:fldChar w:fldCharType="begin"/>
            </w:r>
            <w:r>
              <w:instrText>PAGEREF _Toc55838 \h</w:instrText>
            </w:r>
            <w:r>
              <w:fldChar w:fldCharType="separate"/>
            </w:r>
            <w:r>
              <w:t xml:space="preserve">28 </w:t>
            </w:r>
            <w:r>
              <w:fldChar w:fldCharType="end"/>
            </w:r>
          </w:hyperlink>
        </w:p>
        <w:p w14:paraId="08468E57" w14:textId="77777777" w:rsidR="00C80A0C" w:rsidRDefault="005E499E">
          <w:r>
            <w:fldChar w:fldCharType="end"/>
          </w:r>
        </w:p>
      </w:sdtContent>
    </w:sdt>
    <w:p w14:paraId="15CF552F" w14:textId="77777777" w:rsidR="00C80A0C" w:rsidRDefault="005E499E">
      <w:pPr>
        <w:spacing w:after="0" w:line="259" w:lineRule="auto"/>
        <w:ind w:left="1897" w:firstLine="0"/>
        <w:jc w:val="center"/>
      </w:pPr>
      <w:r>
        <w:rPr>
          <w:sz w:val="24"/>
        </w:rPr>
        <w:t xml:space="preserve"> </w:t>
      </w:r>
    </w:p>
    <w:p w14:paraId="4E039AAE" w14:textId="77777777" w:rsidR="00C80A0C" w:rsidRDefault="005E499E">
      <w:pPr>
        <w:spacing w:after="2486" w:line="259" w:lineRule="auto"/>
        <w:ind w:left="1892" w:firstLine="0"/>
        <w:jc w:val="center"/>
      </w:pPr>
      <w:r>
        <w:t xml:space="preserve"> </w:t>
      </w:r>
    </w:p>
    <w:p w14:paraId="7B51DE4C" w14:textId="77777777" w:rsidR="00C80A0C" w:rsidRDefault="005E499E">
      <w:pPr>
        <w:spacing w:after="0" w:line="259" w:lineRule="auto"/>
        <w:ind w:left="0" w:right="392" w:firstLine="0"/>
        <w:jc w:val="right"/>
      </w:pPr>
      <w:r>
        <w:rPr>
          <w:sz w:val="16"/>
        </w:rPr>
        <w:lastRenderedPageBreak/>
        <w:t xml:space="preserve">Discussion Paper Response </w:t>
      </w:r>
    </w:p>
    <w:p w14:paraId="0ECA08B1" w14:textId="77777777" w:rsidR="00C80A0C" w:rsidRDefault="005E499E">
      <w:pPr>
        <w:spacing w:after="0" w:line="259" w:lineRule="auto"/>
        <w:ind w:left="-617" w:right="11274" w:firstLine="0"/>
      </w:pPr>
      <w:r>
        <w:rPr>
          <w:noProof/>
        </w:rPr>
        <w:lastRenderedPageBreak/>
        <w:drawing>
          <wp:anchor distT="0" distB="0" distL="114300" distR="114300" simplePos="0" relativeHeight="251659264" behindDoc="0" locked="0" layoutInCell="1" allowOverlap="0" wp14:anchorId="70CD9501" wp14:editId="19DA2F37">
            <wp:simplePos x="0" y="0"/>
            <wp:positionH relativeFrom="page">
              <wp:posOffset>0</wp:posOffset>
            </wp:positionH>
            <wp:positionV relativeFrom="page">
              <wp:posOffset>0</wp:posOffset>
            </wp:positionV>
            <wp:extent cx="7543800" cy="10664952"/>
            <wp:effectExtent l="0" t="0" r="0" b="0"/>
            <wp:wrapTopAndBottom/>
            <wp:docPr id="55072" name="Picture 55072"/>
            <wp:cNvGraphicFramePr/>
            <a:graphic xmlns:a="http://schemas.openxmlformats.org/drawingml/2006/main">
              <a:graphicData uri="http://schemas.openxmlformats.org/drawingml/2006/picture">
                <pic:pic xmlns:pic="http://schemas.openxmlformats.org/drawingml/2006/picture">
                  <pic:nvPicPr>
                    <pic:cNvPr id="55072" name="Picture 55072"/>
                    <pic:cNvPicPr/>
                  </pic:nvPicPr>
                  <pic:blipFill>
                    <a:blip r:embed="rId63"/>
                    <a:stretch>
                      <a:fillRect/>
                    </a:stretch>
                  </pic:blipFill>
                  <pic:spPr>
                    <a:xfrm>
                      <a:off x="0" y="0"/>
                      <a:ext cx="7543800" cy="10664952"/>
                    </a:xfrm>
                    <a:prstGeom prst="rect">
                      <a:avLst/>
                    </a:prstGeom>
                  </pic:spPr>
                </pic:pic>
              </a:graphicData>
            </a:graphic>
          </wp:anchor>
        </w:drawing>
      </w:r>
    </w:p>
    <w:p w14:paraId="77BC242C" w14:textId="77777777" w:rsidR="00C80A0C" w:rsidRDefault="00C80A0C">
      <w:pPr>
        <w:sectPr w:rsidR="00C80A0C">
          <w:footerReference w:type="even" r:id="rId64"/>
          <w:footerReference w:type="default" r:id="rId65"/>
          <w:footerReference w:type="first" r:id="rId66"/>
          <w:pgSz w:w="11906" w:h="16838"/>
          <w:pgMar w:top="260" w:right="632" w:bottom="309" w:left="617" w:header="720" w:footer="720" w:gutter="0"/>
          <w:cols w:space="720"/>
          <w:titlePg/>
        </w:sectPr>
      </w:pPr>
    </w:p>
    <w:p w14:paraId="07C49CD5" w14:textId="77777777" w:rsidR="00C80A0C" w:rsidRDefault="005E499E">
      <w:pPr>
        <w:pStyle w:val="Heading1"/>
        <w:tabs>
          <w:tab w:val="center" w:pos="10229"/>
        </w:tabs>
        <w:spacing w:after="266" w:line="259" w:lineRule="auto"/>
        <w:ind w:left="0" w:firstLine="0"/>
      </w:pPr>
      <w:bookmarkStart w:id="0" w:name="_Toc55825"/>
      <w:r>
        <w:rPr>
          <w:b w:val="0"/>
          <w:color w:val="021414"/>
          <w:sz w:val="80"/>
        </w:rPr>
        <w:lastRenderedPageBreak/>
        <w:t xml:space="preserve">Overview </w:t>
      </w:r>
      <w:r>
        <w:rPr>
          <w:b w:val="0"/>
          <w:color w:val="021414"/>
          <w:sz w:val="80"/>
        </w:rPr>
        <w:tab/>
      </w:r>
      <w:r>
        <w:rPr>
          <w:rFonts w:ascii="Arial" w:eastAsia="Arial" w:hAnsi="Arial" w:cs="Arial"/>
          <w:b w:val="0"/>
          <w:color w:val="021414"/>
          <w:sz w:val="22"/>
        </w:rPr>
        <w:t xml:space="preserve">The </w:t>
      </w:r>
      <w:bookmarkEnd w:id="0"/>
    </w:p>
    <w:p w14:paraId="1CC139C6" w14:textId="77777777" w:rsidR="00C80A0C" w:rsidRDefault="005E499E">
      <w:pPr>
        <w:spacing w:after="275"/>
        <w:ind w:left="-5" w:right="9"/>
      </w:pPr>
      <w:r>
        <w:t xml:space="preserve">Department of Social Services (DSS) is proposing a single national program to replace five existing child and family programs: </w:t>
      </w:r>
    </w:p>
    <w:p w14:paraId="3BD222B8" w14:textId="77777777" w:rsidR="00C80A0C" w:rsidRDefault="005E499E">
      <w:pPr>
        <w:numPr>
          <w:ilvl w:val="0"/>
          <w:numId w:val="1"/>
        </w:numPr>
        <w:ind w:right="9" w:hanging="360"/>
      </w:pPr>
      <w:r>
        <w:t xml:space="preserve">Children and Parenting Support (CaPS) </w:t>
      </w:r>
    </w:p>
    <w:p w14:paraId="078AB2C1" w14:textId="77777777" w:rsidR="00C80A0C" w:rsidRDefault="005E499E">
      <w:pPr>
        <w:numPr>
          <w:ilvl w:val="0"/>
          <w:numId w:val="1"/>
        </w:numPr>
        <w:ind w:right="9" w:hanging="360"/>
      </w:pPr>
      <w:r>
        <w:t xml:space="preserve">Communities for Children Facilitating Partners (CfC FP) </w:t>
      </w:r>
    </w:p>
    <w:p w14:paraId="6EF85BA5" w14:textId="77777777" w:rsidR="00C80A0C" w:rsidRDefault="005E499E">
      <w:pPr>
        <w:numPr>
          <w:ilvl w:val="0"/>
          <w:numId w:val="1"/>
        </w:numPr>
        <w:ind w:right="9" w:hanging="360"/>
      </w:pPr>
      <w:r>
        <w:t xml:space="preserve">Family Mental Health Support Services (FMHSS) </w:t>
      </w:r>
    </w:p>
    <w:p w14:paraId="48E0B85C" w14:textId="77777777" w:rsidR="00C80A0C" w:rsidRDefault="005E499E">
      <w:pPr>
        <w:numPr>
          <w:ilvl w:val="0"/>
          <w:numId w:val="1"/>
        </w:numPr>
        <w:ind w:right="9" w:hanging="360"/>
      </w:pPr>
      <w:r>
        <w:t xml:space="preserve">Family and Relationship Services (FaRS) </w:t>
      </w:r>
    </w:p>
    <w:p w14:paraId="700D7F28" w14:textId="77777777" w:rsidR="00C80A0C" w:rsidRDefault="005E499E">
      <w:pPr>
        <w:numPr>
          <w:ilvl w:val="0"/>
          <w:numId w:val="1"/>
        </w:numPr>
        <w:spacing w:after="205"/>
        <w:ind w:right="9" w:hanging="360"/>
      </w:pPr>
      <w:r>
        <w:t xml:space="preserve">Specialised Family Violence Services (SFVS) </w:t>
      </w:r>
    </w:p>
    <w:p w14:paraId="50D40449" w14:textId="77777777" w:rsidR="00C80A0C" w:rsidRDefault="005E499E">
      <w:pPr>
        <w:spacing w:after="241"/>
        <w:ind w:left="-5" w:right="9"/>
      </w:pPr>
      <w:r>
        <w:t>The proposed reform introduces a single national program structured around three streams: Universal access, early intervention, and intensive family supports, anchored in a public health approach. This model prioritises prevention, timely intervention, and continuity of care, recognising that combining broad based supports with targeted interventions yields stronger outcomes than isolated efforts. By adopting proportionate universalism, services will be scaled to match Community needs, enhancing equitable a</w:t>
      </w:r>
      <w:r>
        <w:t xml:space="preserve">ccess while maintaining flexibility to respond to complex challenges. This shift addresses current system fragmentation and rigid funding requirements, enabling providers to pivot resources toward prevention and holistic family wellbeing rather than crisis driven responses.  </w:t>
      </w:r>
    </w:p>
    <w:p w14:paraId="70B54DF1" w14:textId="77777777" w:rsidR="00C80A0C" w:rsidRDefault="005E499E">
      <w:pPr>
        <w:spacing w:after="241"/>
        <w:ind w:left="-5" w:right="9"/>
      </w:pPr>
      <w:r>
        <w:t xml:space="preserve">Each acknowledges this reform is significant as families face increasingly complex challenges. The new approach simplifies access and reporting, allowing providers to focus on delivering support rather than navigating bureaucracy.  </w:t>
      </w:r>
    </w:p>
    <w:p w14:paraId="767C0631" w14:textId="77777777" w:rsidR="00C80A0C" w:rsidRDefault="005E499E">
      <w:pPr>
        <w:spacing w:after="239"/>
        <w:ind w:left="-5" w:right="9"/>
      </w:pPr>
      <w:r>
        <w:t xml:space="preserve">Evidence strongly supports investment to support early years, particularly in the critical 0 - 5 years, </w:t>
      </w:r>
      <w:proofErr w:type="gramStart"/>
      <w:r>
        <w:t>in order to</w:t>
      </w:r>
      <w:proofErr w:type="gramEnd"/>
      <w:r>
        <w:t xml:space="preserve"> improve lifelong outcomes, this however does not detract from supports required for children and young Peoples 5+. Early childhood experiences profoundly shape cognitive, social, and health trajectories, with oppressive conditions linked to chronic disease, poor mental/spiritual health, and a reduced ability to attain </w:t>
      </w:r>
      <w:r>
        <w:t>one’s potential.</w:t>
      </w:r>
      <w:r>
        <w:t xml:space="preserve"> Targeted supports for younger parents and families who may be exposed to child protection involvement are essential to disrupt intergenerational systems harm/s. Ec</w:t>
      </w:r>
      <w:r>
        <w:t xml:space="preserve">onomic modelling underscores the urgency: Australia spends $22.3 billion annually on late interventions, while early investment offers returns of up to 17% per dollar spent as per the Evidence Summary. Priorities include integrated service delivery, culturally responsive and Community led supports for First Nations families, and place-based strategies that respond to local Community needs. </w:t>
      </w:r>
    </w:p>
    <w:p w14:paraId="0F067885" w14:textId="77777777" w:rsidR="00C80A0C" w:rsidRDefault="005E499E">
      <w:pPr>
        <w:spacing w:after="279"/>
        <w:ind w:left="-5" w:right="9"/>
      </w:pPr>
      <w:r>
        <w:t xml:space="preserve">The reform agenda emphasises reducing administrative burden and shifting from transactional to relational contracting, fostering trust, collaboration, and adaptability in service delivery. This approach aligns with evidence showing that rigid compliance models hinder responsiveness to complex family needs. Streamlined reporting and outcomes focused frameworks will ensure funding is tied to what works, linking service </w:t>
      </w:r>
      <w:r>
        <w:t>performance to wellbeing measures under Australia’s National Wellbeing Framework. Relationa</w:t>
      </w:r>
      <w:r>
        <w:t xml:space="preserve">l contracting, already yielding positive results internationally, offers flexibility to co design solutions alongside Communities and prioritise shared goals over prescriptive processes - critical for achieving sustainable, equitable outcomes for children, young Peoples, and families. </w:t>
      </w:r>
    </w:p>
    <w:p w14:paraId="064A3D64" w14:textId="77777777" w:rsidR="00C80A0C" w:rsidRDefault="005E499E">
      <w:pPr>
        <w:spacing w:after="281" w:line="259" w:lineRule="auto"/>
        <w:ind w:left="0" w:firstLine="0"/>
      </w:pPr>
      <w:r>
        <w:t xml:space="preserve"> </w:t>
      </w:r>
    </w:p>
    <w:p w14:paraId="6921EC35" w14:textId="77777777" w:rsidR="00C80A0C" w:rsidRDefault="005E499E">
      <w:pPr>
        <w:spacing w:after="770" w:line="259" w:lineRule="auto"/>
        <w:ind w:left="0" w:firstLine="0"/>
      </w:pPr>
      <w:r>
        <w:t xml:space="preserve"> </w:t>
      </w:r>
    </w:p>
    <w:p w14:paraId="556FA703" w14:textId="77777777" w:rsidR="00C80A0C" w:rsidRDefault="005E499E">
      <w:pPr>
        <w:spacing w:after="0" w:line="259" w:lineRule="auto"/>
        <w:ind w:left="0" w:firstLine="0"/>
      </w:pPr>
      <w:r>
        <w:rPr>
          <w:rFonts w:ascii="Georgia" w:eastAsia="Georgia" w:hAnsi="Georgia" w:cs="Georgia"/>
          <w:sz w:val="80"/>
        </w:rPr>
        <w:t xml:space="preserve"> </w:t>
      </w:r>
    </w:p>
    <w:p w14:paraId="3766FE4C" w14:textId="77777777" w:rsidR="00C80A0C" w:rsidRDefault="005E499E">
      <w:pPr>
        <w:pStyle w:val="Heading1"/>
        <w:spacing w:after="23" w:line="259" w:lineRule="auto"/>
        <w:ind w:left="0" w:firstLine="0"/>
      </w:pPr>
      <w:bookmarkStart w:id="1" w:name="_Toc55826"/>
      <w:r>
        <w:rPr>
          <w:b w:val="0"/>
          <w:color w:val="021414"/>
          <w:sz w:val="72"/>
        </w:rPr>
        <w:lastRenderedPageBreak/>
        <w:t xml:space="preserve">Discussion Questions Responses </w:t>
      </w:r>
      <w:bookmarkEnd w:id="1"/>
    </w:p>
    <w:p w14:paraId="05368C25" w14:textId="77777777" w:rsidR="00C80A0C" w:rsidRDefault="005E499E">
      <w:pPr>
        <w:pStyle w:val="Heading1"/>
        <w:ind w:left="-5"/>
      </w:pPr>
      <w:bookmarkStart w:id="2" w:name="_Toc55827"/>
      <w:r>
        <w:t xml:space="preserve">Vision and Outcomes </w:t>
      </w:r>
      <w:bookmarkEnd w:id="2"/>
    </w:p>
    <w:p w14:paraId="18AB1573" w14:textId="77777777" w:rsidR="00C80A0C" w:rsidRDefault="005E499E">
      <w:pPr>
        <w:spacing w:after="283" w:line="259" w:lineRule="auto"/>
        <w:ind w:left="-5"/>
      </w:pPr>
      <w:r>
        <w:rPr>
          <w:rFonts w:ascii="Calibri" w:eastAsia="Calibri" w:hAnsi="Calibri" w:cs="Calibri"/>
          <w:b/>
          <w:color w:val="000000"/>
        </w:rPr>
        <w:t xml:space="preserve">Does the new vision reflect what we all want for children and families? </w:t>
      </w:r>
    </w:p>
    <w:p w14:paraId="7662A47B" w14:textId="77777777" w:rsidR="00C80A0C" w:rsidRDefault="005E499E">
      <w:pPr>
        <w:spacing w:after="238"/>
        <w:ind w:left="-5" w:right="9"/>
      </w:pPr>
      <w:r>
        <w:t>To open, Each would like to sincerely thank the Department of Social Services for inviting feedback on this important reform. Your commitment to listening to service providers, Communities, and families and shaping a system that is more coordinated, culturally responsive, and focused on prevention, reflects a genuine effort to improve outcomes for children, young Peoples, and families. Each deeply appreciates the opportunity to contribute to this consultation and help co-create a future where every child, y</w:t>
      </w:r>
      <w:r>
        <w:t xml:space="preserve">oung person and family can thrive. </w:t>
      </w:r>
    </w:p>
    <w:p w14:paraId="414CFC5E" w14:textId="77777777" w:rsidR="00C80A0C" w:rsidRDefault="005E499E">
      <w:pPr>
        <w:spacing w:after="236" w:line="263" w:lineRule="auto"/>
        <w:ind w:left="-5" w:right="6"/>
      </w:pPr>
      <w:r>
        <w:rPr>
          <w:color w:val="000000"/>
        </w:rPr>
        <w:t>We encourage the Department of Social Services to reconsider current use of language describing priority populations.</w:t>
      </w:r>
      <w:r>
        <w:rPr>
          <w:color w:val="000000"/>
          <w:vertAlign w:val="superscript"/>
        </w:rPr>
        <w:footnoteReference w:id="1"/>
      </w:r>
      <w:r>
        <w:rPr>
          <w:color w:val="000000"/>
        </w:rPr>
        <w:t xml:space="preserve"> </w:t>
      </w:r>
      <w:r>
        <w:rPr>
          <w:color w:val="000000"/>
        </w:rPr>
        <w:t>The terms “vulnerable” and “disadvantaged”</w:t>
      </w:r>
      <w:r>
        <w:rPr>
          <w:color w:val="000000"/>
        </w:rPr>
        <w:t xml:space="preserve"> potentially conjure deficits-based framing, however our objective is to foster equity and respect, emphasising strengths, lived and living experience and systemic responsibility. </w:t>
      </w:r>
      <w:r>
        <w:t xml:space="preserve">Throughout this submission both “priority populations” and “those marginalised by the </w:t>
      </w:r>
      <w:r>
        <w:t>dominator culture</w:t>
      </w:r>
      <w:r>
        <w:t>”</w:t>
      </w:r>
      <w:r>
        <w:t xml:space="preserve"> will be used interchangeably. </w:t>
      </w:r>
    </w:p>
    <w:p w14:paraId="417A7B63" w14:textId="77777777" w:rsidR="00C80A0C" w:rsidRDefault="005E499E">
      <w:pPr>
        <w:spacing w:after="258"/>
        <w:ind w:left="-5" w:right="9"/>
      </w:pPr>
      <w:r>
        <w:t>Trauma and violence informed understandings and approaches will also be utilised to frame this submission as it expands on the concept of trauma informed practice</w:t>
      </w:r>
      <w:r>
        <w:rPr>
          <w:vertAlign w:val="superscript"/>
        </w:rPr>
        <w:footnoteReference w:id="2"/>
      </w:r>
      <w:r>
        <w:t xml:space="preserve">. It considers the intersecting impacts of systemic </w:t>
      </w:r>
      <w:r>
        <w:t xml:space="preserve">and interpersonal violence and structural inequities of a person’s life, including that of children and young </w:t>
      </w:r>
      <w:r>
        <w:t>Peoples. This means that the adverse impacts of family and sexual violence trauma (for example) are understood within the broader context.</w:t>
      </w:r>
      <w:r>
        <w:rPr>
          <w:vertAlign w:val="superscript"/>
        </w:rPr>
        <w:footnoteReference w:id="3"/>
      </w:r>
      <w:r>
        <w:t xml:space="preserve">  </w:t>
      </w:r>
    </w:p>
    <w:p w14:paraId="12DC6B9F" w14:textId="77777777" w:rsidR="00C80A0C" w:rsidRDefault="005E499E">
      <w:pPr>
        <w:spacing w:after="238"/>
        <w:ind w:left="-5" w:right="9"/>
      </w:pPr>
      <w:r>
        <w:t>The Department is aware there is an urgent call for strategies that go beyond individual level interventions and focus on systemic, upstream solutions. This includes tackling poverty, racism, violence, and other chronic adversities that undermine family wellbeing. Experts, and most importantly, Communities and Peoples most affected, emphasis</w:t>
      </w:r>
      <w:r>
        <w:t>e addressing the “causes of the causes”</w:t>
      </w:r>
      <w:r>
        <w:t xml:space="preserve"> - the structural determinants of </w:t>
      </w:r>
      <w:r>
        <w:t>health embedded in social hierarchies and policies. Such upstream action represents a form of “</w:t>
      </w:r>
      <w:proofErr w:type="spellStart"/>
      <w:r>
        <w:t>preprevention</w:t>
      </w:r>
      <w:proofErr w:type="spellEnd"/>
      <w:r>
        <w:t xml:space="preserve">,” preceding traditional universal or primary prevention approaches. </w:t>
      </w:r>
      <w:r>
        <w:t xml:space="preserve"> </w:t>
      </w:r>
    </w:p>
    <w:p w14:paraId="2D196065" w14:textId="77777777" w:rsidR="00C80A0C" w:rsidRDefault="005E499E">
      <w:pPr>
        <w:spacing w:after="274"/>
        <w:ind w:left="-5" w:right="9"/>
      </w:pPr>
      <w:r>
        <w:t>Each recognises and applauds the Department of Social Services for recognising the need for more robust investment in prevention and early prevention services and encourages the Department to in tandem; advocate alongside other arms of government to recognise and act to reduce the conditions which create disparity in the first instance as a growing consensus across human services argues that service focused models are insufficient; instead, greater attention must be paid to social determinants of health and</w:t>
      </w:r>
      <w:r>
        <w:t xml:space="preserve"> wellbeing.</w:t>
      </w:r>
      <w:r>
        <w:rPr>
          <w:vertAlign w:val="superscript"/>
        </w:rPr>
        <w:t>4</w:t>
      </w:r>
      <w:r>
        <w:t xml:space="preserve"> </w:t>
      </w:r>
    </w:p>
    <w:p w14:paraId="4193CDEB" w14:textId="77777777" w:rsidR="00C80A0C" w:rsidRDefault="005E499E">
      <w:pPr>
        <w:spacing w:after="350"/>
        <w:ind w:left="-5" w:right="9"/>
      </w:pPr>
      <w:r>
        <w:t xml:space="preserve">Positive social support involves both emotional support and practical support. In many cultures, inclusive of </w:t>
      </w:r>
      <w:r>
        <w:t xml:space="preserve">First Nations Peoples’ ways of knowing and being in this place; </w:t>
      </w:r>
      <w:r>
        <w:t xml:space="preserve">practical support takes the form of shared parenting. To broaden the parenting support for families, Bibby and Deacon (2020) advocate for </w:t>
      </w:r>
      <w:proofErr w:type="spellStart"/>
      <w:r>
        <w:t>parentpowered</w:t>
      </w:r>
      <w:proofErr w:type="spellEnd"/>
      <w:r>
        <w:t xml:space="preserve"> approaches; models of family support that harness the skills, experiences, and knowledge of parents, carers, and their wider Communities, to better support families and ultimately improve the life chances of children.</w:t>
      </w:r>
      <w:r>
        <w:rPr>
          <w:vertAlign w:val="superscript"/>
        </w:rPr>
        <w:footnoteReference w:id="4"/>
      </w:r>
      <w:r>
        <w:t xml:space="preserve">  </w:t>
      </w:r>
    </w:p>
    <w:p w14:paraId="5E4F984C" w14:textId="77777777" w:rsidR="00C80A0C" w:rsidRDefault="005E499E">
      <w:pPr>
        <w:spacing w:after="0" w:line="259" w:lineRule="auto"/>
        <w:ind w:left="0" w:firstLine="0"/>
      </w:pPr>
      <w:r>
        <w:rPr>
          <w:rFonts w:ascii="Calibri" w:eastAsia="Calibri" w:hAnsi="Calibri" w:cs="Calibri"/>
          <w:noProof/>
          <w:color w:val="000000"/>
        </w:rPr>
        <mc:AlternateContent>
          <mc:Choice Requires="wpg">
            <w:drawing>
              <wp:inline distT="0" distB="0" distL="0" distR="0" wp14:anchorId="62522187" wp14:editId="03DD1C00">
                <wp:extent cx="1829435" cy="7620"/>
                <wp:effectExtent l="0" t="0" r="0" b="0"/>
                <wp:docPr id="46910" name="Group 46910"/>
                <wp:cNvGraphicFramePr/>
                <a:graphic xmlns:a="http://schemas.openxmlformats.org/drawingml/2006/main">
                  <a:graphicData uri="http://schemas.microsoft.com/office/word/2010/wordprocessingGroup">
                    <wpg:wgp>
                      <wpg:cNvGrpSpPr/>
                      <wpg:grpSpPr>
                        <a:xfrm>
                          <a:off x="0" y="0"/>
                          <a:ext cx="1829435" cy="7620"/>
                          <a:chOff x="0" y="0"/>
                          <a:chExt cx="1829435" cy="7620"/>
                        </a:xfrm>
                      </wpg:grpSpPr>
                      <wps:wsp>
                        <wps:cNvPr id="56176" name="Shape 56176"/>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21414"/>
                          </a:fillRef>
                          <a:effectRef idx="0">
                            <a:scrgbClr r="0" g="0" b="0"/>
                          </a:effectRef>
                          <a:fontRef idx="none"/>
                        </wps:style>
                        <wps:bodyPr/>
                      </wps:wsp>
                    </wpg:wgp>
                  </a:graphicData>
                </a:graphic>
              </wp:inline>
            </w:drawing>
          </mc:Choice>
          <mc:Fallback xmlns:a="http://schemas.openxmlformats.org/drawingml/2006/main">
            <w:pict>
              <v:group id="Group 46910" style="width:144.05pt;height:0.599976pt;mso-position-horizontal-relative:char;mso-position-vertical-relative:line" coordsize="18294,76">
                <v:shape id="Shape 56177" style="position:absolute;width:18294;height:91;left:0;top:0;" coordsize="1829435,9144" path="m0,0l1829435,0l1829435,9144l0,9144l0,0">
                  <v:stroke weight="0pt" endcap="flat" joinstyle="miter" miterlimit="10" on="false" color="#000000" opacity="0"/>
                  <v:fill on="true" color="#021414"/>
                </v:shape>
              </v:group>
            </w:pict>
          </mc:Fallback>
        </mc:AlternateContent>
      </w:r>
      <w:r>
        <w:t xml:space="preserve"> </w:t>
      </w:r>
    </w:p>
    <w:p w14:paraId="2E9272FA" w14:textId="77777777" w:rsidR="00C80A0C" w:rsidRDefault="005E499E">
      <w:pPr>
        <w:ind w:left="-5" w:right="9"/>
      </w:pPr>
      <w:r>
        <w:lastRenderedPageBreak/>
        <w:t xml:space="preserve">Each is in strong support of Community led, co-created place-based approaches as outlined in the </w:t>
      </w:r>
    </w:p>
    <w:p w14:paraId="4351B2B8" w14:textId="77777777" w:rsidR="00C80A0C" w:rsidRDefault="005E499E">
      <w:pPr>
        <w:spacing w:after="262"/>
        <w:ind w:left="-5" w:right="9"/>
      </w:pPr>
      <w:r>
        <w:t>Discussion Paper. The efficacy of these programs is clear as demonstrated by the national Community Hubs initiative, tailoring each Hub to the corresponding location and Community,</w:t>
      </w:r>
      <w:r>
        <w:rPr>
          <w:vertAlign w:val="superscript"/>
        </w:rPr>
        <w:footnoteReference w:id="5"/>
      </w:r>
      <w:r>
        <w:t xml:space="preserve"> </w:t>
      </w:r>
      <w:r>
        <w:t>Children’s Ground</w:t>
      </w:r>
      <w:r>
        <w:rPr>
          <w:vertAlign w:val="superscript"/>
        </w:rPr>
        <w:t>7</w:t>
      </w:r>
      <w:r>
        <w:t xml:space="preserve"> and in Turtle Island (America) the leading work of Red Hook Community Justice Centre in the Bronx which offers world leading programs working alongside those who choose to enact harm in their intimate partner relationship/s</w:t>
      </w:r>
      <w:r>
        <w:rPr>
          <w:vertAlign w:val="superscript"/>
        </w:rPr>
        <w:footnoteReference w:id="6"/>
      </w:r>
      <w:r>
        <w:t xml:space="preserve">, </w:t>
      </w:r>
      <w:r>
        <w:t xml:space="preserve">inclusive of Red Hook’s </w:t>
      </w:r>
      <w:r>
        <w:t>youth centred restorative justice programs, serving to divert young Peoples away from the criminal legal system.</w:t>
      </w:r>
      <w:r>
        <w:rPr>
          <w:vertAlign w:val="superscript"/>
        </w:rPr>
        <w:footnoteReference w:id="7"/>
      </w:r>
      <w:r>
        <w:t xml:space="preserve"> </w:t>
      </w:r>
    </w:p>
    <w:p w14:paraId="304204C7" w14:textId="77777777" w:rsidR="00C80A0C" w:rsidRDefault="005E499E">
      <w:pPr>
        <w:spacing w:after="275"/>
        <w:ind w:left="-5" w:right="9"/>
      </w:pPr>
      <w:r>
        <w:t xml:space="preserve">The above elucidates and connects the profound potential for societal change on a systems level as proposed by the Department within the Discussion Paper. Each recognises this potential and deeply welcomes all aspects of innovation outlined by the Department, in particular: </w:t>
      </w:r>
    </w:p>
    <w:p w14:paraId="6FBE0827" w14:textId="77777777" w:rsidR="00C80A0C" w:rsidRDefault="005E499E">
      <w:pPr>
        <w:numPr>
          <w:ilvl w:val="0"/>
          <w:numId w:val="2"/>
        </w:numPr>
        <w:spacing w:after="26" w:line="265" w:lineRule="auto"/>
        <w:ind w:right="9" w:hanging="360"/>
      </w:pPr>
      <w:r>
        <w:rPr>
          <w:color w:val="021313"/>
        </w:rPr>
        <w:t>Intersectional praxis in ensuring a renewed focus on tailored, Community led, equitable service access and delivery alongside priority populations including First Nations Peoples and/or Culturally, Linguistically and/or Faith Diverse Peoples and/or disabled</w:t>
      </w:r>
      <w:r>
        <w:rPr>
          <w:color w:val="021313"/>
          <w:vertAlign w:val="superscript"/>
        </w:rPr>
        <w:footnoteReference w:id="8"/>
      </w:r>
      <w:r>
        <w:rPr>
          <w:color w:val="021313"/>
        </w:rPr>
        <w:t xml:space="preserve"> Peoples and/or LGBTIQA/SB+ Communities.</w:t>
      </w:r>
      <w:r>
        <w:t xml:space="preserve"> </w:t>
      </w:r>
    </w:p>
    <w:p w14:paraId="684BB368" w14:textId="77777777" w:rsidR="00C80A0C" w:rsidRDefault="005E499E">
      <w:pPr>
        <w:numPr>
          <w:ilvl w:val="0"/>
          <w:numId w:val="2"/>
        </w:numPr>
        <w:spacing w:after="26" w:line="265" w:lineRule="auto"/>
        <w:ind w:right="9" w:hanging="360"/>
      </w:pPr>
      <w:r>
        <w:rPr>
          <w:color w:val="021313"/>
        </w:rPr>
        <w:t>The goal to deliver high quality and evidence informed services, across the service</w:t>
      </w:r>
      <w:r>
        <w:t xml:space="preserve"> </w:t>
      </w:r>
      <w:r>
        <w:rPr>
          <w:color w:val="021313"/>
        </w:rPr>
        <w:t xml:space="preserve">continuum with a particular focus on prevention and early intervention; is </w:t>
      </w:r>
      <w:r>
        <w:rPr>
          <w:color w:val="021313"/>
        </w:rPr>
        <w:t>strongly aligned with Each’s vision to deliver supports that are ‘All Together Better’</w:t>
      </w:r>
      <w:r>
        <w:rPr>
          <w:color w:val="021313"/>
        </w:rPr>
        <w:t xml:space="preserve"> for </w:t>
      </w:r>
      <w:proofErr w:type="gramStart"/>
      <w:r>
        <w:rPr>
          <w:color w:val="021313"/>
        </w:rPr>
        <w:t>each and every</w:t>
      </w:r>
      <w:proofErr w:type="gramEnd"/>
      <w:r>
        <w:rPr>
          <w:color w:val="021313"/>
        </w:rPr>
        <w:t xml:space="preserve"> local Community we serve.</w:t>
      </w:r>
      <w:r>
        <w:t xml:space="preserve"> </w:t>
      </w:r>
    </w:p>
    <w:p w14:paraId="3B2E84B5" w14:textId="77777777" w:rsidR="00C80A0C" w:rsidRDefault="005E499E">
      <w:pPr>
        <w:numPr>
          <w:ilvl w:val="0"/>
          <w:numId w:val="2"/>
        </w:numPr>
        <w:spacing w:after="34"/>
        <w:ind w:right="9" w:hanging="360"/>
      </w:pPr>
      <w:r>
        <w:t>Each also supports the vision’s aim to streamline reporting and performance monitoring</w:t>
      </w:r>
      <w:r>
        <w:t xml:space="preserve">, which allows services to focus more time and resources on meaningful engagement alongside children, young Peoples, and families, rather than navigating multiple program requirements, often hallmarked by administrative burden which can compound over time. </w:t>
      </w:r>
    </w:p>
    <w:p w14:paraId="02A5EB20" w14:textId="77777777" w:rsidR="00C80A0C" w:rsidRDefault="005E499E">
      <w:pPr>
        <w:numPr>
          <w:ilvl w:val="0"/>
          <w:numId w:val="2"/>
        </w:numPr>
        <w:spacing w:after="31"/>
        <w:ind w:right="9" w:hanging="360"/>
      </w:pPr>
      <w:r>
        <w:t xml:space="preserve">Ultimately Each considers the merging of five programs into one stream, offers the opportunity to deliver timely, targeted, flexible, place-based supports alongside children, young Peoples, and families when and where they need it most.  </w:t>
      </w:r>
    </w:p>
    <w:p w14:paraId="3239D629" w14:textId="77777777" w:rsidR="00C80A0C" w:rsidRDefault="005E499E">
      <w:pPr>
        <w:numPr>
          <w:ilvl w:val="0"/>
          <w:numId w:val="2"/>
        </w:numPr>
        <w:spacing w:after="34"/>
        <w:ind w:right="9" w:hanging="360"/>
      </w:pPr>
      <w:r>
        <w:t xml:space="preserve">Each envisions a service with less interruptions or changes across programs or providers via an increased ability for services to pivot to meet emerging needs of Communities throughout the service agreement period and as required. </w:t>
      </w:r>
    </w:p>
    <w:p w14:paraId="6FD9AAD3" w14:textId="77777777" w:rsidR="00C80A0C" w:rsidRDefault="005E499E">
      <w:pPr>
        <w:numPr>
          <w:ilvl w:val="0"/>
          <w:numId w:val="2"/>
        </w:numPr>
        <w:spacing w:after="239"/>
        <w:ind w:right="9" w:hanging="360"/>
      </w:pPr>
      <w:r>
        <w:t xml:space="preserve">Our collective practice wisdom acknowledges children, young Peoples and families seldom present </w:t>
      </w:r>
      <w:r>
        <w:t>with a ‘single issue’</w:t>
      </w:r>
      <w:r>
        <w:t xml:space="preserve"> often sharing current and/or emerging issues once rapport has been established and trust increased or earnt. Having a single program with the flexibility to respond to evolving needs, creates greater continuity of care, stronger wrap around services supporting a whole of family approach and creates the potential for stronger, more effective intervention within a single access point. This position is also strengthened by longer contract periods, underpinned by the ethos of </w:t>
      </w:r>
      <w:r>
        <w:rPr>
          <w:b/>
        </w:rPr>
        <w:t>relational co</w:t>
      </w:r>
      <w:r>
        <w:rPr>
          <w:b/>
        </w:rPr>
        <w:t>ntracting</w:t>
      </w:r>
      <w:r>
        <w:t xml:space="preserve">.   </w:t>
      </w:r>
    </w:p>
    <w:p w14:paraId="0C7B5FE2" w14:textId="77777777" w:rsidR="00C80A0C" w:rsidRDefault="005E499E">
      <w:pPr>
        <w:spacing w:after="267"/>
        <w:ind w:left="293" w:right="9"/>
      </w:pPr>
      <w:r>
        <w:t xml:space="preserve">In summary, the new vision leans into systems integrity and accountability, providing a sound foundation for a more coordinated, accessible, and outcomes focused, as opposed to KPI driven system, authentically enabling children, young Peoples, and families to flourish. </w:t>
      </w:r>
    </w:p>
    <w:p w14:paraId="741A250F" w14:textId="77777777" w:rsidR="00C80A0C" w:rsidRDefault="005E499E">
      <w:pPr>
        <w:spacing w:after="957" w:line="259" w:lineRule="auto"/>
        <w:ind w:left="0" w:firstLine="0"/>
      </w:pPr>
      <w:r>
        <w:rPr>
          <w:rFonts w:ascii="Calibri" w:eastAsia="Calibri" w:hAnsi="Calibri" w:cs="Calibri"/>
          <w:b/>
          <w:color w:val="000000"/>
        </w:rPr>
        <w:t xml:space="preserve"> </w:t>
      </w:r>
    </w:p>
    <w:p w14:paraId="2A0CA6FD" w14:textId="77777777" w:rsidR="00C80A0C" w:rsidRDefault="005E499E">
      <w:pPr>
        <w:spacing w:after="0" w:line="259" w:lineRule="auto"/>
        <w:ind w:left="0" w:firstLine="0"/>
      </w:pPr>
      <w:r>
        <w:rPr>
          <w:rFonts w:ascii="Calibri" w:eastAsia="Calibri" w:hAnsi="Calibri" w:cs="Calibri"/>
          <w:noProof/>
          <w:color w:val="000000"/>
        </w:rPr>
        <w:lastRenderedPageBreak/>
        <mc:AlternateContent>
          <mc:Choice Requires="wpg">
            <w:drawing>
              <wp:inline distT="0" distB="0" distL="0" distR="0" wp14:anchorId="5487EB50" wp14:editId="7D5B488E">
                <wp:extent cx="1829435" cy="7620"/>
                <wp:effectExtent l="0" t="0" r="0" b="0"/>
                <wp:docPr id="47004" name="Group 47004"/>
                <wp:cNvGraphicFramePr/>
                <a:graphic xmlns:a="http://schemas.openxmlformats.org/drawingml/2006/main">
                  <a:graphicData uri="http://schemas.microsoft.com/office/word/2010/wordprocessingGroup">
                    <wpg:wgp>
                      <wpg:cNvGrpSpPr/>
                      <wpg:grpSpPr>
                        <a:xfrm>
                          <a:off x="0" y="0"/>
                          <a:ext cx="1829435" cy="7620"/>
                          <a:chOff x="0" y="0"/>
                          <a:chExt cx="1829435" cy="7620"/>
                        </a:xfrm>
                      </wpg:grpSpPr>
                      <wps:wsp>
                        <wps:cNvPr id="56178" name="Shape 56178"/>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21414"/>
                          </a:fillRef>
                          <a:effectRef idx="0">
                            <a:scrgbClr r="0" g="0" b="0"/>
                          </a:effectRef>
                          <a:fontRef idx="none"/>
                        </wps:style>
                        <wps:bodyPr/>
                      </wps:wsp>
                    </wpg:wgp>
                  </a:graphicData>
                </a:graphic>
              </wp:inline>
            </w:drawing>
          </mc:Choice>
          <mc:Fallback xmlns:a="http://schemas.openxmlformats.org/drawingml/2006/main">
            <w:pict>
              <v:group id="Group 47004" style="width:144.05pt;height:0.600037pt;mso-position-horizontal-relative:char;mso-position-vertical-relative:line" coordsize="18294,76">
                <v:shape id="Shape 56179" style="position:absolute;width:18294;height:91;left:0;top:0;" coordsize="1829435,9144" path="m0,0l1829435,0l1829435,9144l0,9144l0,0">
                  <v:stroke weight="0pt" endcap="flat" joinstyle="miter" miterlimit="10" on="false" color="#000000" opacity="0"/>
                  <v:fill on="true" color="#021414"/>
                </v:shape>
              </v:group>
            </w:pict>
          </mc:Fallback>
        </mc:AlternateContent>
      </w:r>
      <w:r>
        <w:t xml:space="preserve"> </w:t>
      </w:r>
    </w:p>
    <w:p w14:paraId="426EF92C" w14:textId="77777777" w:rsidR="00C80A0C" w:rsidRDefault="005E499E">
      <w:pPr>
        <w:spacing w:after="283" w:line="259" w:lineRule="auto"/>
        <w:ind w:left="-5"/>
      </w:pPr>
      <w:r>
        <w:rPr>
          <w:rFonts w:ascii="Calibri" w:eastAsia="Calibri" w:hAnsi="Calibri" w:cs="Calibri"/>
          <w:b/>
          <w:color w:val="000000"/>
        </w:rPr>
        <w:t xml:space="preserve">Are the two main outcomes what we should be working towards for children and families? Why/why not? </w:t>
      </w:r>
      <w:r>
        <w:rPr>
          <w:rFonts w:ascii="Calibri" w:eastAsia="Calibri" w:hAnsi="Calibri" w:cs="Calibri"/>
          <w:color w:val="000000"/>
        </w:rPr>
        <w:t xml:space="preserve"> </w:t>
      </w:r>
    </w:p>
    <w:p w14:paraId="3659EED7" w14:textId="77777777" w:rsidR="00C80A0C" w:rsidRDefault="005E499E">
      <w:pPr>
        <w:spacing w:after="273" w:line="259" w:lineRule="auto"/>
        <w:ind w:left="-5"/>
      </w:pPr>
      <w:r>
        <w:rPr>
          <w:rFonts w:ascii="Calibri" w:eastAsia="Calibri" w:hAnsi="Calibri" w:cs="Calibri"/>
          <w:color w:val="000000"/>
        </w:rPr>
        <w:t xml:space="preserve">Outcome 1: Parents and caregivers are empowered to raise healthy, resilient children. </w:t>
      </w:r>
    </w:p>
    <w:p w14:paraId="332C907D" w14:textId="77777777" w:rsidR="00C80A0C" w:rsidRDefault="005E499E">
      <w:pPr>
        <w:spacing w:after="247" w:line="259" w:lineRule="auto"/>
        <w:ind w:left="-5"/>
      </w:pPr>
      <w:r>
        <w:rPr>
          <w:rFonts w:ascii="Calibri" w:eastAsia="Calibri" w:hAnsi="Calibri" w:cs="Calibri"/>
          <w:color w:val="000000"/>
        </w:rPr>
        <w:t xml:space="preserve">Outcome 2: Children are supported to grow into healthy, resilient adults. </w:t>
      </w:r>
    </w:p>
    <w:p w14:paraId="4FAFD1D8" w14:textId="77777777" w:rsidR="00C80A0C" w:rsidRDefault="005E499E">
      <w:pPr>
        <w:spacing w:after="236" w:line="263" w:lineRule="auto"/>
        <w:ind w:left="-5" w:right="6"/>
      </w:pPr>
      <w:r>
        <w:rPr>
          <w:color w:val="000000"/>
        </w:rPr>
        <w:t xml:space="preserve">Each supports the two priority outcomes listed above, we advocate for the following to be understood and applied within child, young person, and familial contexts in particular, when enabling these outcomes through a systems perspective: </w:t>
      </w:r>
    </w:p>
    <w:p w14:paraId="27121B6B" w14:textId="77777777" w:rsidR="00C80A0C" w:rsidRDefault="005E499E">
      <w:pPr>
        <w:spacing w:after="269"/>
        <w:ind w:left="-5" w:right="9"/>
      </w:pPr>
      <w:r>
        <w:t>Families want to feel seen, heard and believed, with formal services an important source of social support when we uphold intersectional, trauma and violence informed, non-risk adverse approaches in the work. Although formal services cannot and should not replace family or informal supports, there is potential for services to work with and build the capacity of these informal networks. Australian evidence indicates that children from low income or single parent families may require additional support servic</w:t>
      </w:r>
      <w:r>
        <w:t xml:space="preserve">es during the first two years of life and that maintaining or increasing access to free or very low-cost primary healthcare services for families surviving beneath the poverty line, promotes equity in health. However, an inverse care law applies, so that those in most need of these services </w:t>
      </w:r>
      <w:proofErr w:type="gramStart"/>
      <w:r>
        <w:t>are</w:t>
      </w:r>
      <w:proofErr w:type="gramEnd"/>
      <w:r>
        <w:t xml:space="preserve"> the least likely to access them.</w:t>
      </w:r>
      <w:r>
        <w:rPr>
          <w:vertAlign w:val="superscript"/>
        </w:rPr>
        <w:footnoteReference w:id="9"/>
      </w:r>
      <w:r>
        <w:t xml:space="preserve"> </w:t>
      </w:r>
    </w:p>
    <w:p w14:paraId="7CB2AA70" w14:textId="77777777" w:rsidR="00C80A0C" w:rsidRDefault="005E499E">
      <w:pPr>
        <w:spacing w:after="252"/>
        <w:ind w:left="-5" w:right="9"/>
      </w:pPr>
      <w:r>
        <w:t xml:space="preserve">Barriers to families accessing universal child and family services include: Service (or structural) barriers (e.g. not knowing about the services available, not being able to get to the services easily, rigid eligibility criteria, long waitlists), family barriers (e.g. limited income, lack of social support, unstable housing or homelessness), and interpersonal or relational barriers (e.g. racist and/or </w:t>
      </w:r>
      <w:proofErr w:type="spellStart"/>
      <w:r>
        <w:t>non trauma</w:t>
      </w:r>
      <w:proofErr w:type="spellEnd"/>
      <w:r>
        <w:t xml:space="preserve"> and violence informed attitudes and approaches of service providers), parent or caregiver lack of trust in services more generally and an understandable fear of child protection or other statutory interventions.</w:t>
      </w:r>
      <w:r>
        <w:rPr>
          <w:vertAlign w:val="superscript"/>
        </w:rPr>
        <w:footnoteReference w:id="10"/>
      </w:r>
      <w:r>
        <w:t xml:space="preserve"> The lack of continuity in services provided can reduce their effectiveness. In the current state, many services are compartmentalised, focused on separate needs, often delivered by different organisations, hence unable to respond in a holistic and </w:t>
      </w:r>
      <w:r>
        <w:t>integrated fashion. Overcoming this ‘silo’ effect is challenging</w:t>
      </w:r>
      <w:r>
        <w:t>, Communities most impacted have the answers and strengths lie in inviting and listening to priority Communities for them to lead and co create integrated service systems tailored to their unique nee</w:t>
      </w:r>
      <w:r>
        <w:t>ds and specific locations.</w:t>
      </w:r>
      <w:r>
        <w:rPr>
          <w:vertAlign w:val="superscript"/>
        </w:rPr>
        <w:footnoteReference w:id="11"/>
      </w:r>
      <w:r>
        <w:t xml:space="preserve"> </w:t>
      </w:r>
    </w:p>
    <w:p w14:paraId="6D419155" w14:textId="77777777" w:rsidR="00C80A0C" w:rsidRDefault="005E499E">
      <w:pPr>
        <w:spacing w:after="251"/>
        <w:ind w:left="-5" w:right="9"/>
      </w:pPr>
      <w:r>
        <w:t>Each supports the proposal within the Discussion Paper of proportionate universalism. In this approach, services are universally available, including for those most marginalised by the dominator culture. Further, Each supports targeted universalism as an outcome focused approach, in which universal goals are established for all children, young Peoples and families, and strategies developed to achieve those goals are targeted, based upon how different groups are situated within structures, culture/s, and acr</w:t>
      </w:r>
      <w:r>
        <w:t>oss geographies to obtain the universal goal. In this approach, the services provided for children, young Peoples and families are based on common goals but are personalised to meet their circumstances and preferences.</w:t>
      </w:r>
      <w:r>
        <w:rPr>
          <w:vertAlign w:val="superscript"/>
        </w:rPr>
        <w:footnoteReference w:id="12"/>
      </w:r>
      <w:r>
        <w:t xml:space="preserve">  </w:t>
      </w:r>
    </w:p>
    <w:p w14:paraId="07715375" w14:textId="77777777" w:rsidR="00C80A0C" w:rsidRDefault="005E499E">
      <w:pPr>
        <w:spacing w:after="467"/>
        <w:ind w:left="-5" w:right="9"/>
      </w:pPr>
      <w:r>
        <w:t xml:space="preserve">Children, young Peoples, and families can be adversely affected by various forms of racism, discrimination, and marginalisation. Structural racism involves oppressive race-based treatments that are baked into institutions, policies, and practices within the current iteration of the colonial project in this place, and can, and often do, constrain </w:t>
      </w:r>
      <w:r>
        <w:t>a parent or caregivers’</w:t>
      </w:r>
      <w:r>
        <w:t xml:space="preserve"> ability to provide healthy living conditions for their children. This can affect children's physical and mental health in the short term as well as the long term. The adverse health consequences of exposure to ongoing racism can accumulate across lifetimes and generations for First Nations Communities and/or Peoples from culturally, linguistically and/or faith diverse backgrounds.</w:t>
      </w:r>
      <w:r>
        <w:rPr>
          <w:vertAlign w:val="superscript"/>
        </w:rPr>
        <w:footnoteReference w:id="13"/>
      </w:r>
      <w:r>
        <w:t xml:space="preserve">  </w:t>
      </w:r>
    </w:p>
    <w:p w14:paraId="219B606F" w14:textId="77777777" w:rsidR="00C80A0C" w:rsidRDefault="005E499E">
      <w:pPr>
        <w:spacing w:after="0" w:line="259" w:lineRule="auto"/>
        <w:ind w:left="0" w:firstLine="0"/>
      </w:pPr>
      <w:r>
        <w:rPr>
          <w:rFonts w:ascii="Calibri" w:eastAsia="Calibri" w:hAnsi="Calibri" w:cs="Calibri"/>
          <w:noProof/>
          <w:color w:val="000000"/>
        </w:rPr>
        <w:lastRenderedPageBreak/>
        <mc:AlternateContent>
          <mc:Choice Requires="wpg">
            <w:drawing>
              <wp:inline distT="0" distB="0" distL="0" distR="0" wp14:anchorId="31FB7064" wp14:editId="16136919">
                <wp:extent cx="1829435" cy="7620"/>
                <wp:effectExtent l="0" t="0" r="0" b="0"/>
                <wp:docPr id="52872" name="Group 52872"/>
                <wp:cNvGraphicFramePr/>
                <a:graphic xmlns:a="http://schemas.openxmlformats.org/drawingml/2006/main">
                  <a:graphicData uri="http://schemas.microsoft.com/office/word/2010/wordprocessingGroup">
                    <wpg:wgp>
                      <wpg:cNvGrpSpPr/>
                      <wpg:grpSpPr>
                        <a:xfrm>
                          <a:off x="0" y="0"/>
                          <a:ext cx="1829435" cy="7620"/>
                          <a:chOff x="0" y="0"/>
                          <a:chExt cx="1829435" cy="7620"/>
                        </a:xfrm>
                      </wpg:grpSpPr>
                      <wps:wsp>
                        <wps:cNvPr id="56180" name="Shape 56180"/>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21414"/>
                          </a:fillRef>
                          <a:effectRef idx="0">
                            <a:scrgbClr r="0" g="0" b="0"/>
                          </a:effectRef>
                          <a:fontRef idx="none"/>
                        </wps:style>
                        <wps:bodyPr/>
                      </wps:wsp>
                    </wpg:wgp>
                  </a:graphicData>
                </a:graphic>
              </wp:inline>
            </w:drawing>
          </mc:Choice>
          <mc:Fallback xmlns:a="http://schemas.openxmlformats.org/drawingml/2006/main">
            <w:pict>
              <v:group id="Group 52872" style="width:144.05pt;height:0.599976pt;mso-position-horizontal-relative:char;mso-position-vertical-relative:line" coordsize="18294,76">
                <v:shape id="Shape 56181" style="position:absolute;width:18294;height:91;left:0;top:0;" coordsize="1829435,9144" path="m0,0l1829435,0l1829435,9144l0,9144l0,0">
                  <v:stroke weight="0pt" endcap="flat" joinstyle="miter" miterlimit="10" on="false" color="#000000" opacity="0"/>
                  <v:fill on="true" color="#021414"/>
                </v:shape>
              </v:group>
            </w:pict>
          </mc:Fallback>
        </mc:AlternateContent>
      </w:r>
      <w:r>
        <w:t xml:space="preserve"> </w:t>
      </w:r>
    </w:p>
    <w:p w14:paraId="60CF4D40" w14:textId="77777777" w:rsidR="00C80A0C" w:rsidRDefault="005E499E">
      <w:pPr>
        <w:spacing w:after="276"/>
        <w:ind w:left="-5" w:right="9"/>
      </w:pPr>
      <w:r>
        <w:t xml:space="preserve">Each advocate for </w:t>
      </w:r>
      <w:r>
        <w:t>'here and now’ understandings</w:t>
      </w:r>
      <w:r>
        <w:t xml:space="preserve"> </w:t>
      </w:r>
      <w:r>
        <w:t>to expand and deepen to include the emerging field of research (in the west) relating to epigenetics to influence the current Proposal and to encourage the Department to plan for and fund healing programs for future generations of First Nations Peoples and for example, newly arrived Peoples. Dr. Eduardo Duran and Dr. Maria Yellow Horse Brave Heart have profoundly shaped our understanding of how trauma reverberates across generations, bridging First Nations knowledge systems with emerging scientific insights</w:t>
      </w:r>
      <w:r>
        <w:t xml:space="preserve"> into epigenetics. Their work illuminates the concept of </w:t>
      </w:r>
      <w:r>
        <w:t xml:space="preserve">the “soul wound” and historical trauma as not merely psychological phenomena but deeply embodied </w:t>
      </w:r>
      <w:r>
        <w:t>experiences that alter biological pathways and cultural narratives over time.</w:t>
      </w:r>
      <w:r>
        <w:rPr>
          <w:vertAlign w:val="superscript"/>
        </w:rPr>
        <w:footnoteReference w:id="14"/>
      </w:r>
      <w:r>
        <w:rPr>
          <w:vertAlign w:val="superscript"/>
        </w:rPr>
        <w:footnoteReference w:id="15"/>
      </w:r>
      <w:r>
        <w:t xml:space="preserve"> </w:t>
      </w:r>
    </w:p>
    <w:p w14:paraId="0BD382AB" w14:textId="77777777" w:rsidR="00C80A0C" w:rsidRDefault="005E499E">
      <w:pPr>
        <w:ind w:left="-5" w:right="9"/>
      </w:pPr>
      <w:r>
        <w:t xml:space="preserve">Further, surrounding healthy children, young Peoples and thriving families: In 2024, it is estimated that </w:t>
      </w:r>
    </w:p>
    <w:p w14:paraId="4C489B9C" w14:textId="77777777" w:rsidR="00C80A0C" w:rsidRDefault="005E499E">
      <w:pPr>
        <w:spacing w:after="252"/>
        <w:ind w:left="-5" w:right="9"/>
      </w:pPr>
      <w:r>
        <w:t>823,000 children (or 14.5%) in Australia are living under a standard (50% poverty line), with an additional 102,000 children falling into poverty between 2021 and 2022. This suggests that the number of children living in poverty may increase further in 2025 and beyond due to rising living costs and housing stress.</w:t>
      </w:r>
      <w:r>
        <w:rPr>
          <w:vertAlign w:val="superscript"/>
        </w:rPr>
        <w:footnoteReference w:id="16"/>
      </w:r>
      <w:r>
        <w:t xml:space="preserve"> Social exclusion is also a significant problem, with many children, young Peoples and families lacking the opportunities and family resources to be socially connected and able to participate fully in their local Communities. Among other adverse effects, child social exclusion affects educational attainment; the prevalence of low Australian Early Development Census (AEDC) scores was twice as high in areas of highest social exclusion rates compared to those with the lowest rates. A local C</w:t>
      </w:r>
      <w:r>
        <w:t xml:space="preserve">ommunity’s risk of </w:t>
      </w:r>
      <w:r>
        <w:t xml:space="preserve">child social </w:t>
      </w:r>
      <w:r>
        <w:t>exclusion is highly persistent over time. In areas where social inclusion rates improved, the key drivers of improvement in child social exclusion were above average improvement in the socio-economic wellbeing of families in these areas and in their educational attainment combined with reduced housing stress.</w:t>
      </w:r>
      <w:r>
        <w:rPr>
          <w:vertAlign w:val="superscript"/>
        </w:rPr>
        <w:footnoteReference w:id="17"/>
      </w:r>
      <w:r>
        <w:t xml:space="preserve">  </w:t>
      </w:r>
    </w:p>
    <w:p w14:paraId="18868013" w14:textId="77777777" w:rsidR="00C80A0C" w:rsidRDefault="005E499E">
      <w:pPr>
        <w:spacing w:after="255"/>
        <w:ind w:left="-5" w:right="9"/>
      </w:pPr>
      <w:r>
        <w:t>The evidence base supports the presence of universal features of development, while acknowledging there is also consistent and convincing evidence that the form and timing of developmental skills vary across cultures. To reconcile these two sets of evidence, the notion of developmental universality without uniformity is proposed. This involves high level agreement about the existence of basic developmental constructs while accepting that these can manifest themselves differently across cultures and recognis</w:t>
      </w:r>
      <w:r>
        <w:t>ing that all developmental skills are culturally specific to some extent (McCoy, 2022). As a result, we must translate our service design to include cross cultural understandings, that are adaptive and transformational.</w:t>
      </w:r>
      <w:r>
        <w:rPr>
          <w:vertAlign w:val="superscript"/>
        </w:rPr>
        <w:footnoteReference w:id="18"/>
      </w:r>
      <w:r>
        <w:t xml:space="preserve"> </w:t>
      </w:r>
    </w:p>
    <w:p w14:paraId="7AEC088E" w14:textId="77777777" w:rsidR="00C80A0C" w:rsidRDefault="005E499E">
      <w:pPr>
        <w:spacing w:after="557"/>
        <w:ind w:left="-5" w:right="9"/>
      </w:pPr>
      <w:r>
        <w:t xml:space="preserve">Each encourages the Department to further adopt these important understandings in the work </w:t>
      </w:r>
      <w:proofErr w:type="gramStart"/>
      <w:r>
        <w:t>in order to</w:t>
      </w:r>
      <w:proofErr w:type="gramEnd"/>
      <w:r>
        <w:t xml:space="preserve"> continue to evolve and elevate service delivery nationally, instigating further positive social impact. </w:t>
      </w:r>
    </w:p>
    <w:p w14:paraId="4C111D81" w14:textId="77777777" w:rsidR="00C80A0C" w:rsidRDefault="005E499E">
      <w:pPr>
        <w:pStyle w:val="Heading1"/>
        <w:ind w:left="-5"/>
      </w:pPr>
      <w:bookmarkStart w:id="3" w:name="_Toc55828"/>
      <w:r>
        <w:t xml:space="preserve">Program Structure </w:t>
      </w:r>
      <w:bookmarkEnd w:id="3"/>
    </w:p>
    <w:p w14:paraId="47A5C9AF" w14:textId="77777777" w:rsidR="00C80A0C" w:rsidRDefault="005E499E">
      <w:pPr>
        <w:spacing w:after="283" w:line="259" w:lineRule="auto"/>
        <w:ind w:left="-5"/>
      </w:pPr>
      <w:r>
        <w:rPr>
          <w:rFonts w:ascii="Calibri" w:eastAsia="Calibri" w:hAnsi="Calibri" w:cs="Calibri"/>
          <w:b/>
          <w:color w:val="000000"/>
        </w:rPr>
        <w:t xml:space="preserve">Will a single national program provide more flexibility for your organisation? </w:t>
      </w:r>
    </w:p>
    <w:p w14:paraId="3E372706" w14:textId="77777777" w:rsidR="00C80A0C" w:rsidRDefault="005E499E">
      <w:pPr>
        <w:spacing w:after="280" w:line="263" w:lineRule="auto"/>
        <w:ind w:left="-5" w:right="6"/>
      </w:pPr>
      <w:r>
        <w:rPr>
          <w:color w:val="000000"/>
        </w:rPr>
        <w:t xml:space="preserve">Each deeply welcomes this approach, we anticipate the following benefits: Enhanced resource alignment and flexibility, increased program sustainability and scale, improved service integration and holistic support, a catalytic effect for innovation and equity, and accountability and outcome-based evaluation.  </w:t>
      </w:r>
    </w:p>
    <w:p w14:paraId="64E0F2F6" w14:textId="77777777" w:rsidR="00C80A0C" w:rsidRDefault="005E499E">
      <w:pPr>
        <w:spacing w:after="424"/>
        <w:ind w:left="-5" w:right="9"/>
      </w:pPr>
      <w:r>
        <w:lastRenderedPageBreak/>
        <w:t>These approaches enable organisations to align resources with community needs rather than rigid program boundaries. This flexibility is critical for addressing complex social issues that span health, education, housing, and family wellbeing</w:t>
      </w:r>
      <w:r>
        <w:rPr>
          <w:vertAlign w:val="superscript"/>
        </w:rPr>
        <w:footnoteReference w:id="19"/>
      </w:r>
      <w:r>
        <w:t xml:space="preserve">. In analysing the proposal by the Department through the prism of a blending </w:t>
      </w:r>
    </w:p>
    <w:p w14:paraId="24D5A2C8" w14:textId="77777777" w:rsidR="00C80A0C" w:rsidRDefault="005E499E">
      <w:pPr>
        <w:spacing w:after="0" w:line="259" w:lineRule="auto"/>
        <w:ind w:left="0" w:firstLine="0"/>
      </w:pPr>
      <w:r>
        <w:rPr>
          <w:rFonts w:ascii="Calibri" w:eastAsia="Calibri" w:hAnsi="Calibri" w:cs="Calibri"/>
          <w:noProof/>
          <w:color w:val="000000"/>
        </w:rPr>
        <mc:AlternateContent>
          <mc:Choice Requires="wpg">
            <w:drawing>
              <wp:inline distT="0" distB="0" distL="0" distR="0" wp14:anchorId="01B3A37A" wp14:editId="6393260E">
                <wp:extent cx="1829435" cy="7620"/>
                <wp:effectExtent l="0" t="0" r="0" b="0"/>
                <wp:docPr id="47186" name="Group 47186"/>
                <wp:cNvGraphicFramePr/>
                <a:graphic xmlns:a="http://schemas.openxmlformats.org/drawingml/2006/main">
                  <a:graphicData uri="http://schemas.microsoft.com/office/word/2010/wordprocessingGroup">
                    <wpg:wgp>
                      <wpg:cNvGrpSpPr/>
                      <wpg:grpSpPr>
                        <a:xfrm>
                          <a:off x="0" y="0"/>
                          <a:ext cx="1829435" cy="7620"/>
                          <a:chOff x="0" y="0"/>
                          <a:chExt cx="1829435" cy="7620"/>
                        </a:xfrm>
                      </wpg:grpSpPr>
                      <wps:wsp>
                        <wps:cNvPr id="56182" name="Shape 56182"/>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21414"/>
                          </a:fillRef>
                          <a:effectRef idx="0">
                            <a:scrgbClr r="0" g="0" b="0"/>
                          </a:effectRef>
                          <a:fontRef idx="none"/>
                        </wps:style>
                        <wps:bodyPr/>
                      </wps:wsp>
                    </wpg:wgp>
                  </a:graphicData>
                </a:graphic>
              </wp:inline>
            </w:drawing>
          </mc:Choice>
          <mc:Fallback xmlns:a="http://schemas.openxmlformats.org/drawingml/2006/main">
            <w:pict>
              <v:group id="Group 47186" style="width:144.05pt;height:0.600037pt;mso-position-horizontal-relative:char;mso-position-vertical-relative:line" coordsize="18294,76">
                <v:shape id="Shape 56183" style="position:absolute;width:18294;height:91;left:0;top:0;" coordsize="1829435,9144" path="m0,0l1829435,0l1829435,9144l0,9144l0,0">
                  <v:stroke weight="0pt" endcap="flat" joinstyle="miter" miterlimit="10" on="false" color="#000000" opacity="0"/>
                  <v:fill on="true" color="#021414"/>
                </v:shape>
              </v:group>
            </w:pict>
          </mc:Fallback>
        </mc:AlternateContent>
      </w:r>
      <w:r>
        <w:t xml:space="preserve"> </w:t>
      </w:r>
    </w:p>
    <w:p w14:paraId="32D29D36" w14:textId="77777777" w:rsidR="00C80A0C" w:rsidRDefault="005E499E">
      <w:pPr>
        <w:spacing w:after="285"/>
        <w:ind w:left="-5" w:right="9"/>
      </w:pPr>
      <w:r>
        <w:t xml:space="preserve">and braiding funding model; Each anticipates a notable increase in both resource alignment and flexibility across sector, though most importantly, a simpler system for families to try and navigate </w:t>
      </w:r>
    </w:p>
    <w:p w14:paraId="54E5F031" w14:textId="77777777" w:rsidR="00C80A0C" w:rsidRDefault="005E499E">
      <w:pPr>
        <w:spacing w:after="310"/>
        <w:ind w:left="-5" w:right="9"/>
      </w:pPr>
      <w:r>
        <w:t xml:space="preserve">Having the ability and commitment to tracking separate funding sources, which supports compliance and transparency while still enabling coordinated service delivery. This accountability reassures funders such as the Department and other key stakeholders that resources are used appropriately, while blended models simplify reporting by focusing on overall program outcomes rather than fragmented metrics. Both approaches encourage not for profits to adopt robust data systems and outcome measurement frameworks, </w:t>
      </w:r>
      <w:r>
        <w:t>strengthening our ability to demonstrate impact and secure future funding.</w:t>
      </w:r>
      <w:r>
        <w:rPr>
          <w:vertAlign w:val="superscript"/>
        </w:rPr>
        <w:footnoteReference w:id="20"/>
      </w:r>
      <w:r>
        <w:t xml:space="preserve"> </w:t>
      </w:r>
    </w:p>
    <w:p w14:paraId="143C5DE5" w14:textId="77777777" w:rsidR="00C80A0C" w:rsidRDefault="005E499E">
      <w:pPr>
        <w:spacing w:after="281"/>
        <w:ind w:left="-5" w:right="9"/>
      </w:pPr>
      <w:r>
        <w:t xml:space="preserve">Each understands braided and blended models create opportunities to sustain programs beyond short term grants or single year funding models and expands service capacity, efficacy, and quality. </w:t>
      </w:r>
      <w:r>
        <w:rPr>
          <w:color w:val="000000"/>
        </w:rPr>
        <w:t xml:space="preserve">This approach allows opportunity for increased diversity and flexibility in staff roles and structure, which in turn can increase job satisfaction, staff engagement, and retention, inclusive of providing an opportunity for a widened focus on staff professional development. </w:t>
      </w:r>
      <w:r>
        <w:t xml:space="preserve">This approach supports long term sustainability and allows organisations to scale interventions that improve outcomes for all Peoples we serve.  </w:t>
      </w:r>
    </w:p>
    <w:p w14:paraId="6AEAE8B7" w14:textId="77777777" w:rsidR="00C80A0C" w:rsidRDefault="005E499E">
      <w:pPr>
        <w:spacing w:after="306"/>
        <w:ind w:left="-5" w:right="9"/>
      </w:pPr>
      <w:r>
        <w:t>These models foster collaboration across sectors: Health, community services, and education, by creating opportunities for organisations such as not for profits to pool resources for integrated service delivery. Colocation and cost sharing strategies enabled by braided funding; reduces duplication, improves client experience, and maximises resource efficiency. This integrated approach is particularly valuable for children, young Peoples, and families with intersecting needs, promoting equity and stronger lo</w:t>
      </w:r>
      <w:r>
        <w:t>ng-term outcomes. Each deeply welcome</w:t>
      </w:r>
      <w:r>
        <w:t>s the Departments’</w:t>
      </w:r>
      <w:r>
        <w:t xml:space="preserve"> Discussion Paper outlining a current appetite for improved service integration and holistic support.</w:t>
      </w:r>
      <w:r>
        <w:rPr>
          <w:vertAlign w:val="superscript"/>
        </w:rPr>
        <w:footnoteReference w:id="21"/>
      </w:r>
      <w:r>
        <w:t xml:space="preserve">  </w:t>
      </w:r>
    </w:p>
    <w:p w14:paraId="50EE9C1B" w14:textId="77777777" w:rsidR="00C80A0C" w:rsidRDefault="005E499E">
      <w:pPr>
        <w:spacing w:after="326"/>
        <w:ind w:left="-5" w:right="9"/>
      </w:pPr>
      <w:r>
        <w:t>This approach can also act as a catalyst for innovation by attracting nontraditional partners in the work, a benefit in and of itself. This multiplier effect increases the total capital available (particularly intellectual capital and practice wisdom) for collective social impact initiatives. In public health and education, these models have supported upstream strategies that address structural determinants of health, such as poverty and housing insecurity, rather than focusing solely on downstream interven</w:t>
      </w:r>
      <w:r>
        <w:t>tions. By enabling flexible, coordinated investment, not for profits can implement equity driven, place-based solutions tailored to local contexts, better centring and responding to the Communities we serve.</w:t>
      </w:r>
      <w:r>
        <w:rPr>
          <w:vertAlign w:val="superscript"/>
        </w:rPr>
        <w:footnoteReference w:id="22"/>
      </w:r>
      <w:r>
        <w:t xml:space="preserve"> </w:t>
      </w:r>
    </w:p>
    <w:p w14:paraId="6CE799BD" w14:textId="77777777" w:rsidR="00C80A0C" w:rsidRDefault="005E499E">
      <w:pPr>
        <w:spacing w:after="239" w:line="259" w:lineRule="auto"/>
        <w:ind w:left="-5"/>
      </w:pPr>
      <w:r>
        <w:rPr>
          <w:rFonts w:ascii="Calibri" w:eastAsia="Calibri" w:hAnsi="Calibri" w:cs="Calibri"/>
          <w:b/>
          <w:color w:val="000000"/>
        </w:rPr>
        <w:t xml:space="preserve">Does the service or activity you deliver fit within one of the three funding streams? Do these streams reflect what children and families in your community need now – and what they might need in the future?  </w:t>
      </w:r>
    </w:p>
    <w:p w14:paraId="0C01D103" w14:textId="77777777" w:rsidR="00C80A0C" w:rsidRDefault="005E499E">
      <w:pPr>
        <w:spacing w:after="275"/>
        <w:ind w:left="-5" w:right="9"/>
      </w:pPr>
      <w:proofErr w:type="gramStart"/>
      <w:r>
        <w:t>Yes</w:t>
      </w:r>
      <w:proofErr w:type="gramEnd"/>
      <w:r>
        <w:t xml:space="preserve"> and the proposed funding streams broadly reflect the needs we are seeing in our community. Families continue to experience complexity</w:t>
      </w:r>
      <w:r>
        <w:t>—</w:t>
      </w:r>
      <w:r>
        <w:t>including mental health, family violence, housing instability, financial distress and the impacts of social isolation</w:t>
      </w:r>
      <w:r>
        <w:t>—</w:t>
      </w:r>
      <w:r>
        <w:t xml:space="preserve">which requires flexible, holistic responses. The streams allow us to respond to: </w:t>
      </w:r>
    </w:p>
    <w:p w14:paraId="3CBC228D" w14:textId="77777777" w:rsidR="00C80A0C" w:rsidRDefault="005E499E">
      <w:pPr>
        <w:numPr>
          <w:ilvl w:val="0"/>
          <w:numId w:val="3"/>
        </w:numPr>
        <w:ind w:right="9" w:hanging="360"/>
      </w:pPr>
      <w:r>
        <w:lastRenderedPageBreak/>
        <w:t xml:space="preserve">immediate needs (safety, crisis support), </w:t>
      </w:r>
    </w:p>
    <w:p w14:paraId="1886597C" w14:textId="77777777" w:rsidR="00C80A0C" w:rsidRDefault="005E499E">
      <w:pPr>
        <w:numPr>
          <w:ilvl w:val="0"/>
          <w:numId w:val="3"/>
        </w:numPr>
        <w:spacing w:after="745"/>
        <w:ind w:right="9" w:hanging="360"/>
      </w:pPr>
      <w:r>
        <w:t xml:space="preserve">ongoing and emerging challenges for parents and caregivers, and </w:t>
      </w:r>
      <w:r>
        <w:rPr>
          <w:rFonts w:ascii="Segoe UI Symbol" w:eastAsia="Segoe UI Symbol" w:hAnsi="Segoe UI Symbol" w:cs="Segoe UI Symbol"/>
        </w:rPr>
        <w:t>•</w:t>
      </w:r>
      <w:r>
        <w:t xml:space="preserve"> </w:t>
      </w:r>
      <w:r>
        <w:tab/>
        <w:t xml:space="preserve">long-term developmental needs for children. </w:t>
      </w:r>
    </w:p>
    <w:p w14:paraId="7523B0DA" w14:textId="77777777" w:rsidR="00C80A0C" w:rsidRDefault="005E499E">
      <w:pPr>
        <w:spacing w:after="0" w:line="259" w:lineRule="auto"/>
        <w:ind w:left="0" w:firstLine="0"/>
      </w:pPr>
      <w:r>
        <w:rPr>
          <w:rFonts w:ascii="Calibri" w:eastAsia="Calibri" w:hAnsi="Calibri" w:cs="Calibri"/>
          <w:noProof/>
          <w:color w:val="000000"/>
        </w:rPr>
        <mc:AlternateContent>
          <mc:Choice Requires="wpg">
            <w:drawing>
              <wp:inline distT="0" distB="0" distL="0" distR="0" wp14:anchorId="1F27E3C5" wp14:editId="5859D0A3">
                <wp:extent cx="1829435" cy="7620"/>
                <wp:effectExtent l="0" t="0" r="0" b="0"/>
                <wp:docPr id="51249" name="Group 51249"/>
                <wp:cNvGraphicFramePr/>
                <a:graphic xmlns:a="http://schemas.openxmlformats.org/drawingml/2006/main">
                  <a:graphicData uri="http://schemas.microsoft.com/office/word/2010/wordprocessingGroup">
                    <wpg:wgp>
                      <wpg:cNvGrpSpPr/>
                      <wpg:grpSpPr>
                        <a:xfrm>
                          <a:off x="0" y="0"/>
                          <a:ext cx="1829435" cy="7620"/>
                          <a:chOff x="0" y="0"/>
                          <a:chExt cx="1829435" cy="7620"/>
                        </a:xfrm>
                      </wpg:grpSpPr>
                      <wps:wsp>
                        <wps:cNvPr id="56184" name="Shape 56184"/>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21414"/>
                          </a:fillRef>
                          <a:effectRef idx="0">
                            <a:scrgbClr r="0" g="0" b="0"/>
                          </a:effectRef>
                          <a:fontRef idx="none"/>
                        </wps:style>
                        <wps:bodyPr/>
                      </wps:wsp>
                    </wpg:wgp>
                  </a:graphicData>
                </a:graphic>
              </wp:inline>
            </w:drawing>
          </mc:Choice>
          <mc:Fallback xmlns:a="http://schemas.openxmlformats.org/drawingml/2006/main">
            <w:pict>
              <v:group id="Group 51249" style="width:144.05pt;height:0.600037pt;mso-position-horizontal-relative:char;mso-position-vertical-relative:line" coordsize="18294,76">
                <v:shape id="Shape 56185" style="position:absolute;width:18294;height:91;left:0;top:0;" coordsize="1829435,9144" path="m0,0l1829435,0l1829435,9144l0,9144l0,0">
                  <v:stroke weight="0pt" endcap="flat" joinstyle="miter" miterlimit="10" on="false" color="#000000" opacity="0"/>
                  <v:fill on="true" color="#021414"/>
                </v:shape>
              </v:group>
            </w:pict>
          </mc:Fallback>
        </mc:AlternateContent>
      </w:r>
      <w:r>
        <w:t xml:space="preserve"> </w:t>
      </w:r>
    </w:p>
    <w:p w14:paraId="75448DFC" w14:textId="77777777" w:rsidR="00C80A0C" w:rsidRDefault="005E499E">
      <w:pPr>
        <w:spacing w:after="241"/>
        <w:ind w:left="-5" w:right="9"/>
      </w:pPr>
      <w:r>
        <w:t xml:space="preserve">Looking ahead, the streams </w:t>
      </w:r>
      <w:r>
        <w:t>also provide enough flexibility to adapt to changing circumstances. As the community shifts</w:t>
      </w:r>
      <w:r>
        <w:t>—</w:t>
      </w:r>
      <w:r>
        <w:t>whether due to economic pressures, demographic changes, or the increasing visibility of cultural and neurodiversity needs</w:t>
      </w:r>
      <w:r>
        <w:t>—</w:t>
      </w:r>
      <w:r>
        <w:t xml:space="preserve">the streams still offer a framework that can accommodate these evolving demands. </w:t>
      </w:r>
    </w:p>
    <w:p w14:paraId="6207E0E0" w14:textId="77777777" w:rsidR="00C80A0C" w:rsidRDefault="005E499E">
      <w:pPr>
        <w:spacing w:after="272"/>
        <w:ind w:left="-5" w:right="9"/>
      </w:pPr>
      <w:r>
        <w:t xml:space="preserve">The proposed model provides a platform for organisations working in the communities they know, to pivot to care and support needs presenting for service. The ability to take a Case Management/Coordination approach to support the whole family as opposed to having </w:t>
      </w:r>
      <w:proofErr w:type="gramStart"/>
      <w:r>
        <w:t>an</w:t>
      </w:r>
      <w:proofErr w:type="gramEnd"/>
      <w:r>
        <w:t xml:space="preserve"> suite of different services and care providers working to support the needs of a family. We would also highlight the need to consider how services can include: </w:t>
      </w:r>
    </w:p>
    <w:p w14:paraId="634AD39B" w14:textId="77777777" w:rsidR="00C80A0C" w:rsidRDefault="005E499E">
      <w:pPr>
        <w:numPr>
          <w:ilvl w:val="0"/>
          <w:numId w:val="3"/>
        </w:numPr>
        <w:ind w:right="9" w:hanging="360"/>
      </w:pPr>
      <w:r>
        <w:t xml:space="preserve">Safety considerations in Family Violence situations </w:t>
      </w:r>
    </w:p>
    <w:p w14:paraId="48A4C02B" w14:textId="77777777" w:rsidR="00C80A0C" w:rsidRDefault="005E499E">
      <w:pPr>
        <w:numPr>
          <w:ilvl w:val="0"/>
          <w:numId w:val="3"/>
        </w:numPr>
        <w:ind w:right="9" w:hanging="360"/>
      </w:pPr>
      <w:r>
        <w:t xml:space="preserve">Extended periods of support </w:t>
      </w:r>
    </w:p>
    <w:p w14:paraId="736D09CF" w14:textId="77777777" w:rsidR="00C80A0C" w:rsidRDefault="005E499E">
      <w:pPr>
        <w:numPr>
          <w:ilvl w:val="0"/>
          <w:numId w:val="3"/>
        </w:numPr>
        <w:ind w:right="9" w:hanging="360"/>
      </w:pPr>
      <w:r>
        <w:t xml:space="preserve">Dedicated Lived Experience roles (including First Nations roles) </w:t>
      </w:r>
    </w:p>
    <w:p w14:paraId="391E4263" w14:textId="77777777" w:rsidR="00C80A0C" w:rsidRDefault="005E499E">
      <w:pPr>
        <w:numPr>
          <w:ilvl w:val="0"/>
          <w:numId w:val="3"/>
        </w:numPr>
        <w:ind w:right="9" w:hanging="360"/>
      </w:pPr>
      <w:r>
        <w:t xml:space="preserve">Modalities of support and engagement </w:t>
      </w:r>
      <w:r>
        <w:rPr>
          <w:rFonts w:ascii="Courier New" w:eastAsia="Courier New" w:hAnsi="Courier New" w:cs="Courier New"/>
        </w:rPr>
        <w:t>o</w:t>
      </w:r>
      <w:r>
        <w:t xml:space="preserve"> Individual work &amp; counselling </w:t>
      </w:r>
    </w:p>
    <w:p w14:paraId="58E590ED" w14:textId="77777777" w:rsidR="00C80A0C" w:rsidRDefault="005E499E">
      <w:pPr>
        <w:numPr>
          <w:ilvl w:val="1"/>
          <w:numId w:val="3"/>
        </w:numPr>
        <w:ind w:right="2918" w:hanging="360"/>
      </w:pPr>
      <w:r>
        <w:t xml:space="preserve">Family Work </w:t>
      </w:r>
    </w:p>
    <w:p w14:paraId="79F5C071" w14:textId="77777777" w:rsidR="00C80A0C" w:rsidRDefault="005E499E">
      <w:pPr>
        <w:numPr>
          <w:ilvl w:val="1"/>
          <w:numId w:val="3"/>
        </w:numPr>
        <w:spacing w:after="51"/>
        <w:ind w:right="2918" w:hanging="360"/>
      </w:pPr>
      <w:r>
        <w:t xml:space="preserve">Group based interventions </w:t>
      </w:r>
      <w:r>
        <w:rPr>
          <w:rFonts w:ascii="Courier New" w:eastAsia="Courier New" w:hAnsi="Courier New" w:cs="Courier New"/>
        </w:rPr>
        <w:t>o</w:t>
      </w:r>
      <w:r>
        <w:t xml:space="preserve"> Site and home-based interventions </w:t>
      </w:r>
    </w:p>
    <w:p w14:paraId="63E4A1EA" w14:textId="77777777" w:rsidR="00C80A0C" w:rsidRDefault="005E499E">
      <w:pPr>
        <w:numPr>
          <w:ilvl w:val="0"/>
          <w:numId w:val="3"/>
        </w:numPr>
        <w:spacing w:after="33"/>
        <w:ind w:right="9" w:hanging="360"/>
      </w:pPr>
      <w:r>
        <w:t>Brokerage allocations in budgets to be able to respond to emerging needs in each family (</w:t>
      </w:r>
      <w:proofErr w:type="spellStart"/>
      <w:r>
        <w:t>eg</w:t>
      </w:r>
      <w:proofErr w:type="spellEnd"/>
      <w:r>
        <w:t xml:space="preserve"> Assessments for access to services and schemes) </w:t>
      </w:r>
    </w:p>
    <w:p w14:paraId="55247961" w14:textId="77777777" w:rsidR="00C80A0C" w:rsidRDefault="005E499E">
      <w:pPr>
        <w:numPr>
          <w:ilvl w:val="0"/>
          <w:numId w:val="3"/>
        </w:numPr>
        <w:ind w:right="9" w:hanging="360"/>
      </w:pPr>
      <w:r>
        <w:t xml:space="preserve">Ability to be able to have focused interventions to work with people using violence  </w:t>
      </w:r>
    </w:p>
    <w:p w14:paraId="7351633D" w14:textId="77777777" w:rsidR="00C80A0C" w:rsidRDefault="005E499E">
      <w:pPr>
        <w:numPr>
          <w:ilvl w:val="0"/>
          <w:numId w:val="3"/>
        </w:numPr>
        <w:spacing w:after="231"/>
        <w:ind w:right="9" w:hanging="360"/>
      </w:pPr>
      <w:r>
        <w:t xml:space="preserve">Multidisciplinary teams with broad skill </w:t>
      </w:r>
      <w:proofErr w:type="gramStart"/>
      <w:r>
        <w:t>sets</w:t>
      </w:r>
      <w:proofErr w:type="gramEnd"/>
      <w:r>
        <w:t xml:space="preserve"> and roles (including child focused interventions) </w:t>
      </w:r>
    </w:p>
    <w:p w14:paraId="145915AC" w14:textId="77777777" w:rsidR="00C80A0C" w:rsidRDefault="005E499E">
      <w:pPr>
        <w:spacing w:after="162" w:line="259" w:lineRule="auto"/>
        <w:ind w:left="-5"/>
      </w:pPr>
      <w:r>
        <w:rPr>
          <w:rFonts w:ascii="Calibri" w:eastAsia="Calibri" w:hAnsi="Calibri" w:cs="Calibri"/>
          <w:b/>
          <w:color w:val="000000"/>
        </w:rPr>
        <w:t xml:space="preserve">Are there other changes we could make to the program to help your organisation or community overcome current challenges? </w:t>
      </w:r>
    </w:p>
    <w:p w14:paraId="38A11A5D" w14:textId="77777777" w:rsidR="00C80A0C" w:rsidRDefault="005E499E">
      <w:pPr>
        <w:spacing w:after="164"/>
        <w:ind w:left="-5" w:right="9"/>
      </w:pPr>
      <w:r>
        <w:t xml:space="preserve">The flexibility in the proposed model is a very welcome inclusion. When services </w:t>
      </w:r>
      <w:proofErr w:type="gramStart"/>
      <w:r>
        <w:t>have the ability to</w:t>
      </w:r>
      <w:proofErr w:type="gramEnd"/>
      <w:r>
        <w:t xml:space="preserve"> respond to the needs of families engaged with the service, the depth and impact of the intervention can be profound. Families can experience a single service meeting and/or coordinating </w:t>
      </w:r>
      <w:proofErr w:type="gramStart"/>
      <w:r>
        <w:t>all of</w:t>
      </w:r>
      <w:proofErr w:type="gramEnd"/>
      <w:r>
        <w:t xml:space="preserve"> their needs. </w:t>
      </w:r>
    </w:p>
    <w:p w14:paraId="177D2214" w14:textId="77777777" w:rsidR="00C80A0C" w:rsidRDefault="005E499E">
      <w:pPr>
        <w:spacing w:after="164"/>
        <w:ind w:left="-5" w:right="9"/>
      </w:pPr>
      <w:r>
        <w:t xml:space="preserve">Allowing more flexible delivery modes (outreach, after-hours, brief interventions, group work) would help to </w:t>
      </w:r>
      <w:r>
        <w:t xml:space="preserve">meet families where they are, particularly those facing barriers such as transport, work commitments, or safety concerns. </w:t>
      </w:r>
    </w:p>
    <w:p w14:paraId="369106E6" w14:textId="77777777" w:rsidR="00C80A0C" w:rsidRDefault="005E499E">
      <w:pPr>
        <w:spacing w:after="161"/>
        <w:ind w:left="-5" w:right="9"/>
      </w:pPr>
      <w:r>
        <w:rPr>
          <w:u w:val="single" w:color="021414"/>
        </w:rPr>
        <w:t>Structured collaboration</w:t>
      </w:r>
      <w:r>
        <w:t xml:space="preserve"> across service to facilitate Communities of Practice, joint case discussions, shared training, and co-design with community partners would greatly enhance </w:t>
      </w:r>
      <w:proofErr w:type="gramStart"/>
      <w:r>
        <w:t>organisations</w:t>
      </w:r>
      <w:proofErr w:type="gramEnd"/>
      <w:r>
        <w:t xml:space="preserve"> ability to respond to increasingly complex presentations and reduce service fragmentation. The opportunity to share learnings, resources and strategies will support all organisations delivering these interventions. </w:t>
      </w:r>
    </w:p>
    <w:p w14:paraId="74C270C8" w14:textId="77777777" w:rsidR="00C80A0C" w:rsidRDefault="005E499E">
      <w:pPr>
        <w:spacing w:after="161"/>
        <w:ind w:left="-5" w:right="9"/>
      </w:pPr>
      <w:r>
        <w:rPr>
          <w:u w:val="single" w:color="021414"/>
        </w:rPr>
        <w:t xml:space="preserve">Increased </w:t>
      </w:r>
      <w:r>
        <w:t xml:space="preserve">engagement with Aboriginal &amp; Torres Strait Islander communities, CALD communities, and </w:t>
      </w:r>
      <w:proofErr w:type="spellStart"/>
      <w:r>
        <w:t>livedexperience</w:t>
      </w:r>
      <w:proofErr w:type="spellEnd"/>
      <w:r>
        <w:t xml:space="preserve"> voices in program design would ensure supports are culturally safe, relevant, and responsive to emerging and current needs. </w:t>
      </w:r>
    </w:p>
    <w:p w14:paraId="626D9094" w14:textId="77777777" w:rsidR="00C80A0C" w:rsidRDefault="005E499E">
      <w:pPr>
        <w:spacing w:after="159"/>
        <w:ind w:left="-5" w:right="9"/>
      </w:pPr>
      <w:r>
        <w:rPr>
          <w:u w:val="single" w:color="021414"/>
        </w:rPr>
        <w:t>Enhanced tools</w:t>
      </w:r>
      <w:r>
        <w:t xml:space="preserve">, templates, and systems for outcome measurement would help us demonstrate impact and identify where services need to adapt. To have a single, shared tool for outcome measurement across the sector would be a great advantage and give services capacity to consider benchmarking and service development. </w:t>
      </w:r>
    </w:p>
    <w:p w14:paraId="20507B93" w14:textId="77777777" w:rsidR="00C80A0C" w:rsidRDefault="005E499E">
      <w:pPr>
        <w:spacing w:after="158" w:line="259" w:lineRule="auto"/>
        <w:ind w:left="0" w:firstLine="0"/>
      </w:pPr>
      <w:r>
        <w:t xml:space="preserve"> </w:t>
      </w:r>
    </w:p>
    <w:p w14:paraId="4AA168E7" w14:textId="77777777" w:rsidR="00C80A0C" w:rsidRDefault="005E499E">
      <w:pPr>
        <w:spacing w:after="160" w:line="259" w:lineRule="auto"/>
        <w:ind w:left="0" w:firstLine="0"/>
      </w:pPr>
      <w:r>
        <w:lastRenderedPageBreak/>
        <w:t xml:space="preserve"> </w:t>
      </w:r>
    </w:p>
    <w:p w14:paraId="2D425018" w14:textId="77777777" w:rsidR="00C80A0C" w:rsidRDefault="005E499E">
      <w:pPr>
        <w:spacing w:after="158" w:line="259" w:lineRule="auto"/>
        <w:ind w:left="0" w:firstLine="0"/>
      </w:pPr>
      <w:r>
        <w:t xml:space="preserve"> </w:t>
      </w:r>
    </w:p>
    <w:p w14:paraId="64076AF4" w14:textId="77777777" w:rsidR="00C80A0C" w:rsidRDefault="005E499E">
      <w:pPr>
        <w:spacing w:after="0" w:line="259" w:lineRule="auto"/>
        <w:ind w:left="0" w:firstLine="0"/>
      </w:pPr>
      <w:r>
        <w:t xml:space="preserve"> </w:t>
      </w:r>
    </w:p>
    <w:p w14:paraId="0B9F025D" w14:textId="77777777" w:rsidR="00C80A0C" w:rsidRDefault="005E499E">
      <w:pPr>
        <w:pStyle w:val="Heading1"/>
        <w:ind w:left="-5"/>
      </w:pPr>
      <w:bookmarkStart w:id="4" w:name="_Toc55829"/>
      <w:r>
        <w:t xml:space="preserve">Prioritising Investment </w:t>
      </w:r>
      <w:bookmarkEnd w:id="4"/>
    </w:p>
    <w:p w14:paraId="6E2A5697" w14:textId="77777777" w:rsidR="00C80A0C" w:rsidRDefault="005E499E">
      <w:pPr>
        <w:spacing w:after="283" w:line="259" w:lineRule="auto"/>
        <w:ind w:left="-5"/>
      </w:pPr>
      <w:r>
        <w:rPr>
          <w:rFonts w:ascii="Calibri" w:eastAsia="Calibri" w:hAnsi="Calibri" w:cs="Calibri"/>
          <w:b/>
          <w:color w:val="000000"/>
        </w:rPr>
        <w:t xml:space="preserve">Do you agree that the four priorities listed on page 4 are the right areas for investment to improve outcomes for children and families? </w:t>
      </w:r>
    </w:p>
    <w:p w14:paraId="6948D085" w14:textId="77777777" w:rsidR="00C80A0C" w:rsidRDefault="005E499E">
      <w:pPr>
        <w:spacing w:after="283" w:line="256" w:lineRule="auto"/>
        <w:ind w:left="-5"/>
      </w:pPr>
      <w:r>
        <w:rPr>
          <w:color w:val="000000"/>
        </w:rPr>
        <w:t xml:space="preserve">Each emphatically supports </w:t>
      </w:r>
      <w:r>
        <w:rPr>
          <w:b/>
          <w:color w:val="000000"/>
        </w:rPr>
        <w:t>investment area 1</w:t>
      </w:r>
      <w:r>
        <w:rPr>
          <w:color w:val="000000"/>
        </w:rPr>
        <w:t xml:space="preserve">: </w:t>
      </w:r>
      <w:r>
        <w:rPr>
          <w:i/>
          <w:color w:val="000000"/>
        </w:rPr>
        <w:t>Invest early to improve family wellbeing, break cycles of disadvantage, and reduce the need for later interventions – like child protection.</w:t>
      </w:r>
      <w:r>
        <w:rPr>
          <w:color w:val="000000"/>
        </w:rPr>
        <w:t xml:space="preserve">  </w:t>
      </w:r>
    </w:p>
    <w:p w14:paraId="29746D49" w14:textId="77777777" w:rsidR="00C80A0C" w:rsidRDefault="005E499E">
      <w:pPr>
        <w:spacing w:after="281"/>
        <w:ind w:left="-5" w:right="9"/>
      </w:pPr>
      <w:r>
        <w:t xml:space="preserve">Each unequivocally supports the roll out of place based, Community led initiatives to lessen interactions with child protection for children. Each recommends within the mainstream domain that intersectionality is deeply considered, from scoping, consultation through to both program logic and theory of change development.  </w:t>
      </w:r>
    </w:p>
    <w:p w14:paraId="729163BB" w14:textId="77777777" w:rsidR="00C80A0C" w:rsidRDefault="005E499E">
      <w:pPr>
        <w:spacing w:after="280" w:line="263" w:lineRule="auto"/>
        <w:ind w:left="-5" w:right="6"/>
      </w:pPr>
      <w:r>
        <w:rPr>
          <w:color w:val="000000"/>
        </w:rPr>
        <w:t>First Nations children continue to be overrepresented at all key stages of involvement in child protection systems. For example, in Victoria; the state is now removing children from their families at a greater rate than during the Stolen Generation</w:t>
      </w:r>
      <w:r>
        <w:rPr>
          <w:color w:val="000000"/>
        </w:rPr>
        <w:t>s ‘era,’ this era is not in our past</w:t>
      </w:r>
      <w:r>
        <w:rPr>
          <w:color w:val="000000"/>
        </w:rPr>
        <w:t xml:space="preserve"> but in our present. In 2022 - 23, Aboriginal and Torres Strait Islander children in Australia were (in comparison to non-First Nations children): </w:t>
      </w:r>
    </w:p>
    <w:p w14:paraId="4EABF172" w14:textId="77777777" w:rsidR="00C80A0C" w:rsidRDefault="005E499E">
      <w:pPr>
        <w:numPr>
          <w:ilvl w:val="0"/>
          <w:numId w:val="4"/>
        </w:numPr>
        <w:spacing w:line="263" w:lineRule="auto"/>
        <w:ind w:right="6" w:hanging="170"/>
      </w:pPr>
      <w:r>
        <w:rPr>
          <w:color w:val="000000"/>
        </w:rPr>
        <w:t xml:space="preserve">5.6 times more likely than non-First </w:t>
      </w:r>
      <w:r>
        <w:rPr>
          <w:color w:val="000000"/>
        </w:rPr>
        <w:t xml:space="preserve">Nations children to be reported to child protection authorities (i.e. </w:t>
      </w:r>
    </w:p>
    <w:p w14:paraId="355A8DA3" w14:textId="77777777" w:rsidR="00C80A0C" w:rsidRDefault="005E499E">
      <w:pPr>
        <w:spacing w:line="263" w:lineRule="auto"/>
        <w:ind w:left="293" w:right="6"/>
      </w:pPr>
      <w:r>
        <w:rPr>
          <w:color w:val="000000"/>
        </w:rPr>
        <w:t xml:space="preserve">subject to a notification). </w:t>
      </w:r>
    </w:p>
    <w:p w14:paraId="6DF87D47" w14:textId="77777777" w:rsidR="00C80A0C" w:rsidRDefault="005E499E">
      <w:pPr>
        <w:numPr>
          <w:ilvl w:val="0"/>
          <w:numId w:val="4"/>
        </w:numPr>
        <w:spacing w:line="263" w:lineRule="auto"/>
        <w:ind w:right="6" w:hanging="170"/>
      </w:pPr>
      <w:r>
        <w:rPr>
          <w:color w:val="000000"/>
        </w:rPr>
        <w:t xml:space="preserve">6.5 times more likely to have notifications investigated.  </w:t>
      </w:r>
    </w:p>
    <w:p w14:paraId="70EB0F8A" w14:textId="77777777" w:rsidR="00C80A0C" w:rsidRDefault="005E499E">
      <w:pPr>
        <w:numPr>
          <w:ilvl w:val="0"/>
          <w:numId w:val="4"/>
        </w:numPr>
        <w:spacing w:line="263" w:lineRule="auto"/>
        <w:ind w:right="6" w:hanging="170"/>
      </w:pPr>
      <w:r>
        <w:rPr>
          <w:color w:val="000000"/>
        </w:rPr>
        <w:t xml:space="preserve">7.2 times more likely to have notifications substantiated. </w:t>
      </w:r>
    </w:p>
    <w:p w14:paraId="04C01FFE" w14:textId="77777777" w:rsidR="00C80A0C" w:rsidRDefault="005E499E">
      <w:pPr>
        <w:numPr>
          <w:ilvl w:val="0"/>
          <w:numId w:val="4"/>
        </w:numPr>
        <w:spacing w:line="263" w:lineRule="auto"/>
        <w:ind w:right="6" w:hanging="170"/>
      </w:pPr>
      <w:r>
        <w:rPr>
          <w:color w:val="000000"/>
        </w:rPr>
        <w:t xml:space="preserve">10.9 times more likely to be subject to a child protection order. </w:t>
      </w:r>
    </w:p>
    <w:p w14:paraId="5997F451" w14:textId="77777777" w:rsidR="00C80A0C" w:rsidRDefault="005E499E">
      <w:pPr>
        <w:numPr>
          <w:ilvl w:val="0"/>
          <w:numId w:val="4"/>
        </w:numPr>
        <w:spacing w:line="263" w:lineRule="auto"/>
        <w:ind w:right="6" w:hanging="170"/>
      </w:pPr>
      <w:r>
        <w:rPr>
          <w:color w:val="000000"/>
        </w:rPr>
        <w:t>10.8 times more likely to be in Out of Home Care (OOHC) and on Third Party Parental Responsibility Orders (TPPROs).</w:t>
      </w:r>
      <w:r>
        <w:rPr>
          <w:color w:val="000000"/>
          <w:vertAlign w:val="superscript"/>
        </w:rPr>
        <w:footnoteReference w:id="23"/>
      </w:r>
      <w:r>
        <w:rPr>
          <w:color w:val="000000"/>
        </w:rPr>
        <w:t xml:space="preserve">  </w:t>
      </w:r>
    </w:p>
    <w:p w14:paraId="3584A53D" w14:textId="77777777" w:rsidR="00C80A0C" w:rsidRDefault="005E499E">
      <w:pPr>
        <w:spacing w:after="12" w:line="259" w:lineRule="auto"/>
        <w:ind w:left="283" w:firstLine="0"/>
      </w:pPr>
      <w:r>
        <w:rPr>
          <w:color w:val="000000"/>
        </w:rPr>
        <w:t xml:space="preserve"> </w:t>
      </w:r>
    </w:p>
    <w:p w14:paraId="3CC3D885" w14:textId="77777777" w:rsidR="00C80A0C" w:rsidRDefault="005E499E">
      <w:pPr>
        <w:spacing w:after="13" w:line="257" w:lineRule="auto"/>
        <w:ind w:left="0" w:firstLine="0"/>
      </w:pPr>
      <w:r>
        <w:rPr>
          <w:b/>
          <w:i/>
          <w:color w:val="000000"/>
        </w:rPr>
        <w:t>“We’re trying to do something strengths-based and child protection is like the eagle hovering in the air and the women are the mouse on the ground trying to help themselves” Karen Glover (</w:t>
      </w:r>
      <w:proofErr w:type="spellStart"/>
      <w:proofErr w:type="gramStart"/>
      <w:r>
        <w:rPr>
          <w:b/>
          <w:i/>
          <w:color w:val="000000"/>
        </w:rPr>
        <w:t>Mein:tnk</w:t>
      </w:r>
      <w:proofErr w:type="spellEnd"/>
      <w:proofErr w:type="gramEnd"/>
      <w:r>
        <w:rPr>
          <w:b/>
          <w:i/>
          <w:color w:val="000000"/>
        </w:rPr>
        <w:t xml:space="preserve"> and </w:t>
      </w:r>
      <w:proofErr w:type="spellStart"/>
      <w:proofErr w:type="gramStart"/>
      <w:r>
        <w:rPr>
          <w:b/>
          <w:i/>
          <w:color w:val="000000"/>
        </w:rPr>
        <w:t>Wotjobaluk</w:t>
      </w:r>
      <w:proofErr w:type="spellEnd"/>
      <w:r>
        <w:rPr>
          <w:b/>
          <w:i/>
          <w:color w:val="000000"/>
        </w:rPr>
        <w:t xml:space="preserve"> )</w:t>
      </w:r>
      <w:proofErr w:type="gramEnd"/>
      <w:r>
        <w:rPr>
          <w:b/>
          <w:i/>
          <w:color w:val="000000"/>
        </w:rPr>
        <w:t xml:space="preserve"> Aboriginal Senior Research Fellow, SAHMRI (Lawrie 2024) </w:t>
      </w:r>
    </w:p>
    <w:p w14:paraId="40564B78" w14:textId="77777777" w:rsidR="00C80A0C" w:rsidRDefault="005E499E">
      <w:pPr>
        <w:spacing w:after="11" w:line="259" w:lineRule="auto"/>
        <w:ind w:left="0" w:firstLine="0"/>
      </w:pPr>
      <w:r>
        <w:rPr>
          <w:b/>
          <w:i/>
          <w:color w:val="000000"/>
        </w:rPr>
        <w:t xml:space="preserve"> </w:t>
      </w:r>
    </w:p>
    <w:p w14:paraId="499A1CAD" w14:textId="77777777" w:rsidR="00C80A0C" w:rsidRDefault="005E499E">
      <w:pPr>
        <w:spacing w:after="312" w:line="263" w:lineRule="auto"/>
        <w:ind w:left="-5" w:right="6"/>
      </w:pPr>
      <w:r>
        <w:rPr>
          <w:color w:val="000000"/>
        </w:rPr>
        <w:t xml:space="preserve">This increase in over </w:t>
      </w:r>
      <w:r>
        <w:rPr>
          <w:color w:val="000000"/>
        </w:rPr>
        <w:t>representation through successive stages of child protection involvement highlights the importance of preventing contact in the first place. It demonstrates that the child protection system is more likely to lead to higher rates of involvement in the lives of First Nations children, young Peoples, and families. The quote above demonstrates the potential strength in working in a place-based approach alongside First Nations Peoples.</w:t>
      </w:r>
      <w:r>
        <w:rPr>
          <w:color w:val="000000"/>
          <w:vertAlign w:val="superscript"/>
        </w:rPr>
        <w:footnoteReference w:id="24"/>
      </w:r>
      <w:r>
        <w:rPr>
          <w:color w:val="000000"/>
        </w:rPr>
        <w:t xml:space="preserve"> </w:t>
      </w:r>
    </w:p>
    <w:p w14:paraId="384AE9C5" w14:textId="77777777" w:rsidR="00C80A0C" w:rsidRDefault="005E499E">
      <w:pPr>
        <w:ind w:left="-5" w:right="9"/>
      </w:pPr>
      <w:r>
        <w:t xml:space="preserve">Over the next 10 years (from 2024 to 2034), the population of First Nations children in OOHC and on </w:t>
      </w:r>
    </w:p>
    <w:p w14:paraId="2CF70B00" w14:textId="77777777" w:rsidR="00C80A0C" w:rsidRDefault="005E499E">
      <w:pPr>
        <w:spacing w:after="311"/>
        <w:ind w:left="-5" w:right="9"/>
      </w:pPr>
      <w:r>
        <w:t xml:space="preserve">TPPROs is expected to increase by 38% based on the current trend, while the population of non-First Nations children is expected to increase by just 5% during the same period. </w:t>
      </w:r>
      <w:r>
        <w:t xml:space="preserve">This is consistent with last year’s </w:t>
      </w:r>
      <w:r>
        <w:t>projection of a 39% increase from 2023 to 2033 for First Nations children, while for non-First Nations children it is a lowered growth projection from 7% to 5%. This means that the population of First Nations children in OOHC and on TPPROs is projected to grow at 7.6 times the rate of non-First Nations children over the next decade.</w:t>
      </w:r>
      <w:r>
        <w:rPr>
          <w:vertAlign w:val="superscript"/>
        </w:rPr>
        <w:t>27</w:t>
      </w:r>
      <w:r>
        <w:t xml:space="preserve">  </w:t>
      </w:r>
    </w:p>
    <w:p w14:paraId="1C6DD013" w14:textId="77777777" w:rsidR="00C80A0C" w:rsidRDefault="005E499E">
      <w:pPr>
        <w:spacing w:after="672" w:line="269" w:lineRule="auto"/>
        <w:ind w:left="0" w:firstLine="0"/>
      </w:pPr>
      <w:r>
        <w:rPr>
          <w:b/>
          <w:i/>
          <w:color w:val="000000"/>
        </w:rPr>
        <w:lastRenderedPageBreak/>
        <w:t xml:space="preserve">"We have major NGOs committed to transitioning out of </w:t>
      </w:r>
      <w:r>
        <w:rPr>
          <w:b/>
          <w:i/>
          <w:color w:val="000000"/>
        </w:rPr>
        <w:t>home care and support services to ACCOs through the work of Allies for Children."</w:t>
      </w:r>
      <w:r>
        <w:rPr>
          <w:b/>
        </w:rPr>
        <w:t xml:space="preserve"> - Catherine Liddle (Arrernte and Luritja) CEO SNAICC</w:t>
      </w:r>
      <w:r>
        <w:rPr>
          <w:b/>
          <w:vertAlign w:val="superscript"/>
        </w:rPr>
        <w:footnoteReference w:id="25"/>
      </w:r>
      <w:r>
        <w:rPr>
          <w:b/>
        </w:rPr>
        <w:t xml:space="preserve"> </w:t>
      </w:r>
    </w:p>
    <w:p w14:paraId="3BD430E9" w14:textId="77777777" w:rsidR="00C80A0C" w:rsidRDefault="005E499E">
      <w:pPr>
        <w:spacing w:after="0" w:line="259" w:lineRule="auto"/>
        <w:ind w:left="0" w:firstLine="0"/>
      </w:pPr>
      <w:r>
        <w:rPr>
          <w:rFonts w:ascii="Calibri" w:eastAsia="Calibri" w:hAnsi="Calibri" w:cs="Calibri"/>
          <w:noProof/>
          <w:color w:val="000000"/>
        </w:rPr>
        <mc:AlternateContent>
          <mc:Choice Requires="wpg">
            <w:drawing>
              <wp:inline distT="0" distB="0" distL="0" distR="0" wp14:anchorId="08A5CF6A" wp14:editId="5C12D2F3">
                <wp:extent cx="1829435" cy="7620"/>
                <wp:effectExtent l="0" t="0" r="0" b="0"/>
                <wp:docPr id="51814" name="Group 51814"/>
                <wp:cNvGraphicFramePr/>
                <a:graphic xmlns:a="http://schemas.openxmlformats.org/drawingml/2006/main">
                  <a:graphicData uri="http://schemas.microsoft.com/office/word/2010/wordprocessingGroup">
                    <wpg:wgp>
                      <wpg:cNvGrpSpPr/>
                      <wpg:grpSpPr>
                        <a:xfrm>
                          <a:off x="0" y="0"/>
                          <a:ext cx="1829435" cy="7620"/>
                          <a:chOff x="0" y="0"/>
                          <a:chExt cx="1829435" cy="7620"/>
                        </a:xfrm>
                      </wpg:grpSpPr>
                      <wps:wsp>
                        <wps:cNvPr id="56186" name="Shape 56186"/>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21414"/>
                          </a:fillRef>
                          <a:effectRef idx="0">
                            <a:scrgbClr r="0" g="0" b="0"/>
                          </a:effectRef>
                          <a:fontRef idx="none"/>
                        </wps:style>
                        <wps:bodyPr/>
                      </wps:wsp>
                    </wpg:wgp>
                  </a:graphicData>
                </a:graphic>
              </wp:inline>
            </w:drawing>
          </mc:Choice>
          <mc:Fallback xmlns:a="http://schemas.openxmlformats.org/drawingml/2006/main">
            <w:pict>
              <v:group id="Group 51814" style="width:144.05pt;height:0.599976pt;mso-position-horizontal-relative:char;mso-position-vertical-relative:line" coordsize="18294,76">
                <v:shape id="Shape 56187" style="position:absolute;width:18294;height:91;left:0;top:0;" coordsize="1829435,9144" path="m0,0l1829435,0l1829435,9144l0,9144l0,0">
                  <v:stroke weight="0pt" endcap="flat" joinstyle="miter" miterlimit="10" on="false" color="#000000" opacity="0"/>
                  <v:fill on="true" color="#021414"/>
                </v:shape>
              </v:group>
            </w:pict>
          </mc:Fallback>
        </mc:AlternateContent>
      </w:r>
      <w:r>
        <w:t xml:space="preserve"> </w:t>
      </w:r>
    </w:p>
    <w:p w14:paraId="56652379" w14:textId="77777777" w:rsidR="00C80A0C" w:rsidRDefault="005E499E">
      <w:pPr>
        <w:spacing w:after="166" w:line="256" w:lineRule="auto"/>
        <w:ind w:left="-5"/>
      </w:pPr>
      <w:r>
        <w:rPr>
          <w:color w:val="000000"/>
        </w:rPr>
        <w:t>Each also deeply supports</w:t>
      </w:r>
      <w:r>
        <w:t xml:space="preserve"> </w:t>
      </w:r>
      <w:r>
        <w:rPr>
          <w:b/>
        </w:rPr>
        <w:t xml:space="preserve">investment area 2 and 3: </w:t>
      </w:r>
      <w:r>
        <w:rPr>
          <w:i/>
        </w:rPr>
        <w:t xml:space="preserve">Prioritise connected, co-located, and integrated services that work together to meet family needs and ensure services are informed by, and respond to, community needs. </w:t>
      </w:r>
      <w:r>
        <w:rPr>
          <w:b/>
        </w:rPr>
        <w:t xml:space="preserve"> </w:t>
      </w:r>
    </w:p>
    <w:p w14:paraId="010EC814" w14:textId="77777777" w:rsidR="00C80A0C" w:rsidRDefault="005E499E">
      <w:pPr>
        <w:spacing w:after="164"/>
        <w:ind w:left="-5" w:right="9"/>
      </w:pPr>
      <w:r>
        <w:t>Families in Australia are navigating increasingly complex challenges - housing insecurity, mental health concerns, family violence, systemic racism, and other oppressive conditions, within a context shaped by colonial legacies and structural inequities. These intersecting issues need service systems that are connected, co located, and integrated, delivering holistic, culturally responsive, and accessible supports. The Departments</w:t>
      </w:r>
      <w:r>
        <w:t xml:space="preserve">’ reform agenda, proposing a unified national program structured around universal access, early </w:t>
      </w:r>
      <w:r>
        <w:t xml:space="preserve">intervention, and intensive family supports, offers a pivotal opportunity to embed integration as a core principle of service delivery and is highly supported by Each.  </w:t>
      </w:r>
    </w:p>
    <w:p w14:paraId="2F1E690E" w14:textId="77777777" w:rsidR="00C80A0C" w:rsidRDefault="005E499E">
      <w:pPr>
        <w:spacing w:after="161"/>
        <w:ind w:left="-5" w:right="9"/>
      </w:pPr>
      <w:r>
        <w:t>Co located teams combine expertise from health, education, social work, and mental health (as an example), enabling comprehensive assessments and interventions. This approach ensures that physical, emotional, and social needs are addressed simultaneously, reducing duplication and improving efficiency. Studies show that integrated models lead to better informed decision making, continuity of care and stronger outcomes within child, youth, and family wellbeing domains.</w:t>
      </w:r>
      <w:r>
        <w:rPr>
          <w:vertAlign w:val="superscript"/>
        </w:rPr>
        <w:footnoteReference w:id="26"/>
      </w:r>
      <w:r>
        <w:t xml:space="preserve"> Shared spaces facilitate early identification of developmental delays, family violence, and mental health concerns. Nordic family centres, for instance, emphasise universal and targeted services, enabling timely support before issues escalate.</w:t>
      </w:r>
      <w:r>
        <w:rPr>
          <w:vertAlign w:val="superscript"/>
        </w:rPr>
        <w:footnoteReference w:id="27"/>
      </w:r>
      <w:r>
        <w:t xml:space="preserve">  Co-location encourages informal communication and trust among professionals, strengthening multidisciplinary teamwork and practice wisdom accrual.  </w:t>
      </w:r>
    </w:p>
    <w:p w14:paraId="3CB103FF" w14:textId="77777777" w:rsidR="00C80A0C" w:rsidRDefault="005E499E">
      <w:pPr>
        <w:spacing w:after="166" w:line="256" w:lineRule="auto"/>
        <w:ind w:left="-5"/>
      </w:pPr>
      <w:r>
        <w:rPr>
          <w:color w:val="000000"/>
        </w:rPr>
        <w:t xml:space="preserve">Each also deeply celebrates </w:t>
      </w:r>
      <w:r>
        <w:rPr>
          <w:b/>
        </w:rPr>
        <w:t xml:space="preserve">investment area 4: </w:t>
      </w:r>
      <w:r>
        <w:rPr>
          <w:i/>
        </w:rPr>
        <w:t xml:space="preserve">Improve outcomes for First Nations children and families by increasing the number of Aboriginal and Torres Strait Islander community-controlled organisations (also called ACCOs) delivering supports in locations with high First Nations populations.  </w:t>
      </w:r>
    </w:p>
    <w:p w14:paraId="6DF31EAB" w14:textId="77777777" w:rsidR="00C80A0C" w:rsidRDefault="005E499E">
      <w:pPr>
        <w:spacing w:after="179"/>
        <w:ind w:left="-5" w:right="9"/>
      </w:pPr>
      <w:r>
        <w:t xml:space="preserve">Each will amplify the voices of First Nations Peoples and Community led organisations by authentically working in partnership alongside those who already have the solutions; enacting our ethics in remaining culturally humble. Each calls upon the Department to adopt all recommendations from the </w:t>
      </w:r>
      <w:hyperlink r:id="rId67">
        <w:r>
          <w:rPr>
            <w:u w:val="single" w:color="021414"/>
          </w:rPr>
          <w:t>Family Matters</w:t>
        </w:r>
      </w:hyperlink>
      <w:hyperlink r:id="rId68">
        <w:r>
          <w:t xml:space="preserve"> </w:t>
        </w:r>
      </w:hyperlink>
      <w:hyperlink r:id="rId69">
        <w:r>
          <w:rPr>
            <w:u w:val="single" w:color="021414"/>
          </w:rPr>
          <w:t>2024 Report</w:t>
        </w:r>
      </w:hyperlink>
      <w:hyperlink r:id="rId70">
        <w:r>
          <w:t xml:space="preserve"> </w:t>
        </w:r>
      </w:hyperlink>
      <w:r>
        <w:t>inclusive of tailoring increased funding to meet need as reflected in the 2024 Report Card of the same, outlining areas for improvement in each state and territory comprising Australia.</w:t>
      </w:r>
      <w:r>
        <w:rPr>
          <w:vertAlign w:val="superscript"/>
        </w:rPr>
        <w:footnoteReference w:id="28"/>
      </w:r>
      <w:r>
        <w:t xml:space="preserve">  </w:t>
      </w:r>
    </w:p>
    <w:p w14:paraId="22EC8427" w14:textId="77777777" w:rsidR="00C80A0C" w:rsidRDefault="005E499E">
      <w:pPr>
        <w:ind w:left="-5" w:right="9"/>
      </w:pPr>
      <w:r>
        <w:t xml:space="preserve">Each, alongside the resounding majority of mainstream not for profits (an example being the recent </w:t>
      </w:r>
      <w:hyperlink r:id="rId71">
        <w:r>
          <w:rPr>
            <w:u w:val="single" w:color="021414"/>
          </w:rPr>
          <w:t>Local</w:t>
        </w:r>
      </w:hyperlink>
      <w:hyperlink r:id="rId72">
        <w:r>
          <w:t xml:space="preserve"> </w:t>
        </w:r>
      </w:hyperlink>
    </w:p>
    <w:p w14:paraId="669693B9" w14:textId="77777777" w:rsidR="00C80A0C" w:rsidRDefault="005E499E">
      <w:pPr>
        <w:spacing w:after="308"/>
        <w:ind w:left="-5" w:right="9"/>
      </w:pPr>
      <w:hyperlink r:id="rId73">
        <w:r>
          <w:rPr>
            <w:u w:val="single" w:color="021414"/>
          </w:rPr>
          <w:t>Community Services Association Statement</w:t>
        </w:r>
      </w:hyperlink>
      <w:hyperlink r:id="rId74">
        <w:r>
          <w:t>)</w:t>
        </w:r>
      </w:hyperlink>
      <w:r>
        <w:t xml:space="preserve"> also call for a transfer of funding to </w:t>
      </w:r>
      <w:r>
        <w:t xml:space="preserve">ACCO’s and Aboriginal </w:t>
      </w:r>
      <w:r>
        <w:t>Community Controlled Health Organisations (ACCHOs) in order to properly resource and enable the disruption of current and profound harms against First Nations Communities and families due to the increasing over representation of First Nations children, young Peoples and families impacted by statutory bodies such as child protection, police, and the criminal legal system.  Community controlled and led initiatives are profoundly more effective as d</w:t>
      </w:r>
      <w:r>
        <w:t xml:space="preserve">emonstrated by the important work of </w:t>
      </w:r>
      <w:r>
        <w:rPr>
          <w:b/>
        </w:rPr>
        <w:t>KWY Aboriginal Corporation</w:t>
      </w:r>
      <w:r>
        <w:t xml:space="preserve"> within the </w:t>
      </w:r>
      <w:r>
        <w:rPr>
          <w:b/>
        </w:rPr>
        <w:t>case study</w:t>
      </w:r>
      <w:r>
        <w:t xml:space="preserve"> included as </w:t>
      </w:r>
      <w:r>
        <w:rPr>
          <w:b/>
        </w:rPr>
        <w:t>Appendix One</w:t>
      </w:r>
      <w:r>
        <w:t>: (</w:t>
      </w:r>
      <w:r>
        <w:rPr>
          <w:color w:val="627AFF"/>
          <w:u w:val="single" w:color="627AFF"/>
        </w:rPr>
        <w:t>Appendices</w:t>
      </w:r>
      <w:r>
        <w:t xml:space="preserve">) </w:t>
      </w:r>
    </w:p>
    <w:p w14:paraId="39AE0BF4" w14:textId="77777777" w:rsidR="00C80A0C" w:rsidRDefault="005E499E">
      <w:pPr>
        <w:spacing w:after="244" w:line="259" w:lineRule="auto"/>
        <w:ind w:left="-5"/>
      </w:pPr>
      <w:r>
        <w:rPr>
          <w:rFonts w:ascii="Calibri" w:eastAsia="Calibri" w:hAnsi="Calibri" w:cs="Calibri"/>
          <w:b/>
          <w:color w:val="000000"/>
        </w:rPr>
        <w:lastRenderedPageBreak/>
        <w:t xml:space="preserve">Are there any other priorities or issues you think the department should be focussing on? </w:t>
      </w:r>
    </w:p>
    <w:p w14:paraId="650D711F" w14:textId="77777777" w:rsidR="00C80A0C" w:rsidRDefault="005E499E">
      <w:pPr>
        <w:spacing w:after="274"/>
        <w:ind w:left="-5" w:right="9"/>
      </w:pPr>
      <w:r>
        <w:t xml:space="preserve">While the priorities are appropriate, there is room to ensure they: </w:t>
      </w:r>
    </w:p>
    <w:p w14:paraId="4FB9982A" w14:textId="77777777" w:rsidR="00C80A0C" w:rsidRDefault="005E499E">
      <w:pPr>
        <w:numPr>
          <w:ilvl w:val="0"/>
          <w:numId w:val="5"/>
        </w:numPr>
        <w:ind w:right="9" w:hanging="360"/>
      </w:pPr>
      <w:r>
        <w:t xml:space="preserve">remain flexible to respond to emerging community issues (e.g. mental health, AOD, housing </w:t>
      </w:r>
    </w:p>
    <w:p w14:paraId="1E0F5E4C" w14:textId="77777777" w:rsidR="00C80A0C" w:rsidRDefault="005E499E">
      <w:pPr>
        <w:spacing w:after="34"/>
        <w:ind w:left="730" w:right="9"/>
      </w:pPr>
      <w:r>
        <w:t>instability</w:t>
      </w:r>
      <w:proofErr w:type="gramStart"/>
      <w:r>
        <w:t>);</w:t>
      </w:r>
      <w:proofErr w:type="gramEnd"/>
      <w:r>
        <w:t xml:space="preserve"> </w:t>
      </w:r>
    </w:p>
    <w:p w14:paraId="4EA157AF" w14:textId="77777777" w:rsidR="00C80A0C" w:rsidRDefault="005E499E">
      <w:pPr>
        <w:numPr>
          <w:ilvl w:val="0"/>
          <w:numId w:val="5"/>
        </w:numPr>
        <w:ind w:right="9" w:hanging="360"/>
      </w:pPr>
      <w:r>
        <w:t xml:space="preserve">embed cultural safety, community voice, and lived experience more </w:t>
      </w:r>
      <w:proofErr w:type="gramStart"/>
      <w:r>
        <w:t>explicitly;</w:t>
      </w:r>
      <w:proofErr w:type="gramEnd"/>
      <w:r>
        <w:t xml:space="preserve"> </w:t>
      </w:r>
    </w:p>
    <w:p w14:paraId="1EADB8C1" w14:textId="77777777" w:rsidR="00C80A0C" w:rsidRDefault="005E499E">
      <w:pPr>
        <w:spacing w:after="0" w:line="259" w:lineRule="auto"/>
        <w:ind w:left="0" w:firstLine="0"/>
      </w:pPr>
      <w:r>
        <w:rPr>
          <w:rFonts w:ascii="Calibri" w:eastAsia="Calibri" w:hAnsi="Calibri" w:cs="Calibri"/>
          <w:noProof/>
          <w:color w:val="000000"/>
        </w:rPr>
        <mc:AlternateContent>
          <mc:Choice Requires="wpg">
            <w:drawing>
              <wp:inline distT="0" distB="0" distL="0" distR="0" wp14:anchorId="59338C04" wp14:editId="298F6A31">
                <wp:extent cx="1829435" cy="7620"/>
                <wp:effectExtent l="0" t="0" r="0" b="0"/>
                <wp:docPr id="49688" name="Group 49688"/>
                <wp:cNvGraphicFramePr/>
                <a:graphic xmlns:a="http://schemas.openxmlformats.org/drawingml/2006/main">
                  <a:graphicData uri="http://schemas.microsoft.com/office/word/2010/wordprocessingGroup">
                    <wpg:wgp>
                      <wpg:cNvGrpSpPr/>
                      <wpg:grpSpPr>
                        <a:xfrm>
                          <a:off x="0" y="0"/>
                          <a:ext cx="1829435" cy="7620"/>
                          <a:chOff x="0" y="0"/>
                          <a:chExt cx="1829435" cy="7620"/>
                        </a:xfrm>
                      </wpg:grpSpPr>
                      <wps:wsp>
                        <wps:cNvPr id="56188" name="Shape 56188"/>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21414"/>
                          </a:fillRef>
                          <a:effectRef idx="0">
                            <a:scrgbClr r="0" g="0" b="0"/>
                          </a:effectRef>
                          <a:fontRef idx="none"/>
                        </wps:style>
                        <wps:bodyPr/>
                      </wps:wsp>
                    </wpg:wgp>
                  </a:graphicData>
                </a:graphic>
              </wp:inline>
            </w:drawing>
          </mc:Choice>
          <mc:Fallback xmlns:a="http://schemas.openxmlformats.org/drawingml/2006/main">
            <w:pict>
              <v:group id="Group 49688" style="width:144.05pt;height:0.600037pt;mso-position-horizontal-relative:char;mso-position-vertical-relative:line" coordsize="18294,76">
                <v:shape id="Shape 56189" style="position:absolute;width:18294;height:91;left:0;top:0;" coordsize="1829435,9144" path="m0,0l1829435,0l1829435,9144l0,9144l0,0">
                  <v:stroke weight="0pt" endcap="flat" joinstyle="miter" miterlimit="10" on="false" color="#000000" opacity="0"/>
                  <v:fill on="true" color="#021414"/>
                </v:shape>
              </v:group>
            </w:pict>
          </mc:Fallback>
        </mc:AlternateContent>
      </w:r>
      <w:r>
        <w:t xml:space="preserve"> </w:t>
      </w:r>
    </w:p>
    <w:p w14:paraId="09959856" w14:textId="77777777" w:rsidR="00C80A0C" w:rsidRDefault="005E499E">
      <w:pPr>
        <w:numPr>
          <w:ilvl w:val="0"/>
          <w:numId w:val="5"/>
        </w:numPr>
        <w:spacing w:after="202"/>
        <w:ind w:right="9" w:hanging="360"/>
      </w:pPr>
      <w:r>
        <w:t xml:space="preserve">emphasise workforce sustainability, which directly affects our ability to deliver quality outcomes. </w:t>
      </w:r>
    </w:p>
    <w:p w14:paraId="4B01D503" w14:textId="77777777" w:rsidR="00C80A0C" w:rsidRDefault="005E499E">
      <w:pPr>
        <w:pStyle w:val="Heading2"/>
        <w:spacing w:after="160"/>
        <w:ind w:left="0" w:firstLine="0"/>
      </w:pPr>
      <w:r>
        <w:rPr>
          <w:color w:val="021414"/>
        </w:rPr>
        <w:t xml:space="preserve">Early intervention and prevention </w:t>
      </w:r>
    </w:p>
    <w:p w14:paraId="2055AFA8" w14:textId="77777777" w:rsidR="00C80A0C" w:rsidRDefault="005E499E">
      <w:pPr>
        <w:spacing w:after="557"/>
        <w:ind w:left="-5" w:right="9"/>
      </w:pPr>
      <w:r>
        <w:t>Investment in programs that identify and address challenges early</w:t>
      </w:r>
      <w:r>
        <w:t>—</w:t>
      </w:r>
      <w:r>
        <w:t>before they escalate</w:t>
      </w:r>
      <w:r>
        <w:t>—</w:t>
      </w:r>
      <w:r>
        <w:t xml:space="preserve">can reduce </w:t>
      </w:r>
      <w:proofErr w:type="spellStart"/>
      <w:r>
        <w:t>longterm</w:t>
      </w:r>
      <w:proofErr w:type="spellEnd"/>
      <w:r>
        <w:t xml:space="preserve"> risks for children and families. This includes parenting support, school readiness programs, and early risks screening. </w:t>
      </w:r>
    </w:p>
    <w:p w14:paraId="12407229" w14:textId="77777777" w:rsidR="00C80A0C" w:rsidRDefault="005E499E">
      <w:pPr>
        <w:pStyle w:val="Heading1"/>
        <w:ind w:left="-5"/>
      </w:pPr>
      <w:bookmarkStart w:id="5" w:name="_Toc55830"/>
      <w:r>
        <w:t xml:space="preserve">Improving Family Wellbeing </w:t>
      </w:r>
      <w:bookmarkEnd w:id="5"/>
    </w:p>
    <w:p w14:paraId="4D68563A" w14:textId="77777777" w:rsidR="00C80A0C" w:rsidRDefault="005E499E">
      <w:pPr>
        <w:spacing w:after="283" w:line="259" w:lineRule="auto"/>
        <w:ind w:left="-5"/>
      </w:pPr>
      <w:r>
        <w:rPr>
          <w:rFonts w:ascii="Calibri" w:eastAsia="Calibri" w:hAnsi="Calibri" w:cs="Calibri"/>
          <w:b/>
          <w:color w:val="000000"/>
        </w:rPr>
        <w:t xml:space="preserve">Do the proposed focus areas – like supporting families at risk of child protection involvement and young parents – match the needs or priorities of your service?   </w:t>
      </w:r>
    </w:p>
    <w:p w14:paraId="36C0C5EA" w14:textId="77777777" w:rsidR="00C80A0C" w:rsidRDefault="005E499E">
      <w:pPr>
        <w:spacing w:after="194" w:line="263" w:lineRule="auto"/>
        <w:ind w:left="-5" w:right="6"/>
      </w:pPr>
      <w:r>
        <w:rPr>
          <w:color w:val="000000"/>
        </w:rPr>
        <w:t xml:space="preserve">Each supports an approach that: </w:t>
      </w:r>
    </w:p>
    <w:p w14:paraId="1C75697E" w14:textId="77777777" w:rsidR="00C80A0C" w:rsidRDefault="005E499E">
      <w:pPr>
        <w:numPr>
          <w:ilvl w:val="0"/>
          <w:numId w:val="6"/>
        </w:numPr>
        <w:spacing w:after="29" w:line="263" w:lineRule="auto"/>
        <w:ind w:right="6" w:hanging="360"/>
      </w:pPr>
      <w:r>
        <w:rPr>
          <w:color w:val="000000"/>
        </w:rPr>
        <w:t xml:space="preserve">Embeds gender equity and intersectionality into child protection legislation and family violence frameworks. </w:t>
      </w:r>
    </w:p>
    <w:p w14:paraId="5F5CC530" w14:textId="77777777" w:rsidR="00C80A0C" w:rsidRDefault="005E499E">
      <w:pPr>
        <w:numPr>
          <w:ilvl w:val="0"/>
          <w:numId w:val="6"/>
        </w:numPr>
        <w:spacing w:after="30" w:line="263" w:lineRule="auto"/>
        <w:ind w:right="6" w:hanging="360"/>
      </w:pPr>
      <w:r>
        <w:rPr>
          <w:color w:val="000000"/>
        </w:rPr>
        <w:t xml:space="preserve">Shift from compliance driven models to trauma and violence informed approaches that prioritise relational engagement. </w:t>
      </w:r>
    </w:p>
    <w:p w14:paraId="0505A80B" w14:textId="77777777" w:rsidR="00C80A0C" w:rsidRDefault="005E499E">
      <w:pPr>
        <w:numPr>
          <w:ilvl w:val="0"/>
          <w:numId w:val="6"/>
        </w:numPr>
        <w:spacing w:after="29" w:line="263" w:lineRule="auto"/>
        <w:ind w:right="6" w:hanging="360"/>
      </w:pPr>
      <w:r>
        <w:rPr>
          <w:color w:val="000000"/>
        </w:rPr>
        <w:t xml:space="preserve">Develops co designed, culturally responsive </w:t>
      </w:r>
      <w:r>
        <w:rPr>
          <w:color w:val="000000"/>
        </w:rPr>
        <w:t xml:space="preserve">service models that bridge child protection, family violence, and family law sectors and which can prevent families entering the child protection system. </w:t>
      </w:r>
    </w:p>
    <w:p w14:paraId="450C6D29" w14:textId="77777777" w:rsidR="00C80A0C" w:rsidRDefault="005E499E">
      <w:pPr>
        <w:numPr>
          <w:ilvl w:val="0"/>
          <w:numId w:val="6"/>
        </w:numPr>
        <w:spacing w:after="29" w:line="263" w:lineRule="auto"/>
        <w:ind w:right="6" w:hanging="360"/>
      </w:pPr>
      <w:r>
        <w:rPr>
          <w:color w:val="000000"/>
        </w:rPr>
        <w:t xml:space="preserve">Allocate resources to upstream strategies addressing structural drivers of violence, not just downstream interventions. </w:t>
      </w:r>
    </w:p>
    <w:p w14:paraId="08C49C75" w14:textId="77777777" w:rsidR="00C80A0C" w:rsidRDefault="005E499E">
      <w:pPr>
        <w:numPr>
          <w:ilvl w:val="0"/>
          <w:numId w:val="6"/>
        </w:numPr>
        <w:spacing w:after="160" w:line="263" w:lineRule="auto"/>
        <w:ind w:right="6" w:hanging="360"/>
      </w:pPr>
      <w:r>
        <w:rPr>
          <w:color w:val="000000"/>
        </w:rPr>
        <w:t xml:space="preserve">Equip practitioners with training in intersectional, collaborative practice and provide systemic support for implementation. </w:t>
      </w:r>
    </w:p>
    <w:p w14:paraId="79B2F0D1" w14:textId="77777777" w:rsidR="00C80A0C" w:rsidRDefault="005E499E">
      <w:pPr>
        <w:spacing w:after="157" w:line="263" w:lineRule="auto"/>
        <w:ind w:left="-5" w:right="6"/>
      </w:pPr>
      <w:r>
        <w:rPr>
          <w:color w:val="000000"/>
        </w:rPr>
        <w:t xml:space="preserve">To further illuminate what best practice systems integration can achieve, decentring child protection responses and looking to both the local and international evidence base, in support of this approach: </w:t>
      </w:r>
    </w:p>
    <w:p w14:paraId="60CD8A98" w14:textId="77777777" w:rsidR="00C80A0C" w:rsidRDefault="005E499E">
      <w:pPr>
        <w:spacing w:after="184" w:line="263" w:lineRule="auto"/>
        <w:ind w:left="-5" w:right="6"/>
      </w:pPr>
      <w:r>
        <w:rPr>
          <w:color w:val="000000"/>
        </w:rPr>
        <w:t xml:space="preserve"> Comparative Table of Integrated Domestic and Family Violence Intervention Models </w:t>
      </w:r>
      <w:r>
        <w:rPr>
          <w:b/>
          <w:color w:val="000000"/>
        </w:rPr>
        <w:t>Appendix Two</w:t>
      </w:r>
      <w:r>
        <w:rPr>
          <w:color w:val="000000"/>
        </w:rPr>
        <w:t xml:space="preserve"> </w:t>
      </w:r>
      <w:r>
        <w:t>(</w:t>
      </w:r>
      <w:r>
        <w:rPr>
          <w:color w:val="627AFF"/>
          <w:u w:val="single" w:color="627AFF"/>
        </w:rPr>
        <w:t>Appendices</w:t>
      </w:r>
      <w:r>
        <w:t>)</w:t>
      </w:r>
      <w:r>
        <w:rPr>
          <w:color w:val="000000"/>
        </w:rPr>
        <w:t xml:space="preserve"> </w:t>
      </w:r>
    </w:p>
    <w:p w14:paraId="484ACF0C" w14:textId="77777777" w:rsidR="00C80A0C" w:rsidRDefault="005E499E">
      <w:pPr>
        <w:spacing w:after="159" w:line="259" w:lineRule="auto"/>
        <w:ind w:left="-5"/>
      </w:pPr>
      <w:r>
        <w:rPr>
          <w:rFonts w:ascii="Calibri" w:eastAsia="Calibri" w:hAnsi="Calibri" w:cs="Calibri"/>
          <w:b/>
          <w:color w:val="000000"/>
        </w:rPr>
        <w:t xml:space="preserve">Are there other groups in your community, or different approaches, that you think the department should consider to better support family wellbeing? </w:t>
      </w:r>
    </w:p>
    <w:p w14:paraId="78F5D36D" w14:textId="77777777" w:rsidR="00C80A0C" w:rsidRDefault="005E499E">
      <w:pPr>
        <w:spacing w:after="162" w:line="263" w:lineRule="auto"/>
        <w:ind w:left="-5" w:right="6"/>
      </w:pPr>
      <w:r>
        <w:rPr>
          <w:color w:val="000000"/>
        </w:rPr>
        <w:t>Each encourages the Department to further support culturally aware and responsive practice within mainstream organisations by furthering the visibility and implementation of the Keeping our Kids Safe: Cultural Safety and the National Principles for Child Safe Organisations</w:t>
      </w:r>
      <w:r>
        <w:rPr>
          <w:color w:val="000000"/>
          <w:vertAlign w:val="superscript"/>
        </w:rPr>
        <w:footnoteReference w:id="29"/>
      </w:r>
      <w:r>
        <w:rPr>
          <w:color w:val="000000"/>
        </w:rPr>
        <w:t>, alongside the National Principles for Child Safe Organisations</w:t>
      </w:r>
      <w:r>
        <w:rPr>
          <w:color w:val="000000"/>
          <w:vertAlign w:val="superscript"/>
        </w:rPr>
        <w:footnoteReference w:id="30"/>
      </w:r>
      <w:r>
        <w:rPr>
          <w:color w:val="000000"/>
        </w:rPr>
        <w:t xml:space="preserve">. Examples of how the Department can support: </w:t>
      </w:r>
    </w:p>
    <w:p w14:paraId="09BCF529" w14:textId="77777777" w:rsidR="00C80A0C" w:rsidRDefault="005E499E">
      <w:pPr>
        <w:numPr>
          <w:ilvl w:val="0"/>
          <w:numId w:val="6"/>
        </w:numPr>
        <w:spacing w:line="263" w:lineRule="auto"/>
        <w:ind w:right="6" w:hanging="360"/>
      </w:pPr>
      <w:r>
        <w:rPr>
          <w:color w:val="000000"/>
        </w:rPr>
        <w:t xml:space="preserve">Embed funding into funding agreements for each organisation that will fall under the proposed reform agenda for initial cultural awareness and responsivity training as relevant to their specific location (i.e. </w:t>
      </w:r>
    </w:p>
    <w:p w14:paraId="3115E369" w14:textId="77777777" w:rsidR="00C80A0C" w:rsidRDefault="005E499E">
      <w:pPr>
        <w:spacing w:after="30" w:line="263" w:lineRule="auto"/>
        <w:ind w:left="730" w:right="6"/>
      </w:pPr>
      <w:r>
        <w:rPr>
          <w:color w:val="000000"/>
        </w:rPr>
        <w:lastRenderedPageBreak/>
        <w:t xml:space="preserve">the Country/s the organisation operates on), with intermediate and advanced training offerings inclusive of annual refresher training. </w:t>
      </w:r>
    </w:p>
    <w:p w14:paraId="2FC211DB" w14:textId="77777777" w:rsidR="00C80A0C" w:rsidRDefault="005E499E">
      <w:pPr>
        <w:numPr>
          <w:ilvl w:val="0"/>
          <w:numId w:val="6"/>
        </w:numPr>
        <w:spacing w:after="1103" w:line="263" w:lineRule="auto"/>
        <w:ind w:right="6" w:hanging="360"/>
      </w:pPr>
      <w:r>
        <w:rPr>
          <w:color w:val="000000"/>
        </w:rPr>
        <w:t xml:space="preserve">Embed funding into funding agreements for organisations to establish and maintain relationships alongside Communities and Elders whereby honorarium payments to Elders are included, inclusive of a portion of FTE for an internal designated or identified role to provide further oversight and support. </w:t>
      </w:r>
    </w:p>
    <w:p w14:paraId="4333C8D0" w14:textId="77777777" w:rsidR="00C80A0C" w:rsidRDefault="005E499E">
      <w:pPr>
        <w:spacing w:after="0" w:line="259" w:lineRule="auto"/>
        <w:ind w:left="0" w:firstLine="0"/>
      </w:pPr>
      <w:r>
        <w:rPr>
          <w:rFonts w:ascii="Calibri" w:eastAsia="Calibri" w:hAnsi="Calibri" w:cs="Calibri"/>
          <w:noProof/>
          <w:color w:val="000000"/>
        </w:rPr>
        <mc:AlternateContent>
          <mc:Choice Requires="wpg">
            <w:drawing>
              <wp:inline distT="0" distB="0" distL="0" distR="0" wp14:anchorId="7DE9B37D" wp14:editId="0997AC83">
                <wp:extent cx="1829435" cy="7620"/>
                <wp:effectExtent l="0" t="0" r="0" b="0"/>
                <wp:docPr id="48970" name="Group 48970"/>
                <wp:cNvGraphicFramePr/>
                <a:graphic xmlns:a="http://schemas.openxmlformats.org/drawingml/2006/main">
                  <a:graphicData uri="http://schemas.microsoft.com/office/word/2010/wordprocessingGroup">
                    <wpg:wgp>
                      <wpg:cNvGrpSpPr/>
                      <wpg:grpSpPr>
                        <a:xfrm>
                          <a:off x="0" y="0"/>
                          <a:ext cx="1829435" cy="7620"/>
                          <a:chOff x="0" y="0"/>
                          <a:chExt cx="1829435" cy="7620"/>
                        </a:xfrm>
                      </wpg:grpSpPr>
                      <wps:wsp>
                        <wps:cNvPr id="56190" name="Shape 56190"/>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21414"/>
                          </a:fillRef>
                          <a:effectRef idx="0">
                            <a:scrgbClr r="0" g="0" b="0"/>
                          </a:effectRef>
                          <a:fontRef idx="none"/>
                        </wps:style>
                        <wps:bodyPr/>
                      </wps:wsp>
                    </wpg:wgp>
                  </a:graphicData>
                </a:graphic>
              </wp:inline>
            </w:drawing>
          </mc:Choice>
          <mc:Fallback xmlns:a="http://schemas.openxmlformats.org/drawingml/2006/main">
            <w:pict>
              <v:group id="Group 48970" style="width:144.05pt;height:0.599976pt;mso-position-horizontal-relative:char;mso-position-vertical-relative:line" coordsize="18294,76">
                <v:shape id="Shape 56191" style="position:absolute;width:18294;height:91;left:0;top:0;" coordsize="1829435,9144" path="m0,0l1829435,0l1829435,9144l0,9144l0,0">
                  <v:stroke weight="0pt" endcap="flat" joinstyle="miter" miterlimit="10" on="false" color="#000000" opacity="0"/>
                  <v:fill on="true" color="#021414"/>
                </v:shape>
              </v:group>
            </w:pict>
          </mc:Fallback>
        </mc:AlternateContent>
      </w:r>
      <w:r>
        <w:t xml:space="preserve"> </w:t>
      </w:r>
    </w:p>
    <w:p w14:paraId="34ABADA1" w14:textId="77777777" w:rsidR="00C80A0C" w:rsidRDefault="005E499E">
      <w:pPr>
        <w:spacing w:after="119"/>
        <w:ind w:left="-5" w:right="9"/>
      </w:pPr>
      <w:r>
        <w:rPr>
          <w:color w:val="000000"/>
        </w:rPr>
        <w:t xml:space="preserve">Similarly, Each recognises </w:t>
      </w:r>
      <w:r>
        <w:t xml:space="preserve">the Department’s </w:t>
      </w:r>
      <w:r>
        <w:t xml:space="preserve">continued emphatic support of the About our Ways - Strong Ways - </w:t>
      </w:r>
      <w:r>
        <w:t>Our Voices, National Aboriginal and Torres Strait Islander Family Safety Plan</w:t>
      </w:r>
      <w:r>
        <w:rPr>
          <w:vertAlign w:val="superscript"/>
        </w:rPr>
        <w:footnoteReference w:id="31"/>
      </w:r>
      <w:r>
        <w:t xml:space="preserve"> upon its anticipated release in 2026. </w:t>
      </w:r>
    </w:p>
    <w:p w14:paraId="3930B9B4" w14:textId="77777777" w:rsidR="00C80A0C" w:rsidRDefault="005E499E">
      <w:pPr>
        <w:spacing w:after="132"/>
        <w:ind w:left="-5" w:right="9"/>
      </w:pPr>
      <w:r>
        <w:t>As the Department is aware, on 7 August 2025 the Domestic, Family and Sexual Violence Commission convened a National Roundtable</w:t>
      </w:r>
      <w:r>
        <w:rPr>
          <w:vertAlign w:val="superscript"/>
        </w:rPr>
        <w:footnoteReference w:id="32"/>
      </w:r>
      <w:r>
        <w:t xml:space="preserve"> on preventing and responding to domestic, family, and sexual violence in multicultural Communities culminating in a compelling </w:t>
      </w:r>
      <w:hyperlink r:id="rId75">
        <w:r>
          <w:rPr>
            <w:color w:val="627AFF"/>
            <w:u w:val="single" w:color="627AFF"/>
          </w:rPr>
          <w:t>Summary Report</w:t>
        </w:r>
      </w:hyperlink>
      <w:hyperlink r:id="rId76">
        <w:r>
          <w:t xml:space="preserve"> </w:t>
        </w:r>
      </w:hyperlink>
      <w:r>
        <w:t xml:space="preserve">outlining the key strategies and actions required to advance sector collaboration and understandings in this important space. Each encourages the Department to fund all recommendations from the Summary Report. </w:t>
      </w:r>
      <w:r>
        <w:rPr>
          <w:color w:val="000000"/>
        </w:rPr>
        <w:t xml:space="preserve">Examples of how the Department can support: </w:t>
      </w:r>
    </w:p>
    <w:p w14:paraId="1D50FB6B" w14:textId="77777777" w:rsidR="00C80A0C" w:rsidRDefault="005E499E">
      <w:pPr>
        <w:numPr>
          <w:ilvl w:val="0"/>
          <w:numId w:val="6"/>
        </w:numPr>
        <w:spacing w:after="28" w:line="265" w:lineRule="auto"/>
        <w:ind w:right="6" w:hanging="360"/>
      </w:pPr>
      <w:r>
        <w:rPr>
          <w:color w:val="000000"/>
        </w:rPr>
        <w:t xml:space="preserve">Embed into funding agreements, funding for key resources and webpages affiliated with mainstream organisations to be translated into the languages most spoken as relevant to each organisation and their service site/s, </w:t>
      </w:r>
    </w:p>
    <w:p w14:paraId="46CA0738" w14:textId="77777777" w:rsidR="00C80A0C" w:rsidRDefault="005E499E">
      <w:pPr>
        <w:numPr>
          <w:ilvl w:val="0"/>
          <w:numId w:val="6"/>
        </w:numPr>
        <w:spacing w:after="120"/>
        <w:ind w:right="6" w:hanging="360"/>
      </w:pPr>
      <w:r>
        <w:t>Incorporate provisions within funding agreements to support the local development of mandatory interpreter training, as led and co-created by Community Leaders. This training could cover key topics such as maintaining objectivity, confidentiality, family violence aware and trauma and violence informed approaches.</w:t>
      </w:r>
      <w:r>
        <w:rPr>
          <w:color w:val="000000"/>
        </w:rPr>
        <w:t xml:space="preserve"> </w:t>
      </w:r>
    </w:p>
    <w:p w14:paraId="4F83D6E5" w14:textId="77777777" w:rsidR="00C80A0C" w:rsidRDefault="005E499E">
      <w:pPr>
        <w:spacing w:after="121"/>
        <w:ind w:left="-5" w:right="9"/>
      </w:pPr>
      <w:r>
        <w:t>Organisations working alongside children and families must be equipped to provide safe, inclusive, and affirming environments for all. Rainbow Tick accreditation offers a nationally recognised framework that ensures services meet rigorous standards of LGBTIQA/SB+ affirming service delivery - embedding inclusion into governance, workforce development, and service delivery. Funding this accreditation is essential to address systemic inequities and improve outcomes for children and families.</w:t>
      </w:r>
      <w:r>
        <w:rPr>
          <w:color w:val="000000"/>
        </w:rPr>
        <w:t xml:space="preserve"> </w:t>
      </w:r>
      <w:r>
        <w:t xml:space="preserve"> </w:t>
      </w:r>
    </w:p>
    <w:p w14:paraId="0FD7EA15" w14:textId="77777777" w:rsidR="00C80A0C" w:rsidRDefault="005E499E">
      <w:pPr>
        <w:spacing w:after="271"/>
        <w:ind w:left="-5" w:right="9"/>
      </w:pPr>
      <w:r>
        <w:t xml:space="preserve">LGBTIQA/SB+ children, young Peoples and families face disproportionate risks and barriers when accessing health, education, and community services. Research shows that LGBTIQA/SB+ young Peoples aged 16 </w:t>
      </w:r>
      <w:r>
        <w:t>–</w:t>
      </w:r>
      <w:r>
        <w:t xml:space="preserve"> 27 years are five times more likely to attempt suicide, and transgender adults are 11 times more likely than the general population. These alarming figures are not about how people embody who they are, these statistics reflect harm caused by stigma, discrimination, and exclusion. Furthermore, 61% of same gender attracted young Peoples report verbal abuse and 18% physical abuse, often in environments meant to protect them. Without proactive measures, these experiences perpetuate cycles of trauma and diseng</w:t>
      </w:r>
      <w:r>
        <w:t>agement.</w:t>
      </w:r>
      <w:r>
        <w:rPr>
          <w:vertAlign w:val="superscript"/>
        </w:rPr>
        <w:footnoteReference w:id="33"/>
      </w:r>
      <w:r>
        <w:t xml:space="preserve"> </w:t>
      </w:r>
    </w:p>
    <w:p w14:paraId="693BE7C4" w14:textId="77777777" w:rsidR="00C80A0C" w:rsidRDefault="005E499E">
      <w:pPr>
        <w:ind w:left="-5" w:right="9"/>
      </w:pPr>
      <w:r>
        <w:t xml:space="preserve">Funding Rainbow Tick accreditation strengthens organisational capacity, improves workforce capability, and creates safer environments for children and families. It aligns with national reform priorities for integrated, culturally safer, and outcomes focused systems. By investing in Rainbow Tick, government and funders can help dismantle systemic barriers, reduce health disparities, and uphold the rights and dignity of every child, young person, and family. Many organisations are either not aware of Rainbow </w:t>
      </w:r>
      <w:r>
        <w:t xml:space="preserve">Tick Accreditation </w:t>
      </w:r>
    </w:p>
    <w:p w14:paraId="3A3736A0" w14:textId="77777777" w:rsidR="00C80A0C" w:rsidRDefault="005E499E">
      <w:pPr>
        <w:spacing w:after="238"/>
        <w:ind w:left="-5" w:right="9"/>
      </w:pPr>
      <w:r>
        <w:t xml:space="preserve">(particularly outside of Victoria) or attaining the accreditation is often cost prohibitive, particular for small to mid-tier organisations.  </w:t>
      </w:r>
    </w:p>
    <w:p w14:paraId="73376B98" w14:textId="77777777" w:rsidR="00C80A0C" w:rsidRDefault="005E499E">
      <w:pPr>
        <w:spacing w:after="240"/>
        <w:ind w:left="-5" w:right="9"/>
      </w:pPr>
      <w:r>
        <w:lastRenderedPageBreak/>
        <w:t xml:space="preserve">Each recommends the Department contribute funds for each organisation that falls under this reform agenda; to attain Rainbow Tick Accreditation as inclusion is not optional, it is lifesaving. Funding Rainbow Tick accreditation is a tangible, measurable step toward equity and wellbeing for all Australian families. </w:t>
      </w:r>
    </w:p>
    <w:p w14:paraId="30278D65" w14:textId="77777777" w:rsidR="00C80A0C" w:rsidRDefault="005E499E">
      <w:pPr>
        <w:spacing w:after="426"/>
        <w:ind w:left="-5" w:right="9"/>
      </w:pPr>
      <w:r>
        <w:t>Each also supports the Departments’ continued work in prioritising c</w:t>
      </w:r>
      <w:r>
        <w:t xml:space="preserve">hildren and young Peoples with disability. </w:t>
      </w:r>
      <w:r>
        <w:t>As we know, children and young Peoples with disabilities are more likely to experience poorer health and wellbeing outcomes compared to their peers. Disabled children and young Peoples face higher risks of maltreatment, social exclusion, and educational barriers. Mental health concerns are also prevalent, children with disabilities report higher psychological distress and lower life satisfaction, which can persist into adulthood if not addressed through early, inclusive support systems. These outcomes are n</w:t>
      </w:r>
      <w:r>
        <w:t xml:space="preserve">ot inherent to </w:t>
      </w:r>
    </w:p>
    <w:p w14:paraId="78683A2C" w14:textId="77777777" w:rsidR="00C80A0C" w:rsidRDefault="005E499E">
      <w:pPr>
        <w:spacing w:after="0" w:line="259" w:lineRule="auto"/>
        <w:ind w:left="0" w:firstLine="0"/>
      </w:pPr>
      <w:r>
        <w:rPr>
          <w:rFonts w:ascii="Calibri" w:eastAsia="Calibri" w:hAnsi="Calibri" w:cs="Calibri"/>
          <w:noProof/>
          <w:color w:val="000000"/>
        </w:rPr>
        <mc:AlternateContent>
          <mc:Choice Requires="wpg">
            <w:drawing>
              <wp:inline distT="0" distB="0" distL="0" distR="0" wp14:anchorId="1AC1D8DC" wp14:editId="19A93D67">
                <wp:extent cx="1829435" cy="7620"/>
                <wp:effectExtent l="0" t="0" r="0" b="0"/>
                <wp:docPr id="51000" name="Group 51000"/>
                <wp:cNvGraphicFramePr/>
                <a:graphic xmlns:a="http://schemas.openxmlformats.org/drawingml/2006/main">
                  <a:graphicData uri="http://schemas.microsoft.com/office/word/2010/wordprocessingGroup">
                    <wpg:wgp>
                      <wpg:cNvGrpSpPr/>
                      <wpg:grpSpPr>
                        <a:xfrm>
                          <a:off x="0" y="0"/>
                          <a:ext cx="1829435" cy="7620"/>
                          <a:chOff x="0" y="0"/>
                          <a:chExt cx="1829435" cy="7620"/>
                        </a:xfrm>
                      </wpg:grpSpPr>
                      <wps:wsp>
                        <wps:cNvPr id="56192" name="Shape 56192"/>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21414"/>
                          </a:fillRef>
                          <a:effectRef idx="0">
                            <a:scrgbClr r="0" g="0" b="0"/>
                          </a:effectRef>
                          <a:fontRef idx="none"/>
                        </wps:style>
                        <wps:bodyPr/>
                      </wps:wsp>
                    </wpg:wgp>
                  </a:graphicData>
                </a:graphic>
              </wp:inline>
            </w:drawing>
          </mc:Choice>
          <mc:Fallback xmlns:a="http://schemas.openxmlformats.org/drawingml/2006/main">
            <w:pict>
              <v:group id="Group 51000" style="width:144.05pt;height:0.599976pt;mso-position-horizontal-relative:char;mso-position-vertical-relative:line" coordsize="18294,76">
                <v:shape id="Shape 56193" style="position:absolute;width:18294;height:91;left:0;top:0;" coordsize="1829435,9144" path="m0,0l1829435,0l1829435,9144l0,9144l0,0">
                  <v:stroke weight="0pt" endcap="flat" joinstyle="miter" miterlimit="10" on="false" color="#000000" opacity="0"/>
                  <v:fill on="true" color="#021414"/>
                </v:shape>
              </v:group>
            </w:pict>
          </mc:Fallback>
        </mc:AlternateContent>
      </w:r>
      <w:r>
        <w:t xml:space="preserve"> </w:t>
      </w:r>
    </w:p>
    <w:p w14:paraId="518CAC0F" w14:textId="77777777" w:rsidR="00C80A0C" w:rsidRDefault="005E499E">
      <w:pPr>
        <w:spacing w:after="278"/>
        <w:ind w:left="-5" w:right="9"/>
      </w:pPr>
      <w:r>
        <w:t>disability but stem from systemic inequities, societal prejudice, and lack of access to neuro affirming, inclusive environments.</w:t>
      </w:r>
      <w:r>
        <w:rPr>
          <w:vertAlign w:val="superscript"/>
        </w:rPr>
        <w:footnoteReference w:id="34"/>
      </w:r>
      <w:r>
        <w:t xml:space="preserve"> </w:t>
      </w:r>
    </w:p>
    <w:p w14:paraId="1CB1A1E1" w14:textId="77777777" w:rsidR="00C80A0C" w:rsidRDefault="005E499E">
      <w:pPr>
        <w:spacing w:after="585"/>
        <w:ind w:left="-5" w:right="9"/>
      </w:pPr>
      <w:r>
        <w:t xml:space="preserve">Making child and family services accessible and affirming for children and families with disabilities is both a </w:t>
      </w:r>
      <w:r>
        <w:t xml:space="preserve">human rights obligation and a social imperative. It aligns with Australia’s Disability Strategy 2021 </w:t>
      </w:r>
      <w:r>
        <w:t>- 2031</w:t>
      </w:r>
      <w:r>
        <w:rPr>
          <w:vertAlign w:val="superscript"/>
        </w:rPr>
        <w:t>38</w:t>
      </w:r>
      <w:r>
        <w:t>, which emphasises inclusive education, community participation, and equitable access to supports. Investment in training, infrastructure, and inclusive frameworks will ensure that every child can thrive.</w:t>
      </w:r>
      <w:r>
        <w:rPr>
          <w:vertAlign w:val="superscript"/>
        </w:rPr>
        <w:footnoteReference w:id="35"/>
      </w:r>
      <w:r>
        <w:t xml:space="preserve"> </w:t>
      </w:r>
    </w:p>
    <w:p w14:paraId="659BF3D3" w14:textId="77777777" w:rsidR="00C80A0C" w:rsidRDefault="005E499E">
      <w:pPr>
        <w:pStyle w:val="Heading1"/>
        <w:ind w:left="-5"/>
      </w:pPr>
      <w:bookmarkStart w:id="6" w:name="_Toc55831"/>
      <w:r>
        <w:t xml:space="preserve">Connected, Co-Located and Integrated Services </w:t>
      </w:r>
      <w:bookmarkEnd w:id="6"/>
    </w:p>
    <w:p w14:paraId="2AE5E39C" w14:textId="77777777" w:rsidR="00C80A0C" w:rsidRDefault="005E499E">
      <w:pPr>
        <w:spacing w:after="159" w:line="259" w:lineRule="auto"/>
        <w:ind w:left="-5"/>
      </w:pPr>
      <w:r>
        <w:rPr>
          <w:rFonts w:ascii="Calibri" w:eastAsia="Calibri" w:hAnsi="Calibri" w:cs="Calibri"/>
          <w:b/>
          <w:color w:val="000000"/>
        </w:rPr>
        <w:t>What are other effective ways, beyond co-location, that you’ve seen work well to connect and coordinate services for families?</w:t>
      </w:r>
      <w:r>
        <w:rPr>
          <w:color w:val="000000"/>
        </w:rPr>
        <w:t xml:space="preserve"> </w:t>
      </w:r>
    </w:p>
    <w:p w14:paraId="5059981C" w14:textId="77777777" w:rsidR="00C80A0C" w:rsidRDefault="005E499E">
      <w:pPr>
        <w:spacing w:after="157" w:line="263" w:lineRule="auto"/>
        <w:ind w:left="-5" w:right="6"/>
      </w:pPr>
      <w:r>
        <w:rPr>
          <w:color w:val="000000"/>
        </w:rPr>
        <w:t xml:space="preserve">Third places, community spaces outside home (first place) and work/school (second place), such as libraries, parks, community hubs, and recreation centres, are critical for family wellbeing and social cohesion. Their importance becomes even more pronounced during a cost-of-living crisis for several interconnected reasons: </w:t>
      </w:r>
    </w:p>
    <w:p w14:paraId="182D4C1B" w14:textId="77777777" w:rsidR="00C80A0C" w:rsidRDefault="005E499E">
      <w:pPr>
        <w:spacing w:after="177" w:line="263" w:lineRule="auto"/>
        <w:ind w:left="-5" w:right="6"/>
      </w:pPr>
      <w:r>
        <w:rPr>
          <w:b/>
          <w:color w:val="000000"/>
        </w:rPr>
        <w:t xml:space="preserve">Affordable access to social connection and belonging </w:t>
      </w:r>
      <w:r>
        <w:rPr>
          <w:color w:val="000000"/>
        </w:rPr>
        <w:t>W</w:t>
      </w:r>
      <w:r>
        <w:rPr>
          <w:color w:val="000000"/>
        </w:rPr>
        <w:t xml:space="preserve">hen financial pressures limit families’ ability to </w:t>
      </w:r>
      <w:r>
        <w:rPr>
          <w:color w:val="000000"/>
        </w:rPr>
        <w:t xml:space="preserve">engage in paid leisure activities, third places offer free or low-cost </w:t>
      </w:r>
      <w:r>
        <w:rPr>
          <w:color w:val="000000"/>
        </w:rPr>
        <w:t>environments where children, young Peoples and caregivers can connect with others. Social isolation is a known risk factor for ill mental health, family stress, and child developmental delays. Third places counter this by fostering informal networks of support, reducing loneliness, and strengthening community ties, protective factors against adversity.</w:t>
      </w:r>
      <w:r>
        <w:rPr>
          <w:color w:val="000000"/>
          <w:vertAlign w:val="superscript"/>
        </w:rPr>
        <w:footnoteReference w:id="36"/>
      </w:r>
      <w:r>
        <w:rPr>
          <w:color w:val="000000"/>
        </w:rPr>
        <w:t xml:space="preserve"> </w:t>
      </w:r>
    </w:p>
    <w:p w14:paraId="1CCD6ACC" w14:textId="77777777" w:rsidR="00C80A0C" w:rsidRDefault="005E499E">
      <w:pPr>
        <w:spacing w:after="194" w:line="263" w:lineRule="auto"/>
        <w:ind w:left="-5" w:right="6"/>
      </w:pPr>
      <w:r>
        <w:rPr>
          <w:b/>
          <w:color w:val="000000"/>
        </w:rPr>
        <w:t xml:space="preserve">Developmental benefits for children and young people </w:t>
      </w:r>
      <w:r>
        <w:rPr>
          <w:color w:val="000000"/>
        </w:rPr>
        <w:t>Children thrive in environments rich in social interaction and play. Third places provide opportunities for:</w:t>
      </w:r>
      <w:r>
        <w:rPr>
          <w:b/>
          <w:color w:val="000000"/>
        </w:rPr>
        <w:t xml:space="preserve"> </w:t>
      </w:r>
    </w:p>
    <w:p w14:paraId="0F86D66D" w14:textId="77777777" w:rsidR="00C80A0C" w:rsidRDefault="005E499E">
      <w:pPr>
        <w:numPr>
          <w:ilvl w:val="0"/>
          <w:numId w:val="7"/>
        </w:numPr>
        <w:spacing w:after="29" w:line="263" w:lineRule="auto"/>
        <w:ind w:right="6" w:hanging="360"/>
      </w:pPr>
      <w:r>
        <w:rPr>
          <w:color w:val="000000"/>
        </w:rPr>
        <w:t xml:space="preserve">Unstructured play and exploration, which research links to cognitive, emotional, and social development. </w:t>
      </w:r>
    </w:p>
    <w:p w14:paraId="42DCBD8F" w14:textId="77777777" w:rsidR="00C80A0C" w:rsidRDefault="005E499E">
      <w:pPr>
        <w:numPr>
          <w:ilvl w:val="0"/>
          <w:numId w:val="7"/>
        </w:numPr>
        <w:spacing w:line="263" w:lineRule="auto"/>
        <w:ind w:right="6" w:hanging="360"/>
      </w:pPr>
      <w:r>
        <w:rPr>
          <w:color w:val="000000"/>
        </w:rPr>
        <w:t xml:space="preserve">Exposure to diverse peers and adults, building empathy and resilience. </w:t>
      </w:r>
    </w:p>
    <w:p w14:paraId="2960E600" w14:textId="77777777" w:rsidR="00C80A0C" w:rsidRDefault="005E499E">
      <w:pPr>
        <w:numPr>
          <w:ilvl w:val="0"/>
          <w:numId w:val="7"/>
        </w:numPr>
        <w:spacing w:line="263" w:lineRule="auto"/>
        <w:ind w:right="6" w:hanging="360"/>
      </w:pPr>
      <w:r>
        <w:rPr>
          <w:color w:val="000000"/>
        </w:rPr>
        <w:t xml:space="preserve">Safer </w:t>
      </w:r>
      <w:r>
        <w:rPr>
          <w:color w:val="000000"/>
        </w:rPr>
        <w:t xml:space="preserve">spaces for identity formation, particularly for adolescents navigating complex social worlds. </w:t>
      </w:r>
    </w:p>
    <w:p w14:paraId="056459AE" w14:textId="77777777" w:rsidR="00C80A0C" w:rsidRDefault="005E499E">
      <w:pPr>
        <w:numPr>
          <w:ilvl w:val="0"/>
          <w:numId w:val="7"/>
        </w:numPr>
        <w:spacing w:line="263" w:lineRule="auto"/>
        <w:ind w:right="6" w:hanging="360"/>
      </w:pPr>
      <w:r>
        <w:rPr>
          <w:color w:val="000000"/>
        </w:rPr>
        <w:t xml:space="preserve">These benefits are amplified when families cannot afford extracurricular programs or private </w:t>
      </w:r>
    </w:p>
    <w:p w14:paraId="75D12D38" w14:textId="77777777" w:rsidR="00C80A0C" w:rsidRDefault="005E499E">
      <w:pPr>
        <w:spacing w:after="199" w:line="263" w:lineRule="auto"/>
        <w:ind w:left="730" w:right="6"/>
      </w:pPr>
      <w:r>
        <w:rPr>
          <w:color w:val="000000"/>
        </w:rPr>
        <w:t>activities.</w:t>
      </w:r>
      <w:r>
        <w:rPr>
          <w:color w:val="000000"/>
          <w:vertAlign w:val="superscript"/>
        </w:rPr>
        <w:footnoteReference w:id="37"/>
      </w:r>
      <w:r>
        <w:rPr>
          <w:color w:val="000000"/>
        </w:rPr>
        <w:t xml:space="preserve"> </w:t>
      </w:r>
    </w:p>
    <w:p w14:paraId="74C0A258" w14:textId="77777777" w:rsidR="00C80A0C" w:rsidRDefault="005E499E">
      <w:pPr>
        <w:spacing w:after="186" w:line="263" w:lineRule="auto"/>
        <w:ind w:left="-5" w:right="6"/>
      </w:pPr>
      <w:r>
        <w:rPr>
          <w:b/>
          <w:color w:val="000000"/>
        </w:rPr>
        <w:lastRenderedPageBreak/>
        <w:t xml:space="preserve">Reducing inequity through universal Access </w:t>
      </w:r>
      <w:r>
        <w:rPr>
          <w:color w:val="000000"/>
        </w:rPr>
        <w:t>Cost of living pressures disproportionately affect families already marginalised by systemic inequities. Third places operate on principles of proportionate universalism - accessible to all, especially vital for those with fewer resources. They help level the playing field by offering inclusive environments where every child can participate, regardless of socioeconomic status.</w:t>
      </w:r>
      <w:r>
        <w:rPr>
          <w:color w:val="000000"/>
          <w:vertAlign w:val="superscript"/>
        </w:rPr>
        <w:footnoteReference w:id="38"/>
      </w:r>
      <w:r>
        <w:rPr>
          <w:color w:val="000000"/>
        </w:rPr>
        <w:t xml:space="preserve"> </w:t>
      </w:r>
    </w:p>
    <w:p w14:paraId="1D21047B" w14:textId="77777777" w:rsidR="00C80A0C" w:rsidRDefault="005E499E">
      <w:pPr>
        <w:spacing w:after="157" w:line="263" w:lineRule="auto"/>
        <w:ind w:left="-5" w:right="6"/>
      </w:pPr>
      <w:r>
        <w:rPr>
          <w:b/>
          <w:color w:val="000000"/>
        </w:rPr>
        <w:t xml:space="preserve">Supporting family wellbeing and mental health </w:t>
      </w:r>
      <w:r>
        <w:rPr>
          <w:color w:val="000000"/>
        </w:rPr>
        <w:t>Financial stress is a leading contributor to family conflict, anxiety, and depression. Third places act as pressure valves, offering respite and opportunities for positive family experiences without financial strain. Shared activities in these spaces strengthen parent child bonds and reduce stress, which is essential for healthy family functioning.</w:t>
      </w:r>
      <w:r>
        <w:rPr>
          <w:b/>
          <w:color w:val="000000"/>
        </w:rPr>
        <w:t xml:space="preserve"> </w:t>
      </w:r>
    </w:p>
    <w:p w14:paraId="16B59590" w14:textId="77777777" w:rsidR="00C80A0C" w:rsidRDefault="005E499E">
      <w:pPr>
        <w:spacing w:after="191" w:line="263" w:lineRule="auto"/>
        <w:ind w:left="-5" w:right="6"/>
      </w:pPr>
      <w:r>
        <w:rPr>
          <w:b/>
          <w:color w:val="000000"/>
        </w:rPr>
        <w:t xml:space="preserve">Catalysts for community led solutions </w:t>
      </w:r>
      <w:r>
        <w:rPr>
          <w:color w:val="000000"/>
        </w:rPr>
        <w:t>Community hubs and libraries often host programs such as parenting groups, homework clubs, and cultural events. These initiatives:</w:t>
      </w:r>
      <w:r>
        <w:rPr>
          <w:b/>
          <w:color w:val="000000"/>
        </w:rPr>
        <w:t xml:space="preserve"> </w:t>
      </w:r>
    </w:p>
    <w:p w14:paraId="4F37759A" w14:textId="77777777" w:rsidR="00C80A0C" w:rsidRDefault="005E499E">
      <w:pPr>
        <w:numPr>
          <w:ilvl w:val="0"/>
          <w:numId w:val="8"/>
        </w:numPr>
        <w:spacing w:line="263" w:lineRule="auto"/>
        <w:ind w:right="6" w:hanging="360"/>
      </w:pPr>
      <w:r>
        <w:rPr>
          <w:color w:val="000000"/>
        </w:rPr>
        <w:t xml:space="preserve">Build social capital and trust. </w:t>
      </w:r>
    </w:p>
    <w:p w14:paraId="1DA768F1" w14:textId="77777777" w:rsidR="00C80A0C" w:rsidRDefault="005E499E">
      <w:pPr>
        <w:numPr>
          <w:ilvl w:val="0"/>
          <w:numId w:val="8"/>
        </w:numPr>
        <w:spacing w:line="263" w:lineRule="auto"/>
        <w:ind w:right="6" w:hanging="360"/>
      </w:pPr>
      <w:r>
        <w:rPr>
          <w:color w:val="000000"/>
        </w:rPr>
        <w:t xml:space="preserve">Enable peer to peer learning and mutual aid. </w:t>
      </w:r>
    </w:p>
    <w:p w14:paraId="3A71B0C8" w14:textId="77777777" w:rsidR="00C80A0C" w:rsidRDefault="005E499E">
      <w:pPr>
        <w:spacing w:after="0" w:line="259" w:lineRule="auto"/>
        <w:ind w:left="0" w:firstLine="0"/>
      </w:pPr>
      <w:r>
        <w:rPr>
          <w:rFonts w:ascii="Calibri" w:eastAsia="Calibri" w:hAnsi="Calibri" w:cs="Calibri"/>
          <w:noProof/>
          <w:color w:val="000000"/>
        </w:rPr>
        <mc:AlternateContent>
          <mc:Choice Requires="wpg">
            <w:drawing>
              <wp:inline distT="0" distB="0" distL="0" distR="0" wp14:anchorId="0CA544DB" wp14:editId="3B4F2E05">
                <wp:extent cx="1829435" cy="7620"/>
                <wp:effectExtent l="0" t="0" r="0" b="0"/>
                <wp:docPr id="48425" name="Group 48425"/>
                <wp:cNvGraphicFramePr/>
                <a:graphic xmlns:a="http://schemas.openxmlformats.org/drawingml/2006/main">
                  <a:graphicData uri="http://schemas.microsoft.com/office/word/2010/wordprocessingGroup">
                    <wpg:wgp>
                      <wpg:cNvGrpSpPr/>
                      <wpg:grpSpPr>
                        <a:xfrm>
                          <a:off x="0" y="0"/>
                          <a:ext cx="1829435" cy="7620"/>
                          <a:chOff x="0" y="0"/>
                          <a:chExt cx="1829435" cy="7620"/>
                        </a:xfrm>
                      </wpg:grpSpPr>
                      <wps:wsp>
                        <wps:cNvPr id="56194" name="Shape 56194"/>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21414"/>
                          </a:fillRef>
                          <a:effectRef idx="0">
                            <a:scrgbClr r="0" g="0" b="0"/>
                          </a:effectRef>
                          <a:fontRef idx="none"/>
                        </wps:style>
                        <wps:bodyPr/>
                      </wps:wsp>
                    </wpg:wgp>
                  </a:graphicData>
                </a:graphic>
              </wp:inline>
            </w:drawing>
          </mc:Choice>
          <mc:Fallback xmlns:a="http://schemas.openxmlformats.org/drawingml/2006/main">
            <w:pict>
              <v:group id="Group 48425" style="width:144.05pt;height:0.600037pt;mso-position-horizontal-relative:char;mso-position-vertical-relative:line" coordsize="18294,76">
                <v:shape id="Shape 56195" style="position:absolute;width:18294;height:91;left:0;top:0;" coordsize="1829435,9144" path="m0,0l1829435,0l1829435,9144l0,9144l0,0">
                  <v:stroke weight="0pt" endcap="flat" joinstyle="miter" miterlimit="10" on="false" color="#000000" opacity="0"/>
                  <v:fill on="true" color="#021414"/>
                </v:shape>
              </v:group>
            </w:pict>
          </mc:Fallback>
        </mc:AlternateContent>
      </w:r>
      <w:r>
        <w:t xml:space="preserve"> </w:t>
      </w:r>
    </w:p>
    <w:p w14:paraId="3697AA38" w14:textId="77777777" w:rsidR="00C80A0C" w:rsidRDefault="005E499E">
      <w:pPr>
        <w:numPr>
          <w:ilvl w:val="0"/>
          <w:numId w:val="8"/>
        </w:numPr>
        <w:spacing w:after="157" w:line="263" w:lineRule="auto"/>
        <w:ind w:right="6" w:hanging="360"/>
      </w:pPr>
      <w:r>
        <w:rPr>
          <w:color w:val="000000"/>
        </w:rPr>
        <w:t xml:space="preserve">Provide gateways to other supports (e.g. housing advice, mental health services) in a </w:t>
      </w:r>
      <w:proofErr w:type="spellStart"/>
      <w:r>
        <w:rPr>
          <w:color w:val="000000"/>
        </w:rPr>
        <w:t>nonstigmatising</w:t>
      </w:r>
      <w:proofErr w:type="spellEnd"/>
      <w:r>
        <w:rPr>
          <w:color w:val="000000"/>
        </w:rPr>
        <w:t xml:space="preserve"> environment. </w:t>
      </w:r>
    </w:p>
    <w:p w14:paraId="7369FDB5" w14:textId="77777777" w:rsidR="00C80A0C" w:rsidRDefault="005E499E">
      <w:pPr>
        <w:spacing w:after="157" w:line="263" w:lineRule="auto"/>
        <w:ind w:left="-5" w:right="6"/>
      </w:pPr>
      <w:r>
        <w:rPr>
          <w:color w:val="000000"/>
        </w:rPr>
        <w:t>Such integrated approaches are critical in times of economic hardship when families may avoid formal services due to fear of judgment or statutory involvement.</w:t>
      </w:r>
      <w:r>
        <w:t xml:space="preserve"> </w:t>
      </w:r>
    </w:p>
    <w:p w14:paraId="44370104" w14:textId="77777777" w:rsidR="00C80A0C" w:rsidRDefault="005E499E">
      <w:pPr>
        <w:spacing w:after="187"/>
        <w:ind w:left="-5" w:right="9"/>
      </w:pPr>
      <w:r>
        <w:t xml:space="preserve">For child, youth, </w:t>
      </w:r>
      <w:r>
        <w:t>and adult survivors of family violence, third places are essential as they can provide safety, connection, and pathways to support. These environments act as neutral, non-stigmatising spaces, at times offering survivors respite from controlling dynamics and fear of surveillance often present in family violence relationships. Unlike formal service settings, third places allow individuals to engage without the pressure of disclosure, fostering autonomy and dignity.</w:t>
      </w:r>
      <w:r>
        <w:rPr>
          <w:vertAlign w:val="superscript"/>
        </w:rPr>
        <w:footnoteReference w:id="39"/>
      </w:r>
      <w:r>
        <w:t xml:space="preserve">  </w:t>
      </w:r>
    </w:p>
    <w:p w14:paraId="0D2EBE76" w14:textId="77777777" w:rsidR="00C80A0C" w:rsidRDefault="005E499E">
      <w:pPr>
        <w:spacing w:after="173"/>
        <w:ind w:left="-5" w:right="9"/>
      </w:pPr>
      <w:r>
        <w:t>Family violence frequently isolates victim/survivors, severing social networks and increasing the risk of ill mental health. Third places counter this isolation by promoting social interaction and belonging, which research identifies as a protective factor against trauma. Informal encounters in these spaces help rebuild trust and social capital, buffering the psychological impacts of violence and reducing feelings of shame or marginalisation some victim/survivors may carry because of the harm/s they are res</w:t>
      </w:r>
      <w:r>
        <w:t>isting.</w:t>
      </w:r>
      <w:r>
        <w:rPr>
          <w:vertAlign w:val="superscript"/>
        </w:rPr>
        <w:footnoteReference w:id="40"/>
      </w:r>
      <w:r>
        <w:t xml:space="preserve"> </w:t>
      </w:r>
    </w:p>
    <w:p w14:paraId="554D7DB2" w14:textId="77777777" w:rsidR="00C80A0C" w:rsidRDefault="005E499E">
      <w:pPr>
        <w:spacing w:after="181"/>
        <w:ind w:left="-5" w:right="9"/>
      </w:pPr>
      <w:r>
        <w:t>Third places which have community-based services embedded, offer an informal entry point, enabling survivors to access housing assistance, financial aid, and family violence specialists (as an example) in a non-threatening environment. This informal entry point is particularly critical for those who fear statutory involvement and/or face multiple systemic barriers when accessing the traditional service system.</w:t>
      </w:r>
      <w:r>
        <w:rPr>
          <w:vertAlign w:val="superscript"/>
        </w:rPr>
        <w:footnoteReference w:id="41"/>
      </w:r>
      <w:r>
        <w:t xml:space="preserve"> </w:t>
      </w:r>
    </w:p>
    <w:p w14:paraId="18DC04C9" w14:textId="77777777" w:rsidR="00C80A0C" w:rsidRDefault="005E499E">
      <w:pPr>
        <w:spacing w:after="158" w:line="263" w:lineRule="auto"/>
        <w:ind w:left="-5" w:right="6"/>
      </w:pPr>
      <w:r>
        <w:rPr>
          <w:b/>
          <w:color w:val="000000"/>
        </w:rPr>
        <w:t xml:space="preserve">Economic and Social Return on Investment </w:t>
      </w:r>
      <w:r>
        <w:rPr>
          <w:color w:val="000000"/>
        </w:rPr>
        <w:t xml:space="preserve">Evidence shows that upstream investments, like maintaining and expanding third places, yield significant returns by preventing downstream costs associated with child protection, health crises, and legal system involvement. In a cost-of-living crisis, these spaces are not luxuries; they are essential infrastructure for resilience and equity. </w:t>
      </w:r>
    </w:p>
    <w:p w14:paraId="4BB054CE" w14:textId="77777777" w:rsidR="00C80A0C" w:rsidRDefault="005E499E">
      <w:pPr>
        <w:spacing w:after="157" w:line="263" w:lineRule="auto"/>
        <w:ind w:left="-5" w:right="6"/>
      </w:pPr>
      <w:r>
        <w:rPr>
          <w:color w:val="000000"/>
          <w:u w:val="single" w:color="000000"/>
        </w:rPr>
        <w:t>In short third places are lifelines during economic hardship</w:t>
      </w:r>
      <w:r>
        <w:rPr>
          <w:color w:val="000000"/>
        </w:rPr>
        <w:t xml:space="preserve">. They provide inclusive, culturally safer, and developmentally rich environments that buffer families against the compounded stress of financial strain, promote flourishing for children and young Peoples, and strengthen the social fabric of Communities.  </w:t>
      </w:r>
    </w:p>
    <w:p w14:paraId="46B24F1B" w14:textId="77777777" w:rsidR="00C80A0C" w:rsidRDefault="005E499E">
      <w:pPr>
        <w:spacing w:after="157" w:line="263" w:lineRule="auto"/>
        <w:ind w:left="-5" w:right="6"/>
      </w:pPr>
      <w:r>
        <w:rPr>
          <w:color w:val="000000"/>
        </w:rPr>
        <w:t xml:space="preserve">Each supports the Department to further their current policy position on third places. At Each we know investment in infrastructure (for example) like skate parks with stages (for concerts and Community gatherings), Australian bush native walks where families can spend time in nature and learn about First </w:t>
      </w:r>
      <w:r>
        <w:rPr>
          <w:color w:val="000000"/>
        </w:rPr>
        <w:lastRenderedPageBreak/>
        <w:t xml:space="preserve">Nations culture/s or as mentioned prior in the submission </w:t>
      </w:r>
      <w:r>
        <w:rPr>
          <w:color w:val="000000"/>
        </w:rPr>
        <w:t>–</w:t>
      </w:r>
      <w:r>
        <w:rPr>
          <w:color w:val="000000"/>
        </w:rPr>
        <w:t xml:space="preserve"> </w:t>
      </w:r>
      <w:r>
        <w:rPr>
          <w:color w:val="000000"/>
        </w:rPr>
        <w:t xml:space="preserve">the Australian Community Hubs initiative, can have profound impacts on community connectedness and cohesion, strengthening social and emotional wellbeing for children, young Peoples and families.  </w:t>
      </w:r>
    </w:p>
    <w:p w14:paraId="4191AAB5" w14:textId="77777777" w:rsidR="00C80A0C" w:rsidRDefault="005E499E">
      <w:pPr>
        <w:spacing w:after="184" w:line="263" w:lineRule="auto"/>
        <w:ind w:left="-5" w:right="6"/>
      </w:pPr>
      <w:r>
        <w:rPr>
          <w:color w:val="000000"/>
        </w:rPr>
        <w:t xml:space="preserve">See </w:t>
      </w:r>
      <w:r>
        <w:rPr>
          <w:b/>
          <w:color w:val="000000"/>
        </w:rPr>
        <w:t>Appendix Three</w:t>
      </w:r>
      <w:r>
        <w:rPr>
          <w:color w:val="000000"/>
        </w:rPr>
        <w:t xml:space="preserve"> </w:t>
      </w:r>
      <w:r>
        <w:t>(</w:t>
      </w:r>
      <w:r>
        <w:rPr>
          <w:color w:val="627AFF"/>
          <w:u w:val="single" w:color="627AFF"/>
        </w:rPr>
        <w:t>Appendices</w:t>
      </w:r>
      <w:r>
        <w:t>)</w:t>
      </w:r>
      <w:r>
        <w:rPr>
          <w:color w:val="000000"/>
        </w:rPr>
        <w:t xml:space="preserve"> International third places and potential Australian applications: </w:t>
      </w:r>
    </w:p>
    <w:p w14:paraId="0C4EAAD0" w14:textId="77777777" w:rsidR="00C80A0C" w:rsidRDefault="005E499E">
      <w:pPr>
        <w:spacing w:after="283" w:line="259" w:lineRule="auto"/>
        <w:ind w:left="-5"/>
      </w:pPr>
      <w:r>
        <w:rPr>
          <w:rFonts w:ascii="Calibri" w:eastAsia="Calibri" w:hAnsi="Calibri" w:cs="Calibri"/>
          <w:b/>
          <w:color w:val="000000"/>
        </w:rPr>
        <w:t xml:space="preserve">What would you highlight in a grant application to demonstrate a service is connected to the community it serves? What should applicants be assessed on? </w:t>
      </w:r>
    </w:p>
    <w:p w14:paraId="40FBA4DC" w14:textId="77777777" w:rsidR="00C80A0C" w:rsidRDefault="005E499E">
      <w:pPr>
        <w:spacing w:after="277" w:line="263" w:lineRule="auto"/>
        <w:ind w:left="-5" w:right="6"/>
      </w:pPr>
      <w:r>
        <w:rPr>
          <w:color w:val="000000"/>
        </w:rPr>
        <w:t xml:space="preserve">Each recommends the following to be highlighted and assessed within grant applications.  </w:t>
      </w:r>
    </w:p>
    <w:p w14:paraId="10F067B6" w14:textId="77777777" w:rsidR="00C80A0C" w:rsidRDefault="005E499E">
      <w:pPr>
        <w:spacing w:after="833" w:line="256" w:lineRule="auto"/>
        <w:ind w:left="-5"/>
      </w:pPr>
      <w:r>
        <w:rPr>
          <w:color w:val="000000"/>
        </w:rPr>
        <w:t>*</w:t>
      </w:r>
      <w:r>
        <w:rPr>
          <w:i/>
          <w:color w:val="000000"/>
        </w:rPr>
        <w:t xml:space="preserve">Note this section is applicable to a mainstream service environment only as Each is also a mainstream service. </w:t>
      </w:r>
    </w:p>
    <w:p w14:paraId="71C77826" w14:textId="77777777" w:rsidR="00C80A0C" w:rsidRDefault="005E499E">
      <w:pPr>
        <w:spacing w:after="0" w:line="259" w:lineRule="auto"/>
        <w:ind w:left="0" w:firstLine="0"/>
      </w:pPr>
      <w:r>
        <w:rPr>
          <w:rFonts w:ascii="Calibri" w:eastAsia="Calibri" w:hAnsi="Calibri" w:cs="Calibri"/>
          <w:noProof/>
          <w:color w:val="000000"/>
        </w:rPr>
        <mc:AlternateContent>
          <mc:Choice Requires="wpg">
            <w:drawing>
              <wp:inline distT="0" distB="0" distL="0" distR="0" wp14:anchorId="67A552F3" wp14:editId="4C6C2C03">
                <wp:extent cx="1829435" cy="7620"/>
                <wp:effectExtent l="0" t="0" r="0" b="0"/>
                <wp:docPr id="52640" name="Group 52640"/>
                <wp:cNvGraphicFramePr/>
                <a:graphic xmlns:a="http://schemas.openxmlformats.org/drawingml/2006/main">
                  <a:graphicData uri="http://schemas.microsoft.com/office/word/2010/wordprocessingGroup">
                    <wpg:wgp>
                      <wpg:cNvGrpSpPr/>
                      <wpg:grpSpPr>
                        <a:xfrm>
                          <a:off x="0" y="0"/>
                          <a:ext cx="1829435" cy="7620"/>
                          <a:chOff x="0" y="0"/>
                          <a:chExt cx="1829435" cy="7620"/>
                        </a:xfrm>
                      </wpg:grpSpPr>
                      <wps:wsp>
                        <wps:cNvPr id="56196" name="Shape 56196"/>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21414"/>
                          </a:fillRef>
                          <a:effectRef idx="0">
                            <a:scrgbClr r="0" g="0" b="0"/>
                          </a:effectRef>
                          <a:fontRef idx="none"/>
                        </wps:style>
                        <wps:bodyPr/>
                      </wps:wsp>
                    </wpg:wgp>
                  </a:graphicData>
                </a:graphic>
              </wp:inline>
            </w:drawing>
          </mc:Choice>
          <mc:Fallback xmlns:a="http://schemas.openxmlformats.org/drawingml/2006/main">
            <w:pict>
              <v:group id="Group 52640" style="width:144.05pt;height:0.599976pt;mso-position-horizontal-relative:char;mso-position-vertical-relative:line" coordsize="18294,76">
                <v:shape id="Shape 56197" style="position:absolute;width:18294;height:91;left:0;top:0;" coordsize="1829435,9144" path="m0,0l1829435,0l1829435,9144l0,9144l0,0">
                  <v:stroke weight="0pt" endcap="flat" joinstyle="miter" miterlimit="10" on="false" color="#000000" opacity="0"/>
                  <v:fill on="true" color="#021414"/>
                </v:shape>
              </v:group>
            </w:pict>
          </mc:Fallback>
        </mc:AlternateContent>
      </w:r>
      <w:r>
        <w:t xml:space="preserve"> </w:t>
      </w:r>
    </w:p>
    <w:p w14:paraId="0C592B24" w14:textId="77777777" w:rsidR="00C80A0C" w:rsidRDefault="005E499E">
      <w:pPr>
        <w:pStyle w:val="Heading2"/>
        <w:spacing w:after="314"/>
        <w:ind w:left="-5"/>
      </w:pPr>
      <w:r>
        <w:t xml:space="preserve">Evidence of community engagement and co design </w:t>
      </w:r>
      <w:r>
        <w:rPr>
          <w:b w:val="0"/>
        </w:rPr>
        <w:t xml:space="preserve"> </w:t>
      </w:r>
    </w:p>
    <w:p w14:paraId="53D8B5C1" w14:textId="77777777" w:rsidR="00C80A0C" w:rsidRDefault="005E499E">
      <w:pPr>
        <w:numPr>
          <w:ilvl w:val="0"/>
          <w:numId w:val="9"/>
        </w:numPr>
        <w:spacing w:line="263" w:lineRule="auto"/>
        <w:ind w:right="6" w:hanging="360"/>
      </w:pPr>
      <w:r>
        <w:rPr>
          <w:color w:val="000000"/>
        </w:rPr>
        <w:t xml:space="preserve">Show that the service was co designed alongside local Communities, including priority populations such as First Nations Peoples, culturally, linguistically and/or faith diverse families, Rainbow </w:t>
      </w:r>
    </w:p>
    <w:p w14:paraId="3BC1975D" w14:textId="77777777" w:rsidR="00C80A0C" w:rsidRDefault="005E499E">
      <w:pPr>
        <w:spacing w:after="28" w:line="263" w:lineRule="auto"/>
        <w:ind w:left="730" w:right="6"/>
      </w:pPr>
      <w:r>
        <w:rPr>
          <w:color w:val="000000"/>
        </w:rPr>
        <w:t xml:space="preserve">Communities including disabled Peoples, and/or those with lived/living experience of systemic harm, for example prior experiences of surviving incarceration. </w:t>
      </w:r>
    </w:p>
    <w:p w14:paraId="0CD893FE" w14:textId="77777777" w:rsidR="00C80A0C" w:rsidRDefault="005E499E">
      <w:pPr>
        <w:numPr>
          <w:ilvl w:val="0"/>
          <w:numId w:val="9"/>
        </w:numPr>
        <w:spacing w:after="29" w:line="263" w:lineRule="auto"/>
        <w:ind w:right="6" w:hanging="360"/>
      </w:pPr>
      <w:r>
        <w:rPr>
          <w:color w:val="000000"/>
        </w:rPr>
        <w:t xml:space="preserve">Applications could include examples of consultation processes, Community Advisory Committees and/or participatory research that informed program design. </w:t>
      </w:r>
    </w:p>
    <w:p w14:paraId="6BB23C81" w14:textId="77777777" w:rsidR="00C80A0C" w:rsidRDefault="005E499E">
      <w:pPr>
        <w:numPr>
          <w:ilvl w:val="0"/>
          <w:numId w:val="9"/>
        </w:numPr>
        <w:spacing w:after="274" w:line="263" w:lineRule="auto"/>
        <w:ind w:right="6" w:hanging="360"/>
      </w:pPr>
      <w:r>
        <w:rPr>
          <w:color w:val="000000"/>
        </w:rPr>
        <w:t xml:space="preserve">A demonstration of ongoing feedback loops, demonstrating how Community voices continue to shape service delivery and improvement.  </w:t>
      </w:r>
    </w:p>
    <w:p w14:paraId="2FC81AC6" w14:textId="77777777" w:rsidR="00C80A0C" w:rsidRDefault="005E499E">
      <w:pPr>
        <w:pStyle w:val="Heading2"/>
        <w:spacing w:after="317"/>
        <w:ind w:left="-5"/>
      </w:pPr>
      <w:r>
        <w:t xml:space="preserve">Culturally aware and responsive services  </w:t>
      </w:r>
    </w:p>
    <w:p w14:paraId="2AB7E5CA" w14:textId="77777777" w:rsidR="00C80A0C" w:rsidRDefault="005E499E">
      <w:pPr>
        <w:numPr>
          <w:ilvl w:val="0"/>
          <w:numId w:val="10"/>
        </w:numPr>
        <w:spacing w:after="27" w:line="263" w:lineRule="auto"/>
        <w:ind w:right="6" w:hanging="360"/>
      </w:pPr>
      <w:r>
        <w:rPr>
          <w:color w:val="000000"/>
        </w:rPr>
        <w:t xml:space="preserve">Highlighted strategies for embedding culturally aware and responsive approaches inclusive of </w:t>
      </w:r>
      <w:proofErr w:type="spellStart"/>
      <w:r>
        <w:rPr>
          <w:color w:val="000000"/>
        </w:rPr>
        <w:t>intersectionally</w:t>
      </w:r>
      <w:proofErr w:type="spellEnd"/>
      <w:r>
        <w:rPr>
          <w:color w:val="000000"/>
        </w:rPr>
        <w:t xml:space="preserve"> informed practice approaches, from theory of change through to intake form. </w:t>
      </w:r>
    </w:p>
    <w:p w14:paraId="6BF73146" w14:textId="77777777" w:rsidR="00C80A0C" w:rsidRDefault="005E499E">
      <w:pPr>
        <w:numPr>
          <w:ilvl w:val="0"/>
          <w:numId w:val="10"/>
        </w:numPr>
        <w:spacing w:after="29" w:line="263" w:lineRule="auto"/>
        <w:ind w:right="6" w:hanging="360"/>
      </w:pPr>
      <w:r>
        <w:rPr>
          <w:color w:val="000000"/>
        </w:rPr>
        <w:t xml:space="preserve">Evidence of partnerships with ACCOs and where applicable ACCHOs, inclusive of how these partnerships have influenced program design and implementation. </w:t>
      </w:r>
    </w:p>
    <w:p w14:paraId="052A41CB" w14:textId="77777777" w:rsidR="00C80A0C" w:rsidRDefault="005E499E">
      <w:pPr>
        <w:numPr>
          <w:ilvl w:val="0"/>
          <w:numId w:val="10"/>
        </w:numPr>
        <w:spacing w:after="0" w:line="265" w:lineRule="auto"/>
        <w:ind w:right="6" w:hanging="360"/>
      </w:pPr>
      <w:r>
        <w:rPr>
          <w:color w:val="000000"/>
        </w:rPr>
        <w:t xml:space="preserve">A demonstrated commitment to frameworks and/or quality benchmarking ensuring priority populations are front and centre, for example Rainbow Tick Accreditation, an evolving Accessibility Action Plan </w:t>
      </w:r>
    </w:p>
    <w:p w14:paraId="412AC9DC" w14:textId="77777777" w:rsidR="00C80A0C" w:rsidRDefault="005E499E">
      <w:pPr>
        <w:spacing w:after="275" w:line="263" w:lineRule="auto"/>
        <w:ind w:left="730" w:right="6"/>
      </w:pPr>
      <w:r>
        <w:rPr>
          <w:color w:val="000000"/>
        </w:rPr>
        <w:t xml:space="preserve">and readily available in language resources tailored to each service sites local Communities/languages most spoken. </w:t>
      </w:r>
    </w:p>
    <w:p w14:paraId="218ED0D8" w14:textId="77777777" w:rsidR="00C80A0C" w:rsidRDefault="005E499E">
      <w:pPr>
        <w:pStyle w:val="Heading2"/>
        <w:spacing w:after="314"/>
        <w:ind w:left="-5"/>
      </w:pPr>
      <w:r>
        <w:t xml:space="preserve">Local knowledge and place-based approaches </w:t>
      </w:r>
    </w:p>
    <w:p w14:paraId="7EEEB2BA" w14:textId="77777777" w:rsidR="00C80A0C" w:rsidRDefault="005E499E">
      <w:pPr>
        <w:numPr>
          <w:ilvl w:val="0"/>
          <w:numId w:val="11"/>
        </w:numPr>
        <w:spacing w:after="29" w:line="263" w:lineRule="auto"/>
        <w:ind w:right="6" w:hanging="360"/>
      </w:pPr>
      <w:r>
        <w:rPr>
          <w:color w:val="000000"/>
        </w:rPr>
        <w:t xml:space="preserve">A demonstration of how the service responds to local conditions and priorities, for example housing stress, cost of living pressures and/or social isolation. </w:t>
      </w:r>
    </w:p>
    <w:p w14:paraId="264B759E" w14:textId="77777777" w:rsidR="00C80A0C" w:rsidRDefault="005E499E">
      <w:pPr>
        <w:numPr>
          <w:ilvl w:val="0"/>
          <w:numId w:val="11"/>
        </w:numPr>
        <w:spacing w:after="29" w:line="263" w:lineRule="auto"/>
        <w:ind w:right="6" w:hanging="360"/>
      </w:pPr>
      <w:r>
        <w:rPr>
          <w:color w:val="000000"/>
        </w:rPr>
        <w:t xml:space="preserve">Include examples of place-based strategies (ideally achieved in partnership) that strengthens social cohesion and wellbeing. </w:t>
      </w:r>
    </w:p>
    <w:p w14:paraId="37EC058A" w14:textId="77777777" w:rsidR="00C80A0C" w:rsidRDefault="005E499E">
      <w:pPr>
        <w:numPr>
          <w:ilvl w:val="0"/>
          <w:numId w:val="11"/>
        </w:numPr>
        <w:spacing w:after="274" w:line="263" w:lineRule="auto"/>
        <w:ind w:right="6" w:hanging="360"/>
      </w:pPr>
      <w:r>
        <w:rPr>
          <w:color w:val="000000"/>
        </w:rPr>
        <w:t xml:space="preserve">An explanation of how the service leverages existing community assets and networks to deliver holistic support. </w:t>
      </w:r>
    </w:p>
    <w:p w14:paraId="749D627C" w14:textId="77777777" w:rsidR="00C80A0C" w:rsidRDefault="005E499E">
      <w:pPr>
        <w:pStyle w:val="Heading2"/>
        <w:spacing w:after="316"/>
        <w:ind w:left="-5"/>
      </w:pPr>
      <w:r>
        <w:t xml:space="preserve">Partnership and integrated service models </w:t>
      </w:r>
    </w:p>
    <w:p w14:paraId="54D829B4" w14:textId="77777777" w:rsidR="00C80A0C" w:rsidRDefault="005E499E">
      <w:pPr>
        <w:numPr>
          <w:ilvl w:val="0"/>
          <w:numId w:val="12"/>
        </w:numPr>
        <w:spacing w:after="30" w:line="263" w:lineRule="auto"/>
        <w:ind w:right="6" w:hanging="360"/>
      </w:pPr>
      <w:r>
        <w:rPr>
          <w:color w:val="000000"/>
        </w:rPr>
        <w:t xml:space="preserve">Evidence of collaborative relationships with other local services (for </w:t>
      </w:r>
      <w:proofErr w:type="spellStart"/>
      <w:r>
        <w:rPr>
          <w:color w:val="000000"/>
        </w:rPr>
        <w:t>e.g</w:t>
      </w:r>
      <w:proofErr w:type="spellEnd"/>
      <w:r>
        <w:rPr>
          <w:color w:val="000000"/>
        </w:rPr>
        <w:t xml:space="preserve"> health, education, housing, specialist family violence services) to reduce fragmentation. </w:t>
      </w:r>
    </w:p>
    <w:p w14:paraId="03C4C592" w14:textId="77777777" w:rsidR="00C80A0C" w:rsidRDefault="005E499E">
      <w:pPr>
        <w:numPr>
          <w:ilvl w:val="0"/>
          <w:numId w:val="12"/>
        </w:numPr>
        <w:spacing w:after="29" w:line="263" w:lineRule="auto"/>
        <w:ind w:right="6" w:hanging="360"/>
      </w:pPr>
      <w:r>
        <w:rPr>
          <w:color w:val="000000"/>
        </w:rPr>
        <w:lastRenderedPageBreak/>
        <w:t xml:space="preserve">A description of mechanisms for shared case planning and coordination, joint training, and integrated referral pathways. </w:t>
      </w:r>
    </w:p>
    <w:p w14:paraId="2EDC2A16" w14:textId="77777777" w:rsidR="00C80A0C" w:rsidRDefault="005E499E">
      <w:pPr>
        <w:numPr>
          <w:ilvl w:val="0"/>
          <w:numId w:val="12"/>
        </w:numPr>
        <w:spacing w:after="29" w:line="263" w:lineRule="auto"/>
        <w:ind w:right="6" w:hanging="360"/>
      </w:pPr>
      <w:r>
        <w:rPr>
          <w:color w:val="000000"/>
        </w:rPr>
        <w:t xml:space="preserve">Include data and deidentified case studies showing positive impacts for children, young Peoples, families, and Communities (e.g. improved wellbeing, reduced child protection involvement). </w:t>
      </w:r>
    </w:p>
    <w:p w14:paraId="4F4762BC" w14:textId="77777777" w:rsidR="00C80A0C" w:rsidRDefault="005E499E">
      <w:pPr>
        <w:numPr>
          <w:ilvl w:val="0"/>
          <w:numId w:val="12"/>
        </w:numPr>
        <w:spacing w:after="30" w:line="263" w:lineRule="auto"/>
        <w:ind w:right="6" w:hanging="360"/>
      </w:pPr>
      <w:r>
        <w:rPr>
          <w:color w:val="000000"/>
        </w:rPr>
        <w:t xml:space="preserve">Show how outcomes are measured using Community informed indicators, not just compliance metrics. </w:t>
      </w:r>
    </w:p>
    <w:p w14:paraId="00A3B0D9" w14:textId="77777777" w:rsidR="00C80A0C" w:rsidRDefault="005E499E">
      <w:pPr>
        <w:numPr>
          <w:ilvl w:val="0"/>
          <w:numId w:val="12"/>
        </w:numPr>
        <w:spacing w:after="239" w:line="263" w:lineRule="auto"/>
        <w:ind w:right="6" w:hanging="360"/>
      </w:pPr>
      <w:r>
        <w:rPr>
          <w:color w:val="000000"/>
        </w:rPr>
        <w:t xml:space="preserve">Highlight any innovative practices that emerged from Community input and has proven effective.  </w:t>
      </w:r>
    </w:p>
    <w:p w14:paraId="22C4338D" w14:textId="77777777" w:rsidR="00C80A0C" w:rsidRDefault="005E499E">
      <w:pPr>
        <w:pStyle w:val="Heading2"/>
        <w:spacing w:after="314"/>
        <w:ind w:left="-5"/>
      </w:pPr>
      <w:r>
        <w:t xml:space="preserve">Accessibility and equity </w:t>
      </w:r>
    </w:p>
    <w:p w14:paraId="5BFA5CF9" w14:textId="77777777" w:rsidR="00C80A0C" w:rsidRDefault="005E499E">
      <w:pPr>
        <w:numPr>
          <w:ilvl w:val="0"/>
          <w:numId w:val="13"/>
        </w:numPr>
        <w:spacing w:after="30" w:line="263" w:lineRule="auto"/>
        <w:ind w:right="6" w:hanging="360"/>
      </w:pPr>
      <w:r>
        <w:rPr>
          <w:color w:val="000000"/>
        </w:rPr>
        <w:t xml:space="preserve">Explain how the service addresses barriers to access (e.g. transport, in language resources which include both culturally, linguistically and/or faith diverse Peoples and/or deaf or hard of hearing Peoples, balanced approaches to ratio scale fee for service). </w:t>
      </w:r>
    </w:p>
    <w:p w14:paraId="2ECD9D01" w14:textId="77777777" w:rsidR="00C80A0C" w:rsidRDefault="005E499E">
      <w:pPr>
        <w:numPr>
          <w:ilvl w:val="0"/>
          <w:numId w:val="13"/>
        </w:numPr>
        <w:spacing w:after="274" w:line="263" w:lineRule="auto"/>
        <w:ind w:right="6" w:hanging="360"/>
      </w:pPr>
      <w:r>
        <w:rPr>
          <w:color w:val="000000"/>
        </w:rPr>
        <w:t xml:space="preserve">Demonstration of commitment to proportionate and targeted universalism where services are available to all, however scaled to meet the needs of those experiencing profound marginalisation. </w:t>
      </w:r>
    </w:p>
    <w:p w14:paraId="210CF7BF" w14:textId="77777777" w:rsidR="00C80A0C" w:rsidRDefault="005E499E">
      <w:pPr>
        <w:spacing w:line="263" w:lineRule="auto"/>
        <w:ind w:left="-5" w:right="6"/>
      </w:pPr>
      <w:r>
        <w:rPr>
          <w:color w:val="000000"/>
        </w:rPr>
        <w:t xml:space="preserve">A basic self-assessment checklist example covering the above is </w:t>
      </w:r>
      <w:r>
        <w:rPr>
          <w:b/>
          <w:color w:val="000000"/>
        </w:rPr>
        <w:t>Appendix Four</w:t>
      </w:r>
      <w:r>
        <w:rPr>
          <w:color w:val="000000"/>
        </w:rPr>
        <w:t xml:space="preserve"> </w:t>
      </w:r>
      <w:r>
        <w:t>(</w:t>
      </w:r>
      <w:r>
        <w:rPr>
          <w:color w:val="627AFF"/>
          <w:u w:val="single" w:color="627AFF"/>
        </w:rPr>
        <w:t>Appendices</w:t>
      </w:r>
      <w:r>
        <w:t>)</w:t>
      </w:r>
      <w:r>
        <w:rPr>
          <w:color w:val="000000"/>
        </w:rPr>
        <w:t xml:space="preserve"> </w:t>
      </w:r>
    </w:p>
    <w:p w14:paraId="09891FB3" w14:textId="77777777" w:rsidR="00C80A0C" w:rsidRDefault="005E499E">
      <w:pPr>
        <w:pStyle w:val="Heading1"/>
        <w:ind w:left="-5"/>
      </w:pPr>
      <w:bookmarkStart w:id="7" w:name="_Toc55832"/>
      <w:r>
        <w:t xml:space="preserve">Responding to community need </w:t>
      </w:r>
      <w:bookmarkEnd w:id="7"/>
    </w:p>
    <w:p w14:paraId="6C91CA2D" w14:textId="77777777" w:rsidR="00C80A0C" w:rsidRDefault="005E499E">
      <w:pPr>
        <w:spacing w:after="283" w:line="259" w:lineRule="auto"/>
        <w:ind w:left="-5"/>
      </w:pPr>
      <w:r>
        <w:rPr>
          <w:rFonts w:ascii="Calibri" w:eastAsia="Calibri" w:hAnsi="Calibri" w:cs="Calibri"/>
          <w:b/>
          <w:color w:val="000000"/>
        </w:rPr>
        <w:t xml:space="preserve">Beyond locational disadvantage, what other factors should the department consider </w:t>
      </w:r>
      <w:proofErr w:type="gramStart"/>
      <w:r>
        <w:rPr>
          <w:rFonts w:ascii="Calibri" w:eastAsia="Calibri" w:hAnsi="Calibri" w:cs="Calibri"/>
          <w:b/>
          <w:color w:val="000000"/>
        </w:rPr>
        <w:t>to make sure</w:t>
      </w:r>
      <w:proofErr w:type="gramEnd"/>
      <w:r>
        <w:rPr>
          <w:rFonts w:ascii="Calibri" w:eastAsia="Calibri" w:hAnsi="Calibri" w:cs="Calibri"/>
          <w:b/>
          <w:color w:val="000000"/>
        </w:rPr>
        <w:t xml:space="preserve"> funding reflects the needs of communities? </w:t>
      </w:r>
    </w:p>
    <w:p w14:paraId="30060A5F" w14:textId="77777777" w:rsidR="00C80A0C" w:rsidRDefault="005E499E">
      <w:pPr>
        <w:spacing w:after="157" w:line="263" w:lineRule="auto"/>
        <w:ind w:left="-5" w:right="6"/>
      </w:pPr>
      <w:r>
        <w:rPr>
          <w:color w:val="000000"/>
        </w:rPr>
        <w:t xml:space="preserve">The ability to take a flexible approach with funding allocations to enable resources can be directed where most needed. Changing needs in the community can happen gradually and quickly and where funding is flexible, the funded organisations will be better equipped to respond to needs.  </w:t>
      </w:r>
    </w:p>
    <w:p w14:paraId="72C8B93F" w14:textId="77777777" w:rsidR="00C80A0C" w:rsidRDefault="005E499E">
      <w:pPr>
        <w:spacing w:after="155" w:line="265" w:lineRule="auto"/>
        <w:ind w:left="0" w:right="35" w:firstLine="0"/>
        <w:jc w:val="both"/>
      </w:pPr>
      <w:r>
        <w:rPr>
          <w:color w:val="000000"/>
        </w:rPr>
        <w:t xml:space="preserve">Having capacity to extend period of support for families to ensure that the </w:t>
      </w:r>
      <w:r>
        <w:rPr>
          <w:color w:val="000000"/>
        </w:rPr>
        <w:t>“</w:t>
      </w:r>
      <w:r>
        <w:rPr>
          <w:color w:val="000000"/>
        </w:rPr>
        <w:t>package</w:t>
      </w:r>
      <w:r>
        <w:rPr>
          <w:color w:val="000000"/>
        </w:rPr>
        <w:t>”</w:t>
      </w:r>
      <w:r>
        <w:rPr>
          <w:color w:val="000000"/>
        </w:rPr>
        <w:t xml:space="preserve"> of support offered meets presenting needs. Nature of work to include longer term connection and focus to meet </w:t>
      </w:r>
      <w:proofErr w:type="spellStart"/>
      <w:r>
        <w:rPr>
          <w:color w:val="000000"/>
        </w:rPr>
        <w:t>families needs</w:t>
      </w:r>
      <w:proofErr w:type="spellEnd"/>
      <w:r>
        <w:rPr>
          <w:color w:val="000000"/>
        </w:rPr>
        <w:t xml:space="preserve"> as they change. </w:t>
      </w:r>
    </w:p>
    <w:p w14:paraId="1977A4D1" w14:textId="77777777" w:rsidR="00C80A0C" w:rsidRDefault="005E499E">
      <w:pPr>
        <w:spacing w:after="184" w:line="263" w:lineRule="auto"/>
        <w:ind w:left="-5" w:right="6"/>
      </w:pPr>
      <w:r>
        <w:rPr>
          <w:color w:val="000000"/>
        </w:rPr>
        <w:t xml:space="preserve">It would be beneficial for the department to consider how geographical borders/regions are considered for organisations. Families that </w:t>
      </w:r>
      <w:proofErr w:type="gramStart"/>
      <w:r>
        <w:rPr>
          <w:color w:val="000000"/>
        </w:rPr>
        <w:t>are connected with</w:t>
      </w:r>
      <w:proofErr w:type="gramEnd"/>
      <w:r>
        <w:rPr>
          <w:color w:val="000000"/>
        </w:rPr>
        <w:t xml:space="preserve"> a service and have plans to move out of the funded region, would often benefit from extended support through the transition to a new area and new services. The approach of having flexibility for geographical borders would also facilitate a flexible approach to supporting a whole family who reside across funding boundaries.  </w:t>
      </w:r>
    </w:p>
    <w:p w14:paraId="1DFAB461" w14:textId="77777777" w:rsidR="00C80A0C" w:rsidRDefault="005E499E">
      <w:pPr>
        <w:spacing w:after="253" w:line="289" w:lineRule="auto"/>
        <w:ind w:left="-5"/>
      </w:pPr>
      <w:r>
        <w:rPr>
          <w:rFonts w:ascii="Calibri" w:eastAsia="Calibri" w:hAnsi="Calibri" w:cs="Calibri"/>
          <w:b/>
          <w:color w:val="000000"/>
        </w:rPr>
        <w:t xml:space="preserve">What’s the best way for organisations to show in grant applications, that their service is genuinely meeting the needs of the community? </w:t>
      </w:r>
    </w:p>
    <w:p w14:paraId="35E6A789" w14:textId="77777777" w:rsidR="00C80A0C" w:rsidRDefault="005E499E">
      <w:pPr>
        <w:spacing w:after="158" w:line="263" w:lineRule="auto"/>
        <w:ind w:left="-5" w:right="6"/>
      </w:pPr>
      <w:r>
        <w:rPr>
          <w:color w:val="000000"/>
        </w:rPr>
        <w:t xml:space="preserve">The best way to commence a response to this question is highlight some of the challenges is developing a grant application response. </w:t>
      </w:r>
    </w:p>
    <w:p w14:paraId="6CB5F262" w14:textId="77777777" w:rsidR="00C80A0C" w:rsidRDefault="005E499E">
      <w:pPr>
        <w:spacing w:after="158" w:line="259" w:lineRule="auto"/>
        <w:ind w:left="-5"/>
      </w:pPr>
      <w:r>
        <w:rPr>
          <w:b/>
          <w:color w:val="000000"/>
          <w:u w:val="single" w:color="000000"/>
        </w:rPr>
        <w:t>Challenges:</w:t>
      </w:r>
      <w:r>
        <w:rPr>
          <w:b/>
          <w:color w:val="000000"/>
        </w:rPr>
        <w:t xml:space="preserve"> </w:t>
      </w:r>
    </w:p>
    <w:p w14:paraId="1B207B9C" w14:textId="77777777" w:rsidR="00C80A0C" w:rsidRDefault="005E499E">
      <w:pPr>
        <w:pStyle w:val="Heading2"/>
        <w:ind w:left="-5"/>
      </w:pPr>
      <w:r>
        <w:t>Word limits can make it challenging to demonstrate genuine need or point of difference</w:t>
      </w:r>
      <w:r>
        <w:rPr>
          <w:b w:val="0"/>
        </w:rPr>
        <w:t xml:space="preserve">  </w:t>
      </w:r>
    </w:p>
    <w:p w14:paraId="4832D9A0" w14:textId="77777777" w:rsidR="00C80A0C" w:rsidRDefault="005E499E">
      <w:pPr>
        <w:spacing w:after="155" w:line="263" w:lineRule="auto"/>
        <w:ind w:left="-5" w:right="6"/>
      </w:pPr>
      <w:r>
        <w:rPr>
          <w:color w:val="000000"/>
        </w:rPr>
        <w:t xml:space="preserve">Grant applications routinely impose </w:t>
      </w:r>
      <w:proofErr w:type="gramStart"/>
      <w:r>
        <w:rPr>
          <w:color w:val="000000"/>
        </w:rPr>
        <w:t>200-400 word</w:t>
      </w:r>
      <w:proofErr w:type="gramEnd"/>
      <w:r>
        <w:rPr>
          <w:color w:val="000000"/>
        </w:rPr>
        <w:t xml:space="preserve"> limits for questions requiring analysis of data, consultation findings, cultural considerations, co-design processes, partnerships, outcomes, and workforce design. A quality service model cannot be described in a few paragraphs. To demonstrate genuine community need, providers need space to outline local demographics, identified service gaps, consultation findings, cultural safety considerations, trauma-informed design, logic modelling and rationale, integration pathways, workforce strategy, an</w:t>
      </w:r>
      <w:r>
        <w:rPr>
          <w:color w:val="000000"/>
        </w:rPr>
        <w:t xml:space="preserve">d governance and quality systems. A realistic model description requires at least 1500 words. Anything less forces superficial responses and rewards vague, generic writing rather than evidence-based, community-led models. There should also always be the potential to upload diagrams and flowcharts to demonstrate the model (consumer journey, program logics etc)  </w:t>
      </w:r>
    </w:p>
    <w:p w14:paraId="61D3B3AD" w14:textId="77777777" w:rsidR="00C80A0C" w:rsidRDefault="005E499E">
      <w:pPr>
        <w:pStyle w:val="Heading2"/>
        <w:ind w:left="-5"/>
      </w:pPr>
      <w:r>
        <w:lastRenderedPageBreak/>
        <w:t>Tender timeframes (2</w:t>
      </w:r>
      <w:r>
        <w:t>–</w:t>
      </w:r>
      <w:r>
        <w:t>4 weeks) make authentic co-design a significant challenge</w:t>
      </w:r>
      <w:r>
        <w:rPr>
          <w:b w:val="0"/>
        </w:rPr>
        <w:t xml:space="preserve"> </w:t>
      </w:r>
    </w:p>
    <w:p w14:paraId="11A0EAE9" w14:textId="77777777" w:rsidR="00C80A0C" w:rsidRDefault="005E499E">
      <w:pPr>
        <w:spacing w:after="157" w:line="263" w:lineRule="auto"/>
        <w:ind w:left="-5" w:right="6"/>
      </w:pPr>
      <w:r>
        <w:rPr>
          <w:color w:val="000000"/>
        </w:rPr>
        <w:t>True community engagement requires trust, time, relationship-building and iteration. Most tenders are open for 2</w:t>
      </w:r>
      <w:r>
        <w:rPr>
          <w:color w:val="000000"/>
        </w:rPr>
        <w:t>–</w:t>
      </w:r>
      <w:r>
        <w:rPr>
          <w:color w:val="000000"/>
        </w:rPr>
        <w:t xml:space="preserve">5 weeks, an impossible timeframe for consultations, co-design workshops, partnership development, consortium negotiations, workforce planning, costing, risk assessment, governance arrangements and evidence synthesis. The structural contradiction is that where </w:t>
      </w:r>
      <w:r>
        <w:rPr>
          <w:color w:val="000000"/>
        </w:rPr>
        <w:t>“demonstrated co</w:t>
      </w:r>
      <w:r>
        <w:rPr>
          <w:color w:val="000000"/>
        </w:rPr>
        <w:t>-</w:t>
      </w:r>
      <w:r>
        <w:rPr>
          <w:color w:val="000000"/>
        </w:rPr>
        <w:t>design”</w:t>
      </w:r>
      <w:r>
        <w:rPr>
          <w:color w:val="000000"/>
        </w:rPr>
        <w:t xml:space="preserve"> is required, short timeframes make such engagement unachievable.  </w:t>
      </w:r>
    </w:p>
    <w:p w14:paraId="6560B82C" w14:textId="77777777" w:rsidR="00C80A0C" w:rsidRDefault="005E499E">
      <w:pPr>
        <w:pStyle w:val="Heading2"/>
        <w:ind w:left="-5"/>
      </w:pPr>
      <w:r>
        <w:t>Unrealistic program roll-</w:t>
      </w:r>
      <w:r>
        <w:t>out timelines undermine the ability to demonstrate community need</w:t>
      </w:r>
      <w:r>
        <w:rPr>
          <w:b w:val="0"/>
        </w:rPr>
        <w:t xml:space="preserve">  </w:t>
      </w:r>
    </w:p>
    <w:p w14:paraId="4A864D6B" w14:textId="77777777" w:rsidR="00C80A0C" w:rsidRDefault="005E499E">
      <w:pPr>
        <w:spacing w:after="155" w:line="263" w:lineRule="auto"/>
        <w:ind w:left="-5" w:right="6"/>
      </w:pPr>
      <w:r>
        <w:rPr>
          <w:color w:val="000000"/>
        </w:rPr>
        <w:t>Even when a service is funded, program roll-out timelines can be unrealistic. Providers are often expected to mobilise within 4</w:t>
      </w:r>
      <w:r>
        <w:rPr>
          <w:color w:val="000000"/>
        </w:rPr>
        <w:t>–</w:t>
      </w:r>
      <w:r>
        <w:rPr>
          <w:color w:val="000000"/>
        </w:rPr>
        <w:t>8 weeks, despite national workforce shortages, property constraints, procurement requirements, mandatory onboarding processes, and the time required to embed governance, supervision, clinical pathways and cultural partnerships. This forces organisations to submit models that look deliverable on paper but are not operationally feasible in the timeframe. When mobilisation periods are too short, organisations cannot demonstrate genuine community need because they cannot describe a model that can be safely impl</w:t>
      </w:r>
      <w:r>
        <w:rPr>
          <w:color w:val="000000"/>
        </w:rPr>
        <w:t xml:space="preserve">emented, staffed, or governed under the imposed rollout schedule. Realistic commencement timeframes are essential for honesty, safety and credibility in grant applications.  </w:t>
      </w:r>
    </w:p>
    <w:p w14:paraId="1D54EF1E" w14:textId="77777777" w:rsidR="00C80A0C" w:rsidRDefault="005E499E">
      <w:pPr>
        <w:spacing w:after="0" w:line="259" w:lineRule="auto"/>
        <w:ind w:left="0" w:firstLine="0"/>
      </w:pPr>
      <w:r>
        <w:rPr>
          <w:color w:val="FD752C"/>
        </w:rPr>
        <w:t xml:space="preserve">  </w:t>
      </w:r>
    </w:p>
    <w:p w14:paraId="5E66254B" w14:textId="77777777" w:rsidR="00C80A0C" w:rsidRDefault="005E499E">
      <w:pPr>
        <w:pStyle w:val="Heading2"/>
        <w:ind w:left="-5"/>
      </w:pPr>
      <w:r>
        <w:t>Unrealistic costing expectations force providers to distort the truth</w:t>
      </w:r>
      <w:r>
        <w:rPr>
          <w:b w:val="0"/>
        </w:rPr>
        <w:t xml:space="preserve">  </w:t>
      </w:r>
    </w:p>
    <w:p w14:paraId="0FB18E75" w14:textId="77777777" w:rsidR="00C80A0C" w:rsidRDefault="005E499E">
      <w:pPr>
        <w:spacing w:after="155" w:line="263" w:lineRule="auto"/>
        <w:ind w:left="-5" w:right="6"/>
      </w:pPr>
      <w:r>
        <w:rPr>
          <w:color w:val="000000"/>
        </w:rPr>
        <w:t>A major barrier to demonstrating community need is the inability to truthfully cost a model. Current tender frameworks routinely cap indirect costs at 5</w:t>
      </w:r>
      <w:r>
        <w:rPr>
          <w:color w:val="000000"/>
        </w:rPr>
        <w:t>–</w:t>
      </w:r>
      <w:r>
        <w:rPr>
          <w:color w:val="000000"/>
        </w:rPr>
        <w:t xml:space="preserve">10%, do not recognise essential infrastructure and compliance costs, and prohibit necessary investment in IT, evaluation, quality, supervision and workforce development. These artificial caps force not-for-profits into chronic underinvestment, weakening safety, capability and outcomes. If DSS wants organisations to present genuine models that meet community need, full-cost funding must be allowed. Anything less incentivises distortion and produces artificially cheap models that can fail in practice.  </w:t>
      </w:r>
    </w:p>
    <w:p w14:paraId="29B2DAAC" w14:textId="77777777" w:rsidR="00C80A0C" w:rsidRDefault="005E499E">
      <w:pPr>
        <w:spacing w:after="158" w:line="259" w:lineRule="auto"/>
        <w:ind w:left="-5"/>
      </w:pPr>
      <w:r>
        <w:rPr>
          <w:b/>
          <w:color w:val="000000"/>
          <w:u w:val="single" w:color="000000"/>
        </w:rPr>
        <w:t>Opportunities:</w:t>
      </w:r>
      <w:r>
        <w:rPr>
          <w:b/>
          <w:color w:val="000000"/>
        </w:rPr>
        <w:t xml:space="preserve"> </w:t>
      </w:r>
    </w:p>
    <w:p w14:paraId="4D7BCCDA" w14:textId="77777777" w:rsidR="00C80A0C" w:rsidRDefault="005E499E">
      <w:pPr>
        <w:pStyle w:val="Heading2"/>
        <w:ind w:left="-5"/>
      </w:pPr>
      <w:r>
        <w:t>Past performance must be a meaningful assessment factor</w:t>
      </w:r>
      <w:r>
        <w:rPr>
          <w:b w:val="0"/>
        </w:rPr>
        <w:t xml:space="preserve"> </w:t>
      </w:r>
      <w:r>
        <w:rPr>
          <w:b w:val="0"/>
          <w:color w:val="FD752C"/>
        </w:rPr>
        <w:t xml:space="preserve"> </w:t>
      </w:r>
    </w:p>
    <w:p w14:paraId="216EB544" w14:textId="77777777" w:rsidR="00C80A0C" w:rsidRDefault="005E499E">
      <w:pPr>
        <w:spacing w:after="160" w:line="263" w:lineRule="auto"/>
        <w:ind w:left="-5" w:right="6"/>
      </w:pPr>
      <w:r>
        <w:rPr>
          <w:color w:val="000000"/>
        </w:rPr>
        <w:t xml:space="preserve">The strongest indicator that a service meets community need is past performance. If government wants truth in demonstrating community need, past performance must be weighted significantly in procurement decisions. </w:t>
      </w:r>
      <w:r>
        <w:rPr>
          <w:color w:val="FD752C"/>
        </w:rPr>
        <w:t xml:space="preserve"> </w:t>
      </w:r>
      <w:r>
        <w:rPr>
          <w:color w:val="000000"/>
        </w:rPr>
        <w:t xml:space="preserve"> </w:t>
      </w:r>
    </w:p>
    <w:p w14:paraId="2F2CC506" w14:textId="77777777" w:rsidR="00C80A0C" w:rsidRDefault="005E499E">
      <w:pPr>
        <w:spacing w:after="157" w:line="263" w:lineRule="auto"/>
        <w:ind w:left="-5" w:right="6"/>
      </w:pPr>
      <w:r>
        <w:rPr>
          <w:color w:val="000000"/>
        </w:rPr>
        <w:t xml:space="preserve">Multiple Royal Commissions have now confirmed the systemic failure of </w:t>
      </w:r>
      <w:proofErr w:type="spellStart"/>
      <w:r>
        <w:rPr>
          <w:color w:val="000000"/>
        </w:rPr>
        <w:t>marketised</w:t>
      </w:r>
      <w:proofErr w:type="spellEnd"/>
      <w:r>
        <w:rPr>
          <w:color w:val="000000"/>
        </w:rPr>
        <w:t xml:space="preserve"> approaches in social services. The Aged Care Royal Commission found that marketisation and for-profit ownership drove chronic understaffing and unsafe care. The Disability Royal Commission found that competitive, price-driven markets leave people with high and complex needs underserved. The Victorian Mental Health Royal Commission found that competitive procurement produced fragmentation, duplication and instability. Child protection inquiries across several jurisdictions have shown that contesta</w:t>
      </w:r>
      <w:r>
        <w:rPr>
          <w:color w:val="000000"/>
        </w:rPr>
        <w:t xml:space="preserve">ble contracting results in unstable, inconsistent and unsafe care arrangements. Competition does not strengthen social services; it weakens them.  </w:t>
      </w:r>
    </w:p>
    <w:p w14:paraId="638F506B" w14:textId="77777777" w:rsidR="00C80A0C" w:rsidRDefault="005E499E">
      <w:pPr>
        <w:pStyle w:val="Heading2"/>
        <w:ind w:left="-5"/>
      </w:pPr>
      <w:r>
        <w:t>Workforce requirements must reflect the actual labour market</w:t>
      </w:r>
      <w:r>
        <w:rPr>
          <w:b w:val="0"/>
        </w:rPr>
        <w:t xml:space="preserve"> </w:t>
      </w:r>
      <w:r>
        <w:rPr>
          <w:b w:val="0"/>
          <w:color w:val="FD752C"/>
        </w:rPr>
        <w:t xml:space="preserve"> </w:t>
      </w:r>
    </w:p>
    <w:p w14:paraId="0C0CFF87" w14:textId="77777777" w:rsidR="00C80A0C" w:rsidRDefault="005E499E">
      <w:pPr>
        <w:spacing w:after="157" w:line="263" w:lineRule="auto"/>
        <w:ind w:left="-5" w:right="6"/>
      </w:pPr>
      <w:r>
        <w:rPr>
          <w:color w:val="000000"/>
        </w:rPr>
        <w:t xml:space="preserve">Grant applications often assume the availability of workforce that simply does not exist. Australia faces national shortages across mental health, child and family, disability and </w:t>
      </w:r>
      <w:proofErr w:type="spellStart"/>
      <w:r>
        <w:rPr>
          <w:color w:val="000000"/>
        </w:rPr>
        <w:t>AoD</w:t>
      </w:r>
      <w:proofErr w:type="spellEnd"/>
      <w:r>
        <w:rPr>
          <w:color w:val="000000"/>
        </w:rPr>
        <w:t xml:space="preserve"> sectors. Demonstrating community need requires demonstrating deliverability, and deliverability requires realistic workforce assumptions.  </w:t>
      </w:r>
    </w:p>
    <w:p w14:paraId="69B38BAC" w14:textId="77777777" w:rsidR="00C80A0C" w:rsidRDefault="005E499E">
      <w:pPr>
        <w:pStyle w:val="Heading2"/>
        <w:ind w:left="-5"/>
      </w:pPr>
      <w:r>
        <w:t>Block funding enables genuine demonstration of community need</w:t>
      </w:r>
      <w:r>
        <w:rPr>
          <w:b w:val="0"/>
        </w:rPr>
        <w:t xml:space="preserve">  </w:t>
      </w:r>
    </w:p>
    <w:p w14:paraId="28023714" w14:textId="77777777" w:rsidR="00C80A0C" w:rsidRDefault="005E499E">
      <w:pPr>
        <w:spacing w:after="158" w:line="263" w:lineRule="auto"/>
        <w:ind w:left="-5" w:right="6"/>
      </w:pPr>
      <w:r>
        <w:rPr>
          <w:color w:val="000000"/>
        </w:rPr>
        <w:t xml:space="preserve">Block funding provides stability, continuity, long-term workforce development, sustained co-design, and the ability to invest in quality, safety and evaluation. It enables providers to respond flexibly to emerging need, tailor models locally, cultivate culturally grounded approaches and embed long-term community partnerships. </w:t>
      </w:r>
      <w:r>
        <w:rPr>
          <w:color w:val="000000"/>
        </w:rPr>
        <w:lastRenderedPageBreak/>
        <w:t xml:space="preserve">Block funding is the only mechanism that supports both demonstration and delivery of genuine </w:t>
      </w:r>
      <w:proofErr w:type="spellStart"/>
      <w:r>
        <w:rPr>
          <w:color w:val="000000"/>
        </w:rPr>
        <w:t>communitydriven</w:t>
      </w:r>
      <w:proofErr w:type="spellEnd"/>
      <w:r>
        <w:rPr>
          <w:color w:val="000000"/>
        </w:rPr>
        <w:t xml:space="preserve"> services.  </w:t>
      </w:r>
    </w:p>
    <w:p w14:paraId="7807BBD3" w14:textId="77777777" w:rsidR="00C80A0C" w:rsidRDefault="005E499E">
      <w:pPr>
        <w:pStyle w:val="Heading2"/>
        <w:ind w:left="-5"/>
      </w:pPr>
      <w:r>
        <w:t>Meaningful feedback is essential to improving how organisations demonstrate community need</w:t>
      </w:r>
      <w:r>
        <w:rPr>
          <w:b w:val="0"/>
        </w:rPr>
        <w:t xml:space="preserve">  </w:t>
      </w:r>
    </w:p>
    <w:p w14:paraId="5BBD8B61" w14:textId="77777777" w:rsidR="00C80A0C" w:rsidRDefault="005E499E">
      <w:pPr>
        <w:spacing w:after="158" w:line="263" w:lineRule="auto"/>
        <w:ind w:left="-5" w:right="6"/>
      </w:pPr>
      <w:r>
        <w:rPr>
          <w:color w:val="000000"/>
        </w:rPr>
        <w:t>Another barrier to demonstrating community need is the lack of meaningful, specific feedback from assessment panels. Providers invest significant resource time, evidence and community engagement into submissions, yet often receive generic, one-line feedback that neither explains scoring nor identifies areas for improvement. Without clear reasons for unsuccessful bids, organisations cannot refine their needs assessments, strengthen partnership approaches, improve data use, or enhance cultural safety and enga</w:t>
      </w:r>
      <w:r>
        <w:rPr>
          <w:color w:val="000000"/>
        </w:rPr>
        <w:t xml:space="preserve">gement strategies. High-quality feedback is a basic accountability requirement especially when government expects high-quality applications. If DSS wants organisations to demonstrate community need effectively, it must provide transparent, detailed, and actionable feedback that supports continuous improvement across the sector.  </w:t>
      </w:r>
    </w:p>
    <w:p w14:paraId="119900A7" w14:textId="77777777" w:rsidR="00C80A0C" w:rsidRDefault="005E499E">
      <w:pPr>
        <w:pStyle w:val="Heading2"/>
        <w:spacing w:after="194"/>
        <w:ind w:left="-5"/>
      </w:pPr>
      <w:r>
        <w:rPr>
          <w:b w:val="0"/>
        </w:rPr>
        <w:t xml:space="preserve"> </w:t>
      </w:r>
      <w:r>
        <w:t xml:space="preserve">Organisations should be asked to demonstrate or provide evidence of </w:t>
      </w:r>
    </w:p>
    <w:p w14:paraId="35BAB62C" w14:textId="77777777" w:rsidR="00C80A0C" w:rsidRDefault="005E499E">
      <w:pPr>
        <w:numPr>
          <w:ilvl w:val="0"/>
          <w:numId w:val="14"/>
        </w:numPr>
        <w:spacing w:line="263" w:lineRule="auto"/>
        <w:ind w:right="6" w:hanging="360"/>
      </w:pPr>
      <w:r>
        <w:rPr>
          <w:color w:val="000000"/>
        </w:rPr>
        <w:t xml:space="preserve">community relationships </w:t>
      </w:r>
    </w:p>
    <w:p w14:paraId="56EB95F7" w14:textId="77777777" w:rsidR="00C80A0C" w:rsidRDefault="005E499E">
      <w:pPr>
        <w:numPr>
          <w:ilvl w:val="0"/>
          <w:numId w:val="14"/>
        </w:numPr>
        <w:spacing w:line="263" w:lineRule="auto"/>
        <w:ind w:right="6" w:hanging="360"/>
      </w:pPr>
      <w:r>
        <w:rPr>
          <w:color w:val="000000"/>
        </w:rPr>
        <w:t xml:space="preserve">Client feedback data </w:t>
      </w:r>
    </w:p>
    <w:p w14:paraId="26E518B9" w14:textId="77777777" w:rsidR="00C80A0C" w:rsidRDefault="005E499E">
      <w:pPr>
        <w:numPr>
          <w:ilvl w:val="0"/>
          <w:numId w:val="14"/>
        </w:numPr>
        <w:spacing w:line="263" w:lineRule="auto"/>
        <w:ind w:right="6" w:hanging="360"/>
      </w:pPr>
      <w:r>
        <w:rPr>
          <w:color w:val="000000"/>
        </w:rPr>
        <w:t xml:space="preserve">Partnerships </w:t>
      </w:r>
    </w:p>
    <w:p w14:paraId="3DF22B94" w14:textId="77777777" w:rsidR="00C80A0C" w:rsidRDefault="005E499E">
      <w:pPr>
        <w:numPr>
          <w:ilvl w:val="0"/>
          <w:numId w:val="14"/>
        </w:numPr>
        <w:spacing w:line="263" w:lineRule="auto"/>
        <w:ind w:right="6" w:hanging="360"/>
      </w:pPr>
      <w:r>
        <w:rPr>
          <w:color w:val="000000"/>
        </w:rPr>
        <w:t xml:space="preserve">Knowing their community needs (outside of ABS Stats), local trends/emerging needs </w:t>
      </w:r>
    </w:p>
    <w:p w14:paraId="0E7E935A" w14:textId="77777777" w:rsidR="00C80A0C" w:rsidRDefault="005E499E">
      <w:pPr>
        <w:numPr>
          <w:ilvl w:val="0"/>
          <w:numId w:val="14"/>
        </w:numPr>
        <w:spacing w:line="263" w:lineRule="auto"/>
        <w:ind w:right="6" w:hanging="360"/>
      </w:pPr>
      <w:r>
        <w:rPr>
          <w:color w:val="000000"/>
        </w:rPr>
        <w:t xml:space="preserve">Facilitated referral pathways and data </w:t>
      </w:r>
    </w:p>
    <w:p w14:paraId="28E79B38" w14:textId="77777777" w:rsidR="00C80A0C" w:rsidRDefault="005E499E">
      <w:pPr>
        <w:numPr>
          <w:ilvl w:val="0"/>
          <w:numId w:val="14"/>
        </w:numPr>
        <w:spacing w:line="263" w:lineRule="auto"/>
        <w:ind w:right="6" w:hanging="360"/>
      </w:pPr>
      <w:r>
        <w:rPr>
          <w:color w:val="000000"/>
        </w:rPr>
        <w:t xml:space="preserve">Service demand (met and unmet) </w:t>
      </w:r>
    </w:p>
    <w:p w14:paraId="583A7DAC" w14:textId="77777777" w:rsidR="00C80A0C" w:rsidRDefault="005E499E">
      <w:pPr>
        <w:numPr>
          <w:ilvl w:val="0"/>
          <w:numId w:val="14"/>
        </w:numPr>
        <w:spacing w:line="263" w:lineRule="auto"/>
        <w:ind w:right="6" w:hanging="360"/>
      </w:pPr>
      <w:r>
        <w:rPr>
          <w:color w:val="000000"/>
        </w:rPr>
        <w:t xml:space="preserve">Staff retention data </w:t>
      </w:r>
    </w:p>
    <w:p w14:paraId="56F41084" w14:textId="77777777" w:rsidR="00C80A0C" w:rsidRDefault="005E499E">
      <w:pPr>
        <w:numPr>
          <w:ilvl w:val="0"/>
          <w:numId w:val="14"/>
        </w:numPr>
        <w:spacing w:line="263" w:lineRule="auto"/>
        <w:ind w:right="6" w:hanging="360"/>
      </w:pPr>
      <w:r>
        <w:rPr>
          <w:color w:val="000000"/>
        </w:rPr>
        <w:t xml:space="preserve">Examples of where the org has responded to need and delivered effective interventions </w:t>
      </w:r>
    </w:p>
    <w:p w14:paraId="6C2A7A68" w14:textId="77777777" w:rsidR="00C80A0C" w:rsidRDefault="005E499E">
      <w:pPr>
        <w:numPr>
          <w:ilvl w:val="0"/>
          <w:numId w:val="14"/>
        </w:numPr>
        <w:spacing w:line="263" w:lineRule="auto"/>
        <w:ind w:right="6" w:hanging="360"/>
      </w:pPr>
      <w:r>
        <w:rPr>
          <w:color w:val="000000"/>
        </w:rPr>
        <w:t xml:space="preserve">Voice of families and their experiences shaping service development </w:t>
      </w:r>
    </w:p>
    <w:p w14:paraId="34A6DB8C" w14:textId="77777777" w:rsidR="00C80A0C" w:rsidRDefault="005E499E">
      <w:pPr>
        <w:numPr>
          <w:ilvl w:val="0"/>
          <w:numId w:val="14"/>
        </w:numPr>
        <w:spacing w:line="263" w:lineRule="auto"/>
        <w:ind w:right="6" w:hanging="360"/>
      </w:pPr>
      <w:r>
        <w:rPr>
          <w:color w:val="000000"/>
        </w:rPr>
        <w:t xml:space="preserve">Incident and Feedback data </w:t>
      </w:r>
    </w:p>
    <w:p w14:paraId="004155C4" w14:textId="77777777" w:rsidR="00C80A0C" w:rsidRDefault="005E499E">
      <w:pPr>
        <w:numPr>
          <w:ilvl w:val="0"/>
          <w:numId w:val="14"/>
        </w:numPr>
        <w:spacing w:after="517" w:line="263" w:lineRule="auto"/>
        <w:ind w:right="6" w:hanging="360"/>
      </w:pPr>
      <w:r>
        <w:rPr>
          <w:color w:val="000000"/>
        </w:rPr>
        <w:t xml:space="preserve">Governance frameworks </w:t>
      </w:r>
    </w:p>
    <w:p w14:paraId="6583F3C0" w14:textId="77777777" w:rsidR="00C80A0C" w:rsidRDefault="005E499E">
      <w:pPr>
        <w:pStyle w:val="Heading1"/>
        <w:ind w:left="-5"/>
      </w:pPr>
      <w:bookmarkStart w:id="8" w:name="_Toc55833"/>
      <w:r>
        <w:t xml:space="preserve">Improving outcomes for Aboriginal and Torres </w:t>
      </w:r>
      <w:bookmarkEnd w:id="8"/>
    </w:p>
    <w:p w14:paraId="122B0BC2" w14:textId="77777777" w:rsidR="00C80A0C" w:rsidRDefault="005E499E">
      <w:pPr>
        <w:pStyle w:val="Heading1"/>
        <w:ind w:left="-5"/>
      </w:pPr>
      <w:bookmarkStart w:id="9" w:name="_Toc55834"/>
      <w:r>
        <w:t xml:space="preserve">Strait Islander children and families </w:t>
      </w:r>
      <w:bookmarkEnd w:id="9"/>
    </w:p>
    <w:p w14:paraId="186ECEC5" w14:textId="77777777" w:rsidR="00C80A0C" w:rsidRDefault="005E499E">
      <w:pPr>
        <w:spacing w:after="283" w:line="259" w:lineRule="auto"/>
        <w:ind w:left="-5"/>
      </w:pPr>
      <w:r>
        <w:rPr>
          <w:rFonts w:ascii="Calibri" w:eastAsia="Calibri" w:hAnsi="Calibri" w:cs="Calibri"/>
          <w:b/>
          <w:color w:val="000000"/>
        </w:rPr>
        <w:t xml:space="preserve">How could the grant process be designed to support and increase the number of ACCOs delivering services to children and families? </w:t>
      </w:r>
    </w:p>
    <w:p w14:paraId="6DFF255E" w14:textId="77777777" w:rsidR="00C80A0C" w:rsidRDefault="005E499E">
      <w:pPr>
        <w:spacing w:after="157" w:line="263" w:lineRule="auto"/>
        <w:ind w:left="-5" w:right="6"/>
      </w:pPr>
      <w:r>
        <w:rPr>
          <w:color w:val="000000"/>
        </w:rPr>
        <w:t xml:space="preserve">Each as a mainstream service will enact our collective ethics of cultural humility and amplify the voices of First Nations Peoples, Communities, ACCOs, ACCHOs and the Coalition of Peaks in this sector. </w:t>
      </w:r>
    </w:p>
    <w:p w14:paraId="70498420" w14:textId="77777777" w:rsidR="00C80A0C" w:rsidRDefault="005E499E">
      <w:pPr>
        <w:spacing w:after="160" w:line="263" w:lineRule="auto"/>
        <w:ind w:left="-5" w:right="6"/>
      </w:pPr>
      <w:r>
        <w:rPr>
          <w:color w:val="000000"/>
        </w:rPr>
        <w:t xml:space="preserve">Each supports the Department to implement the Closing the Gap Grant Prioritisation Guide as developed by the National Indigenous Australians Agency (NIAA) alongside the Coalition of Peaks, with particular attention paid to Priority Reform Two: </w:t>
      </w:r>
    </w:p>
    <w:p w14:paraId="4F5EBEED" w14:textId="77777777" w:rsidR="00C80A0C" w:rsidRDefault="005E499E">
      <w:pPr>
        <w:spacing w:after="183"/>
        <w:ind w:left="-5" w:right="9"/>
      </w:pPr>
      <w:r>
        <w:rPr>
          <w:b/>
        </w:rPr>
        <w:t>Clause 55</w:t>
      </w:r>
      <w:r>
        <w:t xml:space="preserve"> of the National Agreement commits all governments to implement measures to increase the proportion of services delivered by Aboriginal and Torres Strait Islander organisations, particularly Community Controlled organisations.</w:t>
      </w:r>
      <w:r>
        <w:rPr>
          <w:vertAlign w:val="superscript"/>
        </w:rPr>
        <w:footnoteReference w:id="42"/>
      </w:r>
      <w:r>
        <w:t xml:space="preserve"> </w:t>
      </w:r>
    </w:p>
    <w:p w14:paraId="00CF7B52" w14:textId="77777777" w:rsidR="00C80A0C" w:rsidRDefault="005E499E">
      <w:pPr>
        <w:spacing w:after="171"/>
        <w:ind w:left="-5" w:right="9"/>
      </w:pPr>
      <w:r>
        <w:t xml:space="preserve">Under </w:t>
      </w:r>
      <w:r>
        <w:rPr>
          <w:b/>
        </w:rPr>
        <w:t>Clause 55(a)</w:t>
      </w:r>
      <w:r>
        <w:t xml:space="preserve"> of the National Agreement, governments </w:t>
      </w:r>
      <w:r>
        <w:t xml:space="preserve">agree to implement funding prioritisation policies across all Closing the Gap outcomes requiring decisions about the provision of services to Aboriginal </w:t>
      </w:r>
      <w:r>
        <w:lastRenderedPageBreak/>
        <w:t>and Torres Strait Islander Peoples and Communities, to preference Aboriginal and Torres Strait Islander Community Controlled organisations and other Aboriginal and Torres Strait Islander organisations.</w:t>
      </w:r>
      <w:r>
        <w:rPr>
          <w:vertAlign w:val="superscript"/>
        </w:rPr>
        <w:footnoteReference w:id="43"/>
      </w:r>
      <w:r>
        <w:t xml:space="preserve"> </w:t>
      </w:r>
    </w:p>
    <w:p w14:paraId="32BA9783" w14:textId="77777777" w:rsidR="00C80A0C" w:rsidRDefault="005E499E">
      <w:pPr>
        <w:spacing w:after="195"/>
        <w:ind w:left="-5" w:right="9"/>
      </w:pPr>
      <w:r>
        <w:rPr>
          <w:b/>
        </w:rPr>
        <w:t>Clause 118 (d)</w:t>
      </w:r>
      <w:r>
        <w:t xml:space="preserve"> Requires Governments to list the number of Aboriginal and Torres Strait Islander Community Controlled organisations and other Aboriginal and Torres Strait Islander organisations that have been allocated funding for the purposes of 55a and 55b of the National Agreement; and subject to confidentiality requirements, also list the names of the organisations and the amount allocated.</w:t>
      </w:r>
      <w:r>
        <w:rPr>
          <w:vertAlign w:val="superscript"/>
        </w:rPr>
        <w:footnoteReference w:id="44"/>
      </w:r>
      <w:r>
        <w:t xml:space="preserve"> </w:t>
      </w:r>
    </w:p>
    <w:p w14:paraId="3B534233" w14:textId="77777777" w:rsidR="00C80A0C" w:rsidRDefault="005E499E">
      <w:pPr>
        <w:spacing w:after="163"/>
        <w:ind w:left="-5" w:right="9"/>
      </w:pPr>
      <w:r>
        <w:t>Taken directly from the Guide</w:t>
      </w:r>
      <w:r>
        <w:rPr>
          <w:vertAlign w:val="superscript"/>
        </w:rPr>
        <w:footnoteReference w:id="45"/>
      </w:r>
      <w:r>
        <w:t>, Each emphatically supports:</w:t>
      </w:r>
      <w:hyperlink r:id="rId77">
        <w:r>
          <w:t xml:space="preserve"> </w:t>
        </w:r>
      </w:hyperlink>
      <w:hyperlink r:id="rId78">
        <w:r>
          <w:rPr>
            <w:color w:val="627AFF"/>
            <w:u w:val="single" w:color="627AFF"/>
          </w:rPr>
          <w:t>Closing the Gap Grants Prioritisation Guide</w:t>
        </w:r>
      </w:hyperlink>
      <w:hyperlink r:id="rId79">
        <w:r>
          <w:t>,</w:t>
        </w:r>
      </w:hyperlink>
      <w:r>
        <w:t xml:space="preserve"> however encourages the Department to further their current approach by taking affirmative action and prioritising the majority of funding for programs designed to work alongside First Nations Peoples under the current Proposal to be directed into ACCOs and ACCHOs only from 2026 </w:t>
      </w:r>
      <w:r>
        <w:t>–</w:t>
      </w:r>
      <w:r>
        <w:t xml:space="preserve"> 2031.  </w:t>
      </w:r>
    </w:p>
    <w:p w14:paraId="041F7A0E" w14:textId="77777777" w:rsidR="00C80A0C" w:rsidRDefault="005E499E">
      <w:pPr>
        <w:spacing w:after="161"/>
        <w:ind w:left="-5" w:right="9"/>
      </w:pPr>
      <w:r>
        <w:t>Each calls for mainstream services who submit grant applications for funding dedicated to First Nations Peoples</w:t>
      </w:r>
      <w:r>
        <w:t>’</w:t>
      </w:r>
      <w:r>
        <w:t xml:space="preserve"> social and emotional wellbeing and/or Closing the Gap initiatives; to provide differing forms of proof of deep and genuine Community connection, for example a letter from a local partner ACCO and/or Land Council outlining the chronology and efficacy of the partnership to date, identified client testimonials and other evidence to outline the direct and ongoing involvement of Community and Elders in the oversight of the provision of mainstream program delivery.  </w:t>
      </w:r>
    </w:p>
    <w:p w14:paraId="469A2CDF" w14:textId="77777777" w:rsidR="00C80A0C" w:rsidRDefault="005E499E">
      <w:pPr>
        <w:spacing w:after="156"/>
        <w:ind w:left="-5" w:right="9"/>
      </w:pPr>
      <w:r>
        <w:t xml:space="preserve">Each understands and supports the importance of options for First Nations Peoples in relation to service offerings within both Community led and mainstream service providers, however it is clear ACCOs and </w:t>
      </w:r>
    </w:p>
    <w:p w14:paraId="23B85349" w14:textId="77777777" w:rsidR="00C80A0C" w:rsidRDefault="005E499E">
      <w:pPr>
        <w:spacing w:after="0" w:line="259" w:lineRule="auto"/>
        <w:ind w:left="0" w:firstLine="0"/>
      </w:pPr>
      <w:r>
        <w:rPr>
          <w:rFonts w:ascii="Calibri" w:eastAsia="Calibri" w:hAnsi="Calibri" w:cs="Calibri"/>
          <w:noProof/>
          <w:color w:val="000000"/>
        </w:rPr>
        <mc:AlternateContent>
          <mc:Choice Requires="wpg">
            <w:drawing>
              <wp:inline distT="0" distB="0" distL="0" distR="0" wp14:anchorId="6CE152F8" wp14:editId="1B38D2CE">
                <wp:extent cx="1829435" cy="7620"/>
                <wp:effectExtent l="0" t="0" r="0" b="0"/>
                <wp:docPr id="48113" name="Group 48113"/>
                <wp:cNvGraphicFramePr/>
                <a:graphic xmlns:a="http://schemas.openxmlformats.org/drawingml/2006/main">
                  <a:graphicData uri="http://schemas.microsoft.com/office/word/2010/wordprocessingGroup">
                    <wpg:wgp>
                      <wpg:cNvGrpSpPr/>
                      <wpg:grpSpPr>
                        <a:xfrm>
                          <a:off x="0" y="0"/>
                          <a:ext cx="1829435" cy="7620"/>
                          <a:chOff x="0" y="0"/>
                          <a:chExt cx="1829435" cy="7620"/>
                        </a:xfrm>
                      </wpg:grpSpPr>
                      <wps:wsp>
                        <wps:cNvPr id="56198" name="Shape 56198"/>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21414"/>
                          </a:fillRef>
                          <a:effectRef idx="0">
                            <a:scrgbClr r="0" g="0" b="0"/>
                          </a:effectRef>
                          <a:fontRef idx="none"/>
                        </wps:style>
                        <wps:bodyPr/>
                      </wps:wsp>
                    </wpg:wgp>
                  </a:graphicData>
                </a:graphic>
              </wp:inline>
            </w:drawing>
          </mc:Choice>
          <mc:Fallback xmlns:a="http://schemas.openxmlformats.org/drawingml/2006/main">
            <w:pict>
              <v:group id="Group 48113" style="width:144.05pt;height:0.600037pt;mso-position-horizontal-relative:char;mso-position-vertical-relative:line" coordsize="18294,76">
                <v:shape id="Shape 56199" style="position:absolute;width:18294;height:91;left:0;top:0;" coordsize="1829435,9144" path="m0,0l1829435,0l1829435,9144l0,9144l0,0">
                  <v:stroke weight="0pt" endcap="flat" joinstyle="miter" miterlimit="10" on="false" color="#000000" opacity="0"/>
                  <v:fill on="true" color="#021414"/>
                </v:shape>
              </v:group>
            </w:pict>
          </mc:Fallback>
        </mc:AlternateContent>
      </w:r>
      <w:r>
        <w:t xml:space="preserve"> </w:t>
      </w:r>
    </w:p>
    <w:p w14:paraId="715FDD0D" w14:textId="77777777" w:rsidR="00C80A0C" w:rsidRDefault="005E499E">
      <w:pPr>
        <w:spacing w:after="187"/>
        <w:ind w:left="-5" w:right="9"/>
      </w:pPr>
      <w:r>
        <w:t>ACCHOs are majority preferred by First Nations Peoples, with ACCOs and ACCHOs consistently delivering stronger outcomes alongside Community as opposed to mainstream.</w:t>
      </w:r>
      <w:r>
        <w:rPr>
          <w:vertAlign w:val="superscript"/>
        </w:rPr>
        <w:footnoteReference w:id="46"/>
      </w:r>
      <w:r>
        <w:t xml:space="preserve"> Alongside this, Each aspires and is committed to being a safe service able to meet the needs of community members who intentionally exercise choice to seek support from a mainstream service. </w:t>
      </w:r>
    </w:p>
    <w:p w14:paraId="05B02B25" w14:textId="77777777" w:rsidR="00C80A0C" w:rsidRDefault="005E499E">
      <w:pPr>
        <w:spacing w:after="283" w:line="259" w:lineRule="auto"/>
        <w:ind w:left="-5"/>
      </w:pPr>
      <w:r>
        <w:rPr>
          <w:rFonts w:ascii="Calibri" w:eastAsia="Calibri" w:hAnsi="Calibri" w:cs="Calibri"/>
          <w:b/>
          <w:color w:val="000000"/>
        </w:rPr>
        <w:t xml:space="preserve">What else should be built into the program design to help improve outcomes for Aboriginal and Torres Strait Islander children and families? </w:t>
      </w:r>
    </w:p>
    <w:p w14:paraId="5273E1D0" w14:textId="77777777" w:rsidR="00C80A0C" w:rsidRDefault="005E499E">
      <w:pPr>
        <w:spacing w:after="155" w:line="263" w:lineRule="auto"/>
        <w:ind w:left="-5" w:right="6"/>
      </w:pPr>
      <w:r>
        <w:rPr>
          <w:color w:val="000000"/>
        </w:rPr>
        <w:t xml:space="preserve">Each supports the creation of First Nations specific Community Hubs (Gathering Places), within the current Australian Community Hubs initiative. Looking at our international evidence base, the following example demonstrates significant community impact: </w:t>
      </w:r>
    </w:p>
    <w:p w14:paraId="42AACB51" w14:textId="77777777" w:rsidR="00C80A0C" w:rsidRDefault="005E499E">
      <w:pPr>
        <w:pStyle w:val="Heading2"/>
        <w:spacing w:after="163"/>
        <w:ind w:left="0" w:firstLine="0"/>
      </w:pPr>
      <w:r>
        <w:t xml:space="preserve">Whānau Ora and </w:t>
      </w:r>
      <w:proofErr w:type="spellStart"/>
      <w:r>
        <w:t>Te</w:t>
      </w:r>
      <w:proofErr w:type="spellEnd"/>
      <w:r>
        <w:t xml:space="preserve"> </w:t>
      </w:r>
      <w:proofErr w:type="spellStart"/>
      <w:proofErr w:type="gramStart"/>
      <w:r>
        <w:t>Aorerekura</w:t>
      </w:r>
      <w:proofErr w:type="spellEnd"/>
      <w:r>
        <w:t xml:space="preserve"> </w:t>
      </w:r>
      <w:r>
        <w:t xml:space="preserve"> -</w:t>
      </w:r>
      <w:proofErr w:type="gramEnd"/>
      <w:r>
        <w:t xml:space="preserve"> Aotearoa/New Zealand </w:t>
      </w:r>
    </w:p>
    <w:p w14:paraId="2D46CBB4" w14:textId="77777777" w:rsidR="00C80A0C" w:rsidRDefault="005E499E">
      <w:pPr>
        <w:spacing w:after="196" w:line="263" w:lineRule="auto"/>
        <w:ind w:left="-5" w:right="6"/>
      </w:pPr>
      <w:r>
        <w:rPr>
          <w:color w:val="000000"/>
        </w:rPr>
        <w:t>Whānau Ora is a Māori</w:t>
      </w:r>
      <w:r>
        <w:rPr>
          <w:color w:val="000000"/>
        </w:rPr>
        <w:t xml:space="preserve"> led, government </w:t>
      </w:r>
      <w:r>
        <w:rPr>
          <w:color w:val="000000"/>
        </w:rPr>
        <w:t xml:space="preserve">supported initiative that reframes service delivery from crisis driven </w:t>
      </w:r>
      <w:r>
        <w:rPr>
          <w:color w:val="000000"/>
        </w:rPr>
        <w:t>responses to whānau</w:t>
      </w:r>
      <w:r>
        <w:rPr>
          <w:color w:val="000000"/>
        </w:rPr>
        <w:t xml:space="preserve"> centred wellbeing. It integrates health, education, housing, and family violence </w:t>
      </w:r>
      <w:r>
        <w:rPr>
          <w:color w:val="000000"/>
        </w:rPr>
        <w:t xml:space="preserve">prevention within a single framework, guided by Māori values and tikanga (customs). Whānau Ora empowers </w:t>
      </w:r>
      <w:r>
        <w:rPr>
          <w:color w:val="000000"/>
        </w:rPr>
        <w:t xml:space="preserve">families to develop their own safety and wellbeing plans, supported by navigators who coordinate </w:t>
      </w:r>
      <w:r>
        <w:rPr>
          <w:color w:val="000000"/>
        </w:rPr>
        <w:t xml:space="preserve">wraparound services. Evaluations of prototypes such as </w:t>
      </w:r>
      <w:proofErr w:type="spellStart"/>
      <w:r>
        <w:rPr>
          <w:color w:val="000000"/>
        </w:rPr>
        <w:t>Ngā</w:t>
      </w:r>
      <w:proofErr w:type="spellEnd"/>
      <w:r>
        <w:rPr>
          <w:color w:val="000000"/>
        </w:rPr>
        <w:t xml:space="preserve"> Tini Whetū show reductions in crisis </w:t>
      </w:r>
      <w:r>
        <w:rPr>
          <w:color w:val="000000"/>
        </w:rPr>
        <w:t>interventions and improved child safety thr</w:t>
      </w:r>
      <w:r>
        <w:rPr>
          <w:color w:val="000000"/>
        </w:rPr>
        <w:t xml:space="preserve">ough pooled resources and co design </w:t>
      </w:r>
      <w:r>
        <w:rPr>
          <w:color w:val="000000"/>
        </w:rPr>
        <w:t xml:space="preserve">alongside Māori </w:t>
      </w:r>
      <w:r>
        <w:rPr>
          <w:color w:val="000000"/>
        </w:rPr>
        <w:t>Communities.</w:t>
      </w:r>
      <w:r>
        <w:rPr>
          <w:color w:val="000000"/>
          <w:vertAlign w:val="superscript"/>
        </w:rPr>
        <w:footnoteReference w:id="47"/>
      </w:r>
      <w:r>
        <w:rPr>
          <w:color w:val="000000"/>
        </w:rPr>
        <w:t xml:space="preserve"> </w:t>
      </w:r>
    </w:p>
    <w:p w14:paraId="100173BD" w14:textId="77777777" w:rsidR="00C80A0C" w:rsidRDefault="005E499E">
      <w:pPr>
        <w:spacing w:line="263" w:lineRule="auto"/>
        <w:ind w:left="-5" w:right="6"/>
      </w:pPr>
      <w:r>
        <w:rPr>
          <w:color w:val="000000"/>
        </w:rPr>
        <w:t xml:space="preserve">Complementing this, </w:t>
      </w:r>
      <w:proofErr w:type="spellStart"/>
      <w:r>
        <w:rPr>
          <w:color w:val="000000"/>
        </w:rPr>
        <w:t>Te</w:t>
      </w:r>
      <w:proofErr w:type="spellEnd"/>
      <w:r>
        <w:rPr>
          <w:color w:val="000000"/>
        </w:rPr>
        <w:t xml:space="preserve"> </w:t>
      </w:r>
      <w:proofErr w:type="spellStart"/>
      <w:r>
        <w:rPr>
          <w:color w:val="000000"/>
        </w:rPr>
        <w:t>Aorerekura</w:t>
      </w:r>
      <w:proofErr w:type="spellEnd"/>
      <w:r>
        <w:rPr>
          <w:color w:val="000000"/>
        </w:rPr>
        <w:t xml:space="preserve">, </w:t>
      </w:r>
      <w:r>
        <w:rPr>
          <w:color w:val="000000"/>
        </w:rPr>
        <w:t>Aotearoa’s</w:t>
      </w:r>
      <w:r>
        <w:rPr>
          <w:color w:val="000000"/>
        </w:rPr>
        <w:t xml:space="preserve"> National Strategy to Eliminate Family Violence and Sexual </w:t>
      </w:r>
    </w:p>
    <w:p w14:paraId="22C1C7BE" w14:textId="77777777" w:rsidR="00C80A0C" w:rsidRDefault="005E499E">
      <w:pPr>
        <w:spacing w:after="0" w:line="259" w:lineRule="auto"/>
        <w:ind w:left="0" w:firstLine="0"/>
      </w:pPr>
      <w:r>
        <w:rPr>
          <w:color w:val="000000"/>
        </w:rPr>
        <w:t xml:space="preserve">Violence, embeds Māori voices and cultural healing into national policy, ensuring mainstream systems uphold </w:t>
      </w:r>
    </w:p>
    <w:p w14:paraId="7F1892B2" w14:textId="77777777" w:rsidR="00C80A0C" w:rsidRDefault="005E499E">
      <w:pPr>
        <w:spacing w:after="574" w:line="263" w:lineRule="auto"/>
        <w:ind w:left="-5" w:right="6"/>
      </w:pPr>
      <w:r>
        <w:rPr>
          <w:color w:val="000000"/>
        </w:rPr>
        <w:lastRenderedPageBreak/>
        <w:t>First Nations knowledge and collective responsibility.</w:t>
      </w:r>
      <w:r>
        <w:rPr>
          <w:color w:val="000000"/>
          <w:vertAlign w:val="superscript"/>
        </w:rPr>
        <w:footnoteReference w:id="48"/>
      </w:r>
      <w:r>
        <w:rPr>
          <w:color w:val="000000"/>
        </w:rPr>
        <w:t xml:space="preserve"> </w:t>
      </w:r>
    </w:p>
    <w:p w14:paraId="6CC0AC39" w14:textId="77777777" w:rsidR="00C80A0C" w:rsidRDefault="005E499E">
      <w:pPr>
        <w:pStyle w:val="Heading1"/>
        <w:ind w:left="-5"/>
      </w:pPr>
      <w:bookmarkStart w:id="10" w:name="_Toc55835"/>
      <w:r>
        <w:t xml:space="preserve">Measuring outcomes </w:t>
      </w:r>
      <w:bookmarkEnd w:id="10"/>
    </w:p>
    <w:p w14:paraId="369C06C3" w14:textId="77777777" w:rsidR="00C80A0C" w:rsidRDefault="005E499E">
      <w:pPr>
        <w:spacing w:after="283" w:line="259" w:lineRule="auto"/>
        <w:ind w:left="-5"/>
      </w:pPr>
      <w:r>
        <w:rPr>
          <w:rFonts w:ascii="Calibri" w:eastAsia="Calibri" w:hAnsi="Calibri" w:cs="Calibri"/>
          <w:b/>
          <w:color w:val="000000"/>
        </w:rPr>
        <w:t xml:space="preserve">What types of data would help your organisation better understand its impact and continuously improve its services? </w:t>
      </w:r>
    </w:p>
    <w:p w14:paraId="1ABC2AA7" w14:textId="77777777" w:rsidR="00C80A0C" w:rsidRDefault="005E499E">
      <w:pPr>
        <w:spacing w:after="192" w:line="263" w:lineRule="auto"/>
        <w:ind w:left="-5" w:right="6"/>
      </w:pPr>
      <w:r>
        <w:rPr>
          <w:color w:val="000000"/>
        </w:rPr>
        <w:t xml:space="preserve">Qualitative and quantitative data and reporting will provide DSS with a fuller picture of the service in operation. This should include data representing  </w:t>
      </w:r>
    </w:p>
    <w:p w14:paraId="3FBD0AE8" w14:textId="77777777" w:rsidR="00C80A0C" w:rsidRDefault="005E499E">
      <w:pPr>
        <w:numPr>
          <w:ilvl w:val="0"/>
          <w:numId w:val="15"/>
        </w:numPr>
        <w:spacing w:line="263" w:lineRule="auto"/>
        <w:ind w:right="6" w:hanging="360"/>
      </w:pPr>
      <w:r>
        <w:rPr>
          <w:color w:val="000000"/>
        </w:rPr>
        <w:t xml:space="preserve">Client satisfaction </w:t>
      </w:r>
    </w:p>
    <w:p w14:paraId="52582FA3" w14:textId="77777777" w:rsidR="00C80A0C" w:rsidRDefault="005E499E">
      <w:pPr>
        <w:numPr>
          <w:ilvl w:val="0"/>
          <w:numId w:val="15"/>
        </w:numPr>
        <w:spacing w:line="263" w:lineRule="auto"/>
        <w:ind w:right="6" w:hanging="360"/>
      </w:pPr>
      <w:r>
        <w:rPr>
          <w:color w:val="000000"/>
        </w:rPr>
        <w:t xml:space="preserve">Case Studies of service impact </w:t>
      </w:r>
    </w:p>
    <w:p w14:paraId="1C285363" w14:textId="77777777" w:rsidR="00C80A0C" w:rsidRDefault="005E499E">
      <w:pPr>
        <w:numPr>
          <w:ilvl w:val="0"/>
          <w:numId w:val="15"/>
        </w:numPr>
        <w:spacing w:line="263" w:lineRule="auto"/>
        <w:ind w:right="6" w:hanging="360"/>
      </w:pPr>
      <w:r>
        <w:rPr>
          <w:color w:val="000000"/>
        </w:rPr>
        <w:t xml:space="preserve">Case Studies demonstrating collaboration and person-centred care  </w:t>
      </w:r>
    </w:p>
    <w:p w14:paraId="5213C844" w14:textId="77777777" w:rsidR="00C80A0C" w:rsidRDefault="005E499E">
      <w:pPr>
        <w:numPr>
          <w:ilvl w:val="0"/>
          <w:numId w:val="15"/>
        </w:numPr>
        <w:spacing w:after="121" w:line="263" w:lineRule="auto"/>
        <w:ind w:right="6" w:hanging="360"/>
      </w:pPr>
      <w:r>
        <w:rPr>
          <w:color w:val="000000"/>
        </w:rPr>
        <w:t xml:space="preserve">Case Studies that include voice of the child. </w:t>
      </w:r>
    </w:p>
    <w:p w14:paraId="5BF6C798" w14:textId="77777777" w:rsidR="00C80A0C" w:rsidRDefault="005E499E">
      <w:pPr>
        <w:spacing w:after="155" w:line="263" w:lineRule="auto"/>
        <w:ind w:left="-5" w:right="6"/>
      </w:pPr>
      <w:r>
        <w:rPr>
          <w:color w:val="000000"/>
        </w:rPr>
        <w:t xml:space="preserve">A standardise or recommended Outcome Measurement tool would provide important evidence of service impact. It would be valuable </w:t>
      </w:r>
      <w:r>
        <w:rPr>
          <w:color w:val="000000"/>
        </w:rPr>
        <w:t xml:space="preserve">to be able to demonstrate impact at both an individual and whole family level to understand where positive change has occurred, has it been where services are delivered to 1:1, via group work, whole family focus? </w:t>
      </w:r>
    </w:p>
    <w:p w14:paraId="25540BD4" w14:textId="77777777" w:rsidR="00C80A0C" w:rsidRDefault="005E499E">
      <w:pPr>
        <w:spacing w:after="194" w:line="263" w:lineRule="auto"/>
        <w:ind w:left="-5" w:right="6"/>
      </w:pPr>
      <w:r>
        <w:rPr>
          <w:color w:val="000000"/>
        </w:rPr>
        <w:t xml:space="preserve">Data that would be valuable (outside of Outcome Measurement Tools) includes </w:t>
      </w:r>
    </w:p>
    <w:p w14:paraId="2456964A" w14:textId="77777777" w:rsidR="00C80A0C" w:rsidRDefault="005E499E">
      <w:pPr>
        <w:numPr>
          <w:ilvl w:val="0"/>
          <w:numId w:val="16"/>
        </w:numPr>
        <w:spacing w:line="263" w:lineRule="auto"/>
        <w:ind w:right="6" w:hanging="360"/>
      </w:pPr>
      <w:r>
        <w:rPr>
          <w:color w:val="000000"/>
        </w:rPr>
        <w:t xml:space="preserve">Client numbers - Individual </w:t>
      </w:r>
    </w:p>
    <w:p w14:paraId="28D0594B" w14:textId="77777777" w:rsidR="00C80A0C" w:rsidRDefault="005E499E">
      <w:pPr>
        <w:numPr>
          <w:ilvl w:val="0"/>
          <w:numId w:val="16"/>
        </w:numPr>
        <w:spacing w:line="263" w:lineRule="auto"/>
        <w:ind w:right="6" w:hanging="360"/>
      </w:pPr>
      <w:r>
        <w:rPr>
          <w:color w:val="000000"/>
        </w:rPr>
        <w:t xml:space="preserve">Family groups </w:t>
      </w:r>
    </w:p>
    <w:p w14:paraId="5BFE65DD" w14:textId="77777777" w:rsidR="00C80A0C" w:rsidRDefault="005E499E">
      <w:pPr>
        <w:numPr>
          <w:ilvl w:val="0"/>
          <w:numId w:val="16"/>
        </w:numPr>
        <w:spacing w:line="263" w:lineRule="auto"/>
        <w:ind w:right="6" w:hanging="360"/>
      </w:pPr>
      <w:r>
        <w:rPr>
          <w:color w:val="000000"/>
        </w:rPr>
        <w:t xml:space="preserve">Hours of Direct &amp; Indirect Support </w:t>
      </w:r>
    </w:p>
    <w:p w14:paraId="4996C466" w14:textId="77777777" w:rsidR="00C80A0C" w:rsidRDefault="005E499E">
      <w:pPr>
        <w:numPr>
          <w:ilvl w:val="0"/>
          <w:numId w:val="16"/>
        </w:numPr>
        <w:spacing w:line="263" w:lineRule="auto"/>
        <w:ind w:right="6" w:hanging="360"/>
      </w:pPr>
      <w:r>
        <w:rPr>
          <w:color w:val="000000"/>
        </w:rPr>
        <w:t xml:space="preserve">Waitlist management (waitlist vs active hold) </w:t>
      </w:r>
    </w:p>
    <w:p w14:paraId="37F95339" w14:textId="77777777" w:rsidR="00C80A0C" w:rsidRDefault="005E499E">
      <w:pPr>
        <w:spacing w:after="0" w:line="259" w:lineRule="auto"/>
        <w:ind w:left="0" w:firstLine="0"/>
      </w:pPr>
      <w:r>
        <w:rPr>
          <w:rFonts w:ascii="Calibri" w:eastAsia="Calibri" w:hAnsi="Calibri" w:cs="Calibri"/>
          <w:noProof/>
          <w:color w:val="000000"/>
        </w:rPr>
        <mc:AlternateContent>
          <mc:Choice Requires="wpg">
            <w:drawing>
              <wp:inline distT="0" distB="0" distL="0" distR="0" wp14:anchorId="6DFBF316" wp14:editId="75A9936B">
                <wp:extent cx="1829435" cy="7620"/>
                <wp:effectExtent l="0" t="0" r="0" b="0"/>
                <wp:docPr id="48708" name="Group 48708"/>
                <wp:cNvGraphicFramePr/>
                <a:graphic xmlns:a="http://schemas.openxmlformats.org/drawingml/2006/main">
                  <a:graphicData uri="http://schemas.microsoft.com/office/word/2010/wordprocessingGroup">
                    <wpg:wgp>
                      <wpg:cNvGrpSpPr/>
                      <wpg:grpSpPr>
                        <a:xfrm>
                          <a:off x="0" y="0"/>
                          <a:ext cx="1829435" cy="7620"/>
                          <a:chOff x="0" y="0"/>
                          <a:chExt cx="1829435" cy="7620"/>
                        </a:xfrm>
                      </wpg:grpSpPr>
                      <wps:wsp>
                        <wps:cNvPr id="56200" name="Shape 56200"/>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21414"/>
                          </a:fillRef>
                          <a:effectRef idx="0">
                            <a:scrgbClr r="0" g="0" b="0"/>
                          </a:effectRef>
                          <a:fontRef idx="none"/>
                        </wps:style>
                        <wps:bodyPr/>
                      </wps:wsp>
                    </wpg:wgp>
                  </a:graphicData>
                </a:graphic>
              </wp:inline>
            </w:drawing>
          </mc:Choice>
          <mc:Fallback xmlns:a="http://schemas.openxmlformats.org/drawingml/2006/main">
            <w:pict>
              <v:group id="Group 48708" style="width:144.05pt;height:0.599976pt;mso-position-horizontal-relative:char;mso-position-vertical-relative:line" coordsize="18294,76">
                <v:shape id="Shape 56201" style="position:absolute;width:18294;height:91;left:0;top:0;" coordsize="1829435,9144" path="m0,0l1829435,0l1829435,9144l0,9144l0,0">
                  <v:stroke weight="0pt" endcap="flat" joinstyle="miter" miterlimit="10" on="false" color="#000000" opacity="0"/>
                  <v:fill on="true" color="#021414"/>
                </v:shape>
              </v:group>
            </w:pict>
          </mc:Fallback>
        </mc:AlternateContent>
      </w:r>
      <w:r>
        <w:t xml:space="preserve"> </w:t>
      </w:r>
    </w:p>
    <w:p w14:paraId="72FA8733" w14:textId="77777777" w:rsidR="00C80A0C" w:rsidRDefault="005E499E">
      <w:pPr>
        <w:numPr>
          <w:ilvl w:val="0"/>
          <w:numId w:val="16"/>
        </w:numPr>
        <w:spacing w:line="263" w:lineRule="auto"/>
        <w:ind w:right="6" w:hanging="360"/>
      </w:pPr>
      <w:r>
        <w:rPr>
          <w:color w:val="000000"/>
        </w:rPr>
        <w:t xml:space="preserve">Where support is delivered </w:t>
      </w:r>
    </w:p>
    <w:p w14:paraId="10219309" w14:textId="77777777" w:rsidR="00C80A0C" w:rsidRDefault="005E499E">
      <w:pPr>
        <w:numPr>
          <w:ilvl w:val="0"/>
          <w:numId w:val="16"/>
        </w:numPr>
        <w:spacing w:line="263" w:lineRule="auto"/>
        <w:ind w:right="6" w:hanging="360"/>
      </w:pPr>
      <w:r>
        <w:rPr>
          <w:color w:val="000000"/>
        </w:rPr>
        <w:t xml:space="preserve">Case Coordination hours (when not client facing) </w:t>
      </w:r>
    </w:p>
    <w:p w14:paraId="73127C22" w14:textId="77777777" w:rsidR="00C80A0C" w:rsidRDefault="005E499E">
      <w:pPr>
        <w:numPr>
          <w:ilvl w:val="0"/>
          <w:numId w:val="16"/>
        </w:numPr>
        <w:spacing w:after="28" w:line="265" w:lineRule="auto"/>
        <w:ind w:right="6" w:hanging="360"/>
      </w:pPr>
      <w:r>
        <w:rPr>
          <w:color w:val="000000"/>
        </w:rPr>
        <w:t xml:space="preserve">Client feedback </w:t>
      </w:r>
      <w:r>
        <w:rPr>
          <w:rFonts w:ascii="Courier New" w:eastAsia="Courier New" w:hAnsi="Courier New" w:cs="Courier New"/>
          <w:color w:val="000000"/>
        </w:rPr>
        <w:t>o</w:t>
      </w:r>
      <w:r>
        <w:rPr>
          <w:color w:val="000000"/>
        </w:rPr>
        <w:t xml:space="preserve"> </w:t>
      </w:r>
      <w:proofErr w:type="gramStart"/>
      <w:r>
        <w:rPr>
          <w:color w:val="000000"/>
        </w:rPr>
        <w:t xml:space="preserve">Solicited  </w:t>
      </w:r>
      <w:r>
        <w:rPr>
          <w:rFonts w:ascii="Courier New" w:eastAsia="Courier New" w:hAnsi="Courier New" w:cs="Courier New"/>
          <w:color w:val="000000"/>
        </w:rPr>
        <w:t>o</w:t>
      </w:r>
      <w:proofErr w:type="gramEnd"/>
      <w:r>
        <w:rPr>
          <w:color w:val="000000"/>
        </w:rPr>
        <w:t xml:space="preserve"> </w:t>
      </w:r>
      <w:proofErr w:type="gramStart"/>
      <w:r>
        <w:rPr>
          <w:color w:val="000000"/>
        </w:rPr>
        <w:t xml:space="preserve">Unsolicited  </w:t>
      </w:r>
      <w:r>
        <w:rPr>
          <w:rFonts w:ascii="Courier New" w:eastAsia="Courier New" w:hAnsi="Courier New" w:cs="Courier New"/>
          <w:color w:val="000000"/>
        </w:rPr>
        <w:t>o</w:t>
      </w:r>
      <w:proofErr w:type="gramEnd"/>
      <w:r>
        <w:rPr>
          <w:color w:val="000000"/>
        </w:rPr>
        <w:t xml:space="preserve"> Complaints </w:t>
      </w:r>
    </w:p>
    <w:p w14:paraId="27312993" w14:textId="77777777" w:rsidR="00C80A0C" w:rsidRDefault="005E499E">
      <w:pPr>
        <w:numPr>
          <w:ilvl w:val="0"/>
          <w:numId w:val="16"/>
        </w:numPr>
        <w:spacing w:line="263" w:lineRule="auto"/>
        <w:ind w:right="6" w:hanging="360"/>
      </w:pPr>
      <w:r>
        <w:rPr>
          <w:color w:val="000000"/>
        </w:rPr>
        <w:t xml:space="preserve">Client participation in service design consultations  </w:t>
      </w:r>
    </w:p>
    <w:p w14:paraId="2414C4BF" w14:textId="77777777" w:rsidR="00C80A0C" w:rsidRDefault="005E499E">
      <w:pPr>
        <w:numPr>
          <w:ilvl w:val="0"/>
          <w:numId w:val="16"/>
        </w:numPr>
        <w:spacing w:after="116" w:line="263" w:lineRule="auto"/>
        <w:ind w:right="6" w:hanging="360"/>
      </w:pPr>
      <w:r>
        <w:rPr>
          <w:color w:val="000000"/>
        </w:rPr>
        <w:t xml:space="preserve">Client participation in wider organisation advisory and governance groups </w:t>
      </w:r>
    </w:p>
    <w:p w14:paraId="4BCC8CC8" w14:textId="77777777" w:rsidR="00C80A0C" w:rsidRDefault="005E499E">
      <w:pPr>
        <w:spacing w:after="186" w:line="263" w:lineRule="auto"/>
        <w:ind w:left="-5" w:right="6"/>
      </w:pPr>
      <w:r>
        <w:rPr>
          <w:color w:val="000000"/>
        </w:rPr>
        <w:t xml:space="preserve">Evaluation frameworks and customer/client </w:t>
      </w:r>
      <w:r>
        <w:rPr>
          <w:color w:val="000000"/>
        </w:rPr>
        <w:t xml:space="preserve">journey mapping (including referrals to other services) </w:t>
      </w:r>
    </w:p>
    <w:p w14:paraId="0141B3BF" w14:textId="77777777" w:rsidR="00C80A0C" w:rsidRDefault="005E499E">
      <w:pPr>
        <w:spacing w:after="283" w:line="259" w:lineRule="auto"/>
        <w:ind w:left="-5"/>
      </w:pPr>
      <w:r>
        <w:rPr>
          <w:rFonts w:ascii="Calibri" w:eastAsia="Calibri" w:hAnsi="Calibri" w:cs="Calibri"/>
          <w:b/>
          <w:color w:val="000000"/>
        </w:rPr>
        <w:t>What kinds of data or information would be most valuable for you to share, to show how your service is positively impacting children and families?</w:t>
      </w:r>
      <w:r>
        <w:rPr>
          <w:color w:val="000000"/>
        </w:rPr>
        <w:t xml:space="preserve"> </w:t>
      </w:r>
    </w:p>
    <w:p w14:paraId="509946C1" w14:textId="77777777" w:rsidR="00C80A0C" w:rsidRDefault="005E499E">
      <w:pPr>
        <w:spacing w:after="277" w:line="263" w:lineRule="auto"/>
        <w:ind w:left="-5" w:right="6"/>
      </w:pPr>
      <w:r>
        <w:rPr>
          <w:color w:val="000000"/>
        </w:rPr>
        <w:t xml:space="preserve">The voice of families and children should be a strong feature of measuring impact. One of the imbedded tools that Each utilises is the Net Promotor Score, assessing how likely a client is to recommend the service to a friend or family member. Each has also developed the PACES Framework for services to guide high quality services that imbed continuous improvement. This guides our work to always be </w:t>
      </w:r>
      <w:r>
        <w:rPr>
          <w:b/>
          <w:color w:val="000000"/>
        </w:rPr>
        <w:t>P</w:t>
      </w:r>
      <w:r>
        <w:rPr>
          <w:color w:val="000000"/>
        </w:rPr>
        <w:t xml:space="preserve">erson-Centred, </w:t>
      </w:r>
      <w:r>
        <w:rPr>
          <w:b/>
          <w:color w:val="000000"/>
        </w:rPr>
        <w:t>A</w:t>
      </w:r>
      <w:r>
        <w:rPr>
          <w:color w:val="000000"/>
        </w:rPr>
        <w:t xml:space="preserve">ccessible, </w:t>
      </w:r>
      <w:r>
        <w:rPr>
          <w:b/>
          <w:color w:val="000000"/>
        </w:rPr>
        <w:t>C</w:t>
      </w:r>
      <w:r>
        <w:rPr>
          <w:color w:val="000000"/>
        </w:rPr>
        <w:t xml:space="preserve">onnected, </w:t>
      </w:r>
      <w:r>
        <w:rPr>
          <w:b/>
          <w:color w:val="000000"/>
        </w:rPr>
        <w:t>E</w:t>
      </w:r>
      <w:r>
        <w:rPr>
          <w:color w:val="000000"/>
        </w:rPr>
        <w:t xml:space="preserve">ffective and </w:t>
      </w:r>
      <w:r>
        <w:rPr>
          <w:b/>
          <w:color w:val="000000"/>
        </w:rPr>
        <w:t>S</w:t>
      </w:r>
      <w:r>
        <w:rPr>
          <w:color w:val="000000"/>
        </w:rPr>
        <w:t xml:space="preserve">afe. Data that represents these domains should be highly desirable for DSS. </w:t>
      </w:r>
    </w:p>
    <w:p w14:paraId="233C45F0" w14:textId="77777777" w:rsidR="00C80A0C" w:rsidRDefault="005E499E">
      <w:pPr>
        <w:spacing w:after="307" w:line="263" w:lineRule="auto"/>
        <w:ind w:left="-5" w:right="6"/>
      </w:pPr>
      <w:r>
        <w:rPr>
          <w:color w:val="000000"/>
        </w:rPr>
        <w:t xml:space="preserve">Utilising a standardised Outcome Measurement Tool could provide highly valuable data for both internal and external use of benchmarking. Data that represents client feedback satisfaction and effectiveness of intervention. How clients engage, individual support, family support, relationship support and data that can show combinations of these in a family. </w:t>
      </w:r>
    </w:p>
    <w:p w14:paraId="5A53D5BD" w14:textId="77777777" w:rsidR="00C80A0C" w:rsidRDefault="005E499E">
      <w:pPr>
        <w:spacing w:after="283" w:line="259" w:lineRule="auto"/>
        <w:ind w:left="-5"/>
      </w:pPr>
      <w:r>
        <w:rPr>
          <w:rFonts w:ascii="Calibri" w:eastAsia="Calibri" w:hAnsi="Calibri" w:cs="Calibri"/>
          <w:b/>
          <w:color w:val="000000"/>
        </w:rPr>
        <w:t xml:space="preserve">If your organisation currently reports in the Data Exchange (DEX), what SCORE Circumstances domain is most relevant to the service you deliver? </w:t>
      </w:r>
    </w:p>
    <w:p w14:paraId="5D3B8D6C" w14:textId="77777777" w:rsidR="00C80A0C" w:rsidRDefault="005E499E">
      <w:pPr>
        <w:numPr>
          <w:ilvl w:val="0"/>
          <w:numId w:val="17"/>
        </w:numPr>
        <w:spacing w:after="242" w:line="259" w:lineRule="auto"/>
        <w:ind w:hanging="268"/>
      </w:pPr>
      <w:r>
        <w:rPr>
          <w:b/>
          <w:sz w:val="24"/>
        </w:rPr>
        <w:t>Family Functioning</w:t>
      </w:r>
      <w:r>
        <w:rPr>
          <w:color w:val="000000"/>
          <w:sz w:val="20"/>
        </w:rPr>
        <w:t xml:space="preserve"> </w:t>
      </w:r>
    </w:p>
    <w:p w14:paraId="50AD594D" w14:textId="77777777" w:rsidR="00C80A0C" w:rsidRDefault="005E499E">
      <w:pPr>
        <w:spacing w:after="305"/>
        <w:ind w:left="-5" w:right="9"/>
      </w:pPr>
      <w:r>
        <w:lastRenderedPageBreak/>
        <w:t>This is the primary domain that reflects the core outcomes of our support</w:t>
      </w:r>
      <w:r>
        <w:t>—</w:t>
      </w:r>
      <w:r>
        <w:t xml:space="preserve">improvements in communication, conflict resolution, routine, stability, and overall family relationships. </w:t>
      </w:r>
    </w:p>
    <w:p w14:paraId="2547BC7C" w14:textId="77777777" w:rsidR="00C80A0C" w:rsidRDefault="005E499E">
      <w:pPr>
        <w:numPr>
          <w:ilvl w:val="0"/>
          <w:numId w:val="17"/>
        </w:numPr>
        <w:spacing w:after="242" w:line="259" w:lineRule="auto"/>
        <w:ind w:hanging="268"/>
      </w:pPr>
      <w:r>
        <w:rPr>
          <w:b/>
          <w:sz w:val="24"/>
        </w:rPr>
        <w:t>Personal and Family Safety</w:t>
      </w:r>
      <w:r>
        <w:rPr>
          <w:rFonts w:ascii="Georgia" w:eastAsia="Georgia" w:hAnsi="Georgia" w:cs="Georgia"/>
          <w:sz w:val="24"/>
        </w:rPr>
        <w:t xml:space="preserve"> </w:t>
      </w:r>
    </w:p>
    <w:p w14:paraId="4C16AEE6" w14:textId="77777777" w:rsidR="00C80A0C" w:rsidRDefault="005E499E">
      <w:pPr>
        <w:spacing w:after="305"/>
        <w:ind w:left="-5" w:right="9"/>
      </w:pPr>
      <w:r>
        <w:t xml:space="preserve">Relevant where there are concerns around family violence, child safety, risk, or protective factors. Our work aims to reduce risk and strengthen safe home environments. </w:t>
      </w:r>
    </w:p>
    <w:p w14:paraId="1D407CD5" w14:textId="77777777" w:rsidR="00C80A0C" w:rsidRDefault="005E499E">
      <w:pPr>
        <w:numPr>
          <w:ilvl w:val="0"/>
          <w:numId w:val="17"/>
        </w:numPr>
        <w:spacing w:after="242" w:line="259" w:lineRule="auto"/>
        <w:ind w:hanging="268"/>
      </w:pPr>
      <w:r>
        <w:rPr>
          <w:b/>
          <w:sz w:val="24"/>
        </w:rPr>
        <w:t xml:space="preserve">Mental Health, Wellbeing &amp; Self-Care </w:t>
      </w:r>
      <w:r>
        <w:rPr>
          <w:rFonts w:ascii="Georgia" w:eastAsia="Georgia" w:hAnsi="Georgia" w:cs="Georgia"/>
          <w:sz w:val="24"/>
        </w:rPr>
        <w:t xml:space="preserve"> </w:t>
      </w:r>
    </w:p>
    <w:p w14:paraId="4E01B199" w14:textId="77777777" w:rsidR="00C80A0C" w:rsidRDefault="005E499E">
      <w:pPr>
        <w:spacing w:after="264"/>
        <w:ind w:left="-5" w:right="9"/>
      </w:pPr>
      <w:r>
        <w:t xml:space="preserve">Applicable when supporting parents or children experiencing emotional stress, anxiety, low confidence, or mental health challenges. Progress in this domain often reflects increased resilience and coping skills. </w:t>
      </w:r>
    </w:p>
    <w:p w14:paraId="32071998" w14:textId="77777777" w:rsidR="00C80A0C" w:rsidRDefault="005E499E">
      <w:pPr>
        <w:spacing w:after="283" w:line="259" w:lineRule="auto"/>
        <w:ind w:left="-5"/>
      </w:pPr>
      <w:r>
        <w:rPr>
          <w:rFonts w:ascii="Calibri" w:eastAsia="Calibri" w:hAnsi="Calibri" w:cs="Calibri"/>
          <w:b/>
          <w:color w:val="000000"/>
        </w:rPr>
        <w:t xml:space="preserve">What kinds of templates or guidance would help you prepare strong case studies that show the impact of your service? </w:t>
      </w:r>
    </w:p>
    <w:p w14:paraId="556D9BFB" w14:textId="77777777" w:rsidR="00C80A0C" w:rsidRDefault="005E499E">
      <w:pPr>
        <w:spacing w:after="195"/>
        <w:ind w:left="-5" w:right="9"/>
      </w:pPr>
      <w:r>
        <w:t xml:space="preserve">A standardised structure covering presenting issues, interventions, client voice, and outcomes, where collaboration with services is relevant and how flexibility of the program </w:t>
      </w:r>
      <w:proofErr w:type="gramStart"/>
      <w:r>
        <w:t>support</w:t>
      </w:r>
      <w:proofErr w:type="gramEnd"/>
      <w:r>
        <w:t xml:space="preserve"> the organisation to approach meeting care needs. Length of supports can be another key feature of case studies in addition to whether the client/s had a single engagement or have been able to return to the service when needed.</w:t>
      </w:r>
      <w:r>
        <w:rPr>
          <w:color w:val="0D8383"/>
        </w:rPr>
        <w:t xml:space="preserve"> </w:t>
      </w:r>
    </w:p>
    <w:p w14:paraId="6905DC20" w14:textId="77777777" w:rsidR="00C80A0C" w:rsidRDefault="005E499E">
      <w:pPr>
        <w:numPr>
          <w:ilvl w:val="0"/>
          <w:numId w:val="18"/>
        </w:numPr>
        <w:ind w:right="9" w:hanging="360"/>
      </w:pPr>
      <w:r>
        <w:t xml:space="preserve">Show casing examples of high-quality case studies. </w:t>
      </w:r>
    </w:p>
    <w:p w14:paraId="20DA9FB4" w14:textId="77777777" w:rsidR="00C80A0C" w:rsidRDefault="005E499E">
      <w:pPr>
        <w:numPr>
          <w:ilvl w:val="0"/>
          <w:numId w:val="18"/>
        </w:numPr>
        <w:ind w:right="9" w:hanging="360"/>
      </w:pPr>
      <w:r>
        <w:t xml:space="preserve">Tools for embedding client voice in a strengths-based way </w:t>
      </w:r>
    </w:p>
    <w:p w14:paraId="7E2D7B54" w14:textId="77777777" w:rsidR="00C80A0C" w:rsidRDefault="005E499E">
      <w:pPr>
        <w:numPr>
          <w:ilvl w:val="0"/>
          <w:numId w:val="18"/>
        </w:numPr>
        <w:ind w:right="9" w:hanging="360"/>
      </w:pPr>
      <w:r>
        <w:t xml:space="preserve">Guidance on linking narratives to SCORE outcomes </w:t>
      </w:r>
    </w:p>
    <w:p w14:paraId="31E13589" w14:textId="77777777" w:rsidR="00C80A0C" w:rsidRDefault="005E499E">
      <w:pPr>
        <w:pStyle w:val="Heading1"/>
        <w:ind w:left="-5"/>
      </w:pPr>
      <w:bookmarkStart w:id="11" w:name="_Toc55836"/>
      <w:r>
        <w:t xml:space="preserve">Working together </w:t>
      </w:r>
      <w:bookmarkEnd w:id="11"/>
    </w:p>
    <w:p w14:paraId="27CF9187" w14:textId="77777777" w:rsidR="00C80A0C" w:rsidRDefault="005E499E">
      <w:pPr>
        <w:spacing w:after="283" w:line="259" w:lineRule="auto"/>
        <w:ind w:left="-5"/>
      </w:pPr>
      <w:r>
        <w:rPr>
          <w:rFonts w:ascii="Calibri" w:eastAsia="Calibri" w:hAnsi="Calibri" w:cs="Calibri"/>
          <w:b/>
          <w:color w:val="000000"/>
        </w:rPr>
        <w:t xml:space="preserve">What does a relational contracting approach mean to you in practice? What criteria would you like to see included in a relational contract? </w:t>
      </w:r>
    </w:p>
    <w:p w14:paraId="610EA9D4" w14:textId="77777777" w:rsidR="00C80A0C" w:rsidRDefault="005E499E">
      <w:pPr>
        <w:spacing w:after="284"/>
        <w:ind w:left="-5" w:right="9"/>
      </w:pPr>
      <w:r>
        <w:t xml:space="preserve">Relational </w:t>
      </w:r>
      <w:r>
        <w:t xml:space="preserve">contracting replicates a partnership approach with Funder and Organisation. They will have shared clear understanding of the proposed service, regular connection around the service and what is being delivered, planning for flexibility to adapt to changing needs, recognising that outcomes often depend on multiple services and system factors. </w:t>
      </w:r>
    </w:p>
    <w:p w14:paraId="0A96164A" w14:textId="77777777" w:rsidR="00C80A0C" w:rsidRDefault="005E499E">
      <w:pPr>
        <w:ind w:left="-5" w:right="9"/>
      </w:pPr>
      <w:r>
        <w:t xml:space="preserve">Improved reporting frameworks that include qualitative and quantitative data to demonstrate service performance </w:t>
      </w:r>
      <w:r>
        <w:t xml:space="preserve">with a focus on reducing unnecessary reporting and/or duplication of data collection. Collective planning and efficient approval processes for changes. Where service demand emerges in local </w:t>
      </w:r>
    </w:p>
    <w:p w14:paraId="3AE1DA6B" w14:textId="77777777" w:rsidR="00C80A0C" w:rsidRDefault="005E499E">
      <w:pPr>
        <w:spacing w:after="281"/>
        <w:ind w:left="-5" w:right="9"/>
      </w:pPr>
      <w:r>
        <w:t xml:space="preserve">communities, DSS and Organisation can quickly and effectively plan for service adaptation to meet needs as best as possible. </w:t>
      </w:r>
    </w:p>
    <w:p w14:paraId="058503EE" w14:textId="77777777" w:rsidR="00C80A0C" w:rsidRDefault="005E499E">
      <w:pPr>
        <w:spacing w:after="308"/>
        <w:ind w:left="-5" w:right="9"/>
      </w:pPr>
      <w:r>
        <w:t xml:space="preserve">The model needs to agree that it is an approach based on high-trust, high-accountability commissioning model that requires organisational maturity, transparency, and a demonstrable long-term commitment to community outcomes. </w:t>
      </w:r>
    </w:p>
    <w:p w14:paraId="5AF478C2" w14:textId="77777777" w:rsidR="00C80A0C" w:rsidRDefault="005E499E">
      <w:pPr>
        <w:spacing w:after="253" w:line="289" w:lineRule="auto"/>
        <w:ind w:left="-5"/>
      </w:pPr>
      <w:r>
        <w:rPr>
          <w:rFonts w:ascii="Calibri" w:eastAsia="Calibri" w:hAnsi="Calibri" w:cs="Calibri"/>
          <w:b/>
          <w:color w:val="000000"/>
        </w:rPr>
        <w:t xml:space="preserve">What’s the best way for the department to decide which organisations should be offered a relational contract? </w:t>
      </w:r>
    </w:p>
    <w:p w14:paraId="6FC98643" w14:textId="77777777" w:rsidR="00C80A0C" w:rsidRDefault="005E499E">
      <w:pPr>
        <w:spacing w:after="308"/>
        <w:ind w:left="-5" w:right="9"/>
      </w:pPr>
      <w:r>
        <w:rPr>
          <w:color w:val="020F0F"/>
        </w:rPr>
        <w:t>R</w:t>
      </w:r>
      <w:r>
        <w:t>elational contracting is not suitable for all providers. For this reason, relational contracts should not be awarded by default, to the lowest-cost bidder, or to incumbents based on history alone. Instead, they should be reserved for organisations that have proven capability, stability, and genuine partnership behaviours. Awarding relational contracts to providers with misaligned incentives undermines the entire intent of this model. A rigorous, evidence-based selection framework grounded in performance, tr</w:t>
      </w:r>
      <w:r>
        <w:t xml:space="preserve">ustworthiness, community connection and long-term presence is essential to ensure relational contracts deliver stable, </w:t>
      </w:r>
      <w:proofErr w:type="spellStart"/>
      <w:r>
        <w:t>highquality</w:t>
      </w:r>
      <w:proofErr w:type="spellEnd"/>
      <w:r>
        <w:t xml:space="preserve"> services that genuinely meet community need.  </w:t>
      </w:r>
    </w:p>
    <w:p w14:paraId="2130A5BD" w14:textId="77777777" w:rsidR="00C80A0C" w:rsidRDefault="005E499E">
      <w:pPr>
        <w:spacing w:after="283" w:line="259" w:lineRule="auto"/>
        <w:ind w:left="-5"/>
      </w:pPr>
      <w:r>
        <w:rPr>
          <w:rFonts w:ascii="Calibri" w:eastAsia="Calibri" w:hAnsi="Calibri" w:cs="Calibri"/>
          <w:b/>
          <w:color w:val="000000"/>
        </w:rPr>
        <w:lastRenderedPageBreak/>
        <w:t xml:space="preserve">Demonstrated past performance and outcomes  </w:t>
      </w:r>
    </w:p>
    <w:p w14:paraId="6252FEA1" w14:textId="77777777" w:rsidR="00C80A0C" w:rsidRDefault="005E499E">
      <w:pPr>
        <w:spacing w:after="311" w:line="259" w:lineRule="auto"/>
        <w:ind w:left="-5" w:right="11"/>
      </w:pPr>
      <w:r>
        <w:rPr>
          <w:color w:val="020F0F"/>
        </w:rPr>
        <w:t xml:space="preserve">Relational contracting must be grounded in evidence, not promises. Providers should demonstrate multi-year performance against outcomes, safety, cultural responsiveness, and consumer experience. Past performance is the strongest predictor of future contract behaviour and should be weighted heavily in assessment.  </w:t>
      </w:r>
    </w:p>
    <w:p w14:paraId="24FF3E75" w14:textId="77777777" w:rsidR="00C80A0C" w:rsidRDefault="005E499E">
      <w:pPr>
        <w:spacing w:after="283" w:line="259" w:lineRule="auto"/>
        <w:ind w:left="-5"/>
      </w:pPr>
      <w:r>
        <w:rPr>
          <w:rFonts w:ascii="Calibri" w:eastAsia="Calibri" w:hAnsi="Calibri" w:cs="Calibri"/>
          <w:b/>
          <w:color w:val="000000"/>
        </w:rPr>
        <w:t xml:space="preserve">Deep community embeddedness and trusted relationships  </w:t>
      </w:r>
    </w:p>
    <w:p w14:paraId="6F0BCB6B" w14:textId="77777777" w:rsidR="00C80A0C" w:rsidRDefault="005E499E">
      <w:pPr>
        <w:spacing w:after="311" w:line="259" w:lineRule="auto"/>
        <w:ind w:left="-5" w:right="11"/>
      </w:pPr>
      <w:r>
        <w:rPr>
          <w:color w:val="020F0F"/>
        </w:rPr>
        <w:t xml:space="preserve">Organisations must have established, ongoing relationships with the communities they serve, including Aboriginal and Torres Strait Islander communities, culturally diverse groups, people with lived and living experience, and local service networks. Relational contracts require credibility, trust and local presence not short-term tender-driven engagement.  </w:t>
      </w:r>
    </w:p>
    <w:p w14:paraId="3287BB90" w14:textId="77777777" w:rsidR="00C80A0C" w:rsidRDefault="005E499E">
      <w:pPr>
        <w:spacing w:after="283" w:line="259" w:lineRule="auto"/>
        <w:ind w:left="-5"/>
      </w:pPr>
      <w:r>
        <w:rPr>
          <w:rFonts w:ascii="Calibri" w:eastAsia="Calibri" w:hAnsi="Calibri" w:cs="Calibri"/>
          <w:b/>
          <w:color w:val="000000"/>
        </w:rPr>
        <w:t xml:space="preserve">Proven capability in co-design and community engagement  </w:t>
      </w:r>
    </w:p>
    <w:p w14:paraId="1C33482D" w14:textId="77777777" w:rsidR="00C80A0C" w:rsidRDefault="005E499E">
      <w:pPr>
        <w:spacing w:after="281" w:line="259" w:lineRule="auto"/>
        <w:ind w:left="-5" w:right="11"/>
      </w:pPr>
      <w:r>
        <w:rPr>
          <w:color w:val="020F0F"/>
        </w:rPr>
        <w:t xml:space="preserve">The Department should prioritise organisations with a clear track record of genuine co-design, not consultation performed during the tender period. Providers must be able to demonstrate how community voice informs their service design, governance and continuous improvement.  </w:t>
      </w:r>
    </w:p>
    <w:p w14:paraId="7664970C" w14:textId="77777777" w:rsidR="00C80A0C" w:rsidRDefault="005E499E">
      <w:pPr>
        <w:spacing w:after="0" w:line="259" w:lineRule="auto"/>
        <w:ind w:left="0" w:firstLine="0"/>
      </w:pPr>
      <w:r>
        <w:rPr>
          <w:color w:val="020F0F"/>
        </w:rPr>
        <w:t xml:space="preserve"> </w:t>
      </w:r>
    </w:p>
    <w:p w14:paraId="0C03AA1D" w14:textId="77777777" w:rsidR="00C80A0C" w:rsidRDefault="005E499E">
      <w:pPr>
        <w:spacing w:after="283" w:line="259" w:lineRule="auto"/>
        <w:ind w:left="-5"/>
      </w:pPr>
      <w:r>
        <w:rPr>
          <w:rFonts w:ascii="Calibri" w:eastAsia="Calibri" w:hAnsi="Calibri" w:cs="Calibri"/>
          <w:b/>
          <w:color w:val="000000"/>
        </w:rPr>
        <w:t xml:space="preserve">Strong governance, safety and quality systems  </w:t>
      </w:r>
    </w:p>
    <w:p w14:paraId="03A1CCAB" w14:textId="77777777" w:rsidR="00C80A0C" w:rsidRDefault="005E499E">
      <w:pPr>
        <w:spacing w:after="311" w:line="259" w:lineRule="auto"/>
        <w:ind w:left="-5" w:right="11"/>
      </w:pPr>
      <w:r>
        <w:rPr>
          <w:color w:val="020F0F"/>
        </w:rPr>
        <w:t xml:space="preserve">Relational contracting requires confidence that a provider can deliver safely and consistently without intense oversight. Providers should be required to demonstrate mature clinical governance, risk management, incident oversight, supervision frameworks, evaluation capability, and data integrity.  </w:t>
      </w:r>
    </w:p>
    <w:p w14:paraId="71355D16" w14:textId="77777777" w:rsidR="00C80A0C" w:rsidRDefault="005E499E">
      <w:pPr>
        <w:spacing w:after="283" w:line="259" w:lineRule="auto"/>
        <w:ind w:left="-5"/>
      </w:pPr>
      <w:r>
        <w:rPr>
          <w:rFonts w:ascii="Calibri" w:eastAsia="Calibri" w:hAnsi="Calibri" w:cs="Calibri"/>
          <w:b/>
          <w:color w:val="000000"/>
        </w:rPr>
        <w:t>Financial transparency and full-cost honesty</w:t>
      </w:r>
      <w:r>
        <w:rPr>
          <w:rFonts w:ascii="Calibri" w:eastAsia="Calibri" w:hAnsi="Calibri" w:cs="Calibri"/>
          <w:color w:val="000000"/>
        </w:rPr>
        <w:t xml:space="preserve">  </w:t>
      </w:r>
    </w:p>
    <w:p w14:paraId="27411233" w14:textId="77777777" w:rsidR="00C80A0C" w:rsidRDefault="005E499E">
      <w:pPr>
        <w:spacing w:after="311" w:line="259" w:lineRule="auto"/>
        <w:ind w:left="-5" w:right="11"/>
      </w:pPr>
      <w:r>
        <w:rPr>
          <w:color w:val="020F0F"/>
        </w:rPr>
        <w:t xml:space="preserve">Relational contracts must be built on truthful costing. Providers should be able to demonstrate transparent indirect cost structures, responsible financial stewardship, and realistic workforce and infrastructure investment.  </w:t>
      </w:r>
    </w:p>
    <w:p w14:paraId="0663F616" w14:textId="77777777" w:rsidR="00C80A0C" w:rsidRDefault="005E499E">
      <w:pPr>
        <w:spacing w:after="283" w:line="259" w:lineRule="auto"/>
        <w:ind w:left="-5"/>
      </w:pPr>
      <w:r>
        <w:rPr>
          <w:rFonts w:ascii="Calibri" w:eastAsia="Calibri" w:hAnsi="Calibri" w:cs="Calibri"/>
          <w:b/>
          <w:color w:val="000000"/>
        </w:rPr>
        <w:t xml:space="preserve">Workforce stability, capability and investment  </w:t>
      </w:r>
    </w:p>
    <w:p w14:paraId="43E46F60" w14:textId="77777777" w:rsidR="00C80A0C" w:rsidRDefault="005E499E">
      <w:pPr>
        <w:spacing w:after="311" w:line="259" w:lineRule="auto"/>
        <w:ind w:left="-5" w:right="11"/>
      </w:pPr>
      <w:r>
        <w:rPr>
          <w:color w:val="020F0F"/>
        </w:rPr>
        <w:t xml:space="preserve">A relational contract requires a stable, well-supported workforce and leaders. Providers should be assessed on retention, supervision structures, training investment, staff wellbeing, and the ability to recruit and sustain specialised roles. High reliance on casualised or subcontracted labour should be treated as a risk for relational contracts.  </w:t>
      </w:r>
    </w:p>
    <w:p w14:paraId="2D91975C" w14:textId="77777777" w:rsidR="00C80A0C" w:rsidRDefault="005E499E">
      <w:pPr>
        <w:spacing w:after="283" w:line="259" w:lineRule="auto"/>
        <w:ind w:left="-5"/>
      </w:pPr>
      <w:r>
        <w:rPr>
          <w:rFonts w:ascii="Calibri" w:eastAsia="Calibri" w:hAnsi="Calibri" w:cs="Calibri"/>
          <w:b/>
          <w:color w:val="000000"/>
        </w:rPr>
        <w:t xml:space="preserve">Evidence of collaborative behaviour with government and sector partners  </w:t>
      </w:r>
    </w:p>
    <w:p w14:paraId="456863F6" w14:textId="77777777" w:rsidR="00C80A0C" w:rsidRDefault="005E499E">
      <w:pPr>
        <w:spacing w:after="311" w:line="259" w:lineRule="auto"/>
        <w:ind w:left="-5" w:right="11"/>
      </w:pPr>
      <w:r>
        <w:rPr>
          <w:color w:val="020F0F"/>
        </w:rPr>
        <w:t xml:space="preserve">Relational contracting depends on partnership rather than transactional behaviour. Assessment should </w:t>
      </w:r>
      <w:r>
        <w:rPr>
          <w:color w:val="020F0F"/>
        </w:rPr>
        <w:t xml:space="preserve">consider an organisation’s history of collaboration with government, other providers, Primary Health </w:t>
      </w:r>
      <w:r>
        <w:rPr>
          <w:color w:val="020F0F"/>
        </w:rPr>
        <w:t xml:space="preserve">Networks, Aboriginal Community Controlled Organisations, and local service systems.  </w:t>
      </w:r>
    </w:p>
    <w:p w14:paraId="50CFAF68" w14:textId="77777777" w:rsidR="00C80A0C" w:rsidRDefault="005E499E">
      <w:pPr>
        <w:spacing w:after="283" w:line="259" w:lineRule="auto"/>
        <w:ind w:left="-5"/>
      </w:pPr>
      <w:r>
        <w:rPr>
          <w:rFonts w:ascii="Calibri" w:eastAsia="Calibri" w:hAnsi="Calibri" w:cs="Calibri"/>
          <w:b/>
          <w:color w:val="000000"/>
        </w:rPr>
        <w:t xml:space="preserve">Stability, Contract Continuity and Evidence-Based Rollover for High-Performing Providers  </w:t>
      </w:r>
    </w:p>
    <w:p w14:paraId="4A88F6DB" w14:textId="77777777" w:rsidR="00C80A0C" w:rsidRDefault="005E499E">
      <w:pPr>
        <w:spacing w:after="311" w:line="259" w:lineRule="auto"/>
        <w:ind w:left="-5" w:right="11"/>
      </w:pPr>
      <w:r>
        <w:rPr>
          <w:color w:val="020F0F"/>
        </w:rPr>
        <w:t>A relational contract must be built on stability, not continual recommissioning cycles. The Department should prioritise organisations with long-term presence, strong leadership, financial resilience and sustained community trust. However, stability is not only a provider responsibility; it must also be reflected in the commissioning approach. High-performing organisations that consistently meet or exceed outcomes should not be forced back into competitive tendering every 1</w:t>
      </w:r>
      <w:r>
        <w:rPr>
          <w:color w:val="020F0F"/>
        </w:rPr>
        <w:t>–</w:t>
      </w:r>
      <w:r>
        <w:rPr>
          <w:color w:val="020F0F"/>
        </w:rPr>
        <w:t xml:space="preserve">3 years simply to satisfy procedural probity. </w:t>
      </w:r>
      <w:r>
        <w:rPr>
          <w:color w:val="020F0F"/>
        </w:rPr>
        <w:lastRenderedPageBreak/>
        <w:t>Retendering effective services generates workforce anxiety, disrupts continuity of care, diverts resources away from delivery, and undermines the very principles of relational contracting. A genuine relational model should include clear, evidence-based rollover mechanisms that allow contracts to be extended when performance is strong, community outcomes are being met, and the policy direction remains unchanged. Competitive procurement should occur only when the</w:t>
      </w:r>
      <w:r>
        <w:rPr>
          <w:color w:val="020F0F"/>
        </w:rPr>
        <w:t xml:space="preserve"> government is intentionally shifting the service model or when evidence shows a significantly better approach is available. Stability for organisations, workers, and communities is essential for relational contracting to function as intended.  </w:t>
      </w:r>
    </w:p>
    <w:p w14:paraId="037313BE" w14:textId="77777777" w:rsidR="00C80A0C" w:rsidRDefault="005E499E">
      <w:pPr>
        <w:spacing w:after="283" w:line="259" w:lineRule="auto"/>
        <w:ind w:left="-5"/>
      </w:pPr>
      <w:r>
        <w:rPr>
          <w:rFonts w:ascii="Calibri" w:eastAsia="Calibri" w:hAnsi="Calibri" w:cs="Calibri"/>
          <w:b/>
          <w:color w:val="000000"/>
        </w:rPr>
        <w:t xml:space="preserve">Mature change capability and capacity for adaptive delivery  </w:t>
      </w:r>
    </w:p>
    <w:p w14:paraId="70C90DE0" w14:textId="77777777" w:rsidR="00C80A0C" w:rsidRDefault="005E499E">
      <w:pPr>
        <w:spacing w:after="311" w:line="259" w:lineRule="auto"/>
        <w:ind w:left="-5" w:right="11"/>
      </w:pPr>
      <w:r>
        <w:rPr>
          <w:color w:val="020F0F"/>
        </w:rPr>
        <w:t xml:space="preserve">The relational model requires providers that can respond flexibly to emerging needs, adjust service models through co-design, and participate in shared learning. Organisations unable to operate without micromanagement or unable to adapt safely should not receive relational contracts.  </w:t>
      </w:r>
    </w:p>
    <w:p w14:paraId="6C2650DE" w14:textId="77777777" w:rsidR="00C80A0C" w:rsidRDefault="005E499E">
      <w:pPr>
        <w:spacing w:after="283" w:line="259" w:lineRule="auto"/>
        <w:ind w:left="-5"/>
      </w:pPr>
      <w:r>
        <w:rPr>
          <w:rFonts w:ascii="Calibri" w:eastAsia="Calibri" w:hAnsi="Calibri" w:cs="Calibri"/>
          <w:b/>
          <w:color w:val="000000"/>
        </w:rPr>
        <w:t xml:space="preserve">Transparent and responsible transition behaviour  </w:t>
      </w:r>
    </w:p>
    <w:p w14:paraId="14F956A7" w14:textId="77777777" w:rsidR="00C80A0C" w:rsidRDefault="005E499E">
      <w:pPr>
        <w:spacing w:after="311" w:line="259" w:lineRule="auto"/>
        <w:ind w:left="-5" w:right="11"/>
      </w:pPr>
      <w:r>
        <w:rPr>
          <w:color w:val="020F0F"/>
        </w:rPr>
        <w:t xml:space="preserve">The Department should explicitly consider how organisations have behaved during previous contract transitions. Transition performance is one of the clearest indicators of genuine partnership capability.  </w:t>
      </w:r>
    </w:p>
    <w:p w14:paraId="3C7DFDD7" w14:textId="77777777" w:rsidR="00C80A0C" w:rsidRDefault="005E499E">
      <w:pPr>
        <w:spacing w:after="0" w:line="259" w:lineRule="auto"/>
        <w:ind w:left="0" w:firstLine="0"/>
      </w:pPr>
      <w:r>
        <w:rPr>
          <w:rFonts w:ascii="Calibri" w:eastAsia="Calibri" w:hAnsi="Calibri" w:cs="Calibri"/>
          <w:b/>
          <w:color w:val="000000"/>
        </w:rPr>
        <w:t xml:space="preserve"> </w:t>
      </w:r>
    </w:p>
    <w:p w14:paraId="487FEB49" w14:textId="77777777" w:rsidR="00C80A0C" w:rsidRDefault="005E499E">
      <w:pPr>
        <w:spacing w:after="283" w:line="259" w:lineRule="auto"/>
        <w:ind w:left="-5"/>
      </w:pPr>
      <w:r>
        <w:rPr>
          <w:rFonts w:ascii="Calibri" w:eastAsia="Calibri" w:hAnsi="Calibri" w:cs="Calibri"/>
          <w:b/>
          <w:color w:val="000000"/>
        </w:rPr>
        <w:t xml:space="preserve">Cultural safety and First Nations partnership capability  </w:t>
      </w:r>
    </w:p>
    <w:p w14:paraId="6E72229D" w14:textId="77777777" w:rsidR="00C80A0C" w:rsidRDefault="005E499E">
      <w:pPr>
        <w:spacing w:after="311" w:line="259" w:lineRule="auto"/>
        <w:ind w:left="-5" w:right="11"/>
      </w:pPr>
      <w:r>
        <w:rPr>
          <w:color w:val="020F0F"/>
        </w:rPr>
        <w:t xml:space="preserve">Providers must have a demonstrated capacity to work safely and respectfully with Aboriginal and Torres Strait Islander communities, including evidence of genuine partnerships, cultural governance, and culturally grounded service delivery. Cultural safety cannot be inferred from written statements; it must be evidenced through practice.  </w:t>
      </w:r>
    </w:p>
    <w:p w14:paraId="2BA6CBBC" w14:textId="77777777" w:rsidR="00C80A0C" w:rsidRDefault="005E499E">
      <w:pPr>
        <w:spacing w:after="283" w:line="259" w:lineRule="auto"/>
        <w:ind w:left="-5"/>
      </w:pPr>
      <w:r>
        <w:rPr>
          <w:rFonts w:ascii="Calibri" w:eastAsia="Calibri" w:hAnsi="Calibri" w:cs="Calibri"/>
          <w:b/>
          <w:color w:val="000000"/>
        </w:rPr>
        <w:t xml:space="preserve">Investment in evaluation, outcomes measurement and continuous improvement  </w:t>
      </w:r>
    </w:p>
    <w:p w14:paraId="38E2B7F3" w14:textId="77777777" w:rsidR="00C80A0C" w:rsidRDefault="005E499E">
      <w:pPr>
        <w:spacing w:after="311" w:line="259" w:lineRule="auto"/>
        <w:ind w:left="-5" w:right="11"/>
      </w:pPr>
      <w:r>
        <w:rPr>
          <w:color w:val="020F0F"/>
        </w:rPr>
        <w:t xml:space="preserve">Relational contracting requires a commitment to learning. The Department should prioritise organisations that invest in evaluation, outcomes frameworks, data systems, and evidence-informed practice, not those that rely solely on activity metrics or compliance reporting.  </w:t>
      </w:r>
    </w:p>
    <w:p w14:paraId="6CB7B825" w14:textId="77777777" w:rsidR="00C80A0C" w:rsidRDefault="005E499E">
      <w:pPr>
        <w:spacing w:after="283" w:line="259" w:lineRule="auto"/>
        <w:ind w:left="-5"/>
      </w:pPr>
      <w:r>
        <w:rPr>
          <w:rFonts w:ascii="Calibri" w:eastAsia="Calibri" w:hAnsi="Calibri" w:cs="Calibri"/>
          <w:b/>
          <w:color w:val="000000"/>
        </w:rPr>
        <w:t xml:space="preserve">Consumer Voice, Lived Experience Governance and Community Accountability  </w:t>
      </w:r>
    </w:p>
    <w:p w14:paraId="5F205F99" w14:textId="77777777" w:rsidR="00C80A0C" w:rsidRDefault="005E499E">
      <w:pPr>
        <w:spacing w:after="311" w:line="259" w:lineRule="auto"/>
        <w:ind w:left="-5" w:right="11"/>
      </w:pPr>
      <w:r>
        <w:rPr>
          <w:color w:val="020F0F"/>
        </w:rPr>
        <w:t>Relational contracting requires accountability not just between the Department and the provider, but also between the provider and the community it serves. Organisations suitable for relational contracts must demonstrate strong mechanisms for consumer participation, lived and living experience leadership, and community governance. This includes structures such as advisory groups, co-governance arrangements with people with lived experience, and regular feedback loops that meaningfully influence service desi</w:t>
      </w:r>
      <w:r>
        <w:rPr>
          <w:color w:val="020F0F"/>
        </w:rPr>
        <w:t>gn and delivery. High-trust commissioning must ensure that community voice is central, continuous and empowered</w:t>
      </w:r>
      <w:r>
        <w:rPr>
          <w:rFonts w:ascii="Calibri" w:eastAsia="Calibri" w:hAnsi="Calibri" w:cs="Calibri"/>
          <w:color w:val="000000"/>
        </w:rPr>
        <w:t xml:space="preserve">.  </w:t>
      </w:r>
    </w:p>
    <w:p w14:paraId="780049AB" w14:textId="77777777" w:rsidR="00C80A0C" w:rsidRDefault="005E499E">
      <w:pPr>
        <w:spacing w:after="283" w:line="259" w:lineRule="auto"/>
        <w:ind w:left="-5"/>
      </w:pPr>
      <w:r>
        <w:rPr>
          <w:rFonts w:ascii="Calibri" w:eastAsia="Calibri" w:hAnsi="Calibri" w:cs="Calibri"/>
          <w:color w:val="FD752C"/>
        </w:rPr>
        <w:t xml:space="preserve"> </w:t>
      </w:r>
      <w:r>
        <w:rPr>
          <w:rFonts w:ascii="Calibri" w:eastAsia="Calibri" w:hAnsi="Calibri" w:cs="Calibri"/>
          <w:b/>
          <w:color w:val="000000"/>
        </w:rPr>
        <w:t xml:space="preserve">Digital Capability, Data Integrity and Reporting Maturity  </w:t>
      </w:r>
    </w:p>
    <w:p w14:paraId="3E172433" w14:textId="77777777" w:rsidR="00C80A0C" w:rsidRDefault="005E499E">
      <w:pPr>
        <w:spacing w:after="311" w:line="259" w:lineRule="auto"/>
        <w:ind w:left="-5" w:right="11"/>
      </w:pPr>
      <w:r>
        <w:rPr>
          <w:color w:val="020F0F"/>
        </w:rPr>
        <w:t>Relational contracting relies on transparent, reliable and shared outcomes reporting. Providers selected for relational contracts must therefore demonstrate strong digital capability, including secure data systems, cyber security maturity, interoperability with DSS and national datasets, and the ability to collect, analyse and report outcomes data with accuracy and integrity. Relational contracting should prioritise providers with the digital maturity to support continuous learning, evaluation and transpare</w:t>
      </w:r>
      <w:r>
        <w:rPr>
          <w:color w:val="020F0F"/>
        </w:rPr>
        <w:t xml:space="preserve">nt accountability to both government and the community.  </w:t>
      </w:r>
    </w:p>
    <w:p w14:paraId="18D494C4" w14:textId="77777777" w:rsidR="00C80A0C" w:rsidRDefault="005E499E">
      <w:pPr>
        <w:spacing w:after="283" w:line="259" w:lineRule="auto"/>
        <w:ind w:left="-5"/>
      </w:pPr>
      <w:r>
        <w:rPr>
          <w:rFonts w:ascii="Calibri" w:eastAsia="Calibri" w:hAnsi="Calibri" w:cs="Calibri"/>
          <w:color w:val="FD752C"/>
        </w:rPr>
        <w:t xml:space="preserve"> </w:t>
      </w:r>
      <w:r>
        <w:rPr>
          <w:rFonts w:ascii="Calibri" w:eastAsia="Calibri" w:hAnsi="Calibri" w:cs="Calibri"/>
          <w:b/>
          <w:color w:val="000000"/>
        </w:rPr>
        <w:t xml:space="preserve">Organisations that should NOT receive relational contracts  </w:t>
      </w:r>
    </w:p>
    <w:p w14:paraId="2E5BEDAF" w14:textId="77777777" w:rsidR="00C80A0C" w:rsidRDefault="005E499E">
      <w:pPr>
        <w:spacing w:after="311" w:line="259" w:lineRule="auto"/>
        <w:ind w:left="-5" w:right="11"/>
      </w:pPr>
      <w:r>
        <w:rPr>
          <w:color w:val="020F0F"/>
        </w:rPr>
        <w:lastRenderedPageBreak/>
        <w:t xml:space="preserve"> For clarity, the Department should explicitly exclude:  </w:t>
      </w:r>
    </w:p>
    <w:p w14:paraId="17BA1B2F" w14:textId="77777777" w:rsidR="00C80A0C" w:rsidRDefault="005E499E">
      <w:pPr>
        <w:numPr>
          <w:ilvl w:val="0"/>
          <w:numId w:val="19"/>
        </w:numPr>
        <w:ind w:right="9" w:hanging="360"/>
      </w:pPr>
      <w:r>
        <w:t xml:space="preserve">for-profit providers whose incentives rely on margin protection rather than community outcomes  </w:t>
      </w:r>
    </w:p>
    <w:p w14:paraId="59B18DEC" w14:textId="77777777" w:rsidR="00C80A0C" w:rsidRDefault="005E499E">
      <w:pPr>
        <w:numPr>
          <w:ilvl w:val="0"/>
          <w:numId w:val="19"/>
        </w:numPr>
        <w:ind w:right="9" w:hanging="360"/>
      </w:pPr>
      <w:r>
        <w:t xml:space="preserve">companies that do not pay taxes in Australia  </w:t>
      </w:r>
    </w:p>
    <w:p w14:paraId="0B9E8B40" w14:textId="77777777" w:rsidR="00C80A0C" w:rsidRDefault="005E499E">
      <w:pPr>
        <w:numPr>
          <w:ilvl w:val="0"/>
          <w:numId w:val="19"/>
        </w:numPr>
        <w:ind w:right="9" w:hanging="360"/>
      </w:pPr>
      <w:r>
        <w:t xml:space="preserve">organisations with poor performance histories or repeated service safety issues  </w:t>
      </w:r>
    </w:p>
    <w:p w14:paraId="5C50DB08" w14:textId="77777777" w:rsidR="00C80A0C" w:rsidRDefault="005E499E">
      <w:pPr>
        <w:numPr>
          <w:ilvl w:val="0"/>
          <w:numId w:val="19"/>
        </w:numPr>
        <w:ind w:right="9" w:hanging="360"/>
      </w:pPr>
      <w:r>
        <w:t xml:space="preserve">providers that cherry pick low-complexity or profitable clients  </w:t>
      </w:r>
    </w:p>
    <w:p w14:paraId="24EFB85F" w14:textId="77777777" w:rsidR="00C80A0C" w:rsidRDefault="005E499E">
      <w:pPr>
        <w:numPr>
          <w:ilvl w:val="0"/>
          <w:numId w:val="19"/>
        </w:numPr>
        <w:ind w:right="9" w:hanging="360"/>
      </w:pPr>
      <w:r>
        <w:t xml:space="preserve">organisations that routinely underbid or mask true costs  </w:t>
      </w:r>
    </w:p>
    <w:p w14:paraId="1B80CEA9" w14:textId="77777777" w:rsidR="00C80A0C" w:rsidRDefault="005E499E">
      <w:pPr>
        <w:numPr>
          <w:ilvl w:val="0"/>
          <w:numId w:val="19"/>
        </w:numPr>
        <w:ind w:right="9" w:hanging="360"/>
      </w:pPr>
      <w:r>
        <w:t xml:space="preserve">providers with weak governance or immature safety systems  </w:t>
      </w:r>
    </w:p>
    <w:p w14:paraId="3784DB13" w14:textId="77777777" w:rsidR="00C80A0C" w:rsidRDefault="005E499E">
      <w:pPr>
        <w:numPr>
          <w:ilvl w:val="0"/>
          <w:numId w:val="19"/>
        </w:numPr>
        <w:ind w:right="9" w:hanging="360"/>
      </w:pPr>
      <w:r>
        <w:t xml:space="preserve">organisations lacking local presence, cultural capability or trusted relationships  </w:t>
      </w:r>
    </w:p>
    <w:p w14:paraId="7ED52BC9" w14:textId="77777777" w:rsidR="00C80A0C" w:rsidRDefault="005E499E">
      <w:pPr>
        <w:numPr>
          <w:ilvl w:val="0"/>
          <w:numId w:val="19"/>
        </w:numPr>
        <w:ind w:right="9" w:hanging="360"/>
      </w:pPr>
      <w:r>
        <w:t xml:space="preserve">providers with adversarial or litigious behaviour toward government  </w:t>
      </w:r>
    </w:p>
    <w:p w14:paraId="52FDAD96" w14:textId="77777777" w:rsidR="00C80A0C" w:rsidRDefault="005E499E">
      <w:pPr>
        <w:numPr>
          <w:ilvl w:val="0"/>
          <w:numId w:val="19"/>
        </w:numPr>
        <w:ind w:right="9" w:hanging="360"/>
      </w:pPr>
      <w:r>
        <w:t xml:space="preserve">organisations overly reliant on subcontractors or unstable workforce models  </w:t>
      </w:r>
    </w:p>
    <w:p w14:paraId="68F93F29" w14:textId="77777777" w:rsidR="00C80A0C" w:rsidRDefault="005E499E">
      <w:pPr>
        <w:numPr>
          <w:ilvl w:val="0"/>
          <w:numId w:val="19"/>
        </w:numPr>
        <w:ind w:right="9" w:hanging="360"/>
      </w:pPr>
      <w:r>
        <w:t xml:space="preserve">providers that enter or exit markets based on profitability or margin considerations  </w:t>
      </w:r>
    </w:p>
    <w:p w14:paraId="3CF908C6" w14:textId="77777777" w:rsidR="00C80A0C" w:rsidRDefault="005E499E">
      <w:pPr>
        <w:numPr>
          <w:ilvl w:val="0"/>
          <w:numId w:val="19"/>
        </w:numPr>
        <w:ind w:right="9" w:hanging="360"/>
      </w:pPr>
      <w:r>
        <w:t xml:space="preserve">providers with a history of withholding data, resisting handover or disrupting contract transitions  </w:t>
      </w:r>
    </w:p>
    <w:p w14:paraId="38D25797" w14:textId="77777777" w:rsidR="00C80A0C" w:rsidRDefault="005E499E">
      <w:pPr>
        <w:numPr>
          <w:ilvl w:val="0"/>
          <w:numId w:val="19"/>
        </w:numPr>
        <w:ind w:right="9" w:hanging="360"/>
      </w:pPr>
      <w:r>
        <w:t xml:space="preserve">organisations that require micromanagement and cannot operate relationally or collaboratively  </w:t>
      </w:r>
    </w:p>
    <w:p w14:paraId="78771684" w14:textId="77777777" w:rsidR="00C80A0C" w:rsidRDefault="005E499E">
      <w:pPr>
        <w:numPr>
          <w:ilvl w:val="0"/>
          <w:numId w:val="19"/>
        </w:numPr>
        <w:spacing w:after="26"/>
        <w:ind w:right="9" w:hanging="360"/>
      </w:pPr>
      <w:r>
        <w:t xml:space="preserve">These behaviours are fundamentally incompatible with the relational model and create unacceptable risk for communities.  </w:t>
      </w:r>
    </w:p>
    <w:p w14:paraId="0BA7BDEB" w14:textId="77777777" w:rsidR="00C80A0C" w:rsidRDefault="005E499E">
      <w:pPr>
        <w:spacing w:after="311" w:line="259" w:lineRule="auto"/>
        <w:ind w:left="0" w:firstLine="0"/>
      </w:pPr>
      <w:r>
        <w:rPr>
          <w:rFonts w:ascii="Calibri" w:eastAsia="Calibri" w:hAnsi="Calibri" w:cs="Calibri"/>
          <w:b/>
          <w:color w:val="000000"/>
        </w:rPr>
        <w:t xml:space="preserve"> </w:t>
      </w:r>
    </w:p>
    <w:p w14:paraId="3D2D8C81" w14:textId="77777777" w:rsidR="00C80A0C" w:rsidRDefault="005E499E">
      <w:pPr>
        <w:spacing w:after="0" w:line="259" w:lineRule="auto"/>
        <w:ind w:left="0" w:firstLine="0"/>
      </w:pPr>
      <w:r>
        <w:rPr>
          <w:rFonts w:ascii="Calibri" w:eastAsia="Calibri" w:hAnsi="Calibri" w:cs="Calibri"/>
          <w:b/>
          <w:color w:val="000000"/>
        </w:rPr>
        <w:t xml:space="preserve"> </w:t>
      </w:r>
    </w:p>
    <w:p w14:paraId="17740A2E" w14:textId="77777777" w:rsidR="00C80A0C" w:rsidRDefault="005E499E">
      <w:pPr>
        <w:spacing w:after="283" w:line="259" w:lineRule="auto"/>
        <w:ind w:left="-5"/>
      </w:pPr>
      <w:r>
        <w:rPr>
          <w:rFonts w:ascii="Calibri" w:eastAsia="Calibri" w:hAnsi="Calibri" w:cs="Calibri"/>
          <w:b/>
          <w:color w:val="000000"/>
        </w:rPr>
        <w:t xml:space="preserve">Is your organisation interested in a relational contracting approach? Why/why not? </w:t>
      </w:r>
    </w:p>
    <w:p w14:paraId="59B74DF7" w14:textId="77777777" w:rsidR="00C80A0C" w:rsidRDefault="005E499E">
      <w:pPr>
        <w:spacing w:after="553" w:line="263" w:lineRule="auto"/>
        <w:ind w:left="-5" w:right="6"/>
      </w:pPr>
      <w:r>
        <w:rPr>
          <w:color w:val="000000"/>
        </w:rPr>
        <w:t xml:space="preserve">Each is absolutely interested in a relational contracting approach. In additional to our belief that we can meet </w:t>
      </w:r>
      <w:proofErr w:type="gramStart"/>
      <w:r>
        <w:rPr>
          <w:color w:val="000000"/>
        </w:rPr>
        <w:t>all of</w:t>
      </w:r>
      <w:proofErr w:type="gramEnd"/>
      <w:r>
        <w:rPr>
          <w:color w:val="000000"/>
        </w:rPr>
        <w:t xml:space="preserve"> the points </w:t>
      </w:r>
      <w:proofErr w:type="gramStart"/>
      <w:r>
        <w:rPr>
          <w:color w:val="000000"/>
        </w:rPr>
        <w:t>above,</w:t>
      </w:r>
      <w:proofErr w:type="gramEnd"/>
      <w:r>
        <w:rPr>
          <w:color w:val="000000"/>
        </w:rPr>
        <w:t xml:space="preserve"> our experience tells us that this approach provides a greater depth of service and an ability to meet the needs of the communities we serve. This is ultimately to purpose of our organisation. </w:t>
      </w:r>
    </w:p>
    <w:p w14:paraId="6836F2F7" w14:textId="77777777" w:rsidR="00C80A0C" w:rsidRDefault="005E499E">
      <w:pPr>
        <w:pStyle w:val="Heading1"/>
        <w:ind w:left="-5"/>
      </w:pPr>
      <w:bookmarkStart w:id="12" w:name="_Toc55837"/>
      <w:r>
        <w:t xml:space="preserve">Other </w:t>
      </w:r>
      <w:bookmarkEnd w:id="12"/>
    </w:p>
    <w:p w14:paraId="1F13DFB3" w14:textId="77777777" w:rsidR="00C80A0C" w:rsidRDefault="005E499E">
      <w:pPr>
        <w:spacing w:after="250" w:line="289" w:lineRule="auto"/>
        <w:ind w:left="0" w:firstLine="0"/>
      </w:pPr>
      <w:r>
        <w:rPr>
          <w:rFonts w:ascii="Calibri" w:eastAsia="Calibri" w:hAnsi="Calibri" w:cs="Calibri"/>
          <w:b/>
        </w:rPr>
        <w:t>Is there anything else you think the department should understand or consider about this proposed approach?</w:t>
      </w:r>
      <w:r>
        <w:rPr>
          <w:b/>
          <w:color w:val="000000"/>
        </w:rPr>
        <w:t xml:space="preserve"> </w:t>
      </w:r>
    </w:p>
    <w:p w14:paraId="58799411" w14:textId="77777777" w:rsidR="00C80A0C" w:rsidRDefault="005E499E">
      <w:pPr>
        <w:pStyle w:val="Heading2"/>
        <w:ind w:left="-5"/>
      </w:pPr>
      <w:r>
        <w:t xml:space="preserve">Data &amp; Reporting </w:t>
      </w:r>
    </w:p>
    <w:p w14:paraId="4B32394D" w14:textId="77777777" w:rsidR="00C80A0C" w:rsidRDefault="005E499E">
      <w:pPr>
        <w:spacing w:after="157" w:line="263" w:lineRule="auto"/>
        <w:ind w:left="-5" w:right="6"/>
      </w:pPr>
      <w:r>
        <w:rPr>
          <w:color w:val="000000"/>
        </w:rPr>
        <w:t xml:space="preserve">Through past DSS contracts, there was an opportunity to collect and report data </w:t>
      </w:r>
      <w:r>
        <w:rPr>
          <w:color w:val="000000"/>
        </w:rPr>
        <w:t>relating to “turn</w:t>
      </w:r>
      <w:r>
        <w:rPr>
          <w:color w:val="000000"/>
        </w:rPr>
        <w:t>-</w:t>
      </w:r>
      <w:r>
        <w:rPr>
          <w:color w:val="000000"/>
        </w:rPr>
        <w:t xml:space="preserve">aways” </w:t>
      </w:r>
      <w:r>
        <w:rPr>
          <w:color w:val="000000"/>
        </w:rPr>
        <w:t xml:space="preserve">when a member of the community was eligible for the service offering but the service could not be offered (usually due to capacity and program KPIs). The collection of this data would support DSS and funded organisations to understand where unmet demand exists and can assist with service/program adjustments to meet the need. We would also expect that this information could also support government to make decisions about funding allocations. </w:t>
      </w:r>
    </w:p>
    <w:p w14:paraId="60CD12BE" w14:textId="77777777" w:rsidR="00C80A0C" w:rsidRDefault="005E499E">
      <w:pPr>
        <w:spacing w:after="157" w:line="263" w:lineRule="auto"/>
        <w:ind w:left="-5" w:right="6"/>
      </w:pPr>
      <w:r>
        <w:rPr>
          <w:color w:val="000000"/>
        </w:rPr>
        <w:t xml:space="preserve">Improved &amp; Streamline reporting will ensure responsible use of resources and increase allocation of resource to client work as required resources for inefficient and complex reporting reduce. </w:t>
      </w:r>
    </w:p>
    <w:p w14:paraId="3654DFB6" w14:textId="77777777" w:rsidR="00C80A0C" w:rsidRDefault="005E499E">
      <w:pPr>
        <w:spacing w:after="157" w:line="263" w:lineRule="auto"/>
        <w:ind w:left="-5" w:right="6"/>
      </w:pPr>
      <w:r>
        <w:rPr>
          <w:color w:val="000000"/>
        </w:rPr>
        <w:t xml:space="preserve">There is currently a significant amount of </w:t>
      </w:r>
      <w:r>
        <w:rPr>
          <w:color w:val="000000"/>
        </w:rPr>
        <w:t>“</w:t>
      </w:r>
      <w:r>
        <w:rPr>
          <w:color w:val="000000"/>
        </w:rPr>
        <w:t>Unreportable data</w:t>
      </w:r>
      <w:r>
        <w:rPr>
          <w:color w:val="000000"/>
        </w:rPr>
        <w:t>”</w:t>
      </w:r>
      <w:r>
        <w:rPr>
          <w:color w:val="000000"/>
        </w:rPr>
        <w:t xml:space="preserve"> in the service as systems don</w:t>
      </w:r>
      <w:r>
        <w:rPr>
          <w:color w:val="000000"/>
        </w:rPr>
        <w:t>’</w:t>
      </w:r>
      <w:r>
        <w:rPr>
          <w:color w:val="000000"/>
        </w:rPr>
        <w:t xml:space="preserve">t support reporting of this. Examples would include instances where a client does not attend an appointment, planning and reporting time, service reviews and grant applications. Being able to report on all the functions of a service would provide greater transparency across the contract. </w:t>
      </w:r>
    </w:p>
    <w:p w14:paraId="7117170A" w14:textId="77777777" w:rsidR="00C80A0C" w:rsidRDefault="005E499E">
      <w:pPr>
        <w:pStyle w:val="Heading2"/>
        <w:spacing w:after="239"/>
        <w:ind w:left="-5"/>
      </w:pPr>
      <w:r>
        <w:t xml:space="preserve">Policy Improvements </w:t>
      </w:r>
    </w:p>
    <w:p w14:paraId="1DDBD73E" w14:textId="77777777" w:rsidR="00C80A0C" w:rsidRDefault="005E499E">
      <w:pPr>
        <w:spacing w:after="240"/>
        <w:ind w:left="-5" w:right="9"/>
      </w:pPr>
      <w:r>
        <w:t>Across Australian jurisdictions, prenatal notifications have increased by approximately 4% per year, and 33% of children with a prenatal notification had that notification substantiated. Infant entry to OOHC has also risen by 2% annually.</w:t>
      </w:r>
      <w:r>
        <w:rPr>
          <w:vertAlign w:val="superscript"/>
        </w:rPr>
        <w:footnoteReference w:id="49"/>
      </w:r>
      <w:r>
        <w:t xml:space="preserve"> </w:t>
      </w:r>
      <w:r>
        <w:t xml:space="preserve">Recent data indicates that three in four young mothers/birthing parents who had themselves been notified to child protection (in their own earlier years) had a child in contact with child </w:t>
      </w:r>
      <w:r>
        <w:lastRenderedPageBreak/>
        <w:t>protection within 10 years of the birth of their first child, demonstrating strong intergenerational patterns of involvement.</w:t>
      </w:r>
      <w:r>
        <w:rPr>
          <w:vertAlign w:val="superscript"/>
        </w:rPr>
        <w:footnoteReference w:id="50"/>
      </w:r>
      <w:r>
        <w:t xml:space="preserve"> First Nations infants are significantly overrepresented in prenatal reports and subsequent removals, and less likely to be reunified with family </w:t>
      </w:r>
    </w:p>
    <w:p w14:paraId="15DD1BB3" w14:textId="77777777" w:rsidR="00C80A0C" w:rsidRDefault="005E499E">
      <w:pPr>
        <w:ind w:left="-5" w:right="9"/>
      </w:pPr>
      <w:r>
        <w:t xml:space="preserve">Across Australian jurisdictions, legislative approaches to reporting and intervening for unborn infants deemed </w:t>
      </w:r>
    </w:p>
    <w:p w14:paraId="5E7C6204" w14:textId="77777777" w:rsidR="00C80A0C" w:rsidRDefault="005E499E">
      <w:pPr>
        <w:spacing w:after="237"/>
        <w:ind w:left="-5" w:right="9"/>
      </w:pPr>
      <w:r>
        <w:t xml:space="preserve">‘at risk’ vary significantly. Victoria and Queensland stand out as the only states with explicit statutory provisions. Victoria’s </w:t>
      </w:r>
      <w:r>
        <w:rPr>
          <w:i/>
        </w:rPr>
        <w:t>Children, Youth and Families Act 2005</w:t>
      </w:r>
      <w:r>
        <w:t xml:space="preserve"> (Section 29)</w:t>
      </w:r>
      <w:r>
        <w:rPr>
          <w:vertAlign w:val="superscript"/>
        </w:rPr>
        <w:footnoteReference w:id="51"/>
      </w:r>
      <w:r>
        <w:t xml:space="preserve"> specifically enables reporting for unborn children and mandates consultation with Aboriginal Child Specialist Advice and Support Services (ACSASS) for First Nations </w:t>
      </w:r>
      <w:r>
        <w:t xml:space="preserve">families. Similarly, Queensland’s </w:t>
      </w:r>
      <w:r>
        <w:rPr>
          <w:i/>
        </w:rPr>
        <w:t>Child Protection Act 1999</w:t>
      </w:r>
      <w:r>
        <w:t xml:space="preserve"> (Section 22)</w:t>
      </w:r>
      <w:r>
        <w:rPr>
          <w:vertAlign w:val="superscript"/>
        </w:rPr>
        <w:footnoteReference w:id="52"/>
      </w:r>
      <w:r>
        <w:t xml:space="preserve"> provides clear authority for intervention during pregnancy. </w:t>
      </w:r>
    </w:p>
    <w:p w14:paraId="64C911F0" w14:textId="77777777" w:rsidR="00C80A0C" w:rsidRDefault="005E499E">
      <w:pPr>
        <w:ind w:left="-5" w:right="9"/>
      </w:pPr>
      <w:r>
        <w:t xml:space="preserve">In contrast, most other states, and territories - New South Wales, South Australia, Western Australia, the </w:t>
      </w:r>
    </w:p>
    <w:p w14:paraId="10C1FFE7" w14:textId="77777777" w:rsidR="00C80A0C" w:rsidRDefault="005E499E">
      <w:pPr>
        <w:spacing w:after="128"/>
        <w:ind w:left="-5" w:right="9"/>
      </w:pPr>
      <w:r>
        <w:t xml:space="preserve">Australian Capital Territory, and the Northern Territory, address unborn child protection through general </w:t>
      </w:r>
    </w:p>
    <w:p w14:paraId="7D8300FA" w14:textId="77777777" w:rsidR="00C80A0C" w:rsidRDefault="005E499E">
      <w:pPr>
        <w:spacing w:after="0" w:line="259" w:lineRule="auto"/>
        <w:ind w:left="0" w:firstLine="0"/>
      </w:pPr>
      <w:r>
        <w:rPr>
          <w:rFonts w:ascii="Calibri" w:eastAsia="Calibri" w:hAnsi="Calibri" w:cs="Calibri"/>
          <w:noProof/>
          <w:color w:val="000000"/>
        </w:rPr>
        <mc:AlternateContent>
          <mc:Choice Requires="wpg">
            <w:drawing>
              <wp:inline distT="0" distB="0" distL="0" distR="0" wp14:anchorId="0589569A" wp14:editId="00CC06A0">
                <wp:extent cx="1829435" cy="7620"/>
                <wp:effectExtent l="0" t="0" r="0" b="0"/>
                <wp:docPr id="50819" name="Group 50819"/>
                <wp:cNvGraphicFramePr/>
                <a:graphic xmlns:a="http://schemas.openxmlformats.org/drawingml/2006/main">
                  <a:graphicData uri="http://schemas.microsoft.com/office/word/2010/wordprocessingGroup">
                    <wpg:wgp>
                      <wpg:cNvGrpSpPr/>
                      <wpg:grpSpPr>
                        <a:xfrm>
                          <a:off x="0" y="0"/>
                          <a:ext cx="1829435" cy="7620"/>
                          <a:chOff x="0" y="0"/>
                          <a:chExt cx="1829435" cy="7620"/>
                        </a:xfrm>
                      </wpg:grpSpPr>
                      <wps:wsp>
                        <wps:cNvPr id="56208" name="Shape 56208"/>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21414"/>
                          </a:fillRef>
                          <a:effectRef idx="0">
                            <a:scrgbClr r="0" g="0" b="0"/>
                          </a:effectRef>
                          <a:fontRef idx="none"/>
                        </wps:style>
                        <wps:bodyPr/>
                      </wps:wsp>
                    </wpg:wgp>
                  </a:graphicData>
                </a:graphic>
              </wp:inline>
            </w:drawing>
          </mc:Choice>
          <mc:Fallback xmlns:a="http://schemas.openxmlformats.org/drawingml/2006/main">
            <w:pict>
              <v:group id="Group 50819" style="width:144.05pt;height:0.600037pt;mso-position-horizontal-relative:char;mso-position-vertical-relative:line" coordsize="18294,76">
                <v:shape id="Shape 56209" style="position:absolute;width:18294;height:91;left:0;top:0;" coordsize="1829435,9144" path="m0,0l1829435,0l1829435,9144l0,9144l0,0">
                  <v:stroke weight="0pt" endcap="flat" joinstyle="miter" miterlimit="10" on="false" color="#000000" opacity="0"/>
                  <v:fill on="true" color="#021414"/>
                </v:shape>
              </v:group>
            </w:pict>
          </mc:Fallback>
        </mc:AlternateContent>
      </w:r>
      <w:r>
        <w:t xml:space="preserve"> </w:t>
      </w:r>
    </w:p>
    <w:p w14:paraId="25C982A3" w14:textId="77777777" w:rsidR="00C80A0C" w:rsidRDefault="005E499E">
      <w:pPr>
        <w:spacing w:after="238"/>
        <w:ind w:left="-5" w:right="9"/>
      </w:pPr>
      <w:r>
        <w:t xml:space="preserve">legislative provisions that allow early intervention and safety planning but do not contain a dedicated reporting section. Tasmania differs further, relying on policy rather than legislation to guide unborn reporting, with a focus on post birth intervention.  Overall, while all jurisdictions recognise the importance of early intervention during pregnancy, the degree of legislative clarity and specificity varies, creating a patchwork of approaches across Australia.  </w:t>
      </w:r>
    </w:p>
    <w:p w14:paraId="3EA57EF5" w14:textId="77777777" w:rsidR="00C80A0C" w:rsidRDefault="005E499E">
      <w:pPr>
        <w:spacing w:after="172" w:line="263" w:lineRule="auto"/>
        <w:ind w:left="-5" w:right="6"/>
      </w:pPr>
      <w:r>
        <w:rPr>
          <w:color w:val="000000"/>
        </w:rPr>
        <w:t xml:space="preserve">In relation to prevention and early intervention in this important space, Each </w:t>
      </w:r>
      <w:proofErr w:type="gramStart"/>
      <w:r>
        <w:rPr>
          <w:color w:val="000000"/>
        </w:rPr>
        <w:t>advocates</w:t>
      </w:r>
      <w:proofErr w:type="gramEnd"/>
      <w:r>
        <w:rPr>
          <w:color w:val="000000"/>
        </w:rPr>
        <w:t xml:space="preserve"> for current approaches relating to unborn reporting to align with UNICEF and the World Health Organisation recommendations; </w:t>
      </w:r>
      <w:proofErr w:type="gramStart"/>
      <w:r>
        <w:rPr>
          <w:color w:val="000000"/>
        </w:rPr>
        <w:t>in order to</w:t>
      </w:r>
      <w:proofErr w:type="gramEnd"/>
      <w:r>
        <w:rPr>
          <w:color w:val="000000"/>
        </w:rPr>
        <w:t xml:space="preserve"> uphold rights based maternal health strategies, emphasising respectful care, early engagement, and integrated support systems that are strengths based.</w:t>
      </w:r>
      <w:r>
        <w:rPr>
          <w:color w:val="000000"/>
          <w:vertAlign w:val="superscript"/>
        </w:rPr>
        <w:footnoteReference w:id="53"/>
      </w:r>
      <w:r>
        <w:rPr>
          <w:color w:val="000000"/>
        </w:rPr>
        <w:t xml:space="preserve">  </w:t>
      </w:r>
    </w:p>
    <w:p w14:paraId="6E044B60" w14:textId="77777777" w:rsidR="00C80A0C" w:rsidRDefault="005E499E">
      <w:pPr>
        <w:spacing w:after="197"/>
        <w:ind w:left="-5" w:right="9"/>
      </w:pPr>
      <w:r>
        <w:t xml:space="preserve">In summary we at Each encourage the Department to consider: </w:t>
      </w:r>
    </w:p>
    <w:p w14:paraId="35CCA1EE" w14:textId="77777777" w:rsidR="00C80A0C" w:rsidRDefault="005E499E">
      <w:pPr>
        <w:numPr>
          <w:ilvl w:val="0"/>
          <w:numId w:val="20"/>
        </w:numPr>
        <w:spacing w:after="34"/>
        <w:ind w:right="9" w:hanging="360"/>
      </w:pPr>
      <w:r>
        <w:rPr>
          <w:b/>
        </w:rPr>
        <w:t>Evidence strongly supports replacing unborn notifications</w:t>
      </w:r>
      <w:r>
        <w:t xml:space="preserve"> with community based, voluntary, culturally responsive, trauma and violence informed supports during pregnancy, recognised as global best practice, particularly when working alongside young expectant parents. </w:t>
      </w:r>
    </w:p>
    <w:p w14:paraId="066CEB46" w14:textId="77777777" w:rsidR="00C80A0C" w:rsidRDefault="005E499E">
      <w:pPr>
        <w:numPr>
          <w:ilvl w:val="0"/>
          <w:numId w:val="20"/>
        </w:numPr>
        <w:spacing w:after="32"/>
        <w:ind w:right="9" w:hanging="360"/>
      </w:pPr>
      <w:r>
        <w:rPr>
          <w:b/>
        </w:rPr>
        <w:t>Intensive family support programs targeting young parents,</w:t>
      </w:r>
      <w:r>
        <w:t xml:space="preserve"> particularly for those who have experienced prior child protection involvement; are critical to breaking intergenerational cycles of harm and to decrease child removal, particularly that of infants and younger children. </w:t>
      </w:r>
    </w:p>
    <w:p w14:paraId="1B8A9EAB" w14:textId="77777777" w:rsidR="00C80A0C" w:rsidRDefault="005E499E">
      <w:pPr>
        <w:numPr>
          <w:ilvl w:val="0"/>
          <w:numId w:val="20"/>
        </w:numPr>
        <w:spacing w:after="33"/>
        <w:ind w:right="9" w:hanging="360"/>
      </w:pPr>
      <w:r>
        <w:rPr>
          <w:b/>
        </w:rPr>
        <w:t>Investment in Aboriginal Community Controlled Organisations</w:t>
      </w:r>
      <w:r>
        <w:t xml:space="preserve"> (ACCOs) and Community led models is essential to address systemic inequities and improve outcomes for First Nations families. </w:t>
      </w:r>
    </w:p>
    <w:p w14:paraId="2FF5CF7A" w14:textId="77777777" w:rsidR="00C80A0C" w:rsidRDefault="005E499E">
      <w:pPr>
        <w:numPr>
          <w:ilvl w:val="0"/>
          <w:numId w:val="20"/>
        </w:numPr>
        <w:ind w:right="9" w:hanging="360"/>
      </w:pPr>
      <w:r>
        <w:rPr>
          <w:b/>
        </w:rPr>
        <w:t>Human Rights</w:t>
      </w:r>
      <w:r>
        <w:t xml:space="preserve"> Mandatory unborn reports violate autonomy, privacy, and equality principles. </w:t>
      </w:r>
    </w:p>
    <w:p w14:paraId="04254E7F" w14:textId="77777777" w:rsidR="00C80A0C" w:rsidRDefault="005E499E">
      <w:pPr>
        <w:numPr>
          <w:ilvl w:val="0"/>
          <w:numId w:val="20"/>
        </w:numPr>
        <w:ind w:right="9" w:hanging="360"/>
      </w:pPr>
      <w:r>
        <w:rPr>
          <w:b/>
        </w:rPr>
        <w:t>Public Health</w:t>
      </w:r>
      <w:r>
        <w:t xml:space="preserve"> They deter prenatal care and treatment engagement, worsening outcomes. </w:t>
      </w:r>
    </w:p>
    <w:p w14:paraId="26410314" w14:textId="77777777" w:rsidR="00C80A0C" w:rsidRDefault="005E499E">
      <w:pPr>
        <w:numPr>
          <w:ilvl w:val="0"/>
          <w:numId w:val="20"/>
        </w:numPr>
        <w:spacing w:after="159"/>
        <w:ind w:right="9" w:hanging="360"/>
      </w:pPr>
      <w:r>
        <w:rPr>
          <w:b/>
        </w:rPr>
        <w:t xml:space="preserve">Evidence of Harm </w:t>
      </w:r>
      <w:r>
        <w:t xml:space="preserve">High false positive rates and punitive consequences increase experiences of systems oppression and associated trauma for families. </w:t>
      </w:r>
    </w:p>
    <w:p w14:paraId="271FDECC" w14:textId="77777777" w:rsidR="00C80A0C" w:rsidRDefault="005E499E">
      <w:pPr>
        <w:spacing w:after="160" w:line="259" w:lineRule="auto"/>
        <w:ind w:left="0" w:firstLine="0"/>
      </w:pPr>
      <w:r>
        <w:t xml:space="preserve"> </w:t>
      </w:r>
    </w:p>
    <w:p w14:paraId="0CB30B5C" w14:textId="77777777" w:rsidR="00C80A0C" w:rsidRDefault="005E499E">
      <w:pPr>
        <w:spacing w:after="556" w:line="259" w:lineRule="auto"/>
        <w:ind w:left="0" w:firstLine="0"/>
      </w:pPr>
      <w:r>
        <w:t xml:space="preserve"> </w:t>
      </w:r>
    </w:p>
    <w:p w14:paraId="4BC77454" w14:textId="77777777" w:rsidR="00C80A0C" w:rsidRDefault="005E499E">
      <w:pPr>
        <w:spacing w:after="360" w:line="259" w:lineRule="auto"/>
        <w:ind w:left="0" w:firstLine="0"/>
      </w:pPr>
      <w:r>
        <w:rPr>
          <w:rFonts w:ascii="Georgia" w:eastAsia="Georgia" w:hAnsi="Georgia" w:cs="Georgia"/>
          <w:b/>
          <w:color w:val="0D8383"/>
          <w:sz w:val="40"/>
        </w:rPr>
        <w:lastRenderedPageBreak/>
        <w:t xml:space="preserve"> </w:t>
      </w:r>
    </w:p>
    <w:p w14:paraId="3DC6A54A" w14:textId="77777777" w:rsidR="00C80A0C" w:rsidRDefault="005E499E">
      <w:pPr>
        <w:spacing w:after="358" w:line="259" w:lineRule="auto"/>
        <w:ind w:left="0" w:firstLine="0"/>
      </w:pPr>
      <w:r>
        <w:rPr>
          <w:rFonts w:ascii="Georgia" w:eastAsia="Georgia" w:hAnsi="Georgia" w:cs="Georgia"/>
          <w:b/>
          <w:color w:val="0D8383"/>
          <w:sz w:val="40"/>
        </w:rPr>
        <w:t xml:space="preserve"> </w:t>
      </w:r>
    </w:p>
    <w:p w14:paraId="08BFDB82" w14:textId="77777777" w:rsidR="00C80A0C" w:rsidRDefault="005E499E">
      <w:pPr>
        <w:spacing w:after="359" w:line="259" w:lineRule="auto"/>
        <w:ind w:left="0" w:firstLine="0"/>
      </w:pPr>
      <w:r>
        <w:rPr>
          <w:rFonts w:ascii="Georgia" w:eastAsia="Georgia" w:hAnsi="Georgia" w:cs="Georgia"/>
          <w:b/>
          <w:color w:val="0D8383"/>
          <w:sz w:val="40"/>
        </w:rPr>
        <w:t xml:space="preserve"> </w:t>
      </w:r>
    </w:p>
    <w:p w14:paraId="4354B29D" w14:textId="77777777" w:rsidR="00C80A0C" w:rsidRDefault="005E499E">
      <w:pPr>
        <w:spacing w:after="358" w:line="259" w:lineRule="auto"/>
        <w:ind w:left="0" w:firstLine="0"/>
      </w:pPr>
      <w:r>
        <w:rPr>
          <w:rFonts w:ascii="Georgia" w:eastAsia="Georgia" w:hAnsi="Georgia" w:cs="Georgia"/>
          <w:b/>
          <w:color w:val="0D8383"/>
          <w:sz w:val="40"/>
        </w:rPr>
        <w:t xml:space="preserve"> </w:t>
      </w:r>
    </w:p>
    <w:p w14:paraId="23550734" w14:textId="77777777" w:rsidR="00C80A0C" w:rsidRDefault="005E499E">
      <w:pPr>
        <w:spacing w:after="358" w:line="259" w:lineRule="auto"/>
        <w:ind w:left="0" w:firstLine="0"/>
      </w:pPr>
      <w:r>
        <w:rPr>
          <w:rFonts w:ascii="Georgia" w:eastAsia="Georgia" w:hAnsi="Georgia" w:cs="Georgia"/>
          <w:b/>
          <w:color w:val="0D8383"/>
          <w:sz w:val="40"/>
        </w:rPr>
        <w:t xml:space="preserve"> </w:t>
      </w:r>
    </w:p>
    <w:p w14:paraId="10022B63" w14:textId="77777777" w:rsidR="00C80A0C" w:rsidRDefault="005E499E">
      <w:pPr>
        <w:spacing w:after="0" w:line="259" w:lineRule="auto"/>
        <w:ind w:left="0" w:firstLine="0"/>
      </w:pPr>
      <w:r>
        <w:rPr>
          <w:rFonts w:ascii="Georgia" w:eastAsia="Georgia" w:hAnsi="Georgia" w:cs="Georgia"/>
          <w:b/>
          <w:color w:val="0D8383"/>
          <w:sz w:val="40"/>
        </w:rPr>
        <w:t xml:space="preserve"> </w:t>
      </w:r>
    </w:p>
    <w:p w14:paraId="3E47321B" w14:textId="77777777" w:rsidR="00C80A0C" w:rsidRDefault="005E499E">
      <w:pPr>
        <w:spacing w:after="278" w:line="259" w:lineRule="auto"/>
        <w:ind w:left="0" w:firstLine="0"/>
      </w:pPr>
      <w:r>
        <w:t xml:space="preserve"> </w:t>
      </w:r>
    </w:p>
    <w:p w14:paraId="4C5A180A" w14:textId="77777777" w:rsidR="00C80A0C" w:rsidRDefault="005E499E">
      <w:pPr>
        <w:spacing w:after="400" w:line="259" w:lineRule="auto"/>
        <w:ind w:left="0" w:firstLine="0"/>
      </w:pPr>
      <w:r>
        <w:t xml:space="preserve"> </w:t>
      </w:r>
    </w:p>
    <w:p w14:paraId="3759167E" w14:textId="77777777" w:rsidR="00C80A0C" w:rsidRDefault="005E499E">
      <w:pPr>
        <w:spacing w:after="0" w:line="259" w:lineRule="auto"/>
        <w:ind w:left="0" w:firstLine="0"/>
      </w:pPr>
      <w:r>
        <w:rPr>
          <w:rFonts w:ascii="Calibri" w:eastAsia="Calibri" w:hAnsi="Calibri" w:cs="Calibri"/>
          <w:noProof/>
          <w:color w:val="000000"/>
        </w:rPr>
        <mc:AlternateContent>
          <mc:Choice Requires="wpg">
            <w:drawing>
              <wp:inline distT="0" distB="0" distL="0" distR="0" wp14:anchorId="2E26CFD7" wp14:editId="220028ED">
                <wp:extent cx="1829435" cy="7620"/>
                <wp:effectExtent l="0" t="0" r="0" b="0"/>
                <wp:docPr id="50335" name="Group 50335"/>
                <wp:cNvGraphicFramePr/>
                <a:graphic xmlns:a="http://schemas.openxmlformats.org/drawingml/2006/main">
                  <a:graphicData uri="http://schemas.microsoft.com/office/word/2010/wordprocessingGroup">
                    <wpg:wgp>
                      <wpg:cNvGrpSpPr/>
                      <wpg:grpSpPr>
                        <a:xfrm>
                          <a:off x="0" y="0"/>
                          <a:ext cx="1829435" cy="7620"/>
                          <a:chOff x="0" y="0"/>
                          <a:chExt cx="1829435" cy="7620"/>
                        </a:xfrm>
                      </wpg:grpSpPr>
                      <wps:wsp>
                        <wps:cNvPr id="56210" name="Shape 56210"/>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21414"/>
                          </a:fillRef>
                          <a:effectRef idx="0">
                            <a:scrgbClr r="0" g="0" b="0"/>
                          </a:effectRef>
                          <a:fontRef idx="none"/>
                        </wps:style>
                        <wps:bodyPr/>
                      </wps:wsp>
                    </wpg:wgp>
                  </a:graphicData>
                </a:graphic>
              </wp:inline>
            </w:drawing>
          </mc:Choice>
          <mc:Fallback xmlns:a="http://schemas.openxmlformats.org/drawingml/2006/main">
            <w:pict>
              <v:group id="Group 50335" style="width:144.05pt;height:0.600037pt;mso-position-horizontal-relative:char;mso-position-vertical-relative:line" coordsize="18294,76">
                <v:shape id="Shape 56211" style="position:absolute;width:18294;height:91;left:0;top:0;" coordsize="1829435,9144" path="m0,0l1829435,0l1829435,9144l0,9144l0,0">
                  <v:stroke weight="0pt" endcap="flat" joinstyle="miter" miterlimit="10" on="false" color="#000000" opacity="0"/>
                  <v:fill on="true" color="#021414"/>
                </v:shape>
              </v:group>
            </w:pict>
          </mc:Fallback>
        </mc:AlternateContent>
      </w:r>
      <w:r>
        <w:t xml:space="preserve"> </w:t>
      </w:r>
    </w:p>
    <w:p w14:paraId="6FC0B7F6" w14:textId="77777777" w:rsidR="00C80A0C" w:rsidRDefault="005E499E">
      <w:pPr>
        <w:pStyle w:val="Heading1"/>
        <w:ind w:left="-5"/>
      </w:pPr>
      <w:bookmarkStart w:id="13" w:name="_Toc55838"/>
      <w:r>
        <w:t xml:space="preserve">Appendices </w:t>
      </w:r>
      <w:bookmarkEnd w:id="13"/>
    </w:p>
    <w:p w14:paraId="4F5E508D" w14:textId="77777777" w:rsidR="00C80A0C" w:rsidRDefault="005E499E">
      <w:pPr>
        <w:spacing w:after="333" w:line="259" w:lineRule="auto"/>
        <w:ind w:left="0" w:firstLine="0"/>
      </w:pPr>
      <w:r>
        <w:t xml:space="preserve"> </w:t>
      </w:r>
    </w:p>
    <w:p w14:paraId="7045188C" w14:textId="77777777" w:rsidR="00C80A0C" w:rsidRDefault="005E499E">
      <w:pPr>
        <w:pStyle w:val="Heading2"/>
        <w:spacing w:after="0"/>
        <w:ind w:left="-5"/>
      </w:pPr>
      <w:r>
        <w:rPr>
          <w:color w:val="021414"/>
          <w:sz w:val="28"/>
        </w:rPr>
        <w:lastRenderedPageBreak/>
        <w:t xml:space="preserve">Appendix One </w:t>
      </w:r>
    </w:p>
    <w:tbl>
      <w:tblPr>
        <w:tblStyle w:val="TableGrid"/>
        <w:tblW w:w="10649" w:type="dxa"/>
        <w:tblInd w:w="6" w:type="dxa"/>
        <w:tblCellMar>
          <w:top w:w="164" w:type="dxa"/>
          <w:left w:w="4" w:type="dxa"/>
          <w:bottom w:w="0" w:type="dxa"/>
          <w:right w:w="45" w:type="dxa"/>
        </w:tblCellMar>
        <w:tblLook w:val="04A0" w:firstRow="1" w:lastRow="0" w:firstColumn="1" w:lastColumn="0" w:noHBand="0" w:noVBand="1"/>
      </w:tblPr>
      <w:tblGrid>
        <w:gridCol w:w="10649"/>
      </w:tblGrid>
      <w:tr w:rsidR="00C80A0C" w14:paraId="167D1383" w14:textId="77777777">
        <w:trPr>
          <w:trHeight w:val="11097"/>
        </w:trPr>
        <w:tc>
          <w:tcPr>
            <w:tcW w:w="10649" w:type="dxa"/>
            <w:tcBorders>
              <w:top w:val="single" w:sz="4" w:space="0" w:color="000000"/>
              <w:left w:val="single" w:sz="4" w:space="0" w:color="000000"/>
              <w:bottom w:val="single" w:sz="4" w:space="0" w:color="000000"/>
              <w:right w:val="single" w:sz="4" w:space="0" w:color="000000"/>
            </w:tcBorders>
            <w:shd w:val="clear" w:color="auto" w:fill="D8F7F5"/>
          </w:tcPr>
          <w:p w14:paraId="25CB9F35" w14:textId="77777777" w:rsidR="00C80A0C" w:rsidRDefault="005E499E">
            <w:pPr>
              <w:spacing w:after="284" w:line="257" w:lineRule="auto"/>
              <w:ind w:left="0" w:firstLine="0"/>
            </w:pPr>
            <w:r>
              <w:t xml:space="preserve">Creating a space for change: With safety at the heart, KWY is a South Australian Aboriginal Community Controlled Organisation (ACCO) established in 2011 after conversations with local Elders around the need for First Nations led responses for families to health, wellbeing, </w:t>
            </w:r>
            <w:r>
              <w:t xml:space="preserve">and safety. Initially focused on men’s </w:t>
            </w:r>
            <w:r>
              <w:t xml:space="preserve">behaviour change around domestic and family violence, KWY has since incorporated working holistically with women, children, and the wider Community.  </w:t>
            </w:r>
          </w:p>
          <w:p w14:paraId="0FA780E9" w14:textId="77777777" w:rsidR="00C80A0C" w:rsidRDefault="005E499E">
            <w:pPr>
              <w:spacing w:after="319" w:line="255" w:lineRule="auto"/>
              <w:ind w:left="0" w:firstLine="0"/>
            </w:pPr>
            <w:r>
              <w:t xml:space="preserve">The vision is for First Nations Peoples to thrive through being culturally strong, empowered, and safe, with a current portfolio of programs focusing on:  </w:t>
            </w:r>
          </w:p>
          <w:p w14:paraId="28091727" w14:textId="77777777" w:rsidR="00C80A0C" w:rsidRDefault="005E499E">
            <w:pPr>
              <w:numPr>
                <w:ilvl w:val="0"/>
                <w:numId w:val="21"/>
              </w:numPr>
              <w:spacing w:after="0" w:line="259" w:lineRule="auto"/>
              <w:ind w:hanging="360"/>
            </w:pPr>
            <w:r>
              <w:t xml:space="preserve">Domestic and family violence centring place-based safety hub models. </w:t>
            </w:r>
          </w:p>
          <w:p w14:paraId="7FCA08F5" w14:textId="77777777" w:rsidR="00C80A0C" w:rsidRDefault="005E499E">
            <w:pPr>
              <w:numPr>
                <w:ilvl w:val="0"/>
                <w:numId w:val="21"/>
              </w:numPr>
              <w:spacing w:after="29" w:line="245" w:lineRule="auto"/>
              <w:ind w:hanging="360"/>
            </w:pPr>
            <w:r>
              <w:t xml:space="preserve">Supporting holistic children and youth work with a strong focus on child development, school retention, and positive participation within the Community. </w:t>
            </w:r>
          </w:p>
          <w:p w14:paraId="04C69E63" w14:textId="77777777" w:rsidR="00C80A0C" w:rsidRDefault="005E499E">
            <w:pPr>
              <w:numPr>
                <w:ilvl w:val="0"/>
                <w:numId w:val="21"/>
              </w:numPr>
              <w:spacing w:after="0" w:line="259" w:lineRule="auto"/>
              <w:ind w:hanging="360"/>
            </w:pPr>
            <w:r>
              <w:t xml:space="preserve">Person centred mental health and social and emotional wellbeing support. </w:t>
            </w:r>
          </w:p>
          <w:p w14:paraId="52B6E759" w14:textId="77777777" w:rsidR="00C80A0C" w:rsidRDefault="005E499E">
            <w:pPr>
              <w:numPr>
                <w:ilvl w:val="0"/>
                <w:numId w:val="21"/>
              </w:numPr>
              <w:spacing w:after="0" w:line="259" w:lineRule="auto"/>
              <w:ind w:hanging="360"/>
            </w:pPr>
            <w:r>
              <w:t xml:space="preserve">Kinship Care, Reunification and Finding Families connection services. </w:t>
            </w:r>
          </w:p>
          <w:p w14:paraId="4DD621B0" w14:textId="77777777" w:rsidR="00C80A0C" w:rsidRDefault="005E499E">
            <w:pPr>
              <w:numPr>
                <w:ilvl w:val="0"/>
                <w:numId w:val="21"/>
              </w:numPr>
              <w:spacing w:after="29" w:line="245" w:lineRule="auto"/>
              <w:ind w:hanging="360"/>
            </w:pPr>
            <w:r>
              <w:t xml:space="preserve">Intensive family support services addressing child protection concerns through active case management and whole of family support. </w:t>
            </w:r>
          </w:p>
          <w:p w14:paraId="2AD74D68" w14:textId="77777777" w:rsidR="00C80A0C" w:rsidRDefault="005E499E">
            <w:pPr>
              <w:numPr>
                <w:ilvl w:val="0"/>
                <w:numId w:val="21"/>
              </w:numPr>
              <w:spacing w:after="277" w:line="245" w:lineRule="auto"/>
              <w:ind w:hanging="360"/>
            </w:pPr>
            <w:r>
              <w:t xml:space="preserve">Culturally responsive and trauma informed training to the sector based on Aboriginal wise practice research and evidence.  </w:t>
            </w:r>
          </w:p>
          <w:p w14:paraId="20C15AE9" w14:textId="77777777" w:rsidR="00C80A0C" w:rsidRDefault="005E499E">
            <w:pPr>
              <w:spacing w:after="285" w:line="257" w:lineRule="auto"/>
              <w:ind w:left="0" w:firstLine="0"/>
            </w:pPr>
            <w:r>
              <w:t xml:space="preserve">KWY seeks to create spaces for change and increased safety and connectivity for families, not only through culturally grounded programs but also through advocacy and influence within the sector. The strength of KWY is the breadth of programs that ensure that children, women, men, and Community are all part of the story.  </w:t>
            </w:r>
          </w:p>
          <w:p w14:paraId="34C9651A" w14:textId="77777777" w:rsidR="00C80A0C" w:rsidRDefault="005E499E">
            <w:pPr>
              <w:spacing w:after="316" w:line="257" w:lineRule="auto"/>
              <w:ind w:left="0" w:firstLine="0"/>
            </w:pPr>
            <w:proofErr w:type="spellStart"/>
            <w:r>
              <w:t>Wilto</w:t>
            </w:r>
            <w:proofErr w:type="spellEnd"/>
            <w:r>
              <w:t xml:space="preserve"> Willo - </w:t>
            </w:r>
            <w:r>
              <w:t xml:space="preserve">Research In partnership with The Australian Centre for Social Innovation (TACSI), KWY’s research arm of KWY, </w:t>
            </w:r>
            <w:proofErr w:type="spellStart"/>
            <w:r>
              <w:t>Wilto</w:t>
            </w:r>
            <w:proofErr w:type="spellEnd"/>
            <w:r>
              <w:t xml:space="preserve"> Willo, meaning ‘Spring Star’ in Kaurna language, aims to reduce the number of </w:t>
            </w:r>
            <w:r>
              <w:t xml:space="preserve">First Nations children entering OOHC. Mapping the breadth of the system and creating a series of lived and living experience groups centring Community voices that shine a light on change stories. </w:t>
            </w:r>
            <w:proofErr w:type="spellStart"/>
            <w:r>
              <w:t>Wilto</w:t>
            </w:r>
            <w:proofErr w:type="spellEnd"/>
            <w:r>
              <w:t xml:space="preserve"> Willo prioritises participatory or action-based research focusing on experiential knowledges gathered from: </w:t>
            </w:r>
            <w:r>
              <w:t xml:space="preserve"> </w:t>
            </w:r>
          </w:p>
          <w:p w14:paraId="2D3862B9" w14:textId="77777777" w:rsidR="00C80A0C" w:rsidRDefault="005E499E">
            <w:pPr>
              <w:numPr>
                <w:ilvl w:val="0"/>
                <w:numId w:val="21"/>
              </w:numPr>
              <w:spacing w:after="0" w:line="259" w:lineRule="auto"/>
              <w:ind w:hanging="360"/>
            </w:pPr>
            <w:r>
              <w:t xml:space="preserve">First Nations Community voices. </w:t>
            </w:r>
          </w:p>
          <w:p w14:paraId="67302999" w14:textId="77777777" w:rsidR="00C80A0C" w:rsidRDefault="005E499E">
            <w:pPr>
              <w:numPr>
                <w:ilvl w:val="0"/>
                <w:numId w:val="21"/>
              </w:numPr>
              <w:spacing w:after="0" w:line="259" w:lineRule="auto"/>
              <w:ind w:hanging="360"/>
            </w:pPr>
            <w:r>
              <w:t xml:space="preserve">Strengths based data collated from a First Nations lens.  </w:t>
            </w:r>
          </w:p>
          <w:p w14:paraId="3DB8BCFB" w14:textId="77777777" w:rsidR="00C80A0C" w:rsidRDefault="005E499E">
            <w:pPr>
              <w:numPr>
                <w:ilvl w:val="0"/>
                <w:numId w:val="21"/>
              </w:numPr>
              <w:spacing w:after="227" w:line="259" w:lineRule="auto"/>
              <w:ind w:hanging="360"/>
            </w:pPr>
            <w:r>
              <w:t xml:space="preserve">Wise (best) practice community driven research.  </w:t>
            </w:r>
          </w:p>
          <w:p w14:paraId="7336C053" w14:textId="77777777" w:rsidR="00C80A0C" w:rsidRDefault="005E499E">
            <w:pPr>
              <w:spacing w:after="0" w:line="259" w:lineRule="auto"/>
              <w:ind w:left="0" w:firstLine="0"/>
            </w:pPr>
            <w:r>
              <w:t xml:space="preserve">The priorities have enabled KWY </w:t>
            </w:r>
            <w:r>
              <w:t>to see the breadth of the child protection system from early years, point of intervention and intensive support needs, shining a light on the drivers and points of entry for both supports, as well as accountability points for systems, organisations, and Community. The priorities also enable KWY to be an active party to the participatory approach, building stronger and appropriately supported programs, and creating a First Nations controlled evidence base that reflects Community wants, needs, and realities</w:t>
            </w:r>
            <w:r>
              <w:rPr>
                <w:b/>
              </w:rPr>
              <w:t>.</w:t>
            </w:r>
            <w:r>
              <w:rPr>
                <w:b/>
                <w:vertAlign w:val="superscript"/>
              </w:rPr>
              <w:footnoteReference w:id="54"/>
            </w:r>
            <w:r>
              <w:rPr>
                <w:b/>
              </w:rPr>
              <w:t xml:space="preserve"> </w:t>
            </w:r>
          </w:p>
        </w:tc>
      </w:tr>
    </w:tbl>
    <w:p w14:paraId="576236AB" w14:textId="77777777" w:rsidR="00C80A0C" w:rsidRDefault="005E499E">
      <w:pPr>
        <w:spacing w:after="280" w:line="259" w:lineRule="auto"/>
        <w:ind w:left="0" w:firstLine="0"/>
      </w:pPr>
      <w:r>
        <w:rPr>
          <w:b/>
          <w:sz w:val="28"/>
        </w:rPr>
        <w:t xml:space="preserve"> </w:t>
      </w:r>
    </w:p>
    <w:p w14:paraId="6DD83328" w14:textId="77777777" w:rsidR="00C80A0C" w:rsidRDefault="005E499E">
      <w:pPr>
        <w:spacing w:after="491" w:line="259" w:lineRule="auto"/>
        <w:ind w:left="0" w:firstLine="0"/>
      </w:pPr>
      <w:r>
        <w:rPr>
          <w:b/>
          <w:sz w:val="28"/>
        </w:rPr>
        <w:t xml:space="preserve"> </w:t>
      </w:r>
    </w:p>
    <w:p w14:paraId="1A2F7B19" w14:textId="77777777" w:rsidR="00C80A0C" w:rsidRDefault="005E499E">
      <w:pPr>
        <w:spacing w:after="0" w:line="259" w:lineRule="auto"/>
        <w:ind w:left="0" w:firstLine="0"/>
      </w:pPr>
      <w:r>
        <w:rPr>
          <w:rFonts w:ascii="Calibri" w:eastAsia="Calibri" w:hAnsi="Calibri" w:cs="Calibri"/>
          <w:noProof/>
          <w:color w:val="000000"/>
        </w:rPr>
        <mc:AlternateContent>
          <mc:Choice Requires="wpg">
            <w:drawing>
              <wp:inline distT="0" distB="0" distL="0" distR="0" wp14:anchorId="7B2EC574" wp14:editId="4C59E1EC">
                <wp:extent cx="1829435" cy="7620"/>
                <wp:effectExtent l="0" t="0" r="0" b="0"/>
                <wp:docPr id="50434" name="Group 50434"/>
                <wp:cNvGraphicFramePr/>
                <a:graphic xmlns:a="http://schemas.openxmlformats.org/drawingml/2006/main">
                  <a:graphicData uri="http://schemas.microsoft.com/office/word/2010/wordprocessingGroup">
                    <wpg:wgp>
                      <wpg:cNvGrpSpPr/>
                      <wpg:grpSpPr>
                        <a:xfrm>
                          <a:off x="0" y="0"/>
                          <a:ext cx="1829435" cy="7620"/>
                          <a:chOff x="0" y="0"/>
                          <a:chExt cx="1829435" cy="7620"/>
                        </a:xfrm>
                      </wpg:grpSpPr>
                      <wps:wsp>
                        <wps:cNvPr id="56212" name="Shape 56212"/>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21414"/>
                          </a:fillRef>
                          <a:effectRef idx="0">
                            <a:scrgbClr r="0" g="0" b="0"/>
                          </a:effectRef>
                          <a:fontRef idx="none"/>
                        </wps:style>
                        <wps:bodyPr/>
                      </wps:wsp>
                    </wpg:wgp>
                  </a:graphicData>
                </a:graphic>
              </wp:inline>
            </w:drawing>
          </mc:Choice>
          <mc:Fallback xmlns:a="http://schemas.openxmlformats.org/drawingml/2006/main">
            <w:pict>
              <v:group id="Group 50434" style="width:144.05pt;height:0.599976pt;mso-position-horizontal-relative:char;mso-position-vertical-relative:line" coordsize="18294,76">
                <v:shape id="Shape 56213" style="position:absolute;width:18294;height:91;left:0;top:0;" coordsize="1829435,9144" path="m0,0l1829435,0l1829435,9144l0,9144l0,0">
                  <v:stroke weight="0pt" endcap="flat" joinstyle="miter" miterlimit="10" on="false" color="#000000" opacity="0"/>
                  <v:fill on="true" color="#021414"/>
                </v:shape>
              </v:group>
            </w:pict>
          </mc:Fallback>
        </mc:AlternateContent>
      </w:r>
      <w:r>
        <w:t xml:space="preserve"> </w:t>
      </w:r>
    </w:p>
    <w:p w14:paraId="2A922169" w14:textId="77777777" w:rsidR="00C80A0C" w:rsidRDefault="005E499E">
      <w:pPr>
        <w:spacing w:after="278" w:line="259" w:lineRule="auto"/>
        <w:ind w:left="0" w:firstLine="0"/>
      </w:pPr>
      <w:r>
        <w:rPr>
          <w:b/>
          <w:sz w:val="28"/>
        </w:rPr>
        <w:t xml:space="preserve"> </w:t>
      </w:r>
    </w:p>
    <w:p w14:paraId="43187CE1" w14:textId="77777777" w:rsidR="00C80A0C" w:rsidRDefault="005E499E">
      <w:pPr>
        <w:pStyle w:val="Heading2"/>
        <w:spacing w:after="225"/>
        <w:ind w:left="-5"/>
      </w:pPr>
      <w:r>
        <w:rPr>
          <w:color w:val="021414"/>
          <w:sz w:val="28"/>
        </w:rPr>
        <w:lastRenderedPageBreak/>
        <w:t xml:space="preserve">Appendix Two </w:t>
      </w:r>
    </w:p>
    <w:p w14:paraId="1D7BA55F" w14:textId="77777777" w:rsidR="00C80A0C" w:rsidRDefault="005E499E">
      <w:pPr>
        <w:spacing w:line="263" w:lineRule="auto"/>
        <w:ind w:left="-5" w:right="6"/>
      </w:pPr>
      <w:r>
        <w:rPr>
          <w:color w:val="000000"/>
        </w:rPr>
        <w:t xml:space="preserve">Comparative Table of Integrated Domestic and Family Violence Intervention Models </w:t>
      </w:r>
    </w:p>
    <w:tbl>
      <w:tblPr>
        <w:tblStyle w:val="TableGrid"/>
        <w:tblW w:w="10560" w:type="dxa"/>
        <w:tblInd w:w="6" w:type="dxa"/>
        <w:tblCellMar>
          <w:top w:w="41" w:type="dxa"/>
          <w:left w:w="107" w:type="dxa"/>
          <w:bottom w:w="0" w:type="dxa"/>
          <w:right w:w="70" w:type="dxa"/>
        </w:tblCellMar>
        <w:tblLook w:val="04A0" w:firstRow="1" w:lastRow="0" w:firstColumn="1" w:lastColumn="0" w:noHBand="0" w:noVBand="1"/>
      </w:tblPr>
      <w:tblGrid>
        <w:gridCol w:w="2640"/>
        <w:gridCol w:w="2641"/>
        <w:gridCol w:w="2640"/>
        <w:gridCol w:w="2639"/>
      </w:tblGrid>
      <w:tr w:rsidR="00C80A0C" w14:paraId="08A8C0CC" w14:textId="77777777">
        <w:trPr>
          <w:trHeight w:val="376"/>
        </w:trPr>
        <w:tc>
          <w:tcPr>
            <w:tcW w:w="2639" w:type="dxa"/>
            <w:tcBorders>
              <w:top w:val="single" w:sz="4" w:space="0" w:color="000000"/>
              <w:left w:val="single" w:sz="4" w:space="0" w:color="000000"/>
              <w:bottom w:val="single" w:sz="4" w:space="0" w:color="000000"/>
              <w:right w:val="single" w:sz="4" w:space="0" w:color="000000"/>
            </w:tcBorders>
            <w:shd w:val="clear" w:color="auto" w:fill="8FF3F3"/>
          </w:tcPr>
          <w:p w14:paraId="2B83FAFD" w14:textId="77777777" w:rsidR="00C80A0C" w:rsidRDefault="005E499E">
            <w:pPr>
              <w:spacing w:after="0" w:line="259" w:lineRule="auto"/>
              <w:ind w:left="0" w:firstLine="0"/>
            </w:pPr>
            <w:r>
              <w:rPr>
                <w:b/>
                <w:color w:val="000000"/>
                <w:sz w:val="18"/>
              </w:rPr>
              <w:t xml:space="preserve">Model / Initiative </w:t>
            </w:r>
          </w:p>
        </w:tc>
        <w:tc>
          <w:tcPr>
            <w:tcW w:w="2641" w:type="dxa"/>
            <w:tcBorders>
              <w:top w:val="single" w:sz="4" w:space="0" w:color="000000"/>
              <w:left w:val="single" w:sz="4" w:space="0" w:color="000000"/>
              <w:bottom w:val="single" w:sz="4" w:space="0" w:color="000000"/>
              <w:right w:val="single" w:sz="4" w:space="0" w:color="000000"/>
            </w:tcBorders>
            <w:shd w:val="clear" w:color="auto" w:fill="D8F7F5"/>
          </w:tcPr>
          <w:p w14:paraId="01408EB6" w14:textId="77777777" w:rsidR="00C80A0C" w:rsidRDefault="005E499E">
            <w:pPr>
              <w:spacing w:after="0" w:line="259" w:lineRule="auto"/>
              <w:ind w:left="2" w:firstLine="0"/>
            </w:pPr>
            <w:r>
              <w:rPr>
                <w:b/>
                <w:color w:val="000000"/>
                <w:sz w:val="18"/>
              </w:rPr>
              <w:t xml:space="preserve">Country </w:t>
            </w:r>
          </w:p>
        </w:tc>
        <w:tc>
          <w:tcPr>
            <w:tcW w:w="2640" w:type="dxa"/>
            <w:tcBorders>
              <w:top w:val="single" w:sz="4" w:space="0" w:color="000000"/>
              <w:left w:val="single" w:sz="4" w:space="0" w:color="000000"/>
              <w:bottom w:val="single" w:sz="4" w:space="0" w:color="000000"/>
              <w:right w:val="single" w:sz="4" w:space="0" w:color="000000"/>
            </w:tcBorders>
            <w:shd w:val="clear" w:color="auto" w:fill="D8F7F5"/>
          </w:tcPr>
          <w:p w14:paraId="24AF8495" w14:textId="77777777" w:rsidR="00C80A0C" w:rsidRDefault="005E499E">
            <w:pPr>
              <w:spacing w:after="0" w:line="259" w:lineRule="auto"/>
              <w:ind w:left="1" w:firstLine="0"/>
            </w:pPr>
            <w:r>
              <w:rPr>
                <w:b/>
                <w:color w:val="000000"/>
                <w:sz w:val="18"/>
              </w:rPr>
              <w:t xml:space="preserve">Core Features </w:t>
            </w:r>
          </w:p>
        </w:tc>
        <w:tc>
          <w:tcPr>
            <w:tcW w:w="2639" w:type="dxa"/>
            <w:tcBorders>
              <w:top w:val="single" w:sz="4" w:space="0" w:color="000000"/>
              <w:left w:val="single" w:sz="4" w:space="0" w:color="000000"/>
              <w:bottom w:val="single" w:sz="4" w:space="0" w:color="000000"/>
              <w:right w:val="single" w:sz="4" w:space="0" w:color="000000"/>
            </w:tcBorders>
            <w:shd w:val="clear" w:color="auto" w:fill="D8F7F5"/>
          </w:tcPr>
          <w:p w14:paraId="7C7DFEE6" w14:textId="77777777" w:rsidR="00C80A0C" w:rsidRDefault="005E499E">
            <w:pPr>
              <w:spacing w:after="0" w:line="259" w:lineRule="auto"/>
              <w:ind w:left="1" w:firstLine="0"/>
            </w:pPr>
            <w:r>
              <w:rPr>
                <w:b/>
                <w:color w:val="000000"/>
                <w:sz w:val="18"/>
              </w:rPr>
              <w:t xml:space="preserve">Primary Goals </w:t>
            </w:r>
          </w:p>
        </w:tc>
      </w:tr>
      <w:tr w:rsidR="00C80A0C" w14:paraId="00481B01" w14:textId="77777777">
        <w:trPr>
          <w:trHeight w:val="1205"/>
        </w:trPr>
        <w:tc>
          <w:tcPr>
            <w:tcW w:w="2639" w:type="dxa"/>
            <w:tcBorders>
              <w:top w:val="single" w:sz="4" w:space="0" w:color="000000"/>
              <w:left w:val="single" w:sz="4" w:space="0" w:color="000000"/>
              <w:bottom w:val="single" w:sz="4" w:space="0" w:color="000000"/>
              <w:right w:val="single" w:sz="4" w:space="0" w:color="000000"/>
            </w:tcBorders>
            <w:shd w:val="clear" w:color="auto" w:fill="8FF3F3"/>
          </w:tcPr>
          <w:p w14:paraId="4CF8F7F3" w14:textId="77777777" w:rsidR="00C80A0C" w:rsidRDefault="005E499E">
            <w:pPr>
              <w:spacing w:after="0" w:line="259" w:lineRule="auto"/>
              <w:ind w:left="0" w:firstLine="0"/>
            </w:pPr>
            <w:r>
              <w:rPr>
                <w:color w:val="000000"/>
                <w:sz w:val="18"/>
              </w:rPr>
              <w:t xml:space="preserve">Safe &amp; Together Model </w:t>
            </w:r>
          </w:p>
        </w:tc>
        <w:tc>
          <w:tcPr>
            <w:tcW w:w="2641" w:type="dxa"/>
            <w:tcBorders>
              <w:top w:val="single" w:sz="4" w:space="0" w:color="000000"/>
              <w:left w:val="single" w:sz="4" w:space="0" w:color="000000"/>
              <w:bottom w:val="single" w:sz="4" w:space="0" w:color="000000"/>
              <w:right w:val="single" w:sz="4" w:space="0" w:color="000000"/>
            </w:tcBorders>
            <w:shd w:val="clear" w:color="auto" w:fill="D8F7F5"/>
          </w:tcPr>
          <w:p w14:paraId="064CF4B5" w14:textId="77777777" w:rsidR="00C80A0C" w:rsidRDefault="005E499E">
            <w:pPr>
              <w:spacing w:after="0" w:line="259" w:lineRule="auto"/>
              <w:ind w:left="2" w:firstLine="0"/>
            </w:pPr>
            <w:r>
              <w:rPr>
                <w:color w:val="000000"/>
                <w:sz w:val="18"/>
              </w:rPr>
              <w:t xml:space="preserve">USA, UK, Australia </w:t>
            </w:r>
          </w:p>
        </w:tc>
        <w:tc>
          <w:tcPr>
            <w:tcW w:w="2640" w:type="dxa"/>
            <w:tcBorders>
              <w:top w:val="single" w:sz="4" w:space="0" w:color="000000"/>
              <w:left w:val="single" w:sz="4" w:space="0" w:color="000000"/>
              <w:bottom w:val="single" w:sz="4" w:space="0" w:color="000000"/>
              <w:right w:val="single" w:sz="4" w:space="0" w:color="000000"/>
            </w:tcBorders>
            <w:shd w:val="clear" w:color="auto" w:fill="D8F7F5"/>
          </w:tcPr>
          <w:p w14:paraId="5154658C" w14:textId="77777777" w:rsidR="00C80A0C" w:rsidRDefault="005E499E">
            <w:pPr>
              <w:spacing w:after="0" w:line="259" w:lineRule="auto"/>
              <w:ind w:left="1" w:right="11" w:firstLine="0"/>
            </w:pPr>
            <w:r>
              <w:rPr>
                <w:color w:val="000000"/>
                <w:sz w:val="18"/>
              </w:rPr>
              <w:t xml:space="preserve">Practitioner training, structured tools, collaborative case planning </w:t>
            </w:r>
          </w:p>
        </w:tc>
        <w:tc>
          <w:tcPr>
            <w:tcW w:w="2639" w:type="dxa"/>
            <w:tcBorders>
              <w:top w:val="single" w:sz="4" w:space="0" w:color="000000"/>
              <w:left w:val="single" w:sz="4" w:space="0" w:color="000000"/>
              <w:bottom w:val="single" w:sz="4" w:space="0" w:color="000000"/>
              <w:right w:val="single" w:sz="4" w:space="0" w:color="000000"/>
            </w:tcBorders>
            <w:shd w:val="clear" w:color="auto" w:fill="D8F7F5"/>
          </w:tcPr>
          <w:p w14:paraId="2DC882A1" w14:textId="77777777" w:rsidR="00C80A0C" w:rsidRDefault="005E499E">
            <w:pPr>
              <w:spacing w:after="0" w:line="259" w:lineRule="auto"/>
              <w:ind w:left="1" w:firstLine="0"/>
            </w:pPr>
            <w:r>
              <w:rPr>
                <w:color w:val="000000"/>
                <w:sz w:val="18"/>
              </w:rPr>
              <w:t xml:space="preserve">Reduce victim blaming, hold people who choose to use violence accountable, support non abusive parents and children </w:t>
            </w:r>
          </w:p>
        </w:tc>
      </w:tr>
      <w:tr w:rsidR="00C80A0C" w14:paraId="18D0A56F" w14:textId="77777777">
        <w:trPr>
          <w:trHeight w:val="793"/>
        </w:trPr>
        <w:tc>
          <w:tcPr>
            <w:tcW w:w="2639" w:type="dxa"/>
            <w:tcBorders>
              <w:top w:val="single" w:sz="4" w:space="0" w:color="000000"/>
              <w:left w:val="single" w:sz="4" w:space="0" w:color="000000"/>
              <w:bottom w:val="single" w:sz="4" w:space="0" w:color="000000"/>
              <w:right w:val="single" w:sz="4" w:space="0" w:color="000000"/>
            </w:tcBorders>
            <w:shd w:val="clear" w:color="auto" w:fill="8FF3F3"/>
          </w:tcPr>
          <w:p w14:paraId="6940B7E6" w14:textId="77777777" w:rsidR="00C80A0C" w:rsidRDefault="005E499E">
            <w:pPr>
              <w:spacing w:after="0" w:line="259" w:lineRule="auto"/>
              <w:ind w:left="0" w:firstLine="0"/>
            </w:pPr>
            <w:r>
              <w:rPr>
                <w:color w:val="000000"/>
                <w:sz w:val="18"/>
              </w:rPr>
              <w:t xml:space="preserve">Gold Coast Domestic </w:t>
            </w:r>
          </w:p>
          <w:p w14:paraId="72DBD7C8" w14:textId="77777777" w:rsidR="00C80A0C" w:rsidRDefault="005E499E">
            <w:pPr>
              <w:spacing w:after="0" w:line="259" w:lineRule="auto"/>
              <w:ind w:left="0" w:firstLine="0"/>
            </w:pPr>
            <w:r>
              <w:rPr>
                <w:color w:val="000000"/>
                <w:sz w:val="18"/>
              </w:rPr>
              <w:t xml:space="preserve">Violence Integrated Response </w:t>
            </w:r>
          </w:p>
        </w:tc>
        <w:tc>
          <w:tcPr>
            <w:tcW w:w="2641" w:type="dxa"/>
            <w:tcBorders>
              <w:top w:val="single" w:sz="4" w:space="0" w:color="000000"/>
              <w:left w:val="single" w:sz="4" w:space="0" w:color="000000"/>
              <w:bottom w:val="single" w:sz="4" w:space="0" w:color="000000"/>
              <w:right w:val="single" w:sz="4" w:space="0" w:color="000000"/>
            </w:tcBorders>
            <w:shd w:val="clear" w:color="auto" w:fill="D8F7F5"/>
          </w:tcPr>
          <w:p w14:paraId="76F20B17" w14:textId="77777777" w:rsidR="00C80A0C" w:rsidRDefault="005E499E">
            <w:pPr>
              <w:spacing w:after="0" w:line="259" w:lineRule="auto"/>
              <w:ind w:left="2" w:firstLine="0"/>
            </w:pPr>
            <w:r>
              <w:rPr>
                <w:color w:val="000000"/>
                <w:sz w:val="18"/>
              </w:rPr>
              <w:t xml:space="preserve">Australia </w:t>
            </w:r>
          </w:p>
        </w:tc>
        <w:tc>
          <w:tcPr>
            <w:tcW w:w="2640" w:type="dxa"/>
            <w:tcBorders>
              <w:top w:val="single" w:sz="4" w:space="0" w:color="000000"/>
              <w:left w:val="single" w:sz="4" w:space="0" w:color="000000"/>
              <w:bottom w:val="single" w:sz="4" w:space="0" w:color="000000"/>
              <w:right w:val="single" w:sz="4" w:space="0" w:color="000000"/>
            </w:tcBorders>
            <w:shd w:val="clear" w:color="auto" w:fill="D8F7F5"/>
          </w:tcPr>
          <w:p w14:paraId="3EA05FE0" w14:textId="77777777" w:rsidR="00C80A0C" w:rsidRDefault="005E499E">
            <w:pPr>
              <w:spacing w:after="0" w:line="259" w:lineRule="auto"/>
              <w:ind w:left="1" w:right="282" w:firstLine="0"/>
              <w:jc w:val="both"/>
            </w:pPr>
            <w:r>
              <w:rPr>
                <w:color w:val="000000"/>
                <w:sz w:val="18"/>
              </w:rPr>
              <w:t xml:space="preserve">Multi agency triage, shared </w:t>
            </w:r>
            <w:r>
              <w:rPr>
                <w:color w:val="000000"/>
                <w:sz w:val="18"/>
              </w:rPr>
              <w:t xml:space="preserve">information systems, men’s </w:t>
            </w:r>
            <w:proofErr w:type="spellStart"/>
            <w:r>
              <w:rPr>
                <w:color w:val="000000"/>
                <w:sz w:val="18"/>
              </w:rPr>
              <w:t>behavior</w:t>
            </w:r>
            <w:proofErr w:type="spellEnd"/>
            <w:r>
              <w:rPr>
                <w:color w:val="000000"/>
                <w:sz w:val="18"/>
              </w:rPr>
              <w:t xml:space="preserve"> change programs </w:t>
            </w:r>
          </w:p>
        </w:tc>
        <w:tc>
          <w:tcPr>
            <w:tcW w:w="2639" w:type="dxa"/>
            <w:tcBorders>
              <w:top w:val="single" w:sz="4" w:space="0" w:color="000000"/>
              <w:left w:val="single" w:sz="4" w:space="0" w:color="000000"/>
              <w:bottom w:val="single" w:sz="4" w:space="0" w:color="000000"/>
              <w:right w:val="single" w:sz="4" w:space="0" w:color="000000"/>
            </w:tcBorders>
            <w:shd w:val="clear" w:color="auto" w:fill="D8F7F5"/>
          </w:tcPr>
          <w:p w14:paraId="298AEB38" w14:textId="77777777" w:rsidR="00C80A0C" w:rsidRDefault="005E499E">
            <w:pPr>
              <w:spacing w:after="0" w:line="259" w:lineRule="auto"/>
              <w:ind w:left="1" w:firstLine="0"/>
            </w:pPr>
            <w:r>
              <w:rPr>
                <w:color w:val="000000"/>
                <w:sz w:val="18"/>
              </w:rPr>
              <w:t xml:space="preserve">Wrap around support for </w:t>
            </w:r>
          </w:p>
          <w:p w14:paraId="516E8AD3" w14:textId="77777777" w:rsidR="00C80A0C" w:rsidRDefault="005E499E">
            <w:pPr>
              <w:spacing w:after="0" w:line="259" w:lineRule="auto"/>
              <w:ind w:left="1" w:firstLine="0"/>
            </w:pPr>
            <w:r>
              <w:rPr>
                <w:color w:val="000000"/>
                <w:sz w:val="18"/>
              </w:rPr>
              <w:t xml:space="preserve">families, coordinated risk management </w:t>
            </w:r>
          </w:p>
        </w:tc>
      </w:tr>
      <w:tr w:rsidR="00C80A0C" w14:paraId="51EB6BBC" w14:textId="77777777">
        <w:trPr>
          <w:trHeight w:val="997"/>
        </w:trPr>
        <w:tc>
          <w:tcPr>
            <w:tcW w:w="2639" w:type="dxa"/>
            <w:tcBorders>
              <w:top w:val="single" w:sz="4" w:space="0" w:color="000000"/>
              <w:left w:val="single" w:sz="4" w:space="0" w:color="000000"/>
              <w:bottom w:val="single" w:sz="4" w:space="0" w:color="000000"/>
              <w:right w:val="single" w:sz="4" w:space="0" w:color="000000"/>
            </w:tcBorders>
            <w:shd w:val="clear" w:color="auto" w:fill="8FF3F3"/>
          </w:tcPr>
          <w:p w14:paraId="17675291" w14:textId="77777777" w:rsidR="00C80A0C" w:rsidRDefault="005E499E">
            <w:pPr>
              <w:spacing w:after="0" w:line="259" w:lineRule="auto"/>
              <w:ind w:left="0" w:firstLine="0"/>
            </w:pPr>
            <w:r>
              <w:rPr>
                <w:color w:val="000000"/>
                <w:sz w:val="18"/>
              </w:rPr>
              <w:t xml:space="preserve">Family Safeguarding Teams </w:t>
            </w:r>
          </w:p>
        </w:tc>
        <w:tc>
          <w:tcPr>
            <w:tcW w:w="2641" w:type="dxa"/>
            <w:tcBorders>
              <w:top w:val="single" w:sz="4" w:space="0" w:color="000000"/>
              <w:left w:val="single" w:sz="4" w:space="0" w:color="000000"/>
              <w:bottom w:val="single" w:sz="4" w:space="0" w:color="000000"/>
              <w:right w:val="single" w:sz="4" w:space="0" w:color="000000"/>
            </w:tcBorders>
            <w:shd w:val="clear" w:color="auto" w:fill="D8F7F5"/>
          </w:tcPr>
          <w:p w14:paraId="71D743D6" w14:textId="77777777" w:rsidR="00C80A0C" w:rsidRDefault="005E499E">
            <w:pPr>
              <w:spacing w:after="0" w:line="259" w:lineRule="auto"/>
              <w:ind w:left="2" w:firstLine="0"/>
            </w:pPr>
            <w:r>
              <w:rPr>
                <w:color w:val="000000"/>
                <w:sz w:val="18"/>
              </w:rPr>
              <w:t xml:space="preserve">UK </w:t>
            </w:r>
          </w:p>
        </w:tc>
        <w:tc>
          <w:tcPr>
            <w:tcW w:w="2640" w:type="dxa"/>
            <w:tcBorders>
              <w:top w:val="single" w:sz="4" w:space="0" w:color="000000"/>
              <w:left w:val="single" w:sz="4" w:space="0" w:color="000000"/>
              <w:bottom w:val="single" w:sz="4" w:space="0" w:color="000000"/>
              <w:right w:val="single" w:sz="4" w:space="0" w:color="000000"/>
            </w:tcBorders>
            <w:shd w:val="clear" w:color="auto" w:fill="D8F7F5"/>
          </w:tcPr>
          <w:p w14:paraId="6A526DAA" w14:textId="77777777" w:rsidR="00C80A0C" w:rsidRDefault="005E499E">
            <w:pPr>
              <w:spacing w:after="0" w:line="259" w:lineRule="auto"/>
              <w:ind w:left="1" w:right="30" w:firstLine="0"/>
            </w:pPr>
            <w:proofErr w:type="spellStart"/>
            <w:r>
              <w:rPr>
                <w:color w:val="000000"/>
                <w:sz w:val="18"/>
              </w:rPr>
              <w:t xml:space="preserve">Multi </w:t>
            </w:r>
            <w:r>
              <w:rPr>
                <w:color w:val="000000"/>
                <w:sz w:val="18"/>
              </w:rPr>
              <w:t>disciplinary</w:t>
            </w:r>
            <w:proofErr w:type="spellEnd"/>
            <w:r>
              <w:rPr>
                <w:color w:val="000000"/>
                <w:sz w:val="18"/>
              </w:rPr>
              <w:t xml:space="preserve"> teams (social work, DFV specialists, mental ill health, issues with substance use) </w:t>
            </w:r>
          </w:p>
        </w:tc>
        <w:tc>
          <w:tcPr>
            <w:tcW w:w="2639" w:type="dxa"/>
            <w:tcBorders>
              <w:top w:val="single" w:sz="4" w:space="0" w:color="000000"/>
              <w:left w:val="single" w:sz="4" w:space="0" w:color="000000"/>
              <w:bottom w:val="single" w:sz="4" w:space="0" w:color="000000"/>
              <w:right w:val="single" w:sz="4" w:space="0" w:color="000000"/>
            </w:tcBorders>
            <w:shd w:val="clear" w:color="auto" w:fill="D8F7F5"/>
          </w:tcPr>
          <w:p w14:paraId="7745F596" w14:textId="77777777" w:rsidR="00C80A0C" w:rsidRDefault="005E499E">
            <w:pPr>
              <w:spacing w:after="0" w:line="259" w:lineRule="auto"/>
              <w:ind w:left="1" w:firstLine="0"/>
            </w:pPr>
            <w:r>
              <w:rPr>
                <w:color w:val="000000"/>
                <w:sz w:val="18"/>
              </w:rPr>
              <w:t xml:space="preserve">Holistic, family </w:t>
            </w:r>
            <w:proofErr w:type="spellStart"/>
            <w:r>
              <w:rPr>
                <w:color w:val="000000"/>
                <w:sz w:val="18"/>
              </w:rPr>
              <w:t>centered</w:t>
            </w:r>
            <w:proofErr w:type="spellEnd"/>
            <w:r>
              <w:rPr>
                <w:color w:val="000000"/>
                <w:sz w:val="18"/>
              </w:rPr>
              <w:t xml:space="preserve"> interventions </w:t>
            </w:r>
          </w:p>
        </w:tc>
      </w:tr>
      <w:tr w:rsidR="00C80A0C" w14:paraId="385C3476" w14:textId="77777777">
        <w:trPr>
          <w:trHeight w:val="791"/>
        </w:trPr>
        <w:tc>
          <w:tcPr>
            <w:tcW w:w="2639" w:type="dxa"/>
            <w:tcBorders>
              <w:top w:val="single" w:sz="4" w:space="0" w:color="000000"/>
              <w:left w:val="single" w:sz="4" w:space="0" w:color="000000"/>
              <w:bottom w:val="single" w:sz="4" w:space="0" w:color="000000"/>
              <w:right w:val="single" w:sz="4" w:space="0" w:color="000000"/>
            </w:tcBorders>
            <w:shd w:val="clear" w:color="auto" w:fill="8FF3F3"/>
          </w:tcPr>
          <w:p w14:paraId="4F90E908" w14:textId="77777777" w:rsidR="00C80A0C" w:rsidRDefault="005E499E">
            <w:pPr>
              <w:spacing w:after="0" w:line="259" w:lineRule="auto"/>
              <w:ind w:left="0" w:firstLine="0"/>
            </w:pPr>
            <w:r>
              <w:rPr>
                <w:color w:val="000000"/>
                <w:sz w:val="18"/>
              </w:rPr>
              <w:t xml:space="preserve">Family Group Conferences </w:t>
            </w:r>
          </w:p>
        </w:tc>
        <w:tc>
          <w:tcPr>
            <w:tcW w:w="2641" w:type="dxa"/>
            <w:tcBorders>
              <w:top w:val="single" w:sz="4" w:space="0" w:color="000000"/>
              <w:left w:val="single" w:sz="4" w:space="0" w:color="000000"/>
              <w:bottom w:val="single" w:sz="4" w:space="0" w:color="000000"/>
              <w:right w:val="single" w:sz="4" w:space="0" w:color="000000"/>
            </w:tcBorders>
            <w:shd w:val="clear" w:color="auto" w:fill="D8F7F5"/>
          </w:tcPr>
          <w:p w14:paraId="0548BAAA" w14:textId="77777777" w:rsidR="00C80A0C" w:rsidRDefault="005E499E">
            <w:pPr>
              <w:spacing w:after="0" w:line="259" w:lineRule="auto"/>
              <w:ind w:left="2" w:firstLine="0"/>
            </w:pPr>
            <w:r>
              <w:rPr>
                <w:color w:val="000000"/>
                <w:sz w:val="18"/>
              </w:rPr>
              <w:t xml:space="preserve">UK </w:t>
            </w:r>
          </w:p>
        </w:tc>
        <w:tc>
          <w:tcPr>
            <w:tcW w:w="2640" w:type="dxa"/>
            <w:tcBorders>
              <w:top w:val="single" w:sz="4" w:space="0" w:color="000000"/>
              <w:left w:val="single" w:sz="4" w:space="0" w:color="000000"/>
              <w:bottom w:val="single" w:sz="4" w:space="0" w:color="000000"/>
              <w:right w:val="single" w:sz="4" w:space="0" w:color="000000"/>
            </w:tcBorders>
            <w:shd w:val="clear" w:color="auto" w:fill="D8F7F5"/>
          </w:tcPr>
          <w:p w14:paraId="522DCEAB" w14:textId="77777777" w:rsidR="00C80A0C" w:rsidRDefault="005E499E">
            <w:pPr>
              <w:spacing w:after="0" w:line="259" w:lineRule="auto"/>
              <w:ind w:left="1" w:firstLine="0"/>
            </w:pPr>
            <w:r>
              <w:rPr>
                <w:color w:val="000000"/>
                <w:sz w:val="18"/>
              </w:rPr>
              <w:t xml:space="preserve">Restorative justice principles, family led decision making </w:t>
            </w:r>
          </w:p>
        </w:tc>
        <w:tc>
          <w:tcPr>
            <w:tcW w:w="2639" w:type="dxa"/>
            <w:tcBorders>
              <w:top w:val="single" w:sz="4" w:space="0" w:color="000000"/>
              <w:left w:val="single" w:sz="4" w:space="0" w:color="000000"/>
              <w:bottom w:val="single" w:sz="4" w:space="0" w:color="000000"/>
              <w:right w:val="single" w:sz="4" w:space="0" w:color="000000"/>
            </w:tcBorders>
            <w:shd w:val="clear" w:color="auto" w:fill="D8F7F5"/>
          </w:tcPr>
          <w:p w14:paraId="425E57D4" w14:textId="77777777" w:rsidR="00C80A0C" w:rsidRDefault="005E499E">
            <w:pPr>
              <w:spacing w:after="0" w:line="259" w:lineRule="auto"/>
              <w:ind w:left="1" w:firstLine="0"/>
            </w:pPr>
            <w:r>
              <w:rPr>
                <w:color w:val="000000"/>
                <w:sz w:val="18"/>
              </w:rPr>
              <w:t xml:space="preserve">Enhance safety and accountability through collaborative planning </w:t>
            </w:r>
          </w:p>
        </w:tc>
      </w:tr>
      <w:tr w:rsidR="00C80A0C" w14:paraId="5651877D" w14:textId="77777777">
        <w:trPr>
          <w:trHeight w:val="792"/>
        </w:trPr>
        <w:tc>
          <w:tcPr>
            <w:tcW w:w="2639" w:type="dxa"/>
            <w:tcBorders>
              <w:top w:val="single" w:sz="4" w:space="0" w:color="000000"/>
              <w:left w:val="single" w:sz="4" w:space="0" w:color="000000"/>
              <w:bottom w:val="single" w:sz="4" w:space="0" w:color="000000"/>
              <w:right w:val="single" w:sz="4" w:space="0" w:color="000000"/>
            </w:tcBorders>
            <w:shd w:val="clear" w:color="auto" w:fill="8FF3F3"/>
          </w:tcPr>
          <w:p w14:paraId="4455618B" w14:textId="77777777" w:rsidR="00C80A0C" w:rsidRDefault="005E499E">
            <w:pPr>
              <w:spacing w:after="0" w:line="259" w:lineRule="auto"/>
              <w:ind w:left="0" w:firstLine="0"/>
            </w:pPr>
            <w:r>
              <w:rPr>
                <w:color w:val="000000"/>
                <w:sz w:val="18"/>
              </w:rPr>
              <w:t xml:space="preserve">Child Trauma Response Teams </w:t>
            </w:r>
          </w:p>
        </w:tc>
        <w:tc>
          <w:tcPr>
            <w:tcW w:w="2641" w:type="dxa"/>
            <w:tcBorders>
              <w:top w:val="single" w:sz="4" w:space="0" w:color="000000"/>
              <w:left w:val="single" w:sz="4" w:space="0" w:color="000000"/>
              <w:bottom w:val="single" w:sz="4" w:space="0" w:color="000000"/>
              <w:right w:val="single" w:sz="4" w:space="0" w:color="000000"/>
            </w:tcBorders>
            <w:shd w:val="clear" w:color="auto" w:fill="D8F7F5"/>
          </w:tcPr>
          <w:p w14:paraId="1A8BE0B3" w14:textId="77777777" w:rsidR="00C80A0C" w:rsidRDefault="005E499E">
            <w:pPr>
              <w:spacing w:after="0" w:line="259" w:lineRule="auto"/>
              <w:ind w:left="2" w:firstLine="0"/>
            </w:pPr>
            <w:r>
              <w:rPr>
                <w:color w:val="000000"/>
                <w:sz w:val="18"/>
              </w:rPr>
              <w:t xml:space="preserve">USA </w:t>
            </w:r>
          </w:p>
        </w:tc>
        <w:tc>
          <w:tcPr>
            <w:tcW w:w="2640" w:type="dxa"/>
            <w:tcBorders>
              <w:top w:val="single" w:sz="4" w:space="0" w:color="000000"/>
              <w:left w:val="single" w:sz="4" w:space="0" w:color="000000"/>
              <w:bottom w:val="single" w:sz="4" w:space="0" w:color="000000"/>
              <w:right w:val="single" w:sz="4" w:space="0" w:color="000000"/>
            </w:tcBorders>
            <w:shd w:val="clear" w:color="auto" w:fill="D8F7F5"/>
          </w:tcPr>
          <w:p w14:paraId="0337E648" w14:textId="77777777" w:rsidR="00C80A0C" w:rsidRDefault="005E499E">
            <w:pPr>
              <w:spacing w:after="0" w:line="259" w:lineRule="auto"/>
              <w:ind w:left="1" w:firstLine="0"/>
            </w:pPr>
            <w:r>
              <w:rPr>
                <w:color w:val="000000"/>
                <w:sz w:val="18"/>
              </w:rPr>
              <w:t xml:space="preserve">Immediate, trauma informed, interdisciplinary response </w:t>
            </w:r>
          </w:p>
        </w:tc>
        <w:tc>
          <w:tcPr>
            <w:tcW w:w="2639" w:type="dxa"/>
            <w:tcBorders>
              <w:top w:val="single" w:sz="4" w:space="0" w:color="000000"/>
              <w:left w:val="single" w:sz="4" w:space="0" w:color="000000"/>
              <w:bottom w:val="single" w:sz="4" w:space="0" w:color="000000"/>
              <w:right w:val="single" w:sz="4" w:space="0" w:color="000000"/>
            </w:tcBorders>
            <w:shd w:val="clear" w:color="auto" w:fill="D8F7F5"/>
          </w:tcPr>
          <w:p w14:paraId="128A14ED" w14:textId="77777777" w:rsidR="00C80A0C" w:rsidRDefault="005E499E">
            <w:pPr>
              <w:spacing w:after="0" w:line="259" w:lineRule="auto"/>
              <w:ind w:left="1" w:firstLine="0"/>
            </w:pPr>
            <w:r>
              <w:rPr>
                <w:color w:val="000000"/>
                <w:sz w:val="18"/>
              </w:rPr>
              <w:t xml:space="preserve">Support children exposed to family violence and their families </w:t>
            </w:r>
          </w:p>
        </w:tc>
      </w:tr>
      <w:tr w:rsidR="00C80A0C" w14:paraId="58DB2480" w14:textId="77777777">
        <w:trPr>
          <w:trHeight w:val="998"/>
        </w:trPr>
        <w:tc>
          <w:tcPr>
            <w:tcW w:w="2639" w:type="dxa"/>
            <w:tcBorders>
              <w:top w:val="single" w:sz="4" w:space="0" w:color="000000"/>
              <w:left w:val="single" w:sz="4" w:space="0" w:color="000000"/>
              <w:bottom w:val="single" w:sz="4" w:space="0" w:color="000000"/>
              <w:right w:val="single" w:sz="4" w:space="0" w:color="000000"/>
            </w:tcBorders>
            <w:shd w:val="clear" w:color="auto" w:fill="8FF3F3"/>
          </w:tcPr>
          <w:p w14:paraId="10C7AA84" w14:textId="77777777" w:rsidR="00C80A0C" w:rsidRDefault="005E499E">
            <w:pPr>
              <w:spacing w:after="0" w:line="259" w:lineRule="auto"/>
              <w:ind w:left="0" w:firstLine="0"/>
            </w:pPr>
            <w:r>
              <w:rPr>
                <w:color w:val="000000"/>
                <w:sz w:val="18"/>
              </w:rPr>
              <w:t xml:space="preserve">Invisible Practice Project </w:t>
            </w:r>
          </w:p>
        </w:tc>
        <w:tc>
          <w:tcPr>
            <w:tcW w:w="2641" w:type="dxa"/>
            <w:tcBorders>
              <w:top w:val="single" w:sz="4" w:space="0" w:color="000000"/>
              <w:left w:val="single" w:sz="4" w:space="0" w:color="000000"/>
              <w:bottom w:val="single" w:sz="4" w:space="0" w:color="000000"/>
              <w:right w:val="single" w:sz="4" w:space="0" w:color="000000"/>
            </w:tcBorders>
            <w:shd w:val="clear" w:color="auto" w:fill="D8F7F5"/>
          </w:tcPr>
          <w:p w14:paraId="56E55734" w14:textId="77777777" w:rsidR="00C80A0C" w:rsidRDefault="005E499E">
            <w:pPr>
              <w:spacing w:after="0" w:line="259" w:lineRule="auto"/>
              <w:ind w:left="2" w:firstLine="0"/>
            </w:pPr>
            <w:r>
              <w:rPr>
                <w:color w:val="000000"/>
                <w:sz w:val="18"/>
              </w:rPr>
              <w:t xml:space="preserve">Australia </w:t>
            </w:r>
          </w:p>
        </w:tc>
        <w:tc>
          <w:tcPr>
            <w:tcW w:w="2640" w:type="dxa"/>
            <w:tcBorders>
              <w:top w:val="single" w:sz="4" w:space="0" w:color="000000"/>
              <w:left w:val="single" w:sz="4" w:space="0" w:color="000000"/>
              <w:bottom w:val="single" w:sz="4" w:space="0" w:color="000000"/>
              <w:right w:val="single" w:sz="4" w:space="0" w:color="000000"/>
            </w:tcBorders>
            <w:shd w:val="clear" w:color="auto" w:fill="D8F7F5"/>
          </w:tcPr>
          <w:p w14:paraId="374F4A25" w14:textId="77777777" w:rsidR="00C80A0C" w:rsidRDefault="005E499E">
            <w:pPr>
              <w:spacing w:after="0" w:line="259" w:lineRule="auto"/>
              <w:ind w:left="1" w:firstLine="0"/>
            </w:pPr>
            <w:r>
              <w:rPr>
                <w:color w:val="000000"/>
                <w:sz w:val="18"/>
              </w:rPr>
              <w:t xml:space="preserve">Direct engagement with people who choose to use violence outside group programs </w:t>
            </w:r>
          </w:p>
        </w:tc>
        <w:tc>
          <w:tcPr>
            <w:tcW w:w="2639" w:type="dxa"/>
            <w:tcBorders>
              <w:top w:val="single" w:sz="4" w:space="0" w:color="000000"/>
              <w:left w:val="single" w:sz="4" w:space="0" w:color="000000"/>
              <w:bottom w:val="single" w:sz="4" w:space="0" w:color="000000"/>
              <w:right w:val="single" w:sz="4" w:space="0" w:color="000000"/>
            </w:tcBorders>
            <w:shd w:val="clear" w:color="auto" w:fill="D8F7F5"/>
          </w:tcPr>
          <w:p w14:paraId="77DC48A0" w14:textId="77777777" w:rsidR="00C80A0C" w:rsidRDefault="005E499E">
            <w:pPr>
              <w:spacing w:after="0" w:line="259" w:lineRule="auto"/>
              <w:ind w:left="1" w:firstLine="0"/>
            </w:pPr>
            <w:r>
              <w:rPr>
                <w:color w:val="000000"/>
                <w:sz w:val="18"/>
              </w:rPr>
              <w:t xml:space="preserve">Strengthen accountability, improve case outcomes </w:t>
            </w:r>
          </w:p>
        </w:tc>
      </w:tr>
      <w:tr w:rsidR="00C80A0C" w14:paraId="6A1E010E" w14:textId="77777777">
        <w:trPr>
          <w:trHeight w:val="996"/>
        </w:trPr>
        <w:tc>
          <w:tcPr>
            <w:tcW w:w="2639" w:type="dxa"/>
            <w:tcBorders>
              <w:top w:val="single" w:sz="4" w:space="0" w:color="000000"/>
              <w:left w:val="single" w:sz="4" w:space="0" w:color="000000"/>
              <w:bottom w:val="single" w:sz="4" w:space="0" w:color="000000"/>
              <w:right w:val="single" w:sz="4" w:space="0" w:color="000000"/>
            </w:tcBorders>
            <w:shd w:val="clear" w:color="auto" w:fill="8FF3F3"/>
          </w:tcPr>
          <w:p w14:paraId="6A141E6F" w14:textId="77777777" w:rsidR="00C80A0C" w:rsidRDefault="005E499E">
            <w:pPr>
              <w:spacing w:after="0" w:line="259" w:lineRule="auto"/>
              <w:ind w:left="0" w:firstLine="0"/>
            </w:pPr>
            <w:r>
              <w:rPr>
                <w:color w:val="000000"/>
                <w:sz w:val="18"/>
              </w:rPr>
              <w:t xml:space="preserve">Multi Agency Triage </w:t>
            </w:r>
          </w:p>
        </w:tc>
        <w:tc>
          <w:tcPr>
            <w:tcW w:w="2641" w:type="dxa"/>
            <w:tcBorders>
              <w:top w:val="single" w:sz="4" w:space="0" w:color="000000"/>
              <w:left w:val="single" w:sz="4" w:space="0" w:color="000000"/>
              <w:bottom w:val="single" w:sz="4" w:space="0" w:color="000000"/>
              <w:right w:val="single" w:sz="4" w:space="0" w:color="000000"/>
            </w:tcBorders>
            <w:shd w:val="clear" w:color="auto" w:fill="D8F7F5"/>
          </w:tcPr>
          <w:p w14:paraId="20E083A9" w14:textId="77777777" w:rsidR="00C80A0C" w:rsidRDefault="005E499E">
            <w:pPr>
              <w:spacing w:after="0" w:line="259" w:lineRule="auto"/>
              <w:ind w:left="2" w:firstLine="0"/>
            </w:pPr>
            <w:r>
              <w:rPr>
                <w:color w:val="000000"/>
                <w:sz w:val="18"/>
              </w:rPr>
              <w:t xml:space="preserve">Australia </w:t>
            </w:r>
          </w:p>
        </w:tc>
        <w:tc>
          <w:tcPr>
            <w:tcW w:w="2640" w:type="dxa"/>
            <w:tcBorders>
              <w:top w:val="single" w:sz="4" w:space="0" w:color="000000"/>
              <w:left w:val="single" w:sz="4" w:space="0" w:color="000000"/>
              <w:bottom w:val="single" w:sz="4" w:space="0" w:color="000000"/>
              <w:right w:val="single" w:sz="4" w:space="0" w:color="000000"/>
            </w:tcBorders>
            <w:shd w:val="clear" w:color="auto" w:fill="D8F7F5"/>
          </w:tcPr>
          <w:p w14:paraId="60279D1F" w14:textId="77777777" w:rsidR="00C80A0C" w:rsidRDefault="005E499E">
            <w:pPr>
              <w:spacing w:after="0" w:line="259" w:lineRule="auto"/>
              <w:ind w:left="1" w:right="1" w:firstLine="0"/>
            </w:pPr>
            <w:r>
              <w:rPr>
                <w:color w:val="000000"/>
                <w:sz w:val="18"/>
              </w:rPr>
              <w:t xml:space="preserve">Rapid risk assessment, shared databases, police referrals </w:t>
            </w:r>
          </w:p>
        </w:tc>
        <w:tc>
          <w:tcPr>
            <w:tcW w:w="2639" w:type="dxa"/>
            <w:tcBorders>
              <w:top w:val="single" w:sz="4" w:space="0" w:color="000000"/>
              <w:left w:val="single" w:sz="4" w:space="0" w:color="000000"/>
              <w:bottom w:val="single" w:sz="4" w:space="0" w:color="000000"/>
              <w:right w:val="single" w:sz="4" w:space="0" w:color="000000"/>
            </w:tcBorders>
            <w:shd w:val="clear" w:color="auto" w:fill="D8F7F5"/>
          </w:tcPr>
          <w:p w14:paraId="6AC386F9" w14:textId="77777777" w:rsidR="00C80A0C" w:rsidRDefault="005E499E">
            <w:pPr>
              <w:spacing w:after="0" w:line="259" w:lineRule="auto"/>
              <w:ind w:left="1" w:firstLine="0"/>
            </w:pPr>
            <w:r>
              <w:rPr>
                <w:color w:val="000000"/>
                <w:sz w:val="18"/>
              </w:rPr>
              <w:t xml:space="preserve">Streamlined service coordination for victims, children, and people who choose to use violence </w:t>
            </w:r>
          </w:p>
        </w:tc>
      </w:tr>
    </w:tbl>
    <w:p w14:paraId="1C1B66EE" w14:textId="77777777" w:rsidR="00C80A0C" w:rsidRDefault="005E499E">
      <w:pPr>
        <w:spacing w:after="160" w:line="259" w:lineRule="auto"/>
        <w:ind w:left="0" w:firstLine="0"/>
      </w:pPr>
      <w:r>
        <w:t xml:space="preserve"> </w:t>
      </w:r>
    </w:p>
    <w:p w14:paraId="62488111" w14:textId="77777777" w:rsidR="00C80A0C" w:rsidRDefault="005E499E">
      <w:pPr>
        <w:spacing w:after="213" w:line="259" w:lineRule="auto"/>
        <w:ind w:left="0" w:firstLine="0"/>
      </w:pPr>
      <w:r>
        <w:t xml:space="preserve"> </w:t>
      </w:r>
    </w:p>
    <w:p w14:paraId="128C4364" w14:textId="77777777" w:rsidR="00C80A0C" w:rsidRDefault="005E499E">
      <w:pPr>
        <w:pStyle w:val="Heading2"/>
        <w:spacing w:after="225"/>
        <w:ind w:left="-5"/>
      </w:pPr>
      <w:r>
        <w:rPr>
          <w:color w:val="021414"/>
          <w:sz w:val="28"/>
        </w:rPr>
        <w:t xml:space="preserve">Appendix Three </w:t>
      </w:r>
    </w:p>
    <w:p w14:paraId="2A02217B" w14:textId="77777777" w:rsidR="00C80A0C" w:rsidRDefault="005E499E">
      <w:pPr>
        <w:spacing w:line="263" w:lineRule="auto"/>
        <w:ind w:left="-5" w:right="6"/>
      </w:pPr>
      <w:r>
        <w:rPr>
          <w:color w:val="000000"/>
        </w:rPr>
        <w:t xml:space="preserve">International third places and potential Australian applications: </w:t>
      </w:r>
    </w:p>
    <w:tbl>
      <w:tblPr>
        <w:tblStyle w:val="TableGrid"/>
        <w:tblW w:w="10632" w:type="dxa"/>
        <w:tblInd w:w="6" w:type="dxa"/>
        <w:tblCellMar>
          <w:top w:w="41" w:type="dxa"/>
          <w:left w:w="107" w:type="dxa"/>
          <w:bottom w:w="0" w:type="dxa"/>
          <w:right w:w="60" w:type="dxa"/>
        </w:tblCellMar>
        <w:tblLook w:val="04A0" w:firstRow="1" w:lastRow="0" w:firstColumn="1" w:lastColumn="0" w:noHBand="0" w:noVBand="1"/>
      </w:tblPr>
      <w:tblGrid>
        <w:gridCol w:w="2459"/>
        <w:gridCol w:w="2461"/>
        <w:gridCol w:w="2461"/>
        <w:gridCol w:w="3251"/>
      </w:tblGrid>
      <w:tr w:rsidR="00C80A0C" w14:paraId="5A749468" w14:textId="77777777">
        <w:trPr>
          <w:trHeight w:val="308"/>
        </w:trPr>
        <w:tc>
          <w:tcPr>
            <w:tcW w:w="2459" w:type="dxa"/>
            <w:tcBorders>
              <w:top w:val="single" w:sz="4" w:space="0" w:color="000000"/>
              <w:left w:val="single" w:sz="4" w:space="0" w:color="000000"/>
              <w:bottom w:val="single" w:sz="4" w:space="0" w:color="000000"/>
              <w:right w:val="single" w:sz="4" w:space="0" w:color="000000"/>
            </w:tcBorders>
            <w:shd w:val="clear" w:color="auto" w:fill="8FF3F3"/>
          </w:tcPr>
          <w:p w14:paraId="2ECB3078" w14:textId="77777777" w:rsidR="00C80A0C" w:rsidRDefault="005E499E">
            <w:pPr>
              <w:spacing w:after="0" w:line="259" w:lineRule="auto"/>
              <w:ind w:left="0" w:right="17" w:firstLine="0"/>
              <w:jc w:val="center"/>
            </w:pPr>
            <w:r>
              <w:rPr>
                <w:b/>
                <w:sz w:val="18"/>
              </w:rPr>
              <w:t xml:space="preserve">International Model </w:t>
            </w:r>
          </w:p>
        </w:tc>
        <w:tc>
          <w:tcPr>
            <w:tcW w:w="2461" w:type="dxa"/>
            <w:tcBorders>
              <w:top w:val="single" w:sz="4" w:space="0" w:color="000000"/>
              <w:left w:val="single" w:sz="4" w:space="0" w:color="000000"/>
              <w:bottom w:val="single" w:sz="4" w:space="0" w:color="000000"/>
              <w:right w:val="single" w:sz="4" w:space="0" w:color="000000"/>
            </w:tcBorders>
            <w:shd w:val="clear" w:color="auto" w:fill="8FF3F3"/>
          </w:tcPr>
          <w:p w14:paraId="440F3BB1" w14:textId="77777777" w:rsidR="00C80A0C" w:rsidRDefault="005E499E">
            <w:pPr>
              <w:spacing w:after="0" w:line="259" w:lineRule="auto"/>
              <w:ind w:left="0" w:right="11" w:firstLine="0"/>
              <w:jc w:val="center"/>
            </w:pPr>
            <w:r>
              <w:rPr>
                <w:b/>
                <w:sz w:val="18"/>
              </w:rPr>
              <w:t xml:space="preserve">Country </w:t>
            </w:r>
          </w:p>
        </w:tc>
        <w:tc>
          <w:tcPr>
            <w:tcW w:w="2461" w:type="dxa"/>
            <w:tcBorders>
              <w:top w:val="single" w:sz="4" w:space="0" w:color="000000"/>
              <w:left w:val="single" w:sz="4" w:space="0" w:color="000000"/>
              <w:bottom w:val="single" w:sz="4" w:space="0" w:color="000000"/>
              <w:right w:val="single" w:sz="4" w:space="0" w:color="000000"/>
            </w:tcBorders>
            <w:shd w:val="clear" w:color="auto" w:fill="8FF3F3"/>
          </w:tcPr>
          <w:p w14:paraId="1771D5D0" w14:textId="77777777" w:rsidR="00C80A0C" w:rsidRDefault="005E499E">
            <w:pPr>
              <w:spacing w:after="0" w:line="259" w:lineRule="auto"/>
              <w:ind w:left="0" w:right="13" w:firstLine="0"/>
              <w:jc w:val="center"/>
            </w:pPr>
            <w:r>
              <w:rPr>
                <w:b/>
                <w:sz w:val="18"/>
              </w:rPr>
              <w:t xml:space="preserve">Key Features </w:t>
            </w:r>
          </w:p>
        </w:tc>
        <w:tc>
          <w:tcPr>
            <w:tcW w:w="3251" w:type="dxa"/>
            <w:tcBorders>
              <w:top w:val="single" w:sz="4" w:space="0" w:color="000000"/>
              <w:left w:val="single" w:sz="4" w:space="0" w:color="000000"/>
              <w:bottom w:val="single" w:sz="4" w:space="0" w:color="000000"/>
              <w:right w:val="single" w:sz="4" w:space="0" w:color="000000"/>
            </w:tcBorders>
            <w:shd w:val="clear" w:color="auto" w:fill="8FF3F3"/>
          </w:tcPr>
          <w:p w14:paraId="05243E3E" w14:textId="77777777" w:rsidR="00C80A0C" w:rsidRDefault="005E499E">
            <w:pPr>
              <w:spacing w:after="0" w:line="259" w:lineRule="auto"/>
              <w:ind w:left="0" w:right="13" w:firstLine="0"/>
              <w:jc w:val="center"/>
            </w:pPr>
            <w:r>
              <w:rPr>
                <w:b/>
                <w:sz w:val="18"/>
              </w:rPr>
              <w:t xml:space="preserve">Potential Australian Application </w:t>
            </w:r>
          </w:p>
        </w:tc>
      </w:tr>
      <w:tr w:rsidR="00C80A0C" w14:paraId="53A56584" w14:textId="77777777">
        <w:trPr>
          <w:trHeight w:val="1046"/>
        </w:trPr>
        <w:tc>
          <w:tcPr>
            <w:tcW w:w="2459" w:type="dxa"/>
            <w:tcBorders>
              <w:top w:val="single" w:sz="4" w:space="0" w:color="000000"/>
              <w:left w:val="single" w:sz="4" w:space="0" w:color="000000"/>
              <w:bottom w:val="single" w:sz="4" w:space="0" w:color="000000"/>
              <w:right w:val="single" w:sz="4" w:space="0" w:color="000000"/>
            </w:tcBorders>
            <w:shd w:val="clear" w:color="auto" w:fill="D8F7F5"/>
          </w:tcPr>
          <w:p w14:paraId="456E4959" w14:textId="77777777" w:rsidR="00C80A0C" w:rsidRDefault="005E499E">
            <w:pPr>
              <w:spacing w:after="0" w:line="259" w:lineRule="auto"/>
              <w:ind w:left="0" w:firstLine="0"/>
            </w:pPr>
            <w:r>
              <w:rPr>
                <w:sz w:val="18"/>
              </w:rPr>
              <w:t xml:space="preserve">Beirut Public Stairs </w:t>
            </w:r>
          </w:p>
        </w:tc>
        <w:tc>
          <w:tcPr>
            <w:tcW w:w="2461" w:type="dxa"/>
            <w:tcBorders>
              <w:top w:val="single" w:sz="4" w:space="0" w:color="000000"/>
              <w:left w:val="single" w:sz="4" w:space="0" w:color="000000"/>
              <w:bottom w:val="single" w:sz="4" w:space="0" w:color="000000"/>
              <w:right w:val="single" w:sz="4" w:space="0" w:color="000000"/>
            </w:tcBorders>
            <w:shd w:val="clear" w:color="auto" w:fill="D8F7F5"/>
          </w:tcPr>
          <w:p w14:paraId="3300C6EE" w14:textId="77777777" w:rsidR="00C80A0C" w:rsidRDefault="005E499E">
            <w:pPr>
              <w:spacing w:after="0" w:line="259" w:lineRule="auto"/>
              <w:ind w:left="1" w:firstLine="0"/>
            </w:pPr>
            <w:r>
              <w:rPr>
                <w:sz w:val="18"/>
              </w:rPr>
              <w:t xml:space="preserve">Lebanon </w:t>
            </w:r>
          </w:p>
        </w:tc>
        <w:tc>
          <w:tcPr>
            <w:tcW w:w="2461" w:type="dxa"/>
            <w:tcBorders>
              <w:top w:val="single" w:sz="4" w:space="0" w:color="000000"/>
              <w:left w:val="single" w:sz="4" w:space="0" w:color="000000"/>
              <w:bottom w:val="single" w:sz="4" w:space="0" w:color="000000"/>
              <w:right w:val="single" w:sz="4" w:space="0" w:color="000000"/>
            </w:tcBorders>
            <w:shd w:val="clear" w:color="auto" w:fill="D8F7F5"/>
          </w:tcPr>
          <w:p w14:paraId="3FDC6C02" w14:textId="77777777" w:rsidR="00C80A0C" w:rsidRDefault="005E499E">
            <w:pPr>
              <w:spacing w:after="0" w:line="259" w:lineRule="auto"/>
              <w:ind w:left="2" w:firstLine="0"/>
            </w:pPr>
            <w:r>
              <w:rPr>
                <w:sz w:val="18"/>
              </w:rPr>
              <w:t xml:space="preserve">Co </w:t>
            </w:r>
            <w:r>
              <w:rPr>
                <w:sz w:val="18"/>
              </w:rPr>
              <w:t xml:space="preserve">designed urban play space using neglected infrastructure; interactive elements like slides and speaking pipes. </w:t>
            </w:r>
          </w:p>
        </w:tc>
        <w:tc>
          <w:tcPr>
            <w:tcW w:w="3251" w:type="dxa"/>
            <w:tcBorders>
              <w:top w:val="single" w:sz="4" w:space="0" w:color="000000"/>
              <w:left w:val="single" w:sz="4" w:space="0" w:color="000000"/>
              <w:bottom w:val="single" w:sz="4" w:space="0" w:color="000000"/>
              <w:right w:val="single" w:sz="4" w:space="0" w:color="000000"/>
            </w:tcBorders>
            <w:shd w:val="clear" w:color="auto" w:fill="D8F7F5"/>
          </w:tcPr>
          <w:p w14:paraId="06285083" w14:textId="77777777" w:rsidR="00C80A0C" w:rsidRDefault="005E499E">
            <w:pPr>
              <w:spacing w:after="0" w:line="259" w:lineRule="auto"/>
              <w:ind w:left="1" w:firstLine="0"/>
            </w:pPr>
            <w:r>
              <w:rPr>
                <w:sz w:val="18"/>
              </w:rPr>
              <w:t xml:space="preserve">Repurpose underused urban spaces (e.g., laneways, staircases) into inclusive play and social hubs in high density areas such as Melbourne CBD or Western Sydney. </w:t>
            </w:r>
          </w:p>
        </w:tc>
      </w:tr>
      <w:tr w:rsidR="00C80A0C" w14:paraId="78AC52EB" w14:textId="77777777">
        <w:trPr>
          <w:trHeight w:val="1044"/>
        </w:trPr>
        <w:tc>
          <w:tcPr>
            <w:tcW w:w="2459" w:type="dxa"/>
            <w:tcBorders>
              <w:top w:val="single" w:sz="4" w:space="0" w:color="000000"/>
              <w:left w:val="single" w:sz="4" w:space="0" w:color="000000"/>
              <w:bottom w:val="single" w:sz="4" w:space="0" w:color="000000"/>
              <w:right w:val="single" w:sz="4" w:space="0" w:color="000000"/>
            </w:tcBorders>
            <w:shd w:val="clear" w:color="auto" w:fill="9FECE8"/>
          </w:tcPr>
          <w:p w14:paraId="0B344E13" w14:textId="77777777" w:rsidR="00C80A0C" w:rsidRDefault="005E499E">
            <w:pPr>
              <w:spacing w:after="0" w:line="259" w:lineRule="auto"/>
              <w:ind w:left="0" w:firstLine="0"/>
            </w:pPr>
            <w:proofErr w:type="spellStart"/>
            <w:r>
              <w:rPr>
                <w:sz w:val="18"/>
              </w:rPr>
              <w:t>Konditaget</w:t>
            </w:r>
            <w:proofErr w:type="spellEnd"/>
            <w:r>
              <w:rPr>
                <w:sz w:val="18"/>
              </w:rPr>
              <w:t xml:space="preserve"> </w:t>
            </w:r>
            <w:proofErr w:type="spellStart"/>
            <w:r>
              <w:rPr>
                <w:sz w:val="18"/>
              </w:rPr>
              <w:t>Lüders</w:t>
            </w:r>
            <w:proofErr w:type="spellEnd"/>
            <w:r>
              <w:rPr>
                <w:sz w:val="18"/>
              </w:rPr>
              <w:t xml:space="preserve"> Rooftop Park </w:t>
            </w:r>
          </w:p>
        </w:tc>
        <w:tc>
          <w:tcPr>
            <w:tcW w:w="2461" w:type="dxa"/>
            <w:tcBorders>
              <w:top w:val="single" w:sz="4" w:space="0" w:color="000000"/>
              <w:left w:val="single" w:sz="4" w:space="0" w:color="000000"/>
              <w:bottom w:val="single" w:sz="4" w:space="0" w:color="000000"/>
              <w:right w:val="single" w:sz="4" w:space="0" w:color="000000"/>
            </w:tcBorders>
            <w:shd w:val="clear" w:color="auto" w:fill="9FECE8"/>
          </w:tcPr>
          <w:p w14:paraId="70A3EF90" w14:textId="77777777" w:rsidR="00C80A0C" w:rsidRDefault="005E499E">
            <w:pPr>
              <w:spacing w:after="0" w:line="259" w:lineRule="auto"/>
              <w:ind w:left="1" w:firstLine="0"/>
            </w:pPr>
            <w:r>
              <w:rPr>
                <w:sz w:val="18"/>
              </w:rPr>
              <w:t xml:space="preserve">Denmark </w:t>
            </w:r>
          </w:p>
        </w:tc>
        <w:tc>
          <w:tcPr>
            <w:tcW w:w="2461" w:type="dxa"/>
            <w:tcBorders>
              <w:top w:val="single" w:sz="4" w:space="0" w:color="000000"/>
              <w:left w:val="single" w:sz="4" w:space="0" w:color="000000"/>
              <w:bottom w:val="single" w:sz="4" w:space="0" w:color="000000"/>
              <w:right w:val="single" w:sz="4" w:space="0" w:color="000000"/>
            </w:tcBorders>
            <w:shd w:val="clear" w:color="auto" w:fill="9FECE8"/>
          </w:tcPr>
          <w:p w14:paraId="5C2A5E26" w14:textId="77777777" w:rsidR="00C80A0C" w:rsidRDefault="005E499E">
            <w:pPr>
              <w:spacing w:after="0" w:line="259" w:lineRule="auto"/>
              <w:ind w:left="2" w:firstLine="0"/>
            </w:pPr>
            <w:r>
              <w:rPr>
                <w:sz w:val="18"/>
              </w:rPr>
              <w:t xml:space="preserve">Rooftop recreation with fitness zones and playgrounds; maximises limited urban space. </w:t>
            </w:r>
          </w:p>
        </w:tc>
        <w:tc>
          <w:tcPr>
            <w:tcW w:w="3251" w:type="dxa"/>
            <w:tcBorders>
              <w:top w:val="single" w:sz="4" w:space="0" w:color="000000"/>
              <w:left w:val="single" w:sz="4" w:space="0" w:color="000000"/>
              <w:bottom w:val="single" w:sz="4" w:space="0" w:color="000000"/>
              <w:right w:val="single" w:sz="4" w:space="0" w:color="000000"/>
            </w:tcBorders>
            <w:shd w:val="clear" w:color="auto" w:fill="9FECE8"/>
          </w:tcPr>
          <w:p w14:paraId="606AB4F0" w14:textId="77777777" w:rsidR="00C80A0C" w:rsidRDefault="005E499E">
            <w:pPr>
              <w:spacing w:after="0" w:line="259" w:lineRule="auto"/>
              <w:ind w:left="1" w:firstLine="0"/>
            </w:pPr>
            <w:r>
              <w:rPr>
                <w:sz w:val="18"/>
              </w:rPr>
              <w:t xml:space="preserve">Convert rooftops of car parks or shopping centres into family friendly green spaces in cities facing land scarcity (e.g., inner Melbourne, Brisbane). </w:t>
            </w:r>
          </w:p>
        </w:tc>
      </w:tr>
      <w:tr w:rsidR="00C80A0C" w14:paraId="382AC85C" w14:textId="77777777">
        <w:trPr>
          <w:trHeight w:val="838"/>
        </w:trPr>
        <w:tc>
          <w:tcPr>
            <w:tcW w:w="2459" w:type="dxa"/>
            <w:tcBorders>
              <w:top w:val="single" w:sz="4" w:space="0" w:color="000000"/>
              <w:left w:val="single" w:sz="4" w:space="0" w:color="000000"/>
              <w:bottom w:val="single" w:sz="4" w:space="0" w:color="000000"/>
              <w:right w:val="single" w:sz="4" w:space="0" w:color="000000"/>
            </w:tcBorders>
            <w:shd w:val="clear" w:color="auto" w:fill="D8F7F5"/>
          </w:tcPr>
          <w:p w14:paraId="05F60B9E" w14:textId="77777777" w:rsidR="00C80A0C" w:rsidRDefault="005E499E">
            <w:pPr>
              <w:spacing w:after="0" w:line="259" w:lineRule="auto"/>
              <w:ind w:left="0" w:firstLine="0"/>
            </w:pPr>
            <w:r>
              <w:rPr>
                <w:sz w:val="18"/>
              </w:rPr>
              <w:t xml:space="preserve">Simcoe </w:t>
            </w:r>
            <w:proofErr w:type="spellStart"/>
            <w:r>
              <w:rPr>
                <w:sz w:val="18"/>
              </w:rPr>
              <w:t>WaveDeck</w:t>
            </w:r>
            <w:proofErr w:type="spellEnd"/>
            <w:r>
              <w:rPr>
                <w:sz w:val="18"/>
              </w:rPr>
              <w:t xml:space="preserve"> </w:t>
            </w:r>
          </w:p>
        </w:tc>
        <w:tc>
          <w:tcPr>
            <w:tcW w:w="2461" w:type="dxa"/>
            <w:tcBorders>
              <w:top w:val="single" w:sz="4" w:space="0" w:color="000000"/>
              <w:left w:val="single" w:sz="4" w:space="0" w:color="000000"/>
              <w:bottom w:val="single" w:sz="4" w:space="0" w:color="000000"/>
              <w:right w:val="single" w:sz="4" w:space="0" w:color="000000"/>
            </w:tcBorders>
            <w:shd w:val="clear" w:color="auto" w:fill="D8F7F5"/>
          </w:tcPr>
          <w:p w14:paraId="4B2864D2" w14:textId="77777777" w:rsidR="00C80A0C" w:rsidRDefault="005E499E">
            <w:pPr>
              <w:spacing w:after="0" w:line="259" w:lineRule="auto"/>
              <w:ind w:left="1" w:firstLine="0"/>
            </w:pPr>
            <w:r>
              <w:rPr>
                <w:sz w:val="18"/>
              </w:rPr>
              <w:t xml:space="preserve">Turtle Island (Canada) </w:t>
            </w:r>
          </w:p>
        </w:tc>
        <w:tc>
          <w:tcPr>
            <w:tcW w:w="2461" w:type="dxa"/>
            <w:tcBorders>
              <w:top w:val="single" w:sz="4" w:space="0" w:color="000000"/>
              <w:left w:val="single" w:sz="4" w:space="0" w:color="000000"/>
              <w:bottom w:val="single" w:sz="4" w:space="0" w:color="000000"/>
              <w:right w:val="single" w:sz="4" w:space="0" w:color="000000"/>
            </w:tcBorders>
            <w:shd w:val="clear" w:color="auto" w:fill="D8F7F5"/>
          </w:tcPr>
          <w:p w14:paraId="67B09D82" w14:textId="77777777" w:rsidR="00C80A0C" w:rsidRDefault="005E499E">
            <w:pPr>
              <w:spacing w:after="0" w:line="259" w:lineRule="auto"/>
              <w:ind w:left="2" w:firstLine="0"/>
            </w:pPr>
            <w:r>
              <w:rPr>
                <w:sz w:val="18"/>
              </w:rPr>
              <w:t xml:space="preserve">Waterfront boardwalk with playful design encouraging exploration. </w:t>
            </w:r>
          </w:p>
        </w:tc>
        <w:tc>
          <w:tcPr>
            <w:tcW w:w="3251" w:type="dxa"/>
            <w:tcBorders>
              <w:top w:val="single" w:sz="4" w:space="0" w:color="000000"/>
              <w:left w:val="single" w:sz="4" w:space="0" w:color="000000"/>
              <w:bottom w:val="single" w:sz="4" w:space="0" w:color="000000"/>
              <w:right w:val="single" w:sz="4" w:space="0" w:color="000000"/>
            </w:tcBorders>
            <w:shd w:val="clear" w:color="auto" w:fill="D8F7F5"/>
          </w:tcPr>
          <w:p w14:paraId="7D978087" w14:textId="77777777" w:rsidR="00C80A0C" w:rsidRDefault="005E499E">
            <w:pPr>
              <w:spacing w:after="0" w:line="259" w:lineRule="auto"/>
              <w:ind w:left="1" w:firstLine="0"/>
            </w:pPr>
            <w:r>
              <w:rPr>
                <w:sz w:val="18"/>
              </w:rPr>
              <w:t xml:space="preserve">Develop interactive waterfront spaces in coastal cities (e.g., Geelong, Hobart) to promote outdoor family activities. </w:t>
            </w:r>
          </w:p>
        </w:tc>
      </w:tr>
      <w:tr w:rsidR="00C80A0C" w14:paraId="0D68FDB3" w14:textId="77777777">
        <w:trPr>
          <w:trHeight w:val="1044"/>
        </w:trPr>
        <w:tc>
          <w:tcPr>
            <w:tcW w:w="2459" w:type="dxa"/>
            <w:tcBorders>
              <w:top w:val="single" w:sz="4" w:space="0" w:color="000000"/>
              <w:left w:val="single" w:sz="4" w:space="0" w:color="000000"/>
              <w:bottom w:val="single" w:sz="4" w:space="0" w:color="000000"/>
              <w:right w:val="single" w:sz="4" w:space="0" w:color="000000"/>
            </w:tcBorders>
            <w:shd w:val="clear" w:color="auto" w:fill="9FECE8"/>
          </w:tcPr>
          <w:p w14:paraId="5C553B13" w14:textId="77777777" w:rsidR="00C80A0C" w:rsidRDefault="005E499E">
            <w:pPr>
              <w:spacing w:after="0" w:line="259" w:lineRule="auto"/>
              <w:ind w:left="0" w:firstLine="0"/>
            </w:pPr>
            <w:r>
              <w:rPr>
                <w:sz w:val="18"/>
              </w:rPr>
              <w:t xml:space="preserve">Dokk1 Library </w:t>
            </w:r>
          </w:p>
        </w:tc>
        <w:tc>
          <w:tcPr>
            <w:tcW w:w="2461" w:type="dxa"/>
            <w:tcBorders>
              <w:top w:val="single" w:sz="4" w:space="0" w:color="000000"/>
              <w:left w:val="single" w:sz="4" w:space="0" w:color="000000"/>
              <w:bottom w:val="single" w:sz="4" w:space="0" w:color="000000"/>
              <w:right w:val="single" w:sz="4" w:space="0" w:color="000000"/>
            </w:tcBorders>
            <w:shd w:val="clear" w:color="auto" w:fill="9FECE8"/>
          </w:tcPr>
          <w:p w14:paraId="4CC836F2" w14:textId="77777777" w:rsidR="00C80A0C" w:rsidRDefault="005E499E">
            <w:pPr>
              <w:spacing w:after="0" w:line="259" w:lineRule="auto"/>
              <w:ind w:left="1" w:firstLine="0"/>
            </w:pPr>
            <w:r>
              <w:rPr>
                <w:sz w:val="18"/>
              </w:rPr>
              <w:t xml:space="preserve">Denmark </w:t>
            </w:r>
          </w:p>
        </w:tc>
        <w:tc>
          <w:tcPr>
            <w:tcW w:w="2461" w:type="dxa"/>
            <w:tcBorders>
              <w:top w:val="single" w:sz="4" w:space="0" w:color="000000"/>
              <w:left w:val="single" w:sz="4" w:space="0" w:color="000000"/>
              <w:bottom w:val="single" w:sz="4" w:space="0" w:color="000000"/>
              <w:right w:val="single" w:sz="4" w:space="0" w:color="000000"/>
            </w:tcBorders>
            <w:shd w:val="clear" w:color="auto" w:fill="9FECE8"/>
          </w:tcPr>
          <w:p w14:paraId="37F0C319" w14:textId="77777777" w:rsidR="00C80A0C" w:rsidRDefault="005E499E">
            <w:pPr>
              <w:spacing w:after="0" w:line="259" w:lineRule="auto"/>
              <w:ind w:left="2" w:firstLine="0"/>
            </w:pPr>
            <w:r>
              <w:rPr>
                <w:sz w:val="18"/>
              </w:rPr>
              <w:t xml:space="preserve">Library as a multifunctional hub: learning zones, play areas, flexible workspaces. </w:t>
            </w:r>
          </w:p>
        </w:tc>
        <w:tc>
          <w:tcPr>
            <w:tcW w:w="3251" w:type="dxa"/>
            <w:tcBorders>
              <w:top w:val="single" w:sz="4" w:space="0" w:color="000000"/>
              <w:left w:val="single" w:sz="4" w:space="0" w:color="000000"/>
              <w:bottom w:val="single" w:sz="4" w:space="0" w:color="000000"/>
              <w:right w:val="single" w:sz="4" w:space="0" w:color="000000"/>
            </w:tcBorders>
            <w:shd w:val="clear" w:color="auto" w:fill="9FECE8"/>
          </w:tcPr>
          <w:p w14:paraId="2A79601D" w14:textId="77777777" w:rsidR="00C80A0C" w:rsidRDefault="005E499E">
            <w:pPr>
              <w:spacing w:after="0" w:line="259" w:lineRule="auto"/>
              <w:ind w:left="1" w:firstLine="0"/>
            </w:pPr>
            <w:r>
              <w:rPr>
                <w:sz w:val="18"/>
              </w:rPr>
              <w:t xml:space="preserve">Expand Australian libraries into Community hubs offering play spaces, digital labs, and cultural programs </w:t>
            </w:r>
            <w:r>
              <w:rPr>
                <w:sz w:val="18"/>
              </w:rPr>
              <w:lastRenderedPageBreak/>
              <w:t xml:space="preserve">(e.g., libraries located in regional, rural, and remote </w:t>
            </w:r>
          </w:p>
        </w:tc>
      </w:tr>
      <w:tr w:rsidR="00C80A0C" w14:paraId="402055B4" w14:textId="77777777">
        <w:trPr>
          <w:trHeight w:val="421"/>
        </w:trPr>
        <w:tc>
          <w:tcPr>
            <w:tcW w:w="2459" w:type="dxa"/>
            <w:tcBorders>
              <w:top w:val="single" w:sz="4" w:space="0" w:color="000000"/>
              <w:left w:val="single" w:sz="4" w:space="0" w:color="000000"/>
              <w:bottom w:val="single" w:sz="4" w:space="0" w:color="000000"/>
              <w:right w:val="single" w:sz="4" w:space="0" w:color="000000"/>
            </w:tcBorders>
            <w:shd w:val="clear" w:color="auto" w:fill="9FECE8"/>
          </w:tcPr>
          <w:p w14:paraId="0FD9623E" w14:textId="77777777" w:rsidR="00C80A0C" w:rsidRDefault="00C80A0C">
            <w:pPr>
              <w:spacing w:after="160" w:line="259" w:lineRule="auto"/>
              <w:ind w:left="0" w:firstLine="0"/>
            </w:pPr>
          </w:p>
        </w:tc>
        <w:tc>
          <w:tcPr>
            <w:tcW w:w="2461" w:type="dxa"/>
            <w:tcBorders>
              <w:top w:val="single" w:sz="4" w:space="0" w:color="000000"/>
              <w:left w:val="single" w:sz="4" w:space="0" w:color="000000"/>
              <w:bottom w:val="single" w:sz="4" w:space="0" w:color="000000"/>
              <w:right w:val="single" w:sz="4" w:space="0" w:color="000000"/>
            </w:tcBorders>
            <w:shd w:val="clear" w:color="auto" w:fill="9FECE8"/>
          </w:tcPr>
          <w:p w14:paraId="219AB06E" w14:textId="77777777" w:rsidR="00C80A0C" w:rsidRDefault="00C80A0C">
            <w:pPr>
              <w:spacing w:after="160" w:line="259" w:lineRule="auto"/>
              <w:ind w:left="0" w:firstLine="0"/>
            </w:pPr>
          </w:p>
        </w:tc>
        <w:tc>
          <w:tcPr>
            <w:tcW w:w="2461" w:type="dxa"/>
            <w:tcBorders>
              <w:top w:val="single" w:sz="4" w:space="0" w:color="000000"/>
              <w:left w:val="single" w:sz="4" w:space="0" w:color="000000"/>
              <w:bottom w:val="single" w:sz="4" w:space="0" w:color="000000"/>
              <w:right w:val="single" w:sz="4" w:space="0" w:color="000000"/>
            </w:tcBorders>
            <w:shd w:val="clear" w:color="auto" w:fill="9FECE8"/>
          </w:tcPr>
          <w:p w14:paraId="466F1F83" w14:textId="77777777" w:rsidR="00C80A0C" w:rsidRDefault="00C80A0C">
            <w:pPr>
              <w:spacing w:after="160" w:line="259" w:lineRule="auto"/>
              <w:ind w:left="0" w:firstLine="0"/>
            </w:pPr>
          </w:p>
        </w:tc>
        <w:tc>
          <w:tcPr>
            <w:tcW w:w="3251" w:type="dxa"/>
            <w:tcBorders>
              <w:top w:val="single" w:sz="4" w:space="0" w:color="000000"/>
              <w:left w:val="single" w:sz="4" w:space="0" w:color="000000"/>
              <w:bottom w:val="single" w:sz="4" w:space="0" w:color="000000"/>
              <w:right w:val="single" w:sz="4" w:space="0" w:color="000000"/>
            </w:tcBorders>
            <w:shd w:val="clear" w:color="auto" w:fill="9FECE8"/>
          </w:tcPr>
          <w:p w14:paraId="3018BD3B" w14:textId="77777777" w:rsidR="00C80A0C" w:rsidRDefault="005E499E">
            <w:pPr>
              <w:spacing w:after="0" w:line="259" w:lineRule="auto"/>
              <w:ind w:left="1" w:right="11" w:firstLine="0"/>
            </w:pPr>
            <w:r>
              <w:rPr>
                <w:sz w:val="18"/>
              </w:rPr>
              <w:t xml:space="preserve">areas/establish libraries if these do not exist in said areas). </w:t>
            </w:r>
          </w:p>
        </w:tc>
      </w:tr>
      <w:tr w:rsidR="00C80A0C" w14:paraId="5ED11585" w14:textId="77777777">
        <w:trPr>
          <w:trHeight w:val="839"/>
        </w:trPr>
        <w:tc>
          <w:tcPr>
            <w:tcW w:w="2459" w:type="dxa"/>
            <w:tcBorders>
              <w:top w:val="single" w:sz="4" w:space="0" w:color="000000"/>
              <w:left w:val="single" w:sz="4" w:space="0" w:color="000000"/>
              <w:bottom w:val="single" w:sz="4" w:space="0" w:color="000000"/>
              <w:right w:val="single" w:sz="4" w:space="0" w:color="000000"/>
            </w:tcBorders>
            <w:shd w:val="clear" w:color="auto" w:fill="D8F7F5"/>
          </w:tcPr>
          <w:p w14:paraId="3384A8FE" w14:textId="77777777" w:rsidR="00C80A0C" w:rsidRDefault="005E499E">
            <w:pPr>
              <w:spacing w:after="0" w:line="259" w:lineRule="auto"/>
              <w:ind w:left="0" w:firstLine="0"/>
            </w:pPr>
            <w:r>
              <w:rPr>
                <w:sz w:val="18"/>
              </w:rPr>
              <w:t xml:space="preserve">Living Library (Human Library) </w:t>
            </w:r>
          </w:p>
        </w:tc>
        <w:tc>
          <w:tcPr>
            <w:tcW w:w="2461" w:type="dxa"/>
            <w:tcBorders>
              <w:top w:val="single" w:sz="4" w:space="0" w:color="000000"/>
              <w:left w:val="single" w:sz="4" w:space="0" w:color="000000"/>
              <w:bottom w:val="single" w:sz="4" w:space="0" w:color="000000"/>
              <w:right w:val="single" w:sz="4" w:space="0" w:color="000000"/>
            </w:tcBorders>
            <w:shd w:val="clear" w:color="auto" w:fill="D8F7F5"/>
          </w:tcPr>
          <w:p w14:paraId="0353E082" w14:textId="77777777" w:rsidR="00C80A0C" w:rsidRDefault="005E499E">
            <w:pPr>
              <w:spacing w:after="0" w:line="259" w:lineRule="auto"/>
              <w:ind w:left="1" w:firstLine="0"/>
            </w:pPr>
            <w:r>
              <w:rPr>
                <w:sz w:val="18"/>
              </w:rPr>
              <w:t xml:space="preserve">Global </w:t>
            </w:r>
          </w:p>
        </w:tc>
        <w:tc>
          <w:tcPr>
            <w:tcW w:w="2461" w:type="dxa"/>
            <w:tcBorders>
              <w:top w:val="single" w:sz="4" w:space="0" w:color="000000"/>
              <w:left w:val="single" w:sz="4" w:space="0" w:color="000000"/>
              <w:bottom w:val="single" w:sz="4" w:space="0" w:color="000000"/>
              <w:right w:val="single" w:sz="4" w:space="0" w:color="000000"/>
            </w:tcBorders>
            <w:shd w:val="clear" w:color="auto" w:fill="D8F7F5"/>
          </w:tcPr>
          <w:p w14:paraId="43D89299" w14:textId="77777777" w:rsidR="00C80A0C" w:rsidRDefault="005E499E">
            <w:pPr>
              <w:spacing w:after="0" w:line="259" w:lineRule="auto"/>
              <w:ind w:left="2" w:firstLine="0"/>
            </w:pPr>
            <w:r>
              <w:rPr>
                <w:sz w:val="18"/>
              </w:rPr>
              <w:t xml:space="preserve">Borrow ‘people’ for </w:t>
            </w:r>
            <w:r>
              <w:rPr>
                <w:sz w:val="18"/>
              </w:rPr>
              <w:t xml:space="preserve">conversations to challenge stereotypes and foster empathy. </w:t>
            </w:r>
          </w:p>
        </w:tc>
        <w:tc>
          <w:tcPr>
            <w:tcW w:w="3251" w:type="dxa"/>
            <w:tcBorders>
              <w:top w:val="single" w:sz="4" w:space="0" w:color="000000"/>
              <w:left w:val="single" w:sz="4" w:space="0" w:color="000000"/>
              <w:bottom w:val="single" w:sz="4" w:space="0" w:color="000000"/>
              <w:right w:val="single" w:sz="4" w:space="0" w:color="000000"/>
            </w:tcBorders>
            <w:shd w:val="clear" w:color="auto" w:fill="D8F7F5"/>
          </w:tcPr>
          <w:p w14:paraId="667CDA56" w14:textId="77777777" w:rsidR="00C80A0C" w:rsidRDefault="005E499E">
            <w:pPr>
              <w:spacing w:after="0" w:line="259" w:lineRule="auto"/>
              <w:ind w:left="1" w:firstLine="0"/>
            </w:pPr>
            <w:r>
              <w:rPr>
                <w:sz w:val="18"/>
              </w:rPr>
              <w:t xml:space="preserve">Integrate Living Library events into community centres and libraries to promote inclusion and learning from </w:t>
            </w:r>
            <w:r>
              <w:rPr>
                <w:sz w:val="18"/>
              </w:rPr>
              <w:t>the so called ‘other.’</w:t>
            </w:r>
            <w:r>
              <w:rPr>
                <w:sz w:val="18"/>
              </w:rPr>
              <w:t xml:space="preserve"> </w:t>
            </w:r>
          </w:p>
        </w:tc>
      </w:tr>
      <w:tr w:rsidR="00C80A0C" w14:paraId="7E8ECA72" w14:textId="77777777">
        <w:trPr>
          <w:trHeight w:val="839"/>
        </w:trPr>
        <w:tc>
          <w:tcPr>
            <w:tcW w:w="2459" w:type="dxa"/>
            <w:tcBorders>
              <w:top w:val="single" w:sz="4" w:space="0" w:color="000000"/>
              <w:left w:val="single" w:sz="4" w:space="0" w:color="000000"/>
              <w:bottom w:val="single" w:sz="4" w:space="0" w:color="000000"/>
              <w:right w:val="single" w:sz="4" w:space="0" w:color="000000"/>
            </w:tcBorders>
            <w:shd w:val="clear" w:color="auto" w:fill="9FECE8"/>
          </w:tcPr>
          <w:p w14:paraId="163367F6" w14:textId="77777777" w:rsidR="00C80A0C" w:rsidRDefault="005E499E">
            <w:pPr>
              <w:spacing w:after="0" w:line="259" w:lineRule="auto"/>
              <w:ind w:left="0" w:firstLine="0"/>
            </w:pPr>
            <w:r>
              <w:rPr>
                <w:sz w:val="18"/>
              </w:rPr>
              <w:t xml:space="preserve">Fab Labs </w:t>
            </w:r>
          </w:p>
        </w:tc>
        <w:tc>
          <w:tcPr>
            <w:tcW w:w="2461" w:type="dxa"/>
            <w:tcBorders>
              <w:top w:val="single" w:sz="4" w:space="0" w:color="000000"/>
              <w:left w:val="single" w:sz="4" w:space="0" w:color="000000"/>
              <w:bottom w:val="single" w:sz="4" w:space="0" w:color="000000"/>
              <w:right w:val="single" w:sz="4" w:space="0" w:color="000000"/>
            </w:tcBorders>
            <w:shd w:val="clear" w:color="auto" w:fill="9FECE8"/>
          </w:tcPr>
          <w:p w14:paraId="4D27F746" w14:textId="77777777" w:rsidR="00C80A0C" w:rsidRDefault="005E499E">
            <w:pPr>
              <w:spacing w:after="0" w:line="259" w:lineRule="auto"/>
              <w:ind w:left="1" w:firstLine="0"/>
            </w:pPr>
            <w:r>
              <w:rPr>
                <w:sz w:val="18"/>
              </w:rPr>
              <w:t xml:space="preserve">Britain &amp; Europe </w:t>
            </w:r>
          </w:p>
        </w:tc>
        <w:tc>
          <w:tcPr>
            <w:tcW w:w="2461" w:type="dxa"/>
            <w:tcBorders>
              <w:top w:val="single" w:sz="4" w:space="0" w:color="000000"/>
              <w:left w:val="single" w:sz="4" w:space="0" w:color="000000"/>
              <w:bottom w:val="single" w:sz="4" w:space="0" w:color="000000"/>
              <w:right w:val="single" w:sz="4" w:space="0" w:color="000000"/>
            </w:tcBorders>
            <w:shd w:val="clear" w:color="auto" w:fill="9FECE8"/>
          </w:tcPr>
          <w:p w14:paraId="11460708" w14:textId="77777777" w:rsidR="00C80A0C" w:rsidRDefault="005E499E">
            <w:pPr>
              <w:spacing w:after="0" w:line="259" w:lineRule="auto"/>
              <w:ind w:left="2" w:firstLine="0"/>
            </w:pPr>
            <w:r>
              <w:rPr>
                <w:sz w:val="18"/>
              </w:rPr>
              <w:t xml:space="preserve">Digital fabrication labs for collaborative learning and innovation. </w:t>
            </w:r>
          </w:p>
        </w:tc>
        <w:tc>
          <w:tcPr>
            <w:tcW w:w="3251" w:type="dxa"/>
            <w:tcBorders>
              <w:top w:val="single" w:sz="4" w:space="0" w:color="000000"/>
              <w:left w:val="single" w:sz="4" w:space="0" w:color="000000"/>
              <w:bottom w:val="single" w:sz="4" w:space="0" w:color="000000"/>
              <w:right w:val="single" w:sz="4" w:space="0" w:color="000000"/>
            </w:tcBorders>
            <w:shd w:val="clear" w:color="auto" w:fill="9FECE8"/>
          </w:tcPr>
          <w:p w14:paraId="46888623" w14:textId="77777777" w:rsidR="00C80A0C" w:rsidRDefault="005E499E">
            <w:pPr>
              <w:spacing w:after="0" w:line="259" w:lineRule="auto"/>
              <w:ind w:left="1" w:firstLine="0"/>
            </w:pPr>
            <w:r>
              <w:rPr>
                <w:sz w:val="18"/>
              </w:rPr>
              <w:t xml:space="preserve">Establish Fab Labs in regional towns and urban hubs to build digital literacy and creative skills among young Peoples. </w:t>
            </w:r>
          </w:p>
        </w:tc>
      </w:tr>
      <w:tr w:rsidR="00C80A0C" w14:paraId="1F4205C0" w14:textId="77777777">
        <w:trPr>
          <w:trHeight w:val="1044"/>
        </w:trPr>
        <w:tc>
          <w:tcPr>
            <w:tcW w:w="2459" w:type="dxa"/>
            <w:tcBorders>
              <w:top w:val="single" w:sz="4" w:space="0" w:color="000000"/>
              <w:left w:val="single" w:sz="4" w:space="0" w:color="000000"/>
              <w:bottom w:val="single" w:sz="4" w:space="0" w:color="000000"/>
              <w:right w:val="single" w:sz="4" w:space="0" w:color="000000"/>
            </w:tcBorders>
            <w:shd w:val="clear" w:color="auto" w:fill="D8F7F5"/>
          </w:tcPr>
          <w:p w14:paraId="46F98088" w14:textId="77777777" w:rsidR="00C80A0C" w:rsidRDefault="005E499E">
            <w:pPr>
              <w:spacing w:after="0" w:line="259" w:lineRule="auto"/>
              <w:ind w:left="0" w:right="20" w:firstLine="0"/>
            </w:pPr>
            <w:r>
              <w:rPr>
                <w:sz w:val="18"/>
              </w:rPr>
              <w:t xml:space="preserve">Community Hubs in Informal Settlements </w:t>
            </w:r>
          </w:p>
        </w:tc>
        <w:tc>
          <w:tcPr>
            <w:tcW w:w="2461" w:type="dxa"/>
            <w:tcBorders>
              <w:top w:val="single" w:sz="4" w:space="0" w:color="000000"/>
              <w:left w:val="single" w:sz="4" w:space="0" w:color="000000"/>
              <w:bottom w:val="single" w:sz="4" w:space="0" w:color="000000"/>
              <w:right w:val="single" w:sz="4" w:space="0" w:color="000000"/>
            </w:tcBorders>
            <w:shd w:val="clear" w:color="auto" w:fill="D8F7F5"/>
          </w:tcPr>
          <w:p w14:paraId="6CC4CAD4" w14:textId="77777777" w:rsidR="00C80A0C" w:rsidRDefault="005E499E">
            <w:pPr>
              <w:spacing w:after="0" w:line="259" w:lineRule="auto"/>
              <w:ind w:left="1" w:firstLine="0"/>
            </w:pPr>
            <w:r>
              <w:rPr>
                <w:sz w:val="18"/>
              </w:rPr>
              <w:t xml:space="preserve">Asia &amp; Africa </w:t>
            </w:r>
          </w:p>
        </w:tc>
        <w:tc>
          <w:tcPr>
            <w:tcW w:w="2461" w:type="dxa"/>
            <w:tcBorders>
              <w:top w:val="single" w:sz="4" w:space="0" w:color="000000"/>
              <w:left w:val="single" w:sz="4" w:space="0" w:color="000000"/>
              <w:bottom w:val="single" w:sz="4" w:space="0" w:color="000000"/>
              <w:right w:val="single" w:sz="4" w:space="0" w:color="000000"/>
            </w:tcBorders>
            <w:shd w:val="clear" w:color="auto" w:fill="D8F7F5"/>
          </w:tcPr>
          <w:p w14:paraId="54A616A8" w14:textId="77777777" w:rsidR="00C80A0C" w:rsidRDefault="005E499E">
            <w:pPr>
              <w:spacing w:after="0" w:line="259" w:lineRule="auto"/>
              <w:ind w:left="2" w:firstLine="0"/>
            </w:pPr>
            <w:r>
              <w:rPr>
                <w:sz w:val="18"/>
              </w:rPr>
              <w:t xml:space="preserve">Safer spaces combining play, learning, health, and protection services. </w:t>
            </w:r>
          </w:p>
        </w:tc>
        <w:tc>
          <w:tcPr>
            <w:tcW w:w="3251" w:type="dxa"/>
            <w:tcBorders>
              <w:top w:val="single" w:sz="4" w:space="0" w:color="000000"/>
              <w:left w:val="single" w:sz="4" w:space="0" w:color="000000"/>
              <w:bottom w:val="single" w:sz="4" w:space="0" w:color="000000"/>
              <w:right w:val="single" w:sz="4" w:space="0" w:color="000000"/>
            </w:tcBorders>
            <w:shd w:val="clear" w:color="auto" w:fill="D8F7F5"/>
          </w:tcPr>
          <w:p w14:paraId="02C01DC0" w14:textId="77777777" w:rsidR="00C80A0C" w:rsidRDefault="005E499E">
            <w:pPr>
              <w:spacing w:after="0" w:line="259" w:lineRule="auto"/>
              <w:ind w:left="1" w:right="30" w:firstLine="0"/>
            </w:pPr>
            <w:r>
              <w:rPr>
                <w:sz w:val="18"/>
              </w:rPr>
              <w:t xml:space="preserve">Scale up Australian Community Hubs model to include integrated health and wellbeing services in suburbs whose priority populations survive poverty deprivation. </w:t>
            </w:r>
          </w:p>
        </w:tc>
      </w:tr>
      <w:tr w:rsidR="00C80A0C" w14:paraId="43D1138D" w14:textId="77777777">
        <w:trPr>
          <w:trHeight w:val="631"/>
        </w:trPr>
        <w:tc>
          <w:tcPr>
            <w:tcW w:w="2459" w:type="dxa"/>
            <w:tcBorders>
              <w:top w:val="single" w:sz="4" w:space="0" w:color="000000"/>
              <w:left w:val="single" w:sz="4" w:space="0" w:color="000000"/>
              <w:bottom w:val="single" w:sz="4" w:space="0" w:color="000000"/>
              <w:right w:val="single" w:sz="4" w:space="0" w:color="000000"/>
            </w:tcBorders>
            <w:shd w:val="clear" w:color="auto" w:fill="9FECE8"/>
          </w:tcPr>
          <w:p w14:paraId="42E356AB" w14:textId="77777777" w:rsidR="00C80A0C" w:rsidRDefault="005E499E">
            <w:pPr>
              <w:spacing w:after="0" w:line="259" w:lineRule="auto"/>
              <w:ind w:left="0" w:firstLine="0"/>
            </w:pPr>
            <w:r>
              <w:rPr>
                <w:sz w:val="18"/>
              </w:rPr>
              <w:t xml:space="preserve">YMCA Skateparks </w:t>
            </w:r>
          </w:p>
        </w:tc>
        <w:tc>
          <w:tcPr>
            <w:tcW w:w="2461" w:type="dxa"/>
            <w:tcBorders>
              <w:top w:val="single" w:sz="4" w:space="0" w:color="000000"/>
              <w:left w:val="single" w:sz="4" w:space="0" w:color="000000"/>
              <w:bottom w:val="single" w:sz="4" w:space="0" w:color="000000"/>
              <w:right w:val="single" w:sz="4" w:space="0" w:color="000000"/>
            </w:tcBorders>
            <w:shd w:val="clear" w:color="auto" w:fill="9FECE8"/>
          </w:tcPr>
          <w:p w14:paraId="2680A647" w14:textId="77777777" w:rsidR="00C80A0C" w:rsidRDefault="005E499E">
            <w:pPr>
              <w:spacing w:after="0" w:line="259" w:lineRule="auto"/>
              <w:ind w:left="1" w:firstLine="0"/>
            </w:pPr>
            <w:r>
              <w:rPr>
                <w:sz w:val="18"/>
              </w:rPr>
              <w:t xml:space="preserve">Turtle Island (America) USA </w:t>
            </w:r>
          </w:p>
        </w:tc>
        <w:tc>
          <w:tcPr>
            <w:tcW w:w="2461" w:type="dxa"/>
            <w:tcBorders>
              <w:top w:val="single" w:sz="4" w:space="0" w:color="000000"/>
              <w:left w:val="single" w:sz="4" w:space="0" w:color="000000"/>
              <w:bottom w:val="single" w:sz="4" w:space="0" w:color="000000"/>
              <w:right w:val="single" w:sz="4" w:space="0" w:color="000000"/>
            </w:tcBorders>
            <w:shd w:val="clear" w:color="auto" w:fill="9FECE8"/>
          </w:tcPr>
          <w:p w14:paraId="3077C890" w14:textId="77777777" w:rsidR="00C80A0C" w:rsidRDefault="005E499E">
            <w:pPr>
              <w:spacing w:after="0" w:line="259" w:lineRule="auto"/>
              <w:ind w:left="2" w:firstLine="0"/>
            </w:pPr>
            <w:r>
              <w:rPr>
                <w:sz w:val="18"/>
              </w:rPr>
              <w:t xml:space="preserve">Youth </w:t>
            </w:r>
            <w:r>
              <w:rPr>
                <w:sz w:val="18"/>
              </w:rPr>
              <w:t xml:space="preserve">focused recreational spaces fostering resilience and belonging. </w:t>
            </w:r>
          </w:p>
        </w:tc>
        <w:tc>
          <w:tcPr>
            <w:tcW w:w="3251" w:type="dxa"/>
            <w:tcBorders>
              <w:top w:val="single" w:sz="4" w:space="0" w:color="000000"/>
              <w:left w:val="single" w:sz="4" w:space="0" w:color="000000"/>
              <w:bottom w:val="single" w:sz="4" w:space="0" w:color="000000"/>
              <w:right w:val="single" w:sz="4" w:space="0" w:color="000000"/>
            </w:tcBorders>
            <w:shd w:val="clear" w:color="auto" w:fill="9FECE8"/>
          </w:tcPr>
          <w:p w14:paraId="7E55FCD3" w14:textId="77777777" w:rsidR="00C80A0C" w:rsidRDefault="005E499E">
            <w:pPr>
              <w:spacing w:after="0" w:line="259" w:lineRule="auto"/>
              <w:ind w:left="1" w:firstLine="0"/>
            </w:pPr>
            <w:r>
              <w:rPr>
                <w:sz w:val="18"/>
              </w:rPr>
              <w:t xml:space="preserve">Expand skateparks with wraparound programs (mentoring, mental health support) in regional and urban areas. </w:t>
            </w:r>
          </w:p>
        </w:tc>
      </w:tr>
      <w:tr w:rsidR="00C80A0C" w14:paraId="09182DDA" w14:textId="77777777">
        <w:trPr>
          <w:trHeight w:val="837"/>
        </w:trPr>
        <w:tc>
          <w:tcPr>
            <w:tcW w:w="2459" w:type="dxa"/>
            <w:tcBorders>
              <w:top w:val="single" w:sz="4" w:space="0" w:color="000000"/>
              <w:left w:val="single" w:sz="4" w:space="0" w:color="000000"/>
              <w:bottom w:val="single" w:sz="4" w:space="0" w:color="000000"/>
              <w:right w:val="single" w:sz="4" w:space="0" w:color="000000"/>
            </w:tcBorders>
            <w:shd w:val="clear" w:color="auto" w:fill="D8F7F5"/>
          </w:tcPr>
          <w:p w14:paraId="46E7ED73" w14:textId="77777777" w:rsidR="00C80A0C" w:rsidRDefault="005E499E">
            <w:pPr>
              <w:spacing w:after="0" w:line="259" w:lineRule="auto"/>
              <w:ind w:left="0" w:firstLine="0"/>
            </w:pPr>
            <w:r>
              <w:rPr>
                <w:sz w:val="18"/>
              </w:rPr>
              <w:t>Whānau Ora Hubs</w:t>
            </w:r>
            <w:r>
              <w:rPr>
                <w:sz w:val="18"/>
              </w:rPr>
              <w:t xml:space="preserve"> </w:t>
            </w:r>
          </w:p>
        </w:tc>
        <w:tc>
          <w:tcPr>
            <w:tcW w:w="2461" w:type="dxa"/>
            <w:tcBorders>
              <w:top w:val="single" w:sz="4" w:space="0" w:color="000000"/>
              <w:left w:val="single" w:sz="4" w:space="0" w:color="000000"/>
              <w:bottom w:val="single" w:sz="4" w:space="0" w:color="000000"/>
              <w:right w:val="single" w:sz="4" w:space="0" w:color="000000"/>
            </w:tcBorders>
            <w:shd w:val="clear" w:color="auto" w:fill="D8F7F5"/>
          </w:tcPr>
          <w:p w14:paraId="4A8D3DD4" w14:textId="77777777" w:rsidR="00C80A0C" w:rsidRDefault="005E499E">
            <w:pPr>
              <w:spacing w:after="0" w:line="259" w:lineRule="auto"/>
              <w:ind w:left="1" w:firstLine="0"/>
            </w:pPr>
            <w:r>
              <w:rPr>
                <w:sz w:val="18"/>
              </w:rPr>
              <w:t xml:space="preserve">Aotearoa (New Zealand) </w:t>
            </w:r>
          </w:p>
        </w:tc>
        <w:tc>
          <w:tcPr>
            <w:tcW w:w="2461" w:type="dxa"/>
            <w:tcBorders>
              <w:top w:val="single" w:sz="4" w:space="0" w:color="000000"/>
              <w:left w:val="single" w:sz="4" w:space="0" w:color="000000"/>
              <w:bottom w:val="single" w:sz="4" w:space="0" w:color="000000"/>
              <w:right w:val="single" w:sz="4" w:space="0" w:color="000000"/>
            </w:tcBorders>
            <w:shd w:val="clear" w:color="auto" w:fill="D8F7F5"/>
          </w:tcPr>
          <w:p w14:paraId="2789BAD2" w14:textId="77777777" w:rsidR="00C80A0C" w:rsidRDefault="005E499E">
            <w:pPr>
              <w:spacing w:after="0" w:line="259" w:lineRule="auto"/>
              <w:ind w:left="2" w:firstLine="0"/>
            </w:pPr>
            <w:r>
              <w:rPr>
                <w:sz w:val="18"/>
              </w:rPr>
              <w:t>Māori</w:t>
            </w:r>
            <w:r>
              <w:rPr>
                <w:sz w:val="18"/>
              </w:rPr>
              <w:t xml:space="preserve">-led hubs integrating health, education, housing, and social supports. </w:t>
            </w:r>
          </w:p>
        </w:tc>
        <w:tc>
          <w:tcPr>
            <w:tcW w:w="3251" w:type="dxa"/>
            <w:tcBorders>
              <w:top w:val="single" w:sz="4" w:space="0" w:color="000000"/>
              <w:left w:val="single" w:sz="4" w:space="0" w:color="000000"/>
              <w:bottom w:val="single" w:sz="4" w:space="0" w:color="000000"/>
              <w:right w:val="single" w:sz="4" w:space="0" w:color="000000"/>
            </w:tcBorders>
            <w:shd w:val="clear" w:color="auto" w:fill="D8F7F5"/>
          </w:tcPr>
          <w:p w14:paraId="69D0C4BB" w14:textId="77777777" w:rsidR="00C80A0C" w:rsidRDefault="005E499E">
            <w:pPr>
              <w:spacing w:after="0" w:line="259" w:lineRule="auto"/>
              <w:ind w:left="1" w:firstLine="0"/>
            </w:pPr>
            <w:r>
              <w:rPr>
                <w:sz w:val="18"/>
              </w:rPr>
              <w:t xml:space="preserve">Develop First Nations led hubs in Australia, co designed with ACCOs and ACCHOs, embedding cultural safety and holistic family support. </w:t>
            </w:r>
          </w:p>
        </w:tc>
      </w:tr>
    </w:tbl>
    <w:p w14:paraId="7FA3B798" w14:textId="77777777" w:rsidR="00C80A0C" w:rsidRDefault="005E499E">
      <w:pPr>
        <w:pStyle w:val="Heading2"/>
        <w:spacing w:after="0"/>
        <w:ind w:left="-5"/>
      </w:pPr>
      <w:r>
        <w:rPr>
          <w:color w:val="021414"/>
          <w:sz w:val="28"/>
        </w:rPr>
        <w:lastRenderedPageBreak/>
        <w:t xml:space="preserve">Appendix Four </w:t>
      </w:r>
    </w:p>
    <w:tbl>
      <w:tblPr>
        <w:tblStyle w:val="TableGrid"/>
        <w:tblW w:w="10649" w:type="dxa"/>
        <w:tblInd w:w="6" w:type="dxa"/>
        <w:tblCellMar>
          <w:top w:w="137" w:type="dxa"/>
          <w:left w:w="4" w:type="dxa"/>
          <w:bottom w:w="0" w:type="dxa"/>
          <w:right w:w="2337" w:type="dxa"/>
        </w:tblCellMar>
        <w:tblLook w:val="04A0" w:firstRow="1" w:lastRow="0" w:firstColumn="1" w:lastColumn="0" w:noHBand="0" w:noVBand="1"/>
      </w:tblPr>
      <w:tblGrid>
        <w:gridCol w:w="10649"/>
      </w:tblGrid>
      <w:tr w:rsidR="00C80A0C" w14:paraId="65CAF777" w14:textId="77777777">
        <w:trPr>
          <w:trHeight w:val="8913"/>
        </w:trPr>
        <w:tc>
          <w:tcPr>
            <w:tcW w:w="10649" w:type="dxa"/>
            <w:tcBorders>
              <w:top w:val="single" w:sz="4" w:space="0" w:color="000000"/>
              <w:left w:val="single" w:sz="4" w:space="0" w:color="000000"/>
              <w:bottom w:val="single" w:sz="4" w:space="0" w:color="000000"/>
              <w:right w:val="single" w:sz="4" w:space="0" w:color="000000"/>
            </w:tcBorders>
            <w:shd w:val="clear" w:color="auto" w:fill="D8F7F5"/>
          </w:tcPr>
          <w:p w14:paraId="46C73349" w14:textId="77777777" w:rsidR="00C80A0C" w:rsidRDefault="005E499E">
            <w:pPr>
              <w:spacing w:after="324" w:line="317" w:lineRule="auto"/>
              <w:ind w:left="2735" w:right="350" w:firstLine="0"/>
              <w:jc w:val="center"/>
            </w:pPr>
            <w:r>
              <w:rPr>
                <w:color w:val="092F2D"/>
                <w:sz w:val="20"/>
              </w:rPr>
              <w:t xml:space="preserve">Community Connection </w:t>
            </w:r>
            <w:proofErr w:type="spellStart"/>
            <w:r>
              <w:rPr>
                <w:color w:val="092F2D"/>
                <w:sz w:val="20"/>
              </w:rPr>
              <w:t>Self</w:t>
            </w:r>
            <w:r>
              <w:rPr>
                <w:color w:val="000000"/>
                <w:sz w:val="20"/>
              </w:rPr>
              <w:t xml:space="preserve"> </w:t>
            </w:r>
            <w:r>
              <w:rPr>
                <w:color w:val="092F2D"/>
                <w:sz w:val="20"/>
              </w:rPr>
              <w:t>Assessment</w:t>
            </w:r>
            <w:proofErr w:type="spellEnd"/>
            <w:r>
              <w:rPr>
                <w:color w:val="092F2D"/>
                <w:sz w:val="20"/>
              </w:rPr>
              <w:t xml:space="preserve"> Checklist</w:t>
            </w:r>
            <w:r>
              <w:rPr>
                <w:color w:val="000000"/>
                <w:sz w:val="20"/>
              </w:rPr>
              <w:t xml:space="preserve"> </w:t>
            </w:r>
            <w:r>
              <w:rPr>
                <w:sz w:val="20"/>
              </w:rPr>
              <w:t xml:space="preserve">Scoring Scale </w:t>
            </w:r>
          </w:p>
          <w:p w14:paraId="6307551A" w14:textId="77777777" w:rsidR="00C80A0C" w:rsidRDefault="005E499E">
            <w:pPr>
              <w:spacing w:after="163" w:line="275" w:lineRule="auto"/>
              <w:ind w:left="2160" w:firstLine="0"/>
              <w:jc w:val="center"/>
            </w:pPr>
            <w:r>
              <w:rPr>
                <w:sz w:val="20"/>
              </w:rPr>
              <w:t xml:space="preserve"> 0 = Not Evident | 1 = Emerging | 2 = Established | 3 = </w:t>
            </w:r>
            <w:proofErr w:type="gramStart"/>
            <w:r>
              <w:rPr>
                <w:sz w:val="20"/>
              </w:rPr>
              <w:t xml:space="preserve">Exemplary  </w:t>
            </w:r>
            <w:r>
              <w:rPr>
                <w:sz w:val="20"/>
              </w:rPr>
              <w:t>Visual</w:t>
            </w:r>
            <w:proofErr w:type="gramEnd"/>
            <w:r>
              <w:rPr>
                <w:sz w:val="20"/>
              </w:rPr>
              <w:t xml:space="preserve"> Indicator: ○○○○ (fill circles based on score)</w:t>
            </w:r>
            <w:r>
              <w:rPr>
                <w:sz w:val="20"/>
              </w:rPr>
              <w:t xml:space="preserve"> </w:t>
            </w:r>
          </w:p>
          <w:p w14:paraId="2B58C1A1" w14:textId="77777777" w:rsidR="00C80A0C" w:rsidRDefault="005E499E">
            <w:pPr>
              <w:spacing w:after="281" w:line="259" w:lineRule="auto"/>
              <w:ind w:left="0" w:firstLine="0"/>
            </w:pPr>
            <w:r>
              <w:rPr>
                <w:b/>
                <w:sz w:val="20"/>
              </w:rPr>
              <w:t xml:space="preserve">Community Engagement &amp; Co-Design </w:t>
            </w:r>
          </w:p>
          <w:p w14:paraId="070908A5" w14:textId="77777777" w:rsidR="00C80A0C" w:rsidRDefault="005E499E">
            <w:pPr>
              <w:numPr>
                <w:ilvl w:val="0"/>
                <w:numId w:val="22"/>
              </w:numPr>
              <w:spacing w:after="23" w:line="259" w:lineRule="auto"/>
              <w:ind w:hanging="360"/>
            </w:pPr>
            <w:r>
              <w:rPr>
                <w:sz w:val="20"/>
              </w:rPr>
              <w:t>Have you involved local Communities in designing or shaping the service?</w:t>
            </w:r>
          </w:p>
          <w:p w14:paraId="009D5C8A" w14:textId="77777777" w:rsidR="00C80A0C" w:rsidRDefault="005E499E">
            <w:pPr>
              <w:spacing w:after="18" w:line="277" w:lineRule="auto"/>
              <w:ind w:left="776" w:firstLine="0"/>
            </w:pPr>
            <w:r>
              <w:rPr>
                <w:i/>
                <w:sz w:val="20"/>
              </w:rPr>
              <w:t>Example: Held Community forums and listening sessions before program design. Score: ○○○○</w:t>
            </w:r>
          </w:p>
          <w:p w14:paraId="2FF3CF42" w14:textId="77777777" w:rsidR="00C80A0C" w:rsidRDefault="005E499E">
            <w:pPr>
              <w:numPr>
                <w:ilvl w:val="0"/>
                <w:numId w:val="22"/>
              </w:numPr>
              <w:spacing w:after="25" w:line="259" w:lineRule="auto"/>
              <w:ind w:hanging="360"/>
            </w:pPr>
            <w:r>
              <w:rPr>
                <w:sz w:val="20"/>
              </w:rPr>
              <w:t>Do you have documented evidence of consultation?</w:t>
            </w:r>
          </w:p>
          <w:p w14:paraId="3762E880" w14:textId="77777777" w:rsidR="00C80A0C" w:rsidRDefault="005E499E">
            <w:pPr>
              <w:spacing w:after="18" w:line="277" w:lineRule="auto"/>
              <w:ind w:left="720" w:firstLine="55"/>
            </w:pPr>
            <w:r>
              <w:rPr>
                <w:i/>
                <w:sz w:val="20"/>
              </w:rPr>
              <w:t>Example: Community Advisory Committee/s alongside First Nations Elders and other representatives/Community Leaders who represent the local Communities you serve? Score: ○○○○</w:t>
            </w:r>
          </w:p>
          <w:p w14:paraId="687E4D74" w14:textId="77777777" w:rsidR="00C80A0C" w:rsidRDefault="005E499E">
            <w:pPr>
              <w:numPr>
                <w:ilvl w:val="0"/>
                <w:numId w:val="22"/>
              </w:numPr>
              <w:spacing w:after="23" w:line="259" w:lineRule="auto"/>
              <w:ind w:hanging="360"/>
            </w:pPr>
            <w:r>
              <w:rPr>
                <w:sz w:val="20"/>
              </w:rPr>
              <w:t>Is there an ongoing feedback mechanism for the service?</w:t>
            </w:r>
          </w:p>
          <w:p w14:paraId="506E404B" w14:textId="77777777" w:rsidR="00C80A0C" w:rsidRDefault="005E499E">
            <w:pPr>
              <w:spacing w:after="15" w:line="279" w:lineRule="auto"/>
              <w:ind w:left="776" w:firstLine="0"/>
            </w:pPr>
            <w:r>
              <w:rPr>
                <w:i/>
                <w:sz w:val="20"/>
              </w:rPr>
              <w:t>Example: Quarterly surveys and feedback loops integrated into service delivery. Score: ○○○○</w:t>
            </w:r>
          </w:p>
          <w:p w14:paraId="30A55F54" w14:textId="77777777" w:rsidR="00C80A0C" w:rsidRDefault="005E499E">
            <w:pPr>
              <w:numPr>
                <w:ilvl w:val="0"/>
                <w:numId w:val="22"/>
              </w:numPr>
              <w:spacing w:after="23" w:line="259" w:lineRule="auto"/>
              <w:ind w:hanging="360"/>
            </w:pPr>
            <w:r>
              <w:rPr>
                <w:i/>
                <w:color w:val="000000"/>
                <w:sz w:val="20"/>
              </w:rPr>
              <w:t>Please provide evidence to support</w:t>
            </w:r>
          </w:p>
          <w:p w14:paraId="5346EA70" w14:textId="77777777" w:rsidR="00C80A0C" w:rsidRDefault="005E499E">
            <w:pPr>
              <w:spacing w:after="279" w:line="259" w:lineRule="auto"/>
              <w:ind w:left="0" w:firstLine="0"/>
            </w:pPr>
            <w:r>
              <w:rPr>
                <w:b/>
                <w:sz w:val="20"/>
              </w:rPr>
              <w:t xml:space="preserve">Cultural Safety &amp; Inclusion </w:t>
            </w:r>
          </w:p>
          <w:p w14:paraId="629CAB1E" w14:textId="77777777" w:rsidR="00C80A0C" w:rsidRDefault="005E499E">
            <w:pPr>
              <w:numPr>
                <w:ilvl w:val="0"/>
                <w:numId w:val="23"/>
              </w:numPr>
              <w:spacing w:after="25" w:line="259" w:lineRule="auto"/>
              <w:ind w:hanging="360"/>
            </w:pPr>
            <w:r>
              <w:rPr>
                <w:sz w:val="20"/>
              </w:rPr>
              <w:t>Does your service embed cultural safety principles?</w:t>
            </w:r>
          </w:p>
          <w:p w14:paraId="2F5D9556" w14:textId="77777777" w:rsidR="00C80A0C" w:rsidRDefault="005E499E">
            <w:pPr>
              <w:spacing w:after="18" w:line="277" w:lineRule="auto"/>
              <w:ind w:left="776" w:right="916" w:firstLine="0"/>
            </w:pPr>
            <w:r>
              <w:rPr>
                <w:i/>
                <w:sz w:val="20"/>
              </w:rPr>
              <w:t>Example: Partnership with ACCOs for culturally grounded programs. Score: ○○○○</w:t>
            </w:r>
          </w:p>
          <w:p w14:paraId="3436CC40" w14:textId="77777777" w:rsidR="00C80A0C" w:rsidRDefault="005E499E">
            <w:pPr>
              <w:numPr>
                <w:ilvl w:val="0"/>
                <w:numId w:val="23"/>
              </w:numPr>
              <w:spacing w:after="23" w:line="259" w:lineRule="auto"/>
              <w:ind w:hanging="360"/>
            </w:pPr>
            <w:r>
              <w:rPr>
                <w:sz w:val="20"/>
              </w:rPr>
              <w:t>Are you addressing intersectional needs?</w:t>
            </w:r>
          </w:p>
          <w:p w14:paraId="35467C15" w14:textId="77777777" w:rsidR="00C80A0C" w:rsidRDefault="005E499E">
            <w:pPr>
              <w:spacing w:after="20" w:line="277" w:lineRule="auto"/>
              <w:ind w:left="776" w:firstLine="0"/>
            </w:pPr>
            <w:r>
              <w:rPr>
                <w:i/>
                <w:sz w:val="20"/>
              </w:rPr>
              <w:t>Example: Tailored programs for families who are First Nations and LGBTIQA/SB+. Score: ○○○○</w:t>
            </w:r>
          </w:p>
          <w:p w14:paraId="6C12FA62" w14:textId="77777777" w:rsidR="00C80A0C" w:rsidRDefault="005E499E">
            <w:pPr>
              <w:numPr>
                <w:ilvl w:val="0"/>
                <w:numId w:val="23"/>
              </w:numPr>
              <w:spacing w:after="23" w:line="259" w:lineRule="auto"/>
              <w:ind w:hanging="360"/>
            </w:pPr>
            <w:r>
              <w:rPr>
                <w:sz w:val="20"/>
              </w:rPr>
              <w:t>Have you implemented inclusive accreditation frameworks?</w:t>
            </w:r>
          </w:p>
          <w:p w14:paraId="2F1C69C1" w14:textId="77777777" w:rsidR="00C80A0C" w:rsidRDefault="005E499E">
            <w:pPr>
              <w:spacing w:after="18" w:line="277" w:lineRule="auto"/>
              <w:ind w:left="776" w:right="151" w:firstLine="0"/>
              <w:jc w:val="both"/>
            </w:pPr>
            <w:r>
              <w:rPr>
                <w:i/>
                <w:sz w:val="20"/>
              </w:rPr>
              <w:t>Example: Rainbow Tick accreditation and annual cultural awareness training. Score: ○○○○</w:t>
            </w:r>
          </w:p>
          <w:p w14:paraId="7011D72B" w14:textId="77777777" w:rsidR="00C80A0C" w:rsidRDefault="005E499E">
            <w:pPr>
              <w:numPr>
                <w:ilvl w:val="0"/>
                <w:numId w:val="23"/>
              </w:numPr>
              <w:spacing w:after="23" w:line="259" w:lineRule="auto"/>
              <w:ind w:hanging="360"/>
            </w:pPr>
            <w:r>
              <w:rPr>
                <w:i/>
                <w:color w:val="000000"/>
                <w:sz w:val="20"/>
              </w:rPr>
              <w:t>Please provide evidence to support</w:t>
            </w:r>
          </w:p>
          <w:p w14:paraId="77788674" w14:textId="77777777" w:rsidR="00C80A0C" w:rsidRDefault="005E499E">
            <w:pPr>
              <w:spacing w:after="0" w:line="259" w:lineRule="auto"/>
              <w:ind w:left="0" w:firstLine="0"/>
            </w:pPr>
            <w:r>
              <w:rPr>
                <w:b/>
                <w:sz w:val="20"/>
              </w:rPr>
              <w:t xml:space="preserve">Local Knowledge &amp; Place-Based Approach </w:t>
            </w:r>
          </w:p>
        </w:tc>
      </w:tr>
    </w:tbl>
    <w:p w14:paraId="36847CA7" w14:textId="77777777" w:rsidR="00C80A0C" w:rsidRDefault="00C80A0C">
      <w:pPr>
        <w:spacing w:after="0" w:line="259" w:lineRule="auto"/>
        <w:ind w:left="-624" w:right="16" w:firstLine="0"/>
      </w:pPr>
    </w:p>
    <w:tbl>
      <w:tblPr>
        <w:tblStyle w:val="TableGrid"/>
        <w:tblW w:w="10649" w:type="dxa"/>
        <w:tblInd w:w="6" w:type="dxa"/>
        <w:tblCellMar>
          <w:top w:w="159" w:type="dxa"/>
          <w:left w:w="4" w:type="dxa"/>
          <w:bottom w:w="0" w:type="dxa"/>
          <w:right w:w="12" w:type="dxa"/>
        </w:tblCellMar>
        <w:tblLook w:val="04A0" w:firstRow="1" w:lastRow="0" w:firstColumn="1" w:lastColumn="0" w:noHBand="0" w:noVBand="1"/>
      </w:tblPr>
      <w:tblGrid>
        <w:gridCol w:w="10649"/>
      </w:tblGrid>
      <w:tr w:rsidR="00C80A0C" w14:paraId="6EF19AFC" w14:textId="77777777">
        <w:trPr>
          <w:trHeight w:val="13562"/>
        </w:trPr>
        <w:tc>
          <w:tcPr>
            <w:tcW w:w="10649" w:type="dxa"/>
            <w:tcBorders>
              <w:top w:val="single" w:sz="4" w:space="0" w:color="000000"/>
              <w:left w:val="single" w:sz="4" w:space="0" w:color="000000"/>
              <w:bottom w:val="single" w:sz="4" w:space="0" w:color="000000"/>
              <w:right w:val="single" w:sz="4" w:space="0" w:color="000000"/>
            </w:tcBorders>
            <w:shd w:val="clear" w:color="auto" w:fill="D8F7F5"/>
          </w:tcPr>
          <w:p w14:paraId="13AEE624" w14:textId="77777777" w:rsidR="00C80A0C" w:rsidRDefault="005E499E">
            <w:pPr>
              <w:numPr>
                <w:ilvl w:val="0"/>
                <w:numId w:val="24"/>
              </w:numPr>
              <w:spacing w:after="23" w:line="259" w:lineRule="auto"/>
              <w:ind w:hanging="360"/>
            </w:pPr>
            <w:r>
              <w:rPr>
                <w:sz w:val="20"/>
              </w:rPr>
              <w:lastRenderedPageBreak/>
              <w:t>Does your program respond to local priorities?</w:t>
            </w:r>
          </w:p>
          <w:p w14:paraId="37BFB3E4" w14:textId="77777777" w:rsidR="00C80A0C" w:rsidRDefault="005E499E">
            <w:pPr>
              <w:spacing w:after="20" w:line="277" w:lineRule="auto"/>
              <w:ind w:left="776" w:right="2080" w:firstLine="0"/>
              <w:jc w:val="both"/>
            </w:pPr>
            <w:r>
              <w:rPr>
                <w:i/>
                <w:sz w:val="20"/>
              </w:rPr>
              <w:t>Example: Outreach in areas with high housing stress and cost of living pressures. Score: ○○○○</w:t>
            </w:r>
          </w:p>
          <w:p w14:paraId="5065103D" w14:textId="77777777" w:rsidR="00C80A0C" w:rsidRDefault="005E499E">
            <w:pPr>
              <w:numPr>
                <w:ilvl w:val="0"/>
                <w:numId w:val="24"/>
              </w:numPr>
              <w:spacing w:after="23" w:line="259" w:lineRule="auto"/>
              <w:ind w:hanging="360"/>
            </w:pPr>
            <w:r>
              <w:rPr>
                <w:sz w:val="20"/>
              </w:rPr>
              <w:t>Are you leveraging community assets?</w:t>
            </w:r>
          </w:p>
          <w:p w14:paraId="502CC8E7" w14:textId="77777777" w:rsidR="00C80A0C" w:rsidRDefault="005E499E">
            <w:pPr>
              <w:spacing w:after="18" w:line="277" w:lineRule="auto"/>
              <w:ind w:left="776" w:right="3684" w:firstLine="0"/>
            </w:pPr>
            <w:r>
              <w:rPr>
                <w:i/>
                <w:sz w:val="20"/>
              </w:rPr>
              <w:t>Example: Delivering programs in libraries and community hubs. Score: ○○○○</w:t>
            </w:r>
          </w:p>
          <w:p w14:paraId="61243077" w14:textId="77777777" w:rsidR="00C80A0C" w:rsidRDefault="005E499E">
            <w:pPr>
              <w:numPr>
                <w:ilvl w:val="0"/>
                <w:numId w:val="24"/>
              </w:numPr>
              <w:spacing w:after="23" w:line="259" w:lineRule="auto"/>
              <w:ind w:hanging="360"/>
            </w:pPr>
            <w:r>
              <w:rPr>
                <w:sz w:val="20"/>
              </w:rPr>
              <w:t>Is your service tailored to the local context?</w:t>
            </w:r>
          </w:p>
          <w:p w14:paraId="44642A4F" w14:textId="77777777" w:rsidR="00C80A0C" w:rsidRDefault="005E499E">
            <w:pPr>
              <w:spacing w:after="15" w:line="279" w:lineRule="auto"/>
              <w:ind w:left="776" w:right="1480" w:firstLine="0"/>
            </w:pPr>
            <w:r>
              <w:rPr>
                <w:i/>
                <w:sz w:val="20"/>
              </w:rPr>
              <w:t>Example: Co-designed skate park programs alongside young Peoples in regional towns. Score: ○○○○</w:t>
            </w:r>
          </w:p>
          <w:p w14:paraId="51B7F3D0" w14:textId="77777777" w:rsidR="00C80A0C" w:rsidRDefault="005E499E">
            <w:pPr>
              <w:numPr>
                <w:ilvl w:val="0"/>
                <w:numId w:val="24"/>
              </w:numPr>
              <w:spacing w:after="23" w:line="259" w:lineRule="auto"/>
              <w:ind w:hanging="360"/>
            </w:pPr>
            <w:r>
              <w:rPr>
                <w:i/>
                <w:color w:val="000000"/>
                <w:sz w:val="20"/>
              </w:rPr>
              <w:t>Please provide evidence to support</w:t>
            </w:r>
          </w:p>
          <w:p w14:paraId="1911479C" w14:textId="77777777" w:rsidR="00C80A0C" w:rsidRDefault="005E499E">
            <w:pPr>
              <w:spacing w:after="279" w:line="259" w:lineRule="auto"/>
              <w:ind w:left="0" w:firstLine="0"/>
            </w:pPr>
            <w:r>
              <w:rPr>
                <w:b/>
                <w:sz w:val="20"/>
              </w:rPr>
              <w:t xml:space="preserve">Partnerships &amp; Integration </w:t>
            </w:r>
          </w:p>
          <w:p w14:paraId="46F4E55E" w14:textId="77777777" w:rsidR="00C80A0C" w:rsidRDefault="005E499E">
            <w:pPr>
              <w:numPr>
                <w:ilvl w:val="0"/>
                <w:numId w:val="25"/>
              </w:numPr>
              <w:spacing w:after="25" w:line="259" w:lineRule="auto"/>
              <w:ind w:hanging="360"/>
            </w:pPr>
            <w:r>
              <w:rPr>
                <w:sz w:val="20"/>
              </w:rPr>
              <w:t>Do you collaborate with other local services?</w:t>
            </w:r>
          </w:p>
          <w:p w14:paraId="3C101BBE" w14:textId="77777777" w:rsidR="00C80A0C" w:rsidRDefault="005E499E">
            <w:pPr>
              <w:spacing w:after="17" w:line="277" w:lineRule="auto"/>
              <w:ind w:left="776" w:right="1906" w:firstLine="0"/>
            </w:pPr>
            <w:r>
              <w:rPr>
                <w:i/>
                <w:sz w:val="20"/>
              </w:rPr>
              <w:t>Example: MOU with health and housing providers for integrated case management. Score: ○○○○</w:t>
            </w:r>
          </w:p>
          <w:p w14:paraId="510524A2" w14:textId="77777777" w:rsidR="00C80A0C" w:rsidRDefault="005E499E">
            <w:pPr>
              <w:numPr>
                <w:ilvl w:val="0"/>
                <w:numId w:val="25"/>
              </w:numPr>
              <w:spacing w:after="23" w:line="259" w:lineRule="auto"/>
              <w:ind w:hanging="360"/>
            </w:pPr>
            <w:r>
              <w:rPr>
                <w:sz w:val="20"/>
              </w:rPr>
              <w:t>Are there shared case planning or referral pathways?</w:t>
            </w:r>
          </w:p>
          <w:p w14:paraId="4D5B482C" w14:textId="77777777" w:rsidR="00C80A0C" w:rsidRDefault="005E499E">
            <w:pPr>
              <w:spacing w:after="20" w:line="277" w:lineRule="auto"/>
              <w:ind w:left="776" w:right="2087" w:firstLine="0"/>
            </w:pPr>
            <w:r>
              <w:rPr>
                <w:i/>
                <w:sz w:val="20"/>
              </w:rPr>
              <w:t>Example: Joint case conferences with family violence and mental health services. Score: ○○○○</w:t>
            </w:r>
          </w:p>
          <w:p w14:paraId="41EC9A59" w14:textId="77777777" w:rsidR="00C80A0C" w:rsidRDefault="005E499E">
            <w:pPr>
              <w:numPr>
                <w:ilvl w:val="0"/>
                <w:numId w:val="25"/>
              </w:numPr>
              <w:spacing w:after="23" w:line="259" w:lineRule="auto"/>
              <w:ind w:hanging="360"/>
            </w:pPr>
            <w:r>
              <w:rPr>
                <w:sz w:val="20"/>
              </w:rPr>
              <w:t>Have you participated in joint training?</w:t>
            </w:r>
          </w:p>
          <w:p w14:paraId="2CEA246C" w14:textId="77777777" w:rsidR="00C80A0C" w:rsidRDefault="005E499E">
            <w:pPr>
              <w:spacing w:after="18" w:line="277" w:lineRule="auto"/>
              <w:ind w:left="776" w:right="2780" w:firstLine="0"/>
              <w:jc w:val="both"/>
            </w:pPr>
            <w:r>
              <w:rPr>
                <w:i/>
                <w:sz w:val="20"/>
              </w:rPr>
              <w:t>Example: Cross sector training on trauma and violence informed practice. Score: ○○○○</w:t>
            </w:r>
          </w:p>
          <w:p w14:paraId="2D83FFC7" w14:textId="77777777" w:rsidR="00C80A0C" w:rsidRDefault="005E499E">
            <w:pPr>
              <w:numPr>
                <w:ilvl w:val="0"/>
                <w:numId w:val="25"/>
              </w:numPr>
              <w:spacing w:after="23" w:line="259" w:lineRule="auto"/>
              <w:ind w:hanging="360"/>
            </w:pPr>
            <w:r>
              <w:rPr>
                <w:i/>
                <w:color w:val="000000"/>
                <w:sz w:val="20"/>
              </w:rPr>
              <w:t>Please provide evidence to support</w:t>
            </w:r>
          </w:p>
          <w:p w14:paraId="3BF84624" w14:textId="77777777" w:rsidR="00C80A0C" w:rsidRDefault="005E499E">
            <w:pPr>
              <w:spacing w:after="281" w:line="259" w:lineRule="auto"/>
              <w:ind w:left="0" w:firstLine="0"/>
            </w:pPr>
            <w:r>
              <w:rPr>
                <w:b/>
                <w:sz w:val="20"/>
              </w:rPr>
              <w:t xml:space="preserve">Accessibility &amp; Equity </w:t>
            </w:r>
          </w:p>
          <w:p w14:paraId="3EA7AC8B" w14:textId="77777777" w:rsidR="00C80A0C" w:rsidRDefault="005E499E">
            <w:pPr>
              <w:numPr>
                <w:ilvl w:val="0"/>
                <w:numId w:val="26"/>
              </w:numPr>
              <w:spacing w:after="23" w:line="259" w:lineRule="auto"/>
              <w:ind w:firstLine="360"/>
            </w:pPr>
            <w:r>
              <w:rPr>
                <w:sz w:val="20"/>
              </w:rPr>
              <w:t>Have you identified and addressed barriers to access?</w:t>
            </w:r>
          </w:p>
          <w:p w14:paraId="419325B1" w14:textId="77777777" w:rsidR="00C80A0C" w:rsidRDefault="005E499E">
            <w:pPr>
              <w:spacing w:after="20" w:line="277" w:lineRule="auto"/>
              <w:ind w:left="720" w:right="266" w:firstLine="55"/>
            </w:pPr>
            <w:r>
              <w:rPr>
                <w:i/>
                <w:sz w:val="20"/>
              </w:rPr>
              <w:t>Example: Free transport vouchers and staff who speak languages other than English/ interpreter services for culturally, linguistically and/or faith diverse families. Score: ○○○○</w:t>
            </w:r>
          </w:p>
          <w:p w14:paraId="4519BEEF" w14:textId="77777777" w:rsidR="00C80A0C" w:rsidRDefault="005E499E">
            <w:pPr>
              <w:numPr>
                <w:ilvl w:val="0"/>
                <w:numId w:val="26"/>
              </w:numPr>
              <w:spacing w:after="23" w:line="259" w:lineRule="auto"/>
              <w:ind w:firstLine="360"/>
            </w:pPr>
            <w:r>
              <w:rPr>
                <w:sz w:val="20"/>
              </w:rPr>
              <w:t>Does your service apply proportionate and targeted universalism?</w:t>
            </w:r>
          </w:p>
          <w:p w14:paraId="07BEA32E" w14:textId="77777777" w:rsidR="00C80A0C" w:rsidRDefault="005E499E">
            <w:pPr>
              <w:spacing w:after="18" w:line="277" w:lineRule="auto"/>
              <w:ind w:left="776" w:right="1952" w:firstLine="0"/>
            </w:pPr>
            <w:r>
              <w:rPr>
                <w:i/>
                <w:sz w:val="20"/>
              </w:rPr>
              <w:t>Example: Universal programs with extra supports for families experiencing poverty. Score: ○○○○</w:t>
            </w:r>
          </w:p>
          <w:p w14:paraId="3786D2B6" w14:textId="77777777" w:rsidR="00C80A0C" w:rsidRDefault="005E499E">
            <w:pPr>
              <w:numPr>
                <w:ilvl w:val="0"/>
                <w:numId w:val="26"/>
              </w:numPr>
              <w:spacing w:after="23" w:line="259" w:lineRule="auto"/>
              <w:ind w:firstLine="360"/>
            </w:pPr>
            <w:r>
              <w:rPr>
                <w:sz w:val="20"/>
              </w:rPr>
              <w:t>Are delivery modes flexible?</w:t>
            </w:r>
          </w:p>
          <w:p w14:paraId="4A4E5008" w14:textId="77777777" w:rsidR="00C80A0C" w:rsidRDefault="005E499E">
            <w:pPr>
              <w:spacing w:after="15" w:line="279" w:lineRule="auto"/>
              <w:ind w:left="776" w:right="4519" w:firstLine="0"/>
              <w:jc w:val="both"/>
            </w:pPr>
            <w:r>
              <w:rPr>
                <w:i/>
                <w:sz w:val="20"/>
              </w:rPr>
              <w:t>Example: After hours group sessions and home visits. Score: ○○○○</w:t>
            </w:r>
          </w:p>
          <w:p w14:paraId="39611A6C" w14:textId="77777777" w:rsidR="00C80A0C" w:rsidRDefault="005E499E">
            <w:pPr>
              <w:numPr>
                <w:ilvl w:val="0"/>
                <w:numId w:val="26"/>
              </w:numPr>
              <w:spacing w:after="259" w:line="283" w:lineRule="auto"/>
              <w:ind w:firstLine="360"/>
            </w:pPr>
            <w:r>
              <w:rPr>
                <w:i/>
                <w:color w:val="000000"/>
                <w:sz w:val="20"/>
              </w:rPr>
              <w:t xml:space="preserve">Please provide evidence to support </w:t>
            </w:r>
            <w:r>
              <w:rPr>
                <w:b/>
                <w:sz w:val="20"/>
              </w:rPr>
              <w:t xml:space="preserve">Outcomes &amp; Impact </w:t>
            </w:r>
          </w:p>
          <w:p w14:paraId="5D3F8111" w14:textId="77777777" w:rsidR="00C80A0C" w:rsidRDefault="005E499E">
            <w:pPr>
              <w:numPr>
                <w:ilvl w:val="0"/>
                <w:numId w:val="27"/>
              </w:numPr>
              <w:spacing w:after="23" w:line="259" w:lineRule="auto"/>
              <w:ind w:hanging="360"/>
            </w:pPr>
            <w:r>
              <w:rPr>
                <w:sz w:val="20"/>
              </w:rPr>
              <w:t>Do you measure community informed outcomes?</w:t>
            </w:r>
          </w:p>
          <w:p w14:paraId="68474F3A" w14:textId="77777777" w:rsidR="00C80A0C" w:rsidRDefault="005E499E">
            <w:pPr>
              <w:spacing w:after="18" w:line="277" w:lineRule="auto"/>
              <w:ind w:left="776" w:right="2819" w:firstLine="0"/>
              <w:jc w:val="both"/>
            </w:pPr>
            <w:r>
              <w:rPr>
                <w:i/>
                <w:sz w:val="20"/>
              </w:rPr>
              <w:t>Example: Tracking wellbeing indicators aligned with national frameworks. Score: ○○○○</w:t>
            </w:r>
          </w:p>
          <w:p w14:paraId="12B74D0C" w14:textId="77777777" w:rsidR="00C80A0C" w:rsidRDefault="005E499E">
            <w:pPr>
              <w:numPr>
                <w:ilvl w:val="0"/>
                <w:numId w:val="27"/>
              </w:numPr>
              <w:spacing w:after="23" w:line="259" w:lineRule="auto"/>
              <w:ind w:hanging="360"/>
            </w:pPr>
            <w:r>
              <w:rPr>
                <w:sz w:val="20"/>
              </w:rPr>
              <w:t>Can you provide case studies or data showing impact?</w:t>
            </w:r>
          </w:p>
          <w:p w14:paraId="1D138B32" w14:textId="77777777" w:rsidR="00C80A0C" w:rsidRDefault="005E499E">
            <w:pPr>
              <w:spacing w:after="15" w:line="279" w:lineRule="auto"/>
              <w:ind w:left="776" w:right="3441" w:firstLine="0"/>
              <w:jc w:val="both"/>
            </w:pPr>
            <w:r>
              <w:rPr>
                <w:i/>
                <w:sz w:val="20"/>
              </w:rPr>
              <w:t>Example: Stories of families avoiding child protection involvement. Score: ○○○○</w:t>
            </w:r>
          </w:p>
          <w:p w14:paraId="11CFBBBB" w14:textId="77777777" w:rsidR="00C80A0C" w:rsidRDefault="005E499E">
            <w:pPr>
              <w:numPr>
                <w:ilvl w:val="0"/>
                <w:numId w:val="27"/>
              </w:numPr>
              <w:spacing w:after="23" w:line="259" w:lineRule="auto"/>
              <w:ind w:hanging="360"/>
            </w:pPr>
            <w:r>
              <w:rPr>
                <w:sz w:val="20"/>
              </w:rPr>
              <w:t>Are you using templates or tools to capture stories?</w:t>
            </w:r>
          </w:p>
          <w:p w14:paraId="6961C21C" w14:textId="77777777" w:rsidR="00C80A0C" w:rsidRDefault="005E499E">
            <w:pPr>
              <w:spacing w:after="18" w:line="277" w:lineRule="auto"/>
              <w:ind w:left="776" w:right="1951" w:firstLine="0"/>
            </w:pPr>
            <w:r>
              <w:rPr>
                <w:i/>
                <w:sz w:val="20"/>
              </w:rPr>
              <w:t>Example: Standardised case study templates highlighting cultural safety outcomes. Score: ○○○○</w:t>
            </w:r>
          </w:p>
          <w:p w14:paraId="66608975" w14:textId="77777777" w:rsidR="00C80A0C" w:rsidRDefault="005E499E">
            <w:pPr>
              <w:numPr>
                <w:ilvl w:val="0"/>
                <w:numId w:val="27"/>
              </w:numPr>
              <w:spacing w:after="289" w:line="259" w:lineRule="auto"/>
              <w:ind w:hanging="360"/>
            </w:pPr>
            <w:r>
              <w:rPr>
                <w:i/>
                <w:color w:val="000000"/>
                <w:sz w:val="20"/>
              </w:rPr>
              <w:t>Please provide evidence to support</w:t>
            </w:r>
          </w:p>
          <w:p w14:paraId="20862CD1" w14:textId="77777777" w:rsidR="00C80A0C" w:rsidRDefault="005E499E">
            <w:pPr>
              <w:spacing w:after="32" w:line="259" w:lineRule="auto"/>
              <w:ind w:left="0" w:firstLine="0"/>
              <w:jc w:val="center"/>
            </w:pPr>
            <w:r>
              <w:rPr>
                <w:sz w:val="20"/>
              </w:rPr>
              <w:t xml:space="preserve">Total Possible Score: 54 </w:t>
            </w:r>
          </w:p>
          <w:p w14:paraId="56720333" w14:textId="77777777" w:rsidR="00C80A0C" w:rsidRDefault="005E499E">
            <w:pPr>
              <w:spacing w:after="0" w:line="259" w:lineRule="auto"/>
              <w:ind w:left="67" w:firstLine="0"/>
              <w:jc w:val="both"/>
            </w:pPr>
            <w:r>
              <w:rPr>
                <w:sz w:val="20"/>
              </w:rPr>
              <w:t>Interpretation: 0 - 18 = Needs Development | 19 - 36 = Moderate Connection | 37 - 54 = Strong Community Connection</w:t>
            </w:r>
            <w:r>
              <w:rPr>
                <w:b/>
              </w:rPr>
              <w:t xml:space="preserve"> </w:t>
            </w:r>
          </w:p>
        </w:tc>
      </w:tr>
    </w:tbl>
    <w:p w14:paraId="45D39F1F" w14:textId="77777777" w:rsidR="005E499E" w:rsidRDefault="005E499E"/>
    <w:sectPr w:rsidR="00000000">
      <w:footerReference w:type="even" r:id="rId80"/>
      <w:footerReference w:type="default" r:id="rId81"/>
      <w:footerReference w:type="first" r:id="rId82"/>
      <w:pgSz w:w="11906" w:h="16838"/>
      <w:pgMar w:top="875" w:right="612" w:bottom="918" w:left="624"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C2C49" w14:textId="77777777" w:rsidR="005E499E" w:rsidRDefault="005E499E">
      <w:pPr>
        <w:spacing w:after="0" w:line="240" w:lineRule="auto"/>
      </w:pPr>
      <w:r>
        <w:separator/>
      </w:r>
    </w:p>
  </w:endnote>
  <w:endnote w:type="continuationSeparator" w:id="0">
    <w:p w14:paraId="29BFDE29" w14:textId="77777777" w:rsidR="005E499E" w:rsidRDefault="005E4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1BE75" w14:textId="77777777" w:rsidR="00C80A0C" w:rsidRDefault="005E499E">
    <w:pPr>
      <w:spacing w:after="0" w:line="259" w:lineRule="auto"/>
      <w:ind w:left="0" w:right="-11" w:firstLine="0"/>
      <w:jc w:val="right"/>
    </w:pP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D8D86" w14:textId="77777777" w:rsidR="00C80A0C" w:rsidRDefault="005E499E">
    <w:pPr>
      <w:spacing w:after="0" w:line="259" w:lineRule="auto"/>
      <w:ind w:left="17" w:firstLine="0"/>
    </w:pPr>
    <w:r>
      <w:rPr>
        <w:sz w:val="16"/>
      </w:rPr>
      <w:t xml:space="preserve">Discussion Paper Response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E9F3C" w14:textId="77777777" w:rsidR="00C80A0C" w:rsidRDefault="00C80A0C">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55747" w14:textId="77777777" w:rsidR="00C80A0C" w:rsidRDefault="005E499E">
    <w:pPr>
      <w:spacing w:after="0" w:line="259" w:lineRule="auto"/>
      <w:ind w:left="-624" w:right="11295" w:firstLine="0"/>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14:anchorId="30BAF7A5" wp14:editId="0FBB4A37">
              <wp:simplePos x="0" y="0"/>
              <wp:positionH relativeFrom="page">
                <wp:posOffset>0</wp:posOffset>
              </wp:positionH>
              <wp:positionV relativeFrom="page">
                <wp:posOffset>10170160</wp:posOffset>
              </wp:positionV>
              <wp:extent cx="7559675" cy="521969"/>
              <wp:effectExtent l="0" t="0" r="0" b="0"/>
              <wp:wrapSquare wrapText="bothSides"/>
              <wp:docPr id="55128" name="Group 55128"/>
              <wp:cNvGraphicFramePr/>
              <a:graphic xmlns:a="http://schemas.openxmlformats.org/drawingml/2006/main">
                <a:graphicData uri="http://schemas.microsoft.com/office/word/2010/wordprocessingGroup">
                  <wpg:wgp>
                    <wpg:cNvGrpSpPr/>
                    <wpg:grpSpPr>
                      <a:xfrm>
                        <a:off x="0" y="0"/>
                        <a:ext cx="7559675" cy="521969"/>
                        <a:chOff x="0" y="0"/>
                        <a:chExt cx="7559675" cy="521969"/>
                      </a:xfrm>
                    </wpg:grpSpPr>
                    <wps:wsp>
                      <wps:cNvPr id="55129" name="Shape 55129"/>
                      <wps:cNvSpPr/>
                      <wps:spPr>
                        <a:xfrm>
                          <a:off x="0" y="0"/>
                          <a:ext cx="7559675" cy="521969"/>
                        </a:xfrm>
                        <a:custGeom>
                          <a:avLst/>
                          <a:gdLst/>
                          <a:ahLst/>
                          <a:cxnLst/>
                          <a:rect l="0" t="0" r="0" b="0"/>
                          <a:pathLst>
                            <a:path w="7559675" h="521969">
                              <a:moveTo>
                                <a:pt x="254102" y="0"/>
                              </a:moveTo>
                              <a:lnTo>
                                <a:pt x="7305548" y="0"/>
                              </a:lnTo>
                              <a:cubicBezTo>
                                <a:pt x="7445883" y="0"/>
                                <a:pt x="7559675" y="113995"/>
                                <a:pt x="7559675" y="254622"/>
                              </a:cubicBezTo>
                              <a:lnTo>
                                <a:pt x="7559675" y="521969"/>
                              </a:lnTo>
                              <a:lnTo>
                                <a:pt x="0" y="521969"/>
                              </a:lnTo>
                              <a:lnTo>
                                <a:pt x="0" y="254622"/>
                              </a:lnTo>
                              <a:cubicBezTo>
                                <a:pt x="0" y="113995"/>
                                <a:pt x="113767" y="0"/>
                                <a:pt x="254102" y="0"/>
                              </a:cubicBezTo>
                              <a:close/>
                            </a:path>
                          </a:pathLst>
                        </a:custGeom>
                        <a:ln w="0" cap="flat">
                          <a:miter lim="127000"/>
                        </a:ln>
                      </wps:spPr>
                      <wps:style>
                        <a:lnRef idx="0">
                          <a:srgbClr val="000000">
                            <a:alpha val="0"/>
                          </a:srgbClr>
                        </a:lnRef>
                        <a:fillRef idx="1">
                          <a:srgbClr val="F2E9D2"/>
                        </a:fillRef>
                        <a:effectRef idx="0">
                          <a:scrgbClr r="0" g="0" b="0"/>
                        </a:effectRef>
                        <a:fontRef idx="none"/>
                      </wps:style>
                      <wps:bodyPr/>
                    </wps:wsp>
                    <wps:wsp>
                      <wps:cNvPr id="55130" name="Shape 55130"/>
                      <wps:cNvSpPr/>
                      <wps:spPr>
                        <a:xfrm>
                          <a:off x="0" y="0"/>
                          <a:ext cx="7557135" cy="521969"/>
                        </a:xfrm>
                        <a:custGeom>
                          <a:avLst/>
                          <a:gdLst/>
                          <a:ahLst/>
                          <a:cxnLst/>
                          <a:rect l="0" t="0" r="0" b="0"/>
                          <a:pathLst>
                            <a:path w="7557135" h="521969">
                              <a:moveTo>
                                <a:pt x="251574" y="0"/>
                              </a:moveTo>
                              <a:lnTo>
                                <a:pt x="7303008" y="0"/>
                              </a:lnTo>
                              <a:cubicBezTo>
                                <a:pt x="7443344" y="0"/>
                                <a:pt x="7557135" y="113995"/>
                                <a:pt x="7557135" y="254622"/>
                              </a:cubicBezTo>
                              <a:lnTo>
                                <a:pt x="7557135" y="521969"/>
                              </a:lnTo>
                              <a:lnTo>
                                <a:pt x="0" y="521969"/>
                              </a:lnTo>
                              <a:lnTo>
                                <a:pt x="0" y="229384"/>
                              </a:lnTo>
                              <a:lnTo>
                                <a:pt x="2624" y="203306"/>
                              </a:lnTo>
                              <a:cubicBezTo>
                                <a:pt x="26318" y="87278"/>
                                <a:pt x="128771" y="0"/>
                                <a:pt x="251574" y="0"/>
                              </a:cubicBezTo>
                              <a:close/>
                            </a:path>
                          </a:pathLst>
                        </a:custGeom>
                        <a:ln w="0" cap="flat">
                          <a:miter lim="127000"/>
                        </a:ln>
                      </wps:spPr>
                      <wps:style>
                        <a:lnRef idx="0">
                          <a:srgbClr val="000000">
                            <a:alpha val="0"/>
                          </a:srgbClr>
                        </a:lnRef>
                        <a:fillRef idx="1">
                          <a:srgbClr val="F2E9D2"/>
                        </a:fillRef>
                        <a:effectRef idx="0">
                          <a:scrgbClr r="0" g="0" b="0"/>
                        </a:effectRef>
                        <a:fontRef idx="none"/>
                      </wps:style>
                      <wps:bodyPr/>
                    </wps:wsp>
                    <wps:wsp>
                      <wps:cNvPr id="55131" name="Rectangle 55131"/>
                      <wps:cNvSpPr/>
                      <wps:spPr>
                        <a:xfrm>
                          <a:off x="396240" y="36406"/>
                          <a:ext cx="37753" cy="127647"/>
                        </a:xfrm>
                        <a:prstGeom prst="rect">
                          <a:avLst/>
                        </a:prstGeom>
                        <a:ln>
                          <a:noFill/>
                        </a:ln>
                      </wps:spPr>
                      <wps:txbx>
                        <w:txbxContent>
                          <w:p w14:paraId="33A0BBF2" w14:textId="77777777" w:rsidR="00C80A0C" w:rsidRDefault="005E499E">
                            <w:pPr>
                              <w:spacing w:after="160" w:line="259" w:lineRule="auto"/>
                              <w:ind w:left="0" w:firstLine="0"/>
                            </w:pPr>
                            <w:r>
                              <w:rPr>
                                <w:sz w:val="16"/>
                              </w:rPr>
                              <w:t xml:space="preserve"> </w:t>
                            </w:r>
                          </w:p>
                        </w:txbxContent>
                      </wps:txbx>
                      <wps:bodyPr horzOverflow="overflow" vert="horz" lIns="0" tIns="0" rIns="0" bIns="0" rtlCol="0">
                        <a:noAutofit/>
                      </wps:bodyPr>
                    </wps:wsp>
                    <wps:wsp>
                      <wps:cNvPr id="55132" name="Rectangle 55132"/>
                      <wps:cNvSpPr/>
                      <wps:spPr>
                        <a:xfrm>
                          <a:off x="396240" y="229954"/>
                          <a:ext cx="1697546" cy="127647"/>
                        </a:xfrm>
                        <a:prstGeom prst="rect">
                          <a:avLst/>
                        </a:prstGeom>
                        <a:ln>
                          <a:noFill/>
                        </a:ln>
                      </wps:spPr>
                      <wps:txbx>
                        <w:txbxContent>
                          <w:p w14:paraId="7F6B8FF4" w14:textId="77777777" w:rsidR="00C80A0C" w:rsidRDefault="005E499E">
                            <w:pPr>
                              <w:spacing w:after="160" w:line="259" w:lineRule="auto"/>
                              <w:ind w:left="0" w:firstLine="0"/>
                            </w:pPr>
                            <w:r>
                              <w:rPr>
                                <w:sz w:val="16"/>
                              </w:rPr>
                              <w:t>Discussion Paper Response</w:t>
                            </w:r>
                          </w:p>
                        </w:txbxContent>
                      </wps:txbx>
                      <wps:bodyPr horzOverflow="overflow" vert="horz" lIns="0" tIns="0" rIns="0" bIns="0" rtlCol="0">
                        <a:noAutofit/>
                      </wps:bodyPr>
                    </wps:wsp>
                    <wps:wsp>
                      <wps:cNvPr id="55133" name="Rectangle 55133"/>
                      <wps:cNvSpPr/>
                      <wps:spPr>
                        <a:xfrm>
                          <a:off x="1673606" y="229954"/>
                          <a:ext cx="37753" cy="127647"/>
                        </a:xfrm>
                        <a:prstGeom prst="rect">
                          <a:avLst/>
                        </a:prstGeom>
                        <a:ln>
                          <a:noFill/>
                        </a:ln>
                      </wps:spPr>
                      <wps:txbx>
                        <w:txbxContent>
                          <w:p w14:paraId="7B9212DA" w14:textId="77777777" w:rsidR="00C80A0C" w:rsidRDefault="005E499E">
                            <w:pPr>
                              <w:spacing w:after="160" w:line="259" w:lineRule="auto"/>
                              <w:ind w:left="0" w:firstLine="0"/>
                            </w:pPr>
                            <w:r>
                              <w:rPr>
                                <w:sz w:val="16"/>
                              </w:rPr>
                              <w:t xml:space="preserve"> </w:t>
                            </w:r>
                          </w:p>
                        </w:txbxContent>
                      </wps:txbx>
                      <wps:bodyPr horzOverflow="overflow" vert="horz" lIns="0" tIns="0" rIns="0" bIns="0" rtlCol="0">
                        <a:noAutofit/>
                      </wps:bodyPr>
                    </wps:wsp>
                    <wps:wsp>
                      <wps:cNvPr id="55134" name="Rectangle 55134"/>
                      <wps:cNvSpPr/>
                      <wps:spPr>
                        <a:xfrm>
                          <a:off x="1701038" y="229954"/>
                          <a:ext cx="37753" cy="127647"/>
                        </a:xfrm>
                        <a:prstGeom prst="rect">
                          <a:avLst/>
                        </a:prstGeom>
                        <a:ln>
                          <a:noFill/>
                        </a:ln>
                      </wps:spPr>
                      <wps:txbx>
                        <w:txbxContent>
                          <w:p w14:paraId="0C20C677" w14:textId="77777777" w:rsidR="00C80A0C" w:rsidRDefault="005E499E">
                            <w:pPr>
                              <w:spacing w:after="160" w:line="259" w:lineRule="auto"/>
                              <w:ind w:left="0" w:firstLine="0"/>
                            </w:pPr>
                            <w:r>
                              <w:rPr>
                                <w:sz w:val="16"/>
                              </w:rPr>
                              <w:t xml:space="preserve"> </w:t>
                            </w:r>
                          </w:p>
                        </w:txbxContent>
                      </wps:txbx>
                      <wps:bodyPr horzOverflow="overflow" vert="horz" lIns="0" tIns="0" rIns="0" bIns="0" rtlCol="0">
                        <a:noAutofit/>
                      </wps:bodyPr>
                    </wps:wsp>
                    <wps:wsp>
                      <wps:cNvPr id="55135" name="Rectangle 55135"/>
                      <wps:cNvSpPr/>
                      <wps:spPr>
                        <a:xfrm>
                          <a:off x="7109460" y="229954"/>
                          <a:ext cx="75506" cy="127647"/>
                        </a:xfrm>
                        <a:prstGeom prst="rect">
                          <a:avLst/>
                        </a:prstGeom>
                        <a:ln>
                          <a:noFill/>
                        </a:ln>
                      </wps:spPr>
                      <wps:txbx>
                        <w:txbxContent>
                          <w:p w14:paraId="6ECBF5C3" w14:textId="77777777" w:rsidR="00C80A0C" w:rsidRDefault="005E499E">
                            <w:pPr>
                              <w:spacing w:after="160" w:line="259" w:lineRule="auto"/>
                              <w:ind w:left="0" w:firstLine="0"/>
                            </w:pPr>
                            <w:r>
                              <w:fldChar w:fldCharType="begin"/>
                            </w:r>
                            <w:r>
                              <w:instrText xml:space="preserve"> PAGE   \* MERGEFORMAT </w:instrText>
                            </w:r>
                            <w:r>
                              <w:fldChar w:fldCharType="separate"/>
                            </w:r>
                            <w:r>
                              <w:rPr>
                                <w:sz w:val="16"/>
                              </w:rPr>
                              <w:t>4</w:t>
                            </w:r>
                            <w:r>
                              <w:rPr>
                                <w:sz w:val="16"/>
                              </w:rPr>
                              <w:fldChar w:fldCharType="end"/>
                            </w:r>
                          </w:p>
                        </w:txbxContent>
                      </wps:txbx>
                      <wps:bodyPr horzOverflow="overflow" vert="horz" lIns="0" tIns="0" rIns="0" bIns="0" rtlCol="0">
                        <a:noAutofit/>
                      </wps:bodyPr>
                    </wps:wsp>
                    <wps:wsp>
                      <wps:cNvPr id="55136" name="Rectangle 55136"/>
                      <wps:cNvSpPr/>
                      <wps:spPr>
                        <a:xfrm>
                          <a:off x="7165848" y="229954"/>
                          <a:ext cx="37753" cy="127647"/>
                        </a:xfrm>
                        <a:prstGeom prst="rect">
                          <a:avLst/>
                        </a:prstGeom>
                        <a:ln>
                          <a:noFill/>
                        </a:ln>
                      </wps:spPr>
                      <wps:txbx>
                        <w:txbxContent>
                          <w:p w14:paraId="16929B34" w14:textId="77777777" w:rsidR="00C80A0C" w:rsidRDefault="005E499E">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5128" style="width:595.25pt;height:41.0999pt;position:absolute;mso-position-horizontal-relative:page;mso-position-horizontal:absolute;margin-left:0pt;mso-position-vertical-relative:page;margin-top:800.8pt;" coordsize="75596,5219">
              <v:shape id="Shape 55129" style="position:absolute;width:75596;height:5219;left:0;top:0;" coordsize="7559675,521969" path="m254102,0l7305548,0c7445883,0,7559675,113995,7559675,254622l7559675,521969l0,521969l0,254622c0,113995,113767,0,254102,0x">
                <v:stroke weight="0pt" endcap="flat" joinstyle="miter" miterlimit="10" on="false" color="#000000" opacity="0"/>
                <v:fill on="true" color="#f2e9d2"/>
              </v:shape>
              <v:shape id="Shape 55130" style="position:absolute;width:75571;height:5219;left:0;top:0;" coordsize="7557135,521969" path="m251574,0l7303008,0c7443344,0,7557135,113995,7557135,254622l7557135,521969l0,521969l0,229384l2624,203306c26318,87278,128771,0,251574,0x">
                <v:stroke weight="0pt" endcap="flat" joinstyle="miter" miterlimit="10" on="false" color="#000000" opacity="0"/>
                <v:fill on="true" color="#f2e9d2"/>
              </v:shape>
              <v:rect id="Rectangle 55131" style="position:absolute;width:377;height:1276;left:3962;top:364;" filled="f" stroked="f">
                <v:textbox inset="0,0,0,0">
                  <w:txbxContent>
                    <w:p>
                      <w:pPr>
                        <w:spacing w:before="0" w:after="160" w:line="259" w:lineRule="auto"/>
                        <w:ind w:left="0" w:firstLine="0"/>
                      </w:pPr>
                      <w:r>
                        <w:rPr>
                          <w:sz w:val="16"/>
                        </w:rPr>
                        <w:t xml:space="preserve"> </w:t>
                      </w:r>
                    </w:p>
                  </w:txbxContent>
                </v:textbox>
              </v:rect>
              <v:rect id="Rectangle 55132" style="position:absolute;width:16975;height:1276;left:3962;top:2299;" filled="f" stroked="f">
                <v:textbox inset="0,0,0,0">
                  <w:txbxContent>
                    <w:p>
                      <w:pPr>
                        <w:spacing w:before="0" w:after="160" w:line="259" w:lineRule="auto"/>
                        <w:ind w:left="0" w:firstLine="0"/>
                      </w:pPr>
                      <w:r>
                        <w:rPr>
                          <w:sz w:val="16"/>
                        </w:rPr>
                        <w:t xml:space="preserve">Discussion Paper Response</w:t>
                      </w:r>
                    </w:p>
                  </w:txbxContent>
                </v:textbox>
              </v:rect>
              <v:rect id="Rectangle 55133" style="position:absolute;width:377;height:1276;left:16736;top:2299;" filled="f" stroked="f">
                <v:textbox inset="0,0,0,0">
                  <w:txbxContent>
                    <w:p>
                      <w:pPr>
                        <w:spacing w:before="0" w:after="160" w:line="259" w:lineRule="auto"/>
                        <w:ind w:left="0" w:firstLine="0"/>
                      </w:pPr>
                      <w:r>
                        <w:rPr>
                          <w:sz w:val="16"/>
                        </w:rPr>
                        <w:t xml:space="preserve"> </w:t>
                      </w:r>
                    </w:p>
                  </w:txbxContent>
                </v:textbox>
              </v:rect>
              <v:rect id="Rectangle 55134" style="position:absolute;width:377;height:1276;left:17010;top:2299;" filled="f" stroked="f">
                <v:textbox inset="0,0,0,0">
                  <w:txbxContent>
                    <w:p>
                      <w:pPr>
                        <w:spacing w:before="0" w:after="160" w:line="259" w:lineRule="auto"/>
                        <w:ind w:left="0" w:firstLine="0"/>
                      </w:pPr>
                      <w:r>
                        <w:rPr>
                          <w:sz w:val="16"/>
                        </w:rPr>
                        <w:t xml:space="preserve"> </w:t>
                      </w:r>
                    </w:p>
                  </w:txbxContent>
                </v:textbox>
              </v:rect>
              <v:rect id="Rectangle 55135" style="position:absolute;width:755;height:1276;left:71094;top:2299;" filled="f" stroked="f">
                <v:textbox inset="0,0,0,0">
                  <w:txbxContent>
                    <w:p>
                      <w:pPr>
                        <w:spacing w:before="0" w:after="160" w:line="259" w:lineRule="auto"/>
                        <w:ind w:left="0" w:firstLine="0"/>
                      </w:pPr>
                      <w:fldSimple w:instr=" PAGE   \* MERGEFORMAT ">
                        <w:r>
                          <w:rPr>
                            <w:sz w:val="16"/>
                          </w:rPr>
                          <w:t xml:space="preserve">4</w:t>
                        </w:r>
                      </w:fldSimple>
                    </w:p>
                  </w:txbxContent>
                </v:textbox>
              </v:rect>
              <v:rect id="Rectangle 55136" style="position:absolute;width:377;height:1276;left:71658;top:2299;" filled="f" stroked="f">
                <v:textbox inset="0,0,0,0">
                  <w:txbxContent>
                    <w:p>
                      <w:pPr>
                        <w:spacing w:before="0" w:after="160" w:line="259" w:lineRule="auto"/>
                        <w:ind w:left="0" w:firstLine="0"/>
                      </w:pPr>
                      <w:r>
                        <w:rPr>
                          <w:sz w:val="16"/>
                        </w:rPr>
                        <w:t xml:space="preserve"> </w:t>
                      </w:r>
                    </w:p>
                  </w:txbxContent>
                </v:textbox>
              </v:rect>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9A0EE" w14:textId="77777777" w:rsidR="00C80A0C" w:rsidRDefault="005E499E">
    <w:pPr>
      <w:spacing w:after="0" w:line="259" w:lineRule="auto"/>
      <w:ind w:left="-624" w:right="11295" w:firstLine="0"/>
    </w:pP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1F1AC838" wp14:editId="617FD493">
              <wp:simplePos x="0" y="0"/>
              <wp:positionH relativeFrom="page">
                <wp:posOffset>0</wp:posOffset>
              </wp:positionH>
              <wp:positionV relativeFrom="page">
                <wp:posOffset>10170160</wp:posOffset>
              </wp:positionV>
              <wp:extent cx="7559675" cy="521969"/>
              <wp:effectExtent l="0" t="0" r="0" b="0"/>
              <wp:wrapSquare wrapText="bothSides"/>
              <wp:docPr id="55115" name="Group 55115"/>
              <wp:cNvGraphicFramePr/>
              <a:graphic xmlns:a="http://schemas.openxmlformats.org/drawingml/2006/main">
                <a:graphicData uri="http://schemas.microsoft.com/office/word/2010/wordprocessingGroup">
                  <wpg:wgp>
                    <wpg:cNvGrpSpPr/>
                    <wpg:grpSpPr>
                      <a:xfrm>
                        <a:off x="0" y="0"/>
                        <a:ext cx="7559675" cy="521969"/>
                        <a:chOff x="0" y="0"/>
                        <a:chExt cx="7559675" cy="521969"/>
                      </a:xfrm>
                    </wpg:grpSpPr>
                    <wps:wsp>
                      <wps:cNvPr id="55116" name="Shape 55116"/>
                      <wps:cNvSpPr/>
                      <wps:spPr>
                        <a:xfrm>
                          <a:off x="0" y="0"/>
                          <a:ext cx="7559675" cy="521969"/>
                        </a:xfrm>
                        <a:custGeom>
                          <a:avLst/>
                          <a:gdLst/>
                          <a:ahLst/>
                          <a:cxnLst/>
                          <a:rect l="0" t="0" r="0" b="0"/>
                          <a:pathLst>
                            <a:path w="7559675" h="521969">
                              <a:moveTo>
                                <a:pt x="254102" y="0"/>
                              </a:moveTo>
                              <a:lnTo>
                                <a:pt x="7305548" y="0"/>
                              </a:lnTo>
                              <a:cubicBezTo>
                                <a:pt x="7445883" y="0"/>
                                <a:pt x="7559675" y="113995"/>
                                <a:pt x="7559675" y="254622"/>
                              </a:cubicBezTo>
                              <a:lnTo>
                                <a:pt x="7559675" y="521969"/>
                              </a:lnTo>
                              <a:lnTo>
                                <a:pt x="0" y="521969"/>
                              </a:lnTo>
                              <a:lnTo>
                                <a:pt x="0" y="254622"/>
                              </a:lnTo>
                              <a:cubicBezTo>
                                <a:pt x="0" y="113995"/>
                                <a:pt x="113767" y="0"/>
                                <a:pt x="254102" y="0"/>
                              </a:cubicBezTo>
                              <a:close/>
                            </a:path>
                          </a:pathLst>
                        </a:custGeom>
                        <a:ln w="0" cap="flat">
                          <a:miter lim="127000"/>
                        </a:ln>
                      </wps:spPr>
                      <wps:style>
                        <a:lnRef idx="0">
                          <a:srgbClr val="000000">
                            <a:alpha val="0"/>
                          </a:srgbClr>
                        </a:lnRef>
                        <a:fillRef idx="1">
                          <a:srgbClr val="F2E9D2"/>
                        </a:fillRef>
                        <a:effectRef idx="0">
                          <a:scrgbClr r="0" g="0" b="0"/>
                        </a:effectRef>
                        <a:fontRef idx="none"/>
                      </wps:style>
                      <wps:bodyPr/>
                    </wps:wsp>
                    <wps:wsp>
                      <wps:cNvPr id="55117" name="Shape 55117"/>
                      <wps:cNvSpPr/>
                      <wps:spPr>
                        <a:xfrm>
                          <a:off x="0" y="0"/>
                          <a:ext cx="7557135" cy="521969"/>
                        </a:xfrm>
                        <a:custGeom>
                          <a:avLst/>
                          <a:gdLst/>
                          <a:ahLst/>
                          <a:cxnLst/>
                          <a:rect l="0" t="0" r="0" b="0"/>
                          <a:pathLst>
                            <a:path w="7557135" h="521969">
                              <a:moveTo>
                                <a:pt x="251574" y="0"/>
                              </a:moveTo>
                              <a:lnTo>
                                <a:pt x="7303008" y="0"/>
                              </a:lnTo>
                              <a:cubicBezTo>
                                <a:pt x="7443344" y="0"/>
                                <a:pt x="7557135" y="113995"/>
                                <a:pt x="7557135" y="254622"/>
                              </a:cubicBezTo>
                              <a:lnTo>
                                <a:pt x="7557135" y="521969"/>
                              </a:lnTo>
                              <a:lnTo>
                                <a:pt x="0" y="521969"/>
                              </a:lnTo>
                              <a:lnTo>
                                <a:pt x="0" y="229384"/>
                              </a:lnTo>
                              <a:lnTo>
                                <a:pt x="2624" y="203306"/>
                              </a:lnTo>
                              <a:cubicBezTo>
                                <a:pt x="26318" y="87278"/>
                                <a:pt x="128771" y="0"/>
                                <a:pt x="251574" y="0"/>
                              </a:cubicBezTo>
                              <a:close/>
                            </a:path>
                          </a:pathLst>
                        </a:custGeom>
                        <a:ln w="0" cap="flat">
                          <a:miter lim="127000"/>
                        </a:ln>
                      </wps:spPr>
                      <wps:style>
                        <a:lnRef idx="0">
                          <a:srgbClr val="000000">
                            <a:alpha val="0"/>
                          </a:srgbClr>
                        </a:lnRef>
                        <a:fillRef idx="1">
                          <a:srgbClr val="F2E9D2"/>
                        </a:fillRef>
                        <a:effectRef idx="0">
                          <a:scrgbClr r="0" g="0" b="0"/>
                        </a:effectRef>
                        <a:fontRef idx="none"/>
                      </wps:style>
                      <wps:bodyPr/>
                    </wps:wsp>
                    <wps:wsp>
                      <wps:cNvPr id="55118" name="Rectangle 55118"/>
                      <wps:cNvSpPr/>
                      <wps:spPr>
                        <a:xfrm>
                          <a:off x="396240" y="36406"/>
                          <a:ext cx="37753" cy="127647"/>
                        </a:xfrm>
                        <a:prstGeom prst="rect">
                          <a:avLst/>
                        </a:prstGeom>
                        <a:ln>
                          <a:noFill/>
                        </a:ln>
                      </wps:spPr>
                      <wps:txbx>
                        <w:txbxContent>
                          <w:p w14:paraId="178BF829" w14:textId="77777777" w:rsidR="00C80A0C" w:rsidRDefault="005E499E">
                            <w:pPr>
                              <w:spacing w:after="160" w:line="259" w:lineRule="auto"/>
                              <w:ind w:left="0" w:firstLine="0"/>
                            </w:pPr>
                            <w:r>
                              <w:rPr>
                                <w:sz w:val="16"/>
                              </w:rPr>
                              <w:t xml:space="preserve"> </w:t>
                            </w:r>
                          </w:p>
                        </w:txbxContent>
                      </wps:txbx>
                      <wps:bodyPr horzOverflow="overflow" vert="horz" lIns="0" tIns="0" rIns="0" bIns="0" rtlCol="0">
                        <a:noAutofit/>
                      </wps:bodyPr>
                    </wps:wsp>
                    <wps:wsp>
                      <wps:cNvPr id="55119" name="Rectangle 55119"/>
                      <wps:cNvSpPr/>
                      <wps:spPr>
                        <a:xfrm>
                          <a:off x="396240" y="229954"/>
                          <a:ext cx="1697546" cy="127647"/>
                        </a:xfrm>
                        <a:prstGeom prst="rect">
                          <a:avLst/>
                        </a:prstGeom>
                        <a:ln>
                          <a:noFill/>
                        </a:ln>
                      </wps:spPr>
                      <wps:txbx>
                        <w:txbxContent>
                          <w:p w14:paraId="16CDAC06" w14:textId="77777777" w:rsidR="00C80A0C" w:rsidRDefault="005E499E">
                            <w:pPr>
                              <w:spacing w:after="160" w:line="259" w:lineRule="auto"/>
                              <w:ind w:left="0" w:firstLine="0"/>
                            </w:pPr>
                            <w:r>
                              <w:rPr>
                                <w:sz w:val="16"/>
                              </w:rPr>
                              <w:t>Discussion Paper Response</w:t>
                            </w:r>
                          </w:p>
                        </w:txbxContent>
                      </wps:txbx>
                      <wps:bodyPr horzOverflow="overflow" vert="horz" lIns="0" tIns="0" rIns="0" bIns="0" rtlCol="0">
                        <a:noAutofit/>
                      </wps:bodyPr>
                    </wps:wsp>
                    <wps:wsp>
                      <wps:cNvPr id="55120" name="Rectangle 55120"/>
                      <wps:cNvSpPr/>
                      <wps:spPr>
                        <a:xfrm>
                          <a:off x="1673606" y="229954"/>
                          <a:ext cx="37753" cy="127647"/>
                        </a:xfrm>
                        <a:prstGeom prst="rect">
                          <a:avLst/>
                        </a:prstGeom>
                        <a:ln>
                          <a:noFill/>
                        </a:ln>
                      </wps:spPr>
                      <wps:txbx>
                        <w:txbxContent>
                          <w:p w14:paraId="0A0D7FA2" w14:textId="77777777" w:rsidR="00C80A0C" w:rsidRDefault="005E499E">
                            <w:pPr>
                              <w:spacing w:after="160" w:line="259" w:lineRule="auto"/>
                              <w:ind w:left="0" w:firstLine="0"/>
                            </w:pPr>
                            <w:r>
                              <w:rPr>
                                <w:sz w:val="16"/>
                              </w:rPr>
                              <w:t xml:space="preserve"> </w:t>
                            </w:r>
                          </w:p>
                        </w:txbxContent>
                      </wps:txbx>
                      <wps:bodyPr horzOverflow="overflow" vert="horz" lIns="0" tIns="0" rIns="0" bIns="0" rtlCol="0">
                        <a:noAutofit/>
                      </wps:bodyPr>
                    </wps:wsp>
                    <wps:wsp>
                      <wps:cNvPr id="55121" name="Rectangle 55121"/>
                      <wps:cNvSpPr/>
                      <wps:spPr>
                        <a:xfrm>
                          <a:off x="1701038" y="229954"/>
                          <a:ext cx="37753" cy="127647"/>
                        </a:xfrm>
                        <a:prstGeom prst="rect">
                          <a:avLst/>
                        </a:prstGeom>
                        <a:ln>
                          <a:noFill/>
                        </a:ln>
                      </wps:spPr>
                      <wps:txbx>
                        <w:txbxContent>
                          <w:p w14:paraId="130559E9" w14:textId="77777777" w:rsidR="00C80A0C" w:rsidRDefault="005E499E">
                            <w:pPr>
                              <w:spacing w:after="160" w:line="259" w:lineRule="auto"/>
                              <w:ind w:left="0" w:firstLine="0"/>
                            </w:pPr>
                            <w:r>
                              <w:rPr>
                                <w:sz w:val="16"/>
                              </w:rPr>
                              <w:t xml:space="preserve"> </w:t>
                            </w:r>
                          </w:p>
                        </w:txbxContent>
                      </wps:txbx>
                      <wps:bodyPr horzOverflow="overflow" vert="horz" lIns="0" tIns="0" rIns="0" bIns="0" rtlCol="0">
                        <a:noAutofit/>
                      </wps:bodyPr>
                    </wps:wsp>
                    <wps:wsp>
                      <wps:cNvPr id="55122" name="Rectangle 55122"/>
                      <wps:cNvSpPr/>
                      <wps:spPr>
                        <a:xfrm>
                          <a:off x="7109460" y="229954"/>
                          <a:ext cx="75506" cy="127647"/>
                        </a:xfrm>
                        <a:prstGeom prst="rect">
                          <a:avLst/>
                        </a:prstGeom>
                        <a:ln>
                          <a:noFill/>
                        </a:ln>
                      </wps:spPr>
                      <wps:txbx>
                        <w:txbxContent>
                          <w:p w14:paraId="5979D2BD" w14:textId="77777777" w:rsidR="00C80A0C" w:rsidRDefault="005E499E">
                            <w:pPr>
                              <w:spacing w:after="160" w:line="259" w:lineRule="auto"/>
                              <w:ind w:left="0" w:firstLine="0"/>
                            </w:pPr>
                            <w:r>
                              <w:fldChar w:fldCharType="begin"/>
                            </w:r>
                            <w:r>
                              <w:instrText xml:space="preserve"> PAGE   \* MERGEFORMAT </w:instrText>
                            </w:r>
                            <w:r>
                              <w:fldChar w:fldCharType="separate"/>
                            </w:r>
                            <w:r>
                              <w:rPr>
                                <w:sz w:val="16"/>
                              </w:rPr>
                              <w:t>4</w:t>
                            </w:r>
                            <w:r>
                              <w:rPr>
                                <w:sz w:val="16"/>
                              </w:rPr>
                              <w:fldChar w:fldCharType="end"/>
                            </w:r>
                          </w:p>
                        </w:txbxContent>
                      </wps:txbx>
                      <wps:bodyPr horzOverflow="overflow" vert="horz" lIns="0" tIns="0" rIns="0" bIns="0" rtlCol="0">
                        <a:noAutofit/>
                      </wps:bodyPr>
                    </wps:wsp>
                    <wps:wsp>
                      <wps:cNvPr id="55123" name="Rectangle 55123"/>
                      <wps:cNvSpPr/>
                      <wps:spPr>
                        <a:xfrm>
                          <a:off x="7165848" y="229954"/>
                          <a:ext cx="37753" cy="127647"/>
                        </a:xfrm>
                        <a:prstGeom prst="rect">
                          <a:avLst/>
                        </a:prstGeom>
                        <a:ln>
                          <a:noFill/>
                        </a:ln>
                      </wps:spPr>
                      <wps:txbx>
                        <w:txbxContent>
                          <w:p w14:paraId="74EDD6ED" w14:textId="77777777" w:rsidR="00C80A0C" w:rsidRDefault="005E499E">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5115" style="width:595.25pt;height:41.0999pt;position:absolute;mso-position-horizontal-relative:page;mso-position-horizontal:absolute;margin-left:0pt;mso-position-vertical-relative:page;margin-top:800.8pt;" coordsize="75596,5219">
              <v:shape id="Shape 55116" style="position:absolute;width:75596;height:5219;left:0;top:0;" coordsize="7559675,521969" path="m254102,0l7305548,0c7445883,0,7559675,113995,7559675,254622l7559675,521969l0,521969l0,254622c0,113995,113767,0,254102,0x">
                <v:stroke weight="0pt" endcap="flat" joinstyle="miter" miterlimit="10" on="false" color="#000000" opacity="0"/>
                <v:fill on="true" color="#f2e9d2"/>
              </v:shape>
              <v:shape id="Shape 55117" style="position:absolute;width:75571;height:5219;left:0;top:0;" coordsize="7557135,521969" path="m251574,0l7303008,0c7443344,0,7557135,113995,7557135,254622l7557135,521969l0,521969l0,229384l2624,203306c26318,87278,128771,0,251574,0x">
                <v:stroke weight="0pt" endcap="flat" joinstyle="miter" miterlimit="10" on="false" color="#000000" opacity="0"/>
                <v:fill on="true" color="#f2e9d2"/>
              </v:shape>
              <v:rect id="Rectangle 55118" style="position:absolute;width:377;height:1276;left:3962;top:364;" filled="f" stroked="f">
                <v:textbox inset="0,0,0,0">
                  <w:txbxContent>
                    <w:p>
                      <w:pPr>
                        <w:spacing w:before="0" w:after="160" w:line="259" w:lineRule="auto"/>
                        <w:ind w:left="0" w:firstLine="0"/>
                      </w:pPr>
                      <w:r>
                        <w:rPr>
                          <w:sz w:val="16"/>
                        </w:rPr>
                        <w:t xml:space="preserve"> </w:t>
                      </w:r>
                    </w:p>
                  </w:txbxContent>
                </v:textbox>
              </v:rect>
              <v:rect id="Rectangle 55119" style="position:absolute;width:16975;height:1276;left:3962;top:2299;" filled="f" stroked="f">
                <v:textbox inset="0,0,0,0">
                  <w:txbxContent>
                    <w:p>
                      <w:pPr>
                        <w:spacing w:before="0" w:after="160" w:line="259" w:lineRule="auto"/>
                        <w:ind w:left="0" w:firstLine="0"/>
                      </w:pPr>
                      <w:r>
                        <w:rPr>
                          <w:sz w:val="16"/>
                        </w:rPr>
                        <w:t xml:space="preserve">Discussion Paper Response</w:t>
                      </w:r>
                    </w:p>
                  </w:txbxContent>
                </v:textbox>
              </v:rect>
              <v:rect id="Rectangle 55120" style="position:absolute;width:377;height:1276;left:16736;top:2299;" filled="f" stroked="f">
                <v:textbox inset="0,0,0,0">
                  <w:txbxContent>
                    <w:p>
                      <w:pPr>
                        <w:spacing w:before="0" w:after="160" w:line="259" w:lineRule="auto"/>
                        <w:ind w:left="0" w:firstLine="0"/>
                      </w:pPr>
                      <w:r>
                        <w:rPr>
                          <w:sz w:val="16"/>
                        </w:rPr>
                        <w:t xml:space="preserve"> </w:t>
                      </w:r>
                    </w:p>
                  </w:txbxContent>
                </v:textbox>
              </v:rect>
              <v:rect id="Rectangle 55121" style="position:absolute;width:377;height:1276;left:17010;top:2299;" filled="f" stroked="f">
                <v:textbox inset="0,0,0,0">
                  <w:txbxContent>
                    <w:p>
                      <w:pPr>
                        <w:spacing w:before="0" w:after="160" w:line="259" w:lineRule="auto"/>
                        <w:ind w:left="0" w:firstLine="0"/>
                      </w:pPr>
                      <w:r>
                        <w:rPr>
                          <w:sz w:val="16"/>
                        </w:rPr>
                        <w:t xml:space="preserve"> </w:t>
                      </w:r>
                    </w:p>
                  </w:txbxContent>
                </v:textbox>
              </v:rect>
              <v:rect id="Rectangle 55122" style="position:absolute;width:755;height:1276;left:71094;top:2299;" filled="f" stroked="f">
                <v:textbox inset="0,0,0,0">
                  <w:txbxContent>
                    <w:p>
                      <w:pPr>
                        <w:spacing w:before="0" w:after="160" w:line="259" w:lineRule="auto"/>
                        <w:ind w:left="0" w:firstLine="0"/>
                      </w:pPr>
                      <w:fldSimple w:instr=" PAGE   \* MERGEFORMAT ">
                        <w:r>
                          <w:rPr>
                            <w:sz w:val="16"/>
                          </w:rPr>
                          <w:t xml:space="preserve">4</w:t>
                        </w:r>
                      </w:fldSimple>
                    </w:p>
                  </w:txbxContent>
                </v:textbox>
              </v:rect>
              <v:rect id="Rectangle 55123" style="position:absolute;width:377;height:1276;left:71658;top:2299;" filled="f" stroked="f">
                <v:textbox inset="0,0,0,0">
                  <w:txbxContent>
                    <w:p>
                      <w:pPr>
                        <w:spacing w:before="0" w:after="160" w:line="259" w:lineRule="auto"/>
                        <w:ind w:left="0" w:firstLine="0"/>
                      </w:pPr>
                      <w:r>
                        <w:rPr>
                          <w:sz w:val="16"/>
                        </w:rPr>
                        <w:t xml:space="preserve"> </w:t>
                      </w:r>
                    </w:p>
                  </w:txbxContent>
                </v:textbox>
              </v:rect>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55120" w14:textId="77777777" w:rsidR="00C80A0C" w:rsidRDefault="005E499E">
    <w:pPr>
      <w:spacing w:after="0" w:line="259" w:lineRule="auto"/>
      <w:ind w:left="-624" w:right="11295" w:firstLine="0"/>
    </w:pPr>
    <w:r>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14:anchorId="000AE924" wp14:editId="3D9EC679">
              <wp:simplePos x="0" y="0"/>
              <wp:positionH relativeFrom="page">
                <wp:posOffset>0</wp:posOffset>
              </wp:positionH>
              <wp:positionV relativeFrom="page">
                <wp:posOffset>10170160</wp:posOffset>
              </wp:positionV>
              <wp:extent cx="7559675" cy="521969"/>
              <wp:effectExtent l="0" t="0" r="0" b="0"/>
              <wp:wrapSquare wrapText="bothSides"/>
              <wp:docPr id="55102" name="Group 55102"/>
              <wp:cNvGraphicFramePr/>
              <a:graphic xmlns:a="http://schemas.openxmlformats.org/drawingml/2006/main">
                <a:graphicData uri="http://schemas.microsoft.com/office/word/2010/wordprocessingGroup">
                  <wpg:wgp>
                    <wpg:cNvGrpSpPr/>
                    <wpg:grpSpPr>
                      <a:xfrm>
                        <a:off x="0" y="0"/>
                        <a:ext cx="7559675" cy="521969"/>
                        <a:chOff x="0" y="0"/>
                        <a:chExt cx="7559675" cy="521969"/>
                      </a:xfrm>
                    </wpg:grpSpPr>
                    <wps:wsp>
                      <wps:cNvPr id="55103" name="Shape 55103"/>
                      <wps:cNvSpPr/>
                      <wps:spPr>
                        <a:xfrm>
                          <a:off x="0" y="0"/>
                          <a:ext cx="7559675" cy="521969"/>
                        </a:xfrm>
                        <a:custGeom>
                          <a:avLst/>
                          <a:gdLst/>
                          <a:ahLst/>
                          <a:cxnLst/>
                          <a:rect l="0" t="0" r="0" b="0"/>
                          <a:pathLst>
                            <a:path w="7559675" h="521969">
                              <a:moveTo>
                                <a:pt x="254102" y="0"/>
                              </a:moveTo>
                              <a:lnTo>
                                <a:pt x="7305548" y="0"/>
                              </a:lnTo>
                              <a:cubicBezTo>
                                <a:pt x="7445883" y="0"/>
                                <a:pt x="7559675" y="113995"/>
                                <a:pt x="7559675" y="254622"/>
                              </a:cubicBezTo>
                              <a:lnTo>
                                <a:pt x="7559675" y="521969"/>
                              </a:lnTo>
                              <a:lnTo>
                                <a:pt x="0" y="521969"/>
                              </a:lnTo>
                              <a:lnTo>
                                <a:pt x="0" y="254622"/>
                              </a:lnTo>
                              <a:cubicBezTo>
                                <a:pt x="0" y="113995"/>
                                <a:pt x="113767" y="0"/>
                                <a:pt x="254102" y="0"/>
                              </a:cubicBezTo>
                              <a:close/>
                            </a:path>
                          </a:pathLst>
                        </a:custGeom>
                        <a:ln w="0" cap="flat">
                          <a:miter lim="127000"/>
                        </a:ln>
                      </wps:spPr>
                      <wps:style>
                        <a:lnRef idx="0">
                          <a:srgbClr val="000000">
                            <a:alpha val="0"/>
                          </a:srgbClr>
                        </a:lnRef>
                        <a:fillRef idx="1">
                          <a:srgbClr val="F2E9D2"/>
                        </a:fillRef>
                        <a:effectRef idx="0">
                          <a:scrgbClr r="0" g="0" b="0"/>
                        </a:effectRef>
                        <a:fontRef idx="none"/>
                      </wps:style>
                      <wps:bodyPr/>
                    </wps:wsp>
                    <wps:wsp>
                      <wps:cNvPr id="55104" name="Shape 55104"/>
                      <wps:cNvSpPr/>
                      <wps:spPr>
                        <a:xfrm>
                          <a:off x="0" y="0"/>
                          <a:ext cx="7557135" cy="521969"/>
                        </a:xfrm>
                        <a:custGeom>
                          <a:avLst/>
                          <a:gdLst/>
                          <a:ahLst/>
                          <a:cxnLst/>
                          <a:rect l="0" t="0" r="0" b="0"/>
                          <a:pathLst>
                            <a:path w="7557135" h="521969">
                              <a:moveTo>
                                <a:pt x="251574" y="0"/>
                              </a:moveTo>
                              <a:lnTo>
                                <a:pt x="7303008" y="0"/>
                              </a:lnTo>
                              <a:cubicBezTo>
                                <a:pt x="7443344" y="0"/>
                                <a:pt x="7557135" y="113995"/>
                                <a:pt x="7557135" y="254622"/>
                              </a:cubicBezTo>
                              <a:lnTo>
                                <a:pt x="7557135" y="521969"/>
                              </a:lnTo>
                              <a:lnTo>
                                <a:pt x="0" y="521969"/>
                              </a:lnTo>
                              <a:lnTo>
                                <a:pt x="0" y="229384"/>
                              </a:lnTo>
                              <a:lnTo>
                                <a:pt x="2624" y="203306"/>
                              </a:lnTo>
                              <a:cubicBezTo>
                                <a:pt x="26318" y="87278"/>
                                <a:pt x="128771" y="0"/>
                                <a:pt x="251574" y="0"/>
                              </a:cubicBezTo>
                              <a:close/>
                            </a:path>
                          </a:pathLst>
                        </a:custGeom>
                        <a:ln w="0" cap="flat">
                          <a:miter lim="127000"/>
                        </a:ln>
                      </wps:spPr>
                      <wps:style>
                        <a:lnRef idx="0">
                          <a:srgbClr val="000000">
                            <a:alpha val="0"/>
                          </a:srgbClr>
                        </a:lnRef>
                        <a:fillRef idx="1">
                          <a:srgbClr val="F2E9D2"/>
                        </a:fillRef>
                        <a:effectRef idx="0">
                          <a:scrgbClr r="0" g="0" b="0"/>
                        </a:effectRef>
                        <a:fontRef idx="none"/>
                      </wps:style>
                      <wps:bodyPr/>
                    </wps:wsp>
                    <wps:wsp>
                      <wps:cNvPr id="55105" name="Rectangle 55105"/>
                      <wps:cNvSpPr/>
                      <wps:spPr>
                        <a:xfrm>
                          <a:off x="396240" y="36406"/>
                          <a:ext cx="37753" cy="127647"/>
                        </a:xfrm>
                        <a:prstGeom prst="rect">
                          <a:avLst/>
                        </a:prstGeom>
                        <a:ln>
                          <a:noFill/>
                        </a:ln>
                      </wps:spPr>
                      <wps:txbx>
                        <w:txbxContent>
                          <w:p w14:paraId="3EE31788" w14:textId="77777777" w:rsidR="00C80A0C" w:rsidRDefault="005E499E">
                            <w:pPr>
                              <w:spacing w:after="160" w:line="259" w:lineRule="auto"/>
                              <w:ind w:left="0" w:firstLine="0"/>
                            </w:pPr>
                            <w:r>
                              <w:rPr>
                                <w:sz w:val="16"/>
                              </w:rPr>
                              <w:t xml:space="preserve"> </w:t>
                            </w:r>
                          </w:p>
                        </w:txbxContent>
                      </wps:txbx>
                      <wps:bodyPr horzOverflow="overflow" vert="horz" lIns="0" tIns="0" rIns="0" bIns="0" rtlCol="0">
                        <a:noAutofit/>
                      </wps:bodyPr>
                    </wps:wsp>
                    <wps:wsp>
                      <wps:cNvPr id="55106" name="Rectangle 55106"/>
                      <wps:cNvSpPr/>
                      <wps:spPr>
                        <a:xfrm>
                          <a:off x="396240" y="229954"/>
                          <a:ext cx="1697546" cy="127647"/>
                        </a:xfrm>
                        <a:prstGeom prst="rect">
                          <a:avLst/>
                        </a:prstGeom>
                        <a:ln>
                          <a:noFill/>
                        </a:ln>
                      </wps:spPr>
                      <wps:txbx>
                        <w:txbxContent>
                          <w:p w14:paraId="1452B629" w14:textId="77777777" w:rsidR="00C80A0C" w:rsidRDefault="005E499E">
                            <w:pPr>
                              <w:spacing w:after="160" w:line="259" w:lineRule="auto"/>
                              <w:ind w:left="0" w:firstLine="0"/>
                            </w:pPr>
                            <w:r>
                              <w:rPr>
                                <w:sz w:val="16"/>
                              </w:rPr>
                              <w:t>Discussion Paper Response</w:t>
                            </w:r>
                          </w:p>
                        </w:txbxContent>
                      </wps:txbx>
                      <wps:bodyPr horzOverflow="overflow" vert="horz" lIns="0" tIns="0" rIns="0" bIns="0" rtlCol="0">
                        <a:noAutofit/>
                      </wps:bodyPr>
                    </wps:wsp>
                    <wps:wsp>
                      <wps:cNvPr id="55107" name="Rectangle 55107"/>
                      <wps:cNvSpPr/>
                      <wps:spPr>
                        <a:xfrm>
                          <a:off x="1673606" y="229954"/>
                          <a:ext cx="37753" cy="127647"/>
                        </a:xfrm>
                        <a:prstGeom prst="rect">
                          <a:avLst/>
                        </a:prstGeom>
                        <a:ln>
                          <a:noFill/>
                        </a:ln>
                      </wps:spPr>
                      <wps:txbx>
                        <w:txbxContent>
                          <w:p w14:paraId="0BE810F9" w14:textId="77777777" w:rsidR="00C80A0C" w:rsidRDefault="005E499E">
                            <w:pPr>
                              <w:spacing w:after="160" w:line="259" w:lineRule="auto"/>
                              <w:ind w:left="0" w:firstLine="0"/>
                            </w:pPr>
                            <w:r>
                              <w:rPr>
                                <w:sz w:val="16"/>
                              </w:rPr>
                              <w:t xml:space="preserve"> </w:t>
                            </w:r>
                          </w:p>
                        </w:txbxContent>
                      </wps:txbx>
                      <wps:bodyPr horzOverflow="overflow" vert="horz" lIns="0" tIns="0" rIns="0" bIns="0" rtlCol="0">
                        <a:noAutofit/>
                      </wps:bodyPr>
                    </wps:wsp>
                    <wps:wsp>
                      <wps:cNvPr id="55108" name="Rectangle 55108"/>
                      <wps:cNvSpPr/>
                      <wps:spPr>
                        <a:xfrm>
                          <a:off x="1701038" y="229954"/>
                          <a:ext cx="37753" cy="127647"/>
                        </a:xfrm>
                        <a:prstGeom prst="rect">
                          <a:avLst/>
                        </a:prstGeom>
                        <a:ln>
                          <a:noFill/>
                        </a:ln>
                      </wps:spPr>
                      <wps:txbx>
                        <w:txbxContent>
                          <w:p w14:paraId="059BABF5" w14:textId="77777777" w:rsidR="00C80A0C" w:rsidRDefault="005E499E">
                            <w:pPr>
                              <w:spacing w:after="160" w:line="259" w:lineRule="auto"/>
                              <w:ind w:left="0" w:firstLine="0"/>
                            </w:pPr>
                            <w:r>
                              <w:rPr>
                                <w:sz w:val="16"/>
                              </w:rPr>
                              <w:t xml:space="preserve"> </w:t>
                            </w:r>
                          </w:p>
                        </w:txbxContent>
                      </wps:txbx>
                      <wps:bodyPr horzOverflow="overflow" vert="horz" lIns="0" tIns="0" rIns="0" bIns="0" rtlCol="0">
                        <a:noAutofit/>
                      </wps:bodyPr>
                    </wps:wsp>
                    <wps:wsp>
                      <wps:cNvPr id="55109" name="Rectangle 55109"/>
                      <wps:cNvSpPr/>
                      <wps:spPr>
                        <a:xfrm>
                          <a:off x="7109460" y="229954"/>
                          <a:ext cx="75506" cy="127647"/>
                        </a:xfrm>
                        <a:prstGeom prst="rect">
                          <a:avLst/>
                        </a:prstGeom>
                        <a:ln>
                          <a:noFill/>
                        </a:ln>
                      </wps:spPr>
                      <wps:txbx>
                        <w:txbxContent>
                          <w:p w14:paraId="3B72236B" w14:textId="77777777" w:rsidR="00C80A0C" w:rsidRDefault="005E499E">
                            <w:pPr>
                              <w:spacing w:after="160" w:line="259" w:lineRule="auto"/>
                              <w:ind w:left="0" w:firstLine="0"/>
                            </w:pPr>
                            <w:r>
                              <w:fldChar w:fldCharType="begin"/>
                            </w:r>
                            <w:r>
                              <w:instrText xml:space="preserve"> PAGE   \* MERGEFORMAT </w:instrText>
                            </w:r>
                            <w:r>
                              <w:fldChar w:fldCharType="separate"/>
                            </w:r>
                            <w:r>
                              <w:rPr>
                                <w:sz w:val="16"/>
                              </w:rPr>
                              <w:t>4</w:t>
                            </w:r>
                            <w:r>
                              <w:rPr>
                                <w:sz w:val="16"/>
                              </w:rPr>
                              <w:fldChar w:fldCharType="end"/>
                            </w:r>
                          </w:p>
                        </w:txbxContent>
                      </wps:txbx>
                      <wps:bodyPr horzOverflow="overflow" vert="horz" lIns="0" tIns="0" rIns="0" bIns="0" rtlCol="0">
                        <a:noAutofit/>
                      </wps:bodyPr>
                    </wps:wsp>
                    <wps:wsp>
                      <wps:cNvPr id="55110" name="Rectangle 55110"/>
                      <wps:cNvSpPr/>
                      <wps:spPr>
                        <a:xfrm>
                          <a:off x="7165848" y="229954"/>
                          <a:ext cx="37753" cy="127647"/>
                        </a:xfrm>
                        <a:prstGeom prst="rect">
                          <a:avLst/>
                        </a:prstGeom>
                        <a:ln>
                          <a:noFill/>
                        </a:ln>
                      </wps:spPr>
                      <wps:txbx>
                        <w:txbxContent>
                          <w:p w14:paraId="4811B60B" w14:textId="77777777" w:rsidR="00C80A0C" w:rsidRDefault="005E499E">
                            <w:pPr>
                              <w:spacing w:after="160" w:line="259" w:lineRule="auto"/>
                              <w:ind w:left="0" w:firstLine="0"/>
                            </w:pPr>
                            <w:r>
                              <w:rPr>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5102" style="width:595.25pt;height:41.0999pt;position:absolute;mso-position-horizontal-relative:page;mso-position-horizontal:absolute;margin-left:0pt;mso-position-vertical-relative:page;margin-top:800.8pt;" coordsize="75596,5219">
              <v:shape id="Shape 55103" style="position:absolute;width:75596;height:5219;left:0;top:0;" coordsize="7559675,521969" path="m254102,0l7305548,0c7445883,0,7559675,113995,7559675,254622l7559675,521969l0,521969l0,254622c0,113995,113767,0,254102,0x">
                <v:stroke weight="0pt" endcap="flat" joinstyle="miter" miterlimit="10" on="false" color="#000000" opacity="0"/>
                <v:fill on="true" color="#f2e9d2"/>
              </v:shape>
              <v:shape id="Shape 55104" style="position:absolute;width:75571;height:5219;left:0;top:0;" coordsize="7557135,521969" path="m251574,0l7303008,0c7443344,0,7557135,113995,7557135,254622l7557135,521969l0,521969l0,229384l2624,203306c26318,87278,128771,0,251574,0x">
                <v:stroke weight="0pt" endcap="flat" joinstyle="miter" miterlimit="10" on="false" color="#000000" opacity="0"/>
                <v:fill on="true" color="#f2e9d2"/>
              </v:shape>
              <v:rect id="Rectangle 55105" style="position:absolute;width:377;height:1276;left:3962;top:364;" filled="f" stroked="f">
                <v:textbox inset="0,0,0,0">
                  <w:txbxContent>
                    <w:p>
                      <w:pPr>
                        <w:spacing w:before="0" w:after="160" w:line="259" w:lineRule="auto"/>
                        <w:ind w:left="0" w:firstLine="0"/>
                      </w:pPr>
                      <w:r>
                        <w:rPr>
                          <w:sz w:val="16"/>
                        </w:rPr>
                        <w:t xml:space="preserve"> </w:t>
                      </w:r>
                    </w:p>
                  </w:txbxContent>
                </v:textbox>
              </v:rect>
              <v:rect id="Rectangle 55106" style="position:absolute;width:16975;height:1276;left:3962;top:2299;" filled="f" stroked="f">
                <v:textbox inset="0,0,0,0">
                  <w:txbxContent>
                    <w:p>
                      <w:pPr>
                        <w:spacing w:before="0" w:after="160" w:line="259" w:lineRule="auto"/>
                        <w:ind w:left="0" w:firstLine="0"/>
                      </w:pPr>
                      <w:r>
                        <w:rPr>
                          <w:sz w:val="16"/>
                        </w:rPr>
                        <w:t xml:space="preserve">Discussion Paper Response</w:t>
                      </w:r>
                    </w:p>
                  </w:txbxContent>
                </v:textbox>
              </v:rect>
              <v:rect id="Rectangle 55107" style="position:absolute;width:377;height:1276;left:16736;top:2299;" filled="f" stroked="f">
                <v:textbox inset="0,0,0,0">
                  <w:txbxContent>
                    <w:p>
                      <w:pPr>
                        <w:spacing w:before="0" w:after="160" w:line="259" w:lineRule="auto"/>
                        <w:ind w:left="0" w:firstLine="0"/>
                      </w:pPr>
                      <w:r>
                        <w:rPr>
                          <w:sz w:val="16"/>
                        </w:rPr>
                        <w:t xml:space="preserve"> </w:t>
                      </w:r>
                    </w:p>
                  </w:txbxContent>
                </v:textbox>
              </v:rect>
              <v:rect id="Rectangle 55108" style="position:absolute;width:377;height:1276;left:17010;top:2299;" filled="f" stroked="f">
                <v:textbox inset="0,0,0,0">
                  <w:txbxContent>
                    <w:p>
                      <w:pPr>
                        <w:spacing w:before="0" w:after="160" w:line="259" w:lineRule="auto"/>
                        <w:ind w:left="0" w:firstLine="0"/>
                      </w:pPr>
                      <w:r>
                        <w:rPr>
                          <w:sz w:val="16"/>
                        </w:rPr>
                        <w:t xml:space="preserve"> </w:t>
                      </w:r>
                    </w:p>
                  </w:txbxContent>
                </v:textbox>
              </v:rect>
              <v:rect id="Rectangle 55109" style="position:absolute;width:755;height:1276;left:71094;top:2299;" filled="f" stroked="f">
                <v:textbox inset="0,0,0,0">
                  <w:txbxContent>
                    <w:p>
                      <w:pPr>
                        <w:spacing w:before="0" w:after="160" w:line="259" w:lineRule="auto"/>
                        <w:ind w:left="0" w:firstLine="0"/>
                      </w:pPr>
                      <w:fldSimple w:instr=" PAGE   \* MERGEFORMAT ">
                        <w:r>
                          <w:rPr>
                            <w:sz w:val="16"/>
                          </w:rPr>
                          <w:t xml:space="preserve">4</w:t>
                        </w:r>
                      </w:fldSimple>
                    </w:p>
                  </w:txbxContent>
                </v:textbox>
              </v:rect>
              <v:rect id="Rectangle 55110" style="position:absolute;width:377;height:1276;left:71658;top:2299;" filled="f" stroked="f">
                <v:textbox inset="0,0,0,0">
                  <w:txbxContent>
                    <w:p>
                      <w:pPr>
                        <w:spacing w:before="0" w:after="160" w:line="259" w:lineRule="auto"/>
                        <w:ind w:left="0" w:firstLine="0"/>
                      </w:pPr>
                      <w:r>
                        <w:rPr>
                          <w:sz w:val="16"/>
                        </w:rPr>
                        <w:t xml:space="preserve"> </w:t>
                      </w:r>
                    </w:p>
                  </w:txbxContent>
                </v:textbox>
              </v:rect>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5B932" w14:textId="77777777" w:rsidR="00C80A0C" w:rsidRDefault="005E499E">
      <w:pPr>
        <w:spacing w:after="0" w:line="254" w:lineRule="auto"/>
        <w:ind w:left="0" w:right="800" w:firstLine="0"/>
        <w:jc w:val="both"/>
      </w:pPr>
      <w:r>
        <w:separator/>
      </w:r>
    </w:p>
  </w:footnote>
  <w:footnote w:type="continuationSeparator" w:id="0">
    <w:p w14:paraId="3D8B408E" w14:textId="77777777" w:rsidR="00C80A0C" w:rsidRDefault="005E499E">
      <w:pPr>
        <w:spacing w:after="0" w:line="254" w:lineRule="auto"/>
        <w:ind w:left="0" w:right="800" w:firstLine="0"/>
        <w:jc w:val="both"/>
      </w:pPr>
      <w:r>
        <w:continuationSeparator/>
      </w:r>
    </w:p>
  </w:footnote>
  <w:footnote w:id="1">
    <w:p w14:paraId="0F30D2DF" w14:textId="77777777" w:rsidR="00C80A0C" w:rsidRDefault="005E499E">
      <w:pPr>
        <w:pStyle w:val="footnotedescription"/>
        <w:spacing w:line="254" w:lineRule="auto"/>
        <w:ind w:right="800"/>
        <w:jc w:val="both"/>
      </w:pPr>
      <w:r>
        <w:rPr>
          <w:rStyle w:val="footnotemark"/>
        </w:rPr>
        <w:footnoteRef/>
      </w:r>
      <w:r>
        <w:t xml:space="preserve"> Moreton Robinson, A. (2021). </w:t>
      </w:r>
      <w:r>
        <w:rPr>
          <w:i/>
        </w:rPr>
        <w:t xml:space="preserve">Talkin' Up to the White Woman: Aboriginal Women and Feminism. </w:t>
      </w:r>
      <w:r>
        <w:t xml:space="preserve">University of  Queensland Press </w:t>
      </w:r>
    </w:p>
  </w:footnote>
  <w:footnote w:id="2">
    <w:p w14:paraId="5F167DFE" w14:textId="77777777" w:rsidR="00C80A0C" w:rsidRDefault="005E499E">
      <w:pPr>
        <w:pStyle w:val="footnotedescription"/>
        <w:spacing w:after="3"/>
      </w:pPr>
      <w:r>
        <w:rPr>
          <w:rStyle w:val="footnotemark"/>
        </w:rPr>
        <w:footnoteRef/>
      </w:r>
      <w:r>
        <w:t xml:space="preserve"> Varcoe et al., </w:t>
      </w:r>
      <w:r>
        <w:rPr>
          <w:i/>
        </w:rPr>
        <w:t>VEGA briefing note on trauma- and violence-informed care.</w:t>
      </w:r>
      <w:r>
        <w:t xml:space="preserve"> </w:t>
      </w:r>
    </w:p>
  </w:footnote>
  <w:footnote w:id="3">
    <w:p w14:paraId="7CEC4FF6" w14:textId="77777777" w:rsidR="00C80A0C" w:rsidRDefault="005E499E">
      <w:pPr>
        <w:pStyle w:val="footnotedescription"/>
        <w:spacing w:after="31" w:line="220" w:lineRule="auto"/>
        <w:ind w:right="2320"/>
      </w:pPr>
      <w:r>
        <w:rPr>
          <w:rStyle w:val="footnotemark"/>
        </w:rPr>
        <w:footnoteRef/>
      </w:r>
      <w:r>
        <w:t xml:space="preserve"> hooks, bell. (1997). </w:t>
      </w:r>
      <w:r>
        <w:rPr>
          <w:i/>
        </w:rPr>
        <w:t>Challenging media.</w:t>
      </w:r>
      <w:r>
        <w:t xml:space="preserve"> https://www.mediaed.org/transcripts/Bell-Hooks-Transcript.pdf </w:t>
      </w:r>
      <w:r>
        <w:rPr>
          <w:vertAlign w:val="superscript"/>
        </w:rPr>
        <w:t>4</w:t>
      </w:r>
      <w:r>
        <w:t xml:space="preserve"> Ibid.</w:t>
      </w:r>
      <w:r>
        <w:rPr>
          <w:sz w:val="20"/>
        </w:rPr>
        <w:t xml:space="preserve"> </w:t>
      </w:r>
    </w:p>
  </w:footnote>
  <w:footnote w:id="4">
    <w:p w14:paraId="10C496A4" w14:textId="77777777" w:rsidR="00C80A0C" w:rsidRDefault="005E499E">
      <w:pPr>
        <w:pStyle w:val="footnotedescription"/>
        <w:spacing w:line="251" w:lineRule="auto"/>
      </w:pPr>
      <w:r>
        <w:rPr>
          <w:rStyle w:val="footnotemark"/>
        </w:rPr>
        <w:footnoteRef/>
      </w:r>
      <w:r>
        <w:t xml:space="preserve"> Moore, Timothy (2024). </w:t>
      </w:r>
      <w:r>
        <w:rPr>
          <w:i/>
        </w:rPr>
        <w:t>Core Care Conditions for Children and Families: Implications for policy and practice.</w:t>
      </w:r>
      <w:r>
        <w:t xml:space="preserve"> Murdoch Childrens Research Institute. Report. https://doi.org/10.25374/MCRI.26065597.v2 </w:t>
      </w:r>
    </w:p>
  </w:footnote>
  <w:footnote w:id="5">
    <w:p w14:paraId="60D3D83C" w14:textId="77777777" w:rsidR="00C80A0C" w:rsidRDefault="005E499E">
      <w:pPr>
        <w:pStyle w:val="footnotedescription"/>
        <w:spacing w:line="255" w:lineRule="auto"/>
        <w:ind w:right="1424"/>
      </w:pPr>
      <w:r>
        <w:rPr>
          <w:rStyle w:val="footnotemark"/>
        </w:rPr>
        <w:footnoteRef/>
      </w:r>
      <w:r>
        <w:t xml:space="preserve"> Home - Community Hubs. (2017). </w:t>
      </w:r>
      <w:r>
        <w:rPr>
          <w:i/>
        </w:rPr>
        <w:t>Community Hubs - Connect. Share. Learn</w:t>
      </w:r>
      <w:r>
        <w:t xml:space="preserve">. https://communityhubs.org.au/ </w:t>
      </w:r>
      <w:r>
        <w:rPr>
          <w:vertAlign w:val="superscript"/>
        </w:rPr>
        <w:t>7</w:t>
      </w:r>
      <w:r>
        <w:t xml:space="preserve"> </w:t>
      </w:r>
      <w:r>
        <w:rPr>
          <w:i/>
        </w:rPr>
        <w:t>Children’s Ground</w:t>
      </w:r>
      <w:r>
        <w:t xml:space="preserve"> </w:t>
      </w:r>
      <w:r>
        <w:t>–</w:t>
      </w:r>
      <w:r>
        <w:t xml:space="preserve"> </w:t>
      </w:r>
      <w:r>
        <w:t xml:space="preserve">Organisation for Aboriginal and Torres Strait Islander Children. (n.d.). Childrensground.org.au. </w:t>
      </w:r>
    </w:p>
    <w:p w14:paraId="3A1B5AA7" w14:textId="77777777" w:rsidR="00C80A0C" w:rsidRDefault="005E499E">
      <w:pPr>
        <w:pStyle w:val="footnotedescription"/>
      </w:pPr>
      <w:r>
        <w:t xml:space="preserve">https://childrensground.org.au/ </w:t>
      </w:r>
    </w:p>
  </w:footnote>
  <w:footnote w:id="6">
    <w:p w14:paraId="46717EE0" w14:textId="77777777" w:rsidR="00C80A0C" w:rsidRDefault="005E499E">
      <w:pPr>
        <w:pStyle w:val="footnotedescription"/>
        <w:spacing w:after="2" w:line="248" w:lineRule="auto"/>
      </w:pPr>
      <w:r>
        <w:rPr>
          <w:rStyle w:val="footnotemark"/>
        </w:rPr>
        <w:footnoteRef/>
      </w:r>
      <w:r>
        <w:t xml:space="preserve"> Davis, B. R., Thomforde Hauser, R., Berhane, H., Johnson, G., Sethi, S., Hanson, B., Deane, D., &amp; Betances, K. (2024). </w:t>
      </w:r>
      <w:r>
        <w:rPr>
          <w:i/>
        </w:rPr>
        <w:t>Building Multiple Pathways to Healing, Safety, and Accountability to Address Intimate Partner Violence</w:t>
      </w:r>
      <w:r>
        <w:t xml:space="preserve">. Families in Society, 105(3), 485-498. https://doi.org/10.1177/10443894241263620. </w:t>
      </w:r>
    </w:p>
  </w:footnote>
  <w:footnote w:id="7">
    <w:p w14:paraId="0B1D38C9" w14:textId="77777777" w:rsidR="00C80A0C" w:rsidRDefault="005E499E">
      <w:pPr>
        <w:pStyle w:val="footnotedescription"/>
        <w:spacing w:line="250" w:lineRule="auto"/>
      </w:pPr>
      <w:r>
        <w:rPr>
          <w:rStyle w:val="footnotemark"/>
        </w:rPr>
        <w:footnoteRef/>
      </w:r>
      <w:r>
        <w:t xml:space="preserve"> </w:t>
      </w:r>
      <w:r>
        <w:rPr>
          <w:i/>
        </w:rPr>
        <w:t>Restorative Justice is Racial Justice</w:t>
      </w:r>
      <w:r>
        <w:t xml:space="preserve"> - Center for Justice Innovation. (2025, January 30). Center for Justice Innovation. https://www.innovatingjustice.org/resources/restorative-justice-is-racial-justice/ </w:t>
      </w:r>
    </w:p>
  </w:footnote>
  <w:footnote w:id="8">
    <w:p w14:paraId="7B182F96" w14:textId="77777777" w:rsidR="00C80A0C" w:rsidRDefault="005E499E">
      <w:pPr>
        <w:pStyle w:val="footnotedescription"/>
        <w:spacing w:line="242" w:lineRule="auto"/>
      </w:pPr>
      <w:r>
        <w:rPr>
          <w:rStyle w:val="footnotemark"/>
        </w:rPr>
        <w:footnoteRef/>
      </w:r>
      <w:r>
        <w:t xml:space="preserve"> Hudson, H. (2021, September 8). </w:t>
      </w:r>
      <w:r>
        <w:rPr>
          <w:i/>
        </w:rPr>
        <w:t>Moving From Disability Rights to Disability Justice.</w:t>
      </w:r>
      <w:r>
        <w:t xml:space="preserve"> World Institute on Disability. https://wid.org/moving-from-disability-rights-to-disability-justice/</w:t>
      </w:r>
      <w:r>
        <w:rPr>
          <w:sz w:val="20"/>
        </w:rPr>
        <w:t xml:space="preserve"> </w:t>
      </w:r>
    </w:p>
  </w:footnote>
  <w:footnote w:id="9">
    <w:p w14:paraId="69E69303" w14:textId="77777777" w:rsidR="00C80A0C" w:rsidRDefault="005E499E">
      <w:pPr>
        <w:pStyle w:val="footnotedescription"/>
        <w:spacing w:line="252" w:lineRule="auto"/>
      </w:pPr>
      <w:r>
        <w:rPr>
          <w:rStyle w:val="footnotemark"/>
        </w:rPr>
        <w:footnoteRef/>
      </w:r>
      <w:r>
        <w:t xml:space="preserve"> Moore, Timothy (2024). </w:t>
      </w:r>
      <w:r>
        <w:rPr>
          <w:i/>
        </w:rPr>
        <w:t>Core Care Conditions for Children and Families: Implications for policy and practice.</w:t>
      </w:r>
      <w:r>
        <w:t xml:space="preserve"> Murdoch Childrens Research Institute. Report. https://doi.org/10.25374/MCRI.26065597.v2 </w:t>
      </w:r>
    </w:p>
  </w:footnote>
  <w:footnote w:id="10">
    <w:p w14:paraId="4DA2CE4E" w14:textId="77777777" w:rsidR="00C80A0C" w:rsidRDefault="005E499E">
      <w:pPr>
        <w:pStyle w:val="footnotedescription"/>
        <w:spacing w:after="12"/>
      </w:pPr>
      <w:r>
        <w:rPr>
          <w:rStyle w:val="footnotemark"/>
        </w:rPr>
        <w:footnoteRef/>
      </w:r>
      <w:r>
        <w:t xml:space="preserve"> Ibid. </w:t>
      </w:r>
    </w:p>
  </w:footnote>
  <w:footnote w:id="11">
    <w:p w14:paraId="79D1559B" w14:textId="77777777" w:rsidR="00C80A0C" w:rsidRDefault="005E499E">
      <w:pPr>
        <w:pStyle w:val="footnotedescription"/>
        <w:spacing w:after="12"/>
      </w:pPr>
      <w:r>
        <w:rPr>
          <w:rStyle w:val="footnotemark"/>
        </w:rPr>
        <w:footnoteRef/>
      </w:r>
      <w:r>
        <w:t xml:space="preserve"> Ibid. </w:t>
      </w:r>
    </w:p>
  </w:footnote>
  <w:footnote w:id="12">
    <w:p w14:paraId="6ECE2240" w14:textId="77777777" w:rsidR="00C80A0C" w:rsidRDefault="005E499E">
      <w:pPr>
        <w:pStyle w:val="footnotedescription"/>
        <w:spacing w:after="11"/>
      </w:pPr>
      <w:r>
        <w:rPr>
          <w:rStyle w:val="footnotemark"/>
        </w:rPr>
        <w:footnoteRef/>
      </w:r>
      <w:r>
        <w:t xml:space="preserve"> Ibid. </w:t>
      </w:r>
    </w:p>
  </w:footnote>
  <w:footnote w:id="13">
    <w:p w14:paraId="7504F6B2" w14:textId="77777777" w:rsidR="00C80A0C" w:rsidRDefault="005E499E">
      <w:pPr>
        <w:pStyle w:val="footnotedescription"/>
      </w:pPr>
      <w:r>
        <w:rPr>
          <w:rStyle w:val="footnotemark"/>
        </w:rPr>
        <w:footnoteRef/>
      </w:r>
      <w:r>
        <w:t xml:space="preserve"> Ibid.</w:t>
      </w:r>
      <w:r>
        <w:rPr>
          <w:sz w:val="20"/>
        </w:rPr>
        <w:t xml:space="preserve"> </w:t>
      </w:r>
    </w:p>
  </w:footnote>
  <w:footnote w:id="14">
    <w:p w14:paraId="5A78F7D5" w14:textId="77777777" w:rsidR="00C80A0C" w:rsidRDefault="005E499E">
      <w:pPr>
        <w:pStyle w:val="footnotedescription"/>
        <w:spacing w:after="3" w:line="247" w:lineRule="auto"/>
      </w:pPr>
      <w:r>
        <w:rPr>
          <w:rStyle w:val="footnotemark"/>
        </w:rPr>
        <w:footnoteRef/>
      </w:r>
      <w:r>
        <w:t xml:space="preserve"> Duran, E. (2025). </w:t>
      </w:r>
      <w:r>
        <w:rPr>
          <w:i/>
        </w:rPr>
        <w:t>Healing Trauma Across Fourteen Generations</w:t>
      </w:r>
      <w:r>
        <w:t xml:space="preserve"> </w:t>
      </w:r>
      <w:r>
        <w:t>–</w:t>
      </w:r>
      <w:r>
        <w:t xml:space="preserve"> cttjournal. Cttjournal.org. https://cttjournal.org/healing-traumaacross-fourteen-generations/ </w:t>
      </w:r>
    </w:p>
  </w:footnote>
  <w:footnote w:id="15">
    <w:p w14:paraId="6DC8993E" w14:textId="77777777" w:rsidR="00C80A0C" w:rsidRDefault="005E499E">
      <w:pPr>
        <w:pStyle w:val="footnotedescription"/>
      </w:pPr>
      <w:r>
        <w:rPr>
          <w:rStyle w:val="footnotemark"/>
        </w:rPr>
        <w:footnoteRef/>
      </w:r>
      <w:r>
        <w:t xml:space="preserve"> Duran, E., &amp; Duran, B. (1998). </w:t>
      </w:r>
      <w:r>
        <w:rPr>
          <w:i/>
        </w:rPr>
        <w:t>Healing the American Indian Soul Wound.</w:t>
      </w:r>
      <w:r>
        <w:t xml:space="preserve"> Maria Yellow Horse Braveheart and Susan Yellow Horse-</w:t>
      </w:r>
    </w:p>
    <w:p w14:paraId="43ABCAD2" w14:textId="77777777" w:rsidR="00C80A0C" w:rsidRDefault="005E499E">
      <w:pPr>
        <w:pStyle w:val="footnotedescription"/>
      </w:pPr>
      <w:r>
        <w:t xml:space="preserve">Davis. https://icmglt.org/wp-content/uploads/2019/09/21-Healing-the-American-Indian-Soul-Wound-.pdf </w:t>
      </w:r>
    </w:p>
  </w:footnote>
  <w:footnote w:id="16">
    <w:p w14:paraId="3090B853" w14:textId="77777777" w:rsidR="00C80A0C" w:rsidRDefault="005E499E">
      <w:pPr>
        <w:pStyle w:val="footnotedescription"/>
        <w:spacing w:line="248" w:lineRule="auto"/>
      </w:pPr>
      <w:r>
        <w:rPr>
          <w:rStyle w:val="footnotemark"/>
        </w:rPr>
        <w:footnoteRef/>
      </w:r>
      <w:r>
        <w:t xml:space="preserve"> </w:t>
      </w:r>
      <w:r>
        <w:rPr>
          <w:i/>
        </w:rPr>
        <w:t>Child Poverty in Australia 2024 report.</w:t>
      </w:r>
      <w:r>
        <w:t xml:space="preserve"> (2024). Valuing Children Initiative. https://valuingchildreninitiative.com.au/news/child-povertyin-australia-2024-report </w:t>
      </w:r>
    </w:p>
  </w:footnote>
  <w:footnote w:id="17">
    <w:p w14:paraId="3AFC206B" w14:textId="77777777" w:rsidR="00C80A0C" w:rsidRDefault="005E499E">
      <w:pPr>
        <w:pStyle w:val="footnotedescription"/>
        <w:spacing w:after="11"/>
      </w:pPr>
      <w:r>
        <w:rPr>
          <w:rStyle w:val="footnotemark"/>
        </w:rPr>
        <w:footnoteRef/>
      </w:r>
      <w:r>
        <w:t xml:space="preserve"> Ibid. </w:t>
      </w:r>
    </w:p>
  </w:footnote>
  <w:footnote w:id="18">
    <w:p w14:paraId="757481A8" w14:textId="77777777" w:rsidR="00C80A0C" w:rsidRDefault="005E499E">
      <w:pPr>
        <w:pStyle w:val="footnotedescription"/>
        <w:spacing w:after="4"/>
      </w:pPr>
      <w:r>
        <w:rPr>
          <w:rStyle w:val="footnotemark"/>
        </w:rPr>
        <w:footnoteRef/>
      </w:r>
      <w:r>
        <w:t xml:space="preserve"> Ibid.</w:t>
      </w:r>
      <w:r>
        <w:rPr>
          <w:sz w:val="20"/>
        </w:rPr>
        <w:t xml:space="preserve"> </w:t>
      </w:r>
    </w:p>
  </w:footnote>
  <w:footnote w:id="19">
    <w:p w14:paraId="119F139A" w14:textId="77777777" w:rsidR="00C80A0C" w:rsidRDefault="005E499E">
      <w:pPr>
        <w:pStyle w:val="footnotedescription"/>
        <w:spacing w:line="248" w:lineRule="auto"/>
      </w:pPr>
      <w:r>
        <w:rPr>
          <w:rStyle w:val="footnotemark"/>
        </w:rPr>
        <w:footnoteRef/>
      </w:r>
      <w:r>
        <w:t xml:space="preserve"> </w:t>
      </w:r>
      <w:r>
        <w:rPr>
          <w:i/>
        </w:rPr>
        <w:t>Innovation Snapshots #5</w:t>
      </w:r>
      <w:r>
        <w:t>. (2021). https://www.naccho.org/uploads/downloadable-resources/Programs/Public-Health</w:t>
      </w:r>
      <w:r>
        <w:t xml:space="preserve">Infrastructure/Innovation-Snapshot-5.pdf </w:t>
      </w:r>
    </w:p>
  </w:footnote>
  <w:footnote w:id="20">
    <w:p w14:paraId="1EBFC14E" w14:textId="77777777" w:rsidR="00C80A0C" w:rsidRDefault="005E499E">
      <w:pPr>
        <w:pStyle w:val="footnotedescription"/>
        <w:spacing w:after="2" w:line="251" w:lineRule="auto"/>
      </w:pPr>
      <w:r>
        <w:rPr>
          <w:rStyle w:val="footnotemark"/>
        </w:rPr>
        <w:footnoteRef/>
      </w:r>
      <w:r>
        <w:t xml:space="preserve"> </w:t>
      </w:r>
      <w:r>
        <w:rPr>
          <w:i/>
        </w:rPr>
        <w:t>Innovation Snapshots #5</w:t>
      </w:r>
      <w:r>
        <w:t xml:space="preserve">. (2021). https://www.naccho.org/uploads/downloadable-resources/Programs/Public-HealthInfrastructure/Innovation-Snapshot-5.pdf </w:t>
      </w:r>
    </w:p>
  </w:footnote>
  <w:footnote w:id="21">
    <w:p w14:paraId="3D679651" w14:textId="77777777" w:rsidR="00C80A0C" w:rsidRDefault="005E499E">
      <w:pPr>
        <w:pStyle w:val="footnotedescription"/>
      </w:pPr>
      <w:r>
        <w:rPr>
          <w:rStyle w:val="footnotemark"/>
        </w:rPr>
        <w:footnoteRef/>
      </w:r>
      <w:r>
        <w:t xml:space="preserve"> https://workforcespending.results4america.org/strategies/braid-blend-or-sequence-funding/common-approaches </w:t>
      </w:r>
    </w:p>
  </w:footnote>
  <w:footnote w:id="22">
    <w:p w14:paraId="49FE781E" w14:textId="77777777" w:rsidR="00C80A0C" w:rsidRDefault="005E499E">
      <w:pPr>
        <w:pStyle w:val="footnotedescription"/>
      </w:pPr>
      <w:r>
        <w:rPr>
          <w:rStyle w:val="footnotemark"/>
        </w:rPr>
        <w:footnoteRef/>
      </w:r>
      <w:r>
        <w:t xml:space="preserve"> Fonseca, M. (n.d.). PDG TA: </w:t>
      </w:r>
      <w:r>
        <w:rPr>
          <w:i/>
        </w:rPr>
        <w:t xml:space="preserve">Braiding, Blending, and Layering Funding Sources to Increase Access to Quality Preschool. </w:t>
      </w:r>
    </w:p>
    <w:p w14:paraId="4252F6CF" w14:textId="77777777" w:rsidR="00C80A0C" w:rsidRDefault="005E499E">
      <w:pPr>
        <w:pStyle w:val="footnotedescription"/>
        <w:spacing w:after="4"/>
      </w:pPr>
      <w:r>
        <w:t xml:space="preserve">https://files.eric.ed.gov/fulltext/ED583129.pdf </w:t>
      </w:r>
    </w:p>
    <w:p w14:paraId="03D329DC" w14:textId="77777777" w:rsidR="00C80A0C" w:rsidRDefault="005E499E">
      <w:pPr>
        <w:pStyle w:val="footnotedescription"/>
      </w:pPr>
      <w:r>
        <w:rPr>
          <w:sz w:val="20"/>
        </w:rPr>
        <w:t xml:space="preserve"> </w:t>
      </w:r>
    </w:p>
  </w:footnote>
  <w:footnote w:id="23">
    <w:p w14:paraId="56F99B69" w14:textId="77777777" w:rsidR="00C80A0C" w:rsidRDefault="005E499E">
      <w:pPr>
        <w:pStyle w:val="footnotedescription"/>
        <w:spacing w:line="246" w:lineRule="auto"/>
      </w:pPr>
      <w:r>
        <w:rPr>
          <w:rStyle w:val="footnotemark"/>
        </w:rPr>
        <w:footnoteRef/>
      </w:r>
      <w:r>
        <w:t xml:space="preserve"> SNAICC. (2024). </w:t>
      </w:r>
      <w:r>
        <w:rPr>
          <w:i/>
        </w:rPr>
        <w:t>Family Matters Report 2024.</w:t>
      </w:r>
      <w:r>
        <w:t xml:space="preserve"> https://www.snaicc.org.au/wp-content/uploads/2025/02/250207-Family-MattersReport-2024.pdf </w:t>
      </w:r>
    </w:p>
  </w:footnote>
  <w:footnote w:id="24">
    <w:p w14:paraId="40CBF7B7" w14:textId="77777777" w:rsidR="00C80A0C" w:rsidRDefault="005E499E">
      <w:pPr>
        <w:pStyle w:val="footnotedescription"/>
        <w:spacing w:after="4"/>
      </w:pPr>
      <w:r>
        <w:rPr>
          <w:rStyle w:val="footnotemark"/>
        </w:rPr>
        <w:footnoteRef/>
      </w:r>
      <w:r>
        <w:t xml:space="preserve"> Ibid. </w:t>
      </w:r>
    </w:p>
    <w:p w14:paraId="6BEB08E3" w14:textId="77777777" w:rsidR="00C80A0C" w:rsidRDefault="005E499E">
      <w:pPr>
        <w:pStyle w:val="footnotedescription"/>
        <w:spacing w:after="51"/>
      </w:pPr>
      <w:r>
        <w:rPr>
          <w:sz w:val="12"/>
        </w:rPr>
        <w:t>27</w:t>
      </w:r>
      <w:r>
        <w:t xml:space="preserve">  </w:t>
      </w:r>
    </w:p>
  </w:footnote>
  <w:footnote w:id="25">
    <w:p w14:paraId="32C0CB66" w14:textId="77777777" w:rsidR="00C80A0C" w:rsidRDefault="005E499E">
      <w:pPr>
        <w:pStyle w:val="footnotedescription"/>
        <w:spacing w:line="241" w:lineRule="auto"/>
      </w:pPr>
      <w:r>
        <w:rPr>
          <w:rStyle w:val="footnotemark"/>
        </w:rPr>
        <w:footnoteRef/>
      </w:r>
      <w:r>
        <w:t xml:space="preserve"> Brennan, D. (2024b, November 21). </w:t>
      </w:r>
      <w:r>
        <w:rPr>
          <w:i/>
        </w:rPr>
        <w:t xml:space="preserve">Underfunding of Indigenous-led child protection services continues despite growing need, report reveals. </w:t>
      </w:r>
      <w:r>
        <w:t>National Indigenous Times. https://nit.com.au/21-11-2024/14972/underfunding-of-indigenous-led-child-protectionservices-continues-despite-growing-need-snaicc-report-reveals</w:t>
      </w:r>
      <w:r>
        <w:rPr>
          <w:sz w:val="20"/>
        </w:rPr>
        <w:t xml:space="preserve"> </w:t>
      </w:r>
    </w:p>
  </w:footnote>
  <w:footnote w:id="26">
    <w:p w14:paraId="2947E74A" w14:textId="77777777" w:rsidR="00C80A0C" w:rsidRDefault="005E499E">
      <w:pPr>
        <w:pStyle w:val="footnotedescription"/>
        <w:spacing w:line="244" w:lineRule="auto"/>
      </w:pPr>
      <w:r>
        <w:rPr>
          <w:rStyle w:val="footnotemark"/>
        </w:rPr>
        <w:footnoteRef/>
      </w:r>
      <w:r>
        <w:t xml:space="preserve"> Bunger, A.C., Chuang, E., Girth, A.M. et al. </w:t>
      </w:r>
      <w:r>
        <w:rPr>
          <w:i/>
        </w:rPr>
        <w:t>Specifying cross-system collaboration strategies for implementation: a multi-site qualitative study with child welfare and behavioral health organizations.</w:t>
      </w:r>
      <w:r>
        <w:t xml:space="preserve"> Implementation Sci 19, 13 (2024). https://doi.org/10.1186/s13012-024-01335-1 </w:t>
      </w:r>
    </w:p>
  </w:footnote>
  <w:footnote w:id="27">
    <w:p w14:paraId="4680D68D" w14:textId="77777777" w:rsidR="00C80A0C" w:rsidRDefault="005E499E">
      <w:pPr>
        <w:pStyle w:val="footnotedescription"/>
        <w:spacing w:after="2" w:line="250" w:lineRule="auto"/>
      </w:pPr>
      <w:r>
        <w:rPr>
          <w:rStyle w:val="footnotemark"/>
        </w:rPr>
        <w:footnoteRef/>
      </w:r>
      <w:r>
        <w:t xml:space="preserve"> </w:t>
      </w:r>
      <w:r>
        <w:t xml:space="preserve">United Nations Children’s Fund, </w:t>
      </w:r>
      <w:r>
        <w:rPr>
          <w:i/>
        </w:rPr>
        <w:t xml:space="preserve">‘Multidisciplinary Models of Care for Child Victims and Survivors of Sexual Abuse and Exploitation in the Digital Age: A rapid review of the literature on child-centred services responding to in-person and technology-facilitated abuse’, </w:t>
      </w:r>
      <w:r>
        <w:t xml:space="preserve">UNICEF, New York, March 2025. </w:t>
      </w:r>
    </w:p>
  </w:footnote>
  <w:footnote w:id="28">
    <w:p w14:paraId="57B3C2CD" w14:textId="77777777" w:rsidR="00C80A0C" w:rsidRDefault="005E499E">
      <w:pPr>
        <w:pStyle w:val="footnotedescription"/>
      </w:pPr>
      <w:r>
        <w:rPr>
          <w:rStyle w:val="footnotemark"/>
        </w:rPr>
        <w:footnoteRef/>
      </w:r>
      <w:r>
        <w:t xml:space="preserve"> SNAICC. (2024a). </w:t>
      </w:r>
      <w:r>
        <w:rPr>
          <w:i/>
        </w:rPr>
        <w:t>Family Matters Report 2024</w:t>
      </w:r>
      <w:r>
        <w:t>. https://www.snaicc.org.au/wp-content/uploads/2025/02/250207-Family-Matters-</w:t>
      </w:r>
    </w:p>
    <w:p w14:paraId="26451BAD" w14:textId="77777777" w:rsidR="00C80A0C" w:rsidRDefault="005E499E">
      <w:pPr>
        <w:pStyle w:val="footnotedescription"/>
        <w:spacing w:after="4"/>
      </w:pPr>
      <w:r>
        <w:t xml:space="preserve">Report-2024.pdf </w:t>
      </w:r>
    </w:p>
    <w:p w14:paraId="44437039" w14:textId="77777777" w:rsidR="00C80A0C" w:rsidRDefault="005E499E">
      <w:pPr>
        <w:pStyle w:val="footnotedescription"/>
      </w:pPr>
      <w:r>
        <w:rPr>
          <w:sz w:val="20"/>
        </w:rPr>
        <w:t xml:space="preserve"> </w:t>
      </w:r>
    </w:p>
  </w:footnote>
  <w:footnote w:id="29">
    <w:p w14:paraId="6A351345" w14:textId="77777777" w:rsidR="00C80A0C" w:rsidRDefault="005E499E">
      <w:pPr>
        <w:pStyle w:val="footnotedescription"/>
        <w:spacing w:line="247" w:lineRule="auto"/>
      </w:pPr>
      <w:r>
        <w:rPr>
          <w:rStyle w:val="footnotemark"/>
        </w:rPr>
        <w:footnoteRef/>
      </w:r>
      <w:r>
        <w:t xml:space="preserve"> National Office for Child Safety. (2023). </w:t>
      </w:r>
      <w:r>
        <w:rPr>
          <w:i/>
        </w:rPr>
        <w:t>Keeping Our Kids Safe.</w:t>
      </w:r>
      <w:r>
        <w:t xml:space="preserve"> Available at: https://www.childsafety.gov.au/what-we-do/leadnational-principles-child-safe-organisations/keeping-our-kids-safe. </w:t>
      </w:r>
    </w:p>
  </w:footnote>
  <w:footnote w:id="30">
    <w:p w14:paraId="113132BC" w14:textId="77777777" w:rsidR="00C80A0C" w:rsidRDefault="005E499E">
      <w:pPr>
        <w:pStyle w:val="footnotedescription"/>
        <w:spacing w:after="11" w:line="252" w:lineRule="auto"/>
      </w:pPr>
      <w:r>
        <w:rPr>
          <w:rStyle w:val="footnotemark"/>
        </w:rPr>
        <w:footnoteRef/>
      </w:r>
      <w:r>
        <w:t xml:space="preserve"> Australian Government.</w:t>
      </w:r>
      <w:r>
        <w:rPr>
          <w:i/>
        </w:rPr>
        <w:t xml:space="preserve"> “National Principles for Child Safe Organisations.” </w:t>
      </w:r>
      <w:r>
        <w:t xml:space="preserve">National Office for Child Safety, 10 Oct. 2022, www.childsafety.gov.au/resources/national-principles-child-safe-organisations. </w:t>
      </w:r>
    </w:p>
    <w:p w14:paraId="277402A8" w14:textId="77777777" w:rsidR="00C80A0C" w:rsidRDefault="005E499E">
      <w:pPr>
        <w:pStyle w:val="footnotedescription"/>
      </w:pPr>
      <w:r>
        <w:rPr>
          <w:sz w:val="20"/>
        </w:rPr>
        <w:t xml:space="preserve"> </w:t>
      </w:r>
    </w:p>
  </w:footnote>
  <w:footnote w:id="31">
    <w:p w14:paraId="2896AEE4" w14:textId="77777777" w:rsidR="00C80A0C" w:rsidRDefault="005E499E">
      <w:pPr>
        <w:pStyle w:val="footnotedescription"/>
      </w:pPr>
      <w:r>
        <w:rPr>
          <w:rStyle w:val="footnotemark"/>
        </w:rPr>
        <w:footnoteRef/>
      </w:r>
      <w:r>
        <w:t xml:space="preserve"> https://www.snaicc.org.au/our-work/our-ways-strong-ways-our-voices/ </w:t>
      </w:r>
    </w:p>
  </w:footnote>
  <w:footnote w:id="32">
    <w:p w14:paraId="37C01BB9" w14:textId="77777777" w:rsidR="00C80A0C" w:rsidRDefault="005E499E">
      <w:pPr>
        <w:pStyle w:val="footnotedescription"/>
        <w:jc w:val="both"/>
      </w:pPr>
      <w:r>
        <w:rPr>
          <w:rStyle w:val="footnotemark"/>
        </w:rPr>
        <w:footnoteRef/>
      </w:r>
      <w:r>
        <w:t xml:space="preserve"> Dfsvc.gov.au. (2025).</w:t>
      </w:r>
      <w:r>
        <w:rPr>
          <w:i/>
        </w:rPr>
        <w:t xml:space="preserve"> Multicultural Communities Roundtable Summary Report Domestic, Family and Sexual Violence Commission.</w:t>
      </w:r>
      <w:r>
        <w:t xml:space="preserve"> </w:t>
      </w:r>
    </w:p>
    <w:p w14:paraId="5FF45934" w14:textId="77777777" w:rsidR="00C80A0C" w:rsidRDefault="005E499E">
      <w:pPr>
        <w:pStyle w:val="footnotedescription"/>
      </w:pPr>
      <w:r>
        <w:t xml:space="preserve">Available at: https://www.dfsvc.gov.au/multicultural-communities-roundtable-summary-report. </w:t>
      </w:r>
    </w:p>
  </w:footnote>
  <w:footnote w:id="33">
    <w:p w14:paraId="3C0F074B" w14:textId="77777777" w:rsidR="00C80A0C" w:rsidRDefault="005E499E">
      <w:pPr>
        <w:pStyle w:val="footnotedescription"/>
      </w:pPr>
      <w:r>
        <w:rPr>
          <w:rStyle w:val="footnotemark"/>
        </w:rPr>
        <w:footnoteRef/>
      </w:r>
      <w:r>
        <w:t xml:space="preserve"> LGBTI Health Alliance (Feb 2020). </w:t>
      </w:r>
      <w:r>
        <w:rPr>
          <w:i/>
        </w:rPr>
        <w:t>Snapshot of mental health and suicide prevention statistics for LGBTI people</w:t>
      </w:r>
      <w:r>
        <w:rPr>
          <w:sz w:val="20"/>
        </w:rPr>
        <w:t xml:space="preserve"> </w:t>
      </w:r>
    </w:p>
  </w:footnote>
  <w:footnote w:id="34">
    <w:p w14:paraId="27979533" w14:textId="77777777" w:rsidR="00C80A0C" w:rsidRDefault="005E499E">
      <w:pPr>
        <w:pStyle w:val="footnotedescription"/>
        <w:spacing w:line="251" w:lineRule="auto"/>
        <w:ind w:right="491"/>
      </w:pPr>
      <w:r>
        <w:rPr>
          <w:rStyle w:val="footnotemark"/>
        </w:rPr>
        <w:footnoteRef/>
      </w:r>
      <w:r>
        <w:t xml:space="preserve"> Australian Institute of Health and Welfare (2022). </w:t>
      </w:r>
      <w:r>
        <w:rPr>
          <w:i/>
        </w:rPr>
        <w:t>Australia’s children, children with disability.</w:t>
      </w:r>
      <w:r>
        <w:t xml:space="preserve"> Australian Institute of Health and Welfare. Available at: https://www.aihw.gov.au/reports/children-youth/australias-children/contents/health/children-disabilities. </w:t>
      </w:r>
      <w:r>
        <w:rPr>
          <w:vertAlign w:val="superscript"/>
        </w:rPr>
        <w:t>38</w:t>
      </w:r>
      <w:r>
        <w:t xml:space="preserve"> Health, </w:t>
      </w:r>
      <w:r>
        <w:rPr>
          <w:i/>
        </w:rPr>
        <w:t xml:space="preserve">“Australia’s Disability Strategy.” </w:t>
      </w:r>
      <w:r>
        <w:t xml:space="preserve">Australian Government Department of Health, Disability and Ageing, 28 July 2025, www.health.gov.au/our-work/australias-disability-strategy#australias-disability-strategy-20212031. </w:t>
      </w:r>
    </w:p>
  </w:footnote>
  <w:footnote w:id="35">
    <w:p w14:paraId="7D438DE8" w14:textId="77777777" w:rsidR="00C80A0C" w:rsidRDefault="005E499E">
      <w:pPr>
        <w:pStyle w:val="footnotedescription"/>
      </w:pPr>
      <w:r>
        <w:rPr>
          <w:rStyle w:val="footnotemark"/>
        </w:rPr>
        <w:footnoteRef/>
      </w:r>
      <w:r>
        <w:t xml:space="preserve"> </w:t>
      </w:r>
      <w:hyperlink r:id="rId1">
        <w:r>
          <w:rPr>
            <w:color w:val="627AFF"/>
            <w:u w:val="single" w:color="627AFF"/>
          </w:rPr>
          <w:t>www.disabilitygateway.gov.au</w:t>
        </w:r>
      </w:hyperlink>
      <w:hyperlink r:id="rId2">
        <w:r>
          <w:t>.</w:t>
        </w:r>
      </w:hyperlink>
      <w:r>
        <w:t xml:space="preserve"> </w:t>
      </w:r>
      <w:r>
        <w:rPr>
          <w:i/>
        </w:rPr>
        <w:t>The Strategy and supporting documents.</w:t>
      </w:r>
      <w:r>
        <w:t xml:space="preserve"> Disability Gateway. Available at: </w:t>
      </w:r>
    </w:p>
    <w:p w14:paraId="23A7E8F5" w14:textId="77777777" w:rsidR="00C80A0C" w:rsidRDefault="005E499E">
      <w:pPr>
        <w:pStyle w:val="footnotedescription"/>
      </w:pPr>
      <w:r>
        <w:t xml:space="preserve">https://www.disabilitygateway.gov.au/ads/strategy. </w:t>
      </w:r>
    </w:p>
  </w:footnote>
  <w:footnote w:id="36">
    <w:p w14:paraId="7BA0B33A" w14:textId="77777777" w:rsidR="00C80A0C" w:rsidRDefault="005E499E">
      <w:pPr>
        <w:pStyle w:val="footnotedescription"/>
        <w:spacing w:line="252" w:lineRule="auto"/>
      </w:pPr>
      <w:r>
        <w:rPr>
          <w:rStyle w:val="footnotemark"/>
        </w:rPr>
        <w:footnoteRef/>
      </w:r>
      <w:r>
        <w:t xml:space="preserve"> Beal, J. (2024). </w:t>
      </w:r>
      <w:r>
        <w:rPr>
          <w:i/>
        </w:rPr>
        <w:t>What Are Third Places and Why Do They Matter?</w:t>
      </w:r>
      <w:r>
        <w:t xml:space="preserve"> Albert Shanker Institute. Available at: https://www.shankerinstitute.org/blog/what-are-third-places-and-why-do-they-matter. </w:t>
      </w:r>
    </w:p>
  </w:footnote>
  <w:footnote w:id="37">
    <w:p w14:paraId="5F08A910" w14:textId="77777777" w:rsidR="00C80A0C" w:rsidRDefault="005E499E">
      <w:pPr>
        <w:pStyle w:val="footnotedescription"/>
        <w:spacing w:after="11"/>
      </w:pPr>
      <w:r>
        <w:rPr>
          <w:rStyle w:val="footnotemark"/>
        </w:rPr>
        <w:footnoteRef/>
      </w:r>
      <w:r>
        <w:t xml:space="preserve"> Ibid. </w:t>
      </w:r>
    </w:p>
  </w:footnote>
  <w:footnote w:id="38">
    <w:p w14:paraId="6A4AA15A" w14:textId="77777777" w:rsidR="00C80A0C" w:rsidRDefault="005E499E">
      <w:pPr>
        <w:pStyle w:val="footnotedescription"/>
      </w:pPr>
      <w:r>
        <w:rPr>
          <w:rStyle w:val="footnotemark"/>
        </w:rPr>
        <w:footnoteRef/>
      </w:r>
      <w:r>
        <w:t xml:space="preserve"> Ibid.</w:t>
      </w:r>
      <w:r>
        <w:rPr>
          <w:sz w:val="20"/>
        </w:rPr>
        <w:t xml:space="preserve"> </w:t>
      </w:r>
    </w:p>
  </w:footnote>
  <w:footnote w:id="39">
    <w:p w14:paraId="4C1CF208" w14:textId="77777777" w:rsidR="00C80A0C" w:rsidRDefault="005E499E">
      <w:pPr>
        <w:pStyle w:val="footnotedescription"/>
        <w:spacing w:line="244" w:lineRule="auto"/>
      </w:pPr>
      <w:r>
        <w:rPr>
          <w:rStyle w:val="footnotemark"/>
        </w:rPr>
        <w:footnoteRef/>
      </w:r>
      <w:r>
        <w:t xml:space="preserve"> HTLAUS (2024). </w:t>
      </w:r>
      <w:r>
        <w:rPr>
          <w:i/>
        </w:rPr>
        <w:t xml:space="preserve">Creating Safe Spaces: Building Supportive Communities for Abuse Victims. </w:t>
      </w:r>
      <w:r>
        <w:t xml:space="preserve">Healing Through Love - Shifting awareness on domestic and family violence. Available at: https://htlaustralia.org/creating-safe-spaces-building-supportivecommunities-for-abuse-victims/. </w:t>
      </w:r>
    </w:p>
  </w:footnote>
  <w:footnote w:id="40">
    <w:p w14:paraId="0D7DEBCF" w14:textId="77777777" w:rsidR="00C80A0C" w:rsidRDefault="005E499E">
      <w:pPr>
        <w:pStyle w:val="footnotedescription"/>
        <w:spacing w:line="258" w:lineRule="auto"/>
      </w:pPr>
      <w:r>
        <w:rPr>
          <w:rStyle w:val="footnotemark"/>
        </w:rPr>
        <w:footnoteRef/>
      </w:r>
      <w:r>
        <w:t xml:space="preserve"> Community Psychology: Social Justice Through Collaborative Research and Action. (n.d.). </w:t>
      </w:r>
      <w:r>
        <w:rPr>
          <w:i/>
        </w:rPr>
        <w:t>How Can ‘Third Place’ Settings Support Young People who Endure Social Marginalization?</w:t>
      </w:r>
      <w:r>
        <w:t xml:space="preserve"> Available at: https://www.communitypsychology.com/third-places/. </w:t>
      </w:r>
    </w:p>
  </w:footnote>
  <w:footnote w:id="41">
    <w:p w14:paraId="32CC21F1" w14:textId="77777777" w:rsidR="00C80A0C" w:rsidRDefault="005E499E">
      <w:pPr>
        <w:pStyle w:val="footnotedescription"/>
        <w:spacing w:line="244" w:lineRule="auto"/>
      </w:pPr>
      <w:r>
        <w:rPr>
          <w:rStyle w:val="footnotemark"/>
        </w:rPr>
        <w:footnoteRef/>
      </w:r>
      <w:r>
        <w:t xml:space="preserve"> </w:t>
      </w:r>
      <w:r>
        <w:rPr>
          <w:i/>
        </w:rPr>
        <w:t xml:space="preserve">Freedom From Abuse. </w:t>
      </w:r>
      <w:r>
        <w:t xml:space="preserve">(2023). Available at: https://www.abusefreedom.com/abuse-in-relationships/the-role-of-community-insupporting-abuse-victims/. </w:t>
      </w:r>
    </w:p>
  </w:footnote>
  <w:footnote w:id="42">
    <w:p w14:paraId="5C3EE7CD" w14:textId="77777777" w:rsidR="00C80A0C" w:rsidRDefault="005E499E">
      <w:pPr>
        <w:pStyle w:val="footnotedescription"/>
        <w:spacing w:line="249" w:lineRule="auto"/>
      </w:pPr>
      <w:r>
        <w:rPr>
          <w:rStyle w:val="footnotemark"/>
        </w:rPr>
        <w:footnoteRef/>
      </w:r>
      <w:r>
        <w:t xml:space="preserve"> </w:t>
      </w:r>
      <w:r>
        <w:rPr>
          <w:sz w:val="20"/>
        </w:rPr>
        <w:t xml:space="preserve">Closing the Gap Priority Reform Two Aligning to Closing the Gap: </w:t>
      </w:r>
      <w:r>
        <w:rPr>
          <w:i/>
          <w:sz w:val="20"/>
        </w:rPr>
        <w:t>Competitive Grants Guidelines Closing the Gap Grants Prioritisation Guide Purpose.</w:t>
      </w:r>
      <w:r>
        <w:rPr>
          <w:sz w:val="20"/>
        </w:rPr>
        <w:t xml:space="preserve"> (n.d.). Available at: https://www.niaa.gov.au/sites/default/files/documents/202507/NIAA-Closing-the-Gap-Grants-Prioritisation-Guide.pdf. </w:t>
      </w:r>
    </w:p>
    <w:p w14:paraId="744F87B9" w14:textId="77777777" w:rsidR="00C80A0C" w:rsidRDefault="005E499E">
      <w:pPr>
        <w:pStyle w:val="footnotedescription"/>
      </w:pPr>
      <w:r>
        <w:rPr>
          <w:sz w:val="20"/>
        </w:rPr>
        <w:t xml:space="preserve"> </w:t>
      </w:r>
    </w:p>
  </w:footnote>
  <w:footnote w:id="43">
    <w:p w14:paraId="2A16C5C2" w14:textId="77777777" w:rsidR="00C80A0C" w:rsidRDefault="005E499E">
      <w:pPr>
        <w:pStyle w:val="footnotedescription"/>
        <w:spacing w:after="7"/>
      </w:pPr>
      <w:r>
        <w:rPr>
          <w:rStyle w:val="footnotemark"/>
        </w:rPr>
        <w:footnoteRef/>
      </w:r>
      <w:r>
        <w:t xml:space="preserve"> </w:t>
      </w:r>
      <w:r>
        <w:rPr>
          <w:sz w:val="20"/>
        </w:rPr>
        <w:t xml:space="preserve">Ibid. </w:t>
      </w:r>
    </w:p>
  </w:footnote>
  <w:footnote w:id="44">
    <w:p w14:paraId="46AD7F90" w14:textId="77777777" w:rsidR="00C80A0C" w:rsidRDefault="005E499E">
      <w:pPr>
        <w:pStyle w:val="footnotedescription"/>
        <w:spacing w:after="7"/>
      </w:pPr>
      <w:r>
        <w:rPr>
          <w:rStyle w:val="footnotemark"/>
        </w:rPr>
        <w:footnoteRef/>
      </w:r>
      <w:r>
        <w:t xml:space="preserve"> </w:t>
      </w:r>
      <w:r>
        <w:rPr>
          <w:sz w:val="20"/>
        </w:rPr>
        <w:t xml:space="preserve">Ibid. </w:t>
      </w:r>
    </w:p>
  </w:footnote>
  <w:footnote w:id="45">
    <w:p w14:paraId="09039A39" w14:textId="77777777" w:rsidR="00C80A0C" w:rsidRDefault="005E499E">
      <w:pPr>
        <w:pStyle w:val="footnotedescription"/>
      </w:pPr>
      <w:r>
        <w:rPr>
          <w:rStyle w:val="footnotemark"/>
        </w:rPr>
        <w:footnoteRef/>
      </w:r>
      <w:r>
        <w:t xml:space="preserve"> </w:t>
      </w:r>
      <w:r>
        <w:rPr>
          <w:sz w:val="20"/>
        </w:rPr>
        <w:t xml:space="preserve">Ibid. </w:t>
      </w:r>
    </w:p>
  </w:footnote>
  <w:footnote w:id="46">
    <w:p w14:paraId="6A402730" w14:textId="77777777" w:rsidR="00C80A0C" w:rsidRDefault="005E499E">
      <w:pPr>
        <w:pStyle w:val="footnotedescription"/>
        <w:spacing w:line="255" w:lineRule="auto"/>
      </w:pPr>
      <w:r>
        <w:rPr>
          <w:rStyle w:val="footnotemark"/>
        </w:rPr>
        <w:footnoteRef/>
      </w:r>
      <w:r>
        <w:t xml:space="preserve"> </w:t>
      </w:r>
      <w:r>
        <w:rPr>
          <w:sz w:val="20"/>
        </w:rPr>
        <w:t xml:space="preserve">SNAICC (2022). </w:t>
      </w:r>
      <w:r>
        <w:rPr>
          <w:i/>
          <w:sz w:val="20"/>
        </w:rPr>
        <w:t xml:space="preserve">STRONGER ACCOS, STRONGER FAMILIES FINAL REPORT. </w:t>
      </w:r>
      <w:r>
        <w:rPr>
          <w:sz w:val="20"/>
        </w:rPr>
        <w:t xml:space="preserve">Available at: https://www.snaicc.org.au/wp-content/uploads/2023/05/SNAICC-Stronger-ACCOs-Stronger-Families-report-2022.pdf. </w:t>
      </w:r>
    </w:p>
  </w:footnote>
  <w:footnote w:id="47">
    <w:p w14:paraId="3A2C5C44" w14:textId="77777777" w:rsidR="00C80A0C" w:rsidRDefault="005E499E">
      <w:pPr>
        <w:pStyle w:val="footnotedescription"/>
        <w:spacing w:line="248" w:lineRule="auto"/>
      </w:pPr>
      <w:r>
        <w:rPr>
          <w:rStyle w:val="footnotemark"/>
        </w:rPr>
        <w:footnoteRef/>
      </w:r>
      <w:r>
        <w:t xml:space="preserve"> </w:t>
      </w:r>
      <w:r>
        <w:rPr>
          <w:sz w:val="20"/>
        </w:rPr>
        <w:t>Govt.nz. (2024).</w:t>
      </w:r>
      <w:r>
        <w:rPr>
          <w:i/>
          <w:sz w:val="20"/>
        </w:rPr>
        <w:t xml:space="preserve"> Te Aorerekura Implementation Plan. </w:t>
      </w:r>
      <w:r>
        <w:rPr>
          <w:sz w:val="20"/>
        </w:rPr>
        <w:t>Available at: https://www.corrections.govt.nz/resources/strategic_reports/te_aorerekura_implementation_plan [Accessed 2 Dec. 2025].</w:t>
      </w:r>
      <w:r>
        <w:rPr>
          <w:color w:val="000000"/>
          <w:sz w:val="20"/>
        </w:rPr>
        <w:t xml:space="preserve"> </w:t>
      </w:r>
    </w:p>
  </w:footnote>
  <w:footnote w:id="48">
    <w:p w14:paraId="52DC71E5" w14:textId="77777777" w:rsidR="00C80A0C" w:rsidRDefault="005E499E">
      <w:pPr>
        <w:pStyle w:val="footnotedescription"/>
      </w:pPr>
      <w:r>
        <w:rPr>
          <w:rStyle w:val="footnotemark"/>
        </w:rPr>
        <w:footnoteRef/>
      </w:r>
      <w:r>
        <w:t xml:space="preserve"> </w:t>
      </w:r>
      <w:r>
        <w:rPr>
          <w:sz w:val="20"/>
        </w:rPr>
        <w:t xml:space="preserve">Ibid. </w:t>
      </w:r>
    </w:p>
  </w:footnote>
  <w:footnote w:id="49">
    <w:p w14:paraId="6E0A4C2F" w14:textId="77777777" w:rsidR="00C80A0C" w:rsidRDefault="005E499E">
      <w:pPr>
        <w:pStyle w:val="footnotedescription"/>
        <w:spacing w:line="252" w:lineRule="auto"/>
      </w:pPr>
      <w:r>
        <w:rPr>
          <w:rStyle w:val="footnotemark"/>
        </w:rPr>
        <w:footnoteRef/>
      </w:r>
      <w:r>
        <w:t xml:space="preserve"> </w:t>
      </w:r>
      <w:r>
        <w:t xml:space="preserve">O’Donnell, M., Lima, F., Maclean, M., Marriott, R. and Taplin, S. (2023). </w:t>
      </w:r>
      <w:r>
        <w:rPr>
          <w:i/>
        </w:rPr>
        <w:t>Infant and Pre-birth Involvement With Child Protection Across Australia.</w:t>
      </w:r>
      <w:r>
        <w:t xml:space="preserve"> </w:t>
      </w:r>
      <w:r>
        <w:t xml:space="preserve">Child Maltreatment, 28(4). doi:https://doi.org/10.1177/10775595231186647. </w:t>
      </w:r>
    </w:p>
  </w:footnote>
  <w:footnote w:id="50">
    <w:p w14:paraId="1C1999CB" w14:textId="77777777" w:rsidR="00C80A0C" w:rsidRDefault="005E499E">
      <w:pPr>
        <w:pStyle w:val="footnotedescription"/>
        <w:spacing w:after="1" w:line="254" w:lineRule="auto"/>
      </w:pPr>
      <w:r>
        <w:rPr>
          <w:rStyle w:val="footnotemark"/>
        </w:rPr>
        <w:footnoteRef/>
      </w:r>
      <w:r>
        <w:t xml:space="preserve"> Krollig, M. (2019). </w:t>
      </w:r>
      <w:r>
        <w:rPr>
          <w:i/>
        </w:rPr>
        <w:t xml:space="preserve">Young parents and child protection: the intergenerational story. </w:t>
      </w:r>
      <w:r>
        <w:t xml:space="preserve">Children’s Research Foundation. Available at: </w:t>
      </w:r>
      <w:r>
        <w:t xml:space="preserve">https://crf.org.au/young-parents-and-child-protection-the-intergenerational-story/. </w:t>
      </w:r>
    </w:p>
  </w:footnote>
  <w:footnote w:id="51">
    <w:p w14:paraId="1D2DB7D2" w14:textId="77777777" w:rsidR="00C80A0C" w:rsidRDefault="005E499E">
      <w:pPr>
        <w:pStyle w:val="footnotedescription"/>
        <w:spacing w:line="245" w:lineRule="auto"/>
        <w:jc w:val="both"/>
      </w:pPr>
      <w:r>
        <w:rPr>
          <w:rStyle w:val="footnotemark"/>
        </w:rPr>
        <w:footnoteRef/>
      </w:r>
      <w:r>
        <w:t xml:space="preserve"> </w:t>
      </w:r>
      <w:r>
        <w:t>“Children, Youth and Families Act 2005.” Vic.gov.au, 2024, www.legislation.vic.gov.au/in</w:t>
      </w:r>
      <w:r>
        <w:t xml:space="preserve">-force/acts/children-youth-and-families-act2005/143. </w:t>
      </w:r>
    </w:p>
  </w:footnote>
  <w:footnote w:id="52">
    <w:p w14:paraId="7DF1BA2B" w14:textId="77777777" w:rsidR="00C80A0C" w:rsidRDefault="005E499E">
      <w:pPr>
        <w:pStyle w:val="footnotedescription"/>
        <w:spacing w:line="264" w:lineRule="auto"/>
      </w:pPr>
      <w:r>
        <w:rPr>
          <w:rStyle w:val="footnotemark"/>
        </w:rPr>
        <w:footnoteRef/>
      </w:r>
      <w:r>
        <w:t xml:space="preserve"> </w:t>
      </w:r>
      <w:r>
        <w:t xml:space="preserve">Queensland Government. “Child Protection Act 1999.” Queensland Government, 2024, </w:t>
      </w:r>
      <w:r>
        <w:t xml:space="preserve">www.legislation.qld.gov.au/view/html/inforce/current/act-1999-010. </w:t>
      </w:r>
    </w:p>
    <w:p w14:paraId="3D7FFD61" w14:textId="77777777" w:rsidR="00C80A0C" w:rsidRDefault="005E499E">
      <w:pPr>
        <w:pStyle w:val="footnotedescription"/>
      </w:pPr>
      <w:r>
        <w:rPr>
          <w:sz w:val="20"/>
        </w:rPr>
        <w:t xml:space="preserve"> </w:t>
      </w:r>
    </w:p>
  </w:footnote>
  <w:footnote w:id="53">
    <w:p w14:paraId="72285285" w14:textId="77777777" w:rsidR="00C80A0C" w:rsidRDefault="005E499E">
      <w:pPr>
        <w:pStyle w:val="footnotedescription"/>
        <w:spacing w:line="247" w:lineRule="auto"/>
      </w:pPr>
      <w:r>
        <w:rPr>
          <w:rStyle w:val="footnotemark"/>
        </w:rPr>
        <w:footnoteRef/>
      </w:r>
      <w:r>
        <w:t xml:space="preserve"> United Nations Population Fund. (2025). </w:t>
      </w:r>
      <w:r>
        <w:rPr>
          <w:i/>
        </w:rPr>
        <w:t>Start with Her: UNFPA Strategy for Reproductive, Maternal and Newborn Health and WellBeing 2025–2030.</w:t>
      </w:r>
      <w:r>
        <w:t xml:space="preserve"> [online] Available at: https://www.unfpa.org/publications/start-her-unfpa-strategy-reproductive-maternal-andnewborn-health-and-well-being-2025. </w:t>
      </w:r>
    </w:p>
  </w:footnote>
  <w:footnote w:id="54">
    <w:p w14:paraId="0FF2A1D2" w14:textId="77777777" w:rsidR="00C80A0C" w:rsidRDefault="005E499E">
      <w:pPr>
        <w:pStyle w:val="footnotedescription"/>
      </w:pPr>
      <w:r>
        <w:rPr>
          <w:rStyle w:val="footnotemark"/>
        </w:rPr>
        <w:footnoteRef/>
      </w:r>
      <w:r>
        <w:t xml:space="preserve"> </w:t>
      </w:r>
      <w:r>
        <w:rPr>
          <w:sz w:val="20"/>
        </w:rPr>
        <w:t xml:space="preserve">Ibid.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96070"/>
    <w:multiLevelType w:val="hybridMultilevel"/>
    <w:tmpl w:val="C9A2C2DE"/>
    <w:lvl w:ilvl="0" w:tplc="3BA6C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A2104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F45D4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4843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DC523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1E9B5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F2C96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0C48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34652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DEA76FF"/>
    <w:multiLevelType w:val="hybridMultilevel"/>
    <w:tmpl w:val="C032E0C2"/>
    <w:lvl w:ilvl="0" w:tplc="0B5417E8">
      <w:start w:val="1"/>
      <w:numFmt w:val="decimal"/>
      <w:lvlText w:val="%1."/>
      <w:lvlJc w:val="left"/>
      <w:pPr>
        <w:ind w:left="720"/>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1" w:tplc="77402F38">
      <w:start w:val="1"/>
      <w:numFmt w:val="lowerLetter"/>
      <w:lvlText w:val="%2"/>
      <w:lvlJc w:val="left"/>
      <w:pPr>
        <w:ind w:left="144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2" w:tplc="077ECA08">
      <w:start w:val="1"/>
      <w:numFmt w:val="lowerRoman"/>
      <w:lvlText w:val="%3"/>
      <w:lvlJc w:val="left"/>
      <w:pPr>
        <w:ind w:left="216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3" w:tplc="2D961974">
      <w:start w:val="1"/>
      <w:numFmt w:val="decimal"/>
      <w:lvlText w:val="%4"/>
      <w:lvlJc w:val="left"/>
      <w:pPr>
        <w:ind w:left="288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4" w:tplc="E87800B6">
      <w:start w:val="1"/>
      <w:numFmt w:val="lowerLetter"/>
      <w:lvlText w:val="%5"/>
      <w:lvlJc w:val="left"/>
      <w:pPr>
        <w:ind w:left="360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5" w:tplc="B0645EEA">
      <w:start w:val="1"/>
      <w:numFmt w:val="lowerRoman"/>
      <w:lvlText w:val="%6"/>
      <w:lvlJc w:val="left"/>
      <w:pPr>
        <w:ind w:left="432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6" w:tplc="97B8FE72">
      <w:start w:val="1"/>
      <w:numFmt w:val="decimal"/>
      <w:lvlText w:val="%7"/>
      <w:lvlJc w:val="left"/>
      <w:pPr>
        <w:ind w:left="504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7" w:tplc="F14A45A8">
      <w:start w:val="1"/>
      <w:numFmt w:val="lowerLetter"/>
      <w:lvlText w:val="%8"/>
      <w:lvlJc w:val="left"/>
      <w:pPr>
        <w:ind w:left="576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8" w:tplc="D14AA18C">
      <w:start w:val="1"/>
      <w:numFmt w:val="lowerRoman"/>
      <w:lvlText w:val="%9"/>
      <w:lvlJc w:val="left"/>
      <w:pPr>
        <w:ind w:left="648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abstractNum>
  <w:abstractNum w:abstractNumId="2" w15:restartNumberingAfterBreak="0">
    <w:nsid w:val="11187825"/>
    <w:multiLevelType w:val="hybridMultilevel"/>
    <w:tmpl w:val="EB3E418E"/>
    <w:lvl w:ilvl="0" w:tplc="45ECBB0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9695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10870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A88A3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B8E8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0CF0C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DC51D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CA64A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EC62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13E28D0"/>
    <w:multiLevelType w:val="hybridMultilevel"/>
    <w:tmpl w:val="F96086B0"/>
    <w:lvl w:ilvl="0" w:tplc="93409C16">
      <w:start w:val="1"/>
      <w:numFmt w:val="decimal"/>
      <w:lvlText w:val="%1."/>
      <w:lvlJc w:val="left"/>
      <w:pPr>
        <w:ind w:left="360"/>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1" w:tplc="9A787306">
      <w:start w:val="1"/>
      <w:numFmt w:val="lowerLetter"/>
      <w:lvlText w:val="%2"/>
      <w:lvlJc w:val="left"/>
      <w:pPr>
        <w:ind w:left="144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2" w:tplc="0F1CEE18">
      <w:start w:val="1"/>
      <w:numFmt w:val="lowerRoman"/>
      <w:lvlText w:val="%3"/>
      <w:lvlJc w:val="left"/>
      <w:pPr>
        <w:ind w:left="216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3" w:tplc="D32CF0CE">
      <w:start w:val="1"/>
      <w:numFmt w:val="decimal"/>
      <w:lvlText w:val="%4"/>
      <w:lvlJc w:val="left"/>
      <w:pPr>
        <w:ind w:left="288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4" w:tplc="C8D418CC">
      <w:start w:val="1"/>
      <w:numFmt w:val="lowerLetter"/>
      <w:lvlText w:val="%5"/>
      <w:lvlJc w:val="left"/>
      <w:pPr>
        <w:ind w:left="360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5" w:tplc="D3A4E902">
      <w:start w:val="1"/>
      <w:numFmt w:val="lowerRoman"/>
      <w:lvlText w:val="%6"/>
      <w:lvlJc w:val="left"/>
      <w:pPr>
        <w:ind w:left="432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6" w:tplc="7E481D92">
      <w:start w:val="1"/>
      <w:numFmt w:val="decimal"/>
      <w:lvlText w:val="%7"/>
      <w:lvlJc w:val="left"/>
      <w:pPr>
        <w:ind w:left="504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7" w:tplc="D2BAE602">
      <w:start w:val="1"/>
      <w:numFmt w:val="lowerLetter"/>
      <w:lvlText w:val="%8"/>
      <w:lvlJc w:val="left"/>
      <w:pPr>
        <w:ind w:left="576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8" w:tplc="7BEEFFDE">
      <w:start w:val="1"/>
      <w:numFmt w:val="lowerRoman"/>
      <w:lvlText w:val="%9"/>
      <w:lvlJc w:val="left"/>
      <w:pPr>
        <w:ind w:left="648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abstractNum>
  <w:abstractNum w:abstractNumId="4" w15:restartNumberingAfterBreak="0">
    <w:nsid w:val="1B7E6711"/>
    <w:multiLevelType w:val="hybridMultilevel"/>
    <w:tmpl w:val="A42803FE"/>
    <w:lvl w:ilvl="0" w:tplc="7CAE88C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4E8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4ABB7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DAF4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70509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1D6915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3042D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88C7A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12EBE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DD829AF"/>
    <w:multiLevelType w:val="hybridMultilevel"/>
    <w:tmpl w:val="BBA2C498"/>
    <w:lvl w:ilvl="0" w:tplc="7626F96C">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34ED80">
      <w:start w:val="1"/>
      <w:numFmt w:val="bullet"/>
      <w:lvlText w:val="o"/>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38661E">
      <w:start w:val="1"/>
      <w:numFmt w:val="bullet"/>
      <w:lvlText w:val="▪"/>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40BDD0">
      <w:start w:val="1"/>
      <w:numFmt w:val="bullet"/>
      <w:lvlText w:val="•"/>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96C1C0">
      <w:start w:val="1"/>
      <w:numFmt w:val="bullet"/>
      <w:lvlText w:val="o"/>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240B06">
      <w:start w:val="1"/>
      <w:numFmt w:val="bullet"/>
      <w:lvlText w:val="▪"/>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72F660">
      <w:start w:val="1"/>
      <w:numFmt w:val="bullet"/>
      <w:lvlText w:val="•"/>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C416B0">
      <w:start w:val="1"/>
      <w:numFmt w:val="bullet"/>
      <w:lvlText w:val="o"/>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763FBE">
      <w:start w:val="1"/>
      <w:numFmt w:val="bullet"/>
      <w:lvlText w:val="▪"/>
      <w:lvlJc w:val="left"/>
      <w:pPr>
        <w:ind w:left="6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F901AC6"/>
    <w:multiLevelType w:val="hybridMultilevel"/>
    <w:tmpl w:val="BF84E334"/>
    <w:lvl w:ilvl="0" w:tplc="F314EE82">
      <w:start w:val="1"/>
      <w:numFmt w:val="decimal"/>
      <w:lvlText w:val="%1."/>
      <w:lvlJc w:val="left"/>
      <w:pPr>
        <w:ind w:left="720"/>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1" w:tplc="A32EC798">
      <w:start w:val="1"/>
      <w:numFmt w:val="lowerLetter"/>
      <w:lvlText w:val="%2"/>
      <w:lvlJc w:val="left"/>
      <w:pPr>
        <w:ind w:left="144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2" w:tplc="CF52FD56">
      <w:start w:val="1"/>
      <w:numFmt w:val="lowerRoman"/>
      <w:lvlText w:val="%3"/>
      <w:lvlJc w:val="left"/>
      <w:pPr>
        <w:ind w:left="216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3" w:tplc="915843E8">
      <w:start w:val="1"/>
      <w:numFmt w:val="decimal"/>
      <w:lvlText w:val="%4"/>
      <w:lvlJc w:val="left"/>
      <w:pPr>
        <w:ind w:left="288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4" w:tplc="8C867A12">
      <w:start w:val="1"/>
      <w:numFmt w:val="lowerLetter"/>
      <w:lvlText w:val="%5"/>
      <w:lvlJc w:val="left"/>
      <w:pPr>
        <w:ind w:left="360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5" w:tplc="671CFBA6">
      <w:start w:val="1"/>
      <w:numFmt w:val="lowerRoman"/>
      <w:lvlText w:val="%6"/>
      <w:lvlJc w:val="left"/>
      <w:pPr>
        <w:ind w:left="432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6" w:tplc="C8E8FF44">
      <w:start w:val="1"/>
      <w:numFmt w:val="decimal"/>
      <w:lvlText w:val="%7"/>
      <w:lvlJc w:val="left"/>
      <w:pPr>
        <w:ind w:left="504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7" w:tplc="8BE445D2">
      <w:start w:val="1"/>
      <w:numFmt w:val="lowerLetter"/>
      <w:lvlText w:val="%8"/>
      <w:lvlJc w:val="left"/>
      <w:pPr>
        <w:ind w:left="576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8" w:tplc="DDF20F50">
      <w:start w:val="1"/>
      <w:numFmt w:val="lowerRoman"/>
      <w:lvlText w:val="%9"/>
      <w:lvlJc w:val="left"/>
      <w:pPr>
        <w:ind w:left="648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abstractNum>
  <w:abstractNum w:abstractNumId="7" w15:restartNumberingAfterBreak="0">
    <w:nsid w:val="212070DC"/>
    <w:multiLevelType w:val="hybridMultilevel"/>
    <w:tmpl w:val="E3E8D26A"/>
    <w:lvl w:ilvl="0" w:tplc="D6703B08">
      <w:start w:val="1"/>
      <w:numFmt w:val="bullet"/>
      <w:lvlText w:val="•"/>
      <w:lvlJc w:val="left"/>
      <w:pPr>
        <w:ind w:left="720"/>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1" w:tplc="317CDAAC">
      <w:start w:val="1"/>
      <w:numFmt w:val="bullet"/>
      <w:lvlText w:val="o"/>
      <w:lvlJc w:val="left"/>
      <w:pPr>
        <w:ind w:left="144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2" w:tplc="B80E6432">
      <w:start w:val="1"/>
      <w:numFmt w:val="bullet"/>
      <w:lvlText w:val="▪"/>
      <w:lvlJc w:val="left"/>
      <w:pPr>
        <w:ind w:left="216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3" w:tplc="4B8EE702">
      <w:start w:val="1"/>
      <w:numFmt w:val="bullet"/>
      <w:lvlText w:val="•"/>
      <w:lvlJc w:val="left"/>
      <w:pPr>
        <w:ind w:left="2880"/>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4" w:tplc="BD760914">
      <w:start w:val="1"/>
      <w:numFmt w:val="bullet"/>
      <w:lvlText w:val="o"/>
      <w:lvlJc w:val="left"/>
      <w:pPr>
        <w:ind w:left="360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5" w:tplc="BF50D5A8">
      <w:start w:val="1"/>
      <w:numFmt w:val="bullet"/>
      <w:lvlText w:val="▪"/>
      <w:lvlJc w:val="left"/>
      <w:pPr>
        <w:ind w:left="432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6" w:tplc="093EF70A">
      <w:start w:val="1"/>
      <w:numFmt w:val="bullet"/>
      <w:lvlText w:val="•"/>
      <w:lvlJc w:val="left"/>
      <w:pPr>
        <w:ind w:left="5040"/>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7" w:tplc="F4CE16A4">
      <w:start w:val="1"/>
      <w:numFmt w:val="bullet"/>
      <w:lvlText w:val="o"/>
      <w:lvlJc w:val="left"/>
      <w:pPr>
        <w:ind w:left="576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8" w:tplc="FBD01EC8">
      <w:start w:val="1"/>
      <w:numFmt w:val="bullet"/>
      <w:lvlText w:val="▪"/>
      <w:lvlJc w:val="left"/>
      <w:pPr>
        <w:ind w:left="648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abstractNum>
  <w:abstractNum w:abstractNumId="8" w15:restartNumberingAfterBreak="0">
    <w:nsid w:val="2497685F"/>
    <w:multiLevelType w:val="hybridMultilevel"/>
    <w:tmpl w:val="C4CC44DE"/>
    <w:lvl w:ilvl="0" w:tplc="811A458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34026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D4A4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35CE9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7E5FF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72B2E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D4414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DC017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467DF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00B56AB"/>
    <w:multiLevelType w:val="hybridMultilevel"/>
    <w:tmpl w:val="467455A0"/>
    <w:lvl w:ilvl="0" w:tplc="7200D78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68C8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2E47D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C65F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C474E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30B2B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50D4E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76CA4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B8A1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1582CB5"/>
    <w:multiLevelType w:val="hybridMultilevel"/>
    <w:tmpl w:val="C03AEAEA"/>
    <w:lvl w:ilvl="0" w:tplc="ADDE9FC2">
      <w:start w:val="1"/>
      <w:numFmt w:val="decimal"/>
      <w:lvlText w:val="%1."/>
      <w:lvlJc w:val="left"/>
      <w:pPr>
        <w:ind w:left="720"/>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1" w:tplc="61382276">
      <w:start w:val="1"/>
      <w:numFmt w:val="lowerLetter"/>
      <w:lvlText w:val="%2"/>
      <w:lvlJc w:val="left"/>
      <w:pPr>
        <w:ind w:left="144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2" w:tplc="73E0C18A">
      <w:start w:val="1"/>
      <w:numFmt w:val="lowerRoman"/>
      <w:lvlText w:val="%3"/>
      <w:lvlJc w:val="left"/>
      <w:pPr>
        <w:ind w:left="216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3" w:tplc="46301EE6">
      <w:start w:val="1"/>
      <w:numFmt w:val="decimal"/>
      <w:lvlText w:val="%4"/>
      <w:lvlJc w:val="left"/>
      <w:pPr>
        <w:ind w:left="288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4" w:tplc="DCC06452">
      <w:start w:val="1"/>
      <w:numFmt w:val="lowerLetter"/>
      <w:lvlText w:val="%5"/>
      <w:lvlJc w:val="left"/>
      <w:pPr>
        <w:ind w:left="360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5" w:tplc="0F6602D0">
      <w:start w:val="1"/>
      <w:numFmt w:val="lowerRoman"/>
      <w:lvlText w:val="%6"/>
      <w:lvlJc w:val="left"/>
      <w:pPr>
        <w:ind w:left="432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6" w:tplc="351E36B0">
      <w:start w:val="1"/>
      <w:numFmt w:val="decimal"/>
      <w:lvlText w:val="%7"/>
      <w:lvlJc w:val="left"/>
      <w:pPr>
        <w:ind w:left="504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7" w:tplc="63367CC0">
      <w:start w:val="1"/>
      <w:numFmt w:val="lowerLetter"/>
      <w:lvlText w:val="%8"/>
      <w:lvlJc w:val="left"/>
      <w:pPr>
        <w:ind w:left="576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8" w:tplc="364697EC">
      <w:start w:val="1"/>
      <w:numFmt w:val="lowerRoman"/>
      <w:lvlText w:val="%9"/>
      <w:lvlJc w:val="left"/>
      <w:pPr>
        <w:ind w:left="648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abstractNum>
  <w:abstractNum w:abstractNumId="11" w15:restartNumberingAfterBreak="0">
    <w:nsid w:val="328A1273"/>
    <w:multiLevelType w:val="hybridMultilevel"/>
    <w:tmpl w:val="D0D070A6"/>
    <w:lvl w:ilvl="0" w:tplc="227E8240">
      <w:start w:val="1"/>
      <w:numFmt w:val="decimal"/>
      <w:lvlText w:val="%1."/>
      <w:lvlJc w:val="left"/>
      <w:pPr>
        <w:ind w:left="720"/>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1" w:tplc="32845E30">
      <w:start w:val="1"/>
      <w:numFmt w:val="lowerLetter"/>
      <w:lvlText w:val="%2"/>
      <w:lvlJc w:val="left"/>
      <w:pPr>
        <w:ind w:left="144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2" w:tplc="BF165E0C">
      <w:start w:val="1"/>
      <w:numFmt w:val="lowerRoman"/>
      <w:lvlText w:val="%3"/>
      <w:lvlJc w:val="left"/>
      <w:pPr>
        <w:ind w:left="216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3" w:tplc="625A8294">
      <w:start w:val="1"/>
      <w:numFmt w:val="decimal"/>
      <w:lvlText w:val="%4"/>
      <w:lvlJc w:val="left"/>
      <w:pPr>
        <w:ind w:left="288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4" w:tplc="CFEE98A6">
      <w:start w:val="1"/>
      <w:numFmt w:val="lowerLetter"/>
      <w:lvlText w:val="%5"/>
      <w:lvlJc w:val="left"/>
      <w:pPr>
        <w:ind w:left="360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5" w:tplc="A02E9656">
      <w:start w:val="1"/>
      <w:numFmt w:val="lowerRoman"/>
      <w:lvlText w:val="%6"/>
      <w:lvlJc w:val="left"/>
      <w:pPr>
        <w:ind w:left="432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6" w:tplc="DF240E62">
      <w:start w:val="1"/>
      <w:numFmt w:val="decimal"/>
      <w:lvlText w:val="%7"/>
      <w:lvlJc w:val="left"/>
      <w:pPr>
        <w:ind w:left="504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7" w:tplc="1402F2AC">
      <w:start w:val="1"/>
      <w:numFmt w:val="lowerLetter"/>
      <w:lvlText w:val="%8"/>
      <w:lvlJc w:val="left"/>
      <w:pPr>
        <w:ind w:left="576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8" w:tplc="7110D5F0">
      <w:start w:val="1"/>
      <w:numFmt w:val="lowerRoman"/>
      <w:lvlText w:val="%9"/>
      <w:lvlJc w:val="left"/>
      <w:pPr>
        <w:ind w:left="648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abstractNum>
  <w:abstractNum w:abstractNumId="12" w15:restartNumberingAfterBreak="0">
    <w:nsid w:val="36C31D5D"/>
    <w:multiLevelType w:val="hybridMultilevel"/>
    <w:tmpl w:val="55762466"/>
    <w:lvl w:ilvl="0" w:tplc="AA8E8AF2">
      <w:start w:val="1"/>
      <w:numFmt w:val="bullet"/>
      <w:lvlText w:val="•"/>
      <w:lvlJc w:val="left"/>
      <w:pPr>
        <w:ind w:left="720"/>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1" w:tplc="F73692AE">
      <w:start w:val="1"/>
      <w:numFmt w:val="bullet"/>
      <w:lvlText w:val="o"/>
      <w:lvlJc w:val="left"/>
      <w:pPr>
        <w:ind w:left="144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2" w:tplc="BA2E1BE0">
      <w:start w:val="1"/>
      <w:numFmt w:val="bullet"/>
      <w:lvlText w:val="▪"/>
      <w:lvlJc w:val="left"/>
      <w:pPr>
        <w:ind w:left="216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3" w:tplc="DE2237B0">
      <w:start w:val="1"/>
      <w:numFmt w:val="bullet"/>
      <w:lvlText w:val="•"/>
      <w:lvlJc w:val="left"/>
      <w:pPr>
        <w:ind w:left="2880"/>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4" w:tplc="DF624D2E">
      <w:start w:val="1"/>
      <w:numFmt w:val="bullet"/>
      <w:lvlText w:val="o"/>
      <w:lvlJc w:val="left"/>
      <w:pPr>
        <w:ind w:left="360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5" w:tplc="3FA87DDA">
      <w:start w:val="1"/>
      <w:numFmt w:val="bullet"/>
      <w:lvlText w:val="▪"/>
      <w:lvlJc w:val="left"/>
      <w:pPr>
        <w:ind w:left="432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6" w:tplc="9CA888D6">
      <w:start w:val="1"/>
      <w:numFmt w:val="bullet"/>
      <w:lvlText w:val="•"/>
      <w:lvlJc w:val="left"/>
      <w:pPr>
        <w:ind w:left="5040"/>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7" w:tplc="0A8E3DC6">
      <w:start w:val="1"/>
      <w:numFmt w:val="bullet"/>
      <w:lvlText w:val="o"/>
      <w:lvlJc w:val="left"/>
      <w:pPr>
        <w:ind w:left="576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8" w:tplc="506A44EC">
      <w:start w:val="1"/>
      <w:numFmt w:val="bullet"/>
      <w:lvlText w:val="▪"/>
      <w:lvlJc w:val="left"/>
      <w:pPr>
        <w:ind w:left="648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abstractNum>
  <w:abstractNum w:abstractNumId="13" w15:restartNumberingAfterBreak="0">
    <w:nsid w:val="36FC10C2"/>
    <w:multiLevelType w:val="hybridMultilevel"/>
    <w:tmpl w:val="D0BE972C"/>
    <w:lvl w:ilvl="0" w:tplc="1E6A2572">
      <w:start w:val="1"/>
      <w:numFmt w:val="bullet"/>
      <w:lvlText w:val="•"/>
      <w:lvlJc w:val="left"/>
      <w:pPr>
        <w:ind w:left="720"/>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1" w:tplc="FEFCAE7C">
      <w:start w:val="1"/>
      <w:numFmt w:val="bullet"/>
      <w:lvlText w:val="o"/>
      <w:lvlJc w:val="left"/>
      <w:pPr>
        <w:ind w:left="144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2" w:tplc="5F3AA7A2">
      <w:start w:val="1"/>
      <w:numFmt w:val="bullet"/>
      <w:lvlText w:val="▪"/>
      <w:lvlJc w:val="left"/>
      <w:pPr>
        <w:ind w:left="216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3" w:tplc="8B443A14">
      <w:start w:val="1"/>
      <w:numFmt w:val="bullet"/>
      <w:lvlText w:val="•"/>
      <w:lvlJc w:val="left"/>
      <w:pPr>
        <w:ind w:left="2880"/>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4" w:tplc="9CDE86DE">
      <w:start w:val="1"/>
      <w:numFmt w:val="bullet"/>
      <w:lvlText w:val="o"/>
      <w:lvlJc w:val="left"/>
      <w:pPr>
        <w:ind w:left="360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5" w:tplc="8192595A">
      <w:start w:val="1"/>
      <w:numFmt w:val="bullet"/>
      <w:lvlText w:val="▪"/>
      <w:lvlJc w:val="left"/>
      <w:pPr>
        <w:ind w:left="432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6" w:tplc="6754634E">
      <w:start w:val="1"/>
      <w:numFmt w:val="bullet"/>
      <w:lvlText w:val="•"/>
      <w:lvlJc w:val="left"/>
      <w:pPr>
        <w:ind w:left="5040"/>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7" w:tplc="1004DF8C">
      <w:start w:val="1"/>
      <w:numFmt w:val="bullet"/>
      <w:lvlText w:val="o"/>
      <w:lvlJc w:val="left"/>
      <w:pPr>
        <w:ind w:left="576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8" w:tplc="99F4D3DC">
      <w:start w:val="1"/>
      <w:numFmt w:val="bullet"/>
      <w:lvlText w:val="▪"/>
      <w:lvlJc w:val="left"/>
      <w:pPr>
        <w:ind w:left="648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abstractNum>
  <w:abstractNum w:abstractNumId="14" w15:restartNumberingAfterBreak="0">
    <w:nsid w:val="39BF0EED"/>
    <w:multiLevelType w:val="hybridMultilevel"/>
    <w:tmpl w:val="BE92A0FE"/>
    <w:lvl w:ilvl="0" w:tplc="C338B69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CA08F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362D1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C453B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8439F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FA66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D6CA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9C75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5480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C861B02"/>
    <w:multiLevelType w:val="hybridMultilevel"/>
    <w:tmpl w:val="B754C6DC"/>
    <w:lvl w:ilvl="0" w:tplc="930E0E5E">
      <w:start w:val="1"/>
      <w:numFmt w:val="bullet"/>
      <w:lvlText w:val="•"/>
      <w:lvlJc w:val="left"/>
      <w:pPr>
        <w:ind w:left="720"/>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1" w:tplc="87CE5652">
      <w:start w:val="1"/>
      <w:numFmt w:val="bullet"/>
      <w:lvlText w:val="o"/>
      <w:lvlJc w:val="left"/>
      <w:pPr>
        <w:ind w:left="144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2" w:tplc="DCF41374">
      <w:start w:val="1"/>
      <w:numFmt w:val="bullet"/>
      <w:lvlText w:val="▪"/>
      <w:lvlJc w:val="left"/>
      <w:pPr>
        <w:ind w:left="216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3" w:tplc="A5F8BC46">
      <w:start w:val="1"/>
      <w:numFmt w:val="bullet"/>
      <w:lvlText w:val="•"/>
      <w:lvlJc w:val="left"/>
      <w:pPr>
        <w:ind w:left="2880"/>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4" w:tplc="819492FE">
      <w:start w:val="1"/>
      <w:numFmt w:val="bullet"/>
      <w:lvlText w:val="o"/>
      <w:lvlJc w:val="left"/>
      <w:pPr>
        <w:ind w:left="360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5" w:tplc="91609B58">
      <w:start w:val="1"/>
      <w:numFmt w:val="bullet"/>
      <w:lvlText w:val="▪"/>
      <w:lvlJc w:val="left"/>
      <w:pPr>
        <w:ind w:left="432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6" w:tplc="0E2AE696">
      <w:start w:val="1"/>
      <w:numFmt w:val="bullet"/>
      <w:lvlText w:val="•"/>
      <w:lvlJc w:val="left"/>
      <w:pPr>
        <w:ind w:left="5040"/>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7" w:tplc="91702322">
      <w:start w:val="1"/>
      <w:numFmt w:val="bullet"/>
      <w:lvlText w:val="o"/>
      <w:lvlJc w:val="left"/>
      <w:pPr>
        <w:ind w:left="576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8" w:tplc="3D009D26">
      <w:start w:val="1"/>
      <w:numFmt w:val="bullet"/>
      <w:lvlText w:val="▪"/>
      <w:lvlJc w:val="left"/>
      <w:pPr>
        <w:ind w:left="648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abstractNum>
  <w:abstractNum w:abstractNumId="16" w15:restartNumberingAfterBreak="0">
    <w:nsid w:val="4163434F"/>
    <w:multiLevelType w:val="hybridMultilevel"/>
    <w:tmpl w:val="D436C37C"/>
    <w:lvl w:ilvl="0" w:tplc="F120165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B0B1F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B6B8B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083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A2E7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75EA00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4C205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FA268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EA78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1DA1782"/>
    <w:multiLevelType w:val="hybridMultilevel"/>
    <w:tmpl w:val="FFB4619E"/>
    <w:lvl w:ilvl="0" w:tplc="8680529C">
      <w:start w:val="1"/>
      <w:numFmt w:val="bullet"/>
      <w:lvlText w:val="•"/>
      <w:lvlJc w:val="left"/>
      <w:pPr>
        <w:ind w:left="720"/>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1" w:tplc="A04C04D4">
      <w:start w:val="1"/>
      <w:numFmt w:val="bullet"/>
      <w:lvlText w:val="o"/>
      <w:lvlJc w:val="left"/>
      <w:pPr>
        <w:ind w:left="1440"/>
      </w:pPr>
      <w:rPr>
        <w:rFonts w:ascii="Courier New" w:eastAsia="Courier New" w:hAnsi="Courier New" w:cs="Courier New"/>
        <w:b w:val="0"/>
        <w:i w:val="0"/>
        <w:strike w:val="0"/>
        <w:dstrike w:val="0"/>
        <w:color w:val="021414"/>
        <w:sz w:val="22"/>
        <w:szCs w:val="22"/>
        <w:u w:val="none" w:color="000000"/>
        <w:bdr w:val="none" w:sz="0" w:space="0" w:color="auto"/>
        <w:shd w:val="clear" w:color="auto" w:fill="auto"/>
        <w:vertAlign w:val="baseline"/>
      </w:rPr>
    </w:lvl>
    <w:lvl w:ilvl="2" w:tplc="B0B6D144">
      <w:start w:val="1"/>
      <w:numFmt w:val="bullet"/>
      <w:lvlText w:val="▪"/>
      <w:lvlJc w:val="left"/>
      <w:pPr>
        <w:ind w:left="2160"/>
      </w:pPr>
      <w:rPr>
        <w:rFonts w:ascii="Courier New" w:eastAsia="Courier New" w:hAnsi="Courier New" w:cs="Courier New"/>
        <w:b w:val="0"/>
        <w:i w:val="0"/>
        <w:strike w:val="0"/>
        <w:dstrike w:val="0"/>
        <w:color w:val="021414"/>
        <w:sz w:val="22"/>
        <w:szCs w:val="22"/>
        <w:u w:val="none" w:color="000000"/>
        <w:bdr w:val="none" w:sz="0" w:space="0" w:color="auto"/>
        <w:shd w:val="clear" w:color="auto" w:fill="auto"/>
        <w:vertAlign w:val="baseline"/>
      </w:rPr>
    </w:lvl>
    <w:lvl w:ilvl="3" w:tplc="D1148132">
      <w:start w:val="1"/>
      <w:numFmt w:val="bullet"/>
      <w:lvlText w:val="•"/>
      <w:lvlJc w:val="left"/>
      <w:pPr>
        <w:ind w:left="2880"/>
      </w:pPr>
      <w:rPr>
        <w:rFonts w:ascii="Courier New" w:eastAsia="Courier New" w:hAnsi="Courier New" w:cs="Courier New"/>
        <w:b w:val="0"/>
        <w:i w:val="0"/>
        <w:strike w:val="0"/>
        <w:dstrike w:val="0"/>
        <w:color w:val="021414"/>
        <w:sz w:val="22"/>
        <w:szCs w:val="22"/>
        <w:u w:val="none" w:color="000000"/>
        <w:bdr w:val="none" w:sz="0" w:space="0" w:color="auto"/>
        <w:shd w:val="clear" w:color="auto" w:fill="auto"/>
        <w:vertAlign w:val="baseline"/>
      </w:rPr>
    </w:lvl>
    <w:lvl w:ilvl="4" w:tplc="F2AA100C">
      <w:start w:val="1"/>
      <w:numFmt w:val="bullet"/>
      <w:lvlText w:val="o"/>
      <w:lvlJc w:val="left"/>
      <w:pPr>
        <w:ind w:left="3600"/>
      </w:pPr>
      <w:rPr>
        <w:rFonts w:ascii="Courier New" w:eastAsia="Courier New" w:hAnsi="Courier New" w:cs="Courier New"/>
        <w:b w:val="0"/>
        <w:i w:val="0"/>
        <w:strike w:val="0"/>
        <w:dstrike w:val="0"/>
        <w:color w:val="021414"/>
        <w:sz w:val="22"/>
        <w:szCs w:val="22"/>
        <w:u w:val="none" w:color="000000"/>
        <w:bdr w:val="none" w:sz="0" w:space="0" w:color="auto"/>
        <w:shd w:val="clear" w:color="auto" w:fill="auto"/>
        <w:vertAlign w:val="baseline"/>
      </w:rPr>
    </w:lvl>
    <w:lvl w:ilvl="5" w:tplc="1354CA60">
      <w:start w:val="1"/>
      <w:numFmt w:val="bullet"/>
      <w:lvlText w:val="▪"/>
      <w:lvlJc w:val="left"/>
      <w:pPr>
        <w:ind w:left="4320"/>
      </w:pPr>
      <w:rPr>
        <w:rFonts w:ascii="Courier New" w:eastAsia="Courier New" w:hAnsi="Courier New" w:cs="Courier New"/>
        <w:b w:val="0"/>
        <w:i w:val="0"/>
        <w:strike w:val="0"/>
        <w:dstrike w:val="0"/>
        <w:color w:val="021414"/>
        <w:sz w:val="22"/>
        <w:szCs w:val="22"/>
        <w:u w:val="none" w:color="000000"/>
        <w:bdr w:val="none" w:sz="0" w:space="0" w:color="auto"/>
        <w:shd w:val="clear" w:color="auto" w:fill="auto"/>
        <w:vertAlign w:val="baseline"/>
      </w:rPr>
    </w:lvl>
    <w:lvl w:ilvl="6" w:tplc="7A743A78">
      <w:start w:val="1"/>
      <w:numFmt w:val="bullet"/>
      <w:lvlText w:val="•"/>
      <w:lvlJc w:val="left"/>
      <w:pPr>
        <w:ind w:left="5040"/>
      </w:pPr>
      <w:rPr>
        <w:rFonts w:ascii="Courier New" w:eastAsia="Courier New" w:hAnsi="Courier New" w:cs="Courier New"/>
        <w:b w:val="0"/>
        <w:i w:val="0"/>
        <w:strike w:val="0"/>
        <w:dstrike w:val="0"/>
        <w:color w:val="021414"/>
        <w:sz w:val="22"/>
        <w:szCs w:val="22"/>
        <w:u w:val="none" w:color="000000"/>
        <w:bdr w:val="none" w:sz="0" w:space="0" w:color="auto"/>
        <w:shd w:val="clear" w:color="auto" w:fill="auto"/>
        <w:vertAlign w:val="baseline"/>
      </w:rPr>
    </w:lvl>
    <w:lvl w:ilvl="7" w:tplc="8FD4636E">
      <w:start w:val="1"/>
      <w:numFmt w:val="bullet"/>
      <w:lvlText w:val="o"/>
      <w:lvlJc w:val="left"/>
      <w:pPr>
        <w:ind w:left="5760"/>
      </w:pPr>
      <w:rPr>
        <w:rFonts w:ascii="Courier New" w:eastAsia="Courier New" w:hAnsi="Courier New" w:cs="Courier New"/>
        <w:b w:val="0"/>
        <w:i w:val="0"/>
        <w:strike w:val="0"/>
        <w:dstrike w:val="0"/>
        <w:color w:val="021414"/>
        <w:sz w:val="22"/>
        <w:szCs w:val="22"/>
        <w:u w:val="none" w:color="000000"/>
        <w:bdr w:val="none" w:sz="0" w:space="0" w:color="auto"/>
        <w:shd w:val="clear" w:color="auto" w:fill="auto"/>
        <w:vertAlign w:val="baseline"/>
      </w:rPr>
    </w:lvl>
    <w:lvl w:ilvl="8" w:tplc="013E13FA">
      <w:start w:val="1"/>
      <w:numFmt w:val="bullet"/>
      <w:lvlText w:val="▪"/>
      <w:lvlJc w:val="left"/>
      <w:pPr>
        <w:ind w:left="6480"/>
      </w:pPr>
      <w:rPr>
        <w:rFonts w:ascii="Courier New" w:eastAsia="Courier New" w:hAnsi="Courier New" w:cs="Courier New"/>
        <w:b w:val="0"/>
        <w:i w:val="0"/>
        <w:strike w:val="0"/>
        <w:dstrike w:val="0"/>
        <w:color w:val="021414"/>
        <w:sz w:val="22"/>
        <w:szCs w:val="22"/>
        <w:u w:val="none" w:color="000000"/>
        <w:bdr w:val="none" w:sz="0" w:space="0" w:color="auto"/>
        <w:shd w:val="clear" w:color="auto" w:fill="auto"/>
        <w:vertAlign w:val="baseline"/>
      </w:rPr>
    </w:lvl>
  </w:abstractNum>
  <w:abstractNum w:abstractNumId="18" w15:restartNumberingAfterBreak="0">
    <w:nsid w:val="458E26AF"/>
    <w:multiLevelType w:val="hybridMultilevel"/>
    <w:tmpl w:val="6F941EBA"/>
    <w:lvl w:ilvl="0" w:tplc="1EE0BBFC">
      <w:start w:val="1"/>
      <w:numFmt w:val="bullet"/>
      <w:lvlText w:val="•"/>
      <w:lvlJc w:val="left"/>
      <w:pPr>
        <w:ind w:left="720"/>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1" w:tplc="4E6AA07E">
      <w:start w:val="1"/>
      <w:numFmt w:val="bullet"/>
      <w:lvlText w:val="o"/>
      <w:lvlJc w:val="left"/>
      <w:pPr>
        <w:ind w:left="144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2" w:tplc="754C6780">
      <w:start w:val="1"/>
      <w:numFmt w:val="bullet"/>
      <w:lvlText w:val="▪"/>
      <w:lvlJc w:val="left"/>
      <w:pPr>
        <w:ind w:left="216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3" w:tplc="1B2E3E8E">
      <w:start w:val="1"/>
      <w:numFmt w:val="bullet"/>
      <w:lvlText w:val="•"/>
      <w:lvlJc w:val="left"/>
      <w:pPr>
        <w:ind w:left="2880"/>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4" w:tplc="54745002">
      <w:start w:val="1"/>
      <w:numFmt w:val="bullet"/>
      <w:lvlText w:val="o"/>
      <w:lvlJc w:val="left"/>
      <w:pPr>
        <w:ind w:left="360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5" w:tplc="B7F0E830">
      <w:start w:val="1"/>
      <w:numFmt w:val="bullet"/>
      <w:lvlText w:val="▪"/>
      <w:lvlJc w:val="left"/>
      <w:pPr>
        <w:ind w:left="432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6" w:tplc="3B5CAC08">
      <w:start w:val="1"/>
      <w:numFmt w:val="bullet"/>
      <w:lvlText w:val="•"/>
      <w:lvlJc w:val="left"/>
      <w:pPr>
        <w:ind w:left="5040"/>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7" w:tplc="2F1ED628">
      <w:start w:val="1"/>
      <w:numFmt w:val="bullet"/>
      <w:lvlText w:val="o"/>
      <w:lvlJc w:val="left"/>
      <w:pPr>
        <w:ind w:left="576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8" w:tplc="4926B2F4">
      <w:start w:val="1"/>
      <w:numFmt w:val="bullet"/>
      <w:lvlText w:val="▪"/>
      <w:lvlJc w:val="left"/>
      <w:pPr>
        <w:ind w:left="648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abstractNum>
  <w:abstractNum w:abstractNumId="19" w15:restartNumberingAfterBreak="0">
    <w:nsid w:val="4E432288"/>
    <w:multiLevelType w:val="hybridMultilevel"/>
    <w:tmpl w:val="E8102B94"/>
    <w:lvl w:ilvl="0" w:tplc="3BA6B7B0">
      <w:start w:val="1"/>
      <w:numFmt w:val="decimal"/>
      <w:lvlText w:val="%1."/>
      <w:lvlJc w:val="left"/>
      <w:pPr>
        <w:ind w:left="268"/>
      </w:pPr>
      <w:rPr>
        <w:rFonts w:ascii="Arial" w:eastAsia="Arial" w:hAnsi="Arial" w:cs="Arial"/>
        <w:b/>
        <w:bCs/>
        <w:i w:val="0"/>
        <w:strike w:val="0"/>
        <w:dstrike w:val="0"/>
        <w:color w:val="021414"/>
        <w:sz w:val="24"/>
        <w:szCs w:val="24"/>
        <w:u w:val="none" w:color="000000"/>
        <w:bdr w:val="none" w:sz="0" w:space="0" w:color="auto"/>
        <w:shd w:val="clear" w:color="auto" w:fill="auto"/>
        <w:vertAlign w:val="baseline"/>
      </w:rPr>
    </w:lvl>
    <w:lvl w:ilvl="1" w:tplc="59BE583E">
      <w:start w:val="1"/>
      <w:numFmt w:val="lowerLetter"/>
      <w:lvlText w:val="%2"/>
      <w:lvlJc w:val="left"/>
      <w:pPr>
        <w:ind w:left="1080"/>
      </w:pPr>
      <w:rPr>
        <w:rFonts w:ascii="Arial" w:eastAsia="Arial" w:hAnsi="Arial" w:cs="Arial"/>
        <w:b/>
        <w:bCs/>
        <w:i w:val="0"/>
        <w:strike w:val="0"/>
        <w:dstrike w:val="0"/>
        <w:color w:val="021414"/>
        <w:sz w:val="24"/>
        <w:szCs w:val="24"/>
        <w:u w:val="none" w:color="000000"/>
        <w:bdr w:val="none" w:sz="0" w:space="0" w:color="auto"/>
        <w:shd w:val="clear" w:color="auto" w:fill="auto"/>
        <w:vertAlign w:val="baseline"/>
      </w:rPr>
    </w:lvl>
    <w:lvl w:ilvl="2" w:tplc="94180BE6">
      <w:start w:val="1"/>
      <w:numFmt w:val="lowerRoman"/>
      <w:lvlText w:val="%3"/>
      <w:lvlJc w:val="left"/>
      <w:pPr>
        <w:ind w:left="1800"/>
      </w:pPr>
      <w:rPr>
        <w:rFonts w:ascii="Arial" w:eastAsia="Arial" w:hAnsi="Arial" w:cs="Arial"/>
        <w:b/>
        <w:bCs/>
        <w:i w:val="0"/>
        <w:strike w:val="0"/>
        <w:dstrike w:val="0"/>
        <w:color w:val="021414"/>
        <w:sz w:val="24"/>
        <w:szCs w:val="24"/>
        <w:u w:val="none" w:color="000000"/>
        <w:bdr w:val="none" w:sz="0" w:space="0" w:color="auto"/>
        <w:shd w:val="clear" w:color="auto" w:fill="auto"/>
        <w:vertAlign w:val="baseline"/>
      </w:rPr>
    </w:lvl>
    <w:lvl w:ilvl="3" w:tplc="E938D132">
      <w:start w:val="1"/>
      <w:numFmt w:val="decimal"/>
      <w:lvlText w:val="%4"/>
      <w:lvlJc w:val="left"/>
      <w:pPr>
        <w:ind w:left="2520"/>
      </w:pPr>
      <w:rPr>
        <w:rFonts w:ascii="Arial" w:eastAsia="Arial" w:hAnsi="Arial" w:cs="Arial"/>
        <w:b/>
        <w:bCs/>
        <w:i w:val="0"/>
        <w:strike w:val="0"/>
        <w:dstrike w:val="0"/>
        <w:color w:val="021414"/>
        <w:sz w:val="24"/>
        <w:szCs w:val="24"/>
        <w:u w:val="none" w:color="000000"/>
        <w:bdr w:val="none" w:sz="0" w:space="0" w:color="auto"/>
        <w:shd w:val="clear" w:color="auto" w:fill="auto"/>
        <w:vertAlign w:val="baseline"/>
      </w:rPr>
    </w:lvl>
    <w:lvl w:ilvl="4" w:tplc="214238D4">
      <w:start w:val="1"/>
      <w:numFmt w:val="lowerLetter"/>
      <w:lvlText w:val="%5"/>
      <w:lvlJc w:val="left"/>
      <w:pPr>
        <w:ind w:left="3240"/>
      </w:pPr>
      <w:rPr>
        <w:rFonts w:ascii="Arial" w:eastAsia="Arial" w:hAnsi="Arial" w:cs="Arial"/>
        <w:b/>
        <w:bCs/>
        <w:i w:val="0"/>
        <w:strike w:val="0"/>
        <w:dstrike w:val="0"/>
        <w:color w:val="021414"/>
        <w:sz w:val="24"/>
        <w:szCs w:val="24"/>
        <w:u w:val="none" w:color="000000"/>
        <w:bdr w:val="none" w:sz="0" w:space="0" w:color="auto"/>
        <w:shd w:val="clear" w:color="auto" w:fill="auto"/>
        <w:vertAlign w:val="baseline"/>
      </w:rPr>
    </w:lvl>
    <w:lvl w:ilvl="5" w:tplc="960854EC">
      <w:start w:val="1"/>
      <w:numFmt w:val="lowerRoman"/>
      <w:lvlText w:val="%6"/>
      <w:lvlJc w:val="left"/>
      <w:pPr>
        <w:ind w:left="3960"/>
      </w:pPr>
      <w:rPr>
        <w:rFonts w:ascii="Arial" w:eastAsia="Arial" w:hAnsi="Arial" w:cs="Arial"/>
        <w:b/>
        <w:bCs/>
        <w:i w:val="0"/>
        <w:strike w:val="0"/>
        <w:dstrike w:val="0"/>
        <w:color w:val="021414"/>
        <w:sz w:val="24"/>
        <w:szCs w:val="24"/>
        <w:u w:val="none" w:color="000000"/>
        <w:bdr w:val="none" w:sz="0" w:space="0" w:color="auto"/>
        <w:shd w:val="clear" w:color="auto" w:fill="auto"/>
        <w:vertAlign w:val="baseline"/>
      </w:rPr>
    </w:lvl>
    <w:lvl w:ilvl="6" w:tplc="50A2C146">
      <w:start w:val="1"/>
      <w:numFmt w:val="decimal"/>
      <w:lvlText w:val="%7"/>
      <w:lvlJc w:val="left"/>
      <w:pPr>
        <w:ind w:left="4680"/>
      </w:pPr>
      <w:rPr>
        <w:rFonts w:ascii="Arial" w:eastAsia="Arial" w:hAnsi="Arial" w:cs="Arial"/>
        <w:b/>
        <w:bCs/>
        <w:i w:val="0"/>
        <w:strike w:val="0"/>
        <w:dstrike w:val="0"/>
        <w:color w:val="021414"/>
        <w:sz w:val="24"/>
        <w:szCs w:val="24"/>
        <w:u w:val="none" w:color="000000"/>
        <w:bdr w:val="none" w:sz="0" w:space="0" w:color="auto"/>
        <w:shd w:val="clear" w:color="auto" w:fill="auto"/>
        <w:vertAlign w:val="baseline"/>
      </w:rPr>
    </w:lvl>
    <w:lvl w:ilvl="7" w:tplc="1968E926">
      <w:start w:val="1"/>
      <w:numFmt w:val="lowerLetter"/>
      <w:lvlText w:val="%8"/>
      <w:lvlJc w:val="left"/>
      <w:pPr>
        <w:ind w:left="5400"/>
      </w:pPr>
      <w:rPr>
        <w:rFonts w:ascii="Arial" w:eastAsia="Arial" w:hAnsi="Arial" w:cs="Arial"/>
        <w:b/>
        <w:bCs/>
        <w:i w:val="0"/>
        <w:strike w:val="0"/>
        <w:dstrike w:val="0"/>
        <w:color w:val="021414"/>
        <w:sz w:val="24"/>
        <w:szCs w:val="24"/>
        <w:u w:val="none" w:color="000000"/>
        <w:bdr w:val="none" w:sz="0" w:space="0" w:color="auto"/>
        <w:shd w:val="clear" w:color="auto" w:fill="auto"/>
        <w:vertAlign w:val="baseline"/>
      </w:rPr>
    </w:lvl>
    <w:lvl w:ilvl="8" w:tplc="0714F130">
      <w:start w:val="1"/>
      <w:numFmt w:val="lowerRoman"/>
      <w:lvlText w:val="%9"/>
      <w:lvlJc w:val="left"/>
      <w:pPr>
        <w:ind w:left="6120"/>
      </w:pPr>
      <w:rPr>
        <w:rFonts w:ascii="Arial" w:eastAsia="Arial" w:hAnsi="Arial" w:cs="Arial"/>
        <w:b/>
        <w:bCs/>
        <w:i w:val="0"/>
        <w:strike w:val="0"/>
        <w:dstrike w:val="0"/>
        <w:color w:val="021414"/>
        <w:sz w:val="24"/>
        <w:szCs w:val="24"/>
        <w:u w:val="none" w:color="000000"/>
        <w:bdr w:val="none" w:sz="0" w:space="0" w:color="auto"/>
        <w:shd w:val="clear" w:color="auto" w:fill="auto"/>
        <w:vertAlign w:val="baseline"/>
      </w:rPr>
    </w:lvl>
  </w:abstractNum>
  <w:abstractNum w:abstractNumId="20" w15:restartNumberingAfterBreak="0">
    <w:nsid w:val="54C00301"/>
    <w:multiLevelType w:val="hybridMultilevel"/>
    <w:tmpl w:val="F33E1BDC"/>
    <w:lvl w:ilvl="0" w:tplc="25D230F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3C6B9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3846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604C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34C11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C0973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4A11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D27EF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360E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B785DA1"/>
    <w:multiLevelType w:val="hybridMultilevel"/>
    <w:tmpl w:val="5EB0069E"/>
    <w:lvl w:ilvl="0" w:tplc="2C9E117C">
      <w:start w:val="1"/>
      <w:numFmt w:val="decimal"/>
      <w:lvlText w:val="%1."/>
      <w:lvlJc w:val="left"/>
      <w:pPr>
        <w:ind w:left="720"/>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1" w:tplc="063EBF50">
      <w:start w:val="1"/>
      <w:numFmt w:val="lowerLetter"/>
      <w:lvlText w:val="%2"/>
      <w:lvlJc w:val="left"/>
      <w:pPr>
        <w:ind w:left="144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2" w:tplc="0C72E8CC">
      <w:start w:val="1"/>
      <w:numFmt w:val="lowerRoman"/>
      <w:lvlText w:val="%3"/>
      <w:lvlJc w:val="left"/>
      <w:pPr>
        <w:ind w:left="216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3" w:tplc="7CC4DB24">
      <w:start w:val="1"/>
      <w:numFmt w:val="decimal"/>
      <w:lvlText w:val="%4"/>
      <w:lvlJc w:val="left"/>
      <w:pPr>
        <w:ind w:left="288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4" w:tplc="88B89FA0">
      <w:start w:val="1"/>
      <w:numFmt w:val="lowerLetter"/>
      <w:lvlText w:val="%5"/>
      <w:lvlJc w:val="left"/>
      <w:pPr>
        <w:ind w:left="360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5" w:tplc="3E5A721E">
      <w:start w:val="1"/>
      <w:numFmt w:val="lowerRoman"/>
      <w:lvlText w:val="%6"/>
      <w:lvlJc w:val="left"/>
      <w:pPr>
        <w:ind w:left="432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6" w:tplc="5AA499DE">
      <w:start w:val="1"/>
      <w:numFmt w:val="decimal"/>
      <w:lvlText w:val="%7"/>
      <w:lvlJc w:val="left"/>
      <w:pPr>
        <w:ind w:left="504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7" w:tplc="611AA816">
      <w:start w:val="1"/>
      <w:numFmt w:val="lowerLetter"/>
      <w:lvlText w:val="%8"/>
      <w:lvlJc w:val="left"/>
      <w:pPr>
        <w:ind w:left="576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lvl w:ilvl="8" w:tplc="E30606A8">
      <w:start w:val="1"/>
      <w:numFmt w:val="lowerRoman"/>
      <w:lvlText w:val="%9"/>
      <w:lvlJc w:val="left"/>
      <w:pPr>
        <w:ind w:left="6484"/>
      </w:pPr>
      <w:rPr>
        <w:rFonts w:ascii="Arial" w:eastAsia="Arial" w:hAnsi="Arial" w:cs="Arial"/>
        <w:b w:val="0"/>
        <w:i/>
        <w:iCs/>
        <w:strike w:val="0"/>
        <w:dstrike w:val="0"/>
        <w:color w:val="021414"/>
        <w:sz w:val="20"/>
        <w:szCs w:val="20"/>
        <w:u w:val="none" w:color="000000"/>
        <w:bdr w:val="none" w:sz="0" w:space="0" w:color="auto"/>
        <w:shd w:val="clear" w:color="auto" w:fill="auto"/>
        <w:vertAlign w:val="baseline"/>
      </w:rPr>
    </w:lvl>
  </w:abstractNum>
  <w:abstractNum w:abstractNumId="22" w15:restartNumberingAfterBreak="0">
    <w:nsid w:val="704008DB"/>
    <w:multiLevelType w:val="hybridMultilevel"/>
    <w:tmpl w:val="CA06E21C"/>
    <w:lvl w:ilvl="0" w:tplc="EEA601EA">
      <w:start w:val="1"/>
      <w:numFmt w:val="bullet"/>
      <w:lvlText w:val="•"/>
      <w:lvlJc w:val="left"/>
      <w:pPr>
        <w:ind w:left="720"/>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1" w:tplc="B46C2D1C">
      <w:start w:val="1"/>
      <w:numFmt w:val="bullet"/>
      <w:lvlText w:val="o"/>
      <w:lvlJc w:val="left"/>
      <w:pPr>
        <w:ind w:left="1444"/>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2" w:tplc="FA0C4CD8">
      <w:start w:val="1"/>
      <w:numFmt w:val="bullet"/>
      <w:lvlText w:val="▪"/>
      <w:lvlJc w:val="left"/>
      <w:pPr>
        <w:ind w:left="2164"/>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3" w:tplc="7B1EB66A">
      <w:start w:val="1"/>
      <w:numFmt w:val="bullet"/>
      <w:lvlText w:val="•"/>
      <w:lvlJc w:val="left"/>
      <w:pPr>
        <w:ind w:left="2884"/>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4" w:tplc="74DEDD18">
      <w:start w:val="1"/>
      <w:numFmt w:val="bullet"/>
      <w:lvlText w:val="o"/>
      <w:lvlJc w:val="left"/>
      <w:pPr>
        <w:ind w:left="3604"/>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5" w:tplc="64D01A68">
      <w:start w:val="1"/>
      <w:numFmt w:val="bullet"/>
      <w:lvlText w:val="▪"/>
      <w:lvlJc w:val="left"/>
      <w:pPr>
        <w:ind w:left="4324"/>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6" w:tplc="70BEBFB6">
      <w:start w:val="1"/>
      <w:numFmt w:val="bullet"/>
      <w:lvlText w:val="•"/>
      <w:lvlJc w:val="left"/>
      <w:pPr>
        <w:ind w:left="5044"/>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7" w:tplc="45AC6048">
      <w:start w:val="1"/>
      <w:numFmt w:val="bullet"/>
      <w:lvlText w:val="o"/>
      <w:lvlJc w:val="left"/>
      <w:pPr>
        <w:ind w:left="5764"/>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8" w:tplc="2738E0C2">
      <w:start w:val="1"/>
      <w:numFmt w:val="bullet"/>
      <w:lvlText w:val="▪"/>
      <w:lvlJc w:val="left"/>
      <w:pPr>
        <w:ind w:left="6484"/>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abstractNum>
  <w:abstractNum w:abstractNumId="23" w15:restartNumberingAfterBreak="0">
    <w:nsid w:val="7286567A"/>
    <w:multiLevelType w:val="hybridMultilevel"/>
    <w:tmpl w:val="B3540D5A"/>
    <w:lvl w:ilvl="0" w:tplc="91D04A4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86A1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F202A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6EE1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8CCA1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ACB1C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BC3EA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406F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3C46C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9DC3665"/>
    <w:multiLevelType w:val="hybridMultilevel"/>
    <w:tmpl w:val="04F0C8F4"/>
    <w:lvl w:ilvl="0" w:tplc="F160B956">
      <w:start w:val="1"/>
      <w:numFmt w:val="bullet"/>
      <w:lvlText w:val="•"/>
      <w:lvlJc w:val="left"/>
      <w:pPr>
        <w:ind w:left="720"/>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1" w:tplc="AFC6D0E8">
      <w:start w:val="1"/>
      <w:numFmt w:val="bullet"/>
      <w:lvlText w:val="o"/>
      <w:lvlJc w:val="left"/>
      <w:pPr>
        <w:ind w:left="144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2" w:tplc="099C0F3E">
      <w:start w:val="1"/>
      <w:numFmt w:val="bullet"/>
      <w:lvlText w:val="▪"/>
      <w:lvlJc w:val="left"/>
      <w:pPr>
        <w:ind w:left="216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3" w:tplc="101C5DDA">
      <w:start w:val="1"/>
      <w:numFmt w:val="bullet"/>
      <w:lvlText w:val="•"/>
      <w:lvlJc w:val="left"/>
      <w:pPr>
        <w:ind w:left="2880"/>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4" w:tplc="0D26C578">
      <w:start w:val="1"/>
      <w:numFmt w:val="bullet"/>
      <w:lvlText w:val="o"/>
      <w:lvlJc w:val="left"/>
      <w:pPr>
        <w:ind w:left="360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5" w:tplc="11121AC2">
      <w:start w:val="1"/>
      <w:numFmt w:val="bullet"/>
      <w:lvlText w:val="▪"/>
      <w:lvlJc w:val="left"/>
      <w:pPr>
        <w:ind w:left="432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6" w:tplc="D2906E46">
      <w:start w:val="1"/>
      <w:numFmt w:val="bullet"/>
      <w:lvlText w:val="•"/>
      <w:lvlJc w:val="left"/>
      <w:pPr>
        <w:ind w:left="5040"/>
      </w:pPr>
      <w:rPr>
        <w:rFonts w:ascii="Arial" w:eastAsia="Arial" w:hAnsi="Arial" w:cs="Arial"/>
        <w:b w:val="0"/>
        <w:i w:val="0"/>
        <w:strike w:val="0"/>
        <w:dstrike w:val="0"/>
        <w:color w:val="021414"/>
        <w:sz w:val="22"/>
        <w:szCs w:val="22"/>
        <w:u w:val="none" w:color="000000"/>
        <w:bdr w:val="none" w:sz="0" w:space="0" w:color="auto"/>
        <w:shd w:val="clear" w:color="auto" w:fill="auto"/>
        <w:vertAlign w:val="baseline"/>
      </w:rPr>
    </w:lvl>
    <w:lvl w:ilvl="7" w:tplc="D2A0F9F8">
      <w:start w:val="1"/>
      <w:numFmt w:val="bullet"/>
      <w:lvlText w:val="o"/>
      <w:lvlJc w:val="left"/>
      <w:pPr>
        <w:ind w:left="576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lvl w:ilvl="8" w:tplc="48901094">
      <w:start w:val="1"/>
      <w:numFmt w:val="bullet"/>
      <w:lvlText w:val="▪"/>
      <w:lvlJc w:val="left"/>
      <w:pPr>
        <w:ind w:left="6480"/>
      </w:pPr>
      <w:rPr>
        <w:rFonts w:ascii="Segoe UI Symbol" w:eastAsia="Segoe UI Symbol" w:hAnsi="Segoe UI Symbol" w:cs="Segoe UI Symbol"/>
        <w:b w:val="0"/>
        <w:i w:val="0"/>
        <w:strike w:val="0"/>
        <w:dstrike w:val="0"/>
        <w:color w:val="021414"/>
        <w:sz w:val="22"/>
        <w:szCs w:val="22"/>
        <w:u w:val="none" w:color="000000"/>
        <w:bdr w:val="none" w:sz="0" w:space="0" w:color="auto"/>
        <w:shd w:val="clear" w:color="auto" w:fill="auto"/>
        <w:vertAlign w:val="baseline"/>
      </w:rPr>
    </w:lvl>
  </w:abstractNum>
  <w:abstractNum w:abstractNumId="25" w15:restartNumberingAfterBreak="0">
    <w:nsid w:val="7C255B5A"/>
    <w:multiLevelType w:val="hybridMultilevel"/>
    <w:tmpl w:val="CEECE994"/>
    <w:lvl w:ilvl="0" w:tplc="62FE03B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5E1A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F0709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0273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BEA63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52D8E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9EA9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32DDA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C6D58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D197DE1"/>
    <w:multiLevelType w:val="hybridMultilevel"/>
    <w:tmpl w:val="EC8C5590"/>
    <w:lvl w:ilvl="0" w:tplc="0444EEF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C6E92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4E2F5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2ECC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58DFF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325DC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04C8C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A09F8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06C5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2131901648">
    <w:abstractNumId w:val="13"/>
  </w:num>
  <w:num w:numId="2" w16cid:durableId="1441871059">
    <w:abstractNumId w:val="18"/>
  </w:num>
  <w:num w:numId="3" w16cid:durableId="1459032762">
    <w:abstractNumId w:val="17"/>
  </w:num>
  <w:num w:numId="4" w16cid:durableId="661589484">
    <w:abstractNumId w:val="5"/>
  </w:num>
  <w:num w:numId="5" w16cid:durableId="450712509">
    <w:abstractNumId w:val="12"/>
  </w:num>
  <w:num w:numId="6" w16cid:durableId="1012727963">
    <w:abstractNumId w:val="0"/>
  </w:num>
  <w:num w:numId="7" w16cid:durableId="1300115996">
    <w:abstractNumId w:val="9"/>
  </w:num>
  <w:num w:numId="8" w16cid:durableId="1838686496">
    <w:abstractNumId w:val="25"/>
  </w:num>
  <w:num w:numId="9" w16cid:durableId="1529685817">
    <w:abstractNumId w:val="14"/>
  </w:num>
  <w:num w:numId="10" w16cid:durableId="433212777">
    <w:abstractNumId w:val="26"/>
  </w:num>
  <w:num w:numId="11" w16cid:durableId="1714496459">
    <w:abstractNumId w:val="23"/>
  </w:num>
  <w:num w:numId="12" w16cid:durableId="1510751532">
    <w:abstractNumId w:val="16"/>
  </w:num>
  <w:num w:numId="13" w16cid:durableId="1022898937">
    <w:abstractNumId w:val="4"/>
  </w:num>
  <w:num w:numId="14" w16cid:durableId="1578203611">
    <w:abstractNumId w:val="8"/>
  </w:num>
  <w:num w:numId="15" w16cid:durableId="117333007">
    <w:abstractNumId w:val="2"/>
  </w:num>
  <w:num w:numId="16" w16cid:durableId="856584092">
    <w:abstractNumId w:val="20"/>
  </w:num>
  <w:num w:numId="17" w16cid:durableId="2075353356">
    <w:abstractNumId w:val="19"/>
  </w:num>
  <w:num w:numId="18" w16cid:durableId="1985884972">
    <w:abstractNumId w:val="15"/>
  </w:num>
  <w:num w:numId="19" w16cid:durableId="429933736">
    <w:abstractNumId w:val="7"/>
  </w:num>
  <w:num w:numId="20" w16cid:durableId="1702970724">
    <w:abstractNumId w:val="24"/>
  </w:num>
  <w:num w:numId="21" w16cid:durableId="306321997">
    <w:abstractNumId w:val="22"/>
  </w:num>
  <w:num w:numId="22" w16cid:durableId="275868021">
    <w:abstractNumId w:val="21"/>
  </w:num>
  <w:num w:numId="23" w16cid:durableId="940189880">
    <w:abstractNumId w:val="10"/>
  </w:num>
  <w:num w:numId="24" w16cid:durableId="429545357">
    <w:abstractNumId w:val="11"/>
  </w:num>
  <w:num w:numId="25" w16cid:durableId="1618558154">
    <w:abstractNumId w:val="6"/>
  </w:num>
  <w:num w:numId="26" w16cid:durableId="2136409039">
    <w:abstractNumId w:val="3"/>
  </w:num>
  <w:num w:numId="27" w16cid:durableId="8494912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A0C"/>
    <w:rsid w:val="00266CF6"/>
    <w:rsid w:val="005E499E"/>
    <w:rsid w:val="00C80A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38B57"/>
  <w15:docId w15:val="{51CE7EE6-886A-41BE-A932-40C8A85F7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8" w:lineRule="auto"/>
      <w:ind w:left="10" w:hanging="10"/>
    </w:pPr>
    <w:rPr>
      <w:rFonts w:ascii="Arial" w:eastAsia="Arial" w:hAnsi="Arial" w:cs="Arial"/>
      <w:color w:val="021414"/>
      <w:sz w:val="22"/>
    </w:rPr>
  </w:style>
  <w:style w:type="paragraph" w:styleId="Heading1">
    <w:name w:val="heading 1"/>
    <w:next w:val="Normal"/>
    <w:link w:val="Heading1Char"/>
    <w:uiPriority w:val="9"/>
    <w:qFormat/>
    <w:pPr>
      <w:keepNext/>
      <w:keepLines/>
      <w:spacing w:after="18" w:line="249" w:lineRule="auto"/>
      <w:ind w:left="10" w:hanging="10"/>
      <w:outlineLvl w:val="0"/>
    </w:pPr>
    <w:rPr>
      <w:rFonts w:ascii="Georgia" w:eastAsia="Georgia" w:hAnsi="Georgia" w:cs="Georgia"/>
      <w:b/>
      <w:color w:val="0D8383"/>
      <w:sz w:val="40"/>
    </w:rPr>
  </w:style>
  <w:style w:type="paragraph" w:styleId="Heading2">
    <w:name w:val="heading 2"/>
    <w:next w:val="Normal"/>
    <w:link w:val="Heading2Char"/>
    <w:uiPriority w:val="9"/>
    <w:unhideWhenUsed/>
    <w:qFormat/>
    <w:pPr>
      <w:keepNext/>
      <w:keepLines/>
      <w:spacing w:after="162" w:line="259" w:lineRule="auto"/>
      <w:ind w:left="10" w:hanging="10"/>
      <w:outlineLvl w:val="1"/>
    </w:pPr>
    <w:rPr>
      <w:rFonts w:ascii="Arial" w:eastAsia="Arial" w:hAnsi="Arial" w:cs="Arial"/>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Georgia" w:eastAsia="Georgia" w:hAnsi="Georgia" w:cs="Georgia"/>
      <w:b/>
      <w:color w:val="0D8383"/>
      <w:sz w:val="40"/>
    </w:rPr>
  </w:style>
  <w:style w:type="paragraph" w:customStyle="1" w:styleId="footnotedescription">
    <w:name w:val="footnote description"/>
    <w:next w:val="Normal"/>
    <w:link w:val="footnotedescriptionChar"/>
    <w:hidden/>
    <w:pPr>
      <w:spacing w:after="0" w:line="259" w:lineRule="auto"/>
    </w:pPr>
    <w:rPr>
      <w:rFonts w:ascii="Arial" w:eastAsia="Arial" w:hAnsi="Arial" w:cs="Arial"/>
      <w:color w:val="021414"/>
      <w:sz w:val="18"/>
    </w:rPr>
  </w:style>
  <w:style w:type="character" w:customStyle="1" w:styleId="footnotedescriptionChar">
    <w:name w:val="footnote description Char"/>
    <w:link w:val="footnotedescription"/>
    <w:rPr>
      <w:rFonts w:ascii="Arial" w:eastAsia="Arial" w:hAnsi="Arial" w:cs="Arial"/>
      <w:color w:val="021414"/>
      <w:sz w:val="18"/>
    </w:rPr>
  </w:style>
  <w:style w:type="paragraph" w:styleId="TOC1">
    <w:name w:val="toc 1"/>
    <w:hidden/>
    <w:pPr>
      <w:spacing w:after="240" w:line="259" w:lineRule="auto"/>
      <w:ind w:left="6269" w:right="16" w:hanging="10"/>
    </w:pPr>
    <w:rPr>
      <w:rFonts w:ascii="Arial" w:eastAsia="Arial" w:hAnsi="Arial" w:cs="Arial"/>
      <w:color w:val="021414"/>
    </w:rPr>
  </w:style>
  <w:style w:type="character" w:customStyle="1" w:styleId="footnotemark">
    <w:name w:val="footnote mark"/>
    <w:hidden/>
    <w:rPr>
      <w:rFonts w:ascii="Arial" w:eastAsia="Arial" w:hAnsi="Arial" w:cs="Arial"/>
      <w:color w:val="021414"/>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72" Type="http://schemas.openxmlformats.org/officeDocument/2006/relationships/hyperlink" Target="https://lcsansw.org.au/Public/Public/News/Media-Releases/LCSA-Statement-in-Support-of-Transitioning-Funding-to-ACCOs.aspx" TargetMode="External"/><Relationship Id="rId80" Type="http://schemas.openxmlformats.org/officeDocument/2006/relationships/footer" Target="footer4.xml"/><Relationship Id="rId3" Type="http://schemas.openxmlformats.org/officeDocument/2006/relationships/settings" Target="settings.xml"/><Relationship Id="rId63" Type="http://schemas.openxmlformats.org/officeDocument/2006/relationships/image" Target="media/image3.jpg"/><Relationship Id="rId68" Type="http://schemas.openxmlformats.org/officeDocument/2006/relationships/hyperlink" Target="https://www.snaicc.org.au/resources/family-matters-report-2024/" TargetMode="External"/><Relationship Id="rId76" Type="http://schemas.openxmlformats.org/officeDocument/2006/relationships/hyperlink" Target="https://www.dfsvc.gov.au/multicultural-communities-roundtable-summary-report" TargetMode="External"/><Relationship Id="rId84" Type="http://schemas.openxmlformats.org/officeDocument/2006/relationships/theme" Target="theme/theme1.xml"/><Relationship Id="rId7" Type="http://schemas.openxmlformats.org/officeDocument/2006/relationships/image" Target="media/image1.jpg"/><Relationship Id="rId67" Type="http://schemas.openxmlformats.org/officeDocument/2006/relationships/hyperlink" Target="https://www.snaicc.org.au/resources/family-matters-report-2024/" TargetMode="External"/><Relationship Id="rId71" Type="http://schemas.openxmlformats.org/officeDocument/2006/relationships/hyperlink" Target="https://lcsansw.org.au/Public/Public/News/Media-Releases/LCSA-Statement-in-Support-of-Transitioning-Funding-to-ACCOs.aspx" TargetMode="External"/><Relationship Id="rId2" Type="http://schemas.openxmlformats.org/officeDocument/2006/relationships/styles" Target="styles.xml"/><Relationship Id="rId62" Type="http://schemas.openxmlformats.org/officeDocument/2006/relationships/image" Target="media/image1.png"/><Relationship Id="rId70" Type="http://schemas.openxmlformats.org/officeDocument/2006/relationships/hyperlink" Target="https://www.snaicc.org.au/resources/family-matters-report-2024/" TargetMode="External"/><Relationship Id="rId75" Type="http://schemas.openxmlformats.org/officeDocument/2006/relationships/hyperlink" Target="https://www.dfsvc.gov.au/multicultural-communities-roundtable-summary-report"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66" Type="http://schemas.openxmlformats.org/officeDocument/2006/relationships/footer" Target="footer3.xml"/><Relationship Id="rId74" Type="http://schemas.openxmlformats.org/officeDocument/2006/relationships/hyperlink" Target="https://lcsansw.org.au/Public/Public/News/Media-Releases/LCSA-Statement-in-Support-of-Transitioning-Funding-to-ACCOs.aspx" TargetMode="External"/><Relationship Id="rId79" Type="http://schemas.openxmlformats.org/officeDocument/2006/relationships/hyperlink" Target="https://www.niaa.gov.au/sites/default/files/documents/2025-07/NIAA-Closing-the-Gap-Grants-Prioritisation-Guide.pdf" TargetMode="External"/><Relationship Id="rId5" Type="http://schemas.openxmlformats.org/officeDocument/2006/relationships/footnotes" Target="footnotes.xml"/><Relationship Id="rId61" Type="http://schemas.openxmlformats.org/officeDocument/2006/relationships/image" Target="media/image0.jpg"/><Relationship Id="rId82" Type="http://schemas.openxmlformats.org/officeDocument/2006/relationships/footer" Target="footer6.xml"/><Relationship Id="rId65" Type="http://schemas.openxmlformats.org/officeDocument/2006/relationships/footer" Target="footer2.xml"/><Relationship Id="rId73" Type="http://schemas.openxmlformats.org/officeDocument/2006/relationships/hyperlink" Target="https://lcsansw.org.au/Public/Public/News/Media-Releases/LCSA-Statement-in-Support-of-Transitioning-Funding-to-ACCOs.aspx" TargetMode="External"/><Relationship Id="rId78" Type="http://schemas.openxmlformats.org/officeDocument/2006/relationships/hyperlink" Target="https://www.niaa.gov.au/sites/default/files/documents/2025-07/NIAA-Closing-the-Gap-Grants-Prioritisation-Guide.pdf" TargetMode="External"/><Relationship Id="rId81" Type="http://schemas.openxmlformats.org/officeDocument/2006/relationships/footer" Target="footer5.xml"/><Relationship Id="rId4" Type="http://schemas.openxmlformats.org/officeDocument/2006/relationships/webSettings" Target="webSettings.xml"/><Relationship Id="rId64" Type="http://schemas.openxmlformats.org/officeDocument/2006/relationships/footer" Target="footer1.xml"/><Relationship Id="rId69" Type="http://schemas.openxmlformats.org/officeDocument/2006/relationships/hyperlink" Target="https://www.snaicc.org.au/resources/family-matters-report-2024/" TargetMode="External"/><Relationship Id="rId77" Type="http://schemas.openxmlformats.org/officeDocument/2006/relationships/hyperlink" Target="https://www.niaa.gov.au/sites/default/files/documents/2025-07/NIAA-Closing-the-Gap-Grants-Prioritisation-Guide.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disabilitygateway.gov.au/" TargetMode="External"/><Relationship Id="rId1" Type="http://schemas.openxmlformats.org/officeDocument/2006/relationships/hyperlink" Target="https://www.disabilitygateway.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12316</Words>
  <Characters>76700</Characters>
  <Application>Microsoft Office Word</Application>
  <DocSecurity>0</DocSecurity>
  <Lines>1256</Lines>
  <Paragraphs>510</Paragraphs>
  <ScaleCrop>false</ScaleCrop>
  <Company/>
  <LinksUpToDate>false</LinksUpToDate>
  <CharactersWithSpaces>89269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Paper Response</dc:title>
  <dc:subject>DSS: A new approach to programs for families and children</dc:subject>
  <dc:creator>Debbie Stanley</dc:creator>
  <cp:keywords>[SEC=OFFICIAL]</cp:keywords>
  <cp:lastModifiedBy>CATLIN-STRUTHERS, Lydia</cp:lastModifiedBy>
  <cp:revision>2</cp:revision>
  <dcterms:created xsi:type="dcterms:W3CDTF">2025-12-12T01:28:00Z</dcterms:created>
  <dcterms:modified xsi:type="dcterms:W3CDTF">2025-12-12T01:28:00Z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v=2024.1;a=SHA256;h=17B2604F544FDC7305C87E91DAF891597F03E14F55DD1FC3A1048C965E8883CF</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2025-12-12T01:28:24Z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2025-12-12T01:28:24Z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18681c3f067d4e57a388a2bf8f78e9ae</vt:lpwstr>
  </property>
  <property fmtid="{D5CDD505-2E9C-101B-9397-08002B2CF9AE}" pid="24" name="PM_Originator_Hash_SHA1">
    <vt:lpwstr>70D524B4874D1B3B34D90FDE0E5D82AA5E75BD44</vt:lpwstr>
  </property>
  <property fmtid="{D5CDD505-2E9C-101B-9397-08002B2CF9AE}" pid="25" name="PM_Originating_FileId">
    <vt:lpwstr>A5640BA4B03D41FFBAD5F0CD17C4D17F</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01F708D3DB494DDF781230955858F50FB365853CE354C59361B69EC4E7CC965E</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EF653499F365895BF87A52EDE2601FA0</vt:lpwstr>
  </property>
  <property fmtid="{D5CDD505-2E9C-101B-9397-08002B2CF9AE}" pid="33" name="PM_Hash_Salt">
    <vt:lpwstr>FA7950F908A95A92D08DD782E231B9A6</vt:lpwstr>
  </property>
  <property fmtid="{D5CDD505-2E9C-101B-9397-08002B2CF9AE}" pid="34" name="PM_Hash_SHA1">
    <vt:lpwstr>320FC001C1D9A23A281D9BA1193EFA92C2D4371B</vt:lpwstr>
  </property>
</Properties>
</file>