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1BE6" w14:textId="77777777" w:rsidR="006E3868" w:rsidRDefault="00000000">
      <w:pPr>
        <w:spacing w:after="0" w:line="259" w:lineRule="auto"/>
        <w:ind w:left="0" w:right="0" w:firstLine="0"/>
        <w:jc w:val="left"/>
      </w:pPr>
      <w:r>
        <w:t xml:space="preserve"> </w:t>
      </w:r>
    </w:p>
    <w:p w14:paraId="785DEBF1" w14:textId="77777777" w:rsidR="006E3868" w:rsidRDefault="00000000">
      <w:pPr>
        <w:spacing w:after="321" w:line="259" w:lineRule="auto"/>
        <w:ind w:left="-720" w:right="0" w:firstLine="0"/>
        <w:jc w:val="left"/>
      </w:pPr>
      <w:r>
        <w:rPr>
          <w:noProof/>
        </w:rPr>
        <w:drawing>
          <wp:inline distT="0" distB="0" distL="0" distR="0" wp14:anchorId="07E9200B" wp14:editId="157F0D08">
            <wp:extent cx="2449449" cy="557530"/>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7"/>
                    <a:stretch>
                      <a:fillRect/>
                    </a:stretch>
                  </pic:blipFill>
                  <pic:spPr>
                    <a:xfrm>
                      <a:off x="0" y="0"/>
                      <a:ext cx="2449449" cy="557530"/>
                    </a:xfrm>
                    <a:prstGeom prst="rect">
                      <a:avLst/>
                    </a:prstGeom>
                  </pic:spPr>
                </pic:pic>
              </a:graphicData>
            </a:graphic>
          </wp:inline>
        </w:drawing>
      </w:r>
    </w:p>
    <w:p w14:paraId="46316EE4" w14:textId="77777777" w:rsidR="006E3868" w:rsidRDefault="00000000">
      <w:pPr>
        <w:spacing w:after="609" w:line="259" w:lineRule="auto"/>
        <w:ind w:left="0" w:right="0" w:firstLine="0"/>
        <w:jc w:val="left"/>
      </w:pPr>
      <w:r>
        <w:t xml:space="preserve"> </w:t>
      </w:r>
    </w:p>
    <w:p w14:paraId="717801DC" w14:textId="77777777" w:rsidR="006E3868" w:rsidRDefault="00000000">
      <w:pPr>
        <w:spacing w:after="181" w:line="259" w:lineRule="auto"/>
        <w:ind w:left="0" w:right="0" w:firstLine="0"/>
        <w:jc w:val="left"/>
      </w:pPr>
      <w:r>
        <w:rPr>
          <w:b/>
          <w:color w:val="FFFFFF"/>
          <w:sz w:val="72"/>
        </w:rPr>
        <w:t xml:space="preserve"> </w:t>
      </w:r>
    </w:p>
    <w:p w14:paraId="23EC3761" w14:textId="77777777" w:rsidR="006E3868" w:rsidRDefault="00000000">
      <w:pPr>
        <w:spacing w:after="294" w:line="259" w:lineRule="auto"/>
        <w:ind w:left="0" w:right="0" w:firstLine="0"/>
        <w:jc w:val="left"/>
      </w:pPr>
      <w:r>
        <w:rPr>
          <w:b/>
          <w:color w:val="FFFFFF"/>
          <w:sz w:val="72"/>
        </w:rPr>
        <w:t xml:space="preserve"> </w:t>
      </w:r>
    </w:p>
    <w:p w14:paraId="381551CA" w14:textId="77777777" w:rsidR="006E3868" w:rsidRDefault="00000000">
      <w:pPr>
        <w:spacing w:after="0" w:line="270" w:lineRule="auto"/>
        <w:ind w:left="0" w:right="0" w:firstLine="0"/>
        <w:jc w:val="left"/>
      </w:pPr>
      <w:r>
        <w:rPr>
          <w:b/>
          <w:sz w:val="84"/>
        </w:rPr>
        <w:t>A New Approach to Programs for Families and Children</w:t>
      </w:r>
      <w:r>
        <w:rPr>
          <w:b/>
          <w:sz w:val="96"/>
        </w:rPr>
        <w:t xml:space="preserve"> </w:t>
      </w:r>
    </w:p>
    <w:p w14:paraId="24EF8C26" w14:textId="77777777" w:rsidR="006E3868" w:rsidRDefault="00000000">
      <w:pPr>
        <w:spacing w:after="0" w:line="259" w:lineRule="auto"/>
        <w:ind w:left="0" w:right="0" w:firstLine="0"/>
        <w:jc w:val="left"/>
      </w:pPr>
      <w:r>
        <w:rPr>
          <w:noProof/>
        </w:rPr>
        <w:drawing>
          <wp:anchor distT="0" distB="0" distL="114300" distR="114300" simplePos="0" relativeHeight="251658240" behindDoc="0" locked="0" layoutInCell="1" allowOverlap="0" wp14:anchorId="4623A6E0" wp14:editId="60C5B757">
            <wp:simplePos x="0" y="0"/>
            <wp:positionH relativeFrom="page">
              <wp:posOffset>502920</wp:posOffset>
            </wp:positionH>
            <wp:positionV relativeFrom="page">
              <wp:posOffset>0</wp:posOffset>
            </wp:positionV>
            <wp:extent cx="2452370" cy="20955"/>
            <wp:effectExtent l="0" t="0" r="0" b="0"/>
            <wp:wrapTopAndBottom/>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2452370" cy="20955"/>
                    </a:xfrm>
                    <a:prstGeom prst="rect">
                      <a:avLst/>
                    </a:prstGeom>
                  </pic:spPr>
                </pic:pic>
              </a:graphicData>
            </a:graphic>
          </wp:anchor>
        </w:drawing>
      </w:r>
      <w:r>
        <w:rPr>
          <w:noProof/>
        </w:rPr>
        <w:drawing>
          <wp:anchor distT="0" distB="0" distL="114300" distR="114300" simplePos="0" relativeHeight="251659264" behindDoc="0" locked="0" layoutInCell="1" allowOverlap="0" wp14:anchorId="1C1767E3" wp14:editId="48F93CCA">
            <wp:simplePos x="0" y="0"/>
            <wp:positionH relativeFrom="page">
              <wp:posOffset>5340350</wp:posOffset>
            </wp:positionH>
            <wp:positionV relativeFrom="page">
              <wp:posOffset>3869310</wp:posOffset>
            </wp:positionV>
            <wp:extent cx="2112264" cy="5212080"/>
            <wp:effectExtent l="0" t="0" r="0" b="0"/>
            <wp:wrapSquare wrapText="bothSides"/>
            <wp:docPr id="12670" name="Picture 12670"/>
            <wp:cNvGraphicFramePr/>
            <a:graphic xmlns:a="http://schemas.openxmlformats.org/drawingml/2006/main">
              <a:graphicData uri="http://schemas.openxmlformats.org/drawingml/2006/picture">
                <pic:pic xmlns:pic="http://schemas.openxmlformats.org/drawingml/2006/picture">
                  <pic:nvPicPr>
                    <pic:cNvPr id="12670" name="Picture 12670"/>
                    <pic:cNvPicPr/>
                  </pic:nvPicPr>
                  <pic:blipFill>
                    <a:blip r:embed="rId9"/>
                    <a:stretch>
                      <a:fillRect/>
                    </a:stretch>
                  </pic:blipFill>
                  <pic:spPr>
                    <a:xfrm>
                      <a:off x="0" y="0"/>
                      <a:ext cx="2112264" cy="5212080"/>
                    </a:xfrm>
                    <a:prstGeom prst="rect">
                      <a:avLst/>
                    </a:prstGeom>
                  </pic:spPr>
                </pic:pic>
              </a:graphicData>
            </a:graphic>
          </wp:anchor>
        </w:drawing>
      </w:r>
      <w:r>
        <w:rPr>
          <w:color w:val="5A5A5A"/>
          <w:sz w:val="48"/>
        </w:rPr>
        <w:t xml:space="preserve">Email submission response  </w:t>
      </w:r>
    </w:p>
    <w:p w14:paraId="14E05883" w14:textId="77777777" w:rsidR="006E3868" w:rsidRDefault="00000000">
      <w:pPr>
        <w:spacing w:after="86" w:line="259" w:lineRule="auto"/>
        <w:ind w:left="0" w:right="0" w:firstLine="0"/>
        <w:jc w:val="left"/>
      </w:pPr>
      <w:r>
        <w:rPr>
          <w:sz w:val="28"/>
        </w:rPr>
        <w:t xml:space="preserve">5 December 2025 </w:t>
      </w:r>
    </w:p>
    <w:p w14:paraId="7DB050BC" w14:textId="77777777" w:rsidR="006E3868" w:rsidRDefault="00000000">
      <w:pPr>
        <w:spacing w:after="163" w:line="259" w:lineRule="auto"/>
        <w:ind w:left="0" w:right="0" w:firstLine="0"/>
        <w:jc w:val="left"/>
      </w:pPr>
      <w:r>
        <w:t xml:space="preserve"> </w:t>
      </w:r>
    </w:p>
    <w:p w14:paraId="70163082" w14:textId="77777777" w:rsidR="006E3868" w:rsidRDefault="00000000">
      <w:pPr>
        <w:spacing w:after="6045" w:line="259" w:lineRule="auto"/>
        <w:ind w:left="0" w:right="0" w:firstLine="0"/>
        <w:jc w:val="left"/>
      </w:pPr>
      <w:r>
        <w:rPr>
          <w:rFonts w:ascii="Arial" w:eastAsia="Arial" w:hAnsi="Arial" w:cs="Arial"/>
        </w:rPr>
        <w:t xml:space="preserve"> </w:t>
      </w:r>
      <w:r>
        <w:rPr>
          <w:rFonts w:ascii="Arial" w:eastAsia="Arial" w:hAnsi="Arial" w:cs="Arial"/>
        </w:rPr>
        <w:tab/>
      </w:r>
      <w:r>
        <w:t xml:space="preserve"> </w:t>
      </w:r>
    </w:p>
    <w:p w14:paraId="1E4FE0F1" w14:textId="77777777" w:rsidR="006E3868" w:rsidRDefault="00000000">
      <w:pPr>
        <w:spacing w:after="0" w:line="259" w:lineRule="auto"/>
        <w:ind w:left="0" w:right="0" w:firstLine="0"/>
        <w:jc w:val="left"/>
      </w:pPr>
      <w:r>
        <w:lastRenderedPageBreak/>
        <w:t xml:space="preserve"> </w:t>
      </w:r>
    </w:p>
    <w:p w14:paraId="79753ECF" w14:textId="77777777" w:rsidR="006E3868" w:rsidRDefault="00000000">
      <w:pPr>
        <w:pStyle w:val="Heading1"/>
        <w:ind w:left="-5"/>
      </w:pPr>
      <w:r>
        <w:t xml:space="preserve">Executive Summary </w:t>
      </w:r>
    </w:p>
    <w:p w14:paraId="21F7936C" w14:textId="77777777" w:rsidR="006E3868" w:rsidRDefault="00000000">
      <w:pPr>
        <w:ind w:left="-5" w:right="0"/>
      </w:pPr>
      <w:r>
        <w:t xml:space="preserve">Families Australia welcomes the opportunity to respond to </w:t>
      </w:r>
      <w:r>
        <w:rPr>
          <w:i/>
        </w:rPr>
        <w:t>A New Approach to Programs for Families and Children</w:t>
      </w:r>
      <w:r>
        <w:t xml:space="preserve"> and supports the reform direction proposed by Government, through the Department of Social Services (The Department).  </w:t>
      </w:r>
    </w:p>
    <w:p w14:paraId="31DF5267" w14:textId="77777777" w:rsidR="006E3868" w:rsidRDefault="00000000">
      <w:pPr>
        <w:ind w:left="-5" w:right="0"/>
      </w:pPr>
      <w:r>
        <w:t xml:space="preserve">Our members consistently endorse a stronger focus on early intervention and prevention, recognising the long-term value of investing earlier to reduce service demand and improve outcomes for families and children. There is also clear support for the continued growth of the Aboriginal Community Controlled Organisations (ACCOs) sector, with proportional resourcing required to accompany expanded responsibilities and seamless transition. Embedding greater opportunities for co-design, community voice, and local capacity-building throughout implementation is viewed as essential to ensuring reforms reflect community strengths and respond effectively to the diversity of needs. </w:t>
      </w:r>
    </w:p>
    <w:p w14:paraId="5F690DC9" w14:textId="77777777" w:rsidR="006E3868" w:rsidRDefault="00000000">
      <w:pPr>
        <w:ind w:left="-5" w:right="0"/>
      </w:pPr>
      <w:r>
        <w:t xml:space="preserve">Members support the proposed structural reforms - including five-year funding arrangements, single flexible agreements, and streamlined administrative processes - which are expected to enhance stability, reduce duplication, and improve flexibility to enable greater service responsiveness. Co-located, connected, and integrated service delivery were also welcomed, provided that the diversity of service models is maintained and local contexts considered, to meet the varied needs of families and communities. </w:t>
      </w:r>
    </w:p>
    <w:p w14:paraId="5C42C616" w14:textId="77777777" w:rsidR="006E3868" w:rsidRDefault="00000000">
      <w:pPr>
        <w:ind w:left="-5" w:right="0"/>
      </w:pPr>
      <w:r>
        <w:t xml:space="preserve">The sector expressed interest in the proposed relational contracting model, as one option to support flexibility, and recognises its potential to strengthen partnerships and relationships. Further detail is needed to enable providers to prepare for this shift, with a shared focus on capacity and capability building with the Department to drive success.  </w:t>
      </w:r>
    </w:p>
    <w:p w14:paraId="08B633AE" w14:textId="77777777" w:rsidR="006E3868" w:rsidRDefault="00000000">
      <w:pPr>
        <w:ind w:left="-5" w:right="0"/>
      </w:pPr>
      <w:r>
        <w:t xml:space="preserve">There are several investment areas requiring clarification: whether funding across the three streams will remain proportionally consistent; how diversity in provider size and service types will be safeguarded; and how specialist providers will continue to meet the needs of different family forms, including adults without dependent children. Limitations in current datasets - particularly in relation to representativeness, participation rates, and masked need - will also need to be addressed to support evidence-informed decision making. Consistent and shared access to data and regional priorities is also sought to drive greater local collaboration.  </w:t>
      </w:r>
    </w:p>
    <w:p w14:paraId="50E94D16" w14:textId="77777777" w:rsidR="006E3868" w:rsidRDefault="00000000">
      <w:pPr>
        <w:spacing w:after="249"/>
        <w:ind w:left="-5" w:right="0"/>
      </w:pPr>
      <w:r>
        <w:t xml:space="preserve">These reforms collectively represent a significant and system-wide change management process. Effective implementation will depend on clear sequencing, sustained communication and engagement with the sector, and dedicated support for communities, providers, and the workforce. </w:t>
      </w:r>
    </w:p>
    <w:p w14:paraId="213F2BA5" w14:textId="77777777" w:rsidR="006E3868" w:rsidRDefault="00000000">
      <w:pPr>
        <w:pStyle w:val="Heading2"/>
        <w:spacing w:after="98"/>
        <w:ind w:left="-5"/>
      </w:pPr>
      <w:r>
        <w:t xml:space="preserve">National engagement and coordination offer </w:t>
      </w:r>
    </w:p>
    <w:p w14:paraId="0F7A2CF0" w14:textId="77777777" w:rsidR="006E3868" w:rsidRDefault="00000000">
      <w:pPr>
        <w:ind w:left="-5" w:right="0"/>
      </w:pPr>
      <w:r>
        <w:t xml:space="preserve">To support successful national implementation, Families Australia proposes to play a central coordinating and convening role, alongside Government. </w:t>
      </w:r>
    </w:p>
    <w:p w14:paraId="5D1ABE6A" w14:textId="77777777" w:rsidR="006E3868" w:rsidRDefault="00000000">
      <w:pPr>
        <w:ind w:left="-5" w:right="0"/>
      </w:pPr>
      <w:r>
        <w:t xml:space="preserve">As a trusted national peak body with deep relationships across jurisdictions, we are well placed to facilitate consistent communication, align stakeholders, and ensure reform efforts are grounded in evidence and community insight.  </w:t>
      </w:r>
    </w:p>
    <w:p w14:paraId="6607D06E" w14:textId="77777777" w:rsidR="006E3868" w:rsidRDefault="00000000">
      <w:pPr>
        <w:ind w:left="-5" w:right="0"/>
      </w:pPr>
      <w:r>
        <w:t xml:space="preserve">We would undertake this work in partnership with an ACCO national organisation and the leading peak body in each jurisdiction. This coordinated national leadership approach would help set the conditions for a smooth transition process, strengthened sector capability, and early realisation of the reform’s intended benefits. </w:t>
      </w:r>
    </w:p>
    <w:p w14:paraId="54D409B1" w14:textId="77777777" w:rsidR="006E3868" w:rsidRDefault="00000000">
      <w:pPr>
        <w:pStyle w:val="Heading1"/>
        <w:ind w:left="-5"/>
      </w:pPr>
      <w:r>
        <w:lastRenderedPageBreak/>
        <w:t xml:space="preserve">Introduction </w:t>
      </w:r>
    </w:p>
    <w:p w14:paraId="65849D32" w14:textId="77777777" w:rsidR="006E3868" w:rsidRDefault="00000000">
      <w:pPr>
        <w:ind w:left="-5" w:right="0"/>
      </w:pPr>
      <w:r>
        <w:t xml:space="preserve">Established in 2001, </w:t>
      </w:r>
      <w:r>
        <w:rPr>
          <w:b/>
        </w:rPr>
        <w:t>Families Australia is the national peak body</w:t>
      </w:r>
      <w:r>
        <w:t xml:space="preserve"> for families, children, and young people. Representing more than 600 member organisations and stakeholders delivering child and family services across Australia, we are dedicated to improving the wellbeing of children and families, particularly those experiencing vulnerability and marginalisation. </w:t>
      </w:r>
    </w:p>
    <w:p w14:paraId="2B8F7576" w14:textId="77777777" w:rsidR="006E3868" w:rsidRDefault="00000000">
      <w:pPr>
        <w:spacing w:after="153" w:line="259" w:lineRule="auto"/>
        <w:ind w:left="0" w:right="0" w:firstLine="0"/>
        <w:jc w:val="left"/>
      </w:pPr>
      <w:r>
        <w:t xml:space="preserve"> </w:t>
      </w:r>
    </w:p>
    <w:p w14:paraId="3999F1BB" w14:textId="77777777" w:rsidR="006E3868" w:rsidRDefault="00000000">
      <w:pPr>
        <w:pStyle w:val="Heading2"/>
        <w:ind w:left="-5"/>
      </w:pPr>
      <w:r>
        <w:t xml:space="preserve">Sustainable, effective reforms are essential to ensure the sector, families, and communities are supported to thrive </w:t>
      </w:r>
    </w:p>
    <w:p w14:paraId="61DB5FCF" w14:textId="77777777" w:rsidR="006E3868" w:rsidRDefault="00000000">
      <w:pPr>
        <w:ind w:left="-5" w:right="0"/>
      </w:pPr>
      <w:r>
        <w:t xml:space="preserve">We welcome this consultation opportunity to highlight key considerations and feedback, providing a pathway to work collaboratively on this critical structural and systems reform agenda, for the benefit of families, children, and young people.  </w:t>
      </w:r>
    </w:p>
    <w:p w14:paraId="37F76FFA" w14:textId="77777777" w:rsidR="006E3868" w:rsidRDefault="00000000">
      <w:pPr>
        <w:ind w:left="-5" w:right="0"/>
      </w:pPr>
      <w:r>
        <w:t xml:space="preserve">In preparing this response, Families Australia has undertaken a virtual consultation session with members to discuss the reforms, developed a broader pulse survey for members and stakeholders, and spoken directly with sector professionals experienced in delivering services to families. </w:t>
      </w:r>
    </w:p>
    <w:p w14:paraId="2A8F9340" w14:textId="77777777" w:rsidR="006E3868" w:rsidRDefault="00000000">
      <w:pPr>
        <w:ind w:left="-5" w:right="0"/>
      </w:pPr>
      <w:r>
        <w:t xml:space="preserve">We acknowledge that these reforms follow on from the </w:t>
      </w:r>
      <w:r>
        <w:rPr>
          <w:i/>
        </w:rPr>
        <w:t>Review of Children, Youth and Parenting Programs</w:t>
      </w:r>
      <w:r>
        <w:t xml:space="preserve">, undertaken throughout late 2024 and 2025, to which Families Australia also participated and shared views from across our membership and sector peers. The Families and Communities Program (FaC) reforms are welcomed as part of the continued and structured process to strengthen and enhance the operation and sustainability of critical services for families across Australia.  </w:t>
      </w:r>
    </w:p>
    <w:p w14:paraId="6110D863" w14:textId="77777777" w:rsidR="006E3868" w:rsidRDefault="00000000">
      <w:pPr>
        <w:spacing w:after="110" w:line="259" w:lineRule="auto"/>
        <w:ind w:left="0" w:right="0" w:firstLine="0"/>
        <w:jc w:val="left"/>
      </w:pPr>
      <w:r>
        <w:t xml:space="preserve"> </w:t>
      </w:r>
    </w:p>
    <w:p w14:paraId="5E4A3B82" w14:textId="77777777" w:rsidR="006E3868" w:rsidRDefault="00000000">
      <w:pPr>
        <w:pStyle w:val="Heading1"/>
        <w:ind w:left="-5"/>
      </w:pPr>
      <w:r>
        <w:t xml:space="preserve">Structural Reforms  </w:t>
      </w:r>
    </w:p>
    <w:p w14:paraId="60D9D97E" w14:textId="77777777" w:rsidR="006E3868" w:rsidRDefault="00000000">
      <w:pPr>
        <w:ind w:left="-5" w:right="0"/>
      </w:pPr>
      <w:r>
        <w:t xml:space="preserve">We support policy and program structural reform that prioritises the wellbeing of families, children, and young people and importantly, service design and delivery that supports equity, inclusion, and cultural responsiveness.  </w:t>
      </w:r>
    </w:p>
    <w:p w14:paraId="2079ACDD" w14:textId="77777777" w:rsidR="006E3868" w:rsidRDefault="00000000">
      <w:pPr>
        <w:ind w:left="-5" w:right="0"/>
      </w:pPr>
      <w:r>
        <w:t xml:space="preserve">There is strong overall support to the proposed structural reforms by our members and stakeholders. Our recent pulse survey (coordinated by Families Australia to inform this response) identified overwhelming support for more flexible service delivery models, longer term funding agreements (five plus years), and embedded co-design with communities. Relational contracting options streamlined reporting via DEX, and increased support for ACCOs were also supported, with lower immediate prioritisation. Clear communication and transition information will be required to enhance prioritisation and sector detailed understanding of transition plans for these elements.  </w:t>
      </w:r>
    </w:p>
    <w:p w14:paraId="76E957F3" w14:textId="77777777" w:rsidR="006E3868" w:rsidRDefault="00000000">
      <w:pPr>
        <w:ind w:left="-5" w:right="0"/>
      </w:pPr>
      <w:r>
        <w:t xml:space="preserve">We note the importance and proposed inclusion of early prevention and collaboration, in addition to foundational supports for families to overcome disadvantage and intergenerational impacts. However, greater clarity is sought on the intended interactions between the three proposed funding streams and how this will work structurally, and in practice, to match investment with need and ensure continuity of service availability for both prevention and family support services. For example, have currently funded activities been mapped against the three new streams; and is any change in the proportional allocation of available funding within each stream (compared to mapped current) envisaged. </w:t>
      </w:r>
    </w:p>
    <w:p w14:paraId="70DFF1EC" w14:textId="77777777" w:rsidR="006E3868" w:rsidRDefault="00000000">
      <w:pPr>
        <w:spacing w:after="287"/>
        <w:ind w:left="-5" w:right="0"/>
      </w:pPr>
      <w:r>
        <w:t xml:space="preserve">We know that the challenges that families across Australia face are diverse and, in many cases, complicated and systemic. There is no one-size-fits-all approach, and we support ways to work collaboratively, across the sector and in place, to enable clearly defined flexible delivery models. This can be supported by practice principles for providers - to listen and respond to the needs of community and enable a practical framework for collaboration.  </w:t>
      </w:r>
    </w:p>
    <w:p w14:paraId="5A50D342" w14:textId="77777777" w:rsidR="006E3868" w:rsidRDefault="00000000">
      <w:pPr>
        <w:pStyle w:val="Heading2"/>
        <w:ind w:left="-5"/>
      </w:pPr>
      <w:r>
        <w:lastRenderedPageBreak/>
        <w:t xml:space="preserve">Greater clarity and detail to drive implementation and realise benefits of intended flexibility  </w:t>
      </w:r>
    </w:p>
    <w:p w14:paraId="69C573CD" w14:textId="77777777" w:rsidR="006E3868" w:rsidRDefault="00000000">
      <w:pPr>
        <w:ind w:left="-5" w:right="0"/>
      </w:pPr>
      <w:r>
        <w:t xml:space="preserve">We support the Government’s intention to enable greater program flexibility through key changes to commissioning and contracting that provides more responsive service delivery.  The proposed structural and systems reforms aim to better support community needs by embedding principles of co-design and collaboration within service design and delivery.  </w:t>
      </w:r>
    </w:p>
    <w:p w14:paraId="56F85DBB" w14:textId="77777777" w:rsidR="006E3868" w:rsidRDefault="00000000">
      <w:pPr>
        <w:ind w:left="-5" w:right="0"/>
      </w:pPr>
      <w:r>
        <w:t xml:space="preserve">However, this transformational reform agenda requires strong and considered transition arrangements, including greater clarity on implementation and flexibility benefits, adequate timeframes for successful change, and resourcing and information support (both within the Department and across the sector) to ensure a shared vision for the program is achievable at pace.  </w:t>
      </w:r>
    </w:p>
    <w:p w14:paraId="1130BC1B" w14:textId="77777777" w:rsidR="006E3868" w:rsidRDefault="00000000">
      <w:pPr>
        <w:ind w:left="-5" w:right="0"/>
      </w:pPr>
      <w:r>
        <w:t xml:space="preserve">Our members and stakeholders have also indicated a desire for greater clarity on how flexibility will be achieved for organisations across the program. A recent pulse survey of Families Australia members and stakeholders identified around one third of respondents felt there would be greater flexibility for their organisation, but nearly half of respondents were unsure.  </w:t>
      </w:r>
    </w:p>
    <w:p w14:paraId="15AD243D" w14:textId="77777777" w:rsidR="006E3868" w:rsidRDefault="00000000">
      <w:pPr>
        <w:spacing w:after="287"/>
        <w:ind w:left="-5" w:right="0"/>
      </w:pPr>
      <w:r>
        <w:t xml:space="preserve">Ongoing communications and detailed scenarios for how the program might work for local, regional and national or multi-site providers would enhance understanding of proposed benefits by providing real and relatable examples of practice.  Families Australia welcomes greater clarity, clear communication, and ongoing opportunities for input on the implementation of the proposed program reforms. </w:t>
      </w:r>
    </w:p>
    <w:p w14:paraId="2E53F621" w14:textId="77777777" w:rsidR="006E3868" w:rsidRDefault="00000000">
      <w:pPr>
        <w:pStyle w:val="Heading2"/>
        <w:ind w:left="-5"/>
      </w:pPr>
      <w:r>
        <w:t xml:space="preserve">Support for greater collaboration between the Department and providers  </w:t>
      </w:r>
    </w:p>
    <w:p w14:paraId="66160BC7" w14:textId="77777777" w:rsidR="006E3868" w:rsidRDefault="00000000">
      <w:pPr>
        <w:ind w:left="-5" w:right="0"/>
      </w:pPr>
      <w:r>
        <w:t xml:space="preserve">Greater collaboration between the Department and service providers is welcome, and there is support in the shift from administrative focuses to relational and collaborative outcomes models. However, we note that building trust and embedding relational contracting models will take time and requires flexible options to meet providers where they are and develop a shared commitment by both parties. This can be challenging with staff turnover of contract managers, and requires a framework to support joint training, time and resource investment, and scalable to support providers and Department teams simultaneously.  </w:t>
      </w:r>
    </w:p>
    <w:p w14:paraId="76CECF8B" w14:textId="77777777" w:rsidR="006E3868" w:rsidRDefault="00000000">
      <w:pPr>
        <w:spacing w:after="287"/>
        <w:ind w:left="-5" w:right="0"/>
      </w:pPr>
      <w:r>
        <w:t xml:space="preserve">Broader changes to the program that bring benefits of streamlined reporting and a focus on outcomes and demonstrating impact are welcomed across the sector. These changes are seen as practical opportunities to enhance collaboration and enable flexibility, reducing administration burden.  </w:t>
      </w:r>
    </w:p>
    <w:p w14:paraId="76FD0A2B" w14:textId="77777777" w:rsidR="006E3868" w:rsidRDefault="00000000">
      <w:pPr>
        <w:pStyle w:val="Heading2"/>
        <w:ind w:left="-5"/>
      </w:pPr>
      <w:r>
        <w:t xml:space="preserve">Relational contracting requires skills and knowledge sharing, time, and acknowledgement of required resourcing to build shared capability </w:t>
      </w:r>
    </w:p>
    <w:p w14:paraId="647C0B6E" w14:textId="77777777" w:rsidR="006E3868" w:rsidRDefault="00000000">
      <w:pPr>
        <w:ind w:left="-5" w:right="0"/>
      </w:pPr>
      <w:r>
        <w:t xml:space="preserve">We acknowledge and support the intent to strengthen contracting and commissioning within the Families and Communities Program, including the potential introduction of differentiated agreement and management approaches across the program. </w:t>
      </w:r>
    </w:p>
    <w:p w14:paraId="05CF65E3" w14:textId="77777777" w:rsidR="006E3868" w:rsidRDefault="00000000">
      <w:pPr>
        <w:ind w:left="-5" w:right="0"/>
      </w:pPr>
      <w:r>
        <w:t xml:space="preserve">Several members expressed support for a trial of a relational contracting approach that builds trust, collaboration, shared goals, and importantly, prioritises community voice. Such an approach appears to support the development of long-term partnerships with governments with inbuilt flexibility for funding to be more adaptive in meeting changing needs within the community over time. </w:t>
      </w:r>
    </w:p>
    <w:p w14:paraId="008470AA" w14:textId="77777777" w:rsidR="006E3868" w:rsidRDefault="00000000">
      <w:pPr>
        <w:ind w:left="-5" w:right="0"/>
      </w:pPr>
      <w:r>
        <w:t xml:space="preserve">Building trust and embedding relational contracting models will take time. Implementation and transition will need to include consideration of shared principles for accountability, joint governance, dispute resolution frameworks, and decision making. Flexible options to move towards relational </w:t>
      </w:r>
      <w:r>
        <w:lastRenderedPageBreak/>
        <w:t xml:space="preserve">contracting long term will enable providers and the Department to co-design transition pathways that respect and reflect organisational readiness. </w:t>
      </w:r>
    </w:p>
    <w:p w14:paraId="73E2C9E6" w14:textId="77777777" w:rsidR="006E3868" w:rsidRDefault="00000000">
      <w:pPr>
        <w:ind w:left="-5" w:right="0"/>
      </w:pPr>
      <w:r>
        <w:t xml:space="preserve">Relational contracting, as one option for providers, is broadly supported by Families Australia to engage and expand contractual relationships with the Department. However, it would be beneficial to incorporate a range and diversity of funding mechanisms within the program, enabling both provider and Department choice and flexibility to suit the nature of services being delivered and organisational capacity. </w:t>
      </w:r>
    </w:p>
    <w:p w14:paraId="5E6879D6" w14:textId="77777777" w:rsidR="006E3868" w:rsidRDefault="00000000">
      <w:pPr>
        <w:spacing w:after="167"/>
        <w:ind w:left="-5" w:right="0"/>
      </w:pPr>
      <w:r>
        <w:t xml:space="preserve">Both Government and the sector will require an adaptive change process, with dedicated and focused support on developing the skills and systems to support this model from transition through to implementation. Opportunities for the Department to take a leadership role and share its capacity and capability across the sector are welcomed. For example, shared training and information sessions, will aid a shared and collaborative approach that also recognises not all providers are equal in resources to support the change process. </w:t>
      </w:r>
    </w:p>
    <w:p w14:paraId="6916E0BB" w14:textId="77777777" w:rsidR="006E3868" w:rsidRDefault="00000000">
      <w:pPr>
        <w:spacing w:after="213" w:line="259" w:lineRule="auto"/>
        <w:ind w:left="0" w:right="0" w:firstLine="0"/>
        <w:jc w:val="left"/>
      </w:pPr>
      <w:r>
        <w:rPr>
          <w:b/>
          <w:color w:val="F79646"/>
          <w:sz w:val="28"/>
        </w:rPr>
        <w:t xml:space="preserve"> </w:t>
      </w:r>
    </w:p>
    <w:p w14:paraId="2DB8458B" w14:textId="77777777" w:rsidR="006E3868" w:rsidRDefault="00000000">
      <w:pPr>
        <w:pStyle w:val="Heading2"/>
        <w:ind w:left="-5"/>
      </w:pPr>
      <w:r>
        <w:t xml:space="preserve">Ensuring choice and flexibility is supported by embedding community governance mechanisms throughout the commissioning process </w:t>
      </w:r>
    </w:p>
    <w:p w14:paraId="1150B6A6" w14:textId="77777777" w:rsidR="006E3868" w:rsidRDefault="00000000">
      <w:pPr>
        <w:ind w:left="-5" w:right="0"/>
      </w:pPr>
      <w:r>
        <w:t xml:space="preserve">There is strong and widespread support for greater contract stability that can be achieved through the proposed commissioning model. Providers within our ecosystem have long advocated for minimum five-year contracts (with options for up to 7-10), enabling long term stability, streamlined reporting benefits, and opportunities for organisations and communities to build towards long-term visions.  </w:t>
      </w:r>
    </w:p>
    <w:p w14:paraId="607BA6EA" w14:textId="77777777" w:rsidR="006E3868" w:rsidRDefault="00000000">
      <w:pPr>
        <w:ind w:left="-5" w:right="0"/>
      </w:pPr>
      <w:r>
        <w:t xml:space="preserve">Consideration and careful planning is required in relation to recommissioning, ensuring adequate time and resourcing for organisations of all sizes and scale to respond, while maintaining service continuity for families and communities.  </w:t>
      </w:r>
    </w:p>
    <w:p w14:paraId="02BF4A16" w14:textId="77777777" w:rsidR="006E3868" w:rsidRDefault="00000000">
      <w:pPr>
        <w:ind w:left="-5" w:right="0"/>
      </w:pPr>
      <w:r>
        <w:t xml:space="preserve">Commissioning models that enable a diversity of voices and input of lived experience and cultural relevance is sought, including involvement of Aboriginal and Torres Strait Islander representatives and organisations. This inclusive and collaborative approach supports principles of co-design, enabling input from community representatives, non-government organisations, and other local stakeholders as part of the design and evaluation of program need and delivery. This will provide a robust and inclusive approach to commissioning that reflects accurately the need and requirements at a local level, while delivering on the overall program objectives.  </w:t>
      </w:r>
    </w:p>
    <w:p w14:paraId="7F89D0C1" w14:textId="77777777" w:rsidR="006E3868" w:rsidRDefault="00000000">
      <w:pPr>
        <w:ind w:left="-5" w:right="0"/>
      </w:pPr>
      <w:r>
        <w:t xml:space="preserve">We note that this reform ambition, while broadly supported, is against an accelerated timeline for implementation. Our members have highlighted the transition will require appropriate resourcing and investment to ensure both Government and the sector have the required knowledge, skills, and systems to implement at pace.  </w:t>
      </w:r>
    </w:p>
    <w:p w14:paraId="651A871B" w14:textId="77777777" w:rsidR="006E3868" w:rsidRDefault="00000000">
      <w:pPr>
        <w:spacing w:after="0" w:line="259" w:lineRule="auto"/>
        <w:ind w:left="0" w:right="0" w:firstLine="0"/>
        <w:jc w:val="left"/>
      </w:pPr>
      <w:r>
        <w:rPr>
          <w:b/>
          <w:color w:val="1A2B3F"/>
          <w:sz w:val="36"/>
        </w:rPr>
        <w:t xml:space="preserve"> </w:t>
      </w:r>
    </w:p>
    <w:p w14:paraId="45BE057A" w14:textId="77777777" w:rsidR="006E3868" w:rsidRDefault="00000000">
      <w:pPr>
        <w:pStyle w:val="Heading1"/>
        <w:spacing w:after="128"/>
        <w:ind w:left="-5"/>
      </w:pPr>
      <w:r>
        <w:t xml:space="preserve">Prioritising Investment  </w:t>
      </w:r>
    </w:p>
    <w:p w14:paraId="25E4FE07" w14:textId="77777777" w:rsidR="006E3868" w:rsidRDefault="00000000">
      <w:pPr>
        <w:pStyle w:val="Heading2"/>
        <w:ind w:left="-5"/>
      </w:pPr>
      <w:r>
        <w:t xml:space="preserve">Support for First Nations children and families and increasing the number of Aboriginal Community Controlled Organisations (ACCOs) delivering services to First Nations populations  </w:t>
      </w:r>
    </w:p>
    <w:p w14:paraId="5CF20AD0" w14:textId="77777777" w:rsidR="006E3868" w:rsidRDefault="00000000">
      <w:pPr>
        <w:ind w:left="-5" w:right="0"/>
      </w:pPr>
      <w:r>
        <w:t xml:space="preserve">Families Australia continues to support initiatives of Government that seek to enhance outcomes and strengthen self-determination of Aboriginal and Torres Strait Islander communities, families, children and young people.  </w:t>
      </w:r>
    </w:p>
    <w:p w14:paraId="4C95B736" w14:textId="77777777" w:rsidR="006E3868" w:rsidRDefault="00000000">
      <w:pPr>
        <w:ind w:left="-5" w:right="0"/>
      </w:pPr>
      <w:r>
        <w:lastRenderedPageBreak/>
        <w:t xml:space="preserve">We work collaboratively and in support of SNAICC, as the leading Aboriginal and Torres Strait Islander community-controlled peak body organisation within our sector, and are supportive of transition to ACCO-led service delivery as a mechanism for improved outcomes. </w:t>
      </w:r>
    </w:p>
    <w:p w14:paraId="26A270CE" w14:textId="77777777" w:rsidR="006E3868" w:rsidRDefault="00000000">
      <w:pPr>
        <w:ind w:left="-5" w:right="0"/>
      </w:pPr>
      <w:r>
        <w:t xml:space="preserve">Feedback from Families Australia members and stakeholders highlighted the importance of upholding principles of self-determination by enabling choice.  </w:t>
      </w:r>
    </w:p>
    <w:p w14:paraId="40CE4EAD" w14:textId="77777777" w:rsidR="006E3868" w:rsidRDefault="00000000">
      <w:pPr>
        <w:ind w:left="-5" w:right="0"/>
      </w:pPr>
      <w:r>
        <w:t xml:space="preserve">Program streams can seek to provide First Nations families and communities with choice on the services they wish to access, enabling greater access to ACCO-led services while equally supporting those who prefer a non-Indigenous provider. This enables consideration of local cultural contexts and community structures or cultural protocols that may impact on an individual’s service options. Inclusion of principles of self-determination that support individual choice and autonomy can embed cultural safety within the service pathway and program design.  </w:t>
      </w:r>
    </w:p>
    <w:p w14:paraId="45AD1365" w14:textId="77777777" w:rsidR="006E3868" w:rsidRDefault="00000000">
      <w:pPr>
        <w:ind w:left="-5" w:right="0"/>
      </w:pPr>
      <w:r>
        <w:t xml:space="preserve">To this end, embedding cultural safety and responsiveness should be a requirement and service standard of all service providers within the program, and not be seen as a service solution provided in isolation by ACCO-led services. </w:t>
      </w:r>
    </w:p>
    <w:p w14:paraId="1BCDEDA6" w14:textId="77777777" w:rsidR="006E3868" w:rsidRDefault="00000000">
      <w:pPr>
        <w:spacing w:after="98" w:line="259" w:lineRule="auto"/>
        <w:ind w:left="0" w:right="0" w:firstLine="0"/>
        <w:jc w:val="left"/>
      </w:pPr>
      <w:r>
        <w:t xml:space="preserve"> </w:t>
      </w:r>
    </w:p>
    <w:p w14:paraId="4622B89E" w14:textId="77777777" w:rsidR="006E3868" w:rsidRDefault="00000000">
      <w:pPr>
        <w:spacing w:after="289"/>
        <w:ind w:left="-5" w:right="0"/>
      </w:pPr>
      <w:r>
        <w:t xml:space="preserve">Consistent with previous feedback provided to the Department, a place-based and considered approach is required to support successful growth and transition of services to the ACCO sector: </w:t>
      </w:r>
    </w:p>
    <w:p w14:paraId="3D1171E5" w14:textId="77777777" w:rsidR="006E3868" w:rsidRDefault="00000000">
      <w:pPr>
        <w:numPr>
          <w:ilvl w:val="0"/>
          <w:numId w:val="1"/>
        </w:numPr>
        <w:spacing w:after="5" w:line="249" w:lineRule="auto"/>
        <w:ind w:right="0" w:hanging="360"/>
        <w:jc w:val="left"/>
      </w:pPr>
      <w:r>
        <w:rPr>
          <w:b/>
        </w:rPr>
        <w:t>Shared commitment to better outcomes</w:t>
      </w:r>
      <w:r>
        <w:t xml:space="preserve"> </w:t>
      </w:r>
    </w:p>
    <w:p w14:paraId="614B38A1" w14:textId="77777777" w:rsidR="006E3868" w:rsidRDefault="00000000">
      <w:pPr>
        <w:spacing w:after="294" w:line="239" w:lineRule="auto"/>
        <w:ind w:left="715" w:right="0"/>
        <w:jc w:val="left"/>
      </w:pPr>
      <w:r>
        <w:t xml:space="preserve">The sector broadly supports the growth of ACCOs and recognises this as an important step toward self-determination and improved outcomes for families and children. Success requires clarity and flexible partnership models that move at the speed of trust, ensuring capacity building and shared decision making. This approach aligns with Closing the Gap Priority Two and the Safe and Supported Action Plan, embedding relational principles in practice and enabling a sustainable transition process that is responsive to local needs and contexts.  </w:t>
      </w:r>
    </w:p>
    <w:p w14:paraId="1DC85B8C" w14:textId="77777777" w:rsidR="006E3868" w:rsidRDefault="00000000">
      <w:pPr>
        <w:numPr>
          <w:ilvl w:val="0"/>
          <w:numId w:val="1"/>
        </w:numPr>
        <w:spacing w:after="5" w:line="249" w:lineRule="auto"/>
        <w:ind w:right="0" w:hanging="360"/>
        <w:jc w:val="left"/>
      </w:pPr>
      <w:r>
        <w:rPr>
          <w:b/>
        </w:rPr>
        <w:t>Community-centred and flexible place-based approaches</w:t>
      </w:r>
      <w:r>
        <w:t xml:space="preserve"> </w:t>
      </w:r>
    </w:p>
    <w:p w14:paraId="2A6CC248" w14:textId="77777777" w:rsidR="006E3868" w:rsidRDefault="00000000">
      <w:pPr>
        <w:spacing w:after="267" w:line="239" w:lineRule="auto"/>
        <w:ind w:left="715" w:right="0"/>
        <w:jc w:val="left"/>
      </w:pPr>
      <w:r>
        <w:t xml:space="preserve">Families, children, and young people, especially in regional and remote areas, need to be engaged in the transition and input to the service delivery requirements. This ensures principles of community co-design are upheld, encourages flexibility and localised solutions, and ensures that service continuity and choice are maintained.  </w:t>
      </w:r>
    </w:p>
    <w:p w14:paraId="29661561" w14:textId="77777777" w:rsidR="006E3868" w:rsidRDefault="00000000">
      <w:pPr>
        <w:spacing w:after="0" w:line="259" w:lineRule="auto"/>
        <w:ind w:left="0" w:right="0" w:firstLine="0"/>
        <w:jc w:val="left"/>
      </w:pPr>
      <w:r>
        <w:rPr>
          <w:rFonts w:ascii="Arial" w:eastAsia="Arial" w:hAnsi="Arial" w:cs="Arial"/>
        </w:rPr>
        <w:t xml:space="preserve"> </w:t>
      </w:r>
      <w:r>
        <w:rPr>
          <w:rFonts w:ascii="Arial" w:eastAsia="Arial" w:hAnsi="Arial" w:cs="Arial"/>
        </w:rPr>
        <w:tab/>
      </w:r>
      <w:r>
        <w:t xml:space="preserve"> </w:t>
      </w:r>
    </w:p>
    <w:p w14:paraId="4C4F002E" w14:textId="77777777" w:rsidR="006E3868" w:rsidRDefault="00000000">
      <w:pPr>
        <w:numPr>
          <w:ilvl w:val="0"/>
          <w:numId w:val="1"/>
        </w:numPr>
        <w:spacing w:after="5" w:line="249" w:lineRule="auto"/>
        <w:ind w:right="0" w:hanging="360"/>
        <w:jc w:val="left"/>
      </w:pPr>
      <w:r>
        <w:rPr>
          <w:b/>
        </w:rPr>
        <w:t>Transparent communication, scalable models for shared governance and resources</w:t>
      </w:r>
      <w:r>
        <w:t xml:space="preserve"> </w:t>
      </w:r>
    </w:p>
    <w:p w14:paraId="0DC6CBAA" w14:textId="77777777" w:rsidR="006E3868" w:rsidRDefault="00000000">
      <w:pPr>
        <w:spacing w:after="0" w:line="239" w:lineRule="auto"/>
        <w:ind w:left="715" w:right="0"/>
        <w:jc w:val="left"/>
      </w:pPr>
      <w:r>
        <w:t xml:space="preserve">Funding arrangements must prioritise equity in directing resources to ACCOs, supported by scalable governance models that enable shared accountability and decision making. Non-Indigenous providers can work within the guidance and cultural oversight of ACCOs to ensure genuine partnership and shared governance models that reflect community needs, capability, and scale of collaboration. We recommend the Department establish a central resource hub (e.g. templates, cultural safety guides, </w:t>
      </w:r>
    </w:p>
    <w:p w14:paraId="1E800244" w14:textId="77777777" w:rsidR="006E3868" w:rsidRDefault="00000000">
      <w:pPr>
        <w:spacing w:after="238" w:line="239" w:lineRule="auto"/>
        <w:ind w:left="715" w:right="0"/>
        <w:jc w:val="left"/>
      </w:pPr>
      <w:r>
        <w:t xml:space="preserve">FAQs) and consider regional transition officers and funding for joint transition periods (e.g. 6-month overlap for warm handovers) to support transition. These measures will operationalise the policy intent, while ensuring service continuity. </w:t>
      </w:r>
    </w:p>
    <w:p w14:paraId="2FE3A573" w14:textId="77777777" w:rsidR="006E3868" w:rsidRDefault="00000000">
      <w:pPr>
        <w:ind w:left="-5" w:right="0"/>
      </w:pPr>
      <w:r>
        <w:t xml:space="preserve">Overall, we are committed to building genuine partnerships that embed shared decision making and strengthen capacity over the life of service delivery, ensuring Aboriginal and Torres Strait Islander communities have a sustained voice and influence on service need and delivery.  </w:t>
      </w:r>
    </w:p>
    <w:p w14:paraId="4B4EEFD6" w14:textId="77777777" w:rsidR="006E3868" w:rsidRDefault="00000000">
      <w:pPr>
        <w:spacing w:after="287"/>
        <w:ind w:left="-5" w:right="0"/>
      </w:pPr>
      <w:r>
        <w:lastRenderedPageBreak/>
        <w:t xml:space="preserve">We acknowledge that this needs to be scalable, built over time, and reflect the cultural needs and readiness of communities and providers.  </w:t>
      </w:r>
    </w:p>
    <w:p w14:paraId="2E53D463" w14:textId="77777777" w:rsidR="006E3868" w:rsidRDefault="00000000">
      <w:pPr>
        <w:pStyle w:val="Heading2"/>
        <w:ind w:left="-5"/>
      </w:pPr>
      <w:r>
        <w:t xml:space="preserve">Defining families requires a focus on inclusion and recognising diversity  </w:t>
      </w:r>
    </w:p>
    <w:p w14:paraId="6107A62A" w14:textId="77777777" w:rsidR="006E3868" w:rsidRDefault="00000000">
      <w:pPr>
        <w:ind w:left="-5" w:right="0"/>
      </w:pPr>
      <w:r>
        <w:t xml:space="preserve">The Department is encouraged to consider providing a clear definition and supporting guidance that explicitly recognises the diversity of family constructs and cohorts.  </w:t>
      </w:r>
    </w:p>
    <w:p w14:paraId="7D7E8F0B" w14:textId="77777777" w:rsidR="006E3868" w:rsidRDefault="00000000">
      <w:pPr>
        <w:ind w:left="-5" w:right="0"/>
      </w:pPr>
      <w:r>
        <w:t xml:space="preserve">The current Families and Communities program can support the needs of families without dependent children, intergenerational households, and those that do not fit traditional family models. While welcoming a greater focus on children and young people in the context of families and community in the proposed new program, feedback has been received through our members that capacity to work with all type of families is essential. In the new approach to programs for families and children, it is encouraged to retain support for family structures without children. </w:t>
      </w:r>
    </w:p>
    <w:p w14:paraId="7B428783" w14:textId="77777777" w:rsidR="006E3868" w:rsidRDefault="00000000">
      <w:pPr>
        <w:spacing w:after="287"/>
        <w:ind w:left="-5" w:right="0"/>
      </w:pPr>
      <w:r>
        <w:t xml:space="preserve">Taking an inclusive approach recognises the diversity of Australia families and the different contexts and structures that define the meaning of family within communities. By ensuring clear definitions that extend beyond families with children, the proposed program reform can ensure responsiveness across the full spectrum of family needs and reduce the risk of any unintended exclusion experienced as a result of not being explicitly referenced. </w:t>
      </w:r>
    </w:p>
    <w:p w14:paraId="4255A9CC" w14:textId="77777777" w:rsidR="006E3868" w:rsidRDefault="00000000">
      <w:pPr>
        <w:pStyle w:val="Heading2"/>
        <w:ind w:left="-5"/>
      </w:pPr>
      <w:r>
        <w:t xml:space="preserve">Additional priorities for investment to enhance equity and inclusion </w:t>
      </w:r>
    </w:p>
    <w:p w14:paraId="6B5FBEAA" w14:textId="77777777" w:rsidR="006E3868" w:rsidRDefault="00000000">
      <w:pPr>
        <w:spacing w:after="120" w:line="239" w:lineRule="auto"/>
        <w:ind w:right="0"/>
        <w:jc w:val="left"/>
      </w:pPr>
      <w:r>
        <w:t xml:space="preserve">Families Australia and its membership network support consideration of additional elements to guide prioritisation of investment that ensures an equitable and inclusive approach to the program design and implementation. This includes:  </w:t>
      </w:r>
    </w:p>
    <w:p w14:paraId="53226B81" w14:textId="77777777" w:rsidR="006E3868" w:rsidRDefault="00000000">
      <w:pPr>
        <w:numPr>
          <w:ilvl w:val="0"/>
          <w:numId w:val="2"/>
        </w:numPr>
        <w:spacing w:after="0"/>
        <w:ind w:right="0" w:hanging="360"/>
      </w:pPr>
      <w:r>
        <w:t xml:space="preserve">Consideration and reference to human rights-based approaches to underpin all service design and delivery. </w:t>
      </w:r>
    </w:p>
    <w:p w14:paraId="6A83157E" w14:textId="77777777" w:rsidR="006E3868" w:rsidRDefault="00000000">
      <w:pPr>
        <w:numPr>
          <w:ilvl w:val="0"/>
          <w:numId w:val="2"/>
        </w:numPr>
        <w:spacing w:after="10"/>
        <w:ind w:right="0" w:hanging="360"/>
      </w:pPr>
      <w:r>
        <w:t xml:space="preserve">Consideration of whole-of-life investment to support families across all life stages.  </w:t>
      </w:r>
    </w:p>
    <w:p w14:paraId="41DC769D" w14:textId="77777777" w:rsidR="006E3868" w:rsidRDefault="00000000">
      <w:pPr>
        <w:numPr>
          <w:ilvl w:val="0"/>
          <w:numId w:val="2"/>
        </w:numPr>
        <w:spacing w:after="0"/>
        <w:ind w:right="0" w:hanging="360"/>
      </w:pPr>
      <w:r>
        <w:t xml:space="preserve">Acknowledgement of connected and strong communities as a foundation for family wellbeing.  </w:t>
      </w:r>
    </w:p>
    <w:p w14:paraId="41BF37D5" w14:textId="77777777" w:rsidR="006E3868" w:rsidRDefault="00000000">
      <w:pPr>
        <w:numPr>
          <w:ilvl w:val="0"/>
          <w:numId w:val="2"/>
        </w:numPr>
        <w:spacing w:after="0"/>
        <w:ind w:right="0" w:hanging="360"/>
      </w:pPr>
      <w:r>
        <w:t xml:space="preserve">Recognition of cultural safety and wellbeing in program settings and acknowledgement that cultural safety is defined by the service user, not provider.  </w:t>
      </w:r>
    </w:p>
    <w:p w14:paraId="5FCDB534" w14:textId="77777777" w:rsidR="006E3868" w:rsidRDefault="00000000">
      <w:pPr>
        <w:numPr>
          <w:ilvl w:val="0"/>
          <w:numId w:val="2"/>
        </w:numPr>
        <w:ind w:right="0" w:hanging="360"/>
      </w:pPr>
      <w:r>
        <w:t xml:space="preserve">Incorporation of opportunities to address structural determinants that enable families, children, and young people and communities to thrive. </w:t>
      </w:r>
    </w:p>
    <w:p w14:paraId="71AD6906" w14:textId="77777777" w:rsidR="006E3868" w:rsidRDefault="00000000">
      <w:pPr>
        <w:numPr>
          <w:ilvl w:val="0"/>
          <w:numId w:val="2"/>
        </w:numPr>
        <w:spacing w:after="0"/>
        <w:ind w:right="0" w:hanging="360"/>
      </w:pPr>
      <w:r>
        <w:t xml:space="preserve">Encourage an equitable focus on culturally and linguistically diverse communities, people with disability, and children/adolescents.  </w:t>
      </w:r>
    </w:p>
    <w:p w14:paraId="24A302EB" w14:textId="77777777" w:rsidR="006E3868" w:rsidRDefault="00000000">
      <w:pPr>
        <w:numPr>
          <w:ilvl w:val="0"/>
          <w:numId w:val="2"/>
        </w:numPr>
        <w:spacing w:after="0"/>
        <w:ind w:right="0" w:hanging="360"/>
      </w:pPr>
      <w:r>
        <w:t xml:space="preserve">Recognition of community capability building to strengthen local resilience and leadership. </w:t>
      </w:r>
    </w:p>
    <w:p w14:paraId="1CB3AF0A" w14:textId="77777777" w:rsidR="006E3868" w:rsidRDefault="00000000">
      <w:pPr>
        <w:numPr>
          <w:ilvl w:val="0"/>
          <w:numId w:val="2"/>
        </w:numPr>
        <w:spacing w:after="0"/>
        <w:ind w:right="0" w:hanging="360"/>
      </w:pPr>
      <w:r>
        <w:t xml:space="preserve">Cross-system integration components linking social welfare, housing, family law, mental health, disability, and child/family health services within integrated hubs. </w:t>
      </w:r>
    </w:p>
    <w:p w14:paraId="344ED8EB" w14:textId="77777777" w:rsidR="006E3868" w:rsidRDefault="00000000">
      <w:pPr>
        <w:spacing w:after="153" w:line="259" w:lineRule="auto"/>
        <w:ind w:left="720" w:right="0" w:firstLine="0"/>
        <w:jc w:val="left"/>
      </w:pPr>
      <w:r>
        <w:t xml:space="preserve"> </w:t>
      </w:r>
    </w:p>
    <w:p w14:paraId="4FE47162" w14:textId="77777777" w:rsidR="006E3868" w:rsidRDefault="00000000">
      <w:pPr>
        <w:pStyle w:val="Heading2"/>
        <w:ind w:left="-5"/>
      </w:pPr>
      <w:r>
        <w:t xml:space="preserve">Strong early prevention to improve family wellbeing long-term </w:t>
      </w:r>
    </w:p>
    <w:p w14:paraId="09DE976B" w14:textId="77777777" w:rsidR="006E3868" w:rsidRDefault="00000000">
      <w:pPr>
        <w:ind w:left="-5" w:right="0"/>
      </w:pPr>
      <w:r>
        <w:t xml:space="preserve">We strongly support prioritisation of early intervention and prevention, recognising the significant benefits these approaches have in promoting the social and emotional wellbeing of families. Investment in these services helps break cycles of intergenerational disadvantage and reduces reliance on crisis and long-term interventions. By equipping families with the foundational skills to self-manage, we can decrease the need for ongoing service dependency, fostering principles of self-determination and sustainable wellbeing. </w:t>
      </w:r>
    </w:p>
    <w:p w14:paraId="3B639D0B" w14:textId="77777777" w:rsidR="006E3868" w:rsidRDefault="00000000">
      <w:pPr>
        <w:spacing w:after="232"/>
        <w:ind w:left="-5" w:right="0"/>
      </w:pPr>
      <w:r>
        <w:t xml:space="preserve">In ensuring a robust and responsive delivery of services, a balanced approach to investment prioritisation will be required, ensuring flexibility to respond where required with higher intervention needs.  </w:t>
      </w:r>
    </w:p>
    <w:p w14:paraId="778C792C" w14:textId="77777777" w:rsidR="006E3868" w:rsidRDefault="00000000">
      <w:pPr>
        <w:spacing w:after="287"/>
        <w:ind w:left="-5" w:right="0"/>
      </w:pPr>
      <w:r>
        <w:lastRenderedPageBreak/>
        <w:t xml:space="preserve">Providers are seeking clarity, along with embedded flexibility, to move across program streams in order to respond effectively to the full spectrum of service needs while maintaining a clear focus on early prevention. Within the program, it is important that intensive family support services are adequately enabled within the investment model to support responsive delivery. Over time, strengthened early intervention is expected to produce sustained impacts, potentially reducing statutory intervention in families’ lives. </w:t>
      </w:r>
    </w:p>
    <w:p w14:paraId="63118671" w14:textId="77777777" w:rsidR="006E3868" w:rsidRDefault="00000000">
      <w:pPr>
        <w:pStyle w:val="Heading2"/>
        <w:ind w:left="-5"/>
      </w:pPr>
      <w:r>
        <w:t xml:space="preserve">Prioritising community connection and flexible approaches to co-location </w:t>
      </w:r>
    </w:p>
    <w:p w14:paraId="325F87D3" w14:textId="77777777" w:rsidR="006E3868" w:rsidRDefault="00000000">
      <w:pPr>
        <w:ind w:left="-5" w:right="0"/>
      </w:pPr>
      <w:r>
        <w:t xml:space="preserve">Families Australia strongly supports an integration of mixed service delivery models, including a hub and spoke model, mobile outreach, and co-location where suitable, noting that flexibility within program delivery is required to meet community needs across different geographic areas. </w:t>
      </w:r>
    </w:p>
    <w:p w14:paraId="15EA7D46" w14:textId="77777777" w:rsidR="006E3868" w:rsidRDefault="00000000">
      <w:pPr>
        <w:ind w:left="-5" w:right="0"/>
      </w:pPr>
      <w:r>
        <w:t xml:space="preserve">We understand and support the importance of community connection and co-design principles, acknowledging that this can look differently in different places, and needs to consider the local circumstances and context.  </w:t>
      </w:r>
    </w:p>
    <w:p w14:paraId="5FD4B52D" w14:textId="77777777" w:rsidR="006E3868" w:rsidRDefault="00000000">
      <w:pPr>
        <w:ind w:left="-5" w:right="0"/>
      </w:pPr>
      <w:r>
        <w:t xml:space="preserve">Our members and stakeholders have shared that there are a range of factors impacting on the feasibility of physical service co-location, ranging from the preference of distinct communities and individuals (some seeking the privacy of non-physical spaces) through to the available infrastructure within a community or region to support physical co-location. We acknowledge that not all communities feel safe and supported in a shared physical environment, and support choice in how and when families engage with services to suit their needs. </w:t>
      </w:r>
    </w:p>
    <w:p w14:paraId="7E377BE0" w14:textId="77777777" w:rsidR="006E3868" w:rsidRDefault="00000000">
      <w:pPr>
        <w:ind w:left="-5" w:right="0"/>
      </w:pPr>
      <w:r>
        <w:t xml:space="preserve">Community trust and connection to services will need to be assessed holistically, recognising the diversity in which providers build and maintain relational connection with communities, across physical places and virtual spaces.  </w:t>
      </w:r>
    </w:p>
    <w:p w14:paraId="31983C3C" w14:textId="77777777" w:rsidR="006E3868" w:rsidRDefault="00000000">
      <w:pPr>
        <w:ind w:left="-5" w:right="0"/>
      </w:pPr>
      <w:r>
        <w:t xml:space="preserve">We encourage and endorse a broad range of metrics be considered when assessing community connection. This can include recognition that connection goes beyond the physical co-location of services, and can acknowledge community preferences for how and when they connect with providers. For some members of the community, ‘virtual is a place’ - and a safe space.  </w:t>
      </w:r>
    </w:p>
    <w:p w14:paraId="384B8704" w14:textId="77777777" w:rsidR="006E3868" w:rsidRDefault="00000000">
      <w:pPr>
        <w:spacing w:after="0"/>
        <w:ind w:left="-5" w:right="0"/>
      </w:pPr>
      <w:r>
        <w:t xml:space="preserve">Prioritising lived experience in the co-design of services can ensure that the intention of connected, co-located, and integrated services aligns with the practical requirement of regions and communities. This will result in flexible yet robust and responsive service delivery that, where feasible and appropriate, can consider co-location of services to meet community needs.  </w:t>
      </w:r>
    </w:p>
    <w:p w14:paraId="4487674A" w14:textId="77777777" w:rsidR="006E3868" w:rsidRDefault="00000000">
      <w:pPr>
        <w:spacing w:after="273" w:line="259" w:lineRule="auto"/>
        <w:ind w:left="0" w:right="0" w:firstLine="0"/>
        <w:jc w:val="left"/>
      </w:pPr>
      <w:r>
        <w:t xml:space="preserve"> </w:t>
      </w:r>
    </w:p>
    <w:p w14:paraId="19925CA0" w14:textId="77777777" w:rsidR="006E3868" w:rsidRDefault="00000000">
      <w:pPr>
        <w:pStyle w:val="Heading2"/>
        <w:ind w:left="-5"/>
      </w:pPr>
      <w:r>
        <w:t>Assessing community need through a shared and common understanding of the data</w:t>
      </w:r>
      <w:r>
        <w:rPr>
          <w:b w:val="0"/>
          <w:color w:val="000000"/>
          <w:sz w:val="22"/>
        </w:rPr>
        <w:t xml:space="preserve"> </w:t>
      </w:r>
    </w:p>
    <w:p w14:paraId="1EF81854" w14:textId="77777777" w:rsidR="006E3868" w:rsidRDefault="00000000">
      <w:pPr>
        <w:ind w:left="-5" w:right="0"/>
      </w:pPr>
      <w:r>
        <w:t xml:space="preserve">A relational approach that seeks to work with providers and regional communities and networks needs to look holistically at the service ecosystem. By doing this it can recognise the diversity of ways in which community connection, trust, and service systems are built in response to community needs. This could be made clear in the final program design, enabling flexibility and equal footing for a range of providers to deliver services, including a mixed delivery of local providers and those with a wider service footprint and reach.  </w:t>
      </w:r>
    </w:p>
    <w:p w14:paraId="2ECA1CD1" w14:textId="77777777" w:rsidR="006E3868" w:rsidRDefault="00000000">
      <w:pPr>
        <w:ind w:left="-5" w:right="0"/>
      </w:pPr>
      <w:r>
        <w:t xml:space="preserve">The Department is encouraged to enhance the proposed prioritisation of investment approach by driving a shared and collective understanding of the data used for assessments. Providing open access to community profiles and data inputs and analysis provides a transparent approach as to where the Department and Government see prioritisation, enabling early opportunities for collaboration across providers. Providers will naturally have varied capacity and capability to access, interpret, and analyse </w:t>
      </w:r>
      <w:r>
        <w:lastRenderedPageBreak/>
        <w:t xml:space="preserve">raw data sets – a shared model of understanding can provide an equal playing field and common goals to support place-based and/or integrated services. </w:t>
      </w:r>
    </w:p>
    <w:p w14:paraId="1AC050A6" w14:textId="77777777" w:rsidR="006E3868" w:rsidRDefault="00000000">
      <w:pPr>
        <w:ind w:left="-5" w:right="0"/>
      </w:pPr>
      <w:r>
        <w:t xml:space="preserve">An example of shared data and government priorities can be seen in within Government’s placebased employment initiative, </w:t>
      </w:r>
      <w:hyperlink r:id="rId10">
        <w:r>
          <w:rPr>
            <w:i/>
            <w:color w:val="7BBB37"/>
          </w:rPr>
          <w:t>Local Jobs Program</w:t>
        </w:r>
      </w:hyperlink>
      <w:hyperlink r:id="rId11">
        <w:r>
          <w:rPr>
            <w:i/>
            <w:color w:val="7BBB37"/>
          </w:rPr>
          <w:t>.</w:t>
        </w:r>
      </w:hyperlink>
      <w:r>
        <w:t xml:space="preserve"> This provides publicly available local jobs plans highlighting key priorities in the region, supported by transition officers and coordinators as part of the Employment Services Reform. Shared templates, guidance, data, and regional characteristics provide a blueprint for sector and service collaboration, and a shared understanding of the evidence base. This alignment from the outset can provide efficiencies and optimise early alignment of priorities both for Government and the region. </w:t>
      </w:r>
    </w:p>
    <w:p w14:paraId="5EE2B829" w14:textId="77777777" w:rsidR="006E3868" w:rsidRDefault="00000000">
      <w:pPr>
        <w:ind w:left="-5" w:right="0"/>
      </w:pPr>
      <w:r>
        <w:t xml:space="preserve">Services informed by, and responding to, community need are diverse and reflect small, medium and large services, integrated through the fabric of service delivery. At Families Australia, we represent and advocate for a robust service system that accommodates and nurtures a diversity of solutions and providers to meet community and regional needs. The fabric of our sector by nature is inclusive and includes a robust mix of models that can both identify and respond to community needs. </w:t>
      </w:r>
    </w:p>
    <w:p w14:paraId="3ABFDE27" w14:textId="77777777" w:rsidR="006E3868" w:rsidRDefault="00000000">
      <w:pPr>
        <w:ind w:left="-5" w:right="0"/>
      </w:pPr>
      <w:r>
        <w:t xml:space="preserve">For example, in remote and regional contexts, additional consideration will need to be given to the accessibility of services and delivery across the community setting, and that sufficient time, service capacity, and recognition of delivery costs are factored into service outcomes and funding allocations. </w:t>
      </w:r>
    </w:p>
    <w:p w14:paraId="6DBA4F2A" w14:textId="77777777" w:rsidR="006E3868" w:rsidRDefault="00000000">
      <w:pPr>
        <w:spacing w:after="19"/>
        <w:ind w:left="-5" w:right="0"/>
      </w:pPr>
      <w:r>
        <w:t xml:space="preserve">We caution on any unintended outcomes of the program’s structural reforms that may disadvantage or disincentivise smaller local providers – those with deep community trust, strong local knowledge and relationships, and long established service delivery models.  </w:t>
      </w:r>
    </w:p>
    <w:p w14:paraId="1F7BE5A9" w14:textId="77777777" w:rsidR="006E3868" w:rsidRDefault="00000000">
      <w:pPr>
        <w:spacing w:after="0" w:line="259" w:lineRule="auto"/>
        <w:ind w:left="0" w:right="0" w:firstLine="0"/>
        <w:jc w:val="left"/>
      </w:pPr>
      <w:r>
        <w:rPr>
          <w:rFonts w:ascii="Arial" w:eastAsia="Arial" w:hAnsi="Arial" w:cs="Arial"/>
        </w:rPr>
        <w:t xml:space="preserve"> </w:t>
      </w:r>
      <w:r>
        <w:rPr>
          <w:rFonts w:ascii="Arial" w:eastAsia="Arial" w:hAnsi="Arial" w:cs="Arial"/>
        </w:rPr>
        <w:tab/>
      </w:r>
      <w:r>
        <w:t xml:space="preserve"> </w:t>
      </w:r>
    </w:p>
    <w:p w14:paraId="6F265158" w14:textId="77777777" w:rsidR="006E3868" w:rsidRDefault="00000000">
      <w:pPr>
        <w:spacing w:after="98" w:line="259" w:lineRule="auto"/>
        <w:ind w:left="0" w:right="0" w:firstLine="0"/>
        <w:jc w:val="left"/>
      </w:pPr>
      <w:r>
        <w:t xml:space="preserve"> </w:t>
      </w:r>
    </w:p>
    <w:p w14:paraId="2C0B8BB7" w14:textId="77777777" w:rsidR="006E3868" w:rsidRDefault="00000000">
      <w:pPr>
        <w:ind w:left="-5" w:right="0"/>
      </w:pPr>
      <w:r>
        <w:t xml:space="preserve">While larger providers can offer economies of scale and may be financially and regulatory attractive in the administration of a national program, excessive reliance on this approach risks entrenchment of a more transactional service delivery approach, than the relational and responsive model that the reforms seek to build.  </w:t>
      </w:r>
    </w:p>
    <w:p w14:paraId="51FBB0F0" w14:textId="77777777" w:rsidR="006E3868" w:rsidRDefault="00000000">
      <w:pPr>
        <w:ind w:left="-5" w:right="0"/>
      </w:pPr>
      <w:r>
        <w:t xml:space="preserve">Flexibility within program guidelines and structures can and should accommodate flexibility of models, providers, and scale that best demonstrates and supports the overall intention of embedding community needs of families and children at its centre, within the local delivery context.  </w:t>
      </w:r>
    </w:p>
    <w:p w14:paraId="3FBFCFA3" w14:textId="77777777" w:rsidR="006E3868" w:rsidRDefault="00000000">
      <w:pPr>
        <w:spacing w:after="98" w:line="259" w:lineRule="auto"/>
        <w:ind w:left="0" w:right="0" w:firstLine="0"/>
        <w:jc w:val="left"/>
      </w:pPr>
      <w:r>
        <w:t xml:space="preserve"> </w:t>
      </w:r>
    </w:p>
    <w:p w14:paraId="3C8D81FF" w14:textId="77777777" w:rsidR="006E3868" w:rsidRDefault="00000000">
      <w:pPr>
        <w:spacing w:after="110" w:line="259" w:lineRule="auto"/>
        <w:ind w:left="0" w:right="0" w:firstLine="0"/>
        <w:jc w:val="left"/>
      </w:pPr>
      <w:r>
        <w:t xml:space="preserve"> </w:t>
      </w:r>
    </w:p>
    <w:p w14:paraId="1BC0EF0D" w14:textId="77777777" w:rsidR="006E3868" w:rsidRDefault="00000000">
      <w:pPr>
        <w:pStyle w:val="Heading1"/>
        <w:ind w:left="-5"/>
      </w:pPr>
      <w:r>
        <w:t xml:space="preserve">Additional Sector Reform Priorities </w:t>
      </w:r>
    </w:p>
    <w:p w14:paraId="539F9047" w14:textId="77777777" w:rsidR="006E3868" w:rsidRDefault="00000000">
      <w:pPr>
        <w:spacing w:after="98" w:line="259" w:lineRule="auto"/>
        <w:ind w:left="0" w:right="0" w:firstLine="0"/>
        <w:jc w:val="left"/>
      </w:pPr>
      <w:r>
        <w:rPr>
          <w:b/>
          <w:color w:val="F79646"/>
          <w:sz w:val="16"/>
        </w:rPr>
        <w:t xml:space="preserve"> </w:t>
      </w:r>
    </w:p>
    <w:p w14:paraId="2B6EC35E" w14:textId="77777777" w:rsidR="006E3868" w:rsidRDefault="00000000">
      <w:pPr>
        <w:pStyle w:val="Heading2"/>
        <w:ind w:left="-5"/>
      </w:pPr>
      <w:r>
        <w:t xml:space="preserve">Integration and coordination between Governments </w:t>
      </w:r>
    </w:p>
    <w:p w14:paraId="5349C33D" w14:textId="77777777" w:rsidR="006E3868" w:rsidRDefault="00000000">
      <w:pPr>
        <w:ind w:left="-5" w:right="0"/>
      </w:pPr>
      <w:r>
        <w:t xml:space="preserve">Our members are calling for stronger integration between state and federal governments to enable a more holistic approach that supports the safety and wellbeing of families, with dedicated place-based and co-designed approaches.  </w:t>
      </w:r>
    </w:p>
    <w:p w14:paraId="4FD3F00C" w14:textId="77777777" w:rsidR="006E3868" w:rsidRDefault="00000000">
      <w:pPr>
        <w:ind w:left="-5" w:right="0"/>
      </w:pPr>
      <w:r>
        <w:t xml:space="preserve">Enhancing linkages and removing structural barriers across service systems, including mental health, disability, family violence, and early childhood prevention services, will support a more integrated model of service delivery that supports holistic needs of families. </w:t>
      </w:r>
    </w:p>
    <w:p w14:paraId="10ACE3FD" w14:textId="77777777" w:rsidR="006E3868" w:rsidRDefault="00000000">
      <w:pPr>
        <w:spacing w:after="273" w:line="259" w:lineRule="auto"/>
        <w:ind w:left="0" w:right="0" w:firstLine="0"/>
        <w:jc w:val="left"/>
      </w:pPr>
      <w:r>
        <w:t xml:space="preserve"> </w:t>
      </w:r>
    </w:p>
    <w:p w14:paraId="53B31C67" w14:textId="77777777" w:rsidR="006E3868" w:rsidRDefault="00000000">
      <w:pPr>
        <w:pStyle w:val="Heading2"/>
        <w:ind w:left="-5"/>
      </w:pPr>
      <w:r>
        <w:lastRenderedPageBreak/>
        <w:t xml:space="preserve">Transition support for non-FaC providers </w:t>
      </w:r>
    </w:p>
    <w:p w14:paraId="19557DCD" w14:textId="77777777" w:rsidR="006E3868" w:rsidRDefault="00000000">
      <w:pPr>
        <w:ind w:left="-5" w:right="0"/>
      </w:pPr>
      <w:r>
        <w:t xml:space="preserve">Many organisations currently outside the Families and Communities (FaC) program will need tailored transition support to adapt to new requirements. This includes onboarding resources, training on reporting systems, and clear guidance on service expectations to ensure a smooth entry without disrupting existing community relationships. </w:t>
      </w:r>
    </w:p>
    <w:p w14:paraId="7FC7E7E7" w14:textId="77777777" w:rsidR="006E3868" w:rsidRDefault="00000000">
      <w:pPr>
        <w:spacing w:after="273" w:line="259" w:lineRule="auto"/>
        <w:ind w:left="0" w:right="0" w:firstLine="0"/>
        <w:jc w:val="left"/>
      </w:pPr>
      <w:r>
        <w:rPr>
          <w:color w:val="EE0000"/>
        </w:rPr>
        <w:t xml:space="preserve"> </w:t>
      </w:r>
    </w:p>
    <w:p w14:paraId="33187F3B" w14:textId="77777777" w:rsidR="006E3868" w:rsidRDefault="00000000">
      <w:pPr>
        <w:pStyle w:val="Heading2"/>
        <w:ind w:left="-5"/>
      </w:pPr>
      <w:r>
        <w:t xml:space="preserve">Aligning reforms to drive collaborative systems change </w:t>
      </w:r>
    </w:p>
    <w:p w14:paraId="4DD5CD14" w14:textId="77777777" w:rsidR="006E3868" w:rsidRDefault="00000000">
      <w:pPr>
        <w:ind w:left="-5" w:right="0"/>
      </w:pPr>
      <w:r>
        <w:t>Clear practice guidelines are essential to avoid confusion and duplication, particularly where reforms intersect with other initiatives such as Thriving Children</w:t>
      </w:r>
      <w:r>
        <w:rPr>
          <w:i/>
        </w:rPr>
        <w:t xml:space="preserve"> </w:t>
      </w:r>
      <w:r>
        <w:t>and</w:t>
      </w:r>
      <w:r>
        <w:rPr>
          <w:i/>
        </w:rPr>
        <w:t xml:space="preserve"> </w:t>
      </w:r>
      <w:r>
        <w:t xml:space="preserve">NDIS Foundational Supports. Alignment in language, objectives, and implementation frameworks will help providers navigate changes and deliver consistent, integrated support for families and communities.  </w:t>
      </w:r>
    </w:p>
    <w:p w14:paraId="1E295F85" w14:textId="77777777" w:rsidR="006E3868" w:rsidRDefault="00000000">
      <w:pPr>
        <w:ind w:left="-5" w:right="0"/>
      </w:pPr>
      <w:r>
        <w:t xml:space="preserve">Effective partnerships and co-design models require deliberate resourcing and timeframes that enable trust, shared planning, and meaningful engagement with communities and providers. Government and the Department are encouraged to ensure there is sufficient time to build this approach into the reform agenda in a way that sustains outcomes and long-term impact. </w:t>
      </w:r>
    </w:p>
    <w:p w14:paraId="34423055" w14:textId="77777777" w:rsidR="006E3868" w:rsidRDefault="00000000">
      <w:pPr>
        <w:spacing w:after="19"/>
        <w:ind w:left="-5" w:right="0"/>
      </w:pPr>
      <w:r>
        <w:t xml:space="preserve">Feedback from our members and network have suggested a visual diagram would be beneficial to outline the timeline and consultation approach through program design, development, and implementation.  </w:t>
      </w:r>
    </w:p>
    <w:p w14:paraId="6A44FD80" w14:textId="77777777" w:rsidR="006E3868" w:rsidRDefault="00000000">
      <w:pPr>
        <w:spacing w:after="0" w:line="259" w:lineRule="auto"/>
        <w:ind w:left="0" w:right="0" w:firstLine="0"/>
        <w:jc w:val="left"/>
      </w:pPr>
      <w:r>
        <w:rPr>
          <w:rFonts w:ascii="Arial" w:eastAsia="Arial" w:hAnsi="Arial" w:cs="Arial"/>
        </w:rPr>
        <w:t xml:space="preserve"> </w:t>
      </w:r>
      <w:r>
        <w:rPr>
          <w:rFonts w:ascii="Arial" w:eastAsia="Arial" w:hAnsi="Arial" w:cs="Arial"/>
        </w:rPr>
        <w:tab/>
      </w:r>
      <w:r>
        <w:t xml:space="preserve"> </w:t>
      </w:r>
    </w:p>
    <w:p w14:paraId="73BE026B" w14:textId="77777777" w:rsidR="006E3868" w:rsidRDefault="006E3868">
      <w:pPr>
        <w:sectPr w:rsidR="006E3868">
          <w:headerReference w:type="even" r:id="rId12"/>
          <w:headerReference w:type="default" r:id="rId13"/>
          <w:footerReference w:type="even" r:id="rId14"/>
          <w:footerReference w:type="default" r:id="rId15"/>
          <w:headerReference w:type="first" r:id="rId16"/>
          <w:footerReference w:type="first" r:id="rId17"/>
          <w:pgSz w:w="11906" w:h="16838"/>
          <w:pgMar w:top="479" w:right="1434" w:bottom="358" w:left="1440" w:header="720" w:footer="720" w:gutter="0"/>
          <w:pgNumType w:start="0"/>
          <w:cols w:space="720"/>
          <w:titlePg/>
        </w:sectPr>
      </w:pPr>
    </w:p>
    <w:p w14:paraId="5B6FCACA" w14:textId="77777777" w:rsidR="006E3868" w:rsidRDefault="00000000">
      <w:pPr>
        <w:spacing w:after="93" w:line="259" w:lineRule="auto"/>
        <w:ind w:left="0" w:right="0" w:firstLine="0"/>
        <w:jc w:val="left"/>
      </w:pPr>
      <w:r>
        <w:rPr>
          <w:b/>
          <w:color w:val="F79646"/>
          <w:sz w:val="28"/>
        </w:rPr>
        <w:lastRenderedPageBreak/>
        <w:t xml:space="preserve"> </w:t>
      </w:r>
    </w:p>
    <w:p w14:paraId="6AC39467" w14:textId="77777777" w:rsidR="006E3868" w:rsidRDefault="00000000">
      <w:pPr>
        <w:spacing w:after="211" w:line="259" w:lineRule="auto"/>
        <w:ind w:left="0" w:right="0" w:firstLine="0"/>
        <w:jc w:val="left"/>
      </w:pPr>
      <w:r>
        <w:rPr>
          <w:b/>
          <w:color w:val="F79646"/>
          <w:sz w:val="28"/>
        </w:rPr>
        <w:t xml:space="preserve"> </w:t>
      </w:r>
    </w:p>
    <w:p w14:paraId="6C211845" w14:textId="77777777" w:rsidR="006E3868" w:rsidRDefault="00000000">
      <w:pPr>
        <w:pStyle w:val="Heading2"/>
        <w:ind w:left="-5"/>
      </w:pPr>
      <w:r>
        <w:t xml:space="preserve">Future of Families and Community Services Improvement (FCSI) Program  </w:t>
      </w:r>
    </w:p>
    <w:p w14:paraId="4CACFBA3" w14:textId="77777777" w:rsidR="006E3868" w:rsidRDefault="00000000">
      <w:pPr>
        <w:ind w:left="-5" w:right="0"/>
      </w:pPr>
      <w:r>
        <w:rPr>
          <w:color w:val="212121"/>
        </w:rPr>
        <w:t xml:space="preserve">As part of the broader FaC activity reform process, Families Australia notes that Government is </w:t>
      </w:r>
      <w:r>
        <w:t xml:space="preserve">also considering the future of the </w:t>
      </w:r>
      <w:r>
        <w:rPr>
          <w:i/>
        </w:rPr>
        <w:t>Families and Community Services Improvement</w:t>
      </w:r>
      <w:r>
        <w:t xml:space="preserve"> (FCSI) Program within similar timeframes. We welcome the opportunity to engage closely with Government and are ready to contribute to detailed considerations regarding the future direction of the FCSI program that we understand will be determined in 2026. </w:t>
      </w:r>
    </w:p>
    <w:p w14:paraId="233E7DB3" w14:textId="77777777" w:rsidR="006E3868" w:rsidRDefault="00000000">
      <w:pPr>
        <w:ind w:left="-5" w:right="0"/>
      </w:pPr>
      <w:r>
        <w:t xml:space="preserve">As the nationally recognised peak body for the sector, Families Australia provides Government with an essential conduit to the family and community services ecosystem. We build sector capability by coordinating and strengthening collaborative initiatives, and our convening role enables Government, service providers, and communities to work together on complex social policy challenges. </w:t>
      </w:r>
    </w:p>
    <w:p w14:paraId="2F68FB91" w14:textId="77777777" w:rsidR="006E3868" w:rsidRDefault="00000000">
      <w:pPr>
        <w:ind w:left="-5" w:right="0"/>
      </w:pPr>
      <w:r>
        <w:t xml:space="preserve">Families Australia adds significant value through our ability to translate sector expertise into clear, actionable insight for Government. We contribute to policy development, inform program and service design, and represent sector perspectives in a way that is evidence-informed, solutions-focused, and grounded in community realities. Central to this contribution is our strong connection to lived experience. We engage directly with parents, young people, and community members and draw on the lived-experience-informed evidence base of our members and stakeholders. This ensures that policy and program settings reflect the real experiences, priorities, and aspirations of families across Australia. </w:t>
      </w:r>
    </w:p>
    <w:p w14:paraId="6987C4B6" w14:textId="77777777" w:rsidR="006E3868" w:rsidRDefault="00000000">
      <w:pPr>
        <w:ind w:left="-5" w:right="0"/>
      </w:pPr>
      <w:r>
        <w:t xml:space="preserve">With medium to longer term policy objectives in mind, Families Australia is committed to exploring more strategic ways of working with Government and the Department. Strengthened engagement will enable the sector to respond more effectively to emerging priorities and support the achievement of shared social and public policy outcomes.    </w:t>
      </w:r>
    </w:p>
    <w:p w14:paraId="18926E8F" w14:textId="77777777" w:rsidR="006E3868" w:rsidRDefault="00000000">
      <w:pPr>
        <w:spacing w:after="19"/>
        <w:ind w:left="-5" w:right="0"/>
      </w:pPr>
      <w:r>
        <w:t xml:space="preserve">Families Australia has consistently participated in reviews and discussions regarding the FCSI Program and is eager to continue contributing, both as an individually funded peak body and as part of the FCSI program as a whole. With the right partnership settings, resourcing and investment, peak bodies stand ready to help Government deliver coherent, evidence-informed and impactful reform for Australian families, children, and young people. </w:t>
      </w:r>
    </w:p>
    <w:p w14:paraId="44A821C4" w14:textId="77777777" w:rsidR="006E3868" w:rsidRDefault="00000000">
      <w:pPr>
        <w:spacing w:after="4389" w:line="259" w:lineRule="auto"/>
        <w:ind w:left="0" w:right="0" w:firstLine="0"/>
        <w:jc w:val="left"/>
      </w:pPr>
      <w:r>
        <w:rPr>
          <w:rFonts w:ascii="Arial" w:eastAsia="Arial" w:hAnsi="Arial" w:cs="Arial"/>
        </w:rPr>
        <w:t xml:space="preserve"> </w:t>
      </w:r>
      <w:r>
        <w:rPr>
          <w:rFonts w:ascii="Arial" w:eastAsia="Arial" w:hAnsi="Arial" w:cs="Arial"/>
        </w:rPr>
        <w:tab/>
      </w:r>
      <w:r>
        <w:t xml:space="preserve"> </w:t>
      </w:r>
    </w:p>
    <w:p w14:paraId="0124306D" w14:textId="77777777" w:rsidR="006E3868" w:rsidRDefault="00000000">
      <w:pPr>
        <w:spacing w:after="179" w:line="259" w:lineRule="auto"/>
        <w:ind w:right="779"/>
        <w:jc w:val="right"/>
      </w:pPr>
      <w:r>
        <w:rPr>
          <w:color w:val="737373"/>
        </w:rPr>
        <w:lastRenderedPageBreak/>
        <w:t xml:space="preserve">Page </w:t>
      </w:r>
    </w:p>
    <w:p w14:paraId="64627F5E" w14:textId="77777777" w:rsidR="006E3868" w:rsidRDefault="00000000">
      <w:pPr>
        <w:spacing w:after="350" w:line="259" w:lineRule="auto"/>
        <w:ind w:left="0" w:right="0" w:firstLine="0"/>
        <w:jc w:val="left"/>
      </w:pPr>
      <w:r>
        <w:t xml:space="preserve"> </w:t>
      </w:r>
    </w:p>
    <w:p w14:paraId="31BD14B7" w14:textId="77777777" w:rsidR="006E3868" w:rsidRDefault="00000000">
      <w:pPr>
        <w:pStyle w:val="Heading1"/>
        <w:ind w:left="-5"/>
      </w:pPr>
      <w:r>
        <w:t xml:space="preserve">Conclusion </w:t>
      </w:r>
    </w:p>
    <w:p w14:paraId="3DD06E12" w14:textId="77777777" w:rsidR="006E3868" w:rsidRDefault="00000000">
      <w:pPr>
        <w:spacing w:after="120" w:line="239" w:lineRule="auto"/>
        <w:ind w:right="0"/>
        <w:jc w:val="left"/>
      </w:pPr>
      <w:r>
        <w:t xml:space="preserve">The </w:t>
      </w:r>
      <w:r>
        <w:rPr>
          <w:i/>
        </w:rPr>
        <w:t>New Approach to Programs for Families and Children</w:t>
      </w:r>
      <w:r>
        <w:t xml:space="preserve"> represents a welcome and timely shift toward a more integrated, outcomes-focused program architecture, with the potential to create flexible, place-appropriate service responses for families and communities across Australia. </w:t>
      </w:r>
    </w:p>
    <w:p w14:paraId="001B8E39" w14:textId="77777777" w:rsidR="006E3868" w:rsidRDefault="00000000">
      <w:pPr>
        <w:ind w:left="-5" w:right="0"/>
      </w:pPr>
      <w:r>
        <w:t xml:space="preserve">A stronger emphasis on collaboration, equity and inclusion, cultural safety, and evidence-based practice will help ensure that programs are both accessible and responsive to the diverse and evolving needs of families, children, young people, and the communities in which they live. </w:t>
      </w:r>
    </w:p>
    <w:p w14:paraId="3C2BC07A" w14:textId="77777777" w:rsidR="006E3868" w:rsidRDefault="00000000">
      <w:pPr>
        <w:ind w:left="-5" w:right="0"/>
      </w:pPr>
      <w:r>
        <w:t xml:space="preserve">The proposed reforms lay the foundation for a more collaborative, consistent, coordinated, and prevention-oriented service system. Successful transition and implementation will require significant change management, sustained investment, targeted support for capacity building and ongoing evaluation.  Achieving these outcomes will depend on maintaining an appropriate balance between national priorities and local flexibility, preserving diversity in service models and provider size, and ensuring ACCO leadership is strengthened through genuine community co-design and proportional resourcing. </w:t>
      </w:r>
    </w:p>
    <w:p w14:paraId="7583E2C2" w14:textId="77777777" w:rsidR="006E3868" w:rsidRDefault="00000000">
      <w:pPr>
        <w:ind w:left="-5" w:right="0"/>
      </w:pPr>
      <w:r>
        <w:t xml:space="preserve">Given the scale, pace, and complexity of the reform task, a structured and coordinated national approach will be critical. Families Australia - working in partnership with an ACCO national organisation and the leading peak bodies in each jurisdiction - is well placed to support the Department by strengthening communication channels, aligning stakeholders, and facilitating sector readiness across the country. This coordinated leadership mechanism would help set the conditions for effective implementation and support early realisation of the reform’s intended benefits. </w:t>
      </w:r>
    </w:p>
    <w:p w14:paraId="5F9F1DEB" w14:textId="77777777" w:rsidR="006E3868" w:rsidRDefault="00000000">
      <w:pPr>
        <w:spacing w:after="98" w:line="259" w:lineRule="auto"/>
        <w:ind w:left="0" w:right="0" w:firstLine="0"/>
        <w:jc w:val="left"/>
      </w:pPr>
      <w:r>
        <w:t xml:space="preserve"> </w:t>
      </w:r>
    </w:p>
    <w:p w14:paraId="764B9A82" w14:textId="77777777" w:rsidR="006E3868" w:rsidRDefault="00000000">
      <w:pPr>
        <w:ind w:left="-5" w:right="0"/>
      </w:pPr>
      <w:r>
        <w:t xml:space="preserve">On behalf of Families Australia, I welcome the opportunity to discuss this response further and to work closely with the Department to support a successful transition to a </w:t>
      </w:r>
      <w:r>
        <w:rPr>
          <w:i/>
        </w:rPr>
        <w:t>New Approach to Programs for Families and Children.</w:t>
      </w:r>
      <w:r>
        <w:t xml:space="preserve"> </w:t>
      </w:r>
    </w:p>
    <w:p w14:paraId="4D735AC5" w14:textId="77777777" w:rsidR="006E3868" w:rsidRDefault="00000000">
      <w:pPr>
        <w:spacing w:after="0" w:line="259" w:lineRule="auto"/>
        <w:ind w:left="0" w:right="0" w:firstLine="0"/>
        <w:jc w:val="left"/>
      </w:pPr>
      <w:r>
        <w:t xml:space="preserve"> </w:t>
      </w:r>
    </w:p>
    <w:p w14:paraId="5D6E26FC" w14:textId="77777777" w:rsidR="006E3868" w:rsidRDefault="00000000">
      <w:pPr>
        <w:spacing w:after="2480" w:line="259" w:lineRule="auto"/>
        <w:ind w:left="-139" w:right="0" w:firstLine="0"/>
        <w:jc w:val="left"/>
      </w:pPr>
      <w:r>
        <w:rPr>
          <w:noProof/>
        </w:rPr>
        <mc:AlternateContent>
          <mc:Choice Requires="wpg">
            <w:drawing>
              <wp:inline distT="0" distB="0" distL="0" distR="0" wp14:anchorId="1C9DFC9C" wp14:editId="73F09D5F">
                <wp:extent cx="3569074" cy="1781425"/>
                <wp:effectExtent l="0" t="0" r="0" b="0"/>
                <wp:docPr id="11671" name="Group 11671"/>
                <wp:cNvGraphicFramePr/>
                <a:graphic xmlns:a="http://schemas.openxmlformats.org/drawingml/2006/main">
                  <a:graphicData uri="http://schemas.microsoft.com/office/word/2010/wordprocessingGroup">
                    <wpg:wgp>
                      <wpg:cNvGrpSpPr/>
                      <wpg:grpSpPr>
                        <a:xfrm>
                          <a:off x="0" y="0"/>
                          <a:ext cx="3569074" cy="1781425"/>
                          <a:chOff x="0" y="0"/>
                          <a:chExt cx="3569074" cy="1781425"/>
                        </a:xfrm>
                      </wpg:grpSpPr>
                      <wps:wsp>
                        <wps:cNvPr id="1793" name="Rectangle 1793"/>
                        <wps:cNvSpPr/>
                        <wps:spPr>
                          <a:xfrm>
                            <a:off x="88167" y="0"/>
                            <a:ext cx="1276060" cy="227633"/>
                          </a:xfrm>
                          <a:prstGeom prst="rect">
                            <a:avLst/>
                          </a:prstGeom>
                          <a:ln>
                            <a:noFill/>
                          </a:ln>
                        </wps:spPr>
                        <wps:txbx>
                          <w:txbxContent>
                            <w:p w14:paraId="5ADD5F1C" w14:textId="77777777" w:rsidR="006E3868" w:rsidRDefault="00000000">
                              <w:pPr>
                                <w:spacing w:after="160" w:line="259" w:lineRule="auto"/>
                                <w:ind w:left="0" w:right="0" w:firstLine="0"/>
                                <w:jc w:val="left"/>
                              </w:pPr>
                              <w:r>
                                <w:rPr>
                                  <w:w w:val="109"/>
                                </w:rPr>
                                <w:t>Yours</w:t>
                              </w:r>
                              <w:r>
                                <w:rPr>
                                  <w:spacing w:val="-4"/>
                                  <w:w w:val="109"/>
                                </w:rPr>
                                <w:t xml:space="preserve"> </w:t>
                              </w:r>
                              <w:r>
                                <w:rPr>
                                  <w:w w:val="109"/>
                                </w:rPr>
                                <w:t>sincerely,</w:t>
                              </w:r>
                            </w:p>
                          </w:txbxContent>
                        </wps:txbx>
                        <wps:bodyPr horzOverflow="overflow" vert="horz" lIns="0" tIns="0" rIns="0" bIns="0" rtlCol="0">
                          <a:noAutofit/>
                        </wps:bodyPr>
                      </wps:wsp>
                      <wps:wsp>
                        <wps:cNvPr id="1794" name="Rectangle 1794"/>
                        <wps:cNvSpPr/>
                        <wps:spPr>
                          <a:xfrm>
                            <a:off x="1046713" y="0"/>
                            <a:ext cx="37855" cy="227633"/>
                          </a:xfrm>
                          <a:prstGeom prst="rect">
                            <a:avLst/>
                          </a:prstGeom>
                          <a:ln>
                            <a:noFill/>
                          </a:ln>
                        </wps:spPr>
                        <wps:txbx>
                          <w:txbxContent>
                            <w:p w14:paraId="1FF37806" w14:textId="77777777" w:rsidR="006E3868"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797" name="Rectangle 1797"/>
                        <wps:cNvSpPr/>
                        <wps:spPr>
                          <a:xfrm>
                            <a:off x="3540612" y="1597534"/>
                            <a:ext cx="37855" cy="227633"/>
                          </a:xfrm>
                          <a:prstGeom prst="rect">
                            <a:avLst/>
                          </a:prstGeom>
                          <a:ln>
                            <a:noFill/>
                          </a:ln>
                        </wps:spPr>
                        <wps:txbx>
                          <w:txbxContent>
                            <w:p w14:paraId="52B8BE41" w14:textId="77777777" w:rsidR="006E3868"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2958" name="Shape 12958"/>
                        <wps:cNvSpPr/>
                        <wps:spPr>
                          <a:xfrm>
                            <a:off x="0" y="343578"/>
                            <a:ext cx="1562790" cy="1152695"/>
                          </a:xfrm>
                          <a:custGeom>
                            <a:avLst/>
                            <a:gdLst/>
                            <a:ahLst/>
                            <a:cxnLst/>
                            <a:rect l="0" t="0" r="0" b="0"/>
                            <a:pathLst>
                              <a:path w="1562790" h="1152695">
                                <a:moveTo>
                                  <a:pt x="0" y="0"/>
                                </a:moveTo>
                                <a:lnTo>
                                  <a:pt x="1562790" y="0"/>
                                </a:lnTo>
                                <a:lnTo>
                                  <a:pt x="1562790" y="1152695"/>
                                </a:lnTo>
                                <a:lnTo>
                                  <a:pt x="0" y="11526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9" name="Shape 12959"/>
                        <wps:cNvSpPr/>
                        <wps:spPr>
                          <a:xfrm>
                            <a:off x="75467" y="1610232"/>
                            <a:ext cx="3453364" cy="171193"/>
                          </a:xfrm>
                          <a:custGeom>
                            <a:avLst/>
                            <a:gdLst/>
                            <a:ahLst/>
                            <a:cxnLst/>
                            <a:rect l="0" t="0" r="0" b="0"/>
                            <a:pathLst>
                              <a:path w="3453364" h="171193">
                                <a:moveTo>
                                  <a:pt x="0" y="0"/>
                                </a:moveTo>
                                <a:lnTo>
                                  <a:pt x="3453364" y="0"/>
                                </a:lnTo>
                                <a:lnTo>
                                  <a:pt x="3453364" y="171193"/>
                                </a:lnTo>
                                <a:lnTo>
                                  <a:pt x="0" y="171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671" style="width:281.029pt;height:140.27pt;mso-position-horizontal-relative:char;mso-position-vertical-relative:line" coordsize="35690,17814">
                <v:rect id="Rectangle 1793" style="position:absolute;width:12760;height:2276;left:881;top:0;" filled="f" stroked="f">
                  <v:textbox inset="0,0,0,0">
                    <w:txbxContent>
                      <w:p>
                        <w:pPr>
                          <w:spacing w:before="0" w:after="160" w:line="259" w:lineRule="auto"/>
                          <w:ind w:left="0" w:right="0" w:firstLine="0"/>
                          <w:jc w:val="left"/>
                        </w:pPr>
                        <w:r>
                          <w:rPr>
                            <w:w w:val="109"/>
                          </w:rPr>
                          <w:t xml:space="preserve">Yours</w:t>
                        </w:r>
                        <w:r>
                          <w:rPr>
                            <w:spacing w:val="-4"/>
                            <w:w w:val="109"/>
                          </w:rPr>
                          <w:t xml:space="preserve"> </w:t>
                        </w:r>
                        <w:r>
                          <w:rPr>
                            <w:w w:val="109"/>
                          </w:rPr>
                          <w:t xml:space="preserve">sincerely,</w:t>
                        </w:r>
                      </w:p>
                    </w:txbxContent>
                  </v:textbox>
                </v:rect>
                <v:rect id="Rectangle 1794" style="position:absolute;width:378;height:2276;left:10467;top:0;" filled="f" stroked="f">
                  <v:textbox inset="0,0,0,0">
                    <w:txbxContent>
                      <w:p>
                        <w:pPr>
                          <w:spacing w:before="0" w:after="160" w:line="259" w:lineRule="auto"/>
                          <w:ind w:left="0" w:right="0" w:firstLine="0"/>
                          <w:jc w:val="left"/>
                        </w:pPr>
                        <w:r>
                          <w:rPr/>
                          <w:t xml:space="preserve"> </w:t>
                        </w:r>
                      </w:p>
                    </w:txbxContent>
                  </v:textbox>
                </v:rect>
                <v:rect id="Rectangle 1797" style="position:absolute;width:378;height:2276;left:35406;top:15975;" filled="f" stroked="f">
                  <v:textbox inset="0,0,0,0">
                    <w:txbxContent>
                      <w:p>
                        <w:pPr>
                          <w:spacing w:before="0" w:after="160" w:line="259" w:lineRule="auto"/>
                          <w:ind w:left="0" w:right="0" w:firstLine="0"/>
                          <w:jc w:val="left"/>
                        </w:pPr>
                        <w:r>
                          <w:rPr/>
                          <w:t xml:space="preserve"> </w:t>
                        </w:r>
                      </w:p>
                    </w:txbxContent>
                  </v:textbox>
                </v:rect>
                <v:shape id="Shape 12964" style="position:absolute;width:15627;height:11526;left:0;top:3435;" coordsize="1562790,1152695" path="m0,0l1562790,0l1562790,1152695l0,1152695l0,0">
                  <v:stroke weight="0pt" endcap="flat" joinstyle="miter" miterlimit="10" on="false" color="#000000" opacity="0"/>
                  <v:fill on="true" color="#000000"/>
                </v:shape>
                <v:shape id="Shape 12965" style="position:absolute;width:34533;height:1711;left:754;top:16102;" coordsize="3453364,171193" path="m0,0l3453364,0l3453364,171193l0,171193l0,0">
                  <v:stroke weight="0pt" endcap="flat" joinstyle="miter" miterlimit="10" on="false" color="#000000" opacity="0"/>
                  <v:fill on="true" color="#000000"/>
                </v:shape>
              </v:group>
            </w:pict>
          </mc:Fallback>
        </mc:AlternateContent>
      </w:r>
    </w:p>
    <w:p w14:paraId="65DA6F35" w14:textId="77777777" w:rsidR="006E3868" w:rsidRDefault="00000000">
      <w:pPr>
        <w:spacing w:after="179" w:line="259" w:lineRule="auto"/>
        <w:ind w:right="779"/>
        <w:jc w:val="right"/>
      </w:pPr>
      <w:r>
        <w:rPr>
          <w:color w:val="737373"/>
        </w:rPr>
        <w:lastRenderedPageBreak/>
        <w:t xml:space="preserve">Page </w:t>
      </w:r>
    </w:p>
    <w:sectPr w:rsidR="006E3868">
      <w:headerReference w:type="even" r:id="rId18"/>
      <w:headerReference w:type="default" r:id="rId19"/>
      <w:footerReference w:type="even" r:id="rId20"/>
      <w:footerReference w:type="default" r:id="rId21"/>
      <w:headerReference w:type="first" r:id="rId22"/>
      <w:footerReference w:type="first" r:id="rId23"/>
      <w:pgSz w:w="11906" w:h="16838"/>
      <w:pgMar w:top="2300" w:right="1435" w:bottom="358" w:left="1440" w:header="0" w:footer="3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332E" w14:textId="77777777" w:rsidR="004E30EB" w:rsidRDefault="004E30EB">
      <w:pPr>
        <w:spacing w:after="0" w:line="240" w:lineRule="auto"/>
      </w:pPr>
      <w:r>
        <w:separator/>
      </w:r>
    </w:p>
  </w:endnote>
  <w:endnote w:type="continuationSeparator" w:id="0">
    <w:p w14:paraId="0F203D1A" w14:textId="77777777" w:rsidR="004E30EB" w:rsidRDefault="004E3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C266" w14:textId="77777777" w:rsidR="006E3868" w:rsidRDefault="00000000">
    <w:pPr>
      <w:spacing w:after="0" w:line="259" w:lineRule="auto"/>
      <w:ind w:left="0" w:right="1" w:firstLine="0"/>
      <w:jc w:val="right"/>
    </w:pPr>
    <w:r>
      <w:rPr>
        <w:color w:val="737373"/>
      </w:rPr>
      <w:t xml:space="preserve">Page </w:t>
    </w:r>
    <w:r>
      <w:fldChar w:fldCharType="begin"/>
    </w:r>
    <w:r>
      <w:instrText xml:space="preserve"> PAGE   \* MERGEFORMAT </w:instrText>
    </w:r>
    <w:r>
      <w:fldChar w:fldCharType="separate"/>
    </w:r>
    <w:r>
      <w:rPr>
        <w:color w:val="737373"/>
      </w:rPr>
      <w:t>2</w:t>
    </w:r>
    <w:r>
      <w:rPr>
        <w:color w:val="737373"/>
      </w:rPr>
      <w:fldChar w:fldCharType="end"/>
    </w:r>
    <w:r>
      <w:rPr>
        <w:color w:val="737373"/>
      </w:rPr>
      <w:t xml:space="preserve"> of 11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3144" w14:textId="77777777" w:rsidR="006E3868" w:rsidRDefault="00000000">
    <w:pPr>
      <w:spacing w:after="0" w:line="259" w:lineRule="auto"/>
      <w:ind w:left="0" w:right="1" w:firstLine="0"/>
      <w:jc w:val="right"/>
    </w:pPr>
    <w:r>
      <w:rPr>
        <w:color w:val="737373"/>
      </w:rPr>
      <w:t xml:space="preserve">Page </w:t>
    </w:r>
    <w:r>
      <w:fldChar w:fldCharType="begin"/>
    </w:r>
    <w:r>
      <w:instrText xml:space="preserve"> PAGE   \* MERGEFORMAT </w:instrText>
    </w:r>
    <w:r>
      <w:fldChar w:fldCharType="separate"/>
    </w:r>
    <w:r>
      <w:rPr>
        <w:color w:val="737373"/>
      </w:rPr>
      <w:t>2</w:t>
    </w:r>
    <w:r>
      <w:rPr>
        <w:color w:val="737373"/>
      </w:rPr>
      <w:fldChar w:fldCharType="end"/>
    </w:r>
    <w:r>
      <w:rPr>
        <w:color w:val="737373"/>
      </w:rPr>
      <w:t xml:space="preserve"> of 11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DBF8" w14:textId="77777777" w:rsidR="006E3868" w:rsidRDefault="006E3868">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416A" w14:textId="77777777" w:rsidR="006E3868" w:rsidRDefault="00000000">
    <w:pPr>
      <w:spacing w:after="0" w:line="259" w:lineRule="auto"/>
      <w:ind w:left="0" w:right="1" w:firstLine="0"/>
      <w:jc w:val="right"/>
    </w:pPr>
    <w:r>
      <w:fldChar w:fldCharType="begin"/>
    </w:r>
    <w:r>
      <w:instrText xml:space="preserve"> PAGE   \* MERGEFORMAT </w:instrText>
    </w:r>
    <w:r>
      <w:fldChar w:fldCharType="separate"/>
    </w:r>
    <w:r>
      <w:rPr>
        <w:color w:val="737373"/>
      </w:rPr>
      <w:t>10</w:t>
    </w:r>
    <w:r>
      <w:rPr>
        <w:color w:val="737373"/>
      </w:rPr>
      <w:fldChar w:fldCharType="end"/>
    </w:r>
    <w:r>
      <w:rPr>
        <w:color w:val="737373"/>
      </w:rPr>
      <w:t xml:space="preserve"> of 11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9D14" w14:textId="77777777" w:rsidR="006E3868" w:rsidRDefault="00000000">
    <w:pPr>
      <w:spacing w:after="0" w:line="259" w:lineRule="auto"/>
      <w:ind w:left="0" w:right="1" w:firstLine="0"/>
      <w:jc w:val="right"/>
    </w:pPr>
    <w:r>
      <w:fldChar w:fldCharType="begin"/>
    </w:r>
    <w:r>
      <w:instrText xml:space="preserve"> PAGE   \* MERGEFORMAT </w:instrText>
    </w:r>
    <w:r>
      <w:fldChar w:fldCharType="separate"/>
    </w:r>
    <w:r>
      <w:rPr>
        <w:color w:val="737373"/>
      </w:rPr>
      <w:t>10</w:t>
    </w:r>
    <w:r>
      <w:rPr>
        <w:color w:val="737373"/>
      </w:rPr>
      <w:fldChar w:fldCharType="end"/>
    </w:r>
    <w:r>
      <w:rPr>
        <w:color w:val="737373"/>
      </w:rPr>
      <w:t xml:space="preserve"> of 11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97BF" w14:textId="77777777" w:rsidR="006E3868" w:rsidRDefault="00000000">
    <w:pPr>
      <w:spacing w:after="0" w:line="259" w:lineRule="auto"/>
      <w:ind w:left="0" w:right="1" w:firstLine="0"/>
      <w:jc w:val="right"/>
    </w:pPr>
    <w:r>
      <w:fldChar w:fldCharType="begin"/>
    </w:r>
    <w:r>
      <w:instrText xml:space="preserve"> PAGE   \* MERGEFORMAT </w:instrText>
    </w:r>
    <w:r>
      <w:fldChar w:fldCharType="separate"/>
    </w:r>
    <w:r>
      <w:rPr>
        <w:color w:val="737373"/>
      </w:rPr>
      <w:t>10</w:t>
    </w:r>
    <w:r>
      <w:rPr>
        <w:color w:val="737373"/>
      </w:rPr>
      <w:fldChar w:fldCharType="end"/>
    </w:r>
    <w:r>
      <w:rPr>
        <w:color w:val="737373"/>
      </w:rPr>
      <w:t xml:space="preserve"> of 11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E647" w14:textId="77777777" w:rsidR="004E30EB" w:rsidRDefault="004E30EB">
      <w:pPr>
        <w:spacing w:after="0" w:line="240" w:lineRule="auto"/>
      </w:pPr>
      <w:r>
        <w:separator/>
      </w:r>
    </w:p>
  </w:footnote>
  <w:footnote w:type="continuationSeparator" w:id="0">
    <w:p w14:paraId="0966FA8F" w14:textId="77777777" w:rsidR="004E30EB" w:rsidRDefault="004E3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C1EA" w14:textId="77777777" w:rsidR="006E3868" w:rsidRDefault="00000000">
    <w:pPr>
      <w:spacing w:after="0" w:line="259" w:lineRule="auto"/>
      <w:ind w:left="0" w:right="0" w:firstLine="0"/>
      <w:jc w:val="left"/>
    </w:pPr>
    <w:r>
      <w:rPr>
        <w:noProof/>
      </w:rPr>
      <w:drawing>
        <wp:anchor distT="0" distB="0" distL="114300" distR="114300" simplePos="0" relativeHeight="251658240" behindDoc="0" locked="0" layoutInCell="1" allowOverlap="0" wp14:anchorId="1CC67284" wp14:editId="0423F70A">
          <wp:simplePos x="0" y="0"/>
          <wp:positionH relativeFrom="page">
            <wp:posOffset>0</wp:posOffset>
          </wp:positionH>
          <wp:positionV relativeFrom="page">
            <wp:posOffset>0</wp:posOffset>
          </wp:positionV>
          <wp:extent cx="7559168" cy="996315"/>
          <wp:effectExtent l="0" t="0" r="0" b="0"/>
          <wp:wrapSquare wrapText="bothSides"/>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1"/>
                  <a:stretch>
                    <a:fillRect/>
                  </a:stretch>
                </pic:blipFill>
                <pic:spPr>
                  <a:xfrm>
                    <a:off x="0" y="0"/>
                    <a:ext cx="7559168" cy="99631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7E12" w14:textId="77777777" w:rsidR="006E3868" w:rsidRDefault="00000000">
    <w:pPr>
      <w:spacing w:after="0" w:line="259" w:lineRule="auto"/>
      <w:ind w:left="0" w:right="0" w:firstLine="0"/>
      <w:jc w:val="left"/>
    </w:pPr>
    <w:r>
      <w:rPr>
        <w:noProof/>
      </w:rPr>
      <w:drawing>
        <wp:anchor distT="0" distB="0" distL="114300" distR="114300" simplePos="0" relativeHeight="251659264" behindDoc="0" locked="0" layoutInCell="1" allowOverlap="0" wp14:anchorId="72C9003D" wp14:editId="241B1A8D">
          <wp:simplePos x="0" y="0"/>
          <wp:positionH relativeFrom="page">
            <wp:posOffset>0</wp:posOffset>
          </wp:positionH>
          <wp:positionV relativeFrom="page">
            <wp:posOffset>0</wp:posOffset>
          </wp:positionV>
          <wp:extent cx="7559168" cy="996315"/>
          <wp:effectExtent l="0" t="0" r="0" b="0"/>
          <wp:wrapSquare wrapText="bothSides"/>
          <wp:docPr id="996243751" name="Picture 996243751"/>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1"/>
                  <a:stretch>
                    <a:fillRect/>
                  </a:stretch>
                </pic:blipFill>
                <pic:spPr>
                  <a:xfrm>
                    <a:off x="0" y="0"/>
                    <a:ext cx="7559168" cy="99631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DE22" w14:textId="77777777" w:rsidR="006E3868" w:rsidRDefault="006E3868">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738A" w14:textId="77777777" w:rsidR="006E3868" w:rsidRDefault="00000000">
    <w:pPr>
      <w:spacing w:after="0" w:line="259" w:lineRule="auto"/>
      <w:ind w:left="0" w:right="0" w:firstLine="0"/>
      <w:jc w:val="left"/>
    </w:pPr>
    <w:r>
      <w:rPr>
        <w:noProof/>
      </w:rPr>
      <w:drawing>
        <wp:anchor distT="0" distB="0" distL="114300" distR="114300" simplePos="0" relativeHeight="251660288" behindDoc="0" locked="0" layoutInCell="1" allowOverlap="0" wp14:anchorId="3ED64666" wp14:editId="3D579338">
          <wp:simplePos x="0" y="0"/>
          <wp:positionH relativeFrom="page">
            <wp:posOffset>0</wp:posOffset>
          </wp:positionH>
          <wp:positionV relativeFrom="page">
            <wp:posOffset>0</wp:posOffset>
          </wp:positionV>
          <wp:extent cx="7559168" cy="996315"/>
          <wp:effectExtent l="0" t="0" r="0" b="0"/>
          <wp:wrapSquare wrapText="bothSides"/>
          <wp:docPr id="339479402" name="Picture 339479402"/>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1"/>
                  <a:stretch>
                    <a:fillRect/>
                  </a:stretch>
                </pic:blipFill>
                <pic:spPr>
                  <a:xfrm>
                    <a:off x="0" y="0"/>
                    <a:ext cx="7559168" cy="996315"/>
                  </a:xfrm>
                  <a:prstGeom prst="rect">
                    <a:avLst/>
                  </a:prstGeom>
                </pic:spPr>
              </pic:pic>
            </a:graphicData>
          </a:graphic>
        </wp:anchor>
      </w:drawing>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2946" w14:textId="77777777" w:rsidR="006E3868" w:rsidRDefault="00000000">
    <w:pPr>
      <w:spacing w:after="0" w:line="259" w:lineRule="auto"/>
      <w:ind w:left="0" w:right="0" w:firstLine="0"/>
      <w:jc w:val="left"/>
    </w:pPr>
    <w:r>
      <w:rPr>
        <w:noProof/>
      </w:rPr>
      <w:drawing>
        <wp:anchor distT="0" distB="0" distL="114300" distR="114300" simplePos="0" relativeHeight="251661312" behindDoc="0" locked="0" layoutInCell="1" allowOverlap="0" wp14:anchorId="63B78EDA" wp14:editId="13F0344A">
          <wp:simplePos x="0" y="0"/>
          <wp:positionH relativeFrom="page">
            <wp:posOffset>0</wp:posOffset>
          </wp:positionH>
          <wp:positionV relativeFrom="page">
            <wp:posOffset>0</wp:posOffset>
          </wp:positionV>
          <wp:extent cx="7559168" cy="996315"/>
          <wp:effectExtent l="0" t="0" r="0" b="0"/>
          <wp:wrapSquare wrapText="bothSides"/>
          <wp:docPr id="497082791" name="Picture 497082791"/>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1"/>
                  <a:stretch>
                    <a:fillRect/>
                  </a:stretch>
                </pic:blipFill>
                <pic:spPr>
                  <a:xfrm>
                    <a:off x="0" y="0"/>
                    <a:ext cx="7559168" cy="996315"/>
                  </a:xfrm>
                  <a:prstGeom prst="rect">
                    <a:avLst/>
                  </a:prstGeom>
                </pic:spPr>
              </pic:pic>
            </a:graphicData>
          </a:graphic>
        </wp:anchor>
      </w:drawing>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8FCC" w14:textId="77777777" w:rsidR="006E3868" w:rsidRDefault="00000000">
    <w:pPr>
      <w:spacing w:after="0" w:line="259" w:lineRule="auto"/>
      <w:ind w:left="0" w:right="0" w:firstLine="0"/>
      <w:jc w:val="left"/>
    </w:pPr>
    <w:r>
      <w:rPr>
        <w:noProof/>
      </w:rPr>
      <w:drawing>
        <wp:anchor distT="0" distB="0" distL="114300" distR="114300" simplePos="0" relativeHeight="251662336" behindDoc="0" locked="0" layoutInCell="1" allowOverlap="0" wp14:anchorId="0112AE5D" wp14:editId="44B7D118">
          <wp:simplePos x="0" y="0"/>
          <wp:positionH relativeFrom="page">
            <wp:posOffset>0</wp:posOffset>
          </wp:positionH>
          <wp:positionV relativeFrom="page">
            <wp:posOffset>0</wp:posOffset>
          </wp:positionV>
          <wp:extent cx="7559168" cy="996315"/>
          <wp:effectExtent l="0" t="0" r="0" b="0"/>
          <wp:wrapSquare wrapText="bothSides"/>
          <wp:docPr id="1122413944" name="Picture 1122413944"/>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1"/>
                  <a:stretch>
                    <a:fillRect/>
                  </a:stretch>
                </pic:blipFill>
                <pic:spPr>
                  <a:xfrm>
                    <a:off x="0" y="0"/>
                    <a:ext cx="7559168" cy="99631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7906"/>
    <w:multiLevelType w:val="hybridMultilevel"/>
    <w:tmpl w:val="542C8EC8"/>
    <w:lvl w:ilvl="0" w:tplc="0A9095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FC75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82C4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1E46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7A6A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A275B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9E7A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F49D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8A24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3520EF"/>
    <w:multiLevelType w:val="hybridMultilevel"/>
    <w:tmpl w:val="6B2E57A4"/>
    <w:lvl w:ilvl="0" w:tplc="C2827BC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A41A0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1C0BB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2202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4630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FEDD1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0895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50CBD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C8676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34258597">
    <w:abstractNumId w:val="0"/>
  </w:num>
  <w:num w:numId="2" w16cid:durableId="189225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868"/>
    <w:rsid w:val="004E30EB"/>
    <w:rsid w:val="005F56B1"/>
    <w:rsid w:val="006E3868"/>
    <w:rsid w:val="00D622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C7BCF"/>
  <w15:docId w15:val="{0BF0D120-FC0D-43DE-90BD-D804715F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48" w:lineRule="auto"/>
      <w:ind w:left="10" w:right="6"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1A2B3F"/>
      <w:sz w:val="36"/>
    </w:rPr>
  </w:style>
  <w:style w:type="paragraph" w:styleId="Heading2">
    <w:name w:val="heading 2"/>
    <w:next w:val="Normal"/>
    <w:link w:val="Heading2Char"/>
    <w:uiPriority w:val="9"/>
    <w:unhideWhenUsed/>
    <w:qFormat/>
    <w:pPr>
      <w:keepNext/>
      <w:keepLines/>
      <w:spacing w:after="51" w:line="249" w:lineRule="auto"/>
      <w:ind w:left="10" w:hanging="10"/>
      <w:outlineLvl w:val="1"/>
    </w:pPr>
    <w:rPr>
      <w:rFonts w:ascii="Calibri" w:eastAsia="Calibri" w:hAnsi="Calibri" w:cs="Calibri"/>
      <w:b/>
      <w:color w:val="F7964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F79646"/>
      <w:sz w:val="28"/>
    </w:rPr>
  </w:style>
  <w:style w:type="character" w:customStyle="1" w:styleId="Heading1Char">
    <w:name w:val="Heading 1 Char"/>
    <w:link w:val="Heading1"/>
    <w:rPr>
      <w:rFonts w:ascii="Calibri" w:eastAsia="Calibri" w:hAnsi="Calibri" w:cs="Calibri"/>
      <w:b/>
      <w:color w:val="1A2B3F"/>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wr.gov.au/local-job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s://www.dewr.gov.au/local-jobs"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4631</Words>
  <Characters>28758</Characters>
  <Application>Microsoft Office Word</Application>
  <DocSecurity>0</DocSecurity>
  <Lines>433</Lines>
  <Paragraphs>119</Paragraphs>
  <ScaleCrop>false</ScaleCrop>
  <Company/>
  <LinksUpToDate>false</LinksUpToDate>
  <CharactersWithSpaces>33489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Blahey</dc:creator>
  <cp:keywords>[SEC=UNOFFICIAL]</cp:keywords>
  <cp:lastModifiedBy>RAJARAM, Rohan</cp:lastModifiedBy>
  <cp:revision>2</cp:revision>
  <dcterms:created xsi:type="dcterms:W3CDTF">2025-12-09T06:20:00Z</dcterms:created>
  <dcterms:modified xsi:type="dcterms:W3CDTF">2025-12-09T06:20:00Z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MSIP_Label_48c3c0a9-12dd-4b95-92ca-a006af7b6583_ContentBits">
    <vt:lpwstr>3</vt:lpwstr>
  </property>
  <property fmtid="{D5CDD505-2E9C-101B-9397-08002B2CF9AE}" pid="4" name="PM_Namespace">
    <vt:lpwstr>gov.au</vt:lpwstr>
  </property>
  <property fmtid="{D5CDD505-2E9C-101B-9397-08002B2CF9AE}" pid="5" name="PM_Version">
    <vt:lpwstr>2018.4</vt:lpwstr>
  </property>
  <property fmtid="{D5CDD505-2E9C-101B-9397-08002B2CF9AE}" pid="6" name="MSIP_Label_48c3c0a9-12dd-4b95-92ca-a006af7b6583_SetDate">
    <vt:lpwstr>2025-12-09T06:20:49Z</vt:lpwstr>
  </property>
  <property fmtid="{D5CDD505-2E9C-101B-9397-08002B2CF9AE}" pid="7" name="PM_Note">
    <vt:lpwstr/>
  </property>
  <property fmtid="{D5CDD505-2E9C-101B-9397-08002B2CF9AE}" pid="8" name="PMHMAC">
    <vt:lpwstr>v=2024.1;a=SHA256;h=B4A018D3DA42689B584D558737BF4DED9E4D53C3E5DA32A94742EF2C1F71EFC4</vt:lpwstr>
  </property>
  <property fmtid="{D5CDD505-2E9C-101B-9397-08002B2CF9AE}" pid="9" name="PM_Qualifier">
    <vt:lpwstr/>
  </property>
  <property fmtid="{D5CDD505-2E9C-101B-9397-08002B2CF9AE}" pid="10" name="PM_SecurityClassification">
    <vt:lpwstr>UNOFFICIAL</vt:lpwstr>
  </property>
  <property fmtid="{D5CDD505-2E9C-101B-9397-08002B2CF9AE}" pid="11" name="PM_ProtectiveMarkingValue_Header">
    <vt:lpwstr>UNOFFICIAL</vt:lpwstr>
  </property>
  <property fmtid="{D5CDD505-2E9C-101B-9397-08002B2CF9AE}" pid="12" name="PM_OriginationTimeStamp">
    <vt:lpwstr>2025-12-09T06:20:49Z</vt:lpwstr>
  </property>
  <property fmtid="{D5CDD505-2E9C-101B-9397-08002B2CF9AE}" pid="13" name="MSIP_Label_48c3c0a9-12dd-4b95-92ca-a006af7b6583_Method">
    <vt:lpwstr>Privileged</vt:lpwstr>
  </property>
  <property fmtid="{D5CDD505-2E9C-101B-9397-08002B2CF9AE}" pid="14" name="MSIP_Label_48c3c0a9-12dd-4b95-92ca-a006af7b6583_Name">
    <vt:lpwstr>UNOFFICIAL</vt:lpwstr>
  </property>
  <property fmtid="{D5CDD505-2E9C-101B-9397-08002B2CF9AE}" pid="15" name="PM_Markers">
    <vt:lpwstr/>
  </property>
  <property fmtid="{D5CDD505-2E9C-101B-9397-08002B2CF9AE}" pid="16" name="PM_DownTo">
    <vt:lpwstr/>
  </property>
  <property fmtid="{D5CDD505-2E9C-101B-9397-08002B2CF9AE}" pid="17" name="PM_DisplayValueSecClassificationWithQualifier">
    <vt:lpwstr>UNOFFICIAL</vt:lpwstr>
  </property>
  <property fmtid="{D5CDD505-2E9C-101B-9397-08002B2CF9AE}" pid="18" name="PM_Expires">
    <vt:lpwstr/>
  </property>
  <property fmtid="{D5CDD505-2E9C-101B-9397-08002B2CF9AE}" pid="19" name="PM_InsertionValue">
    <vt:lpwstr>UNOFFICIAL</vt:lpwstr>
  </property>
  <property fmtid="{D5CDD505-2E9C-101B-9397-08002B2CF9AE}" pid="20" name="PM_DowngradeTo">
    <vt:lpwstr/>
  </property>
  <property fmtid="{D5CDD505-2E9C-101B-9397-08002B2CF9AE}" pid="21" name="MSIP_Label_48c3c0a9-12dd-4b95-92ca-a006af7b6583_SiteId">
    <vt:lpwstr>61e36dd1-ca6e-4d61-aa0a-2b4eb88317a3</vt:lpwstr>
  </property>
  <property fmtid="{D5CDD505-2E9C-101B-9397-08002B2CF9AE}" pid="22" name="MSIP_Label_48c3c0a9-12dd-4b95-92ca-a006af7b6583_Enabled">
    <vt:lpwstr>true</vt:lpwstr>
  </property>
  <property fmtid="{D5CDD505-2E9C-101B-9397-08002B2CF9AE}" pid="23" name="MSIP_Label_48c3c0a9-12dd-4b95-92ca-a006af7b6583_ActionId">
    <vt:lpwstr>22a6baf483c24203be0a6335b9570996</vt:lpwstr>
  </property>
  <property fmtid="{D5CDD505-2E9C-101B-9397-08002B2CF9AE}" pid="24" name="PM_Originator_Hash_SHA1">
    <vt:lpwstr>BC0CD014AA4F8D247A1B540F6313AC2D82A52373</vt:lpwstr>
  </property>
  <property fmtid="{D5CDD505-2E9C-101B-9397-08002B2CF9AE}" pid="25" name="PM_Originating_FileId">
    <vt:lpwstr>37C20A438EBC4E97A5ED1CB5FC583F8A</vt:lpwstr>
  </property>
  <property fmtid="{D5CDD505-2E9C-101B-9397-08002B2CF9AE}" pid="26" name="PM_ProtectiveMarkingValue_Footer">
    <vt:lpwstr>UNOFFICIAL</vt:lpwstr>
  </property>
  <property fmtid="{D5CDD505-2E9C-101B-9397-08002B2CF9AE}" pid="27" name="PM_Display">
    <vt:lpwstr>UNOFFICIAL</vt:lpwstr>
  </property>
  <property fmtid="{D5CDD505-2E9C-101B-9397-08002B2CF9AE}" pid="28" name="PM_OriginatorUserAccountName_SHA256">
    <vt:lpwstr>BE80673908BA5E6057E81730C3C1C71E12F034EA6DE3CACA8CAE137E0AB69CFB</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v=2022.2;d=gov.au;g=65417EFE-F3B9-5E66-BD91-1E689FEC2EA6</vt:lpwstr>
  </property>
  <property fmtid="{D5CDD505-2E9C-101B-9397-08002B2CF9AE}" pid="31" name="PM_Hash_Version">
    <vt:lpwstr>2024.1</vt:lpwstr>
  </property>
  <property fmtid="{D5CDD505-2E9C-101B-9397-08002B2CF9AE}" pid="32" name="PM_Hash_Salt_Prev">
    <vt:lpwstr>FF38B22AAE6D4608E13AD5F0C6D580EE</vt:lpwstr>
  </property>
  <property fmtid="{D5CDD505-2E9C-101B-9397-08002B2CF9AE}" pid="33" name="PM_Hash_Salt">
    <vt:lpwstr>C4C11E97A2D70E0CA9D3073E5C295CE3</vt:lpwstr>
  </property>
  <property fmtid="{D5CDD505-2E9C-101B-9397-08002B2CF9AE}" pid="34" name="PM_Hash_SHA1">
    <vt:lpwstr>2170589B07373A6F0C328C69EFA83BF88F757D2D</vt:lpwstr>
  </property>
</Properties>
</file>