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994284" w14:textId="5F91615B" w:rsidR="00146F19" w:rsidRPr="009A0604" w:rsidRDefault="00146F19" w:rsidP="009A0604">
      <w:pPr>
        <w:pStyle w:val="Title"/>
      </w:pPr>
      <w:bookmarkStart w:id="0" w:name="_Toc393198437"/>
      <w:bookmarkStart w:id="1" w:name="_Toc393886970"/>
      <w:bookmarkStart w:id="2" w:name="_Toc394495272"/>
      <w:bookmarkStart w:id="3" w:name="_Toc271018807"/>
      <w:bookmarkStart w:id="4" w:name="_Toc397360445"/>
      <w:bookmarkStart w:id="5" w:name="_Toc397435873"/>
      <w:bookmarkStart w:id="6" w:name="_Toc397436708"/>
      <w:bookmarkStart w:id="7" w:name="_Toc397438825"/>
      <w:bookmarkStart w:id="8" w:name="_Toc397499931"/>
      <w:r>
        <w:rPr>
          <w:noProof/>
        </w:rPr>
        <w:drawing>
          <wp:anchor distT="0" distB="0" distL="114300" distR="114300" simplePos="0" relativeHeight="251658240" behindDoc="1" locked="0" layoutInCell="1" allowOverlap="1" wp14:anchorId="11C1656A" wp14:editId="435C4D21">
            <wp:simplePos x="0" y="0"/>
            <wp:positionH relativeFrom="page">
              <wp:align>left</wp:align>
            </wp:positionH>
            <wp:positionV relativeFrom="page">
              <wp:align>top</wp:align>
            </wp:positionV>
            <wp:extent cx="8150400" cy="10692000"/>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1"/>
                    <a:stretch>
                      <a:fillRect/>
                    </a:stretch>
                  </pic:blipFill>
                  <pic:spPr bwMode="auto">
                    <a:xfrm>
                      <a:off x="0" y="0"/>
                      <a:ext cx="8150400" cy="106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0F79">
        <w:t xml:space="preserve">MHCC ACT </w:t>
      </w:r>
      <w:r w:rsidRPr="00324A98">
        <w:t>S</w:t>
      </w:r>
      <w:r w:rsidRPr="009A0604">
        <w:t>ubmission</w:t>
      </w:r>
      <w:r w:rsidR="00BB0F79">
        <w:t xml:space="preserve"> to DSS’ new approach to programs for families and children</w:t>
      </w:r>
    </w:p>
    <w:p w14:paraId="629981CA" w14:textId="390CCB6C" w:rsidR="00146F19" w:rsidRPr="0037105B" w:rsidRDefault="00BB0F79" w:rsidP="003D583F">
      <w:pPr>
        <w:pStyle w:val="Subtitle"/>
      </w:pPr>
      <w:r>
        <w:t>December</w:t>
      </w:r>
      <w:r w:rsidR="00146F19" w:rsidRPr="0037105B">
        <w:t xml:space="preserve"> 202</w:t>
      </w:r>
      <w:r w:rsidR="003C0EEC">
        <w:t>5</w:t>
      </w:r>
    </w:p>
    <w:p w14:paraId="3615194C" w14:textId="77777777" w:rsidR="00600653" w:rsidRDefault="00A564B6" w:rsidP="003D583F">
      <w:bookmarkStart w:id="9" w:name="_Toc393886972"/>
      <w:bookmarkStart w:id="10" w:name="_Toc394495274"/>
      <w:bookmarkStart w:id="11" w:name="_Toc271018809"/>
      <w:bookmarkStart w:id="12" w:name="_Toc397360447"/>
      <w:bookmarkStart w:id="13" w:name="_Toc397435875"/>
      <w:bookmarkStart w:id="14" w:name="_Toc397436710"/>
      <w:bookmarkStart w:id="15" w:name="_Toc397438827"/>
      <w:bookmarkStart w:id="16" w:name="_Toc397499933"/>
      <w:bookmarkEnd w:id="0"/>
      <w:bookmarkEnd w:id="1"/>
      <w:bookmarkEnd w:id="2"/>
      <w:bookmarkEnd w:id="3"/>
      <w:bookmarkEnd w:id="4"/>
      <w:bookmarkEnd w:id="5"/>
      <w:bookmarkEnd w:id="6"/>
      <w:bookmarkEnd w:id="7"/>
      <w:bookmarkEnd w:id="8"/>
      <w:r>
        <w:br w:type="page"/>
      </w:r>
    </w:p>
    <w:p w14:paraId="62783633" w14:textId="77777777" w:rsidR="00C65CC1" w:rsidRPr="00C65CC1" w:rsidRDefault="00C65CC1" w:rsidP="003D583F">
      <w:pPr>
        <w:pStyle w:val="Heading1"/>
      </w:pPr>
      <w:bookmarkStart w:id="17" w:name="_Toc155723591"/>
      <w:bookmarkEnd w:id="9"/>
      <w:bookmarkEnd w:id="10"/>
      <w:bookmarkEnd w:id="11"/>
      <w:bookmarkEnd w:id="12"/>
      <w:bookmarkEnd w:id="13"/>
      <w:bookmarkEnd w:id="14"/>
      <w:bookmarkEnd w:id="15"/>
      <w:bookmarkEnd w:id="16"/>
      <w:r w:rsidRPr="00C65CC1">
        <w:lastRenderedPageBreak/>
        <w:t>Acknowledgements</w:t>
      </w:r>
      <w:bookmarkEnd w:id="17"/>
    </w:p>
    <w:p w14:paraId="38C42835" w14:textId="77777777" w:rsidR="00C65CC1" w:rsidRPr="00C65CC1" w:rsidRDefault="00C65CC1" w:rsidP="003D583F">
      <w:pPr>
        <w:pStyle w:val="Heading2"/>
      </w:pPr>
      <w:bookmarkStart w:id="18" w:name="_Toc155723592"/>
      <w:r w:rsidRPr="00C65CC1">
        <w:t xml:space="preserve">Acknowledgement of </w:t>
      </w:r>
      <w:r w:rsidR="002E0CFF">
        <w:t>C</w:t>
      </w:r>
      <w:r w:rsidRPr="00C65CC1">
        <w:t>ountry</w:t>
      </w:r>
      <w:bookmarkEnd w:id="18"/>
      <w:r w:rsidRPr="00C65CC1">
        <w:t xml:space="preserve"> </w:t>
      </w:r>
    </w:p>
    <w:p w14:paraId="58473F63" w14:textId="77777777" w:rsidR="004A0754" w:rsidRPr="003D583F" w:rsidRDefault="00C65CC1" w:rsidP="003D583F">
      <w:r w:rsidRPr="003D583F">
        <w:t>Mental Health Community Coalition ACT is located on Ngunnawal Country. We acknowledge the Traditional Custodians of the land. We pay our respects to their Elders, past and present. We further acknowledge all Aboriginal and Torres Strait Islander Traditional Custodians and Country and recognise their continuing connection to land, sea, culture and community.</w:t>
      </w:r>
    </w:p>
    <w:p w14:paraId="40579367" w14:textId="77777777" w:rsidR="00C65CC1" w:rsidRDefault="00C65CC1" w:rsidP="003D583F">
      <w:pPr>
        <w:pStyle w:val="Heading2"/>
      </w:pPr>
      <w:bookmarkStart w:id="19" w:name="_Toc155723593"/>
      <w:r>
        <w:t>Acknowledgement of mental health lived experience</w:t>
      </w:r>
      <w:bookmarkEnd w:id="19"/>
      <w:r>
        <w:t xml:space="preserve"> </w:t>
      </w:r>
    </w:p>
    <w:p w14:paraId="7ABEB978" w14:textId="77777777" w:rsidR="00C65CC1" w:rsidRDefault="00C65CC1" w:rsidP="003D583F">
      <w:r>
        <w:t>We also acknowledge the individual and collective expertise of those with a living or lived experience of mental health. We recognise their vital contribution at all levels and value the courage of those who share this unique perspective for the purpose of learning and growing together to achieve better outcomes for all.</w:t>
      </w:r>
    </w:p>
    <w:p w14:paraId="21ACE292" w14:textId="40ABCDFC" w:rsidR="001C5064" w:rsidRPr="001C5064" w:rsidRDefault="00C32151" w:rsidP="001C5064">
      <w:pPr>
        <w:rPr>
          <w:rFonts w:eastAsiaTheme="majorEastAsia" w:cstheme="majorBidi"/>
          <w:color w:val="23A8D8"/>
          <w:sz w:val="40"/>
          <w:szCs w:val="36"/>
        </w:rPr>
      </w:pPr>
      <w:r>
        <w:br w:type="page"/>
      </w:r>
    </w:p>
    <w:p w14:paraId="67FDABA8" w14:textId="6C2E6BFA" w:rsidR="001C5064" w:rsidRPr="001C5064" w:rsidRDefault="004D543C" w:rsidP="001C5064">
      <w:pPr>
        <w:rPr>
          <w:b/>
          <w:bCs/>
        </w:rPr>
      </w:pPr>
      <w:r>
        <w:rPr>
          <w:b/>
          <w:bCs/>
        </w:rPr>
        <w:lastRenderedPageBreak/>
        <w:t>Executive Summary</w:t>
      </w:r>
    </w:p>
    <w:p w14:paraId="160A5221" w14:textId="2694A283" w:rsidR="004D543C" w:rsidRPr="004D543C" w:rsidRDefault="004D543C" w:rsidP="004D543C">
      <w:r w:rsidRPr="004D543C">
        <w:t xml:space="preserve">The Mental Health Community Coalition of the ACT (MHCC ACT) is the peak body for community-managed mental health organisations in the ACT. Many of our members support families experiencing psychological distress, trauma, </w:t>
      </w:r>
      <w:r w:rsidR="08A0F6C3">
        <w:t xml:space="preserve">and </w:t>
      </w:r>
      <w:r w:rsidRPr="004D543C">
        <w:t>disadvantage</w:t>
      </w:r>
      <w:r w:rsidR="6EB41F34">
        <w:t>.</w:t>
      </w:r>
      <w:r w:rsidRPr="004D543C">
        <w:t xml:space="preserve"> While we are not a specialist family services provider, we welcome the opportunity to respond to DSS’s proposed new approach.</w:t>
      </w:r>
    </w:p>
    <w:p w14:paraId="09AF3A1B" w14:textId="77777777" w:rsidR="001C5064" w:rsidRPr="001C5064" w:rsidRDefault="001C5064" w:rsidP="001C5064">
      <w:r w:rsidRPr="001C5064">
        <w:t>MHCC ACT strongly supports DSS’s intention to reshape the system toward early intervention, prevention, local collaboration and clearer pathways for families. These directions are overdue and align well with what our sector has advocated for over many years.</w:t>
      </w:r>
    </w:p>
    <w:p w14:paraId="2254CAC5" w14:textId="43A4B0C4" w:rsidR="001C5064" w:rsidRPr="001C5064" w:rsidRDefault="001C5064" w:rsidP="001C5064">
      <w:r w:rsidRPr="001C5064">
        <w:t xml:space="preserve">At the same time, </w:t>
      </w:r>
      <w:r>
        <w:t xml:space="preserve">the proposed </w:t>
      </w:r>
      <w:r w:rsidR="0AB8D3A7">
        <w:t>approach</w:t>
      </w:r>
      <w:r w:rsidR="4C04AC7F">
        <w:t xml:space="preserve"> carries</w:t>
      </w:r>
      <w:r>
        <w:t xml:space="preserve"> risks for </w:t>
      </w:r>
      <w:r w:rsidR="731B7667">
        <w:t>local, place-based service ecosystems</w:t>
      </w:r>
      <w:r w:rsidR="3EFA6903">
        <w:t>,</w:t>
      </w:r>
      <w:r w:rsidR="50C6D705">
        <w:t xml:space="preserve"> and</w:t>
      </w:r>
      <w:r w:rsidR="3EFA6903">
        <w:t xml:space="preserve"> continuity of</w:t>
      </w:r>
      <w:r>
        <w:t xml:space="preserve"> psychosocial </w:t>
      </w:r>
      <w:r w:rsidR="3EFA6903">
        <w:t>services</w:t>
      </w:r>
      <w:r w:rsidR="64291B4D">
        <w:t>.</w:t>
      </w:r>
      <w:r w:rsidRPr="001C5064">
        <w:t xml:space="preserve"> The model also needs stronger framing around local decision-making and long-term system stewardship to ensure the reforms deliver genuine change on the ground.</w:t>
      </w:r>
    </w:p>
    <w:p w14:paraId="29F39A72" w14:textId="77777777" w:rsidR="001C5064" w:rsidRPr="001C5064" w:rsidRDefault="001C5064" w:rsidP="001C5064">
      <w:r w:rsidRPr="001C5064">
        <w:t>Our comments focus on three areas:</w:t>
      </w:r>
    </w:p>
    <w:p w14:paraId="0178C7B5" w14:textId="77777777" w:rsidR="001C5064" w:rsidRPr="001C5064" w:rsidRDefault="001C5064" w:rsidP="001C5064">
      <w:pPr>
        <w:numPr>
          <w:ilvl w:val="0"/>
          <w:numId w:val="16"/>
        </w:numPr>
      </w:pPr>
      <w:r w:rsidRPr="001C5064">
        <w:rPr>
          <w:b/>
          <w:bCs/>
        </w:rPr>
        <w:t>Local, place-based ecosystems must be protected and strengthened</w:t>
      </w:r>
    </w:p>
    <w:p w14:paraId="11921863" w14:textId="77777777" w:rsidR="001C5064" w:rsidRPr="001C5064" w:rsidRDefault="001C5064" w:rsidP="001C5064">
      <w:pPr>
        <w:numPr>
          <w:ilvl w:val="0"/>
          <w:numId w:val="16"/>
        </w:numPr>
      </w:pPr>
      <w:r w:rsidRPr="001C5064">
        <w:rPr>
          <w:b/>
          <w:bCs/>
        </w:rPr>
        <w:t>Psychosocial supports must be recognised as a distinct and essential part of family wellbeing</w:t>
      </w:r>
    </w:p>
    <w:p w14:paraId="2CBE5932" w14:textId="0E73E9E7" w:rsidR="001C5064" w:rsidRPr="001C5064" w:rsidRDefault="2B195D01" w:rsidP="001C5064">
      <w:pPr>
        <w:numPr>
          <w:ilvl w:val="0"/>
          <w:numId w:val="16"/>
        </w:numPr>
      </w:pPr>
      <w:r w:rsidRPr="4BD53E53">
        <w:rPr>
          <w:b/>
          <w:bCs/>
        </w:rPr>
        <w:t>Re</w:t>
      </w:r>
      <w:r w:rsidR="10F6E36C" w:rsidRPr="4BD53E53">
        <w:rPr>
          <w:b/>
          <w:bCs/>
        </w:rPr>
        <w:t>lational contracting</w:t>
      </w:r>
      <w:r w:rsidR="001C5064" w:rsidRPr="001C5064">
        <w:rPr>
          <w:b/>
          <w:bCs/>
        </w:rPr>
        <w:t xml:space="preserve"> must support continuity, capability and long-term system change</w:t>
      </w:r>
    </w:p>
    <w:p w14:paraId="1D70A03B" w14:textId="7F689F66" w:rsidR="001C5064" w:rsidRPr="001C5064" w:rsidRDefault="001C5064" w:rsidP="001C5064"/>
    <w:p w14:paraId="34E9BDD6" w14:textId="2F78DFD2" w:rsidR="001C5064" w:rsidRPr="004D543C" w:rsidRDefault="001C5064" w:rsidP="001C5064">
      <w:pPr>
        <w:rPr>
          <w:b/>
          <w:bCs/>
        </w:rPr>
      </w:pPr>
      <w:r w:rsidRPr="001C5064">
        <w:rPr>
          <w:b/>
          <w:bCs/>
        </w:rPr>
        <w:t>1. Strengthen and Safeguard Local, Place-Based Ecosystems</w:t>
      </w:r>
    </w:p>
    <w:p w14:paraId="672A9404" w14:textId="2CE5FF72" w:rsidR="004D543C" w:rsidRPr="004D543C" w:rsidRDefault="004D543C" w:rsidP="004D543C">
      <w:r w:rsidRPr="004D543C">
        <w:t>Local community organisations hold the trust of families who are disconnected from mainstream systems. The new approach emphasises local partnerships, but national commissioning could unintentionally centralise decision making or favour large providers</w:t>
      </w:r>
      <w:r w:rsidR="52CFAC15">
        <w:t xml:space="preserve"> over smaller ACT-based organisations with stronger community ties. This could weaken the locally driven, relationship-based models essential to effective early intervention</w:t>
      </w:r>
      <w:r w:rsidRPr="004D543C">
        <w:t>.</w:t>
      </w:r>
    </w:p>
    <w:p w14:paraId="4BE9D0F5" w14:textId="5128C71E" w:rsidR="004D543C" w:rsidRDefault="004D543C" w:rsidP="004D543C">
      <w:r w:rsidRPr="004D543C">
        <w:t xml:space="preserve">The framework must ensure place-based planning is binding, local voices shape commissioning, and smaller </w:t>
      </w:r>
      <w:r w:rsidR="0E4737D3">
        <w:t xml:space="preserve">local </w:t>
      </w:r>
      <w:r w:rsidRPr="004D543C">
        <w:t>community organisations are not displaced. Stable local ecosystems are essential for reaching families experiencing marginalisation, trauma, or intergenerational disadvantage.</w:t>
      </w:r>
    </w:p>
    <w:p w14:paraId="63F72C60" w14:textId="77777777" w:rsidR="004D543C" w:rsidRPr="004D543C" w:rsidRDefault="004D543C" w:rsidP="004D543C"/>
    <w:p w14:paraId="64022AA8" w14:textId="200BEED4" w:rsidR="004D543C" w:rsidRPr="004D543C" w:rsidRDefault="6EB41F34" w:rsidP="004D543C">
      <w:pPr>
        <w:rPr>
          <w:b/>
          <w:bCs/>
        </w:rPr>
      </w:pPr>
      <w:r w:rsidRPr="4BD53E53">
        <w:rPr>
          <w:b/>
          <w:bCs/>
        </w:rPr>
        <w:t xml:space="preserve">2. </w:t>
      </w:r>
      <w:r w:rsidR="6A4204AE" w:rsidRPr="4BD53E53">
        <w:rPr>
          <w:b/>
          <w:bCs/>
        </w:rPr>
        <w:t>Protect Psychosocial and Specialist Mental Health Expertise</w:t>
      </w:r>
    </w:p>
    <w:p w14:paraId="6B516FED" w14:textId="00B23A09" w:rsidR="682E32A9" w:rsidRDefault="682E32A9">
      <w:r>
        <w:t xml:space="preserve">The consolidation of programs, including Family Mental Health Support Services, into a </w:t>
      </w:r>
      <w:proofErr w:type="gramStart"/>
      <w:r>
        <w:t>single national initiative risks</w:t>
      </w:r>
      <w:proofErr w:type="gramEnd"/>
      <w:r>
        <w:t xml:space="preserve"> diluting the specialist psychosocial knowledge and recovery-oriented practice needed when mental ill-health affects parents, children, or caregivers.</w:t>
      </w:r>
    </w:p>
    <w:p w14:paraId="3E379906" w14:textId="6923723B" w:rsidR="55F5044B" w:rsidRDefault="55F5044B" w:rsidP="4BD53E53">
      <w:r>
        <w:t>Psychosocial services are different to clinical mental health services in that they sit between community support and clinical care. They focus on functional recovery, social connection, daily living, and participation, not just diagnosis or symptom management</w:t>
      </w:r>
      <w:r w:rsidR="5D5EB373">
        <w:t xml:space="preserve">, and </w:t>
      </w:r>
      <w:r w:rsidR="5D5EB373" w:rsidRPr="4BD53E53">
        <w:rPr>
          <w:rFonts w:eastAsia="Tenorite" w:cs="Tenorite"/>
        </w:rPr>
        <w:t>are critical for preventing escalation into tertiary mental health, child protection, or crisis systems.</w:t>
      </w:r>
    </w:p>
    <w:p w14:paraId="5A818F58" w14:textId="27ED71C0" w:rsidR="1087E0AF" w:rsidRDefault="1087E0AF" w:rsidP="4BD53E53">
      <w:r>
        <w:t xml:space="preserve">The reforms could unintentionally replicate the gaps seen outside the NDIS - where psychosocial services often disappear because they sit in a grey zone between clinical and community. </w:t>
      </w:r>
      <w:r w:rsidR="682E32A9">
        <w:t xml:space="preserve">These elements must remain visible and adequately funded within the new program model. </w:t>
      </w:r>
      <w:r w:rsidR="06BE3C11">
        <w:t xml:space="preserve">Families experiencing psychosocial disability or persistent functional impairment will not have their needs met through clinical interventions alone. The new model must explicitly include </w:t>
      </w:r>
      <w:r w:rsidR="06BE3C11" w:rsidRPr="4BD53E53">
        <w:rPr>
          <w:b/>
          <w:bCs/>
        </w:rPr>
        <w:t>psychosocial service types</w:t>
      </w:r>
      <w:r w:rsidR="06BE3C11">
        <w:t xml:space="preserve"> within the mental health stream. </w:t>
      </w:r>
    </w:p>
    <w:p w14:paraId="19B04B1A" w14:textId="77777777" w:rsidR="004D543C" w:rsidRDefault="004D543C" w:rsidP="001C5064"/>
    <w:p w14:paraId="3D3762CB" w14:textId="360DEEBD" w:rsidR="001E4B7D" w:rsidRPr="001E4B7D" w:rsidRDefault="1B948677" w:rsidP="001E4B7D">
      <w:pPr>
        <w:rPr>
          <w:b/>
          <w:bCs/>
        </w:rPr>
      </w:pPr>
      <w:r w:rsidRPr="4BD53E53">
        <w:rPr>
          <w:b/>
          <w:bCs/>
        </w:rPr>
        <w:t xml:space="preserve">3. </w:t>
      </w:r>
      <w:r w:rsidR="54E3B98C" w:rsidRPr="4BD53E53">
        <w:rPr>
          <w:b/>
          <w:bCs/>
        </w:rPr>
        <w:t>Reform Governance and Commissioning Must Enable Long-Term Capability and Stability</w:t>
      </w:r>
    </w:p>
    <w:p w14:paraId="1AC173FC" w14:textId="6DE75024" w:rsidR="54E3B98C" w:rsidRDefault="54E3B98C" w:rsidP="4BD53E53">
      <w:pPr>
        <w:rPr>
          <w:rFonts w:eastAsia="PMingLiU" w:cs="Arial"/>
        </w:rPr>
      </w:pPr>
      <w:r w:rsidRPr="4BD53E53">
        <w:rPr>
          <w:rFonts w:eastAsia="PMingLiU" w:cs="Arial"/>
        </w:rPr>
        <w:t xml:space="preserve">The new approach proposes welcome reforms, including longer contracts and better system stewardship to expand the </w:t>
      </w:r>
      <w:r>
        <w:t>sector’s ability to collaborate, plan, and build capability</w:t>
      </w:r>
      <w:r w:rsidRPr="4BD53E53">
        <w:rPr>
          <w:rFonts w:eastAsia="PMingLiU" w:cs="Arial"/>
        </w:rPr>
        <w:t>. However, the success of the entire reform depends on governance that:</w:t>
      </w:r>
    </w:p>
    <w:p w14:paraId="147C7DF8" w14:textId="7DE980F2" w:rsidR="54E3B98C" w:rsidRDefault="54E3B98C" w:rsidP="4BD53E53">
      <w:pPr>
        <w:numPr>
          <w:ilvl w:val="0"/>
          <w:numId w:val="25"/>
        </w:numPr>
        <w:rPr>
          <w:rFonts w:eastAsia="PMingLiU" w:cs="Arial"/>
        </w:rPr>
      </w:pPr>
      <w:r w:rsidRPr="4BD53E53">
        <w:rPr>
          <w:rFonts w:eastAsia="PMingLiU" w:cs="Arial"/>
          <w:b/>
          <w:bCs/>
        </w:rPr>
        <w:t>Ensures continuity</w:t>
      </w:r>
      <w:r w:rsidRPr="4BD53E53">
        <w:rPr>
          <w:rFonts w:eastAsia="PMingLiU" w:cs="Arial"/>
        </w:rPr>
        <w:t xml:space="preserve"> for families during transition</w:t>
      </w:r>
    </w:p>
    <w:p w14:paraId="6CCE7BA8" w14:textId="6158D468" w:rsidR="54E3B98C" w:rsidRDefault="54E3B98C" w:rsidP="4BD53E53">
      <w:pPr>
        <w:numPr>
          <w:ilvl w:val="0"/>
          <w:numId w:val="25"/>
        </w:numPr>
        <w:rPr>
          <w:rFonts w:eastAsia="PMingLiU" w:cs="Arial"/>
        </w:rPr>
      </w:pPr>
      <w:r w:rsidRPr="4BD53E53">
        <w:rPr>
          <w:rFonts w:eastAsia="PMingLiU" w:cs="Arial"/>
          <w:b/>
          <w:bCs/>
        </w:rPr>
        <w:t>Avoids funding churn</w:t>
      </w:r>
      <w:r w:rsidRPr="4BD53E53">
        <w:rPr>
          <w:rFonts w:eastAsia="PMingLiU" w:cs="Arial"/>
        </w:rPr>
        <w:t>, which destabilises the workforce and erodes trust</w:t>
      </w:r>
    </w:p>
    <w:p w14:paraId="1AF5ADA4" w14:textId="730D7ED2" w:rsidR="745448F2" w:rsidRDefault="745448F2" w:rsidP="4BD53E53">
      <w:pPr>
        <w:numPr>
          <w:ilvl w:val="0"/>
          <w:numId w:val="25"/>
        </w:numPr>
        <w:rPr>
          <w:rFonts w:eastAsia="PMingLiU" w:cs="Arial"/>
        </w:rPr>
      </w:pPr>
      <w:r w:rsidRPr="4BD53E53">
        <w:rPr>
          <w:rFonts w:eastAsia="PMingLiU" w:cs="Arial"/>
          <w:b/>
          <w:bCs/>
        </w:rPr>
        <w:t xml:space="preserve">Provides </w:t>
      </w:r>
      <w:r w:rsidR="1940166A" w:rsidRPr="4BD53E53">
        <w:rPr>
          <w:rFonts w:eastAsia="PMingLiU" w:cs="Arial"/>
          <w:b/>
          <w:bCs/>
        </w:rPr>
        <w:t>safeguards</w:t>
      </w:r>
      <w:r w:rsidRPr="4BD53E53">
        <w:rPr>
          <w:rFonts w:eastAsia="PMingLiU" w:cs="Arial"/>
          <w:b/>
          <w:bCs/>
        </w:rPr>
        <w:t xml:space="preserve"> around co-design and </w:t>
      </w:r>
      <w:r w:rsidR="54E3B98C" w:rsidRPr="4BD53E53">
        <w:rPr>
          <w:rFonts w:eastAsia="PMingLiU" w:cs="Arial"/>
          <w:b/>
          <w:bCs/>
        </w:rPr>
        <w:t>relational contracting</w:t>
      </w:r>
      <w:r w:rsidR="54E3B98C" w:rsidRPr="4BD53E53">
        <w:rPr>
          <w:rFonts w:eastAsia="PMingLiU" w:cs="Arial"/>
        </w:rPr>
        <w:t xml:space="preserve">, </w:t>
      </w:r>
      <w:r w:rsidR="1D3AEBAB" w:rsidRPr="4BD53E53">
        <w:rPr>
          <w:rFonts w:eastAsia="PMingLiU" w:cs="Arial"/>
        </w:rPr>
        <w:t xml:space="preserve">to ensure genuine local </w:t>
      </w:r>
      <w:r w:rsidR="467C8F64" w:rsidRPr="4BD53E53">
        <w:rPr>
          <w:rFonts w:eastAsia="PMingLiU" w:cs="Arial"/>
        </w:rPr>
        <w:t>participation</w:t>
      </w:r>
      <w:r w:rsidR="1D3AEBAB" w:rsidRPr="4BD53E53">
        <w:rPr>
          <w:rFonts w:eastAsia="PMingLiU" w:cs="Arial"/>
        </w:rPr>
        <w:t xml:space="preserve"> </w:t>
      </w:r>
      <w:r w:rsidR="54E3B98C" w:rsidRPr="4BD53E53">
        <w:rPr>
          <w:rFonts w:eastAsia="PMingLiU" w:cs="Arial"/>
        </w:rPr>
        <w:t xml:space="preserve">rather </w:t>
      </w:r>
      <w:r w:rsidR="0A3B4110" w:rsidRPr="4BD53E53">
        <w:rPr>
          <w:rFonts w:eastAsia="PMingLiU" w:cs="Arial"/>
        </w:rPr>
        <w:t>replicating current processes</w:t>
      </w:r>
    </w:p>
    <w:p w14:paraId="02BF21F5" w14:textId="3A625FB8" w:rsidR="64443108" w:rsidRDefault="64443108" w:rsidP="4BD53E53">
      <w:pPr>
        <w:numPr>
          <w:ilvl w:val="0"/>
          <w:numId w:val="25"/>
        </w:numPr>
        <w:rPr>
          <w:rFonts w:eastAsia="PMingLiU" w:cs="Arial"/>
          <w:b/>
          <w:bCs/>
        </w:rPr>
      </w:pPr>
      <w:r w:rsidRPr="4BD53E53">
        <w:rPr>
          <w:rFonts w:eastAsia="PMingLiU" w:cs="Arial"/>
          <w:b/>
          <w:bCs/>
        </w:rPr>
        <w:t xml:space="preserve">transparent and ongoing engagement between DSS, providers, lived experience leadership and sector peaks  </w:t>
      </w:r>
    </w:p>
    <w:p w14:paraId="2042545F" w14:textId="76F4FB81" w:rsidR="54E3B98C" w:rsidRDefault="54E3B98C" w:rsidP="4BD53E53">
      <w:pPr>
        <w:numPr>
          <w:ilvl w:val="0"/>
          <w:numId w:val="25"/>
        </w:numPr>
        <w:rPr>
          <w:rFonts w:eastAsia="PMingLiU" w:cs="Arial"/>
        </w:rPr>
      </w:pPr>
      <w:r w:rsidRPr="4BD53E53">
        <w:rPr>
          <w:rFonts w:eastAsia="PMingLiU" w:cs="Arial"/>
          <w:b/>
          <w:bCs/>
        </w:rPr>
        <w:t>Aligns with existing ACT government reform work</w:t>
      </w:r>
      <w:r w:rsidR="1064E0A1" w:rsidRPr="4BD53E53">
        <w:rPr>
          <w:rFonts w:eastAsia="PMingLiU" w:cs="Arial"/>
          <w:b/>
          <w:bCs/>
        </w:rPr>
        <w:t xml:space="preserve">- </w:t>
      </w:r>
      <w:r w:rsidR="1064E0A1">
        <w:t xml:space="preserve">such as the Child, youth and Family Services Program (CYFSP) and the NGO Mental Health Commissioning rounds- </w:t>
      </w:r>
      <w:r w:rsidRPr="4BD53E53">
        <w:rPr>
          <w:rFonts w:eastAsia="PMingLiU" w:cs="Arial"/>
        </w:rPr>
        <w:t>to avoid duplication and confusion</w:t>
      </w:r>
    </w:p>
    <w:p w14:paraId="15F62CC3" w14:textId="77777777" w:rsidR="004D543C" w:rsidRDefault="004D543C" w:rsidP="001C5064"/>
    <w:p w14:paraId="103AACA6" w14:textId="77777777" w:rsidR="001E4B7D" w:rsidRPr="001E4B7D" w:rsidRDefault="001E4B7D" w:rsidP="001E4B7D">
      <w:pPr>
        <w:rPr>
          <w:b/>
          <w:bCs/>
        </w:rPr>
      </w:pPr>
      <w:r w:rsidRPr="001E4B7D">
        <w:rPr>
          <w:b/>
          <w:bCs/>
        </w:rPr>
        <w:t>Conclusion</w:t>
      </w:r>
    </w:p>
    <w:p w14:paraId="3BA49B37" w14:textId="41607C69" w:rsidR="001E4B7D" w:rsidRPr="001C5064" w:rsidRDefault="001E4B7D" w:rsidP="001C5064">
      <w:pPr>
        <w:sectPr w:rsidR="001E4B7D" w:rsidRPr="001C5064" w:rsidSect="00B94327">
          <w:headerReference w:type="even" r:id="rId12"/>
          <w:headerReference w:type="default" r:id="rId13"/>
          <w:footerReference w:type="even" r:id="rId14"/>
          <w:footerReference w:type="default" r:id="rId15"/>
          <w:footerReference w:type="first" r:id="rId16"/>
          <w:footnotePr>
            <w:numFmt w:val="lowerLetter"/>
            <w:numRestart w:val="eachPage"/>
          </w:footnotePr>
          <w:endnotePr>
            <w:numFmt w:val="decimal"/>
          </w:endnotePr>
          <w:pgSz w:w="11906" w:h="16838" w:code="9"/>
          <w:pgMar w:top="1418" w:right="1134" w:bottom="1418" w:left="1134" w:header="709" w:footer="284" w:gutter="0"/>
          <w:cols w:space="708"/>
          <w:docGrid w:linePitch="360"/>
        </w:sectPr>
      </w:pPr>
      <w:r>
        <w:t>DSS’s new approach presents a promising foundation for strengthening family wellbeing across Australia. By reinforcing local ecosystems, recognising psychosocial supports as essential to prevention, and establishing governance that enables stable collaboration, this reform can deliver meaningful and lasting benefits for families and children in the ACT and beyond.</w:t>
      </w:r>
    </w:p>
    <w:p w14:paraId="34E35F07" w14:textId="77777777" w:rsidR="00600653" w:rsidRDefault="00600653" w:rsidP="003C0EEC"/>
    <w:sectPr w:rsidR="00600653" w:rsidSect="00B94327">
      <w:headerReference w:type="default" r:id="rId17"/>
      <w:footerReference w:type="default" r:id="rId18"/>
      <w:headerReference w:type="first" r:id="rId19"/>
      <w:footnotePr>
        <w:numFmt w:val="lowerLetter"/>
        <w:numRestart w:val="eachPage"/>
      </w:footnotePr>
      <w:endnotePr>
        <w:numFmt w:val="decimal"/>
      </w:endnotePr>
      <w:pgSz w:w="11906" w:h="16838" w:code="9"/>
      <w:pgMar w:top="0" w:right="1440" w:bottom="1440" w:left="1440" w:header="709" w:footer="397"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C8632F" w14:textId="77777777" w:rsidR="00226082" w:rsidRDefault="00226082" w:rsidP="003D583F">
      <w:r>
        <w:separator/>
      </w:r>
    </w:p>
    <w:p w14:paraId="7A91D4F1" w14:textId="77777777" w:rsidR="00226082" w:rsidRDefault="00226082"/>
  </w:endnote>
  <w:endnote w:type="continuationSeparator" w:id="0">
    <w:p w14:paraId="57B781D8" w14:textId="77777777" w:rsidR="00226082" w:rsidRDefault="00226082" w:rsidP="003D583F">
      <w:r>
        <w:continuationSeparator/>
      </w:r>
    </w:p>
    <w:p w14:paraId="35FD142F" w14:textId="77777777" w:rsidR="00226082" w:rsidRDefault="00226082"/>
  </w:endnote>
  <w:endnote w:type="continuationNotice" w:id="1">
    <w:p w14:paraId="0D16668B" w14:textId="77777777" w:rsidR="00226082" w:rsidRDefault="00226082" w:rsidP="003D583F"/>
    <w:p w14:paraId="2F68AB1A" w14:textId="77777777" w:rsidR="00226082" w:rsidRDefault="002260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enorite">
    <w:charset w:val="00"/>
    <w:family w:val="auto"/>
    <w:pitch w:val="variable"/>
    <w:sig w:usb0="80000003" w:usb1="00000001" w:usb2="00000000" w:usb3="00000000" w:csb0="00000001" w:csb1="00000000"/>
  </w:font>
  <w:font w:name="Segoe UI">
    <w:panose1 w:val="020B0502040204020203"/>
    <w:charset w:val="00"/>
    <w:family w:val="swiss"/>
    <w:pitch w:val="variable"/>
    <w:sig w:usb0="E4002EFF" w:usb1="C000E47F" w:usb2="00000009" w:usb3="00000000" w:csb0="000001FF" w:csb1="00000000"/>
  </w:font>
  <w:font w:name="Lucida Grande">
    <w:altName w:val="Segoe UI"/>
    <w:charset w:val="00"/>
    <w:family w:val="swiss"/>
    <w:pitch w:val="variable"/>
    <w:sig w:usb0="E1002AEF" w:usb1="D000A1FF" w:usb2="00000038" w:usb3="00000000" w:csb0="000001B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F3DAD" w14:textId="77777777" w:rsidR="00E82B55" w:rsidRDefault="00E82B55" w:rsidP="003D583F">
    <w:pPr>
      <w:pStyle w:val="Footer"/>
    </w:pPr>
    <w:r>
      <w:rPr>
        <w:noProof/>
      </w:rPr>
      <w:t>FOUNDATION FOR ALCOHOL RESEARCH &amp; EDUCATION ::</w:t>
    </w:r>
    <w:r>
      <w:t xml:space="preserve"> </w:t>
    </w:r>
    <w:sdt>
      <w:sdtPr>
        <w:id w:val="-187344789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15F59">
          <w:rPr>
            <w:noProof/>
          </w:rPr>
          <w:t>6</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6C9D8" w14:textId="10DF7AC7" w:rsidR="645A3120" w:rsidRDefault="6CCD34BF" w:rsidP="6CCD34BF">
    <w:pPr>
      <w:pStyle w:val="Footer"/>
      <w:rPr>
        <w:color w:val="FFFFFF" w:themeColor="background1"/>
      </w:rPr>
    </w:pPr>
    <w:r w:rsidRPr="6CCD34BF">
      <w:rPr>
        <w:color w:val="FFFFFF" w:themeColor="background1"/>
      </w:rPr>
      <w:t>Submission to DSS’ new approach to programs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3708993"/>
      <w:docPartObj>
        <w:docPartGallery w:val="Page Numbers (Bottom of Page)"/>
        <w:docPartUnique/>
      </w:docPartObj>
    </w:sdtPr>
    <w:sdtEndPr>
      <w:rPr>
        <w:noProof/>
      </w:rPr>
    </w:sdtEndPr>
    <w:sdtContent>
      <w:p w14:paraId="361B138B" w14:textId="77777777" w:rsidR="00E82B55" w:rsidRPr="00C32151" w:rsidRDefault="00E82B55" w:rsidP="003D583F">
        <w:pPr>
          <w:pStyle w:val="Footer"/>
        </w:pPr>
        <w:r>
          <w:fldChar w:fldCharType="begin"/>
        </w:r>
        <w:r>
          <w:instrText xml:space="preserve"> PAGE   \* MERGEFORMAT </w:instrText>
        </w:r>
        <w:r>
          <w:fldChar w:fldCharType="separate"/>
        </w:r>
        <w:r w:rsidR="00915F59">
          <w:rPr>
            <w:noProof/>
          </w:rPr>
          <w:t>9</w:t>
        </w:r>
        <w:r>
          <w:rPr>
            <w:noProof/>
          </w:rPr>
          <w:fldChar w:fldCharType="end"/>
        </w:r>
        <w:r>
          <w:rPr>
            <w:noProof/>
          </w:rPr>
          <w:t xml:space="preserve"> :: DOCUMENT NAME OR REPORT TITLE GOES HERE</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AB775" w14:textId="57B74DFC" w:rsidR="00AD2EB1" w:rsidRPr="00AD2EB1" w:rsidRDefault="00AD2EB1" w:rsidP="00AD2EB1">
    <w:pPr>
      <w:pStyle w:val="Footer"/>
      <w:jc w:val="center"/>
      <w:rPr>
        <w:color w:val="FFFFFF" w:themeColor="background1"/>
        <w:lang w:val="da-DK"/>
      </w:rPr>
    </w:pPr>
    <w:r w:rsidRPr="00205693">
      <w:rPr>
        <w:noProof/>
      </w:rPr>
      <w:drawing>
        <wp:anchor distT="0" distB="0" distL="114300" distR="114300" simplePos="0" relativeHeight="251658241" behindDoc="1" locked="0" layoutInCell="1" allowOverlap="1" wp14:anchorId="7D257323" wp14:editId="20BEFEBA">
          <wp:simplePos x="0" y="0"/>
          <wp:positionH relativeFrom="page">
            <wp:align>left</wp:align>
          </wp:positionH>
          <wp:positionV relativeFrom="page">
            <wp:align>top</wp:align>
          </wp:positionV>
          <wp:extent cx="7560000" cy="10692000"/>
          <wp:effectExtent l="0" t="0" r="3175" b="0"/>
          <wp:wrapNone/>
          <wp:docPr id="1" name="Picture 1" descr="A purple background with a few people and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urple background with a few people and a logo&#10;&#10;Description automatically generated with medium confidence"/>
                  <pic:cNvPicPr>
                    <a:picLocks noChangeAspect="1" noChangeArrowheads="1"/>
                  </pic:cNvPicPr>
                </pic:nvPicPr>
                <pic:blipFill>
                  <a:blip r:embed="rId1"/>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091524" w14:textId="77777777" w:rsidR="00226082" w:rsidRDefault="00226082" w:rsidP="003D583F">
      <w:r>
        <w:separator/>
      </w:r>
    </w:p>
    <w:p w14:paraId="397CC851" w14:textId="77777777" w:rsidR="00226082" w:rsidRDefault="00226082"/>
  </w:footnote>
  <w:footnote w:type="continuationSeparator" w:id="0">
    <w:p w14:paraId="20E18FD4" w14:textId="77777777" w:rsidR="00226082" w:rsidRDefault="00226082" w:rsidP="003D583F">
      <w:r>
        <w:continuationSeparator/>
      </w:r>
    </w:p>
    <w:p w14:paraId="08578353" w14:textId="77777777" w:rsidR="00226082" w:rsidRDefault="00226082"/>
  </w:footnote>
  <w:footnote w:type="continuationNotice" w:id="1">
    <w:p w14:paraId="14BFFA56" w14:textId="77777777" w:rsidR="00226082" w:rsidRDefault="00226082" w:rsidP="003D583F"/>
    <w:p w14:paraId="23F361FA" w14:textId="77777777" w:rsidR="00226082" w:rsidRDefault="002260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884AC" w14:textId="77777777" w:rsidR="00E82B55" w:rsidRDefault="00E82B55" w:rsidP="003D583F">
    <w:pPr>
      <w:pStyle w:val="Header"/>
    </w:pPr>
    <w:r>
      <w:rPr>
        <w:noProof/>
      </w:rPr>
      <w:drawing>
        <wp:anchor distT="0" distB="0" distL="114300" distR="114300" simplePos="0" relativeHeight="251658240" behindDoc="1" locked="0" layoutInCell="1" allowOverlap="1" wp14:anchorId="078FCE3F" wp14:editId="32E7F2DF">
          <wp:simplePos x="0" y="0"/>
          <wp:positionH relativeFrom="column">
            <wp:posOffset>-914294</wp:posOffset>
          </wp:positionH>
          <wp:positionV relativeFrom="paragraph">
            <wp:posOffset>-410458</wp:posOffset>
          </wp:positionV>
          <wp:extent cx="7552477" cy="10678795"/>
          <wp:effectExtent l="0" t="0" r="0" b="8255"/>
          <wp:wrapNone/>
          <wp:docPr id="2128459793" name="Picture 2128459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mp;R_INSIDE RIGHT copy.jpg"/>
                  <pic:cNvPicPr/>
                </pic:nvPicPr>
                <pic:blipFill>
                  <a:blip r:embed="rId1">
                    <a:extLst>
                      <a:ext uri="{28A0092B-C50C-407E-A947-70E740481C1C}">
                        <a14:useLocalDpi xmlns:a14="http://schemas.microsoft.com/office/drawing/2010/main" val="0"/>
                      </a:ext>
                    </a:extLst>
                  </a:blip>
                  <a:stretch>
                    <a:fillRect/>
                  </a:stretch>
                </pic:blipFill>
                <pic:spPr>
                  <a:xfrm>
                    <a:off x="0" y="0"/>
                    <a:ext cx="7552477" cy="1067879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15475" w14:textId="77777777" w:rsidR="00E82B55" w:rsidRPr="008453AB" w:rsidRDefault="00E82B55" w:rsidP="002E0CFF">
    <w:pPr>
      <w:pStyle w:val="Header"/>
      <w:tabs>
        <w:tab w:val="clear" w:pos="4513"/>
        <w:tab w:val="clear" w:pos="9026"/>
        <w:tab w:val="center" w:pos="4819"/>
      </w:tabs>
      <w:rPr>
        <w:lang w:val="en-US"/>
      </w:rPr>
    </w:pPr>
    <w:r>
      <w:rPr>
        <w:noProof/>
      </w:rPr>
      <w:drawing>
        <wp:anchor distT="0" distB="0" distL="114300" distR="114300" simplePos="0" relativeHeight="251658242" behindDoc="1" locked="0" layoutInCell="1" allowOverlap="1" wp14:anchorId="075D2065" wp14:editId="1AB06BD4">
          <wp:simplePos x="0" y="0"/>
          <wp:positionH relativeFrom="page">
            <wp:align>right</wp:align>
          </wp:positionH>
          <wp:positionV relativeFrom="paragraph">
            <wp:posOffset>-464035</wp:posOffset>
          </wp:positionV>
          <wp:extent cx="7561590" cy="10695992"/>
          <wp:effectExtent l="0" t="0" r="1270" b="0"/>
          <wp:wrapNone/>
          <wp:docPr id="1151014458" name="Picture 1151014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7561590" cy="1069599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DE993" w14:textId="77777777" w:rsidR="00FD5EB5" w:rsidRDefault="00FD5EB5" w:rsidP="002E0CFF">
    <w:pPr>
      <w:pStyle w:val="Header"/>
      <w:tabs>
        <w:tab w:val="clear" w:pos="4513"/>
        <w:tab w:val="clear" w:pos="9026"/>
        <w:tab w:val="center" w:pos="481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2A3D8" w14:textId="77777777" w:rsidR="00915F59" w:rsidRDefault="00915F59" w:rsidP="003D58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46C60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A90F1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24C3E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98E17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4A4F0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3502CF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EC9E4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562C1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84C1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F801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E6079"/>
    <w:multiLevelType w:val="hybridMultilevel"/>
    <w:tmpl w:val="B28C28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15586D"/>
    <w:multiLevelType w:val="multilevel"/>
    <w:tmpl w:val="358209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5628D5"/>
    <w:multiLevelType w:val="hybridMultilevel"/>
    <w:tmpl w:val="589E28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4127A8"/>
    <w:multiLevelType w:val="multilevel"/>
    <w:tmpl w:val="22C2D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CB0B5C"/>
    <w:multiLevelType w:val="multilevel"/>
    <w:tmpl w:val="EFFC5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DE51D8"/>
    <w:multiLevelType w:val="multilevel"/>
    <w:tmpl w:val="43B26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C9450C"/>
    <w:multiLevelType w:val="hybridMultilevel"/>
    <w:tmpl w:val="346EE270"/>
    <w:lvl w:ilvl="0" w:tplc="93CA56C2">
      <w:start w:val="1"/>
      <w:numFmt w:val="decimal"/>
      <w:pStyle w:val="Numberedlist"/>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5E54647"/>
    <w:multiLevelType w:val="hybridMultilevel"/>
    <w:tmpl w:val="AE128CC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BA61EF6"/>
    <w:multiLevelType w:val="multilevel"/>
    <w:tmpl w:val="D63EA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1C718A3"/>
    <w:multiLevelType w:val="hybridMultilevel"/>
    <w:tmpl w:val="F754D83C"/>
    <w:lvl w:ilvl="0" w:tplc="F550B3F6">
      <w:start w:val="1"/>
      <w:numFmt w:val="bullet"/>
      <w:lvlText w:val=""/>
      <w:lvlJc w:val="left"/>
      <w:pPr>
        <w:ind w:left="720" w:hanging="360"/>
      </w:pPr>
      <w:rPr>
        <w:rFonts w:ascii="Symbol" w:hAnsi="Symbol" w:hint="default"/>
      </w:rPr>
    </w:lvl>
    <w:lvl w:ilvl="1" w:tplc="7EFCFAC2">
      <w:start w:val="1"/>
      <w:numFmt w:val="bullet"/>
      <w:lvlText w:val="o"/>
      <w:lvlJc w:val="left"/>
      <w:pPr>
        <w:ind w:left="1440" w:hanging="360"/>
      </w:pPr>
      <w:rPr>
        <w:rFonts w:ascii="Courier New" w:hAnsi="Courier New" w:hint="default"/>
      </w:rPr>
    </w:lvl>
    <w:lvl w:ilvl="2" w:tplc="843EACA6">
      <w:start w:val="1"/>
      <w:numFmt w:val="bullet"/>
      <w:lvlText w:val=""/>
      <w:lvlJc w:val="left"/>
      <w:pPr>
        <w:ind w:left="2160" w:hanging="360"/>
      </w:pPr>
      <w:rPr>
        <w:rFonts w:ascii="Wingdings" w:hAnsi="Wingdings" w:hint="default"/>
      </w:rPr>
    </w:lvl>
    <w:lvl w:ilvl="3" w:tplc="CD2EEE32">
      <w:start w:val="1"/>
      <w:numFmt w:val="bullet"/>
      <w:lvlText w:val=""/>
      <w:lvlJc w:val="left"/>
      <w:pPr>
        <w:ind w:left="2880" w:hanging="360"/>
      </w:pPr>
      <w:rPr>
        <w:rFonts w:ascii="Symbol" w:hAnsi="Symbol" w:hint="default"/>
      </w:rPr>
    </w:lvl>
    <w:lvl w:ilvl="4" w:tplc="A08C83C2">
      <w:start w:val="1"/>
      <w:numFmt w:val="bullet"/>
      <w:lvlText w:val="o"/>
      <w:lvlJc w:val="left"/>
      <w:pPr>
        <w:ind w:left="3600" w:hanging="360"/>
      </w:pPr>
      <w:rPr>
        <w:rFonts w:ascii="Courier New" w:hAnsi="Courier New" w:hint="default"/>
      </w:rPr>
    </w:lvl>
    <w:lvl w:ilvl="5" w:tplc="4178F438">
      <w:start w:val="1"/>
      <w:numFmt w:val="bullet"/>
      <w:lvlText w:val=""/>
      <w:lvlJc w:val="left"/>
      <w:pPr>
        <w:ind w:left="4320" w:hanging="360"/>
      </w:pPr>
      <w:rPr>
        <w:rFonts w:ascii="Wingdings" w:hAnsi="Wingdings" w:hint="default"/>
      </w:rPr>
    </w:lvl>
    <w:lvl w:ilvl="6" w:tplc="98626186">
      <w:start w:val="1"/>
      <w:numFmt w:val="bullet"/>
      <w:lvlText w:val=""/>
      <w:lvlJc w:val="left"/>
      <w:pPr>
        <w:ind w:left="5040" w:hanging="360"/>
      </w:pPr>
      <w:rPr>
        <w:rFonts w:ascii="Symbol" w:hAnsi="Symbol" w:hint="default"/>
      </w:rPr>
    </w:lvl>
    <w:lvl w:ilvl="7" w:tplc="EBD259E0">
      <w:start w:val="1"/>
      <w:numFmt w:val="bullet"/>
      <w:lvlText w:val="o"/>
      <w:lvlJc w:val="left"/>
      <w:pPr>
        <w:ind w:left="5760" w:hanging="360"/>
      </w:pPr>
      <w:rPr>
        <w:rFonts w:ascii="Courier New" w:hAnsi="Courier New" w:hint="default"/>
      </w:rPr>
    </w:lvl>
    <w:lvl w:ilvl="8" w:tplc="747C335C">
      <w:start w:val="1"/>
      <w:numFmt w:val="bullet"/>
      <w:lvlText w:val=""/>
      <w:lvlJc w:val="left"/>
      <w:pPr>
        <w:ind w:left="6480" w:hanging="360"/>
      </w:pPr>
      <w:rPr>
        <w:rFonts w:ascii="Wingdings" w:hAnsi="Wingdings" w:hint="default"/>
      </w:rPr>
    </w:lvl>
  </w:abstractNum>
  <w:abstractNum w:abstractNumId="20" w15:restartNumberingAfterBreak="0">
    <w:nsid w:val="4263030A"/>
    <w:multiLevelType w:val="multilevel"/>
    <w:tmpl w:val="6B7AB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ED134E"/>
    <w:multiLevelType w:val="multilevel"/>
    <w:tmpl w:val="973689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E491715"/>
    <w:multiLevelType w:val="multilevel"/>
    <w:tmpl w:val="61CEB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FA0184"/>
    <w:multiLevelType w:val="multilevel"/>
    <w:tmpl w:val="9F946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57C3963"/>
    <w:multiLevelType w:val="multilevel"/>
    <w:tmpl w:val="A88A38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6B65740"/>
    <w:multiLevelType w:val="hybridMultilevel"/>
    <w:tmpl w:val="C1DCC6E2"/>
    <w:lvl w:ilvl="0" w:tplc="7166CA0A">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73B0256"/>
    <w:multiLevelType w:val="multilevel"/>
    <w:tmpl w:val="870EB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583709"/>
    <w:multiLevelType w:val="multilevel"/>
    <w:tmpl w:val="1DD4B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EC3C85"/>
    <w:multiLevelType w:val="multilevel"/>
    <w:tmpl w:val="EA901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24916864">
    <w:abstractNumId w:val="25"/>
  </w:num>
  <w:num w:numId="2" w16cid:durableId="1170095565">
    <w:abstractNumId w:val="16"/>
  </w:num>
  <w:num w:numId="3" w16cid:durableId="418135906">
    <w:abstractNumId w:val="9"/>
  </w:num>
  <w:num w:numId="4" w16cid:durableId="1110589283">
    <w:abstractNumId w:val="8"/>
  </w:num>
  <w:num w:numId="5" w16cid:durableId="1560628819">
    <w:abstractNumId w:val="7"/>
  </w:num>
  <w:num w:numId="6" w16cid:durableId="249893472">
    <w:abstractNumId w:val="6"/>
  </w:num>
  <w:num w:numId="7" w16cid:durableId="1324970167">
    <w:abstractNumId w:val="5"/>
  </w:num>
  <w:num w:numId="8" w16cid:durableId="535116328">
    <w:abstractNumId w:val="4"/>
  </w:num>
  <w:num w:numId="9" w16cid:durableId="667053322">
    <w:abstractNumId w:val="3"/>
  </w:num>
  <w:num w:numId="10" w16cid:durableId="1104612380">
    <w:abstractNumId w:val="2"/>
  </w:num>
  <w:num w:numId="11" w16cid:durableId="902452111">
    <w:abstractNumId w:val="1"/>
  </w:num>
  <w:num w:numId="12" w16cid:durableId="996223819">
    <w:abstractNumId w:val="0"/>
  </w:num>
  <w:num w:numId="13" w16cid:durableId="2032024249">
    <w:abstractNumId w:val="12"/>
  </w:num>
  <w:num w:numId="14" w16cid:durableId="1919943931">
    <w:abstractNumId w:val="17"/>
  </w:num>
  <w:num w:numId="15" w16cid:durableId="930242856">
    <w:abstractNumId w:val="10"/>
  </w:num>
  <w:num w:numId="16" w16cid:durableId="1553496683">
    <w:abstractNumId w:val="23"/>
  </w:num>
  <w:num w:numId="17" w16cid:durableId="41757093">
    <w:abstractNumId w:val="14"/>
  </w:num>
  <w:num w:numId="18" w16cid:durableId="1854685020">
    <w:abstractNumId w:val="26"/>
  </w:num>
  <w:num w:numId="19" w16cid:durableId="117771192">
    <w:abstractNumId w:val="27"/>
  </w:num>
  <w:num w:numId="20" w16cid:durableId="1000545046">
    <w:abstractNumId w:val="20"/>
  </w:num>
  <w:num w:numId="21" w16cid:durableId="240600299">
    <w:abstractNumId w:val="22"/>
  </w:num>
  <w:num w:numId="22" w16cid:durableId="1639190267">
    <w:abstractNumId w:val="15"/>
  </w:num>
  <w:num w:numId="23" w16cid:durableId="723724056">
    <w:abstractNumId w:val="28"/>
  </w:num>
  <w:num w:numId="24" w16cid:durableId="974917274">
    <w:abstractNumId w:val="13"/>
  </w:num>
  <w:num w:numId="25" w16cid:durableId="209807646">
    <w:abstractNumId w:val="19"/>
  </w:num>
  <w:num w:numId="26" w16cid:durableId="431164267">
    <w:abstractNumId w:val="18"/>
  </w:num>
  <w:num w:numId="27" w16cid:durableId="2080247241">
    <w:abstractNumId w:val="21"/>
  </w:num>
  <w:num w:numId="28" w16cid:durableId="554776207">
    <w:abstractNumId w:val="11"/>
  </w:num>
  <w:num w:numId="29" w16cid:durableId="27074109">
    <w:abstractNumId w:val="2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ctiveWritingStyle w:appName="MSWord" w:lang="da-DK" w:vendorID="64" w:dllVersion="0" w:nlCheck="1" w:checkStyle="0"/>
  <w:activeWritingStyle w:appName="MSWord" w:lang="en-AU" w:vendorID="64" w:dllVersion="0" w:nlCheck="1" w:checkStyle="0"/>
  <w:activeWritingStyle w:appName="MSWord" w:lang="zh-CN" w:vendorID="64" w:dllVersion="0" w:nlCheck="1" w:checkStyle="1"/>
  <w:proofState w:spelling="clean" w:grammar="clean"/>
  <w:defaultTabStop w:val="720"/>
  <w:characterSpacingControl w:val="doNotCompress"/>
  <w:hdrShapeDefaults>
    <o:shapedefaults v:ext="edit" spidmax="2050"/>
  </w:hdrShapeDefaults>
  <w:footnotePr>
    <w:numFmt w:val="lowerLetter"/>
    <w:numRestart w:val="eachPage"/>
    <w:footnote w:id="-1"/>
    <w:footnote w:id="0"/>
    <w:footnote w:id="1"/>
  </w:footnotePr>
  <w:endnotePr>
    <w:pos w:val="sectEnd"/>
    <w:numFmt w:val="decimal"/>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jU1NTeysDAyNDOxMDVX0lEKTi0uzszPAykwqgUAa5VofCwAAAA="/>
  </w:docVars>
  <w:rsids>
    <w:rsidRoot w:val="00BB0F79"/>
    <w:rsid w:val="000054C6"/>
    <w:rsid w:val="00020D96"/>
    <w:rsid w:val="00035643"/>
    <w:rsid w:val="000444E9"/>
    <w:rsid w:val="00073400"/>
    <w:rsid w:val="00087135"/>
    <w:rsid w:val="00096E94"/>
    <w:rsid w:val="000D32F4"/>
    <w:rsid w:val="000E178D"/>
    <w:rsid w:val="000F6B85"/>
    <w:rsid w:val="001076E6"/>
    <w:rsid w:val="00136B84"/>
    <w:rsid w:val="00146F19"/>
    <w:rsid w:val="00164EE7"/>
    <w:rsid w:val="001B33F8"/>
    <w:rsid w:val="001C5064"/>
    <w:rsid w:val="001E2B5D"/>
    <w:rsid w:val="001E4B7D"/>
    <w:rsid w:val="002051B6"/>
    <w:rsid w:val="00205693"/>
    <w:rsid w:val="002114BE"/>
    <w:rsid w:val="00213687"/>
    <w:rsid w:val="00223396"/>
    <w:rsid w:val="00226082"/>
    <w:rsid w:val="0023580D"/>
    <w:rsid w:val="00243178"/>
    <w:rsid w:val="002447A7"/>
    <w:rsid w:val="00267CD6"/>
    <w:rsid w:val="00273A9A"/>
    <w:rsid w:val="002B57B8"/>
    <w:rsid w:val="002B74A3"/>
    <w:rsid w:val="002E0CFF"/>
    <w:rsid w:val="00310DB0"/>
    <w:rsid w:val="00321B99"/>
    <w:rsid w:val="00324A98"/>
    <w:rsid w:val="0033019A"/>
    <w:rsid w:val="0037105B"/>
    <w:rsid w:val="00385DAD"/>
    <w:rsid w:val="00387D0C"/>
    <w:rsid w:val="003947F6"/>
    <w:rsid w:val="003966DE"/>
    <w:rsid w:val="003A4F75"/>
    <w:rsid w:val="003C0EEC"/>
    <w:rsid w:val="003C7098"/>
    <w:rsid w:val="003D583F"/>
    <w:rsid w:val="003D7810"/>
    <w:rsid w:val="003F2C8A"/>
    <w:rsid w:val="00400F42"/>
    <w:rsid w:val="00434962"/>
    <w:rsid w:val="00436F7F"/>
    <w:rsid w:val="00443AE6"/>
    <w:rsid w:val="004462EE"/>
    <w:rsid w:val="00481C8A"/>
    <w:rsid w:val="004904F3"/>
    <w:rsid w:val="00496ECB"/>
    <w:rsid w:val="004A0754"/>
    <w:rsid w:val="004D543C"/>
    <w:rsid w:val="005139AF"/>
    <w:rsid w:val="00521C17"/>
    <w:rsid w:val="005429A4"/>
    <w:rsid w:val="0055604D"/>
    <w:rsid w:val="00560D17"/>
    <w:rsid w:val="005777AB"/>
    <w:rsid w:val="005968F5"/>
    <w:rsid w:val="005C234D"/>
    <w:rsid w:val="005D2ABC"/>
    <w:rsid w:val="005E4045"/>
    <w:rsid w:val="00600653"/>
    <w:rsid w:val="00622209"/>
    <w:rsid w:val="00623B59"/>
    <w:rsid w:val="00635981"/>
    <w:rsid w:val="00644A7A"/>
    <w:rsid w:val="00652897"/>
    <w:rsid w:val="006D628A"/>
    <w:rsid w:val="007047AA"/>
    <w:rsid w:val="007151FC"/>
    <w:rsid w:val="00716C46"/>
    <w:rsid w:val="00716E05"/>
    <w:rsid w:val="00724879"/>
    <w:rsid w:val="00736429"/>
    <w:rsid w:val="007553DE"/>
    <w:rsid w:val="007F2C74"/>
    <w:rsid w:val="00803F58"/>
    <w:rsid w:val="008109E2"/>
    <w:rsid w:val="00844363"/>
    <w:rsid w:val="008453AB"/>
    <w:rsid w:val="00862463"/>
    <w:rsid w:val="00886D1D"/>
    <w:rsid w:val="0089331B"/>
    <w:rsid w:val="00896751"/>
    <w:rsid w:val="008A0F5A"/>
    <w:rsid w:val="008B2159"/>
    <w:rsid w:val="008D4CAF"/>
    <w:rsid w:val="00914135"/>
    <w:rsid w:val="00915F59"/>
    <w:rsid w:val="009458A5"/>
    <w:rsid w:val="009A0604"/>
    <w:rsid w:val="009A3989"/>
    <w:rsid w:val="009B21C8"/>
    <w:rsid w:val="009C40A9"/>
    <w:rsid w:val="009C506E"/>
    <w:rsid w:val="009D13B5"/>
    <w:rsid w:val="009F5F5D"/>
    <w:rsid w:val="00A25D68"/>
    <w:rsid w:val="00A4311D"/>
    <w:rsid w:val="00A564B6"/>
    <w:rsid w:val="00A72089"/>
    <w:rsid w:val="00A85986"/>
    <w:rsid w:val="00AB0054"/>
    <w:rsid w:val="00AD2EB1"/>
    <w:rsid w:val="00B01767"/>
    <w:rsid w:val="00B12499"/>
    <w:rsid w:val="00B53418"/>
    <w:rsid w:val="00B53928"/>
    <w:rsid w:val="00B72183"/>
    <w:rsid w:val="00B936AB"/>
    <w:rsid w:val="00B94327"/>
    <w:rsid w:val="00BA17F8"/>
    <w:rsid w:val="00BA245E"/>
    <w:rsid w:val="00BA271C"/>
    <w:rsid w:val="00BB0F79"/>
    <w:rsid w:val="00BB73EC"/>
    <w:rsid w:val="00BC481B"/>
    <w:rsid w:val="00BD333A"/>
    <w:rsid w:val="00BE6362"/>
    <w:rsid w:val="00C01B43"/>
    <w:rsid w:val="00C03E83"/>
    <w:rsid w:val="00C32151"/>
    <w:rsid w:val="00C32CA3"/>
    <w:rsid w:val="00C65CC1"/>
    <w:rsid w:val="00CB2CB2"/>
    <w:rsid w:val="00CF3EA8"/>
    <w:rsid w:val="00D04442"/>
    <w:rsid w:val="00D41D52"/>
    <w:rsid w:val="00D64678"/>
    <w:rsid w:val="00DA2B0E"/>
    <w:rsid w:val="00DA3472"/>
    <w:rsid w:val="00DD402E"/>
    <w:rsid w:val="00DF1188"/>
    <w:rsid w:val="00E746D2"/>
    <w:rsid w:val="00E747C5"/>
    <w:rsid w:val="00E82B55"/>
    <w:rsid w:val="00E862DA"/>
    <w:rsid w:val="00EA1353"/>
    <w:rsid w:val="00EA557D"/>
    <w:rsid w:val="00EC18D1"/>
    <w:rsid w:val="00F001A2"/>
    <w:rsid w:val="00F7665F"/>
    <w:rsid w:val="00FD5EB5"/>
    <w:rsid w:val="0117A9D6"/>
    <w:rsid w:val="028142E9"/>
    <w:rsid w:val="03D4ABAD"/>
    <w:rsid w:val="06BE3C11"/>
    <w:rsid w:val="0709716C"/>
    <w:rsid w:val="08A0F6C3"/>
    <w:rsid w:val="0A3B4110"/>
    <w:rsid w:val="0AB8D3A7"/>
    <w:rsid w:val="0E4737D3"/>
    <w:rsid w:val="1064E0A1"/>
    <w:rsid w:val="1087E0AF"/>
    <w:rsid w:val="10F6E36C"/>
    <w:rsid w:val="156A9C78"/>
    <w:rsid w:val="184C701B"/>
    <w:rsid w:val="1940166A"/>
    <w:rsid w:val="1B02901C"/>
    <w:rsid w:val="1B948677"/>
    <w:rsid w:val="1D3AEBAB"/>
    <w:rsid w:val="1F8877EE"/>
    <w:rsid w:val="213BFE0E"/>
    <w:rsid w:val="24ACC7F5"/>
    <w:rsid w:val="2886E98A"/>
    <w:rsid w:val="2B18BABD"/>
    <w:rsid w:val="2B195D01"/>
    <w:rsid w:val="2D4E57DD"/>
    <w:rsid w:val="2D68D830"/>
    <w:rsid w:val="30792202"/>
    <w:rsid w:val="3A410DAD"/>
    <w:rsid w:val="3EFA6903"/>
    <w:rsid w:val="402771AB"/>
    <w:rsid w:val="42519D13"/>
    <w:rsid w:val="42690533"/>
    <w:rsid w:val="4443717E"/>
    <w:rsid w:val="44637749"/>
    <w:rsid w:val="462CFBEB"/>
    <w:rsid w:val="466D0F06"/>
    <w:rsid w:val="467C8F64"/>
    <w:rsid w:val="46ABD3D3"/>
    <w:rsid w:val="474A29B4"/>
    <w:rsid w:val="48C49784"/>
    <w:rsid w:val="4A469D5E"/>
    <w:rsid w:val="4BD53E53"/>
    <w:rsid w:val="4C04AC7F"/>
    <w:rsid w:val="4DD0C7D2"/>
    <w:rsid w:val="50C6D705"/>
    <w:rsid w:val="52CFAC15"/>
    <w:rsid w:val="54E3B98C"/>
    <w:rsid w:val="54E3DC5C"/>
    <w:rsid w:val="553F0E03"/>
    <w:rsid w:val="55F5044B"/>
    <w:rsid w:val="56171F1A"/>
    <w:rsid w:val="5A3467D2"/>
    <w:rsid w:val="5D5EB373"/>
    <w:rsid w:val="5F3EF133"/>
    <w:rsid w:val="64291B4D"/>
    <w:rsid w:val="64443108"/>
    <w:rsid w:val="645A3120"/>
    <w:rsid w:val="682E32A9"/>
    <w:rsid w:val="69285A15"/>
    <w:rsid w:val="6A4204AE"/>
    <w:rsid w:val="6B6A28E5"/>
    <w:rsid w:val="6CCD34BF"/>
    <w:rsid w:val="6E861725"/>
    <w:rsid w:val="6EB41F34"/>
    <w:rsid w:val="70104A8D"/>
    <w:rsid w:val="70B1C80F"/>
    <w:rsid w:val="731B7667"/>
    <w:rsid w:val="745448F2"/>
    <w:rsid w:val="7AD2FBD1"/>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78EC3EB"/>
  <w15:docId w15:val="{A6ED9EE6-75A7-4F51-9398-01C2F6E03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D1D"/>
    <w:pPr>
      <w:spacing w:before="120" w:after="120"/>
    </w:pPr>
    <w:rPr>
      <w:rFonts w:ascii="Tenorite" w:hAnsi="Tenorite"/>
      <w:lang w:eastAsia="en-AU"/>
    </w:rPr>
  </w:style>
  <w:style w:type="paragraph" w:styleId="Heading1">
    <w:name w:val="heading 1"/>
    <w:basedOn w:val="Normal"/>
    <w:next w:val="Normal"/>
    <w:link w:val="Heading1Char"/>
    <w:uiPriority w:val="2"/>
    <w:qFormat/>
    <w:rsid w:val="00AB0054"/>
    <w:pPr>
      <w:keepNext/>
      <w:keepLines/>
      <w:spacing w:line="276" w:lineRule="auto"/>
      <w:outlineLvl w:val="0"/>
    </w:pPr>
    <w:rPr>
      <w:rFonts w:eastAsiaTheme="majorEastAsia" w:cstheme="majorBidi"/>
      <w:b/>
      <w:color w:val="274653" w:themeColor="text2"/>
      <w:sz w:val="48"/>
      <w:szCs w:val="48"/>
    </w:rPr>
  </w:style>
  <w:style w:type="paragraph" w:styleId="Heading2">
    <w:name w:val="heading 2"/>
    <w:basedOn w:val="Normal"/>
    <w:next w:val="Normal"/>
    <w:link w:val="Heading2Char"/>
    <w:uiPriority w:val="3"/>
    <w:qFormat/>
    <w:rsid w:val="009D13B5"/>
    <w:pPr>
      <w:spacing w:line="276" w:lineRule="auto"/>
      <w:outlineLvl w:val="1"/>
    </w:pPr>
    <w:rPr>
      <w:bCs/>
      <w:color w:val="274653" w:themeColor="text2"/>
      <w:sz w:val="36"/>
      <w:szCs w:val="36"/>
    </w:rPr>
  </w:style>
  <w:style w:type="paragraph" w:styleId="Heading3">
    <w:name w:val="heading 3"/>
    <w:basedOn w:val="Normal"/>
    <w:next w:val="Normal"/>
    <w:link w:val="Heading3Char"/>
    <w:autoRedefine/>
    <w:uiPriority w:val="4"/>
    <w:qFormat/>
    <w:rsid w:val="00AB0054"/>
    <w:pPr>
      <w:keepNext/>
      <w:keepLines/>
      <w:spacing w:line="276" w:lineRule="auto"/>
      <w:outlineLvl w:val="2"/>
    </w:pPr>
    <w:rPr>
      <w:rFonts w:eastAsiaTheme="majorEastAsia" w:cstheme="majorBidi"/>
      <w:b/>
      <w:bCs/>
      <w:color w:val="274653" w:themeColor="text2"/>
      <w:sz w:val="28"/>
      <w:szCs w:val="28"/>
    </w:rPr>
  </w:style>
  <w:style w:type="paragraph" w:styleId="Heading4">
    <w:name w:val="heading 4"/>
    <w:basedOn w:val="Normal"/>
    <w:next w:val="Normal"/>
    <w:link w:val="Heading4Char"/>
    <w:uiPriority w:val="5"/>
    <w:qFormat/>
    <w:rsid w:val="00AB0054"/>
    <w:pPr>
      <w:keepNext/>
      <w:keepLines/>
      <w:spacing w:before="40"/>
      <w:outlineLvl w:val="3"/>
    </w:pPr>
    <w:rPr>
      <w:rFonts w:eastAsiaTheme="majorEastAsia" w:cstheme="majorBidi"/>
      <w:i/>
      <w:iCs/>
      <w:color w:val="274653" w:themeColor="text2"/>
      <w:sz w:val="24"/>
      <w:szCs w:val="24"/>
    </w:rPr>
  </w:style>
  <w:style w:type="paragraph" w:styleId="Heading5">
    <w:name w:val="heading 5"/>
    <w:basedOn w:val="Normal"/>
    <w:next w:val="Normal"/>
    <w:link w:val="Heading5Char"/>
    <w:uiPriority w:val="9"/>
    <w:unhideWhenUsed/>
    <w:qFormat/>
    <w:rsid w:val="00AB0054"/>
    <w:pPr>
      <w:keepNext/>
      <w:keepLines/>
      <w:spacing w:before="40"/>
      <w:outlineLvl w:val="4"/>
    </w:pPr>
    <w:rPr>
      <w:rFonts w:eastAsiaTheme="majorEastAsia" w:cstheme="majorBidi"/>
      <w:b/>
      <w:bCs/>
      <w:color w:val="274653" w:themeColor="text2"/>
    </w:rPr>
  </w:style>
  <w:style w:type="paragraph" w:styleId="Heading6">
    <w:name w:val="heading 6"/>
    <w:basedOn w:val="Normal"/>
    <w:next w:val="Normal"/>
    <w:link w:val="Heading6Char"/>
    <w:uiPriority w:val="9"/>
    <w:unhideWhenUsed/>
    <w:qFormat/>
    <w:rsid w:val="00AB0054"/>
    <w:pPr>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9A0604"/>
    <w:rPr>
      <w:rFonts w:ascii="Tenorite" w:eastAsiaTheme="majorEastAsia" w:hAnsi="Tenorite" w:cstheme="majorBidi"/>
      <w:b/>
      <w:color w:val="274653" w:themeColor="text2"/>
      <w:sz w:val="48"/>
      <w:szCs w:val="48"/>
      <w:lang w:eastAsia="en-AU"/>
    </w:rPr>
  </w:style>
  <w:style w:type="character" w:customStyle="1" w:styleId="Heading2Char">
    <w:name w:val="Heading 2 Char"/>
    <w:basedOn w:val="DefaultParagraphFont"/>
    <w:link w:val="Heading2"/>
    <w:uiPriority w:val="3"/>
    <w:rsid w:val="009A0604"/>
    <w:rPr>
      <w:rFonts w:ascii="Tenorite" w:hAnsi="Tenorite"/>
      <w:bCs/>
      <w:color w:val="274653" w:themeColor="text2"/>
      <w:sz w:val="36"/>
      <w:szCs w:val="36"/>
      <w:lang w:eastAsia="en-AU"/>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EndnoteText">
    <w:name w:val="endnote text"/>
    <w:basedOn w:val="Normal"/>
    <w:link w:val="EndnoteTextChar"/>
    <w:uiPriority w:val="99"/>
    <w:unhideWhenUsed/>
    <w:pPr>
      <w:spacing w:after="0" w:line="240" w:lineRule="auto"/>
    </w:pPr>
    <w:rPr>
      <w:rFonts w:ascii="Calibri" w:hAnsi="Calibri" w:cs="Times New Roman"/>
      <w:sz w:val="20"/>
      <w:szCs w:val="20"/>
      <w:lang w:eastAsia="en-US"/>
    </w:rPr>
  </w:style>
  <w:style w:type="character" w:customStyle="1" w:styleId="EndnoteTextChar">
    <w:name w:val="Endnote Text Char"/>
    <w:basedOn w:val="DefaultParagraphFont"/>
    <w:link w:val="EndnoteText"/>
    <w:uiPriority w:val="99"/>
    <w:rPr>
      <w:rFonts w:ascii="Calibri" w:hAnsi="Calibri" w:cs="Times New Roman"/>
      <w:sz w:val="20"/>
      <w:szCs w:val="20"/>
      <w:lang w:eastAsia="en-US"/>
    </w:rPr>
  </w:style>
  <w:style w:type="character" w:styleId="EndnoteReference">
    <w:name w:val="endnote reference"/>
    <w:basedOn w:val="DefaultParagraphFont"/>
    <w:uiPriority w:val="99"/>
    <w:unhideWhenUsed/>
    <w:rPr>
      <w:vertAlign w:val="superscript"/>
    </w:rPr>
  </w:style>
  <w:style w:type="character" w:styleId="Hyperlink">
    <w:name w:val="Hyperlink"/>
    <w:basedOn w:val="DefaultParagraphFont"/>
    <w:uiPriority w:val="99"/>
    <w:unhideWhenUsed/>
    <w:rPr>
      <w:color w:val="0563C1" w:themeColor="hyperlink"/>
      <w:u w:val="single"/>
    </w:rPr>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unhideWhenUsed/>
    <w:rPr>
      <w:vertAlign w:val="superscript"/>
    </w:rPr>
  </w:style>
  <w:style w:type="paragraph" w:styleId="Title">
    <w:name w:val="Title"/>
    <w:basedOn w:val="Normal"/>
    <w:next w:val="Normal"/>
    <w:link w:val="TitleChar"/>
    <w:uiPriority w:val="7"/>
    <w:rsid w:val="00481C8A"/>
    <w:pPr>
      <w:spacing w:before="8400" w:after="0" w:line="216" w:lineRule="auto"/>
    </w:pPr>
    <w:rPr>
      <w:b/>
      <w:bCs/>
      <w:color w:val="FFFFFF" w:themeColor="background1"/>
      <w:sz w:val="76"/>
      <w:szCs w:val="76"/>
    </w:rPr>
  </w:style>
  <w:style w:type="table" w:styleId="TableGrid">
    <w:name w:val="Table Grid"/>
    <w:basedOn w:val="TableNormal"/>
    <w:uiPriority w:val="5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rFonts w:eastAsiaTheme="minorHAnsi"/>
      <w:sz w:val="20"/>
      <w:szCs w:val="20"/>
      <w:lang w:eastAsia="en-US"/>
    </w:rPr>
  </w:style>
  <w:style w:type="character" w:customStyle="1" w:styleId="CommentTextChar">
    <w:name w:val="Comment Text Char"/>
    <w:basedOn w:val="DefaultParagraphFont"/>
    <w:link w:val="CommentText"/>
    <w:uiPriority w:val="99"/>
    <w:rPr>
      <w:rFonts w:eastAsiaTheme="minorHAnsi"/>
      <w:sz w:val="20"/>
      <w:szCs w:val="20"/>
      <w:lang w:eastAsia="en-US"/>
    </w:rPr>
  </w:style>
  <w:style w:type="table" w:styleId="LightShading-Accent5">
    <w:name w:val="Light Shading Accent 5"/>
    <w:basedOn w:val="TableNormal"/>
    <w:uiPriority w:val="60"/>
    <w:pPr>
      <w:spacing w:after="0" w:line="240" w:lineRule="auto"/>
    </w:pPr>
    <w:rPr>
      <w:rFonts w:eastAsiaTheme="minorHAnsi"/>
      <w:color w:val="464786" w:themeColor="accent5" w:themeShade="BF"/>
      <w:lang w:eastAsia="en-US"/>
    </w:rPr>
    <w:tblPr>
      <w:tblStyleRowBandSize w:val="1"/>
      <w:tblStyleColBandSize w:val="1"/>
      <w:tblBorders>
        <w:top w:val="single" w:sz="8" w:space="0" w:color="6465AE" w:themeColor="accent5"/>
        <w:bottom w:val="single" w:sz="8" w:space="0" w:color="6465AE" w:themeColor="accent5"/>
      </w:tblBorders>
    </w:tblPr>
    <w:tblStylePr w:type="firstRow">
      <w:pPr>
        <w:spacing w:before="0" w:after="0" w:line="240" w:lineRule="auto"/>
      </w:pPr>
      <w:rPr>
        <w:b/>
        <w:bCs/>
      </w:rPr>
      <w:tblPr/>
      <w:tcPr>
        <w:tcBorders>
          <w:top w:val="single" w:sz="8" w:space="0" w:color="6465AE" w:themeColor="accent5"/>
          <w:left w:val="nil"/>
          <w:bottom w:val="single" w:sz="8" w:space="0" w:color="6465AE" w:themeColor="accent5"/>
          <w:right w:val="nil"/>
          <w:insideH w:val="nil"/>
          <w:insideV w:val="nil"/>
        </w:tcBorders>
      </w:tcPr>
    </w:tblStylePr>
    <w:tblStylePr w:type="lastRow">
      <w:pPr>
        <w:spacing w:before="0" w:after="0" w:line="240" w:lineRule="auto"/>
      </w:pPr>
      <w:rPr>
        <w:b/>
        <w:bCs/>
      </w:rPr>
      <w:tblPr/>
      <w:tcPr>
        <w:tcBorders>
          <w:top w:val="single" w:sz="8" w:space="0" w:color="6465AE" w:themeColor="accent5"/>
          <w:left w:val="nil"/>
          <w:bottom w:val="single" w:sz="8" w:space="0" w:color="6465A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8EB" w:themeFill="accent5" w:themeFillTint="3F"/>
      </w:tcPr>
    </w:tblStylePr>
    <w:tblStylePr w:type="band1Horz">
      <w:tblPr/>
      <w:tcPr>
        <w:tcBorders>
          <w:left w:val="nil"/>
          <w:right w:val="nil"/>
          <w:insideH w:val="nil"/>
          <w:insideV w:val="nil"/>
        </w:tcBorders>
        <w:shd w:val="clear" w:color="auto" w:fill="D8D8EB" w:themeFill="accent5" w:themeFillTint="3F"/>
      </w:tcPr>
    </w:tblStylePr>
  </w:style>
  <w:style w:type="character" w:customStyle="1" w:styleId="TitleChar">
    <w:name w:val="Title Char"/>
    <w:basedOn w:val="DefaultParagraphFont"/>
    <w:link w:val="Title"/>
    <w:uiPriority w:val="7"/>
    <w:rsid w:val="00886D1D"/>
    <w:rPr>
      <w:rFonts w:ascii="Tenorite" w:hAnsi="Tenorite"/>
      <w:b/>
      <w:bCs/>
      <w:color w:val="FFFFFF" w:themeColor="background1"/>
      <w:sz w:val="76"/>
      <w:szCs w:val="76"/>
      <w:lang w:eastAsia="en-AU"/>
    </w:rPr>
  </w:style>
  <w:style w:type="character" w:styleId="FollowedHyperlink">
    <w:name w:val="FollowedHyperlink"/>
    <w:basedOn w:val="DefaultParagraphFont"/>
    <w:uiPriority w:val="99"/>
    <w:semiHidden/>
    <w:unhideWhenUsed/>
    <w:rPr>
      <w:color w:val="413061" w:themeColor="followedHyperlink"/>
      <w:u w:val="single"/>
    </w:rPr>
  </w:style>
  <w:style w:type="paragraph" w:styleId="CommentSubject">
    <w:name w:val="annotation subject"/>
    <w:basedOn w:val="CommentText"/>
    <w:next w:val="CommentText"/>
    <w:link w:val="CommentSubjectChar"/>
    <w:uiPriority w:val="99"/>
    <w:semiHidden/>
    <w:unhideWhenUsed/>
    <w:rPr>
      <w:rFonts w:eastAsiaTheme="minorEastAsia"/>
      <w:b/>
      <w:bCs/>
      <w:lang w:eastAsia="zh-TW"/>
    </w:rPr>
  </w:style>
  <w:style w:type="character" w:customStyle="1" w:styleId="CommentSubjectChar">
    <w:name w:val="Comment Subject Char"/>
    <w:basedOn w:val="CommentTextChar"/>
    <w:link w:val="CommentSubject"/>
    <w:uiPriority w:val="99"/>
    <w:semiHidden/>
    <w:rPr>
      <w:rFonts w:eastAsiaTheme="minorHAnsi"/>
      <w:b/>
      <w:bCs/>
      <w:sz w:val="20"/>
      <w:szCs w:val="20"/>
      <w:lang w:eastAsia="en-US"/>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pPr>
      <w:spacing w:before="240" w:line="259" w:lineRule="auto"/>
      <w:outlineLvl w:val="9"/>
    </w:pPr>
    <w:rPr>
      <w:b w:val="0"/>
      <w:color w:val="464786" w:themeColor="accent1" w:themeShade="BF"/>
      <w:lang w:val="en-US" w:eastAsia="en-US"/>
    </w:rPr>
  </w:style>
  <w:style w:type="paragraph" w:styleId="TOC1">
    <w:name w:val="toc 1"/>
    <w:basedOn w:val="Normal"/>
    <w:next w:val="Normal"/>
    <w:autoRedefine/>
    <w:uiPriority w:val="39"/>
    <w:unhideWhenUsed/>
    <w:rsid w:val="002E0CFF"/>
    <w:pPr>
      <w:tabs>
        <w:tab w:val="right" w:pos="9498"/>
      </w:tabs>
      <w:spacing w:before="60" w:after="60"/>
    </w:pPr>
  </w:style>
  <w:style w:type="paragraph" w:styleId="TOC2">
    <w:name w:val="toc 2"/>
    <w:basedOn w:val="Normal"/>
    <w:next w:val="Normal"/>
    <w:autoRedefine/>
    <w:uiPriority w:val="39"/>
    <w:unhideWhenUsed/>
    <w:rsid w:val="002E0CFF"/>
    <w:pPr>
      <w:tabs>
        <w:tab w:val="right" w:pos="9498"/>
      </w:tabs>
      <w:spacing w:before="60" w:after="60"/>
      <w:ind w:left="220"/>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PageNumber">
    <w:name w:val="page number"/>
    <w:basedOn w:val="DefaultParagraphFont"/>
    <w:uiPriority w:val="99"/>
    <w:semiHidden/>
    <w:unhideWhenUsed/>
  </w:style>
  <w:style w:type="paragraph" w:styleId="Revision">
    <w:name w:val="Revision"/>
    <w:hidden/>
    <w:uiPriority w:val="99"/>
    <w:semiHidden/>
    <w:pPr>
      <w:spacing w:after="0" w:line="240" w:lineRule="auto"/>
    </w:pPr>
  </w:style>
  <w:style w:type="paragraph" w:styleId="Subtitle">
    <w:name w:val="Subtitle"/>
    <w:basedOn w:val="Normal"/>
    <w:next w:val="Normal"/>
    <w:link w:val="SubtitleChar"/>
    <w:uiPriority w:val="7"/>
    <w:rsid w:val="0037105B"/>
    <w:pPr>
      <w:spacing w:before="400" w:after="0" w:line="216" w:lineRule="auto"/>
    </w:pPr>
    <w:rPr>
      <w:color w:val="FFFFFF" w:themeColor="background1"/>
      <w:sz w:val="40"/>
      <w:szCs w:val="40"/>
    </w:rPr>
  </w:style>
  <w:style w:type="character" w:customStyle="1" w:styleId="SubtitleChar">
    <w:name w:val="Subtitle Char"/>
    <w:basedOn w:val="DefaultParagraphFont"/>
    <w:link w:val="Subtitle"/>
    <w:uiPriority w:val="7"/>
    <w:rsid w:val="009A0604"/>
    <w:rPr>
      <w:rFonts w:ascii="Tenorite" w:hAnsi="Tenorite"/>
      <w:color w:val="FFFFFF" w:themeColor="background1"/>
      <w:sz w:val="40"/>
      <w:szCs w:val="40"/>
      <w:lang w:eastAsia="en-AU"/>
    </w:rPr>
  </w:style>
  <w:style w:type="paragraph" w:styleId="ListParagraph">
    <w:name w:val="List Paragraph"/>
    <w:basedOn w:val="Normal"/>
    <w:uiPriority w:val="34"/>
    <w:qFormat/>
    <w:rsid w:val="002E0CFF"/>
    <w:pPr>
      <w:spacing w:before="60" w:after="60"/>
      <w:ind w:left="720"/>
    </w:pPr>
  </w:style>
  <w:style w:type="table" w:customStyle="1" w:styleId="GridTable4-Accent11">
    <w:name w:val="Grid Table 4 - Accent 11"/>
    <w:basedOn w:val="TableNormal"/>
    <w:uiPriority w:val="49"/>
    <w:pPr>
      <w:spacing w:after="0" w:line="240" w:lineRule="auto"/>
    </w:pPr>
    <w:tblPr>
      <w:tblStyleRowBandSize w:val="1"/>
      <w:tblStyleColBandSize w:val="1"/>
      <w:tblBorders>
        <w:top w:val="single" w:sz="4" w:space="0" w:color="A1A2CE" w:themeColor="accent1" w:themeTint="99"/>
        <w:left w:val="single" w:sz="4" w:space="0" w:color="A1A2CE" w:themeColor="accent1" w:themeTint="99"/>
        <w:bottom w:val="single" w:sz="4" w:space="0" w:color="A1A2CE" w:themeColor="accent1" w:themeTint="99"/>
        <w:right w:val="single" w:sz="4" w:space="0" w:color="A1A2CE" w:themeColor="accent1" w:themeTint="99"/>
        <w:insideH w:val="single" w:sz="4" w:space="0" w:color="A1A2CE" w:themeColor="accent1" w:themeTint="99"/>
        <w:insideV w:val="single" w:sz="4" w:space="0" w:color="A1A2CE" w:themeColor="accent1" w:themeTint="99"/>
      </w:tblBorders>
    </w:tblPr>
    <w:tblStylePr w:type="firstRow">
      <w:rPr>
        <w:b/>
        <w:bCs/>
        <w:color w:val="FFFFFF" w:themeColor="background1"/>
      </w:rPr>
      <w:tblPr/>
      <w:tcPr>
        <w:tcBorders>
          <w:top w:val="single" w:sz="4" w:space="0" w:color="6465AE" w:themeColor="accent1"/>
          <w:left w:val="single" w:sz="4" w:space="0" w:color="6465AE" w:themeColor="accent1"/>
          <w:bottom w:val="single" w:sz="4" w:space="0" w:color="6465AE" w:themeColor="accent1"/>
          <w:right w:val="single" w:sz="4" w:space="0" w:color="6465AE" w:themeColor="accent1"/>
          <w:insideH w:val="nil"/>
          <w:insideV w:val="nil"/>
        </w:tcBorders>
        <w:shd w:val="clear" w:color="auto" w:fill="6465AE" w:themeFill="accent1"/>
      </w:tcPr>
    </w:tblStylePr>
    <w:tblStylePr w:type="lastRow">
      <w:rPr>
        <w:b/>
        <w:bCs/>
      </w:rPr>
      <w:tblPr/>
      <w:tcPr>
        <w:tcBorders>
          <w:top w:val="double" w:sz="4" w:space="0" w:color="6465AE" w:themeColor="accent1"/>
        </w:tcBorders>
      </w:tcPr>
    </w:tblStylePr>
    <w:tblStylePr w:type="firstCol">
      <w:rPr>
        <w:b/>
        <w:bCs/>
      </w:rPr>
    </w:tblStylePr>
    <w:tblStylePr w:type="lastCol">
      <w:rPr>
        <w:b/>
        <w:bCs/>
      </w:rPr>
    </w:tblStylePr>
    <w:tblStylePr w:type="band1Vert">
      <w:tblPr/>
      <w:tcPr>
        <w:shd w:val="clear" w:color="auto" w:fill="DFE0EE" w:themeFill="accent1" w:themeFillTint="33"/>
      </w:tcPr>
    </w:tblStylePr>
    <w:tblStylePr w:type="band1Horz">
      <w:tblPr/>
      <w:tcPr>
        <w:shd w:val="clear" w:color="auto" w:fill="DFE0EE" w:themeFill="accent1" w:themeFillTint="33"/>
      </w:tcPr>
    </w:tblStylePr>
  </w:style>
  <w:style w:type="table" w:customStyle="1" w:styleId="GridTable5Dark-Accent31">
    <w:name w:val="Grid Table 5 Dark - Accent 3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DDE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465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465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465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4653" w:themeFill="accent3"/>
      </w:tcPr>
    </w:tblStylePr>
    <w:tblStylePr w:type="band1Vert">
      <w:tblPr/>
      <w:tcPr>
        <w:shd w:val="clear" w:color="auto" w:fill="95BCCD" w:themeFill="accent3" w:themeFillTint="66"/>
      </w:tcPr>
    </w:tblStylePr>
    <w:tblStylePr w:type="band1Horz">
      <w:tblPr/>
      <w:tcPr>
        <w:shd w:val="clear" w:color="auto" w:fill="95BCCD" w:themeFill="accent3" w:themeFillTint="66"/>
      </w:tcPr>
    </w:tblStylePr>
  </w:style>
  <w:style w:type="character" w:customStyle="1" w:styleId="Heading3Char">
    <w:name w:val="Heading 3 Char"/>
    <w:basedOn w:val="DefaultParagraphFont"/>
    <w:link w:val="Heading3"/>
    <w:uiPriority w:val="4"/>
    <w:rsid w:val="009A0604"/>
    <w:rPr>
      <w:rFonts w:ascii="Tenorite" w:eastAsiaTheme="majorEastAsia" w:hAnsi="Tenorite" w:cstheme="majorBidi"/>
      <w:b/>
      <w:bCs/>
      <w:color w:val="274653" w:themeColor="text2"/>
      <w:sz w:val="28"/>
      <w:szCs w:val="28"/>
      <w:lang w:eastAsia="en-AU"/>
    </w:rPr>
  </w:style>
  <w:style w:type="paragraph" w:styleId="TOC3">
    <w:name w:val="toc 3"/>
    <w:basedOn w:val="Normal"/>
    <w:next w:val="Normal"/>
    <w:autoRedefine/>
    <w:uiPriority w:val="39"/>
    <w:unhideWhenUsed/>
    <w:rsid w:val="002E0CFF"/>
    <w:pPr>
      <w:tabs>
        <w:tab w:val="right" w:pos="9498"/>
      </w:tabs>
      <w:spacing w:before="60" w:after="60"/>
      <w:ind w:left="440"/>
    </w:pPr>
  </w:style>
  <w:style w:type="table" w:styleId="ListTable4-Accent3">
    <w:name w:val="List Table 4 Accent 3"/>
    <w:basedOn w:val="TableNormal"/>
    <w:uiPriority w:val="49"/>
    <w:pPr>
      <w:spacing w:after="0" w:line="240" w:lineRule="auto"/>
    </w:pPr>
    <w:tblPr>
      <w:tblStyleRowBandSize w:val="1"/>
      <w:tblStyleColBandSize w:val="1"/>
      <w:tblBorders>
        <w:top w:val="single" w:sz="4" w:space="0" w:color="609BB4" w:themeColor="accent3" w:themeTint="99"/>
        <w:left w:val="single" w:sz="4" w:space="0" w:color="609BB4" w:themeColor="accent3" w:themeTint="99"/>
        <w:bottom w:val="single" w:sz="4" w:space="0" w:color="609BB4" w:themeColor="accent3" w:themeTint="99"/>
        <w:right w:val="single" w:sz="4" w:space="0" w:color="609BB4" w:themeColor="accent3" w:themeTint="99"/>
        <w:insideH w:val="single" w:sz="4" w:space="0" w:color="609BB4" w:themeColor="accent3" w:themeTint="99"/>
      </w:tblBorders>
    </w:tblPr>
    <w:tblStylePr w:type="firstRow">
      <w:rPr>
        <w:b/>
        <w:bCs/>
        <w:color w:val="FFFFFF" w:themeColor="background1"/>
      </w:rPr>
      <w:tblPr/>
      <w:tcPr>
        <w:tcBorders>
          <w:top w:val="single" w:sz="4" w:space="0" w:color="274653" w:themeColor="accent3"/>
          <w:left w:val="single" w:sz="4" w:space="0" w:color="274653" w:themeColor="accent3"/>
          <w:bottom w:val="single" w:sz="4" w:space="0" w:color="274653" w:themeColor="accent3"/>
          <w:right w:val="single" w:sz="4" w:space="0" w:color="274653" w:themeColor="accent3"/>
          <w:insideH w:val="nil"/>
        </w:tcBorders>
        <w:shd w:val="clear" w:color="auto" w:fill="274653" w:themeFill="accent3"/>
      </w:tcPr>
    </w:tblStylePr>
    <w:tblStylePr w:type="lastRow">
      <w:rPr>
        <w:b/>
        <w:bCs/>
      </w:rPr>
      <w:tblPr/>
      <w:tcPr>
        <w:tcBorders>
          <w:top w:val="double" w:sz="4" w:space="0" w:color="609BB4" w:themeColor="accent3" w:themeTint="99"/>
        </w:tcBorders>
      </w:tcPr>
    </w:tblStylePr>
    <w:tblStylePr w:type="firstCol">
      <w:rPr>
        <w:b/>
        <w:bCs/>
      </w:rPr>
    </w:tblStylePr>
    <w:tblStylePr w:type="lastCol">
      <w:rPr>
        <w:b/>
        <w:bCs/>
      </w:rPr>
    </w:tblStylePr>
    <w:tblStylePr w:type="band1Vert">
      <w:tblPr/>
      <w:tcPr>
        <w:shd w:val="clear" w:color="auto" w:fill="CADDE6" w:themeFill="accent3" w:themeFillTint="33"/>
      </w:tcPr>
    </w:tblStylePr>
    <w:tblStylePr w:type="band1Horz">
      <w:tblPr/>
      <w:tcPr>
        <w:shd w:val="clear" w:color="auto" w:fill="CADDE6" w:themeFill="accent3" w:themeFillTint="33"/>
      </w:tcPr>
    </w:tblStylePr>
  </w:style>
  <w:style w:type="table" w:customStyle="1" w:styleId="ListTable4-Accent31">
    <w:name w:val="List Table 4 - Accent 31"/>
    <w:basedOn w:val="TableNormal"/>
    <w:uiPriority w:val="49"/>
    <w:rsid w:val="00E82B55"/>
    <w:pPr>
      <w:spacing w:after="0" w:line="240" w:lineRule="auto"/>
    </w:pPr>
    <w:tblPr>
      <w:tblStyleRowBandSize w:val="1"/>
      <w:tblStyleColBandSize w:val="1"/>
      <w:tblBorders>
        <w:top w:val="single" w:sz="4" w:space="0" w:color="609BB4" w:themeColor="accent3" w:themeTint="99"/>
        <w:left w:val="single" w:sz="4" w:space="0" w:color="609BB4" w:themeColor="accent3" w:themeTint="99"/>
        <w:bottom w:val="single" w:sz="4" w:space="0" w:color="609BB4" w:themeColor="accent3" w:themeTint="99"/>
        <w:right w:val="single" w:sz="4" w:space="0" w:color="609BB4" w:themeColor="accent3" w:themeTint="99"/>
        <w:insideH w:val="single" w:sz="4" w:space="0" w:color="609BB4" w:themeColor="accent3" w:themeTint="99"/>
      </w:tblBorders>
    </w:tblPr>
    <w:tblStylePr w:type="firstRow">
      <w:rPr>
        <w:b/>
        <w:bCs/>
        <w:color w:val="FFFFFF" w:themeColor="background1"/>
      </w:rPr>
      <w:tblPr/>
      <w:tcPr>
        <w:tcBorders>
          <w:top w:val="single" w:sz="4" w:space="0" w:color="274653" w:themeColor="accent3"/>
          <w:left w:val="single" w:sz="4" w:space="0" w:color="274653" w:themeColor="accent3"/>
          <w:bottom w:val="single" w:sz="4" w:space="0" w:color="274653" w:themeColor="accent3"/>
          <w:right w:val="single" w:sz="4" w:space="0" w:color="274653" w:themeColor="accent3"/>
          <w:insideH w:val="nil"/>
        </w:tcBorders>
        <w:shd w:val="clear" w:color="auto" w:fill="274653" w:themeFill="accent3"/>
      </w:tcPr>
    </w:tblStylePr>
    <w:tblStylePr w:type="lastRow">
      <w:rPr>
        <w:b/>
        <w:bCs/>
      </w:rPr>
      <w:tblPr/>
      <w:tcPr>
        <w:tcBorders>
          <w:top w:val="double" w:sz="4" w:space="0" w:color="609BB4" w:themeColor="accent3" w:themeTint="99"/>
        </w:tcBorders>
      </w:tcPr>
    </w:tblStylePr>
    <w:tblStylePr w:type="firstCol">
      <w:rPr>
        <w:b/>
        <w:bCs/>
      </w:rPr>
    </w:tblStylePr>
    <w:tblStylePr w:type="lastCol">
      <w:rPr>
        <w:b/>
        <w:bCs/>
      </w:rPr>
    </w:tblStylePr>
    <w:tblStylePr w:type="band1Vert">
      <w:tblPr/>
      <w:tcPr>
        <w:shd w:val="clear" w:color="auto" w:fill="CADDE6" w:themeFill="accent3" w:themeFillTint="33"/>
      </w:tcPr>
    </w:tblStylePr>
    <w:tblStylePr w:type="band1Horz">
      <w:tblPr/>
      <w:tcPr>
        <w:shd w:val="clear" w:color="auto" w:fill="CADDE6" w:themeFill="accent3" w:themeFillTint="33"/>
      </w:tcPr>
    </w:tblStylePr>
  </w:style>
  <w:style w:type="table" w:customStyle="1" w:styleId="GridTable1Light-Accent11">
    <w:name w:val="Grid Table 1 Light - Accent 11"/>
    <w:basedOn w:val="TableNormal"/>
    <w:uiPriority w:val="46"/>
    <w:rsid w:val="00E82B55"/>
    <w:pPr>
      <w:spacing w:after="0" w:line="240" w:lineRule="auto"/>
    </w:pPr>
    <w:rPr>
      <w:rFonts w:eastAsiaTheme="minorHAnsi"/>
      <w:lang w:eastAsia="en-US"/>
    </w:rPr>
    <w:tblPr>
      <w:tblStyleRowBandSize w:val="1"/>
      <w:tblStyleColBandSize w:val="1"/>
      <w:tblBorders>
        <w:top w:val="single" w:sz="4" w:space="0" w:color="C0C1DE" w:themeColor="accent1" w:themeTint="66"/>
        <w:left w:val="single" w:sz="4" w:space="0" w:color="C0C1DE" w:themeColor="accent1" w:themeTint="66"/>
        <w:bottom w:val="single" w:sz="4" w:space="0" w:color="C0C1DE" w:themeColor="accent1" w:themeTint="66"/>
        <w:right w:val="single" w:sz="4" w:space="0" w:color="C0C1DE" w:themeColor="accent1" w:themeTint="66"/>
        <w:insideH w:val="single" w:sz="4" w:space="0" w:color="C0C1DE" w:themeColor="accent1" w:themeTint="66"/>
        <w:insideV w:val="single" w:sz="4" w:space="0" w:color="C0C1DE" w:themeColor="accent1" w:themeTint="66"/>
      </w:tblBorders>
    </w:tblPr>
    <w:tblStylePr w:type="firstRow">
      <w:rPr>
        <w:b/>
        <w:bCs/>
      </w:rPr>
      <w:tblPr/>
      <w:tcPr>
        <w:tcBorders>
          <w:bottom w:val="single" w:sz="12" w:space="0" w:color="A1A2CE" w:themeColor="accent1" w:themeTint="99"/>
        </w:tcBorders>
      </w:tcPr>
    </w:tblStylePr>
    <w:tblStylePr w:type="lastRow">
      <w:rPr>
        <w:b/>
        <w:bCs/>
      </w:rPr>
      <w:tblPr/>
      <w:tcPr>
        <w:tcBorders>
          <w:top w:val="double" w:sz="2" w:space="0" w:color="A1A2CE" w:themeColor="accent1" w:themeTint="99"/>
        </w:tcBorders>
      </w:tcPr>
    </w:tblStylePr>
    <w:tblStylePr w:type="firstCol">
      <w:rPr>
        <w:b/>
        <w:bCs/>
      </w:rPr>
    </w:tblStylePr>
    <w:tblStylePr w:type="lastCol">
      <w:rPr>
        <w:b/>
        <w:bCs/>
      </w:rPr>
    </w:tblStylePr>
  </w:style>
  <w:style w:type="paragraph" w:styleId="DocumentMap">
    <w:name w:val="Document Map"/>
    <w:basedOn w:val="Normal"/>
    <w:link w:val="DocumentMapChar"/>
    <w:uiPriority w:val="99"/>
    <w:semiHidden/>
    <w:unhideWhenUsed/>
    <w:rsid w:val="00E82B55"/>
    <w:pPr>
      <w:spacing w:after="0" w:line="240" w:lineRule="auto"/>
    </w:pPr>
    <w:rPr>
      <w:rFonts w:ascii="Lucida Grande" w:hAnsi="Lucida Grande"/>
      <w:szCs w:val="24"/>
    </w:rPr>
  </w:style>
  <w:style w:type="character" w:customStyle="1" w:styleId="DocumentMapChar">
    <w:name w:val="Document Map Char"/>
    <w:basedOn w:val="DefaultParagraphFont"/>
    <w:link w:val="DocumentMap"/>
    <w:uiPriority w:val="99"/>
    <w:semiHidden/>
    <w:rsid w:val="00E82B55"/>
    <w:rPr>
      <w:rFonts w:ascii="Lucida Grande" w:hAnsi="Lucida Grande"/>
      <w:szCs w:val="24"/>
    </w:rPr>
  </w:style>
  <w:style w:type="character" w:styleId="Strong">
    <w:name w:val="Strong"/>
    <w:basedOn w:val="DefaultParagraphFont"/>
    <w:uiPriority w:val="22"/>
    <w:qFormat/>
    <w:rsid w:val="00E82B55"/>
    <w:rPr>
      <w:b/>
      <w:bCs/>
    </w:rPr>
  </w:style>
  <w:style w:type="character" w:customStyle="1" w:styleId="UnresolvedMention1">
    <w:name w:val="Unresolved Mention1"/>
    <w:basedOn w:val="DefaultParagraphFont"/>
    <w:uiPriority w:val="99"/>
    <w:semiHidden/>
    <w:unhideWhenUsed/>
    <w:rsid w:val="00E82B55"/>
    <w:rPr>
      <w:color w:val="605E5C"/>
      <w:shd w:val="clear" w:color="auto" w:fill="E1DFDD"/>
    </w:rPr>
  </w:style>
  <w:style w:type="character" w:styleId="Emphasis">
    <w:name w:val="Emphasis"/>
    <w:basedOn w:val="DefaultParagraphFont"/>
    <w:uiPriority w:val="20"/>
    <w:qFormat/>
    <w:rsid w:val="00E82B55"/>
    <w:rPr>
      <w:i/>
      <w:iCs/>
    </w:rPr>
  </w:style>
  <w:style w:type="character" w:customStyle="1" w:styleId="UnresolvedMention2">
    <w:name w:val="Unresolved Mention2"/>
    <w:basedOn w:val="DefaultParagraphFont"/>
    <w:uiPriority w:val="99"/>
    <w:semiHidden/>
    <w:unhideWhenUsed/>
    <w:rsid w:val="00E82B55"/>
    <w:rPr>
      <w:color w:val="605E5C"/>
      <w:shd w:val="clear" w:color="auto" w:fill="E1DFDD"/>
    </w:rPr>
  </w:style>
  <w:style w:type="paragraph" w:customStyle="1" w:styleId="Numberedlist">
    <w:name w:val="Numbered list"/>
    <w:basedOn w:val="Normal"/>
    <w:link w:val="NumberedlistChar"/>
    <w:uiPriority w:val="1"/>
    <w:qFormat/>
    <w:rsid w:val="00FD5EB5"/>
    <w:pPr>
      <w:numPr>
        <w:numId w:val="2"/>
      </w:numPr>
      <w:spacing w:before="60" w:after="60"/>
      <w:ind w:left="357" w:hanging="357"/>
    </w:pPr>
    <w:rPr>
      <w:lang w:eastAsia="zh-TW"/>
    </w:rPr>
  </w:style>
  <w:style w:type="character" w:customStyle="1" w:styleId="NumberedlistChar">
    <w:name w:val="Numbered list Char"/>
    <w:basedOn w:val="DefaultParagraphFont"/>
    <w:link w:val="Numberedlist"/>
    <w:uiPriority w:val="1"/>
    <w:rsid w:val="00FD5EB5"/>
    <w:rPr>
      <w:rFonts w:ascii="Tenorite" w:hAnsi="Tenorite"/>
    </w:rPr>
  </w:style>
  <w:style w:type="character" w:styleId="UnresolvedMention">
    <w:name w:val="Unresolved Mention"/>
    <w:basedOn w:val="DefaultParagraphFont"/>
    <w:uiPriority w:val="99"/>
    <w:semiHidden/>
    <w:unhideWhenUsed/>
    <w:rsid w:val="00035643"/>
    <w:rPr>
      <w:color w:val="605E5C"/>
      <w:shd w:val="clear" w:color="auto" w:fill="E1DFDD"/>
    </w:rPr>
  </w:style>
  <w:style w:type="character" w:customStyle="1" w:styleId="Heading4Char">
    <w:name w:val="Heading 4 Char"/>
    <w:basedOn w:val="DefaultParagraphFont"/>
    <w:link w:val="Heading4"/>
    <w:uiPriority w:val="5"/>
    <w:rsid w:val="009A0604"/>
    <w:rPr>
      <w:rFonts w:ascii="Tenorite" w:eastAsiaTheme="majorEastAsia" w:hAnsi="Tenorite" w:cstheme="majorBidi"/>
      <w:i/>
      <w:iCs/>
      <w:color w:val="274653" w:themeColor="text2"/>
      <w:sz w:val="24"/>
      <w:szCs w:val="24"/>
      <w:lang w:eastAsia="en-AU"/>
    </w:rPr>
  </w:style>
  <w:style w:type="table" w:styleId="ListTable3-Accent4">
    <w:name w:val="List Table 3 Accent 4"/>
    <w:basedOn w:val="TableNormal"/>
    <w:uiPriority w:val="48"/>
    <w:rsid w:val="00844363"/>
    <w:pPr>
      <w:spacing w:after="0" w:line="240" w:lineRule="auto"/>
    </w:pPr>
    <w:tblPr>
      <w:tblStyleRowBandSize w:val="1"/>
      <w:tblStyleColBandSize w:val="1"/>
      <w:tblBorders>
        <w:top w:val="single" w:sz="4" w:space="0" w:color="158A61" w:themeColor="accent4"/>
        <w:left w:val="single" w:sz="4" w:space="0" w:color="158A61" w:themeColor="accent4"/>
        <w:bottom w:val="single" w:sz="4" w:space="0" w:color="158A61" w:themeColor="accent4"/>
        <w:right w:val="single" w:sz="4" w:space="0" w:color="158A61" w:themeColor="accent4"/>
      </w:tblBorders>
    </w:tblPr>
    <w:tblStylePr w:type="firstRow">
      <w:rPr>
        <w:b/>
        <w:bCs/>
        <w:color w:val="FFFFFF" w:themeColor="background1"/>
      </w:rPr>
      <w:tblPr/>
      <w:tcPr>
        <w:shd w:val="clear" w:color="auto" w:fill="158A61" w:themeFill="accent4"/>
      </w:tcPr>
    </w:tblStylePr>
    <w:tblStylePr w:type="lastRow">
      <w:rPr>
        <w:b/>
        <w:bCs/>
      </w:rPr>
      <w:tblPr/>
      <w:tcPr>
        <w:tcBorders>
          <w:top w:val="double" w:sz="4" w:space="0" w:color="158A6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8A61" w:themeColor="accent4"/>
          <w:right w:val="single" w:sz="4" w:space="0" w:color="158A61" w:themeColor="accent4"/>
        </w:tcBorders>
      </w:tcPr>
    </w:tblStylePr>
    <w:tblStylePr w:type="band1Horz">
      <w:tblPr/>
      <w:tcPr>
        <w:tcBorders>
          <w:top w:val="single" w:sz="4" w:space="0" w:color="158A61" w:themeColor="accent4"/>
          <w:bottom w:val="single" w:sz="4" w:space="0" w:color="158A6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8A61" w:themeColor="accent4"/>
          <w:left w:val="nil"/>
        </w:tcBorders>
      </w:tcPr>
    </w:tblStylePr>
    <w:tblStylePr w:type="swCell">
      <w:tblPr/>
      <w:tcPr>
        <w:tcBorders>
          <w:top w:val="double" w:sz="4" w:space="0" w:color="158A61" w:themeColor="accent4"/>
          <w:right w:val="nil"/>
        </w:tcBorders>
      </w:tcPr>
    </w:tblStylePr>
  </w:style>
  <w:style w:type="table" w:styleId="ListTable4-Accent4">
    <w:name w:val="List Table 4 Accent 4"/>
    <w:basedOn w:val="TableNormal"/>
    <w:uiPriority w:val="49"/>
    <w:rsid w:val="00844363"/>
    <w:pPr>
      <w:spacing w:after="0" w:line="240" w:lineRule="auto"/>
    </w:pPr>
    <w:tblPr>
      <w:tblStyleRowBandSize w:val="1"/>
      <w:tblStyleColBandSize w:val="1"/>
      <w:tblBorders>
        <w:top w:val="single" w:sz="4" w:space="0" w:color="48E3AC" w:themeColor="accent4" w:themeTint="99"/>
        <w:left w:val="single" w:sz="4" w:space="0" w:color="48E3AC" w:themeColor="accent4" w:themeTint="99"/>
        <w:bottom w:val="single" w:sz="4" w:space="0" w:color="48E3AC" w:themeColor="accent4" w:themeTint="99"/>
        <w:right w:val="single" w:sz="4" w:space="0" w:color="48E3AC" w:themeColor="accent4" w:themeTint="99"/>
        <w:insideH w:val="single" w:sz="4" w:space="0" w:color="48E3AC" w:themeColor="accent4" w:themeTint="99"/>
      </w:tblBorders>
    </w:tblPr>
    <w:tblStylePr w:type="firstRow">
      <w:rPr>
        <w:b/>
        <w:bCs/>
        <w:color w:val="FFFFFF" w:themeColor="background1"/>
      </w:rPr>
      <w:tblPr/>
      <w:tcPr>
        <w:tcBorders>
          <w:top w:val="single" w:sz="4" w:space="0" w:color="158A61" w:themeColor="accent4"/>
          <w:left w:val="single" w:sz="4" w:space="0" w:color="158A61" w:themeColor="accent4"/>
          <w:bottom w:val="single" w:sz="4" w:space="0" w:color="158A61" w:themeColor="accent4"/>
          <w:right w:val="single" w:sz="4" w:space="0" w:color="158A61" w:themeColor="accent4"/>
          <w:insideH w:val="nil"/>
        </w:tcBorders>
        <w:shd w:val="clear" w:color="auto" w:fill="158A61" w:themeFill="accent4"/>
      </w:tcPr>
    </w:tblStylePr>
    <w:tblStylePr w:type="lastRow">
      <w:rPr>
        <w:b/>
        <w:bCs/>
      </w:rPr>
      <w:tblPr/>
      <w:tcPr>
        <w:tcBorders>
          <w:top w:val="double" w:sz="4" w:space="0" w:color="48E3AC" w:themeColor="accent4" w:themeTint="99"/>
        </w:tcBorders>
      </w:tcPr>
    </w:tblStylePr>
    <w:tblStylePr w:type="firstCol">
      <w:rPr>
        <w:b/>
        <w:bCs/>
      </w:rPr>
    </w:tblStylePr>
    <w:tblStylePr w:type="lastCol">
      <w:rPr>
        <w:b/>
        <w:bCs/>
      </w:rPr>
    </w:tblStylePr>
    <w:tblStylePr w:type="band1Vert">
      <w:tblPr/>
      <w:tcPr>
        <w:shd w:val="clear" w:color="auto" w:fill="C1F5E3" w:themeFill="accent4" w:themeFillTint="33"/>
      </w:tcPr>
    </w:tblStylePr>
    <w:tblStylePr w:type="band1Horz">
      <w:tblPr/>
      <w:tcPr>
        <w:shd w:val="clear" w:color="auto" w:fill="C1F5E3" w:themeFill="accent4" w:themeFillTint="33"/>
      </w:tcPr>
    </w:tblStylePr>
  </w:style>
  <w:style w:type="table" w:customStyle="1" w:styleId="Style1">
    <w:name w:val="Style1"/>
    <w:basedOn w:val="TableNormal"/>
    <w:uiPriority w:val="99"/>
    <w:rsid w:val="000F6B85"/>
    <w:pPr>
      <w:spacing w:after="0" w:line="240" w:lineRule="auto"/>
    </w:pPr>
    <w:tblPr/>
  </w:style>
  <w:style w:type="character" w:customStyle="1" w:styleId="Heading5Char">
    <w:name w:val="Heading 5 Char"/>
    <w:basedOn w:val="DefaultParagraphFont"/>
    <w:link w:val="Heading5"/>
    <w:uiPriority w:val="9"/>
    <w:rsid w:val="00AB0054"/>
    <w:rPr>
      <w:rFonts w:ascii="Tenorite" w:eastAsiaTheme="majorEastAsia" w:hAnsi="Tenorite" w:cstheme="majorBidi"/>
      <w:b/>
      <w:bCs/>
      <w:color w:val="274653" w:themeColor="text2"/>
      <w:lang w:eastAsia="en-AU"/>
    </w:rPr>
  </w:style>
  <w:style w:type="table" w:styleId="ListTable4-Accent6">
    <w:name w:val="List Table 4 Accent 6"/>
    <w:basedOn w:val="TableNormal"/>
    <w:uiPriority w:val="49"/>
    <w:rsid w:val="00243178"/>
    <w:pPr>
      <w:spacing w:after="0" w:line="240" w:lineRule="auto"/>
    </w:pPr>
    <w:tblPr>
      <w:tblStyleRowBandSize w:val="1"/>
      <w:tblStyleColBandSize w:val="1"/>
      <w:tblBorders>
        <w:top w:val="single" w:sz="4" w:space="0" w:color="F9CE96" w:themeColor="accent6" w:themeTint="99"/>
        <w:left w:val="single" w:sz="4" w:space="0" w:color="F9CE96" w:themeColor="accent6" w:themeTint="99"/>
        <w:bottom w:val="single" w:sz="4" w:space="0" w:color="F9CE96" w:themeColor="accent6" w:themeTint="99"/>
        <w:right w:val="single" w:sz="4" w:space="0" w:color="F9CE96" w:themeColor="accent6" w:themeTint="99"/>
        <w:insideH w:val="single" w:sz="4" w:space="0" w:color="F9CE96" w:themeColor="accent6" w:themeTint="99"/>
      </w:tblBorders>
    </w:tblPr>
    <w:tblStylePr w:type="firstRow">
      <w:rPr>
        <w:b/>
        <w:bCs/>
        <w:color w:val="FFFFFF" w:themeColor="background1"/>
      </w:rPr>
      <w:tblPr/>
      <w:tcPr>
        <w:tcBorders>
          <w:top w:val="single" w:sz="4" w:space="0" w:color="F5AF50" w:themeColor="accent6"/>
          <w:left w:val="single" w:sz="4" w:space="0" w:color="F5AF50" w:themeColor="accent6"/>
          <w:bottom w:val="single" w:sz="4" w:space="0" w:color="F5AF50" w:themeColor="accent6"/>
          <w:right w:val="single" w:sz="4" w:space="0" w:color="F5AF50" w:themeColor="accent6"/>
          <w:insideH w:val="nil"/>
        </w:tcBorders>
        <w:shd w:val="clear" w:color="auto" w:fill="F5AF50" w:themeFill="accent6"/>
      </w:tcPr>
    </w:tblStylePr>
    <w:tblStylePr w:type="lastRow">
      <w:rPr>
        <w:b/>
        <w:bCs/>
      </w:rPr>
      <w:tblPr/>
      <w:tcPr>
        <w:tcBorders>
          <w:top w:val="double" w:sz="4" w:space="0" w:color="F9CE96" w:themeColor="accent6" w:themeTint="99"/>
        </w:tcBorders>
      </w:tcPr>
    </w:tblStylePr>
    <w:tblStylePr w:type="firstCol">
      <w:rPr>
        <w:b/>
        <w:bCs/>
      </w:rPr>
    </w:tblStylePr>
    <w:tblStylePr w:type="lastCol">
      <w:rPr>
        <w:b/>
        <w:bCs/>
      </w:rPr>
    </w:tblStylePr>
    <w:tblStylePr w:type="band1Vert">
      <w:tblPr/>
      <w:tcPr>
        <w:shd w:val="clear" w:color="auto" w:fill="FDEEDC" w:themeFill="accent6" w:themeFillTint="33"/>
      </w:tcPr>
    </w:tblStylePr>
    <w:tblStylePr w:type="band1Horz">
      <w:tblPr/>
      <w:tcPr>
        <w:shd w:val="clear" w:color="auto" w:fill="FDEEDC" w:themeFill="accent6" w:themeFillTint="33"/>
      </w:tcPr>
    </w:tblStylePr>
  </w:style>
  <w:style w:type="table" w:styleId="ListTable4-Accent2">
    <w:name w:val="List Table 4 Accent 2"/>
    <w:basedOn w:val="TableNormal"/>
    <w:uiPriority w:val="49"/>
    <w:rsid w:val="00243178"/>
    <w:pPr>
      <w:spacing w:after="0" w:line="240" w:lineRule="auto"/>
    </w:pPr>
    <w:tblPr>
      <w:tblStyleRowBandSize w:val="1"/>
      <w:tblStyleColBandSize w:val="1"/>
      <w:tblBorders>
        <w:top w:val="single" w:sz="4" w:space="0" w:color="F9CE96" w:themeColor="accent2" w:themeTint="99"/>
        <w:left w:val="single" w:sz="4" w:space="0" w:color="F9CE96" w:themeColor="accent2" w:themeTint="99"/>
        <w:bottom w:val="single" w:sz="4" w:space="0" w:color="F9CE96" w:themeColor="accent2" w:themeTint="99"/>
        <w:right w:val="single" w:sz="4" w:space="0" w:color="F9CE96" w:themeColor="accent2" w:themeTint="99"/>
        <w:insideH w:val="single" w:sz="4" w:space="0" w:color="F9CE96" w:themeColor="accent2" w:themeTint="99"/>
      </w:tblBorders>
    </w:tblPr>
    <w:tblStylePr w:type="firstRow">
      <w:rPr>
        <w:b/>
        <w:bCs/>
        <w:color w:val="FFFFFF" w:themeColor="background1"/>
      </w:rPr>
      <w:tblPr/>
      <w:tcPr>
        <w:tcBorders>
          <w:top w:val="single" w:sz="4" w:space="0" w:color="F5AF50" w:themeColor="accent2"/>
          <w:left w:val="single" w:sz="4" w:space="0" w:color="F5AF50" w:themeColor="accent2"/>
          <w:bottom w:val="single" w:sz="4" w:space="0" w:color="F5AF50" w:themeColor="accent2"/>
          <w:right w:val="single" w:sz="4" w:space="0" w:color="F5AF50" w:themeColor="accent2"/>
          <w:insideH w:val="nil"/>
        </w:tcBorders>
        <w:shd w:val="clear" w:color="auto" w:fill="F5AF50" w:themeFill="accent2"/>
      </w:tcPr>
    </w:tblStylePr>
    <w:tblStylePr w:type="lastRow">
      <w:rPr>
        <w:b/>
        <w:bCs/>
      </w:rPr>
      <w:tblPr/>
      <w:tcPr>
        <w:tcBorders>
          <w:top w:val="double" w:sz="4" w:space="0" w:color="F9CE96" w:themeColor="accent2" w:themeTint="99"/>
        </w:tcBorders>
      </w:tcPr>
    </w:tblStylePr>
    <w:tblStylePr w:type="firstCol">
      <w:rPr>
        <w:b/>
        <w:bCs/>
      </w:rPr>
    </w:tblStylePr>
    <w:tblStylePr w:type="lastCol">
      <w:rPr>
        <w:b/>
        <w:bCs/>
      </w:rPr>
    </w:tblStylePr>
    <w:tblStylePr w:type="band1Vert">
      <w:tblPr/>
      <w:tcPr>
        <w:shd w:val="clear" w:color="auto" w:fill="FDEEDC" w:themeFill="accent2" w:themeFillTint="33"/>
      </w:tcPr>
    </w:tblStylePr>
    <w:tblStylePr w:type="band1Horz">
      <w:tblPr/>
      <w:tcPr>
        <w:shd w:val="clear" w:color="auto" w:fill="FDEEDC" w:themeFill="accent2" w:themeFillTint="33"/>
      </w:tcPr>
    </w:tblStylePr>
  </w:style>
  <w:style w:type="character" w:styleId="IntenseReference">
    <w:name w:val="Intense Reference"/>
    <w:basedOn w:val="DefaultParagraphFont"/>
    <w:uiPriority w:val="32"/>
    <w:qFormat/>
    <w:rsid w:val="00243178"/>
    <w:rPr>
      <w:b/>
      <w:bCs/>
      <w:smallCaps/>
      <w:color w:val="274653" w:themeColor="text2"/>
      <w:spacing w:val="5"/>
    </w:rPr>
  </w:style>
  <w:style w:type="character" w:customStyle="1" w:styleId="Heading6Char">
    <w:name w:val="Heading 6 Char"/>
    <w:basedOn w:val="DefaultParagraphFont"/>
    <w:link w:val="Heading6"/>
    <w:uiPriority w:val="9"/>
    <w:rsid w:val="00AB0054"/>
    <w:rPr>
      <w:rFonts w:ascii="Tenorite" w:hAnsi="Tenorite"/>
      <w:b/>
      <w:bCs/>
      <w:sz w:val="20"/>
      <w:szCs w:val="20"/>
      <w:lang w:eastAsia="en-AU"/>
    </w:rPr>
  </w:style>
  <w:style w:type="paragraph" w:customStyle="1" w:styleId="paragraph">
    <w:name w:val="paragraph"/>
    <w:basedOn w:val="Normal"/>
    <w:rsid w:val="002447A7"/>
    <w:pPr>
      <w:spacing w:before="100" w:beforeAutospacing="1" w:after="100" w:afterAutospacing="1" w:line="240" w:lineRule="auto"/>
    </w:pPr>
    <w:rPr>
      <w:rFonts w:ascii="Times New Roman" w:eastAsia="Times New Roman" w:hAnsi="Times New Roman" w:cs="Times New Roman"/>
      <w:sz w:val="24"/>
      <w:szCs w:val="24"/>
      <w:lang w:eastAsia="zh-CN" w:bidi="th-TH"/>
    </w:rPr>
  </w:style>
  <w:style w:type="character" w:customStyle="1" w:styleId="normaltextrun">
    <w:name w:val="normaltextrun"/>
    <w:basedOn w:val="DefaultParagraphFont"/>
    <w:rsid w:val="002447A7"/>
  </w:style>
  <w:style w:type="character" w:customStyle="1" w:styleId="eop">
    <w:name w:val="eop"/>
    <w:basedOn w:val="DefaultParagraphFont"/>
    <w:rsid w:val="002447A7"/>
  </w:style>
  <w:style w:type="character" w:customStyle="1" w:styleId="contentcontrolboundarysink">
    <w:name w:val="contentcontrolboundarysink"/>
    <w:basedOn w:val="DefaultParagraphFont"/>
    <w:rsid w:val="002447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251575">
      <w:bodyDiv w:val="1"/>
      <w:marLeft w:val="0"/>
      <w:marRight w:val="0"/>
      <w:marTop w:val="0"/>
      <w:marBottom w:val="0"/>
      <w:divBdr>
        <w:top w:val="none" w:sz="0" w:space="0" w:color="auto"/>
        <w:left w:val="none" w:sz="0" w:space="0" w:color="auto"/>
        <w:bottom w:val="none" w:sz="0" w:space="0" w:color="auto"/>
        <w:right w:val="none" w:sz="0" w:space="0" w:color="auto"/>
      </w:divBdr>
    </w:div>
    <w:div w:id="314603055">
      <w:bodyDiv w:val="1"/>
      <w:marLeft w:val="0"/>
      <w:marRight w:val="0"/>
      <w:marTop w:val="0"/>
      <w:marBottom w:val="0"/>
      <w:divBdr>
        <w:top w:val="none" w:sz="0" w:space="0" w:color="auto"/>
        <w:left w:val="none" w:sz="0" w:space="0" w:color="auto"/>
        <w:bottom w:val="none" w:sz="0" w:space="0" w:color="auto"/>
        <w:right w:val="none" w:sz="0" w:space="0" w:color="auto"/>
      </w:divBdr>
      <w:divsChild>
        <w:div w:id="1126850914">
          <w:marLeft w:val="0"/>
          <w:marRight w:val="0"/>
          <w:marTop w:val="0"/>
          <w:marBottom w:val="0"/>
          <w:divBdr>
            <w:top w:val="none" w:sz="0" w:space="0" w:color="auto"/>
            <w:left w:val="none" w:sz="0" w:space="0" w:color="auto"/>
            <w:bottom w:val="none" w:sz="0" w:space="0" w:color="auto"/>
            <w:right w:val="none" w:sz="0" w:space="0" w:color="auto"/>
          </w:divBdr>
          <w:divsChild>
            <w:div w:id="368262981">
              <w:marLeft w:val="0"/>
              <w:marRight w:val="0"/>
              <w:marTop w:val="0"/>
              <w:marBottom w:val="0"/>
              <w:divBdr>
                <w:top w:val="none" w:sz="0" w:space="0" w:color="auto"/>
                <w:left w:val="none" w:sz="0" w:space="0" w:color="auto"/>
                <w:bottom w:val="none" w:sz="0" w:space="0" w:color="auto"/>
                <w:right w:val="none" w:sz="0" w:space="0" w:color="auto"/>
              </w:divBdr>
              <w:divsChild>
                <w:div w:id="1713990814">
                  <w:marLeft w:val="0"/>
                  <w:marRight w:val="0"/>
                  <w:marTop w:val="0"/>
                  <w:marBottom w:val="0"/>
                  <w:divBdr>
                    <w:top w:val="none" w:sz="0" w:space="0" w:color="auto"/>
                    <w:left w:val="none" w:sz="0" w:space="0" w:color="auto"/>
                    <w:bottom w:val="none" w:sz="0" w:space="0" w:color="auto"/>
                    <w:right w:val="none" w:sz="0" w:space="0" w:color="auto"/>
                  </w:divBdr>
                  <w:divsChild>
                    <w:div w:id="79711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298196">
      <w:bodyDiv w:val="1"/>
      <w:marLeft w:val="0"/>
      <w:marRight w:val="0"/>
      <w:marTop w:val="0"/>
      <w:marBottom w:val="0"/>
      <w:divBdr>
        <w:top w:val="none" w:sz="0" w:space="0" w:color="auto"/>
        <w:left w:val="none" w:sz="0" w:space="0" w:color="auto"/>
        <w:bottom w:val="none" w:sz="0" w:space="0" w:color="auto"/>
        <w:right w:val="none" w:sz="0" w:space="0" w:color="auto"/>
      </w:divBdr>
    </w:div>
    <w:div w:id="413665385">
      <w:bodyDiv w:val="1"/>
      <w:marLeft w:val="0"/>
      <w:marRight w:val="0"/>
      <w:marTop w:val="0"/>
      <w:marBottom w:val="0"/>
      <w:divBdr>
        <w:top w:val="none" w:sz="0" w:space="0" w:color="auto"/>
        <w:left w:val="none" w:sz="0" w:space="0" w:color="auto"/>
        <w:bottom w:val="none" w:sz="0" w:space="0" w:color="auto"/>
        <w:right w:val="none" w:sz="0" w:space="0" w:color="auto"/>
      </w:divBdr>
    </w:div>
    <w:div w:id="418336736">
      <w:bodyDiv w:val="1"/>
      <w:marLeft w:val="0"/>
      <w:marRight w:val="0"/>
      <w:marTop w:val="0"/>
      <w:marBottom w:val="0"/>
      <w:divBdr>
        <w:top w:val="none" w:sz="0" w:space="0" w:color="auto"/>
        <w:left w:val="none" w:sz="0" w:space="0" w:color="auto"/>
        <w:bottom w:val="none" w:sz="0" w:space="0" w:color="auto"/>
        <w:right w:val="none" w:sz="0" w:space="0" w:color="auto"/>
      </w:divBdr>
    </w:div>
    <w:div w:id="447748689">
      <w:bodyDiv w:val="1"/>
      <w:marLeft w:val="0"/>
      <w:marRight w:val="0"/>
      <w:marTop w:val="0"/>
      <w:marBottom w:val="0"/>
      <w:divBdr>
        <w:top w:val="none" w:sz="0" w:space="0" w:color="auto"/>
        <w:left w:val="none" w:sz="0" w:space="0" w:color="auto"/>
        <w:bottom w:val="none" w:sz="0" w:space="0" w:color="auto"/>
        <w:right w:val="none" w:sz="0" w:space="0" w:color="auto"/>
      </w:divBdr>
    </w:div>
    <w:div w:id="515508826">
      <w:bodyDiv w:val="1"/>
      <w:marLeft w:val="0"/>
      <w:marRight w:val="0"/>
      <w:marTop w:val="0"/>
      <w:marBottom w:val="0"/>
      <w:divBdr>
        <w:top w:val="none" w:sz="0" w:space="0" w:color="auto"/>
        <w:left w:val="none" w:sz="0" w:space="0" w:color="auto"/>
        <w:bottom w:val="none" w:sz="0" w:space="0" w:color="auto"/>
        <w:right w:val="none" w:sz="0" w:space="0" w:color="auto"/>
      </w:divBdr>
    </w:div>
    <w:div w:id="670915704">
      <w:bodyDiv w:val="1"/>
      <w:marLeft w:val="0"/>
      <w:marRight w:val="0"/>
      <w:marTop w:val="0"/>
      <w:marBottom w:val="0"/>
      <w:divBdr>
        <w:top w:val="none" w:sz="0" w:space="0" w:color="auto"/>
        <w:left w:val="none" w:sz="0" w:space="0" w:color="auto"/>
        <w:bottom w:val="none" w:sz="0" w:space="0" w:color="auto"/>
        <w:right w:val="none" w:sz="0" w:space="0" w:color="auto"/>
      </w:divBdr>
    </w:div>
    <w:div w:id="724525944">
      <w:bodyDiv w:val="1"/>
      <w:marLeft w:val="0"/>
      <w:marRight w:val="0"/>
      <w:marTop w:val="0"/>
      <w:marBottom w:val="0"/>
      <w:divBdr>
        <w:top w:val="none" w:sz="0" w:space="0" w:color="auto"/>
        <w:left w:val="none" w:sz="0" w:space="0" w:color="auto"/>
        <w:bottom w:val="none" w:sz="0" w:space="0" w:color="auto"/>
        <w:right w:val="none" w:sz="0" w:space="0" w:color="auto"/>
      </w:divBdr>
    </w:div>
    <w:div w:id="735319165">
      <w:bodyDiv w:val="1"/>
      <w:marLeft w:val="0"/>
      <w:marRight w:val="0"/>
      <w:marTop w:val="0"/>
      <w:marBottom w:val="0"/>
      <w:divBdr>
        <w:top w:val="none" w:sz="0" w:space="0" w:color="auto"/>
        <w:left w:val="none" w:sz="0" w:space="0" w:color="auto"/>
        <w:bottom w:val="none" w:sz="0" w:space="0" w:color="auto"/>
        <w:right w:val="none" w:sz="0" w:space="0" w:color="auto"/>
      </w:divBdr>
    </w:div>
    <w:div w:id="837959252">
      <w:bodyDiv w:val="1"/>
      <w:marLeft w:val="0"/>
      <w:marRight w:val="0"/>
      <w:marTop w:val="0"/>
      <w:marBottom w:val="0"/>
      <w:divBdr>
        <w:top w:val="none" w:sz="0" w:space="0" w:color="auto"/>
        <w:left w:val="none" w:sz="0" w:space="0" w:color="auto"/>
        <w:bottom w:val="none" w:sz="0" w:space="0" w:color="auto"/>
        <w:right w:val="none" w:sz="0" w:space="0" w:color="auto"/>
      </w:divBdr>
    </w:div>
    <w:div w:id="859586206">
      <w:bodyDiv w:val="1"/>
      <w:marLeft w:val="0"/>
      <w:marRight w:val="0"/>
      <w:marTop w:val="0"/>
      <w:marBottom w:val="0"/>
      <w:divBdr>
        <w:top w:val="none" w:sz="0" w:space="0" w:color="auto"/>
        <w:left w:val="none" w:sz="0" w:space="0" w:color="auto"/>
        <w:bottom w:val="none" w:sz="0" w:space="0" w:color="auto"/>
        <w:right w:val="none" w:sz="0" w:space="0" w:color="auto"/>
      </w:divBdr>
    </w:div>
    <w:div w:id="894781592">
      <w:bodyDiv w:val="1"/>
      <w:marLeft w:val="0"/>
      <w:marRight w:val="0"/>
      <w:marTop w:val="0"/>
      <w:marBottom w:val="0"/>
      <w:divBdr>
        <w:top w:val="none" w:sz="0" w:space="0" w:color="auto"/>
        <w:left w:val="none" w:sz="0" w:space="0" w:color="auto"/>
        <w:bottom w:val="none" w:sz="0" w:space="0" w:color="auto"/>
        <w:right w:val="none" w:sz="0" w:space="0" w:color="auto"/>
      </w:divBdr>
    </w:div>
    <w:div w:id="1071466314">
      <w:bodyDiv w:val="1"/>
      <w:marLeft w:val="0"/>
      <w:marRight w:val="0"/>
      <w:marTop w:val="0"/>
      <w:marBottom w:val="0"/>
      <w:divBdr>
        <w:top w:val="none" w:sz="0" w:space="0" w:color="auto"/>
        <w:left w:val="none" w:sz="0" w:space="0" w:color="auto"/>
        <w:bottom w:val="none" w:sz="0" w:space="0" w:color="auto"/>
        <w:right w:val="none" w:sz="0" w:space="0" w:color="auto"/>
      </w:divBdr>
    </w:div>
    <w:div w:id="1119028469">
      <w:bodyDiv w:val="1"/>
      <w:marLeft w:val="0"/>
      <w:marRight w:val="0"/>
      <w:marTop w:val="0"/>
      <w:marBottom w:val="0"/>
      <w:divBdr>
        <w:top w:val="none" w:sz="0" w:space="0" w:color="auto"/>
        <w:left w:val="none" w:sz="0" w:space="0" w:color="auto"/>
        <w:bottom w:val="none" w:sz="0" w:space="0" w:color="auto"/>
        <w:right w:val="none" w:sz="0" w:space="0" w:color="auto"/>
      </w:divBdr>
    </w:div>
    <w:div w:id="1299842320">
      <w:bodyDiv w:val="1"/>
      <w:marLeft w:val="0"/>
      <w:marRight w:val="0"/>
      <w:marTop w:val="0"/>
      <w:marBottom w:val="0"/>
      <w:divBdr>
        <w:top w:val="none" w:sz="0" w:space="0" w:color="auto"/>
        <w:left w:val="none" w:sz="0" w:space="0" w:color="auto"/>
        <w:bottom w:val="none" w:sz="0" w:space="0" w:color="auto"/>
        <w:right w:val="none" w:sz="0" w:space="0" w:color="auto"/>
      </w:divBdr>
    </w:div>
    <w:div w:id="1461534896">
      <w:bodyDiv w:val="1"/>
      <w:marLeft w:val="0"/>
      <w:marRight w:val="0"/>
      <w:marTop w:val="0"/>
      <w:marBottom w:val="0"/>
      <w:divBdr>
        <w:top w:val="none" w:sz="0" w:space="0" w:color="auto"/>
        <w:left w:val="none" w:sz="0" w:space="0" w:color="auto"/>
        <w:bottom w:val="none" w:sz="0" w:space="0" w:color="auto"/>
        <w:right w:val="none" w:sz="0" w:space="0" w:color="auto"/>
      </w:divBdr>
    </w:div>
    <w:div w:id="1490750600">
      <w:bodyDiv w:val="1"/>
      <w:marLeft w:val="0"/>
      <w:marRight w:val="0"/>
      <w:marTop w:val="0"/>
      <w:marBottom w:val="0"/>
      <w:divBdr>
        <w:top w:val="none" w:sz="0" w:space="0" w:color="auto"/>
        <w:left w:val="none" w:sz="0" w:space="0" w:color="auto"/>
        <w:bottom w:val="none" w:sz="0" w:space="0" w:color="auto"/>
        <w:right w:val="none" w:sz="0" w:space="0" w:color="auto"/>
      </w:divBdr>
      <w:divsChild>
        <w:div w:id="77217095">
          <w:marLeft w:val="0"/>
          <w:marRight w:val="0"/>
          <w:marTop w:val="0"/>
          <w:marBottom w:val="0"/>
          <w:divBdr>
            <w:top w:val="none" w:sz="0" w:space="0" w:color="auto"/>
            <w:left w:val="none" w:sz="0" w:space="0" w:color="auto"/>
            <w:bottom w:val="none" w:sz="0" w:space="0" w:color="auto"/>
            <w:right w:val="none" w:sz="0" w:space="0" w:color="auto"/>
          </w:divBdr>
        </w:div>
        <w:div w:id="999691931">
          <w:marLeft w:val="0"/>
          <w:marRight w:val="0"/>
          <w:marTop w:val="0"/>
          <w:marBottom w:val="0"/>
          <w:divBdr>
            <w:top w:val="none" w:sz="0" w:space="0" w:color="auto"/>
            <w:left w:val="none" w:sz="0" w:space="0" w:color="auto"/>
            <w:bottom w:val="none" w:sz="0" w:space="0" w:color="auto"/>
            <w:right w:val="none" w:sz="0" w:space="0" w:color="auto"/>
          </w:divBdr>
        </w:div>
        <w:div w:id="1281835086">
          <w:marLeft w:val="0"/>
          <w:marRight w:val="0"/>
          <w:marTop w:val="0"/>
          <w:marBottom w:val="0"/>
          <w:divBdr>
            <w:top w:val="none" w:sz="0" w:space="0" w:color="auto"/>
            <w:left w:val="none" w:sz="0" w:space="0" w:color="auto"/>
            <w:bottom w:val="none" w:sz="0" w:space="0" w:color="auto"/>
            <w:right w:val="none" w:sz="0" w:space="0" w:color="auto"/>
          </w:divBdr>
        </w:div>
      </w:divsChild>
    </w:div>
    <w:div w:id="1534683403">
      <w:bodyDiv w:val="1"/>
      <w:marLeft w:val="0"/>
      <w:marRight w:val="0"/>
      <w:marTop w:val="0"/>
      <w:marBottom w:val="0"/>
      <w:divBdr>
        <w:top w:val="none" w:sz="0" w:space="0" w:color="auto"/>
        <w:left w:val="none" w:sz="0" w:space="0" w:color="auto"/>
        <w:bottom w:val="none" w:sz="0" w:space="0" w:color="auto"/>
        <w:right w:val="none" w:sz="0" w:space="0" w:color="auto"/>
      </w:divBdr>
    </w:div>
    <w:div w:id="1583374768">
      <w:bodyDiv w:val="1"/>
      <w:marLeft w:val="0"/>
      <w:marRight w:val="0"/>
      <w:marTop w:val="0"/>
      <w:marBottom w:val="0"/>
      <w:divBdr>
        <w:top w:val="none" w:sz="0" w:space="0" w:color="auto"/>
        <w:left w:val="none" w:sz="0" w:space="0" w:color="auto"/>
        <w:bottom w:val="none" w:sz="0" w:space="0" w:color="auto"/>
        <w:right w:val="none" w:sz="0" w:space="0" w:color="auto"/>
      </w:divBdr>
    </w:div>
    <w:div w:id="1596940049">
      <w:bodyDiv w:val="1"/>
      <w:marLeft w:val="0"/>
      <w:marRight w:val="0"/>
      <w:marTop w:val="0"/>
      <w:marBottom w:val="0"/>
      <w:divBdr>
        <w:top w:val="none" w:sz="0" w:space="0" w:color="auto"/>
        <w:left w:val="none" w:sz="0" w:space="0" w:color="auto"/>
        <w:bottom w:val="none" w:sz="0" w:space="0" w:color="auto"/>
        <w:right w:val="none" w:sz="0" w:space="0" w:color="auto"/>
      </w:divBdr>
    </w:div>
    <w:div w:id="1618216017">
      <w:bodyDiv w:val="1"/>
      <w:marLeft w:val="0"/>
      <w:marRight w:val="0"/>
      <w:marTop w:val="0"/>
      <w:marBottom w:val="0"/>
      <w:divBdr>
        <w:top w:val="none" w:sz="0" w:space="0" w:color="auto"/>
        <w:left w:val="none" w:sz="0" w:space="0" w:color="auto"/>
        <w:bottom w:val="none" w:sz="0" w:space="0" w:color="auto"/>
        <w:right w:val="none" w:sz="0" w:space="0" w:color="auto"/>
      </w:divBdr>
      <w:divsChild>
        <w:div w:id="1749575256">
          <w:marLeft w:val="0"/>
          <w:marRight w:val="0"/>
          <w:marTop w:val="0"/>
          <w:marBottom w:val="0"/>
          <w:divBdr>
            <w:top w:val="none" w:sz="0" w:space="0" w:color="auto"/>
            <w:left w:val="none" w:sz="0" w:space="0" w:color="auto"/>
            <w:bottom w:val="none" w:sz="0" w:space="0" w:color="auto"/>
            <w:right w:val="none" w:sz="0" w:space="0" w:color="auto"/>
          </w:divBdr>
          <w:divsChild>
            <w:div w:id="602222955">
              <w:marLeft w:val="0"/>
              <w:marRight w:val="0"/>
              <w:marTop w:val="0"/>
              <w:marBottom w:val="0"/>
              <w:divBdr>
                <w:top w:val="none" w:sz="0" w:space="0" w:color="auto"/>
                <w:left w:val="none" w:sz="0" w:space="0" w:color="auto"/>
                <w:bottom w:val="none" w:sz="0" w:space="0" w:color="auto"/>
                <w:right w:val="none" w:sz="0" w:space="0" w:color="auto"/>
              </w:divBdr>
              <w:divsChild>
                <w:div w:id="616521429">
                  <w:marLeft w:val="0"/>
                  <w:marRight w:val="0"/>
                  <w:marTop w:val="0"/>
                  <w:marBottom w:val="0"/>
                  <w:divBdr>
                    <w:top w:val="none" w:sz="0" w:space="0" w:color="auto"/>
                    <w:left w:val="none" w:sz="0" w:space="0" w:color="auto"/>
                    <w:bottom w:val="none" w:sz="0" w:space="0" w:color="auto"/>
                    <w:right w:val="none" w:sz="0" w:space="0" w:color="auto"/>
                  </w:divBdr>
                  <w:divsChild>
                    <w:div w:id="4091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25388">
      <w:bodyDiv w:val="1"/>
      <w:marLeft w:val="0"/>
      <w:marRight w:val="0"/>
      <w:marTop w:val="0"/>
      <w:marBottom w:val="0"/>
      <w:divBdr>
        <w:top w:val="none" w:sz="0" w:space="0" w:color="auto"/>
        <w:left w:val="none" w:sz="0" w:space="0" w:color="auto"/>
        <w:bottom w:val="none" w:sz="0" w:space="0" w:color="auto"/>
        <w:right w:val="none" w:sz="0" w:space="0" w:color="auto"/>
      </w:divBdr>
    </w:div>
    <w:div w:id="1938053710">
      <w:bodyDiv w:val="1"/>
      <w:marLeft w:val="0"/>
      <w:marRight w:val="0"/>
      <w:marTop w:val="0"/>
      <w:marBottom w:val="0"/>
      <w:divBdr>
        <w:top w:val="none" w:sz="0" w:space="0" w:color="auto"/>
        <w:left w:val="none" w:sz="0" w:space="0" w:color="auto"/>
        <w:bottom w:val="none" w:sz="0" w:space="0" w:color="auto"/>
        <w:right w:val="none" w:sz="0" w:space="0" w:color="auto"/>
      </w:divBdr>
      <w:divsChild>
        <w:div w:id="1944724729">
          <w:marLeft w:val="0"/>
          <w:marRight w:val="0"/>
          <w:marTop w:val="0"/>
          <w:marBottom w:val="0"/>
          <w:divBdr>
            <w:top w:val="none" w:sz="0" w:space="0" w:color="auto"/>
            <w:left w:val="none" w:sz="0" w:space="0" w:color="auto"/>
            <w:bottom w:val="none" w:sz="0" w:space="0" w:color="auto"/>
            <w:right w:val="none" w:sz="0" w:space="0" w:color="auto"/>
          </w:divBdr>
          <w:divsChild>
            <w:div w:id="1801723726">
              <w:marLeft w:val="0"/>
              <w:marRight w:val="0"/>
              <w:marTop w:val="0"/>
              <w:marBottom w:val="0"/>
              <w:divBdr>
                <w:top w:val="none" w:sz="0" w:space="0" w:color="auto"/>
                <w:left w:val="none" w:sz="0" w:space="0" w:color="auto"/>
                <w:bottom w:val="none" w:sz="0" w:space="0" w:color="auto"/>
                <w:right w:val="none" w:sz="0" w:space="0" w:color="auto"/>
              </w:divBdr>
              <w:divsChild>
                <w:div w:id="890187472">
                  <w:marLeft w:val="0"/>
                  <w:marRight w:val="0"/>
                  <w:marTop w:val="0"/>
                  <w:marBottom w:val="0"/>
                  <w:divBdr>
                    <w:top w:val="none" w:sz="0" w:space="0" w:color="auto"/>
                    <w:left w:val="none" w:sz="0" w:space="0" w:color="auto"/>
                    <w:bottom w:val="none" w:sz="0" w:space="0" w:color="auto"/>
                    <w:right w:val="none" w:sz="0" w:space="0" w:color="auto"/>
                  </w:divBdr>
                  <w:divsChild>
                    <w:div w:id="106780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322199">
      <w:bodyDiv w:val="1"/>
      <w:marLeft w:val="0"/>
      <w:marRight w:val="0"/>
      <w:marTop w:val="0"/>
      <w:marBottom w:val="0"/>
      <w:divBdr>
        <w:top w:val="none" w:sz="0" w:space="0" w:color="auto"/>
        <w:left w:val="none" w:sz="0" w:space="0" w:color="auto"/>
        <w:bottom w:val="none" w:sz="0" w:space="0" w:color="auto"/>
        <w:right w:val="none" w:sz="0" w:space="0" w:color="auto"/>
      </w:divBdr>
    </w:div>
    <w:div w:id="1972635783">
      <w:bodyDiv w:val="1"/>
      <w:marLeft w:val="0"/>
      <w:marRight w:val="0"/>
      <w:marTop w:val="0"/>
      <w:marBottom w:val="0"/>
      <w:divBdr>
        <w:top w:val="none" w:sz="0" w:space="0" w:color="auto"/>
        <w:left w:val="none" w:sz="0" w:space="0" w:color="auto"/>
        <w:bottom w:val="none" w:sz="0" w:space="0" w:color="auto"/>
        <w:right w:val="none" w:sz="0" w:space="0" w:color="auto"/>
      </w:divBdr>
    </w:div>
    <w:div w:id="2055812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4.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274653"/>
      </a:dk2>
      <a:lt2>
        <a:srgbClr val="E7E6E6"/>
      </a:lt2>
      <a:accent1>
        <a:srgbClr val="6465AE"/>
      </a:accent1>
      <a:accent2>
        <a:srgbClr val="F5AF50"/>
      </a:accent2>
      <a:accent3>
        <a:srgbClr val="274653"/>
      </a:accent3>
      <a:accent4>
        <a:srgbClr val="158A61"/>
      </a:accent4>
      <a:accent5>
        <a:srgbClr val="6465AE"/>
      </a:accent5>
      <a:accent6>
        <a:srgbClr val="F5AF50"/>
      </a:accent6>
      <a:hlink>
        <a:srgbClr val="0563C1"/>
      </a:hlink>
      <a:folHlink>
        <a:srgbClr val="41306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8C3389D4ADE204D9AE6E015F1940DF3" ma:contentTypeVersion="13" ma:contentTypeDescription="Create a new document." ma:contentTypeScope="" ma:versionID="d76845afded32596ac5f53a3935a5f5a">
  <xsd:schema xmlns:xsd="http://www.w3.org/2001/XMLSchema" xmlns:xs="http://www.w3.org/2001/XMLSchema" xmlns:p="http://schemas.microsoft.com/office/2006/metadata/properties" xmlns:ns2="65bb26fb-5083-4c50-883c-d776603123bd" xmlns:ns3="47e26bb4-898d-4ec1-b1d6-a0b994659687" targetNamespace="http://schemas.microsoft.com/office/2006/metadata/properties" ma:root="true" ma:fieldsID="11c789c2d4afb5eadcbedf6ddfa6cace" ns2:_="" ns3:_="">
    <xsd:import namespace="65bb26fb-5083-4c50-883c-d776603123bd"/>
    <xsd:import namespace="47e26bb4-898d-4ec1-b1d6-a0b99465968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bb26fb-5083-4c50-883c-d776603123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3301cb7-dbab-4a96-84fc-51d15c3b247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e26bb4-898d-4ec1-b1d6-a0b99465968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355d5f8-99ea-442d-9422-d8ac3047ce04}" ma:internalName="TaxCatchAll" ma:showField="CatchAllData" ma:web="47e26bb4-898d-4ec1-b1d6-a0b9946596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5bb26fb-5083-4c50-883c-d776603123bd">
      <Terms xmlns="http://schemas.microsoft.com/office/infopath/2007/PartnerControls"/>
    </lcf76f155ced4ddcb4097134ff3c332f>
    <TaxCatchAll xmlns="47e26bb4-898d-4ec1-b1d6-a0b994659687"/>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s>
</file>

<file path=customXml/itemProps1.xml><?xml version="1.0" encoding="utf-8"?>
<ds:datastoreItem xmlns:ds="http://schemas.openxmlformats.org/officeDocument/2006/customXml" ds:itemID="{A82AEEDC-A0C2-4818-A712-39A6ED2DB335}">
  <ds:schemaRefs>
    <ds:schemaRef ds:uri="http://schemas.microsoft.com/sharepoint/v3/contenttype/forms"/>
  </ds:schemaRefs>
</ds:datastoreItem>
</file>

<file path=customXml/itemProps2.xml><?xml version="1.0" encoding="utf-8"?>
<ds:datastoreItem xmlns:ds="http://schemas.openxmlformats.org/officeDocument/2006/customXml" ds:itemID="{05C0D0C0-D54D-42F1-8F7F-17FA648E56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bb26fb-5083-4c50-883c-d776603123bd"/>
    <ds:schemaRef ds:uri="47e26bb4-898d-4ec1-b1d6-a0b9946596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CD7DBA-DA6C-45CD-9F60-F192DB16E9A2}">
  <ds:schemaRefs>
    <ds:schemaRef ds:uri="http://schemas.microsoft.com/office/2006/metadata/properties"/>
    <ds:schemaRef ds:uri="http://schemas.microsoft.com/office/infopath/2007/PartnerControls"/>
    <ds:schemaRef ds:uri="65bb26fb-5083-4c50-883c-d776603123bd"/>
    <ds:schemaRef ds:uri="47e26bb4-898d-4ec1-b1d6-a0b994659687"/>
  </ds:schemaRefs>
</ds:datastoreItem>
</file>

<file path=customXml/itemProps4.xml><?xml version="1.0" encoding="utf-8"?>
<ds:datastoreItem xmlns:ds="http://schemas.openxmlformats.org/officeDocument/2006/customXml" ds:itemID="{C7982807-4CDC-4896-A447-59CFE3BD6C66}">
  <ds:schemaRefs>
    <ds:schemaRef ds:uri="http://schemas.openxmlformats.org/officeDocument/2006/bibliography"/>
  </ds:schemaRefs>
</ds:datastoreItem>
</file>

<file path=docMetadata/LabelInfo.xml><?xml version="1.0" encoding="utf-8"?>
<clbl:labelList xmlns:clbl="http://schemas.microsoft.com/office/2020/mipLabelMetadata">
  <clbl:label id="{bf55136f-ed9f-4f33-b03b-bada2aac634e}" enabled="1" method="Standard" siteId="{5e29df0f-6efd-4865-b13a-9381bc1c18b1}"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5</Pages>
  <Words>734</Words>
  <Characters>4635</Characters>
  <Application>Microsoft Office Word</Application>
  <DocSecurity>0</DocSecurity>
  <Lines>81</Lines>
  <Paragraphs>31</Paragraphs>
  <ScaleCrop>false</ScaleCrop>
  <Company>Hewlett-Packard Company</Company>
  <LinksUpToDate>false</LinksUpToDate>
  <CharactersWithSpaces>5347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Smera Naik</dc:creator>
  <cp:keywords>[SEC=OFFICIAL]</cp:keywords>
  <cp:lastModifiedBy>CATLIN-STRUTHERS, Lydia</cp:lastModifiedBy>
  <cp:revision>3</cp:revision>
  <cp:lastPrinted>2017-08-09T11:45:00Z</cp:lastPrinted>
  <dcterms:created xsi:type="dcterms:W3CDTF">2025-12-11T23:05:00Z</dcterms:created>
  <dcterms:modified xsi:type="dcterms:W3CDTF">2025-12-11T23:05:00Z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0x010100A8C3389D4ADE204D9AE6E015F1940DF3</vt:lpwstr>
  </property>
  <property fmtid="{D5CDD505-2E9C-101B-9397-08002B2CF9AE}" pid="3" name="Order">
    <vt:r8>513000</vt:r8>
  </property>
  <property fmtid="{D5CDD505-2E9C-101B-9397-08002B2CF9AE}" pid="4" name="_dlc_DocIdItemGuid">
    <vt:lpwstr>731ce4ca-ffb8-4c84-9afb-e073f72c5ce6</vt:lpwstr>
  </property>
  <property fmtid="{D5CDD505-2E9C-101B-9397-08002B2CF9AE}" pid="5" name="MediaServiceImageTags">
    <vt:lpwstr/>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y fmtid="{D5CDD505-2E9C-101B-9397-08002B2CF9AE}" pid="12" name="PM_Caveats_Count">
    <vt:lpwstr>0</vt:lpwstr>
  </property>
  <property fmtid="{D5CDD505-2E9C-101B-9397-08002B2CF9AE}" pid="13" name="PM_Namespace">
    <vt:lpwstr>gov.au</vt:lpwstr>
  </property>
  <property fmtid="{D5CDD505-2E9C-101B-9397-08002B2CF9AE}" pid="14" name="PM_Version">
    <vt:lpwstr>2018.4</vt:lpwstr>
  </property>
  <property fmtid="{D5CDD505-2E9C-101B-9397-08002B2CF9AE}" pid="15" name="MSIP_Label_eb34d90b-fc41-464d-af60-f74d721d0790_Name">
    <vt:lpwstr>OFFICIAL</vt:lpwstr>
  </property>
  <property fmtid="{D5CDD505-2E9C-101B-9397-08002B2CF9AE}" pid="16" name="PM_Note">
    <vt:lpwstr/>
  </property>
  <property fmtid="{D5CDD505-2E9C-101B-9397-08002B2CF9AE}" pid="17" name="PMHMAC">
    <vt:lpwstr>v=2024.1;a=SHA256;h=10D1630E36DD1DA552FA15B1A6E8310F5DBEF8DE012D8D608901004C70AD39D0</vt:lpwstr>
  </property>
  <property fmtid="{D5CDD505-2E9C-101B-9397-08002B2CF9AE}" pid="18" name="PM_Qualifier">
    <vt:lpwstr/>
  </property>
  <property fmtid="{D5CDD505-2E9C-101B-9397-08002B2CF9AE}" pid="19" name="PM_SecurityClassification">
    <vt:lpwstr>OFFICIAL</vt:lpwstr>
  </property>
  <property fmtid="{D5CDD505-2E9C-101B-9397-08002B2CF9AE}" pid="20" name="PM_ProtectiveMarkingValue_Header">
    <vt:lpwstr>OFFICIAL</vt:lpwstr>
  </property>
  <property fmtid="{D5CDD505-2E9C-101B-9397-08002B2CF9AE}" pid="21" name="PM_OriginationTimeStamp">
    <vt:lpwstr>2025-12-11T23:04:58Z</vt:lpwstr>
  </property>
  <property fmtid="{D5CDD505-2E9C-101B-9397-08002B2CF9AE}" pid="22" name="PM_Markers">
    <vt:lpwstr/>
  </property>
  <property fmtid="{D5CDD505-2E9C-101B-9397-08002B2CF9AE}" pid="23" name="PM_DownTo">
    <vt:lpwstr/>
  </property>
  <property fmtid="{D5CDD505-2E9C-101B-9397-08002B2CF9AE}" pid="24" name="PM_DisplayValueSecClassificationWithQualifier">
    <vt:lpwstr>OFFICIAL</vt:lpwstr>
  </property>
  <property fmtid="{D5CDD505-2E9C-101B-9397-08002B2CF9AE}" pid="25" name="PM_Expires">
    <vt:lpwstr/>
  </property>
  <property fmtid="{D5CDD505-2E9C-101B-9397-08002B2CF9AE}" pid="26" name="PM_InsertionValue">
    <vt:lpwstr>OFFICIAL</vt:lpwstr>
  </property>
  <property fmtid="{D5CDD505-2E9C-101B-9397-08002B2CF9AE}" pid="27" name="PM_DowngradeTo">
    <vt:lpwstr/>
  </property>
  <property fmtid="{D5CDD505-2E9C-101B-9397-08002B2CF9AE}" pid="28" name="MSIP_Label_eb34d90b-fc41-464d-af60-f74d721d0790_SiteId">
    <vt:lpwstr>61e36dd1-ca6e-4d61-aa0a-2b4eb88317a3</vt:lpwstr>
  </property>
  <property fmtid="{D5CDD505-2E9C-101B-9397-08002B2CF9AE}" pid="29" name="MSIP_Label_eb34d90b-fc41-464d-af60-f74d721d0790_ContentBits">
    <vt:lpwstr>3</vt:lpwstr>
  </property>
  <property fmtid="{D5CDD505-2E9C-101B-9397-08002B2CF9AE}" pid="30" name="MSIP_Label_eb34d90b-fc41-464d-af60-f74d721d0790_Enabled">
    <vt:lpwstr>true</vt:lpwstr>
  </property>
  <property fmtid="{D5CDD505-2E9C-101B-9397-08002B2CF9AE}" pid="31" name="MSIP_Label_eb34d90b-fc41-464d-af60-f74d721d0790_SetDate">
    <vt:lpwstr>2025-12-11T23:04:58Z</vt:lpwstr>
  </property>
  <property fmtid="{D5CDD505-2E9C-101B-9397-08002B2CF9AE}" pid="32" name="MSIP_Label_eb34d90b-fc41-464d-af60-f74d721d0790_Method">
    <vt:lpwstr>Privileged</vt:lpwstr>
  </property>
  <property fmtid="{D5CDD505-2E9C-101B-9397-08002B2CF9AE}" pid="33" name="MSIP_Label_eb34d90b-fc41-464d-af60-f74d721d0790_ActionId">
    <vt:lpwstr>c8b2ebb7a5464501a22d68e8b5f24b7c</vt:lpwstr>
  </property>
  <property fmtid="{D5CDD505-2E9C-101B-9397-08002B2CF9AE}" pid="34" name="PM_Originator_Hash_SHA1">
    <vt:lpwstr>70D524B4874D1B3B34D90FDE0E5D82AA5E75BD44</vt:lpwstr>
  </property>
  <property fmtid="{D5CDD505-2E9C-101B-9397-08002B2CF9AE}" pid="35" name="PM_Originating_FileId">
    <vt:lpwstr>AE64B8FD1F884FAD9185291EAF32AF4C</vt:lpwstr>
  </property>
  <property fmtid="{D5CDD505-2E9C-101B-9397-08002B2CF9AE}" pid="36" name="PM_ProtectiveMarkingValue_Footer">
    <vt:lpwstr>OFFICIAL</vt:lpwstr>
  </property>
  <property fmtid="{D5CDD505-2E9C-101B-9397-08002B2CF9AE}" pid="37" name="PM_Display">
    <vt:lpwstr>OFFICIAL</vt:lpwstr>
  </property>
  <property fmtid="{D5CDD505-2E9C-101B-9397-08002B2CF9AE}" pid="38" name="PM_OriginatorUserAccountName_SHA256">
    <vt:lpwstr>01F708D3DB494DDF781230955858F50FB365853CE354C59361B69EC4E7CC965E</vt:lpwstr>
  </property>
  <property fmtid="{D5CDD505-2E9C-101B-9397-08002B2CF9AE}" pid="39" name="PM_OriginatorDomainName_SHA256">
    <vt:lpwstr>E83A2A66C4061446A7E3732E8D44762184B6B377D962B96C83DC624302585857</vt:lpwstr>
  </property>
  <property fmtid="{D5CDD505-2E9C-101B-9397-08002B2CF9AE}" pid="40" name="PMUuid">
    <vt:lpwstr>v=2022.2;d=gov.au;g=46DD6D7C-8107-577B-BC6E-F348953B2E44</vt:lpwstr>
  </property>
  <property fmtid="{D5CDD505-2E9C-101B-9397-08002B2CF9AE}" pid="41" name="PM_Hash_Version">
    <vt:lpwstr>2024.1</vt:lpwstr>
  </property>
  <property fmtid="{D5CDD505-2E9C-101B-9397-08002B2CF9AE}" pid="42" name="PM_Hash_Salt_Prev">
    <vt:lpwstr>66EA0D6949222F0F593FE705E173E789</vt:lpwstr>
  </property>
  <property fmtid="{D5CDD505-2E9C-101B-9397-08002B2CF9AE}" pid="43" name="PM_Hash_Salt">
    <vt:lpwstr>EBBB503EDB3E6EA65B5E7801C8555AF4</vt:lpwstr>
  </property>
  <property fmtid="{D5CDD505-2E9C-101B-9397-08002B2CF9AE}" pid="44" name="PM_Hash_SHA1">
    <vt:lpwstr>469E20D6A5F26C5E3E7FBF945E6883BC6C6B30FF</vt:lpwstr>
  </property>
</Properties>
</file>