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73B0" w14:textId="77777777" w:rsidR="00137A97" w:rsidRDefault="007B3A63">
      <w:pPr>
        <w:spacing w:after="267" w:line="228" w:lineRule="auto"/>
        <w:ind w:left="5"/>
        <w:jc w:val="left"/>
      </w:pPr>
      <w:r>
        <w:rPr>
          <w:sz w:val="28"/>
        </w:rPr>
        <w:t>Are you an individual or making a submission on behalf of an organisation?</w:t>
      </w:r>
    </w:p>
    <w:p w14:paraId="670DF83C" w14:textId="77777777" w:rsidR="00137A97" w:rsidRDefault="007B3A63">
      <w:pPr>
        <w:spacing w:after="320"/>
        <w:ind w:left="305" w:right="35"/>
      </w:pPr>
      <w:r>
        <w:t>Organisation</w:t>
      </w:r>
    </w:p>
    <w:p w14:paraId="1DF8F2B6" w14:textId="77777777" w:rsidR="00137A97" w:rsidRDefault="007B3A63">
      <w:pPr>
        <w:spacing w:after="320" w:line="228" w:lineRule="auto"/>
        <w:ind w:left="5"/>
        <w:jc w:val="left"/>
      </w:pPr>
      <w:r>
        <w:rPr>
          <w:sz w:val="28"/>
        </w:rPr>
        <w:t>Organisation name</w:t>
      </w:r>
    </w:p>
    <w:p w14:paraId="7283EC95" w14:textId="77777777" w:rsidR="00137A97" w:rsidRDefault="007B3A63">
      <w:pPr>
        <w:spacing w:after="295"/>
        <w:ind w:left="305" w:right="35"/>
      </w:pPr>
      <w:r>
        <w:t>QLD Aboriginal and Torres Strait Islander Child Protection Peak</w:t>
      </w:r>
    </w:p>
    <w:p w14:paraId="4A18005F" w14:textId="77777777" w:rsidR="00137A97" w:rsidRDefault="007B3A63">
      <w:pPr>
        <w:spacing w:after="57" w:line="228" w:lineRule="auto"/>
        <w:ind w:left="5"/>
        <w:jc w:val="left"/>
      </w:pPr>
      <w:r>
        <w:rPr>
          <w:sz w:val="28"/>
        </w:rPr>
        <w:t>Position</w:t>
      </w:r>
    </w:p>
    <w:p w14:paraId="15D31A40" w14:textId="77777777" w:rsidR="00137A97" w:rsidRDefault="007B3A63">
      <w:pPr>
        <w:spacing w:after="391" w:line="259" w:lineRule="auto"/>
        <w:ind w:left="280"/>
        <w:jc w:val="left"/>
      </w:pPr>
      <w:r>
        <w:rPr>
          <w:noProof/>
        </w:rPr>
        <w:drawing>
          <wp:inline distT="0" distB="0" distL="0" distR="0" wp14:anchorId="112EE3E0" wp14:editId="4EE8D52D">
            <wp:extent cx="578161" cy="190595"/>
            <wp:effectExtent l="0" t="0" r="0" b="0"/>
            <wp:docPr id="1480" name="Picture 1480"/>
            <wp:cNvGraphicFramePr/>
            <a:graphic xmlns:a="http://schemas.openxmlformats.org/drawingml/2006/main">
              <a:graphicData uri="http://schemas.openxmlformats.org/drawingml/2006/picture">
                <pic:pic xmlns:pic="http://schemas.openxmlformats.org/drawingml/2006/picture">
                  <pic:nvPicPr>
                    <pic:cNvPr id="1480" name="Picture 1480"/>
                    <pic:cNvPicPr/>
                  </pic:nvPicPr>
                  <pic:blipFill>
                    <a:blip r:embed="rId7"/>
                    <a:stretch>
                      <a:fillRect/>
                    </a:stretch>
                  </pic:blipFill>
                  <pic:spPr>
                    <a:xfrm>
                      <a:off x="0" y="0"/>
                      <a:ext cx="578161" cy="190595"/>
                    </a:xfrm>
                    <a:prstGeom prst="rect">
                      <a:avLst/>
                    </a:prstGeom>
                  </pic:spPr>
                </pic:pic>
              </a:graphicData>
            </a:graphic>
          </wp:inline>
        </w:drawing>
      </w:r>
    </w:p>
    <w:p w14:paraId="5EA2C5A4" w14:textId="77777777" w:rsidR="00137A97" w:rsidRDefault="007B3A63">
      <w:pPr>
        <w:spacing w:after="320" w:line="228" w:lineRule="auto"/>
        <w:ind w:left="5"/>
        <w:jc w:val="left"/>
      </w:pPr>
      <w:r>
        <w:rPr>
          <w:sz w:val="28"/>
        </w:rPr>
        <w:t>Is your organisation....?</w:t>
      </w:r>
    </w:p>
    <w:p w14:paraId="25850DDB" w14:textId="77777777" w:rsidR="00137A97" w:rsidRDefault="007B3A63">
      <w:pPr>
        <w:spacing w:after="302"/>
        <w:ind w:left="670" w:right="35"/>
      </w:pPr>
      <w:r>
        <w:rPr>
          <w:noProof/>
        </w:rPr>
        <w:drawing>
          <wp:inline distT="0" distB="0" distL="0" distR="0" wp14:anchorId="55470027" wp14:editId="1FDDCC16">
            <wp:extent cx="50828" cy="44472"/>
            <wp:effectExtent l="0" t="0" r="0" b="0"/>
            <wp:docPr id="1473" name="Picture 1473"/>
            <wp:cNvGraphicFramePr/>
            <a:graphic xmlns:a="http://schemas.openxmlformats.org/drawingml/2006/main">
              <a:graphicData uri="http://schemas.openxmlformats.org/drawingml/2006/picture">
                <pic:pic xmlns:pic="http://schemas.openxmlformats.org/drawingml/2006/picture">
                  <pic:nvPicPr>
                    <pic:cNvPr id="1473" name="Picture 1473"/>
                    <pic:cNvPicPr/>
                  </pic:nvPicPr>
                  <pic:blipFill>
                    <a:blip r:embed="rId8"/>
                    <a:stretch>
                      <a:fillRect/>
                    </a:stretch>
                  </pic:blipFill>
                  <pic:spPr>
                    <a:xfrm>
                      <a:off x="0" y="0"/>
                      <a:ext cx="50828" cy="44472"/>
                    </a:xfrm>
                    <a:prstGeom prst="rect">
                      <a:avLst/>
                    </a:prstGeom>
                  </pic:spPr>
                </pic:pic>
              </a:graphicData>
            </a:graphic>
          </wp:inline>
        </w:drawing>
      </w:r>
      <w:r>
        <w:t xml:space="preserve"> A peak-body</w:t>
      </w:r>
    </w:p>
    <w:p w14:paraId="7C7145E6" w14:textId="77777777" w:rsidR="00137A97" w:rsidRDefault="007B3A63">
      <w:pPr>
        <w:numPr>
          <w:ilvl w:val="0"/>
          <w:numId w:val="1"/>
        </w:numPr>
        <w:spacing w:after="239" w:line="228" w:lineRule="auto"/>
        <w:ind w:right="40" w:firstLine="10"/>
        <w:jc w:val="left"/>
      </w:pPr>
      <w:r>
        <w:rPr>
          <w:sz w:val="28"/>
        </w:rPr>
        <w:t>Does the new vision reflect what we all want for children and families?</w:t>
      </w:r>
    </w:p>
    <w:p w14:paraId="2093835D" w14:textId="77777777" w:rsidR="00137A97" w:rsidRDefault="007B3A63">
      <w:pPr>
        <w:spacing w:after="301"/>
        <w:ind w:left="305" w:right="35"/>
      </w:pPr>
      <w:r>
        <w:t>Yes — broadly, however, it will only be achieved if the system recognises that empowerment and resilience are built through culture, connection and communityled support.</w:t>
      </w:r>
    </w:p>
    <w:p w14:paraId="56235589" w14:textId="77777777" w:rsidR="00137A97" w:rsidRDefault="007B3A63">
      <w:pPr>
        <w:numPr>
          <w:ilvl w:val="0"/>
          <w:numId w:val="1"/>
        </w:numPr>
        <w:spacing w:after="328" w:line="226" w:lineRule="auto"/>
        <w:ind w:right="40" w:firstLine="10"/>
        <w:jc w:val="left"/>
      </w:pPr>
      <w:r>
        <w:rPr>
          <w:sz w:val="28"/>
        </w:rPr>
        <w:t>Are the two main outcomes what we should be working towards for children and families? Why/Why not? - Outcome 1: Parents and caregivers are empowered to raise healthy, resilient children - Outcome 2: Children are supported to grow into healthy, resilient adults.</w:t>
      </w:r>
    </w:p>
    <w:p w14:paraId="24953EF0" w14:textId="77777777" w:rsidR="00137A97" w:rsidRDefault="007B3A63">
      <w:pPr>
        <w:spacing w:after="328"/>
        <w:ind w:left="305" w:right="35"/>
      </w:pPr>
      <w:r>
        <w:t>The two outcomes are appropriate, but they must be underpinned by Aboriginal and Torres Strait Islander definitions of what "healthy", "resilient" and "empowered" mean in practice.</w:t>
      </w:r>
    </w:p>
    <w:p w14:paraId="0C9C52AF" w14:textId="77777777" w:rsidR="00137A97" w:rsidRDefault="007B3A63">
      <w:pPr>
        <w:spacing w:after="356"/>
        <w:ind w:left="305" w:right="35"/>
      </w:pPr>
      <w:r>
        <w:t>Outcome 1 is the right goal, but parents and caregivers cannot be "empowered" unless the services supporting them are culturally safe, community-controlled, and designed around the lived realities. Empowerment is not something delivered to families — it is something strengthened through self-determination, trusted relationships, and culturally grounded support.</w:t>
      </w:r>
    </w:p>
    <w:p w14:paraId="641CC0B7" w14:textId="77777777" w:rsidR="00137A97" w:rsidRDefault="007B3A63">
      <w:pPr>
        <w:ind w:left="305" w:right="35"/>
      </w:pPr>
      <w:r>
        <w:t>Outcome 2 is important, but children become healthy, resilient adults when they grow up strong in culture, identity, belonging, kinship and connection to country.</w:t>
      </w:r>
    </w:p>
    <w:p w14:paraId="3E1A0EB6" w14:textId="77777777" w:rsidR="00137A97" w:rsidRDefault="007B3A63">
      <w:pPr>
        <w:ind w:left="305" w:right="35"/>
      </w:pPr>
      <w:r>
        <w:t>Resilience is not only an individual trait, but also shaped by the conditions families</w:t>
      </w:r>
    </w:p>
    <w:p w14:paraId="08B33AFB" w14:textId="77777777" w:rsidR="00137A97" w:rsidRDefault="007B3A63">
      <w:pPr>
        <w:spacing w:after="321"/>
        <w:ind w:left="305" w:right="35"/>
      </w:pPr>
      <w:r>
        <w:t>live within, including the impacts of colonisation, racism, poverty and contact with statutory systems.</w:t>
      </w:r>
    </w:p>
    <w:p w14:paraId="5EEA6102" w14:textId="77777777" w:rsidR="00137A97" w:rsidRDefault="007B3A63">
      <w:pPr>
        <w:numPr>
          <w:ilvl w:val="0"/>
          <w:numId w:val="2"/>
        </w:numPr>
        <w:spacing w:after="265" w:line="228" w:lineRule="auto"/>
        <w:jc w:val="left"/>
      </w:pPr>
      <w:r>
        <w:rPr>
          <w:sz w:val="28"/>
        </w:rPr>
        <w:lastRenderedPageBreak/>
        <w:t>Will a single national program provide more flexibility for your organisation?</w:t>
      </w:r>
    </w:p>
    <w:p w14:paraId="609881E9" w14:textId="77777777" w:rsidR="00137A97" w:rsidRDefault="007B3A63">
      <w:pPr>
        <w:spacing w:after="326"/>
        <w:ind w:left="305" w:right="100"/>
      </w:pPr>
      <w:r>
        <w:t>Yes, a single national program has the potential to create more flexibility, but only if the commissioning and contracting approach genuinely shifts power to ATSICCOs. While streamlined contracting may reduce administrative burden, it will not automatically translate to better outcomes unless the program structure is accompanied by long-term, flexible funding and a commitment to ATSICCO-led design and delivery.</w:t>
      </w:r>
    </w:p>
    <w:p w14:paraId="55BCAEF8" w14:textId="77777777" w:rsidR="00137A97" w:rsidRDefault="007B3A63">
      <w:pPr>
        <w:numPr>
          <w:ilvl w:val="0"/>
          <w:numId w:val="2"/>
        </w:numPr>
        <w:spacing w:after="320" w:line="228" w:lineRule="auto"/>
        <w:jc w:val="left"/>
      </w:pPr>
      <w:r>
        <w:rPr>
          <w:sz w:val="28"/>
        </w:rPr>
        <w:t>Does the service or activity you deliver fit within one of the three funding streams? Do these streams reflect what children and families in your community need now — and what they might need in the future?</w:t>
      </w:r>
    </w:p>
    <w:p w14:paraId="42914C71" w14:textId="77777777" w:rsidR="00137A97" w:rsidRDefault="007B3A63">
      <w:pPr>
        <w:spacing w:after="325"/>
        <w:ind w:left="305" w:right="35"/>
      </w:pPr>
      <w:r>
        <w:t>The services delivered through ATSICCOs align with the three funding streams, particularly early intervention (would suggest replacing the word "intervention" with "support"), prevention and intensive family support. However, these streams will only reflect what our children and families need now and, in the future, if they are implemented through a culturally grounded, place-based approach. The current framing remains service centric, our communities require models that strengthen culture, identity, belong</w:t>
      </w:r>
      <w:r>
        <w:t>ing, kinship and healing alongside parenting and child development supports</w:t>
      </w:r>
    </w:p>
    <w:p w14:paraId="5B2E578D" w14:textId="77777777" w:rsidR="00137A97" w:rsidRDefault="007B3A63">
      <w:pPr>
        <w:numPr>
          <w:ilvl w:val="0"/>
          <w:numId w:val="2"/>
        </w:numPr>
        <w:spacing w:after="320" w:line="228" w:lineRule="auto"/>
        <w:jc w:val="left"/>
      </w:pPr>
      <w:r>
        <w:rPr>
          <w:sz w:val="28"/>
        </w:rPr>
        <w:t>Are there other changes we could make to the program to help your organisation or community overcome current challenges?</w:t>
      </w:r>
    </w:p>
    <w:p w14:paraId="1BE1A786" w14:textId="77777777" w:rsidR="00137A97" w:rsidRDefault="007B3A63">
      <w:pPr>
        <w:numPr>
          <w:ilvl w:val="1"/>
          <w:numId w:val="2"/>
        </w:numPr>
        <w:ind w:right="35"/>
      </w:pPr>
      <w:r>
        <w:t>Priorities ATSICCO-led delivery in all communities with significant Aboriginal and Torres Strait Islander populations, consistent with CtG Priority Reform 2.</w:t>
      </w:r>
    </w:p>
    <w:p w14:paraId="3AE4775A" w14:textId="77777777" w:rsidR="00137A97" w:rsidRDefault="007B3A63">
      <w:pPr>
        <w:numPr>
          <w:ilvl w:val="1"/>
          <w:numId w:val="2"/>
        </w:numPr>
        <w:ind w:right="35"/>
      </w:pPr>
      <w:r>
        <w:t>Embed shared decision-making, ensuring local First Nations governance groups guide planning, commissioning and implementation.</w:t>
      </w:r>
    </w:p>
    <w:p w14:paraId="69C38FF5" w14:textId="77777777" w:rsidR="00137A97" w:rsidRDefault="007B3A63">
      <w:pPr>
        <w:numPr>
          <w:ilvl w:val="1"/>
          <w:numId w:val="2"/>
        </w:numPr>
        <w:ind w:right="35"/>
      </w:pPr>
      <w:r>
        <w:t>Reform DEX and reporting settings to reflect cultural ways for working, using narrative, yarning and strengths-based evidence rather than narrow Western categories.</w:t>
      </w:r>
    </w:p>
    <w:p w14:paraId="0E76A929" w14:textId="77777777" w:rsidR="00137A97" w:rsidRDefault="007B3A63">
      <w:pPr>
        <w:numPr>
          <w:ilvl w:val="1"/>
          <w:numId w:val="2"/>
        </w:numPr>
        <w:ind w:right="35"/>
      </w:pPr>
      <w:r>
        <w:t>Invest in workforce development, including funded pipelines for recruiting, training and retaining a culturally capable First Nations workforce (see QATSICPP Workforce Strategy).</w:t>
      </w:r>
    </w:p>
    <w:p w14:paraId="794446BC" w14:textId="77777777" w:rsidR="00137A97" w:rsidRDefault="007B3A63">
      <w:pPr>
        <w:numPr>
          <w:ilvl w:val="1"/>
          <w:numId w:val="2"/>
        </w:numPr>
        <w:ind w:right="35"/>
      </w:pPr>
      <w:r>
        <w:t>Support integrated, one-stop, community-led service hubs, which families consistently identify as the safest and most effective way to access support.</w:t>
      </w:r>
    </w:p>
    <w:p w14:paraId="4B5A8704" w14:textId="77777777" w:rsidR="00137A97" w:rsidRDefault="007B3A63">
      <w:pPr>
        <w:spacing w:after="284"/>
        <w:ind w:left="305" w:right="35"/>
      </w:pPr>
      <w:r>
        <w:t>A single national program will only create real flexibility and impact if it centres community control, cultural authority and local decision-making.</w:t>
      </w:r>
    </w:p>
    <w:p w14:paraId="6AFA93DF" w14:textId="77777777" w:rsidR="00137A97" w:rsidRDefault="007B3A63">
      <w:pPr>
        <w:numPr>
          <w:ilvl w:val="0"/>
          <w:numId w:val="2"/>
        </w:numPr>
        <w:spacing w:after="320" w:line="228" w:lineRule="auto"/>
        <w:jc w:val="left"/>
      </w:pPr>
      <w:r>
        <w:rPr>
          <w:sz w:val="28"/>
        </w:rPr>
        <w:lastRenderedPageBreak/>
        <w:t>Do you agree that the four priorities listed on Page 4 are right areas for investment to improve outcomes for children and families?</w:t>
      </w:r>
    </w:p>
    <w:p w14:paraId="2A07AFAC" w14:textId="77777777" w:rsidR="00137A97" w:rsidRDefault="007B3A63">
      <w:pPr>
        <w:spacing w:after="394"/>
        <w:ind w:left="305" w:right="170"/>
      </w:pPr>
      <w:r>
        <w:t xml:space="preserve">Early intervention (support), integrated services, community-informed design, and improved outcomes for First Nations families are all critical — but each requires a stronger commitment to shifting power, resources and decision-making to </w:t>
      </w:r>
      <w:r>
        <w:t>ATSICCOs.</w:t>
      </w:r>
    </w:p>
    <w:p w14:paraId="03EB356D" w14:textId="77777777" w:rsidR="00137A97" w:rsidRDefault="007B3A63">
      <w:pPr>
        <w:numPr>
          <w:ilvl w:val="0"/>
          <w:numId w:val="2"/>
        </w:numPr>
        <w:spacing w:after="320" w:line="228" w:lineRule="auto"/>
        <w:jc w:val="left"/>
      </w:pPr>
      <w:r>
        <w:rPr>
          <w:sz w:val="28"/>
        </w:rPr>
        <w:t>Are there any other priorities or issues you think the department should be focusing on?</w:t>
      </w:r>
    </w:p>
    <w:p w14:paraId="716D4533" w14:textId="77777777" w:rsidR="00137A97" w:rsidRDefault="007B3A63">
      <w:pPr>
        <w:ind w:left="305" w:right="35"/>
      </w:pPr>
      <w:r>
        <w:t>1 . Make ATSICCO-led service delivery the default, not the exception — Priority</w:t>
      </w:r>
    </w:p>
    <w:p w14:paraId="0804B4FC" w14:textId="77777777" w:rsidR="00137A97" w:rsidRDefault="007B3A63">
      <w:pPr>
        <w:ind w:left="305" w:right="260"/>
      </w:pPr>
      <w:r>
        <w:t>Reform 2 must be operationalised — meaning that in communities with significant First Nations populations, ATSICCOs should be the primary providers, with mainstream NGOs playing an ongoing supporting role where needed.</w:t>
      </w:r>
    </w:p>
    <w:p w14:paraId="379FD9F9" w14:textId="77777777" w:rsidR="00137A97" w:rsidRDefault="007B3A63">
      <w:pPr>
        <w:numPr>
          <w:ilvl w:val="1"/>
          <w:numId w:val="3"/>
        </w:numPr>
        <w:ind w:right="185"/>
      </w:pPr>
      <w:r>
        <w:t>Embed shared decision-making at every stage — Investment should prioritise structures where First Nations governance groups, Elders and community representatives guide design, commissioning, implementation and evaluation (aligned to Priority Reform 1).</w:t>
      </w:r>
    </w:p>
    <w:p w14:paraId="0A7A08AA" w14:textId="77777777" w:rsidR="00137A97" w:rsidRDefault="007B3A63">
      <w:pPr>
        <w:numPr>
          <w:ilvl w:val="1"/>
          <w:numId w:val="3"/>
        </w:numPr>
        <w:ind w:right="185"/>
      </w:pPr>
      <w:r>
        <w:t>Resource community-led healing and trauma-responsive supports — given the ongoing impacts of colonisation, intergenerational trauma and system-driven fear, healing must be treated as a core service element, not an optional add-on.</w:t>
      </w:r>
    </w:p>
    <w:p w14:paraId="06AB281F" w14:textId="77777777" w:rsidR="00137A97" w:rsidRDefault="007B3A63">
      <w:pPr>
        <w:numPr>
          <w:ilvl w:val="1"/>
          <w:numId w:val="3"/>
        </w:numPr>
        <w:ind w:right="185"/>
      </w:pPr>
      <w:r>
        <w:t>Invest in First Nations workforce pipelines — funded pathways into the sector (VET, university, RPL, mentoring, traineeships, local employment strategies). must be a core investment priority.</w:t>
      </w:r>
    </w:p>
    <w:p w14:paraId="6F2ECFE0" w14:textId="77777777" w:rsidR="00137A97" w:rsidRDefault="007B3A63">
      <w:pPr>
        <w:numPr>
          <w:ilvl w:val="1"/>
          <w:numId w:val="3"/>
        </w:numPr>
        <w:spacing w:after="269"/>
        <w:ind w:right="185"/>
      </w:pPr>
      <w:r>
        <w:t>Fund integrated, place-based child and family hubs.</w:t>
      </w:r>
    </w:p>
    <w:p w14:paraId="71E9C16D" w14:textId="77777777" w:rsidR="00137A97" w:rsidRDefault="007B3A63">
      <w:pPr>
        <w:numPr>
          <w:ilvl w:val="0"/>
          <w:numId w:val="2"/>
        </w:numPr>
        <w:spacing w:after="320" w:line="228" w:lineRule="auto"/>
        <w:jc w:val="left"/>
      </w:pPr>
      <w:r>
        <w:rPr>
          <w:sz w:val="28"/>
        </w:rPr>
        <w:t>Do the proposed focus areas — like supporting families at risk of child protection involvement and young parents match the needs or priorities of your service?</w:t>
      </w:r>
    </w:p>
    <w:p w14:paraId="2FAE78F2" w14:textId="77777777" w:rsidR="00137A97" w:rsidRDefault="007B3A63">
      <w:pPr>
        <w:spacing w:after="291"/>
        <w:ind w:left="305" w:right="35"/>
      </w:pPr>
      <w:r>
        <w:t>Yes — the proposed focus areas align with the needs we see every day, particularly support for families at risk of child protection involvement.</w:t>
      </w:r>
    </w:p>
    <w:p w14:paraId="5362A99D" w14:textId="77777777" w:rsidR="00137A97" w:rsidRDefault="007B3A63">
      <w:pPr>
        <w:numPr>
          <w:ilvl w:val="0"/>
          <w:numId w:val="2"/>
        </w:numPr>
        <w:spacing w:after="320" w:line="228" w:lineRule="auto"/>
        <w:jc w:val="left"/>
      </w:pPr>
      <w:r>
        <w:rPr>
          <w:sz w:val="28"/>
        </w:rPr>
        <w:t>Are there other groups in your community, or different approaches, that you think the department should consider to better support family wellbeing?</w:t>
      </w:r>
    </w:p>
    <w:p w14:paraId="0B11D3BD" w14:textId="77777777" w:rsidR="00137A97" w:rsidRDefault="007B3A63">
      <w:pPr>
        <w:spacing w:after="331"/>
        <w:ind w:left="305" w:right="35"/>
      </w:pPr>
      <w:r>
        <w:t>However, to genuinely support family wellbeing, DSS must broaden its approach and recognise additional priorities specific to our communities, including:</w:t>
      </w:r>
    </w:p>
    <w:p w14:paraId="45F4BC1F" w14:textId="77777777" w:rsidR="00137A97" w:rsidRDefault="007B3A63">
      <w:pPr>
        <w:numPr>
          <w:ilvl w:val="1"/>
          <w:numId w:val="2"/>
        </w:numPr>
        <w:ind w:right="35"/>
      </w:pPr>
      <w:r>
        <w:lastRenderedPageBreak/>
        <w:t>Families affected by intergenerational trauma and system-driven fear.</w:t>
      </w:r>
    </w:p>
    <w:p w14:paraId="58E1CF85" w14:textId="77777777" w:rsidR="00137A97" w:rsidRDefault="007B3A63">
      <w:pPr>
        <w:numPr>
          <w:ilvl w:val="1"/>
          <w:numId w:val="2"/>
        </w:numPr>
        <w:ind w:right="35"/>
      </w:pPr>
      <w:r>
        <w:t>Families navigating disability and developmental concerns.</w:t>
      </w:r>
    </w:p>
    <w:p w14:paraId="69E30E7C" w14:textId="77777777" w:rsidR="00137A97" w:rsidRDefault="007B3A63">
      <w:pPr>
        <w:numPr>
          <w:ilvl w:val="1"/>
          <w:numId w:val="2"/>
        </w:numPr>
        <w:ind w:right="35"/>
      </w:pPr>
      <w:r>
        <w:t>Culturally diverse and remote communities.</w:t>
      </w:r>
    </w:p>
    <w:p w14:paraId="46AF9DD6" w14:textId="77777777" w:rsidR="00137A97" w:rsidRDefault="007B3A63">
      <w:pPr>
        <w:numPr>
          <w:ilvl w:val="1"/>
          <w:numId w:val="2"/>
        </w:numPr>
        <w:spacing w:after="331"/>
        <w:ind w:right="35"/>
      </w:pPr>
      <w:r>
        <w:t>Whole-of-family, whole-of-community approaches — family wellbeing is shaped by cultural connection, kinship, belonging and community conditions. Approaches should support extended family networks, not just nuclear family models.</w:t>
      </w:r>
    </w:p>
    <w:p w14:paraId="5A46FF12" w14:textId="77777777" w:rsidR="00137A97" w:rsidRDefault="007B3A63">
      <w:pPr>
        <w:spacing w:after="302"/>
        <w:ind w:left="305" w:right="35"/>
      </w:pPr>
      <w:r>
        <w:t>The focus areas are relevant, but DSS should expand its approach to reflect the specific realities of Aboriginal and Torres Strait Islander families.</w:t>
      </w:r>
    </w:p>
    <w:p w14:paraId="70B437B1" w14:textId="77777777" w:rsidR="00137A97" w:rsidRDefault="007B3A63">
      <w:pPr>
        <w:numPr>
          <w:ilvl w:val="0"/>
          <w:numId w:val="2"/>
        </w:numPr>
        <w:spacing w:after="320" w:line="228" w:lineRule="auto"/>
        <w:jc w:val="left"/>
      </w:pPr>
      <w:r>
        <w:rPr>
          <w:sz w:val="28"/>
        </w:rPr>
        <w:t>What are other effective ways, beyond co-location, that you've seen work well to connect and coordinate services for families?</w:t>
      </w:r>
    </w:p>
    <w:p w14:paraId="4CC97F8E" w14:textId="77777777" w:rsidR="00137A97" w:rsidRDefault="007B3A63">
      <w:pPr>
        <w:spacing w:after="446"/>
        <w:ind w:left="305" w:right="220"/>
      </w:pPr>
      <w:r>
        <w:t xml:space="preserve">Co-location is helpful, but it is not the only — or the most important — way to connect services for families. In community, the most effective coordination happens through trusted relationships, cultural governance, and integrated practice models led by ATSICCOs. These approaches ensure families experience support as one seamless, culturally safe system, not a collection of disconnected </w:t>
      </w:r>
      <w:r>
        <w:t>services.</w:t>
      </w:r>
    </w:p>
    <w:p w14:paraId="692F46F8" w14:textId="77777777" w:rsidR="00137A97" w:rsidRDefault="007B3A63">
      <w:pPr>
        <w:numPr>
          <w:ilvl w:val="0"/>
          <w:numId w:val="2"/>
        </w:numPr>
        <w:spacing w:after="287" w:line="228" w:lineRule="auto"/>
        <w:jc w:val="left"/>
      </w:pPr>
      <w:r>
        <w:rPr>
          <w:sz w:val="28"/>
        </w:rPr>
        <w:t>What would you highlight in a grant application to demonstrate a service is connected to the community it serves? What should applicants be assessed on?</w:t>
      </w:r>
    </w:p>
    <w:p w14:paraId="55C296DF" w14:textId="77777777" w:rsidR="00137A97" w:rsidRDefault="007B3A63">
      <w:pPr>
        <w:numPr>
          <w:ilvl w:val="1"/>
          <w:numId w:val="2"/>
        </w:numPr>
        <w:ind w:right="35"/>
      </w:pPr>
      <w:r>
        <w:t>Shared cultural governance and decision-making— local governance groups of Elders, community members and ATSICCO leaders guide priorities, ensure cultural integrity, and coordinated service responses.</w:t>
      </w:r>
    </w:p>
    <w:p w14:paraId="2522CFBE" w14:textId="77777777" w:rsidR="00137A97" w:rsidRDefault="007B3A63">
      <w:pPr>
        <w:numPr>
          <w:ilvl w:val="1"/>
          <w:numId w:val="2"/>
        </w:numPr>
        <w:ind w:right="35"/>
      </w:pPr>
      <w:r>
        <w:t>Community-led referral pathways — yarning based assessments and walking beside families to ensure they are not passed between services.</w:t>
      </w:r>
    </w:p>
    <w:p w14:paraId="438860A0" w14:textId="77777777" w:rsidR="00137A97" w:rsidRDefault="007B3A63">
      <w:pPr>
        <w:numPr>
          <w:ilvl w:val="1"/>
          <w:numId w:val="2"/>
        </w:numPr>
        <w:spacing w:after="88" w:line="347" w:lineRule="auto"/>
        <w:ind w:right="35"/>
      </w:pPr>
      <w:r>
        <w:t xml:space="preserve">Integrated practice teams — health, family support, early childhood, mental health and cultural practitioners collaborate around the family, not within organisational </w:t>
      </w:r>
      <w:r>
        <w:t>silos.</w:t>
      </w:r>
    </w:p>
    <w:p w14:paraId="61EFA13B" w14:textId="77777777" w:rsidR="00137A97" w:rsidRDefault="007B3A63">
      <w:pPr>
        <w:numPr>
          <w:ilvl w:val="1"/>
          <w:numId w:val="2"/>
        </w:numPr>
        <w:ind w:right="35"/>
      </w:pPr>
      <w:r>
        <w:t>Regular cross-service case yarning/conferencing— services come together to jointly plan support, with ATSICCOs leading.</w:t>
      </w:r>
    </w:p>
    <w:p w14:paraId="41093CBC" w14:textId="77777777" w:rsidR="00137A97" w:rsidRDefault="007B3A63">
      <w:pPr>
        <w:numPr>
          <w:ilvl w:val="1"/>
          <w:numId w:val="2"/>
        </w:numPr>
        <w:ind w:right="35"/>
      </w:pPr>
      <w:r>
        <w:t>One-stop engagement through a trusted organisation — multiple supports through the ATSICCO they trust.</w:t>
      </w:r>
    </w:p>
    <w:p w14:paraId="1A6BCC25" w14:textId="77777777" w:rsidR="00137A97" w:rsidRDefault="007B3A63">
      <w:pPr>
        <w:numPr>
          <w:ilvl w:val="1"/>
          <w:numId w:val="2"/>
        </w:numPr>
        <w:ind w:right="35"/>
      </w:pPr>
      <w:r>
        <w:lastRenderedPageBreak/>
        <w:t>Shared outcomes frameworks — services align around community-defined outcomes such as belonging, cultural identity, safety, healing and connection — not just Western, program-specific metrics.</w:t>
      </w:r>
    </w:p>
    <w:p w14:paraId="348364BC" w14:textId="77777777" w:rsidR="00137A97" w:rsidRDefault="007B3A63">
      <w:pPr>
        <w:ind w:left="305" w:right="35"/>
      </w:pPr>
      <w:r>
        <w:t>Grant applications to demonstrate:</w:t>
      </w:r>
    </w:p>
    <w:p w14:paraId="2FBC4A1A" w14:textId="77777777" w:rsidR="00137A97" w:rsidRDefault="007B3A63">
      <w:pPr>
        <w:numPr>
          <w:ilvl w:val="1"/>
          <w:numId w:val="2"/>
        </w:numPr>
        <w:ind w:right="35"/>
      </w:pPr>
      <w:r>
        <w:t>Community control - governance led by Aboriginal and Torres Strait Islander people, with clear community accountability and cultural authority.</w:t>
      </w:r>
    </w:p>
    <w:p w14:paraId="65739E0F" w14:textId="77777777" w:rsidR="00137A97" w:rsidRDefault="007B3A63">
      <w:pPr>
        <w:numPr>
          <w:ilvl w:val="1"/>
          <w:numId w:val="2"/>
        </w:numPr>
        <w:ind w:right="35"/>
      </w:pPr>
      <w:r>
        <w:t>Place-based design — programs shaped by local knowledge, not generic models. Evidence of yarning, knowledge circles or ongoing dialogue with families — capturing their voices.</w:t>
      </w:r>
    </w:p>
    <w:p w14:paraId="1F83A4C1" w14:textId="77777777" w:rsidR="00137A97" w:rsidRDefault="007B3A63">
      <w:pPr>
        <w:numPr>
          <w:ilvl w:val="1"/>
          <w:numId w:val="2"/>
        </w:numPr>
        <w:ind w:right="35"/>
      </w:pPr>
      <w:r>
        <w:t>Deep local partnerships — active collaboration with ATSICCOs, Elders, cultural groups.</w:t>
      </w:r>
    </w:p>
    <w:p w14:paraId="18544AE5" w14:textId="77777777" w:rsidR="00137A97" w:rsidRDefault="007B3A63">
      <w:pPr>
        <w:numPr>
          <w:ilvl w:val="1"/>
          <w:numId w:val="2"/>
        </w:numPr>
        <w:ind w:right="35"/>
      </w:pPr>
      <w:r>
        <w:t>Locally employed workforce — employment of local Aboriginal and Torres Strait Islander staff, cultural mentors and practitioners.</w:t>
      </w:r>
    </w:p>
    <w:p w14:paraId="74C9F14E" w14:textId="77777777" w:rsidR="00137A97" w:rsidRDefault="007B3A63">
      <w:pPr>
        <w:numPr>
          <w:ilvl w:val="1"/>
          <w:numId w:val="2"/>
        </w:numPr>
        <w:ind w:right="35"/>
      </w:pPr>
      <w:r>
        <w:t>Cultural embedding in practice — use of cultural practices, healing approaches, kinship structures and relational practice in service delivery.</w:t>
      </w:r>
    </w:p>
    <w:p w14:paraId="023B2D6F" w14:textId="77777777" w:rsidR="00137A97" w:rsidRDefault="007B3A63">
      <w:pPr>
        <w:numPr>
          <w:ilvl w:val="1"/>
          <w:numId w:val="2"/>
        </w:numPr>
        <w:spacing w:after="351"/>
        <w:ind w:right="35"/>
      </w:pPr>
      <w:r>
        <w:t>Culturally safe referral pathways — demonstrated ability to support families across multiple needs without handballing or fragmentation.</w:t>
      </w:r>
    </w:p>
    <w:p w14:paraId="334AA49C" w14:textId="77777777" w:rsidR="00137A97" w:rsidRDefault="007B3A63">
      <w:pPr>
        <w:spacing w:after="36" w:line="228" w:lineRule="auto"/>
        <w:ind w:left="300"/>
        <w:jc w:val="left"/>
      </w:pPr>
      <w:r>
        <w:rPr>
          <w:sz w:val="28"/>
        </w:rPr>
        <w:t>Assessment:</w:t>
      </w:r>
    </w:p>
    <w:p w14:paraId="5199D1BC" w14:textId="77777777" w:rsidR="00137A97" w:rsidRDefault="007B3A63">
      <w:pPr>
        <w:numPr>
          <w:ilvl w:val="1"/>
          <w:numId w:val="2"/>
        </w:numPr>
        <w:ind w:right="35"/>
      </w:pPr>
      <w:r>
        <w:t>Cultural safety and cultural governance — not just training, but who leads, who decides, and who the service is accountable to.</w:t>
      </w:r>
    </w:p>
    <w:p w14:paraId="150FFAB5" w14:textId="77777777" w:rsidR="00137A97" w:rsidRDefault="007B3A63">
      <w:pPr>
        <w:numPr>
          <w:ilvl w:val="1"/>
          <w:numId w:val="2"/>
        </w:numPr>
        <w:ind w:right="35"/>
      </w:pPr>
      <w:r>
        <w:t>Partnership with ATSICCOs — including evidence of genuine collaboration rather than token consultation.</w:t>
      </w:r>
    </w:p>
    <w:p w14:paraId="2111AA54" w14:textId="77777777" w:rsidR="00137A97" w:rsidRDefault="007B3A63">
      <w:pPr>
        <w:numPr>
          <w:ilvl w:val="1"/>
          <w:numId w:val="2"/>
        </w:numPr>
        <w:ind w:right="35"/>
      </w:pPr>
      <w:r>
        <w:t>Locally determined priorities — demonstrated through community engagement and yarning processes.</w:t>
      </w:r>
    </w:p>
    <w:p w14:paraId="3DC01150" w14:textId="77777777" w:rsidR="00137A97" w:rsidRDefault="007B3A63">
      <w:pPr>
        <w:numPr>
          <w:ilvl w:val="1"/>
          <w:numId w:val="2"/>
        </w:numPr>
        <w:ind w:right="35"/>
      </w:pPr>
      <w:r>
        <w:t>Integration in practice — including shared planning, warm referrals, and wraparound supports.</w:t>
      </w:r>
    </w:p>
    <w:p w14:paraId="0C64F7C4" w14:textId="77777777" w:rsidR="00137A97" w:rsidRDefault="007B3A63">
      <w:pPr>
        <w:numPr>
          <w:ilvl w:val="1"/>
          <w:numId w:val="2"/>
        </w:numPr>
        <w:ind w:right="35"/>
      </w:pPr>
      <w:r>
        <w:t>Workforce capability — particularly Aboriginal and Torres Strait Islander employment, mentoring and leadership pathways.</w:t>
      </w:r>
    </w:p>
    <w:p w14:paraId="1881DB8B" w14:textId="77777777" w:rsidR="00137A97" w:rsidRDefault="007B3A63">
      <w:pPr>
        <w:numPr>
          <w:ilvl w:val="1"/>
          <w:numId w:val="2"/>
        </w:numPr>
        <w:spacing w:after="352"/>
        <w:ind w:right="35"/>
      </w:pPr>
      <w:r>
        <w:t>Flexibility to adapt — rather than rigid program models that do not reflect community realities.</w:t>
      </w:r>
    </w:p>
    <w:p w14:paraId="48D025F5" w14:textId="77777777" w:rsidR="00137A97" w:rsidRDefault="007B3A63">
      <w:pPr>
        <w:spacing w:after="321"/>
        <w:ind w:left="305" w:right="35"/>
      </w:pPr>
      <w:r>
        <w:t>Effective integration comes from cultural leadership, trusted relationships and community-controlled coordination — not just shared buildings.</w:t>
      </w:r>
    </w:p>
    <w:p w14:paraId="744D0643" w14:textId="77777777" w:rsidR="00137A97" w:rsidRDefault="007B3A63">
      <w:pPr>
        <w:numPr>
          <w:ilvl w:val="0"/>
          <w:numId w:val="2"/>
        </w:numPr>
        <w:spacing w:after="320" w:line="228" w:lineRule="auto"/>
        <w:jc w:val="left"/>
      </w:pPr>
      <w:r>
        <w:rPr>
          <w:sz w:val="28"/>
        </w:rPr>
        <w:t>Beyond locational disadvantage, what other factors should the department consider to make sure funding reflects the needs of communities?</w:t>
      </w:r>
    </w:p>
    <w:p w14:paraId="49F62583" w14:textId="77777777" w:rsidR="00137A97" w:rsidRDefault="007B3A63">
      <w:pPr>
        <w:spacing w:line="230" w:lineRule="auto"/>
        <w:ind w:left="295" w:right="60" w:firstLine="10"/>
        <w:jc w:val="left"/>
      </w:pPr>
      <w:r>
        <w:lastRenderedPageBreak/>
        <w:t>Locational disadvantage is only one part of community need. For Aboriginal and Torres Strait Islander families, need is shaped by broader set of cultural, social, historical and systemic factors. To ensure funding truly reflects community realities, DSS must consider:</w:t>
      </w:r>
    </w:p>
    <w:p w14:paraId="0309DF18" w14:textId="77777777" w:rsidR="00137A97" w:rsidRDefault="007B3A63">
      <w:pPr>
        <w:numPr>
          <w:ilvl w:val="1"/>
          <w:numId w:val="2"/>
        </w:numPr>
        <w:ind w:right="35"/>
      </w:pPr>
      <w:r>
        <w:t>Historical and ongoing impacts of colonisation — intergenerational trauma, racism, fear of child protection systems, and the legacy of past policies directly influence access, engagement and wellbeing.</w:t>
      </w:r>
    </w:p>
    <w:p w14:paraId="2CC060A7" w14:textId="77777777" w:rsidR="00137A97" w:rsidRDefault="007B3A63">
      <w:pPr>
        <w:numPr>
          <w:ilvl w:val="1"/>
          <w:numId w:val="2"/>
        </w:numPr>
        <w:ind w:right="35"/>
      </w:pPr>
      <w:r>
        <w:t>Cultural connection and cultural strength — communities with disrupted cultural networks or kinship systems often need stronger investment in healing, identity and cultural reconnection.</w:t>
      </w:r>
    </w:p>
    <w:p w14:paraId="6B48C4B4" w14:textId="77777777" w:rsidR="00137A97" w:rsidRDefault="007B3A63">
      <w:pPr>
        <w:numPr>
          <w:ilvl w:val="1"/>
          <w:numId w:val="2"/>
        </w:numPr>
        <w:spacing w:line="230" w:lineRule="auto"/>
        <w:ind w:right="35"/>
      </w:pPr>
      <w:r>
        <w:t>Service gaps and mistrust of mainstream systems —where families avoid or disengage from mainstream services due to past harm or cultural unsafety, ATSICCO led responses require greater investment.</w:t>
      </w:r>
    </w:p>
    <w:p w14:paraId="61AF1CA8" w14:textId="77777777" w:rsidR="00137A97" w:rsidRDefault="007B3A63">
      <w:pPr>
        <w:numPr>
          <w:ilvl w:val="1"/>
          <w:numId w:val="2"/>
        </w:numPr>
        <w:spacing w:line="230" w:lineRule="auto"/>
        <w:ind w:right="35"/>
      </w:pPr>
      <w:r>
        <w:t>Workforce shortages and community capacity — remote and regional communities with limited First Nations workforce availability need tailored funding for recruitment, training and retention pipelines.</w:t>
      </w:r>
    </w:p>
    <w:p w14:paraId="15EB4F32" w14:textId="77777777" w:rsidR="00137A97" w:rsidRDefault="007B3A63">
      <w:pPr>
        <w:numPr>
          <w:ilvl w:val="1"/>
          <w:numId w:val="2"/>
        </w:numPr>
        <w:spacing w:line="230" w:lineRule="auto"/>
        <w:ind w:right="35"/>
      </w:pPr>
      <w:r>
        <w:t>Community defined priorities — local needs vary significantly. Funding must reflect what communities identify as priorities — not only what government systems classify as disadvantage.</w:t>
      </w:r>
    </w:p>
    <w:p w14:paraId="7F49F5CB" w14:textId="77777777" w:rsidR="00137A97" w:rsidRDefault="007B3A63">
      <w:pPr>
        <w:numPr>
          <w:ilvl w:val="1"/>
          <w:numId w:val="2"/>
        </w:numPr>
        <w:spacing w:after="298"/>
        <w:ind w:right="35"/>
      </w:pPr>
      <w:r>
        <w:t>Demand complexity — communities experiencing high levels of disability, early developmental vulnerability, housing stress, family violence or mental health concerns need proportionate, integrated, wraparound services.</w:t>
      </w:r>
    </w:p>
    <w:p w14:paraId="53677BA2" w14:textId="77777777" w:rsidR="00137A97" w:rsidRDefault="007B3A63">
      <w:pPr>
        <w:numPr>
          <w:ilvl w:val="0"/>
          <w:numId w:val="2"/>
        </w:numPr>
        <w:spacing w:after="263" w:line="228" w:lineRule="auto"/>
        <w:jc w:val="left"/>
      </w:pPr>
      <w:r>
        <w:rPr>
          <w:sz w:val="28"/>
        </w:rPr>
        <w:t>What's the best way for organisations to show in grant applications, that their service is genuinely meeting the needs of the community?</w:t>
      </w:r>
    </w:p>
    <w:p w14:paraId="43FEDEAD" w14:textId="77777777" w:rsidR="00137A97" w:rsidRDefault="007B3A63">
      <w:pPr>
        <w:ind w:left="305" w:right="35"/>
      </w:pPr>
      <w:r>
        <w:t>Grant applications — orgs should demonstrate deep, ongoing, local accountability rather than one-off consultation and includes the following</w:t>
      </w:r>
    </w:p>
    <w:p w14:paraId="23B1711C" w14:textId="77777777" w:rsidR="00137A97" w:rsidRDefault="007B3A63">
      <w:pPr>
        <w:numPr>
          <w:ilvl w:val="1"/>
          <w:numId w:val="2"/>
        </w:numPr>
        <w:ind w:right="35"/>
      </w:pPr>
      <w:r>
        <w:t>Community governance and leadership</w:t>
      </w:r>
    </w:p>
    <w:p w14:paraId="694D05FA" w14:textId="77777777" w:rsidR="00137A97" w:rsidRDefault="007B3A63">
      <w:pPr>
        <w:numPr>
          <w:ilvl w:val="1"/>
          <w:numId w:val="2"/>
        </w:numPr>
        <w:spacing w:after="36" w:line="228" w:lineRule="auto"/>
        <w:ind w:right="35"/>
      </w:pPr>
      <w:r>
        <w:rPr>
          <w:sz w:val="28"/>
        </w:rPr>
        <w:t>Place-based design shaped by community voice</w:t>
      </w:r>
    </w:p>
    <w:p w14:paraId="4AEB3A9C" w14:textId="77777777" w:rsidR="00137A97" w:rsidRDefault="007B3A63">
      <w:pPr>
        <w:numPr>
          <w:ilvl w:val="1"/>
          <w:numId w:val="2"/>
        </w:numPr>
        <w:ind w:right="35"/>
      </w:pPr>
      <w:r>
        <w:t>Strong local partnerships</w:t>
      </w:r>
    </w:p>
    <w:p w14:paraId="3D345700" w14:textId="77777777" w:rsidR="00137A97" w:rsidRDefault="007B3A63">
      <w:pPr>
        <w:numPr>
          <w:ilvl w:val="1"/>
          <w:numId w:val="2"/>
        </w:numPr>
        <w:ind w:right="35"/>
      </w:pPr>
      <w:r>
        <w:t>A local, culturally capable workforce</w:t>
      </w:r>
    </w:p>
    <w:p w14:paraId="1BFA7D29" w14:textId="77777777" w:rsidR="00137A97" w:rsidRDefault="007B3A63">
      <w:pPr>
        <w:numPr>
          <w:ilvl w:val="1"/>
          <w:numId w:val="2"/>
        </w:numPr>
        <w:ind w:right="35"/>
      </w:pPr>
      <w:r>
        <w:t>Demonstrated responsiveness — examples showing how the service has adapted its approach based on community feedback or changing needs</w:t>
      </w:r>
    </w:p>
    <w:p w14:paraId="73A03F6B" w14:textId="77777777" w:rsidR="00137A97" w:rsidRDefault="007B3A63">
      <w:pPr>
        <w:numPr>
          <w:ilvl w:val="1"/>
          <w:numId w:val="2"/>
        </w:numPr>
        <w:ind w:right="35"/>
      </w:pPr>
      <w:r>
        <w:t>Proven trust and engagement</w:t>
      </w:r>
    </w:p>
    <w:p w14:paraId="65ADEE8B" w14:textId="77777777" w:rsidR="00137A97" w:rsidRDefault="007B3A63">
      <w:pPr>
        <w:numPr>
          <w:ilvl w:val="1"/>
          <w:numId w:val="2"/>
        </w:numPr>
        <w:spacing w:after="271"/>
        <w:ind w:right="35"/>
      </w:pPr>
      <w:r>
        <w:t>Evidence of cultural embedding- cultural practices, healing approaches, and kinship structures integrated throughout the service — not applied as add-ons.</w:t>
      </w:r>
    </w:p>
    <w:p w14:paraId="5CA5424E" w14:textId="77777777" w:rsidR="00137A97" w:rsidRDefault="007B3A63">
      <w:pPr>
        <w:numPr>
          <w:ilvl w:val="0"/>
          <w:numId w:val="2"/>
        </w:numPr>
        <w:spacing w:after="320" w:line="228" w:lineRule="auto"/>
        <w:jc w:val="left"/>
      </w:pPr>
      <w:r>
        <w:rPr>
          <w:sz w:val="28"/>
        </w:rPr>
        <w:t>How could the grant process be designed to support and increase the number of ACCOs delivering services to children and families?</w:t>
      </w:r>
    </w:p>
    <w:p w14:paraId="4AED952F" w14:textId="77777777" w:rsidR="00137A97" w:rsidRDefault="007B3A63">
      <w:pPr>
        <w:spacing w:line="230" w:lineRule="auto"/>
        <w:ind w:left="295" w:right="60" w:firstLine="10"/>
        <w:jc w:val="left"/>
      </w:pPr>
      <w:r>
        <w:lastRenderedPageBreak/>
        <w:t>The grant process must shift from competitive tendering to priority commissioning that enables Aboriginal and Torres Strait Islander Community-Controlled Organisations (ATSICCOs) to lead service delivery. To do this, the department should:</w:t>
      </w:r>
    </w:p>
    <w:p w14:paraId="178106AA" w14:textId="77777777" w:rsidR="00137A97" w:rsidRDefault="007B3A63">
      <w:pPr>
        <w:numPr>
          <w:ilvl w:val="1"/>
          <w:numId w:val="2"/>
        </w:numPr>
        <w:ind w:right="35"/>
      </w:pPr>
      <w:r>
        <w:t>Make ATSICCO-led delivery the default in all communities with significant First Nations population</w:t>
      </w:r>
    </w:p>
    <w:p w14:paraId="4BE97263" w14:textId="77777777" w:rsidR="00137A97" w:rsidRDefault="007B3A63">
      <w:pPr>
        <w:numPr>
          <w:ilvl w:val="1"/>
          <w:numId w:val="2"/>
        </w:numPr>
        <w:ind w:right="35"/>
      </w:pPr>
      <w:r>
        <w:t>Use a separate, ATSICCO-specific funding stream</w:t>
      </w:r>
    </w:p>
    <w:p w14:paraId="55D61682" w14:textId="77777777" w:rsidR="00137A97" w:rsidRDefault="007B3A63">
      <w:pPr>
        <w:numPr>
          <w:ilvl w:val="1"/>
          <w:numId w:val="2"/>
        </w:numPr>
        <w:ind w:right="35"/>
      </w:pPr>
      <w:r>
        <w:t>Provide long-term, flexible contracts (minimum 7-1 Oyrs)</w:t>
      </w:r>
    </w:p>
    <w:p w14:paraId="112A4B34" w14:textId="77777777" w:rsidR="00137A97" w:rsidRDefault="007B3A63">
      <w:pPr>
        <w:numPr>
          <w:ilvl w:val="1"/>
          <w:numId w:val="2"/>
        </w:numPr>
        <w:ind w:right="35"/>
      </w:pPr>
      <w:r>
        <w:t>Fund ATSICCO readiness and transition support — include startup funding, backoff support, workforce development, infrastructure, and system readiness packages so ATSICCOs can scale safely and sustainably.</w:t>
      </w:r>
    </w:p>
    <w:p w14:paraId="1E93B26E" w14:textId="77777777" w:rsidR="00137A97" w:rsidRDefault="007B3A63">
      <w:pPr>
        <w:numPr>
          <w:ilvl w:val="1"/>
          <w:numId w:val="2"/>
        </w:numPr>
        <w:spacing w:line="230" w:lineRule="auto"/>
        <w:ind w:right="35"/>
      </w:pPr>
      <w:r>
        <w:t>Require NGOs to demonstrate genuine ATSICCO partnership — mainstream orgs should meet a clear threshold for cultural governance, sub-contracting to ATSICCOs or transitioning services to ATSICCOs over time.</w:t>
      </w:r>
    </w:p>
    <w:p w14:paraId="2330E3B4" w14:textId="77777777" w:rsidR="00137A97" w:rsidRDefault="007B3A63">
      <w:pPr>
        <w:numPr>
          <w:ilvl w:val="1"/>
          <w:numId w:val="2"/>
        </w:numPr>
        <w:spacing w:after="324"/>
        <w:ind w:right="35"/>
      </w:pPr>
      <w:r>
        <w:t>Remove structural barriers in procurement — use proportionate requirements for smaller ATSICCOs. Remove automated scoring that advantages large NGOs. • Introduce ATSICCO-led assessment panels — assessment decisions must be informed by cultural authority and community knowledge, not only departmental criteria.</w:t>
      </w:r>
    </w:p>
    <w:p w14:paraId="259C3DA5" w14:textId="77777777" w:rsidR="00137A97" w:rsidRDefault="007B3A63">
      <w:pPr>
        <w:numPr>
          <w:ilvl w:val="0"/>
          <w:numId w:val="2"/>
        </w:numPr>
        <w:spacing w:after="320" w:line="228" w:lineRule="auto"/>
        <w:jc w:val="left"/>
      </w:pPr>
      <w:r>
        <w:rPr>
          <w:sz w:val="28"/>
        </w:rPr>
        <w:t>What else should be built into the program design to help improve outcomes for Aboriginal and Torres Strait Islander children and families?</w:t>
      </w:r>
    </w:p>
    <w:p w14:paraId="75F5A0D4" w14:textId="77777777" w:rsidR="00137A97" w:rsidRDefault="007B3A63">
      <w:pPr>
        <w:ind w:left="305" w:right="300"/>
      </w:pPr>
      <w:r>
        <w:t>What else should be built in —to genuinely shift outcomes, the program must embed self-determination, cultural authority, and culturally grounded practice at every level of design and implementation represented by:</w:t>
      </w:r>
    </w:p>
    <w:p w14:paraId="6B27E690" w14:textId="77777777" w:rsidR="00137A97" w:rsidRDefault="007B3A63">
      <w:pPr>
        <w:numPr>
          <w:ilvl w:val="1"/>
          <w:numId w:val="2"/>
        </w:numPr>
        <w:ind w:right="35"/>
      </w:pPr>
      <w:r>
        <w:t>Shared decision-making (Priority Reform 1)</w:t>
      </w:r>
    </w:p>
    <w:p w14:paraId="74C524C2" w14:textId="77777777" w:rsidR="00137A97" w:rsidRDefault="007B3A63">
      <w:pPr>
        <w:numPr>
          <w:ilvl w:val="1"/>
          <w:numId w:val="2"/>
        </w:numPr>
        <w:ind w:right="35"/>
      </w:pPr>
      <w:r>
        <w:t>Cultural outcomes at the centre of the program logic</w:t>
      </w:r>
    </w:p>
    <w:p w14:paraId="4A202FD2" w14:textId="77777777" w:rsidR="00137A97" w:rsidRDefault="007B3A63">
      <w:pPr>
        <w:numPr>
          <w:ilvl w:val="1"/>
          <w:numId w:val="2"/>
        </w:numPr>
        <w:ind w:right="35"/>
      </w:pPr>
      <w:r>
        <w:t>Recognise Indigenous knowledge systems as evidence</w:t>
      </w:r>
    </w:p>
    <w:p w14:paraId="4FD7632E" w14:textId="77777777" w:rsidR="00137A97" w:rsidRDefault="007B3A63">
      <w:pPr>
        <w:numPr>
          <w:ilvl w:val="1"/>
          <w:numId w:val="2"/>
        </w:numPr>
        <w:ind w:right="35"/>
      </w:pPr>
      <w:r>
        <w:t>Reform DEX and reporting requirements</w:t>
      </w:r>
    </w:p>
    <w:p w14:paraId="1504B807" w14:textId="77777777" w:rsidR="00137A97" w:rsidRDefault="007B3A63">
      <w:pPr>
        <w:numPr>
          <w:ilvl w:val="1"/>
          <w:numId w:val="2"/>
        </w:numPr>
        <w:ind w:right="35"/>
      </w:pPr>
      <w:r>
        <w:t>Invest in the First Nations workforce</w:t>
      </w:r>
    </w:p>
    <w:p w14:paraId="71148FA0" w14:textId="77777777" w:rsidR="00137A97" w:rsidRDefault="007B3A63">
      <w:pPr>
        <w:numPr>
          <w:ilvl w:val="1"/>
          <w:numId w:val="2"/>
        </w:numPr>
        <w:ind w:right="35"/>
      </w:pPr>
      <w:r>
        <w:t>Support integrated, one-stop ATSICCO-led child and family hubs</w:t>
      </w:r>
    </w:p>
    <w:p w14:paraId="3CD6D7F9" w14:textId="77777777" w:rsidR="00137A97" w:rsidRDefault="007B3A63">
      <w:pPr>
        <w:numPr>
          <w:ilvl w:val="1"/>
          <w:numId w:val="2"/>
        </w:numPr>
        <w:ind w:right="35"/>
      </w:pPr>
      <w:r>
        <w:t>Embed healing and trauma-responsive approaches</w:t>
      </w:r>
    </w:p>
    <w:p w14:paraId="19284633" w14:textId="77777777" w:rsidR="00137A97" w:rsidRDefault="007B3A63">
      <w:pPr>
        <w:numPr>
          <w:ilvl w:val="1"/>
          <w:numId w:val="2"/>
        </w:numPr>
        <w:spacing w:after="295"/>
        <w:ind w:right="35"/>
      </w:pPr>
      <w:r>
        <w:t>Prioritise family strength and prevention, not crisis responses</w:t>
      </w:r>
    </w:p>
    <w:p w14:paraId="3919C4BB" w14:textId="77777777" w:rsidR="00137A97" w:rsidRDefault="007B3A63">
      <w:pPr>
        <w:numPr>
          <w:ilvl w:val="0"/>
          <w:numId w:val="2"/>
        </w:numPr>
        <w:spacing w:after="320" w:line="228" w:lineRule="auto"/>
        <w:jc w:val="left"/>
      </w:pPr>
      <w:r>
        <w:rPr>
          <w:sz w:val="28"/>
        </w:rPr>
        <w:t>What types of data would help your organisation better understand its impact and continuously improve its services?</w:t>
      </w:r>
    </w:p>
    <w:p w14:paraId="2C9D083C" w14:textId="77777777" w:rsidR="00137A97" w:rsidRDefault="007B3A63">
      <w:pPr>
        <w:spacing w:after="282" w:line="230" w:lineRule="auto"/>
        <w:ind w:left="295" w:right="60" w:firstLine="10"/>
        <w:jc w:val="left"/>
      </w:pPr>
      <w:r>
        <w:t>Data that reflects cultural safety, connection, belonging, family strengths, engagement levels, and trust, alongside developmental wellbeing outcomes. Yarning-based feedback from families is especially valuable.</w:t>
      </w:r>
    </w:p>
    <w:p w14:paraId="1F51B885" w14:textId="77777777" w:rsidR="00137A97" w:rsidRDefault="007B3A63">
      <w:pPr>
        <w:numPr>
          <w:ilvl w:val="0"/>
          <w:numId w:val="2"/>
        </w:numPr>
        <w:spacing w:after="320" w:line="228" w:lineRule="auto"/>
        <w:jc w:val="left"/>
      </w:pPr>
      <w:r>
        <w:rPr>
          <w:sz w:val="28"/>
        </w:rPr>
        <w:lastRenderedPageBreak/>
        <w:t>What kinds of data or information would be most valuable for you to share, to show how your service is positively impacting children and families?</w:t>
      </w:r>
    </w:p>
    <w:p w14:paraId="1D208E2D" w14:textId="77777777" w:rsidR="00137A97" w:rsidRDefault="007B3A63">
      <w:pPr>
        <w:spacing w:after="299"/>
        <w:ind w:left="305" w:right="190"/>
      </w:pPr>
      <w:r>
        <w:t>Stories and narratives from families about improved cultural identity, stronger parenting confidence, better relationships, reduced fear of systems, and earlier access to support — combined with simple quantitative measures like attendance, engagement and goal progression.</w:t>
      </w:r>
    </w:p>
    <w:p w14:paraId="04FB0F3F" w14:textId="77777777" w:rsidR="00137A97" w:rsidRDefault="007B3A63">
      <w:pPr>
        <w:numPr>
          <w:ilvl w:val="0"/>
          <w:numId w:val="2"/>
        </w:numPr>
        <w:spacing w:after="264" w:line="228" w:lineRule="auto"/>
        <w:jc w:val="left"/>
      </w:pPr>
      <w:r>
        <w:rPr>
          <w:sz w:val="28"/>
        </w:rPr>
        <w:t>If your organisation currently reports in the Data Exchange (DEX), what SCORE Circumstances domain is most relevant to the service you deliver?</w:t>
      </w:r>
    </w:p>
    <w:p w14:paraId="2E848E86" w14:textId="77777777" w:rsidR="00137A97" w:rsidRDefault="007B3A63">
      <w:pPr>
        <w:ind w:left="305" w:right="160"/>
      </w:pPr>
      <w:r>
        <w:t>While QATSICPP doesn't use DEX "family functioning" is the most relevant domain for our members, though this domain is limited and does not fully capture cultural and relational outcomes. Simple templates that prompt:</w:t>
      </w:r>
    </w:p>
    <w:p w14:paraId="2E5C6BB8" w14:textId="77777777" w:rsidR="00137A97" w:rsidRDefault="007B3A63">
      <w:pPr>
        <w:numPr>
          <w:ilvl w:val="1"/>
          <w:numId w:val="2"/>
        </w:numPr>
        <w:ind w:right="35"/>
      </w:pPr>
      <w:r>
        <w:t>The family's goals</w:t>
      </w:r>
    </w:p>
    <w:p w14:paraId="2A9D3ECC" w14:textId="77777777" w:rsidR="00137A97" w:rsidRDefault="007B3A63">
      <w:pPr>
        <w:numPr>
          <w:ilvl w:val="1"/>
          <w:numId w:val="2"/>
        </w:numPr>
        <w:ind w:right="35"/>
      </w:pPr>
      <w:r>
        <w:t>What support was provided</w:t>
      </w:r>
    </w:p>
    <w:p w14:paraId="6D7EE07D" w14:textId="77777777" w:rsidR="00137A97" w:rsidRDefault="007B3A63">
      <w:pPr>
        <w:numPr>
          <w:ilvl w:val="1"/>
          <w:numId w:val="2"/>
        </w:numPr>
        <w:ind w:right="35"/>
      </w:pPr>
      <w:r>
        <w:t>What changed for the family (in their own words)</w:t>
      </w:r>
    </w:p>
    <w:p w14:paraId="37770715" w14:textId="77777777" w:rsidR="00137A97" w:rsidRDefault="007B3A63">
      <w:pPr>
        <w:numPr>
          <w:ilvl w:val="1"/>
          <w:numId w:val="2"/>
        </w:numPr>
        <w:ind w:right="35"/>
      </w:pPr>
      <w:r>
        <w:t>Cultural strengths and connections strengthened</w:t>
      </w:r>
    </w:p>
    <w:p w14:paraId="6C578B37" w14:textId="77777777" w:rsidR="00137A97" w:rsidRDefault="007B3A63">
      <w:pPr>
        <w:numPr>
          <w:ilvl w:val="1"/>
          <w:numId w:val="2"/>
        </w:numPr>
        <w:spacing w:after="294"/>
        <w:ind w:right="35"/>
      </w:pPr>
      <w:r>
        <w:t>How the service "walked alongside" them</w:t>
      </w:r>
    </w:p>
    <w:p w14:paraId="7584ADF8" w14:textId="77777777" w:rsidR="00137A97" w:rsidRDefault="007B3A63">
      <w:pPr>
        <w:numPr>
          <w:ilvl w:val="0"/>
          <w:numId w:val="2"/>
        </w:numPr>
        <w:spacing w:after="320" w:line="228" w:lineRule="auto"/>
        <w:jc w:val="left"/>
      </w:pPr>
      <w:r>
        <w:rPr>
          <w:sz w:val="28"/>
        </w:rPr>
        <w:t>What kinds of templates or guidance would help you prepare strong case studies that show the impact of your service?</w:t>
      </w:r>
    </w:p>
    <w:p w14:paraId="7E12FFFF" w14:textId="77777777" w:rsidR="00137A97" w:rsidRDefault="007B3A63">
      <w:pPr>
        <w:spacing w:after="321"/>
        <w:ind w:left="305" w:right="35"/>
      </w:pPr>
      <w:r>
        <w:t>Guidance should emphasise storytelling, cultural context and family voice, not just numerical outcomes.</w:t>
      </w:r>
    </w:p>
    <w:p w14:paraId="39F3D20C" w14:textId="77777777" w:rsidR="00137A97" w:rsidRDefault="007B3A63">
      <w:pPr>
        <w:numPr>
          <w:ilvl w:val="0"/>
          <w:numId w:val="2"/>
        </w:numPr>
        <w:spacing w:after="285" w:line="228" w:lineRule="auto"/>
        <w:jc w:val="left"/>
      </w:pPr>
      <w:r>
        <w:rPr>
          <w:sz w:val="28"/>
        </w:rPr>
        <w:t>What does a relational contracting approach mean to you in practice? What criteria would you like to see included in a relational contract?</w:t>
      </w:r>
    </w:p>
    <w:p w14:paraId="59CDEC4D" w14:textId="77777777" w:rsidR="00137A97" w:rsidRDefault="007B3A63">
      <w:pPr>
        <w:spacing w:after="302"/>
        <w:ind w:left="305" w:right="390"/>
      </w:pPr>
      <w:r>
        <w:t>A relational contract means working in genuine partnership, with trust, flexibility and shared decision-making at the centre. In practice, it looks like long-term funding, open communication, and the ability to adapt services based on what families say they need when they need it - acknowledging that need changes, through contract life cycles.</w:t>
      </w:r>
    </w:p>
    <w:p w14:paraId="4BEF2CEC" w14:textId="77777777" w:rsidR="00137A97" w:rsidRDefault="007B3A63">
      <w:pPr>
        <w:numPr>
          <w:ilvl w:val="0"/>
          <w:numId w:val="2"/>
        </w:numPr>
        <w:spacing w:after="285" w:line="228" w:lineRule="auto"/>
        <w:jc w:val="left"/>
      </w:pPr>
      <w:r>
        <w:rPr>
          <w:sz w:val="28"/>
        </w:rPr>
        <w:t>What's the best way for the department to decide which organisations should be offered a relational contract?</w:t>
      </w:r>
    </w:p>
    <w:p w14:paraId="319B499B" w14:textId="77777777" w:rsidR="00137A97" w:rsidRDefault="007B3A63">
      <w:pPr>
        <w:ind w:left="305" w:right="35"/>
      </w:pPr>
      <w:r>
        <w:t>Prioritise orgs that:</w:t>
      </w:r>
    </w:p>
    <w:p w14:paraId="2D637A0E" w14:textId="77777777" w:rsidR="00137A97" w:rsidRDefault="007B3A63">
      <w:pPr>
        <w:numPr>
          <w:ilvl w:val="1"/>
          <w:numId w:val="2"/>
        </w:numPr>
        <w:ind w:right="35"/>
      </w:pPr>
      <w:r>
        <w:t>Are ATSICCOs, or have proven cultural governance</w:t>
      </w:r>
    </w:p>
    <w:p w14:paraId="5C4E2E25" w14:textId="77777777" w:rsidR="00137A97" w:rsidRDefault="007B3A63">
      <w:pPr>
        <w:numPr>
          <w:ilvl w:val="1"/>
          <w:numId w:val="2"/>
        </w:numPr>
        <w:ind w:right="35"/>
      </w:pPr>
      <w:r>
        <w:t>Have deep community trust and engagement</w:t>
      </w:r>
    </w:p>
    <w:p w14:paraId="3E4D3116" w14:textId="77777777" w:rsidR="00137A97" w:rsidRDefault="007B3A63">
      <w:pPr>
        <w:numPr>
          <w:ilvl w:val="1"/>
          <w:numId w:val="2"/>
        </w:numPr>
        <w:ind w:right="35"/>
      </w:pPr>
      <w:r>
        <w:lastRenderedPageBreak/>
        <w:t>Deliver place-based, culturally grounded services</w:t>
      </w:r>
    </w:p>
    <w:p w14:paraId="3260E532" w14:textId="77777777" w:rsidR="00137A97" w:rsidRDefault="007B3A63">
      <w:pPr>
        <w:numPr>
          <w:ilvl w:val="1"/>
          <w:numId w:val="2"/>
        </w:numPr>
        <w:ind w:right="35"/>
      </w:pPr>
      <w:r>
        <w:t>Show a strong track record of adaptability and partnerships</w:t>
      </w:r>
    </w:p>
    <w:p w14:paraId="4A457E96" w14:textId="77777777" w:rsidR="00137A97" w:rsidRDefault="007B3A63">
      <w:pPr>
        <w:numPr>
          <w:ilvl w:val="1"/>
          <w:numId w:val="2"/>
        </w:numPr>
        <w:spacing w:after="324"/>
        <w:ind w:right="35"/>
      </w:pPr>
      <w:r>
        <w:t>Can demonstrate real relationships with families, not just outputs</w:t>
      </w:r>
    </w:p>
    <w:p w14:paraId="67162F02" w14:textId="77777777" w:rsidR="00137A97" w:rsidRDefault="007B3A63">
      <w:pPr>
        <w:spacing w:after="285"/>
        <w:ind w:left="305" w:right="35"/>
      </w:pPr>
      <w:r>
        <w:t>Assessments should be guided by First Nations governance panels as cultural authority is essential.</w:t>
      </w:r>
    </w:p>
    <w:p w14:paraId="59165CDB" w14:textId="77777777" w:rsidR="00137A97" w:rsidRDefault="007B3A63">
      <w:pPr>
        <w:numPr>
          <w:ilvl w:val="0"/>
          <w:numId w:val="2"/>
        </w:numPr>
        <w:spacing w:after="320" w:line="228" w:lineRule="auto"/>
        <w:jc w:val="left"/>
      </w:pPr>
      <w:r>
        <w:rPr>
          <w:sz w:val="28"/>
        </w:rPr>
        <w:t>Is your organisation interested in a relational contracting approach? Why/why not?</w:t>
      </w:r>
    </w:p>
    <w:p w14:paraId="49F5246F" w14:textId="77777777" w:rsidR="00137A97" w:rsidRDefault="007B3A63">
      <w:pPr>
        <w:spacing w:after="296"/>
        <w:ind w:left="305" w:right="35"/>
      </w:pPr>
      <w:r>
        <w:t>Yes, relational contracting aligns with how our members (ATSICCOs) already work — long-term relationships, flexibility, cultural accountability, and community-led decision-making. It provides the stability and trust required to support families effectively and ensures funding arrangements reflect self-determination, cultural authority and sustained impact.</w:t>
      </w:r>
    </w:p>
    <w:p w14:paraId="5C839F39" w14:textId="77777777" w:rsidR="00137A97" w:rsidRDefault="007B3A63">
      <w:pPr>
        <w:numPr>
          <w:ilvl w:val="0"/>
          <w:numId w:val="2"/>
        </w:numPr>
        <w:spacing w:after="320" w:line="228" w:lineRule="auto"/>
        <w:jc w:val="left"/>
      </w:pPr>
      <w:r>
        <w:rPr>
          <w:sz w:val="28"/>
        </w:rPr>
        <w:t>Is there anything else you think the department should understand or consider about this proposed approach?</w:t>
      </w:r>
    </w:p>
    <w:p w14:paraId="408032EF" w14:textId="77777777" w:rsidR="00137A97" w:rsidRDefault="007B3A63">
      <w:pPr>
        <w:spacing w:line="230" w:lineRule="auto"/>
        <w:ind w:left="295" w:right="60" w:firstLine="10"/>
        <w:jc w:val="left"/>
      </w:pPr>
      <w:r>
        <w:t>For this approach to succeed, it must embed self-determination, cultural governance and long-term investment in ATSICCOs as the foundation — not an optional pathway.</w:t>
      </w:r>
    </w:p>
    <w:sectPr w:rsidR="00137A97">
      <w:pgSz w:w="11906" w:h="16838"/>
      <w:pgMar w:top="1571" w:right="1511" w:bottom="1581" w:left="15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2010" w14:textId="77777777" w:rsidR="007B3A63" w:rsidRDefault="007B3A63" w:rsidP="007B3A63">
      <w:pPr>
        <w:spacing w:after="0" w:line="240" w:lineRule="auto"/>
      </w:pPr>
      <w:r>
        <w:separator/>
      </w:r>
    </w:p>
  </w:endnote>
  <w:endnote w:type="continuationSeparator" w:id="0">
    <w:p w14:paraId="48F01987" w14:textId="77777777" w:rsidR="007B3A63" w:rsidRDefault="007B3A63" w:rsidP="007B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BC65" w14:textId="77777777" w:rsidR="007B3A63" w:rsidRDefault="007B3A63" w:rsidP="007B3A63">
      <w:pPr>
        <w:spacing w:after="0" w:line="240" w:lineRule="auto"/>
      </w:pPr>
      <w:r>
        <w:separator/>
      </w:r>
    </w:p>
  </w:footnote>
  <w:footnote w:type="continuationSeparator" w:id="0">
    <w:p w14:paraId="4AD634BE" w14:textId="77777777" w:rsidR="007B3A63" w:rsidRDefault="007B3A63" w:rsidP="007B3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D4C5F"/>
    <w:multiLevelType w:val="hybridMultilevel"/>
    <w:tmpl w:val="309C617C"/>
    <w:lvl w:ilvl="0" w:tplc="7080567A">
      <w:start w:val="1"/>
      <w:numFmt w:val="decimal"/>
      <w:lvlText w:val="%1."/>
      <w:lvlJc w:val="left"/>
      <w:pPr>
        <w:ind w:left="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1D327460">
      <w:start w:val="1"/>
      <w:numFmt w:val="lowerLetter"/>
      <w:lvlText w:val="%2"/>
      <w:lvlJc w:val="left"/>
      <w:pPr>
        <w:ind w:left="10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0F6D3EC">
      <w:start w:val="1"/>
      <w:numFmt w:val="lowerRoman"/>
      <w:lvlText w:val="%3"/>
      <w:lvlJc w:val="left"/>
      <w:pPr>
        <w:ind w:left="18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B64B568">
      <w:start w:val="1"/>
      <w:numFmt w:val="decimal"/>
      <w:lvlText w:val="%4"/>
      <w:lvlJc w:val="left"/>
      <w:pPr>
        <w:ind w:left="25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5C895E2">
      <w:start w:val="1"/>
      <w:numFmt w:val="lowerLetter"/>
      <w:lvlText w:val="%5"/>
      <w:lvlJc w:val="left"/>
      <w:pPr>
        <w:ind w:left="32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540DA1C">
      <w:start w:val="1"/>
      <w:numFmt w:val="lowerRoman"/>
      <w:lvlText w:val="%6"/>
      <w:lvlJc w:val="left"/>
      <w:pPr>
        <w:ind w:left="39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AF6ADF8">
      <w:start w:val="1"/>
      <w:numFmt w:val="decimal"/>
      <w:lvlText w:val="%7"/>
      <w:lvlJc w:val="left"/>
      <w:pPr>
        <w:ind w:left="46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7AF457F2">
      <w:start w:val="1"/>
      <w:numFmt w:val="lowerLetter"/>
      <w:lvlText w:val="%8"/>
      <w:lvlJc w:val="left"/>
      <w:pPr>
        <w:ind w:left="54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0E65216">
      <w:start w:val="1"/>
      <w:numFmt w:val="lowerRoman"/>
      <w:lvlText w:val="%9"/>
      <w:lvlJc w:val="left"/>
      <w:pPr>
        <w:ind w:left="61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58DA797C"/>
    <w:multiLevelType w:val="hybridMultilevel"/>
    <w:tmpl w:val="D1D68C18"/>
    <w:lvl w:ilvl="0" w:tplc="DE3096FA">
      <w:start w:val="3"/>
      <w:numFmt w:val="decimal"/>
      <w:lvlText w:val="%1."/>
      <w:lvlJc w:val="left"/>
      <w:pPr>
        <w:ind w:left="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5DC0C72">
      <w:start w:val="1"/>
      <w:numFmt w:val="bullet"/>
      <w:lvlText w:val="•"/>
      <w:lvlJc w:val="left"/>
      <w:pPr>
        <w:ind w:left="3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BC85D6C">
      <w:start w:val="1"/>
      <w:numFmt w:val="bullet"/>
      <w:lvlText w:val="▪"/>
      <w:lvlJc w:val="left"/>
      <w:pPr>
        <w:ind w:left="1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A4C1E28">
      <w:start w:val="1"/>
      <w:numFmt w:val="bullet"/>
      <w:lvlText w:val="•"/>
      <w:lvlJc w:val="left"/>
      <w:pPr>
        <w:ind w:left="2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0E6F732">
      <w:start w:val="1"/>
      <w:numFmt w:val="bullet"/>
      <w:lvlText w:val="o"/>
      <w:lvlJc w:val="left"/>
      <w:pPr>
        <w:ind w:left="2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35E7BD6">
      <w:start w:val="1"/>
      <w:numFmt w:val="bullet"/>
      <w:lvlText w:val="▪"/>
      <w:lvlJc w:val="left"/>
      <w:pPr>
        <w:ind w:left="3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04AE9A">
      <w:start w:val="1"/>
      <w:numFmt w:val="bullet"/>
      <w:lvlText w:val="•"/>
      <w:lvlJc w:val="left"/>
      <w:pPr>
        <w:ind w:left="4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52382C">
      <w:start w:val="1"/>
      <w:numFmt w:val="bullet"/>
      <w:lvlText w:val="o"/>
      <w:lvlJc w:val="left"/>
      <w:pPr>
        <w:ind w:left="4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2584800">
      <w:start w:val="1"/>
      <w:numFmt w:val="bullet"/>
      <w:lvlText w:val="▪"/>
      <w:lvlJc w:val="left"/>
      <w:pPr>
        <w:ind w:left="5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C5A3FD3"/>
    <w:multiLevelType w:val="hybridMultilevel"/>
    <w:tmpl w:val="7C205E94"/>
    <w:lvl w:ilvl="0" w:tplc="E38AE304">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C9AA0A68">
      <w:start w:val="2"/>
      <w:numFmt w:val="decimal"/>
      <w:lvlText w:val="%2."/>
      <w:lvlJc w:val="left"/>
      <w:pPr>
        <w:ind w:left="3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A20059E">
      <w:start w:val="1"/>
      <w:numFmt w:val="lowerRoman"/>
      <w:lvlText w:val="%3"/>
      <w:lvlJc w:val="left"/>
      <w:pPr>
        <w:ind w:left="13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6244CEE">
      <w:start w:val="1"/>
      <w:numFmt w:val="decimal"/>
      <w:lvlText w:val="%4"/>
      <w:lvlJc w:val="left"/>
      <w:pPr>
        <w:ind w:left="21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614C47E">
      <w:start w:val="1"/>
      <w:numFmt w:val="lowerLetter"/>
      <w:lvlText w:val="%5"/>
      <w:lvlJc w:val="left"/>
      <w:pPr>
        <w:ind w:left="28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898659A">
      <w:start w:val="1"/>
      <w:numFmt w:val="lowerRoman"/>
      <w:lvlText w:val="%6"/>
      <w:lvlJc w:val="left"/>
      <w:pPr>
        <w:ind w:left="35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E3E1F82">
      <w:start w:val="1"/>
      <w:numFmt w:val="decimal"/>
      <w:lvlText w:val="%7"/>
      <w:lvlJc w:val="left"/>
      <w:pPr>
        <w:ind w:left="42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F1E40EC">
      <w:start w:val="1"/>
      <w:numFmt w:val="lowerLetter"/>
      <w:lvlText w:val="%8"/>
      <w:lvlJc w:val="left"/>
      <w:pPr>
        <w:ind w:left="49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16229EA4">
      <w:start w:val="1"/>
      <w:numFmt w:val="lowerRoman"/>
      <w:lvlText w:val="%9"/>
      <w:lvlJc w:val="left"/>
      <w:pPr>
        <w:ind w:left="57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713044531">
    <w:abstractNumId w:val="0"/>
  </w:num>
  <w:num w:numId="2" w16cid:durableId="2146967744">
    <w:abstractNumId w:val="1"/>
  </w:num>
  <w:num w:numId="3" w16cid:durableId="1309096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A97"/>
    <w:rsid w:val="00137A97"/>
    <w:rsid w:val="007B3A63"/>
    <w:rsid w:val="00B57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C6A4F4C"/>
  <w15:docId w15:val="{BC3D4AC4-FDE9-4544-A49E-006CB3C7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7" w:lineRule="auto"/>
      <w:ind w:left="310"/>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2384</Words>
  <Characters>15199</Characters>
  <Application>Microsoft Office Word</Application>
  <DocSecurity>4</DocSecurity>
  <Lines>288</Lines>
  <Paragraphs>130</Paragraphs>
  <ScaleCrop>false</ScaleCrop>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Madeline</dc:creator>
  <cp:keywords>[SEC=OFFICIAL]</cp:keywords>
  <cp:lastModifiedBy>MITCHELL, Madeline</cp:lastModifiedBy>
  <cp:revision>2</cp:revision>
  <dcterms:created xsi:type="dcterms:W3CDTF">2025-12-09T05:18:00Z</dcterms:created>
  <dcterms:modified xsi:type="dcterms:W3CDTF">2025-12-09T05:18:00Z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v=2024.1;a=SHA256;h=BFA08544B12119E6C9B0A7AF406AFD3A65B1BD4E965B7CE3BC7353F4FD7D5E5B</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2025-12-09T05:18:32Z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2025-12-09T05:18:32Z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dd47386d59b14d6e9c84a6a6e07a9e8a</vt:lpwstr>
  </property>
  <property fmtid="{D5CDD505-2E9C-101B-9397-08002B2CF9AE}" pid="24" name="PM_Originator_Hash_SHA1">
    <vt:lpwstr>F4A3D7CC22848EFDDB563077CF31F5731BB13420</vt:lpwstr>
  </property>
  <property fmtid="{D5CDD505-2E9C-101B-9397-08002B2CF9AE}" pid="25" name="PM_Originating_FileId">
    <vt:lpwstr>4524D331C5834B6EA0E55000DDA9C99C</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5AE00F4D4FFF75D96E34E20AF4FB7099</vt:lpwstr>
  </property>
  <property fmtid="{D5CDD505-2E9C-101B-9397-08002B2CF9AE}" pid="33" name="PM_Hash_Salt">
    <vt:lpwstr>13D229D9C1704D5B4E01919AA9835997</vt:lpwstr>
  </property>
  <property fmtid="{D5CDD505-2E9C-101B-9397-08002B2CF9AE}" pid="34" name="PM_Hash_SHA1">
    <vt:lpwstr>AA3D8743148C60C26400366A814C898A2F42A60F</vt:lpwstr>
  </property>
</Properties>
</file>