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1D8E6" w14:textId="77777777" w:rsidR="00B6140E" w:rsidRDefault="00F60E6B">
      <w:pPr>
        <w:spacing w:after="0" w:line="259" w:lineRule="auto"/>
        <w:ind w:left="883" w:right="0" w:firstLine="0"/>
        <w:jc w:val="left"/>
      </w:pPr>
      <w:r>
        <w:rPr>
          <w:noProof/>
        </w:rPr>
        <w:drawing>
          <wp:inline distT="0" distB="0" distL="0" distR="0" wp14:anchorId="2EE1E4FE" wp14:editId="2B1AC23C">
            <wp:extent cx="4600575" cy="1790700"/>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7"/>
                    <a:stretch>
                      <a:fillRect/>
                    </a:stretch>
                  </pic:blipFill>
                  <pic:spPr>
                    <a:xfrm>
                      <a:off x="0" y="0"/>
                      <a:ext cx="4600575" cy="1790700"/>
                    </a:xfrm>
                    <a:prstGeom prst="rect">
                      <a:avLst/>
                    </a:prstGeom>
                  </pic:spPr>
                </pic:pic>
              </a:graphicData>
            </a:graphic>
          </wp:inline>
        </w:drawing>
      </w:r>
    </w:p>
    <w:p w14:paraId="4D2ACA11" w14:textId="77777777" w:rsidR="00B6140E" w:rsidRDefault="00F60E6B">
      <w:pPr>
        <w:spacing w:after="98" w:line="259" w:lineRule="auto"/>
        <w:ind w:left="883" w:right="853" w:firstLine="0"/>
        <w:jc w:val="right"/>
      </w:pPr>
      <w:r>
        <w:t xml:space="preserve"> </w:t>
      </w:r>
    </w:p>
    <w:p w14:paraId="7D96D832" w14:textId="77777777" w:rsidR="00B6140E" w:rsidRDefault="00F60E6B">
      <w:pPr>
        <w:spacing w:after="158" w:line="259" w:lineRule="auto"/>
        <w:ind w:left="28" w:right="0" w:firstLine="0"/>
        <w:jc w:val="center"/>
      </w:pPr>
      <w:r>
        <w:t xml:space="preserve"> </w:t>
      </w:r>
    </w:p>
    <w:p w14:paraId="1EF0F731" w14:textId="77777777" w:rsidR="00B6140E" w:rsidRDefault="00F60E6B">
      <w:pPr>
        <w:spacing w:after="158" w:line="259" w:lineRule="auto"/>
        <w:ind w:left="28" w:right="0" w:firstLine="0"/>
        <w:jc w:val="center"/>
      </w:pPr>
      <w:r>
        <w:t xml:space="preserve"> </w:t>
      </w:r>
    </w:p>
    <w:p w14:paraId="1D47E48D" w14:textId="77777777" w:rsidR="00B6140E" w:rsidRDefault="00F60E6B">
      <w:pPr>
        <w:spacing w:after="161" w:line="259" w:lineRule="auto"/>
        <w:ind w:left="28" w:right="0" w:firstLine="0"/>
        <w:jc w:val="center"/>
      </w:pPr>
      <w:r>
        <w:t xml:space="preserve"> </w:t>
      </w:r>
    </w:p>
    <w:p w14:paraId="6A17AF37" w14:textId="77777777" w:rsidR="00B6140E" w:rsidRDefault="00F60E6B">
      <w:pPr>
        <w:spacing w:after="367" w:line="259" w:lineRule="auto"/>
        <w:ind w:left="28" w:right="0" w:firstLine="0"/>
        <w:jc w:val="center"/>
      </w:pPr>
      <w:r>
        <w:t xml:space="preserve"> </w:t>
      </w:r>
    </w:p>
    <w:p w14:paraId="29A9C173" w14:textId="77777777" w:rsidR="00B6140E" w:rsidRDefault="00F60E6B">
      <w:pPr>
        <w:spacing w:after="0" w:line="259" w:lineRule="auto"/>
        <w:ind w:right="18"/>
        <w:jc w:val="center"/>
      </w:pPr>
      <w:r>
        <w:rPr>
          <w:b/>
          <w:sz w:val="40"/>
        </w:rPr>
        <w:t xml:space="preserve">Submission to the  </w:t>
      </w:r>
    </w:p>
    <w:p w14:paraId="706F24E7" w14:textId="77777777" w:rsidR="00B6140E" w:rsidRDefault="00F60E6B">
      <w:pPr>
        <w:spacing w:after="14" w:line="259" w:lineRule="auto"/>
        <w:ind w:left="31" w:right="0" w:firstLine="0"/>
        <w:jc w:val="left"/>
      </w:pPr>
      <w:r>
        <w:rPr>
          <w:b/>
          <w:sz w:val="40"/>
        </w:rPr>
        <w:t xml:space="preserve">Department of Social Services consultation on </w:t>
      </w:r>
    </w:p>
    <w:p w14:paraId="72E7A0BC" w14:textId="77777777" w:rsidR="00B6140E" w:rsidRDefault="00F60E6B">
      <w:pPr>
        <w:spacing w:after="283" w:line="254" w:lineRule="auto"/>
        <w:ind w:left="0" w:right="0" w:firstLine="0"/>
        <w:jc w:val="center"/>
      </w:pPr>
      <w:r>
        <w:rPr>
          <w:b/>
          <w:sz w:val="42"/>
        </w:rPr>
        <w:t>‘A new approach to programs for families and children’</w:t>
      </w:r>
      <w:r>
        <w:rPr>
          <w:b/>
          <w:sz w:val="40"/>
        </w:rPr>
        <w:t xml:space="preserve"> </w:t>
      </w:r>
    </w:p>
    <w:p w14:paraId="3B0E3F03" w14:textId="77777777" w:rsidR="00B6140E" w:rsidRDefault="00F60E6B">
      <w:pPr>
        <w:spacing w:after="58" w:line="259" w:lineRule="auto"/>
        <w:ind w:left="75" w:right="0" w:firstLine="0"/>
        <w:jc w:val="center"/>
      </w:pPr>
      <w:r>
        <w:rPr>
          <w:b/>
          <w:sz w:val="52"/>
        </w:rPr>
        <w:t xml:space="preserve"> </w:t>
      </w:r>
    </w:p>
    <w:p w14:paraId="2C943387" w14:textId="77777777" w:rsidR="00B6140E" w:rsidRDefault="00F60E6B">
      <w:pPr>
        <w:spacing w:after="0" w:line="259" w:lineRule="auto"/>
        <w:ind w:right="16"/>
        <w:jc w:val="center"/>
      </w:pPr>
      <w:r>
        <w:rPr>
          <w:b/>
          <w:sz w:val="40"/>
        </w:rPr>
        <w:t xml:space="preserve">December 2025 </w:t>
      </w:r>
    </w:p>
    <w:p w14:paraId="4C8988ED" w14:textId="77777777" w:rsidR="00B6140E" w:rsidRDefault="00F60E6B">
      <w:pPr>
        <w:spacing w:after="0" w:line="259" w:lineRule="auto"/>
        <w:ind w:left="0" w:right="0" w:firstLine="0"/>
        <w:jc w:val="left"/>
      </w:pPr>
      <w:r>
        <w:rPr>
          <w:rFonts w:ascii="Arial" w:eastAsia="Arial" w:hAnsi="Arial" w:cs="Arial"/>
          <w:b/>
        </w:rPr>
        <w:t xml:space="preserve"> </w:t>
      </w:r>
      <w:r>
        <w:rPr>
          <w:rFonts w:ascii="Arial" w:eastAsia="Arial" w:hAnsi="Arial" w:cs="Arial"/>
          <w:b/>
        </w:rPr>
        <w:tab/>
      </w:r>
      <w:r>
        <w:t xml:space="preserve"> </w:t>
      </w:r>
    </w:p>
    <w:p w14:paraId="5356BF7E" w14:textId="77777777" w:rsidR="00B6140E" w:rsidRDefault="00F60E6B">
      <w:pPr>
        <w:spacing w:after="453" w:line="259" w:lineRule="auto"/>
        <w:ind w:left="0" w:right="0" w:firstLine="0"/>
        <w:jc w:val="left"/>
      </w:pPr>
      <w:r>
        <w:t xml:space="preserve"> </w:t>
      </w:r>
    </w:p>
    <w:p w14:paraId="41FD24FB" w14:textId="77777777" w:rsidR="00B6140E" w:rsidRDefault="00F60E6B">
      <w:pPr>
        <w:pBdr>
          <w:top w:val="single" w:sz="4" w:space="0" w:color="000000"/>
          <w:left w:val="single" w:sz="4" w:space="0" w:color="000000"/>
          <w:bottom w:val="single" w:sz="4" w:space="0" w:color="000000"/>
          <w:right w:val="single" w:sz="4" w:space="0" w:color="000000"/>
        </w:pBdr>
        <w:shd w:val="clear" w:color="auto" w:fill="F2F2F2"/>
        <w:spacing w:after="0" w:line="259" w:lineRule="auto"/>
        <w:ind w:left="98" w:right="113" w:firstLine="0"/>
        <w:jc w:val="left"/>
      </w:pPr>
      <w:r>
        <w:rPr>
          <w:color w:val="008D85"/>
          <w:sz w:val="32"/>
        </w:rPr>
        <w:t xml:space="preserve">About STARTTS </w:t>
      </w:r>
    </w:p>
    <w:p w14:paraId="278093B7" w14:textId="77777777" w:rsidR="00B6140E" w:rsidRDefault="00F60E6B">
      <w:pPr>
        <w:pBdr>
          <w:top w:val="single" w:sz="4" w:space="0" w:color="000000"/>
          <w:left w:val="single" w:sz="4" w:space="0" w:color="000000"/>
          <w:bottom w:val="single" w:sz="4" w:space="0" w:color="000000"/>
          <w:right w:val="single" w:sz="4" w:space="0" w:color="000000"/>
        </w:pBdr>
        <w:shd w:val="clear" w:color="auto" w:fill="F2F2F2"/>
        <w:spacing w:line="275" w:lineRule="auto"/>
        <w:ind w:left="108" w:right="113"/>
      </w:pPr>
      <w:r>
        <w:t xml:space="preserve">The NSW Service for the Treatment and Rehabilitation of Torture and Trauma Survivors (STARTTS) is a specialist, non-profit organisation established in 1988 to assist refugee survivors of torture and trauma rebuild their lives in Australia. </w:t>
      </w:r>
      <w:r>
        <w:t xml:space="preserve"> </w:t>
      </w:r>
    </w:p>
    <w:p w14:paraId="0AAFA7DA" w14:textId="77777777" w:rsidR="00B6140E" w:rsidRDefault="00F60E6B">
      <w:pPr>
        <w:pBdr>
          <w:top w:val="single" w:sz="4" w:space="0" w:color="000000"/>
          <w:left w:val="single" w:sz="4" w:space="0" w:color="000000"/>
          <w:bottom w:val="single" w:sz="4" w:space="0" w:color="000000"/>
          <w:right w:val="single" w:sz="4" w:space="0" w:color="000000"/>
        </w:pBdr>
        <w:shd w:val="clear" w:color="auto" w:fill="F2F2F2"/>
        <w:spacing w:line="275" w:lineRule="auto"/>
        <w:ind w:left="108" w:right="113"/>
      </w:pPr>
      <w:r>
        <w:t xml:space="preserve">STARTTS’ services form a part of the NSW public health system through its status as an Affiliated Health Organisation (AHO). AHOs are not-for-profit religious, charitable or other non-government organisations which provide health services and are recognised as part of the public health system under the </w:t>
      </w:r>
      <w:r>
        <w:rPr>
          <w:i/>
        </w:rPr>
        <w:t xml:space="preserve">Health Services Act 1997 </w:t>
      </w:r>
      <w:r>
        <w:t>(NSW).</w:t>
      </w:r>
      <w:r>
        <w:rPr>
          <w:vertAlign w:val="superscript"/>
        </w:rPr>
        <w:footnoteReference w:id="1"/>
      </w:r>
      <w:r>
        <w:t xml:space="preserve"> Additionally, STARTTS is a network member of the Forum of Australian Services for Survivors of Torture and Trauma (FASSTT), which is the national body representing specialist rehabilitation agencies that work with survivors of torture and trauma. </w:t>
      </w:r>
      <w:r>
        <w:lastRenderedPageBreak/>
        <w:t>STARTTS has over 35-years of experience providing successful services and projects; funded through a variety of government and non-government bodies including NSW Health, and the Commonwealth Department of Social Services, Department of Home Affairs, and Departmen</w:t>
      </w:r>
      <w:r>
        <w:t xml:space="preserve">t of Health, Disability and Ageing.  </w:t>
      </w:r>
      <w:r>
        <w:t xml:space="preserve"> </w:t>
      </w:r>
    </w:p>
    <w:p w14:paraId="0FC71DE8" w14:textId="77777777" w:rsidR="00B6140E" w:rsidRDefault="00F60E6B">
      <w:pPr>
        <w:pBdr>
          <w:top w:val="single" w:sz="4" w:space="0" w:color="000000"/>
          <w:left w:val="single" w:sz="4" w:space="0" w:color="000000"/>
          <w:bottom w:val="single" w:sz="4" w:space="0" w:color="000000"/>
          <w:right w:val="single" w:sz="4" w:space="0" w:color="000000"/>
        </w:pBdr>
        <w:shd w:val="clear" w:color="auto" w:fill="F2F2F2"/>
        <w:spacing w:line="275" w:lineRule="auto"/>
        <w:ind w:left="108" w:right="113"/>
      </w:pPr>
      <w:r>
        <w:t>STARTTS’ clients are survivors of torture and other trauma in the context of organised violence and state terrorism, the majority of whom have arrived in Australia under the Refugee and Humanitarian Program. STARTTS’ service model incorporates a large range of clinical and psycho-social interventions informed by the latest advances in neuroscience and evidence-based practice in relevant fields. Our service provision philosophy is predicated on a bio-psycho-social framework, in recognition of the complex int</w:t>
      </w:r>
      <w:r>
        <w:t>eraction between this essential building block for personal and collective wellbeing, and pre-migration and ‘normal life cycle’ events post-settlement, which have the potential to impede the recovery of individuals from their traumatic experiences.</w:t>
      </w:r>
      <w:r>
        <w:rPr>
          <w:vertAlign w:val="superscript"/>
        </w:rPr>
        <w:footnoteReference w:id="2"/>
      </w:r>
      <w:r>
        <w:t xml:space="preserve"> As such, our service offer is broad in scope and includes counselling and programs for all age groups; psychiatric assessment and interventions; family therapy; body-focused interventions (such as nutrition, massage, physiotherapy, acupuncture and pain management groups); support groups; youth activities; advocacy and policy input; and training for service providers.</w:t>
      </w:r>
      <w:r>
        <w:t xml:space="preserve"> </w:t>
      </w:r>
    </w:p>
    <w:p w14:paraId="64D2FA3C" w14:textId="77777777" w:rsidR="00B6140E" w:rsidRDefault="00F60E6B">
      <w:pPr>
        <w:pBdr>
          <w:top w:val="single" w:sz="4" w:space="0" w:color="000000"/>
          <w:left w:val="single" w:sz="4" w:space="0" w:color="000000"/>
          <w:bottom w:val="single" w:sz="4" w:space="0" w:color="000000"/>
          <w:right w:val="single" w:sz="4" w:space="0" w:color="000000"/>
        </w:pBdr>
        <w:shd w:val="clear" w:color="auto" w:fill="F2F2F2"/>
        <w:spacing w:line="275" w:lineRule="auto"/>
        <w:ind w:left="108" w:right="113"/>
      </w:pPr>
      <w:r>
        <w:t xml:space="preserve">Further </w:t>
      </w:r>
      <w:r>
        <w:tab/>
        <w:t xml:space="preserve">information </w:t>
      </w:r>
      <w:r>
        <w:tab/>
        <w:t xml:space="preserve">about </w:t>
      </w:r>
      <w:r>
        <w:tab/>
        <w:t xml:space="preserve">STARTTS’ </w:t>
      </w:r>
      <w:r>
        <w:tab/>
        <w:t xml:space="preserve">services </w:t>
      </w:r>
      <w:r>
        <w:tab/>
        <w:t xml:space="preserve">and </w:t>
      </w:r>
      <w:r>
        <w:tab/>
        <w:t xml:space="preserve">programs </w:t>
      </w:r>
      <w:r>
        <w:tab/>
        <w:t xml:space="preserve">can </w:t>
      </w:r>
      <w:r>
        <w:tab/>
        <w:t xml:space="preserve">be </w:t>
      </w:r>
      <w:r>
        <w:tab/>
        <w:t xml:space="preserve">found </w:t>
      </w:r>
      <w:r>
        <w:tab/>
        <w:t xml:space="preserve">at </w:t>
      </w:r>
      <w:hyperlink r:id="rId8">
        <w:r>
          <w:rPr>
            <w:color w:val="467886"/>
            <w:u w:val="single" w:color="467886"/>
          </w:rPr>
          <w:t>http://www.startts.org.au</w:t>
        </w:r>
      </w:hyperlink>
      <w:hyperlink r:id="rId9">
        <w:r>
          <w:t>.</w:t>
        </w:r>
      </w:hyperlink>
      <w:r>
        <w:t xml:space="preserve"> </w:t>
      </w:r>
    </w:p>
    <w:p w14:paraId="0CD6CF67" w14:textId="77777777" w:rsidR="00B6140E" w:rsidRDefault="00F60E6B">
      <w:pPr>
        <w:spacing w:after="172" w:line="259" w:lineRule="auto"/>
        <w:ind w:left="0" w:right="0" w:firstLine="0"/>
        <w:jc w:val="left"/>
      </w:pPr>
      <w:r>
        <w:t xml:space="preserve"> </w:t>
      </w:r>
    </w:p>
    <w:p w14:paraId="27DF62B5" w14:textId="77777777" w:rsidR="00B6140E" w:rsidRDefault="00F60E6B">
      <w:pPr>
        <w:spacing w:after="1879" w:line="259" w:lineRule="auto"/>
        <w:ind w:left="0" w:right="0" w:firstLine="0"/>
        <w:jc w:val="left"/>
      </w:pPr>
      <w:r>
        <w:t xml:space="preserve"> </w:t>
      </w:r>
      <w:r>
        <w:tab/>
        <w:t xml:space="preserve"> </w:t>
      </w:r>
    </w:p>
    <w:p w14:paraId="3FDA8DC0" w14:textId="77777777" w:rsidR="00B6140E" w:rsidRDefault="00F60E6B">
      <w:pPr>
        <w:spacing w:after="0" w:line="259" w:lineRule="auto"/>
        <w:ind w:left="0" w:right="0" w:firstLine="0"/>
        <w:jc w:val="left"/>
      </w:pPr>
      <w:r>
        <w:rPr>
          <w:noProof/>
        </w:rPr>
        <mc:AlternateContent>
          <mc:Choice Requires="wpg">
            <w:drawing>
              <wp:inline distT="0" distB="0" distL="0" distR="0" wp14:anchorId="3C9A4918" wp14:editId="05F2FAA2">
                <wp:extent cx="1829054" cy="7620"/>
                <wp:effectExtent l="0" t="0" r="0" b="0"/>
                <wp:docPr id="20722" name="Group 20722"/>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3198" name="Shape 2319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722" style="width:144.02pt;height:0.599976pt;mso-position-horizontal-relative:char;mso-position-vertical-relative:line" coordsize="18290,76">
                <v:shape id="Shape 2319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E7CC9FA" w14:textId="77777777" w:rsidR="00B6140E" w:rsidRDefault="00F60E6B">
      <w:pPr>
        <w:pStyle w:val="Heading1"/>
      </w:pPr>
      <w:r>
        <w:t>Introduction</w:t>
      </w:r>
      <w:r>
        <w:t xml:space="preserve"> </w:t>
      </w:r>
    </w:p>
    <w:p w14:paraId="545D63BF" w14:textId="77777777" w:rsidR="00B6140E" w:rsidRDefault="00F60E6B">
      <w:pPr>
        <w:ind w:left="-5" w:right="4"/>
      </w:pPr>
      <w:r>
        <w:t xml:space="preserve">STARTTS welcomes the opportunity to provide feedback to the Department of Social Services (‘the department’) for the development of a single national program to support children and families – </w:t>
      </w:r>
      <w:r>
        <w:rPr>
          <w:i/>
        </w:rPr>
        <w:t>‘A new approach to programs for families and children’</w:t>
      </w:r>
      <w:r>
        <w:t>. We commend the Australian Government for its commitment to improve the way services are programmed and funded to achieve better service intervention outcomes for children and families.</w:t>
      </w:r>
      <w:r>
        <w:t xml:space="preserve"> </w:t>
      </w:r>
    </w:p>
    <w:p w14:paraId="1DC86DC1" w14:textId="77777777" w:rsidR="00B6140E" w:rsidRDefault="00F60E6B">
      <w:pPr>
        <w:ind w:left="-5" w:right="4"/>
      </w:pPr>
      <w:r>
        <w:t xml:space="preserve">This submission contains our responses to the discussion questions from the </w:t>
      </w:r>
      <w:r>
        <w:rPr>
          <w:i/>
        </w:rPr>
        <w:t xml:space="preserve">‘A new approach to programs for families and children’ </w:t>
      </w:r>
      <w:r>
        <w:t>discussion paper and are informed by our organisational knowledge and extensive experience working with survivors of torture and other trauma. This includes many years of experience successfully applying for funding grants through a range of philanthropic, state government, and federal government agencies; to deliver services and projects that address the unique set of needs that people and communities from refugee and refugee-like backgrounds experienc</w:t>
      </w:r>
      <w:r>
        <w:t xml:space="preserve">e. We are also privileged to have supported many diverse refugee-led organisations through </w:t>
      </w:r>
      <w:r>
        <w:lastRenderedPageBreak/>
        <w:t>our capacity building activities and programs, and provided many with support and assistance for their applications for grant funding (as an individual entity, joint partnerships, and consortia).</w:t>
      </w:r>
      <w:r>
        <w:t xml:space="preserve"> </w:t>
      </w:r>
    </w:p>
    <w:p w14:paraId="2D275703" w14:textId="77777777" w:rsidR="00B6140E" w:rsidRDefault="00F60E6B">
      <w:pPr>
        <w:ind w:left="-5" w:right="4"/>
      </w:pPr>
      <w:r>
        <w:t>Our preliminary view of the proposed single national program is that it has the potential to be a positive development for our organisation, should it deliver on streamlined grant application and reporting, increased flexibility in service delivery, and an improved partnership approach through relational contracting. We support increased sector diversity and strongly believe small community organisations, like the refugee-led organisations we support and assist, must be able to access the funding opportunit</w:t>
      </w:r>
      <w:r>
        <w:t>ies in this proposed single national program. Refugee-led organisations are embedded within their communities; they have better reach and engagement with their communities and add significant value to the funding they receive to provide services.</w:t>
      </w:r>
      <w:r>
        <w:rPr>
          <w:vertAlign w:val="superscript"/>
        </w:rPr>
        <w:footnoteReference w:id="3"/>
      </w:r>
      <w:r>
        <w:t xml:space="preserve"> </w:t>
      </w:r>
    </w:p>
    <w:p w14:paraId="5941D605" w14:textId="77777777" w:rsidR="00B6140E" w:rsidRDefault="00F60E6B">
      <w:pPr>
        <w:spacing w:after="1127"/>
        <w:ind w:left="-5" w:right="4"/>
      </w:pPr>
      <w:r>
        <w:t xml:space="preserve">People from refugee backgrounds tend to exhibit lower </w:t>
      </w:r>
      <w:r>
        <w:t>levels of help seeking and underutilise professional services, such as mental health services.</w:t>
      </w:r>
      <w:r>
        <w:rPr>
          <w:vertAlign w:val="superscript"/>
        </w:rPr>
        <w:footnoteReference w:id="4"/>
      </w:r>
      <w:r>
        <w:t xml:space="preserve"> The factors contributing to this underutilisation include the collective impact of state terrorism and organised violence they have experienced, which instils fear and lack of trust in government, authorities, and institutions; and there is a lack of understanding, particularly among recently arrived community members, of the conceptual frameworks underpinning Australian society, the available systems of supports and how to access them. Given the complex web of interrelated challenges faced by survivors of</w:t>
      </w:r>
      <w:r>
        <w:t xml:space="preserve"> torture and other trauma, it is essential to have services that comprise a mix of specialised and general services that are accessible, innovative and responsive to the needs and strengths of this diverse client cohort. Refugeeled organisations are particularly well situated to provide these targeted services in culturally and linguistically appropriate approaches, providing support in a safe and trusting environment for their newly-arrived community members.</w:t>
      </w:r>
      <w:r>
        <w:t xml:space="preserve"> </w:t>
      </w:r>
    </w:p>
    <w:p w14:paraId="4DBC660B" w14:textId="77777777" w:rsidR="00B6140E" w:rsidRDefault="00F60E6B">
      <w:pPr>
        <w:spacing w:after="0" w:line="259" w:lineRule="auto"/>
        <w:ind w:left="0" w:right="0" w:firstLine="0"/>
        <w:jc w:val="left"/>
      </w:pPr>
      <w:r>
        <w:rPr>
          <w:noProof/>
        </w:rPr>
        <mc:AlternateContent>
          <mc:Choice Requires="wpg">
            <w:drawing>
              <wp:inline distT="0" distB="0" distL="0" distR="0" wp14:anchorId="5585D551" wp14:editId="0A5574AC">
                <wp:extent cx="1829054" cy="7620"/>
                <wp:effectExtent l="0" t="0" r="0" b="0"/>
                <wp:docPr id="19553" name="Group 1955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3200" name="Shape 2320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553" style="width:144.02pt;height:0.599976pt;mso-position-horizontal-relative:char;mso-position-vertical-relative:line" coordsize="18290,76">
                <v:shape id="Shape 2320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4FA380DF" w14:textId="77777777" w:rsidR="00B6140E" w:rsidRDefault="00F60E6B">
      <w:pPr>
        <w:ind w:left="-5" w:right="4"/>
      </w:pPr>
      <w:r>
        <w:t>We thank the department for giving our submission due consideration and welcome requests to provide further information on any of the matters raised, including the opportunity to share relevant examples and evaluation reports from our work.</w:t>
      </w:r>
      <w:r>
        <w:t xml:space="preserve"> </w:t>
      </w:r>
    </w:p>
    <w:p w14:paraId="4E93D2C9" w14:textId="77777777" w:rsidR="00B6140E" w:rsidRDefault="00F60E6B">
      <w:pPr>
        <w:spacing w:after="0" w:line="259" w:lineRule="auto"/>
        <w:ind w:left="0" w:right="0" w:firstLine="0"/>
        <w:jc w:val="left"/>
      </w:pPr>
      <w:r>
        <w:t xml:space="preserve"> </w:t>
      </w:r>
    </w:p>
    <w:tbl>
      <w:tblPr>
        <w:tblStyle w:val="TableGrid"/>
        <w:tblW w:w="9073" w:type="dxa"/>
        <w:tblInd w:w="0" w:type="dxa"/>
        <w:tblCellMar>
          <w:top w:w="43" w:type="dxa"/>
          <w:left w:w="108" w:type="dxa"/>
          <w:bottom w:w="0" w:type="dxa"/>
          <w:right w:w="564" w:type="dxa"/>
        </w:tblCellMar>
        <w:tblLook w:val="04A0" w:firstRow="1" w:lastRow="0" w:firstColumn="1" w:lastColumn="0" w:noHBand="0" w:noVBand="1"/>
      </w:tblPr>
      <w:tblGrid>
        <w:gridCol w:w="9073"/>
      </w:tblGrid>
      <w:tr w:rsidR="00B6140E" w14:paraId="5287FE43" w14:textId="77777777">
        <w:trPr>
          <w:trHeight w:val="2234"/>
        </w:trPr>
        <w:tc>
          <w:tcPr>
            <w:tcW w:w="9073" w:type="dxa"/>
            <w:tcBorders>
              <w:top w:val="nil"/>
              <w:left w:val="nil"/>
              <w:bottom w:val="nil"/>
              <w:right w:val="nil"/>
            </w:tcBorders>
            <w:shd w:val="clear" w:color="auto" w:fill="E9F7FD"/>
          </w:tcPr>
          <w:p w14:paraId="180A58D1" w14:textId="77777777" w:rsidR="00B6140E" w:rsidRDefault="00F60E6B">
            <w:pPr>
              <w:spacing w:after="98" w:line="259" w:lineRule="auto"/>
              <w:ind w:left="0" w:right="0" w:firstLine="0"/>
              <w:jc w:val="left"/>
            </w:pPr>
            <w:r>
              <w:rPr>
                <w:b/>
              </w:rPr>
              <w:t xml:space="preserve">Vision and outcomes </w:t>
            </w:r>
          </w:p>
          <w:p w14:paraId="5FFDFDB3" w14:textId="77777777" w:rsidR="00B6140E" w:rsidRDefault="00F60E6B">
            <w:pPr>
              <w:spacing w:after="98" w:line="259" w:lineRule="auto"/>
              <w:ind w:left="0" w:right="0" w:firstLine="0"/>
              <w:jc w:val="left"/>
            </w:pPr>
            <w:r>
              <w:rPr>
                <w:i/>
              </w:rPr>
              <w:t xml:space="preserve">Does the new vision reflect what we all want for children and families? </w:t>
            </w:r>
          </w:p>
          <w:p w14:paraId="2DFAA993" w14:textId="77777777" w:rsidR="00B6140E" w:rsidRDefault="00F60E6B">
            <w:pPr>
              <w:spacing w:after="120" w:line="239" w:lineRule="auto"/>
              <w:ind w:left="0" w:right="0" w:firstLine="0"/>
            </w:pPr>
            <w:r>
              <w:rPr>
                <w:i/>
              </w:rPr>
              <w:t xml:space="preserve">Are the two main outcomes what we should be working towards for children and families? Why/why not? </w:t>
            </w:r>
          </w:p>
          <w:p w14:paraId="04483550" w14:textId="77777777" w:rsidR="00B6140E" w:rsidRDefault="00F60E6B">
            <w:pPr>
              <w:spacing w:after="98" w:line="259" w:lineRule="auto"/>
              <w:ind w:left="720" w:right="0" w:firstLine="0"/>
              <w:jc w:val="left"/>
            </w:pPr>
            <w:r>
              <w:t>Outcome 1: Parents and caregivers are empowered to raise healthy, resilient children.</w:t>
            </w:r>
            <w:r>
              <w:t xml:space="preserve"> </w:t>
            </w:r>
          </w:p>
          <w:p w14:paraId="6131E76C" w14:textId="77777777" w:rsidR="00B6140E" w:rsidRDefault="00F60E6B">
            <w:pPr>
              <w:spacing w:after="0" w:line="259" w:lineRule="auto"/>
              <w:ind w:left="720" w:right="0" w:firstLine="0"/>
              <w:jc w:val="left"/>
            </w:pPr>
            <w:r>
              <w:t>Outcome 2: Children are supported to grow into healthy, resilient adults.</w:t>
            </w:r>
            <w:r>
              <w:t xml:space="preserve"> </w:t>
            </w:r>
          </w:p>
        </w:tc>
      </w:tr>
    </w:tbl>
    <w:p w14:paraId="46323CFC" w14:textId="77777777" w:rsidR="00B6140E" w:rsidRDefault="00F60E6B">
      <w:pPr>
        <w:spacing w:after="0" w:line="259" w:lineRule="auto"/>
        <w:ind w:left="0" w:right="0" w:firstLine="0"/>
        <w:jc w:val="left"/>
      </w:pPr>
      <w:r>
        <w:lastRenderedPageBreak/>
        <w:t xml:space="preserve"> </w:t>
      </w:r>
    </w:p>
    <w:p w14:paraId="105A77ED" w14:textId="77777777" w:rsidR="00B6140E" w:rsidRDefault="00F60E6B">
      <w:pPr>
        <w:ind w:left="-5" w:right="4"/>
      </w:pPr>
      <w:r>
        <w:t xml:space="preserve">STARTTS gives in-principle support for </w:t>
      </w:r>
      <w:r>
        <w:t>the vision and main outcomes of the proposed national program. The high-level statements broadly align with the intent and purpose of the program.</w:t>
      </w:r>
      <w:r>
        <w:t xml:space="preserve"> </w:t>
      </w:r>
    </w:p>
    <w:p w14:paraId="79B7738B" w14:textId="77777777" w:rsidR="00B6140E" w:rsidRDefault="00F60E6B">
      <w:pPr>
        <w:ind w:left="-5" w:right="4"/>
      </w:pPr>
      <w:r>
        <w:t xml:space="preserve">We present some additional matters below for the department to consider as part of its deliberations on the program outcomes and program design.  </w:t>
      </w:r>
      <w:r>
        <w:t xml:space="preserve"> </w:t>
      </w:r>
    </w:p>
    <w:p w14:paraId="0DD8A165" w14:textId="77777777" w:rsidR="00B6140E" w:rsidRDefault="00F60E6B">
      <w:pPr>
        <w:spacing w:after="159" w:line="259" w:lineRule="auto"/>
        <w:ind w:left="-5" w:right="0"/>
        <w:jc w:val="left"/>
      </w:pPr>
      <w:r>
        <w:rPr>
          <w:b/>
        </w:rPr>
        <w:t xml:space="preserve">Connectedness and relationships </w:t>
      </w:r>
    </w:p>
    <w:p w14:paraId="4AB469F2" w14:textId="77777777" w:rsidR="00B6140E" w:rsidRDefault="00F60E6B">
      <w:pPr>
        <w:ind w:left="-5" w:right="4"/>
      </w:pPr>
      <w:r>
        <w:t>We make the observation that parents/caregivers and their children are part of broader systems and networks that involve important connections, such as extended family, friends, community and other groups or affiliations. The self-agency of parents/caregivers and their children notwithstanding, these connections are significant because the feeling of connectedness and the quality of these relationships can have a pivotal role – inhibiting or supporting – to achieving either of the two main outcomes of the p</w:t>
      </w:r>
      <w:r>
        <w:t>rogram. The connection or reconnection of safe, positive, genuine and meaningful relationships are not only an essential element for attaining the outcomes, but also a direct purpose or goal for the children and family services that are provided across this program area. As noted in the department’s evidence summary document, these relationships “are a key protective factor in supporting the wellbeing and resilience of children and families”.</w:t>
      </w:r>
      <w:r>
        <w:rPr>
          <w:vertAlign w:val="superscript"/>
        </w:rPr>
        <w:footnoteReference w:id="5"/>
      </w:r>
      <w:r>
        <w:t xml:space="preserve"> </w:t>
      </w:r>
    </w:p>
    <w:p w14:paraId="065142FB" w14:textId="77777777" w:rsidR="00B6140E" w:rsidRDefault="00F60E6B">
      <w:pPr>
        <w:spacing w:after="159" w:line="259" w:lineRule="auto"/>
        <w:ind w:left="-5" w:right="0"/>
        <w:jc w:val="left"/>
      </w:pPr>
      <w:r>
        <w:rPr>
          <w:b/>
        </w:rPr>
        <w:t xml:space="preserve">Diversity and intersectionality </w:t>
      </w:r>
    </w:p>
    <w:p w14:paraId="76835765" w14:textId="77777777" w:rsidR="00B6140E" w:rsidRDefault="00F60E6B">
      <w:pPr>
        <w:ind w:left="-5" w:right="4"/>
      </w:pPr>
      <w:r>
        <w:t xml:space="preserve">We strongly support the department’s key finding from the consultation summary, which </w:t>
      </w:r>
      <w:r>
        <w:t>highlighted  that for some communities, such as Culturally and Linguistically Diverse (CALD) families, there is a   “need for tailored support to access and safely participate in services and programs.”</w:t>
      </w:r>
      <w:r>
        <w:rPr>
          <w:vertAlign w:val="superscript"/>
        </w:rPr>
        <w:footnoteReference w:id="6"/>
      </w:r>
      <w:r>
        <w:t xml:space="preserve"> This must include intersecting and overlapping identities, which can include but are not limited to, gender identity, sexual orientation, disability, religion, ethnicity, sex, age, and socio-economic status.</w:t>
      </w:r>
      <w:r>
        <w:rPr>
          <w:vertAlign w:val="superscript"/>
        </w:rPr>
        <w:footnoteReference w:id="7"/>
      </w:r>
      <w:r>
        <w:t xml:space="preserve"> </w:t>
      </w:r>
    </w:p>
    <w:p w14:paraId="27BCB115" w14:textId="77777777" w:rsidR="00B6140E" w:rsidRDefault="00F60E6B">
      <w:pPr>
        <w:spacing w:after="11"/>
        <w:ind w:left="-5" w:right="4"/>
      </w:pPr>
      <w:r>
        <w:t xml:space="preserve">While there isn’t direct reference in the program’s vision and outcomes about the need for tailored supports to accommodate for needs of people from diverse backgrounds and identities, it is of critical importance that these are key foundations within the program’s design. We suggest that there are key findings from the department’s consultation summary about this matter that should be adopted in the </w:t>
      </w:r>
    </w:p>
    <w:p w14:paraId="0CE241FB" w14:textId="77777777" w:rsidR="00B6140E" w:rsidRDefault="00F60E6B">
      <w:pPr>
        <w:spacing w:after="0" w:line="259" w:lineRule="auto"/>
        <w:ind w:left="0" w:right="0" w:firstLine="0"/>
        <w:jc w:val="left"/>
      </w:pPr>
      <w:r>
        <w:rPr>
          <w:noProof/>
        </w:rPr>
        <mc:AlternateContent>
          <mc:Choice Requires="wpg">
            <w:drawing>
              <wp:inline distT="0" distB="0" distL="0" distR="0" wp14:anchorId="0B69A1B6" wp14:editId="6E6D7192">
                <wp:extent cx="1829054" cy="7620"/>
                <wp:effectExtent l="0" t="0" r="0" b="0"/>
                <wp:docPr id="19720" name="Group 1972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3202" name="Shape 2320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720" style="width:144.02pt;height:0.599976pt;mso-position-horizontal-relative:char;mso-position-vertical-relative:line" coordsize="18290,76">
                <v:shape id="Shape 2320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F09FB5F" w14:textId="77777777" w:rsidR="00B6140E" w:rsidRDefault="00F60E6B">
      <w:pPr>
        <w:ind w:left="-5" w:right="4"/>
      </w:pPr>
      <w:r>
        <w:t>program design. As a starting point this would include, that the program design and service delivery must be inclusive, flexible and accessible, and utilise community-</w:t>
      </w:r>
      <w:r>
        <w:t>led approaches and co-design, and strategies that support this include:</w:t>
      </w:r>
      <w:r>
        <w:t xml:space="preserve"> </w:t>
      </w:r>
    </w:p>
    <w:p w14:paraId="1CFD4667" w14:textId="77777777" w:rsidR="00B6140E" w:rsidRDefault="00F60E6B">
      <w:pPr>
        <w:numPr>
          <w:ilvl w:val="0"/>
          <w:numId w:val="1"/>
        </w:numPr>
        <w:spacing w:after="14"/>
        <w:ind w:right="4" w:hanging="360"/>
      </w:pPr>
      <w:r>
        <w:t xml:space="preserve">Building a more diverse and skilled workforce. </w:t>
      </w:r>
      <w:r>
        <w:t xml:space="preserve"> </w:t>
      </w:r>
    </w:p>
    <w:p w14:paraId="3B829D8F" w14:textId="77777777" w:rsidR="00B6140E" w:rsidRDefault="00F60E6B">
      <w:pPr>
        <w:numPr>
          <w:ilvl w:val="0"/>
          <w:numId w:val="1"/>
        </w:numPr>
        <w:spacing w:after="1"/>
        <w:ind w:right="4" w:hanging="360"/>
      </w:pPr>
      <w:r>
        <w:t xml:space="preserve">Developing a better understanding of different parenting styles and cultural practices. </w:t>
      </w:r>
      <w:r>
        <w:t xml:space="preserve"> </w:t>
      </w:r>
    </w:p>
    <w:p w14:paraId="1CE33D02" w14:textId="77777777" w:rsidR="00B6140E" w:rsidRDefault="00F60E6B">
      <w:pPr>
        <w:numPr>
          <w:ilvl w:val="0"/>
          <w:numId w:val="1"/>
        </w:numPr>
        <w:ind w:right="4" w:hanging="360"/>
      </w:pPr>
      <w:r>
        <w:t>Providing resources and services in multiple languages.</w:t>
      </w:r>
      <w:r>
        <w:rPr>
          <w:vertAlign w:val="superscript"/>
        </w:rPr>
        <w:footnoteReference w:id="8"/>
      </w:r>
      <w:r>
        <w:t xml:space="preserve"> </w:t>
      </w:r>
    </w:p>
    <w:p w14:paraId="54A84932" w14:textId="77777777" w:rsidR="00B6140E" w:rsidRDefault="00F60E6B">
      <w:pPr>
        <w:spacing w:after="158" w:line="259" w:lineRule="auto"/>
        <w:ind w:left="0" w:right="0" w:firstLine="0"/>
        <w:jc w:val="left"/>
      </w:pPr>
      <w:r>
        <w:t xml:space="preserve"> </w:t>
      </w:r>
    </w:p>
    <w:p w14:paraId="570CEA57" w14:textId="77777777" w:rsidR="00B6140E" w:rsidRDefault="00F60E6B">
      <w:pPr>
        <w:pStyle w:val="Heading2"/>
        <w:ind w:left="103"/>
      </w:pPr>
      <w:r>
        <w:lastRenderedPageBreak/>
        <w:t>Program structure</w:t>
      </w:r>
      <w:r>
        <w:t xml:space="preserve"> </w:t>
      </w:r>
    </w:p>
    <w:p w14:paraId="2586EA04" w14:textId="77777777" w:rsidR="00B6140E" w:rsidRDefault="00F60E6B">
      <w:pPr>
        <w:shd w:val="clear" w:color="auto" w:fill="E9F7FD"/>
        <w:spacing w:after="168" w:line="249" w:lineRule="auto"/>
        <w:ind w:left="103" w:right="0"/>
        <w:jc w:val="left"/>
      </w:pPr>
      <w:r>
        <w:rPr>
          <w:i/>
        </w:rPr>
        <w:t>Will a single national program provide more flexibility for your organisation?</w:t>
      </w:r>
      <w:r>
        <w:t xml:space="preserve"> </w:t>
      </w:r>
    </w:p>
    <w:p w14:paraId="43CC7032" w14:textId="77777777" w:rsidR="00B6140E" w:rsidRDefault="00F60E6B">
      <w:pPr>
        <w:shd w:val="clear" w:color="auto" w:fill="E9F7FD"/>
        <w:spacing w:after="168" w:line="249" w:lineRule="auto"/>
        <w:ind w:left="103" w:right="0"/>
        <w:jc w:val="left"/>
      </w:pPr>
      <w:r>
        <w:rPr>
          <w:i/>
        </w:rPr>
        <w:t>Are there other changes we could make to the program to help your organisation or community overcome current challenges?</w:t>
      </w:r>
      <w:r>
        <w:t xml:space="preserve"> </w:t>
      </w:r>
    </w:p>
    <w:p w14:paraId="14F918B7" w14:textId="77777777" w:rsidR="00B6140E" w:rsidRDefault="00F60E6B">
      <w:pPr>
        <w:spacing w:after="0" w:line="259" w:lineRule="auto"/>
        <w:ind w:left="0" w:right="0" w:firstLine="0"/>
        <w:jc w:val="left"/>
      </w:pPr>
      <w:r>
        <w:rPr>
          <w:b/>
        </w:rPr>
        <w:t xml:space="preserve"> </w:t>
      </w:r>
    </w:p>
    <w:p w14:paraId="3335E332" w14:textId="77777777" w:rsidR="00B6140E" w:rsidRDefault="00F60E6B">
      <w:pPr>
        <w:ind w:left="-5" w:right="4"/>
      </w:pPr>
      <w:r>
        <w:t>STARTTS gives in-principle support for the proposed single national program. Our preliminary view of the proposal is that it has the potential to be a positive development for our organisation. We anticipate that the most likely benefits of having a single approach to grant funding for our organisation would be the following:</w:t>
      </w:r>
      <w:r>
        <w:t xml:space="preserve"> </w:t>
      </w:r>
    </w:p>
    <w:p w14:paraId="3559D047" w14:textId="77777777" w:rsidR="00B6140E" w:rsidRDefault="00F60E6B">
      <w:pPr>
        <w:numPr>
          <w:ilvl w:val="0"/>
          <w:numId w:val="2"/>
        </w:numPr>
        <w:ind w:right="4" w:hanging="355"/>
      </w:pPr>
      <w:r>
        <w:t>streamline grant applications and contract reporting, reducing the amount of time required for these activities;</w:t>
      </w:r>
      <w:r>
        <w:t xml:space="preserve"> </w:t>
      </w:r>
    </w:p>
    <w:p w14:paraId="519808D6" w14:textId="77777777" w:rsidR="00B6140E" w:rsidRDefault="00F60E6B">
      <w:pPr>
        <w:numPr>
          <w:ilvl w:val="0"/>
          <w:numId w:val="2"/>
        </w:numPr>
        <w:spacing w:after="187"/>
        <w:ind w:right="4" w:hanging="355"/>
      </w:pPr>
      <w:r>
        <w:t xml:space="preserve">provide flexibility and adaptability </w:t>
      </w:r>
      <w:r>
        <w:t>in our service provision to better meet the needs of clients, should our contract involve the provision of more than one program or service;</w:t>
      </w:r>
      <w:r>
        <w:t xml:space="preserve"> </w:t>
      </w:r>
    </w:p>
    <w:p w14:paraId="5097D9CD" w14:textId="77777777" w:rsidR="00B6140E" w:rsidRDefault="00F60E6B">
      <w:pPr>
        <w:numPr>
          <w:ilvl w:val="0"/>
          <w:numId w:val="2"/>
        </w:numPr>
        <w:ind w:right="4" w:hanging="355"/>
      </w:pPr>
      <w:r>
        <w:t>further develop our relationships with the contract manager and funding body;</w:t>
      </w:r>
      <w:r>
        <w:t xml:space="preserve"> </w:t>
      </w:r>
    </w:p>
    <w:p w14:paraId="6C8B6210" w14:textId="77777777" w:rsidR="00B6140E" w:rsidRDefault="00F60E6B">
      <w:pPr>
        <w:numPr>
          <w:ilvl w:val="0"/>
          <w:numId w:val="2"/>
        </w:numPr>
        <w:ind w:right="4" w:hanging="355"/>
      </w:pPr>
      <w:r>
        <w:t xml:space="preserve">support the innovation of our services and potential for new grant opportunities, either individually or through partnerships, to complement and enhance the services we currently offer in the existing legacy program area. </w:t>
      </w:r>
      <w:r>
        <w:t xml:space="preserve"> </w:t>
      </w:r>
    </w:p>
    <w:p w14:paraId="3A3E02CA" w14:textId="77777777" w:rsidR="00B6140E" w:rsidRDefault="00F60E6B">
      <w:pPr>
        <w:ind w:left="-5" w:right="4"/>
      </w:pPr>
      <w:r>
        <w:t xml:space="preserve">Additionally, we welcome the proposal to provide more funding certainty, possibly through the provision of 5-year contracts. We look forward to confirmation from the department that this will also include timely and transparent indexation of funding, as committed to in the </w:t>
      </w:r>
      <w:r>
        <w:rPr>
          <w:i/>
        </w:rPr>
        <w:t>Community Sector Grants Engagement Framework</w:t>
      </w:r>
      <w:r>
        <w:t>.</w:t>
      </w:r>
      <w:r>
        <w:rPr>
          <w:vertAlign w:val="superscript"/>
        </w:rPr>
        <w:footnoteReference w:id="9"/>
      </w:r>
      <w:r>
        <w:t xml:space="preserve"> We concur that this would really help in terms of sustainability and retention of staff and improve the consistency of services and offer increased continuity for service users.</w:t>
      </w:r>
      <w:r>
        <w:t xml:space="preserve"> </w:t>
      </w:r>
    </w:p>
    <w:p w14:paraId="77FDC656" w14:textId="77777777" w:rsidR="00B6140E" w:rsidRDefault="00F60E6B">
      <w:pPr>
        <w:spacing w:after="16"/>
        <w:ind w:left="-5" w:right="4"/>
      </w:pPr>
      <w:r>
        <w:t xml:space="preserve">We do hold some concerns about the potential impact of a single national approach in a competitive tender and question whether this approach may advantage larger organisations that have the scale to deliver a fuller range of services across multiple geographic locations. Together with the nationalised approach taken for some of the services in the program’s streams, in particular </w:t>
      </w:r>
      <w:r>
        <w:rPr>
          <w:i/>
        </w:rPr>
        <w:t>Stream 1: National programs and information services</w:t>
      </w:r>
      <w:r>
        <w:t xml:space="preserve">, it may create the situation where smaller organisations like ACCOs and refugee-led organisations are simply “crowded-out” or compelled to minor agency roles in joint partnerships. Other specialist service providers that work with a specific priority population will likely be affected in a similar way. While it is laudable that the </w:t>
      </w:r>
      <w:r>
        <w:rPr>
          <w:i/>
        </w:rPr>
        <w:t xml:space="preserve">Community Sector Grants Engagement </w:t>
      </w:r>
    </w:p>
    <w:p w14:paraId="5DAED1F8" w14:textId="77777777" w:rsidR="00B6140E" w:rsidRDefault="00F60E6B">
      <w:pPr>
        <w:spacing w:after="0" w:line="259" w:lineRule="auto"/>
        <w:ind w:left="0" w:right="0" w:firstLine="0"/>
        <w:jc w:val="left"/>
      </w:pPr>
      <w:r>
        <w:rPr>
          <w:noProof/>
        </w:rPr>
        <mc:AlternateContent>
          <mc:Choice Requires="wpg">
            <w:drawing>
              <wp:inline distT="0" distB="0" distL="0" distR="0" wp14:anchorId="77AADF8D" wp14:editId="714F2B9E">
                <wp:extent cx="1829054" cy="7620"/>
                <wp:effectExtent l="0" t="0" r="0" b="0"/>
                <wp:docPr id="19707" name="Group 19707"/>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3204" name="Shape 2320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707" style="width:144.02pt;height:0.599976pt;mso-position-horizontal-relative:char;mso-position-vertical-relative:line" coordsize="18290,76">
                <v:shape id="Shape 2320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16B9F355" w14:textId="77777777" w:rsidR="00B6140E" w:rsidRDefault="00F60E6B">
      <w:pPr>
        <w:ind w:left="-5" w:right="4"/>
      </w:pPr>
      <w:r>
        <w:rPr>
          <w:i/>
        </w:rPr>
        <w:t xml:space="preserve">Framework </w:t>
      </w:r>
      <w:r>
        <w:t xml:space="preserve">espouses increased sector diversity as a pillar, in the current absence of clear guidance or framework for how this should occur, there is the risk that funding bodies could fall back onto the default view that a large organisation will be more reliable and efficient, and require less monitoring and compliance than a smaller community-based organisation. </w:t>
      </w:r>
      <w:r>
        <w:rPr>
          <w:i/>
        </w:rPr>
        <w:t xml:space="preserve"> </w:t>
      </w:r>
      <w:r>
        <w:t xml:space="preserve"> </w:t>
      </w:r>
    </w:p>
    <w:p w14:paraId="76B8CE5B" w14:textId="77777777" w:rsidR="00B6140E" w:rsidRDefault="00F60E6B">
      <w:pPr>
        <w:ind w:left="-5" w:right="4"/>
      </w:pPr>
      <w:r>
        <w:t xml:space="preserve">Joint partnerships are important and welcome developments in situations where: they are voluntary and formed through equal-footing with genuine engagement and interest in working together and partnering; it benefits the client through the collaborative delivery of holistic services; and assists the community organisations to reduce costs through the sharing of resources. Auspicing arrangements </w:t>
      </w:r>
      <w:r>
        <w:lastRenderedPageBreak/>
        <w:t>that come at a cost to the smaller community-based organisation (eg. excessive overheads or administration fees, loss of agency and representation), without genuine capacity building opportunities for that organisation, reflect poorly on the grant application process and do not offer value for money due to the erosion of funding, as a portion of it is diverted to administer the consortium agreement and redirected away from the service provision for clients and communities.</w:t>
      </w:r>
      <w:r>
        <w:t xml:space="preserve"> </w:t>
      </w:r>
    </w:p>
    <w:p w14:paraId="2AD16807" w14:textId="77777777" w:rsidR="00B6140E" w:rsidRDefault="00F60E6B">
      <w:pPr>
        <w:ind w:left="-5" w:right="4"/>
      </w:pPr>
      <w:r>
        <w:t>STARTTS supports increased sector diversity and we consider that it is very important to fund small and emerging refugee and migrant community organisations and support their increased role in the delivery of the services. These organisations play an important role in their communities, including but not limited to fostering social participation, economic wellbeing, independence, personal wellbeing, life satisfaction and community connectedness.</w:t>
      </w:r>
      <w:r>
        <w:rPr>
          <w:vertAlign w:val="superscript"/>
        </w:rPr>
        <w:footnoteReference w:id="10"/>
      </w:r>
      <w:r>
        <w:t xml:space="preserve"> </w:t>
      </w:r>
      <w:r>
        <w:t>STARTTS believes that supporting the initiative, independence and development of these organisations benefits both their own communities and the wider Australian community. Through the wide-range of activities that refugee and migrant community organisations carry out and the functions they serve in their own communities, they are major contributors to the extension of social inclusion and the growth and maintenance of social capital.</w:t>
      </w:r>
      <w:r>
        <w:t xml:space="preserve"> </w:t>
      </w:r>
    </w:p>
    <w:p w14:paraId="3E90AED5" w14:textId="77777777" w:rsidR="00B6140E" w:rsidRDefault="00F60E6B">
      <w:pPr>
        <w:ind w:left="-5" w:right="4"/>
      </w:pPr>
      <w:r>
        <w:t>While STARTTS understands the challenges faced by funding bodies when considering whether to award funding to small and emerging communities, we believe there are support strategies which can be implemented to support small and emerging community organisations where necessary. Our suggestions for this include:</w:t>
      </w:r>
      <w:r>
        <w:t xml:space="preserve"> </w:t>
      </w:r>
    </w:p>
    <w:p w14:paraId="4F8FF67F" w14:textId="77777777" w:rsidR="00B6140E" w:rsidRDefault="00F60E6B">
      <w:pPr>
        <w:numPr>
          <w:ilvl w:val="0"/>
          <w:numId w:val="3"/>
        </w:numPr>
        <w:ind w:right="4" w:hanging="355"/>
      </w:pPr>
      <w:r>
        <w:t>A fair and transparent approach that includes a grant application process that is accessible, in plain language; with selection criteria that gives small and medium sized organisations the opportunity to be successful and recognises their particular expertise.</w:t>
      </w:r>
      <w:r>
        <w:t xml:space="preserve"> </w:t>
      </w:r>
    </w:p>
    <w:p w14:paraId="60F04D29" w14:textId="77777777" w:rsidR="00B6140E" w:rsidRDefault="00F60E6B">
      <w:pPr>
        <w:numPr>
          <w:ilvl w:val="0"/>
          <w:numId w:val="3"/>
        </w:numPr>
        <w:spacing w:after="187"/>
        <w:ind w:right="4" w:hanging="355"/>
      </w:pPr>
      <w:r>
        <w:t xml:space="preserve">The funding application process should enable and support small and medium sized organisations to apply independently for grants without requiring it to be part of a consortium to be considered competitive. </w:t>
      </w:r>
      <w:r>
        <w:t xml:space="preserve"> </w:t>
      </w:r>
    </w:p>
    <w:p w14:paraId="7DCD14BA" w14:textId="77777777" w:rsidR="00B6140E" w:rsidRDefault="00F60E6B">
      <w:pPr>
        <w:numPr>
          <w:ilvl w:val="0"/>
          <w:numId w:val="3"/>
        </w:numPr>
        <w:ind w:right="4" w:hanging="355"/>
      </w:pPr>
      <w:r>
        <w:t>Provide sufficient time for applications to enable all agencies to participate.</w:t>
      </w:r>
      <w:r>
        <w:t xml:space="preserve"> </w:t>
      </w:r>
    </w:p>
    <w:p w14:paraId="3FA126EC" w14:textId="77777777" w:rsidR="00B6140E" w:rsidRDefault="00F60E6B">
      <w:pPr>
        <w:numPr>
          <w:ilvl w:val="0"/>
          <w:numId w:val="3"/>
        </w:numPr>
        <w:spacing w:after="185"/>
        <w:ind w:right="4" w:hanging="355"/>
      </w:pPr>
      <w:r>
        <w:t>The department may want to consider the use of prequalification as part of this national program to further streamline the grants application process and reduce the time and resources needed to complete applications.</w:t>
      </w:r>
      <w:r>
        <w:rPr>
          <w:b/>
        </w:rPr>
        <w:t xml:space="preserve"> </w:t>
      </w:r>
    </w:p>
    <w:p w14:paraId="245EEF3F" w14:textId="77777777" w:rsidR="00B6140E" w:rsidRDefault="00F60E6B">
      <w:pPr>
        <w:spacing w:after="625" w:line="259" w:lineRule="auto"/>
        <w:ind w:left="0" w:right="0" w:firstLine="0"/>
        <w:jc w:val="left"/>
      </w:pPr>
      <w:r>
        <w:rPr>
          <w:rFonts w:ascii="Arial" w:eastAsia="Arial" w:hAnsi="Arial" w:cs="Arial"/>
        </w:rPr>
        <w:t xml:space="preserve"> </w:t>
      </w:r>
      <w:r>
        <w:rPr>
          <w:rFonts w:ascii="Arial" w:eastAsia="Arial" w:hAnsi="Arial" w:cs="Arial"/>
        </w:rPr>
        <w:tab/>
      </w:r>
      <w:r>
        <w:t xml:space="preserve"> </w:t>
      </w:r>
    </w:p>
    <w:p w14:paraId="690D109C" w14:textId="77777777" w:rsidR="00B6140E" w:rsidRDefault="00F60E6B">
      <w:pPr>
        <w:spacing w:after="0" w:line="259" w:lineRule="auto"/>
        <w:ind w:left="0" w:right="0" w:firstLine="0"/>
        <w:jc w:val="left"/>
      </w:pPr>
      <w:r>
        <w:rPr>
          <w:noProof/>
        </w:rPr>
        <mc:AlternateContent>
          <mc:Choice Requires="wpg">
            <w:drawing>
              <wp:inline distT="0" distB="0" distL="0" distR="0" wp14:anchorId="05492EEF" wp14:editId="639A34E7">
                <wp:extent cx="1829054" cy="7620"/>
                <wp:effectExtent l="0" t="0" r="0" b="0"/>
                <wp:docPr id="19556" name="Group 19556"/>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3206" name="Shape 2320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556" style="width:144.02pt;height:0.600037pt;mso-position-horizontal-relative:char;mso-position-vertical-relative:line" coordsize="18290,76">
                <v:shape id="Shape 2320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54330E0" w14:textId="77777777" w:rsidR="00B6140E" w:rsidRDefault="00F60E6B">
      <w:pPr>
        <w:pStyle w:val="Heading2"/>
        <w:spacing w:after="98"/>
        <w:ind w:left="103"/>
      </w:pPr>
      <w:r>
        <w:t>Prioritising investment</w:t>
      </w:r>
      <w:r>
        <w:t xml:space="preserve"> </w:t>
      </w:r>
    </w:p>
    <w:p w14:paraId="6DB6D30B" w14:textId="77777777" w:rsidR="00B6140E" w:rsidRDefault="00F60E6B">
      <w:pPr>
        <w:shd w:val="clear" w:color="auto" w:fill="E9F7FD"/>
        <w:spacing w:after="111" w:line="249" w:lineRule="auto"/>
        <w:ind w:left="103" w:right="0"/>
        <w:jc w:val="left"/>
      </w:pPr>
      <w:r>
        <w:rPr>
          <w:i/>
        </w:rPr>
        <w:t xml:space="preserve">Do you agree that the four priorities listed on page 4 are the right areas for investment to improve outcomes for children and families? </w:t>
      </w:r>
    </w:p>
    <w:p w14:paraId="19CB4CC0" w14:textId="77777777" w:rsidR="00B6140E" w:rsidRDefault="00F60E6B">
      <w:pPr>
        <w:shd w:val="clear" w:color="auto" w:fill="E9F7FD"/>
        <w:spacing w:after="126" w:line="249" w:lineRule="auto"/>
        <w:ind w:left="103" w:right="0"/>
        <w:jc w:val="left"/>
      </w:pPr>
      <w:r>
        <w:rPr>
          <w:i/>
        </w:rPr>
        <w:t>Are there any other priorities or issues you think the department should be focussing on?</w:t>
      </w:r>
      <w:r>
        <w:t xml:space="preserve"> </w:t>
      </w:r>
    </w:p>
    <w:p w14:paraId="274C300D" w14:textId="77777777" w:rsidR="00B6140E" w:rsidRDefault="00F60E6B">
      <w:pPr>
        <w:spacing w:after="0" w:line="259" w:lineRule="auto"/>
        <w:ind w:left="0" w:right="0" w:firstLine="0"/>
        <w:jc w:val="left"/>
      </w:pPr>
      <w:r>
        <w:t xml:space="preserve"> </w:t>
      </w:r>
    </w:p>
    <w:p w14:paraId="30DC3572" w14:textId="77777777" w:rsidR="00B6140E" w:rsidRDefault="00F60E6B">
      <w:pPr>
        <w:ind w:left="-5" w:right="4"/>
      </w:pPr>
      <w:r>
        <w:lastRenderedPageBreak/>
        <w:t>STARTTS gives in-principle support for the four priorities for investment to improve outcomes for children and families.</w:t>
      </w:r>
      <w:r>
        <w:t xml:space="preserve"> </w:t>
      </w:r>
    </w:p>
    <w:p w14:paraId="0AFB1E46" w14:textId="77777777" w:rsidR="00B6140E" w:rsidRDefault="00F60E6B">
      <w:pPr>
        <w:ind w:left="-5" w:right="4"/>
      </w:pPr>
      <w:r>
        <w:t>In relation to:</w:t>
      </w:r>
      <w:r>
        <w:t xml:space="preserve"> </w:t>
      </w:r>
    </w:p>
    <w:p w14:paraId="5EC51E52" w14:textId="77777777" w:rsidR="00B6140E" w:rsidRDefault="00F60E6B">
      <w:pPr>
        <w:spacing w:after="170" w:line="262" w:lineRule="auto"/>
        <w:ind w:left="715" w:right="0"/>
        <w:jc w:val="left"/>
      </w:pPr>
      <w:r>
        <w:rPr>
          <w:i/>
        </w:rPr>
        <w:t>1. Invest early to improve family wellbeing, break cycles of disadvantage, and reduce the need for later interventions – like child protection.</w:t>
      </w:r>
      <w:r>
        <w:rPr>
          <w:i/>
          <w:vertAlign w:val="superscript"/>
        </w:rPr>
        <w:footnoteReference w:id="11"/>
      </w:r>
      <w:r>
        <w:rPr>
          <w:i/>
        </w:rPr>
        <w:t xml:space="preserve">  </w:t>
      </w:r>
    </w:p>
    <w:p w14:paraId="4B292726" w14:textId="77777777" w:rsidR="00B6140E" w:rsidRDefault="00F60E6B">
      <w:pPr>
        <w:ind w:left="-5" w:right="4"/>
      </w:pPr>
      <w:r>
        <w:t xml:space="preserve">STARTTS supports the prioritisation of investing early. It is important that flexibility is also built-in, to enable services to provide support to people at different points when needs may arise for them, including the ability for a person to re-engage and access the same services that they have established safety and trust with. </w:t>
      </w:r>
      <w:r>
        <w:t xml:space="preserve"> </w:t>
      </w:r>
    </w:p>
    <w:p w14:paraId="04CFC436" w14:textId="77777777" w:rsidR="00B6140E" w:rsidRDefault="00F60E6B">
      <w:pPr>
        <w:ind w:left="-5" w:right="4"/>
      </w:pPr>
      <w:r>
        <w:t>Through our practice and experience working with people from refugee backgrounds, we know that the journey to recovery and settlement in Australia is individual and not linear and requires a service response that is a match with their lived-reality. We note that these comments are aligned with what the department heard in its earlier consultations – “the value of proportionate universalism”</w:t>
      </w:r>
      <w:r>
        <w:rPr>
          <w:vertAlign w:val="superscript"/>
        </w:rPr>
        <w:footnoteReference w:id="12"/>
      </w:r>
      <w:r>
        <w:t xml:space="preserve"> – and we lend our voice in the call for the department to adopt this in the policy settings of the program.</w:t>
      </w:r>
      <w:r>
        <w:t xml:space="preserve"> </w:t>
      </w:r>
    </w:p>
    <w:p w14:paraId="31A6F235" w14:textId="77777777" w:rsidR="00B6140E" w:rsidRDefault="00F60E6B">
      <w:pPr>
        <w:ind w:left="-5" w:right="4"/>
      </w:pPr>
      <w:r>
        <w:t xml:space="preserve">In relation to: </w:t>
      </w:r>
      <w:r>
        <w:t xml:space="preserve"> </w:t>
      </w:r>
    </w:p>
    <w:p w14:paraId="6CA6A3A2" w14:textId="77777777" w:rsidR="00B6140E" w:rsidRDefault="00F60E6B">
      <w:pPr>
        <w:spacing w:after="170" w:line="262" w:lineRule="auto"/>
        <w:ind w:left="715" w:right="0"/>
        <w:jc w:val="left"/>
      </w:pPr>
      <w:r>
        <w:rPr>
          <w:i/>
        </w:rPr>
        <w:t>3. Ensure services are informed by, and respond to, community needs.</w:t>
      </w:r>
      <w:r>
        <w:rPr>
          <w:i/>
          <w:vertAlign w:val="superscript"/>
        </w:rPr>
        <w:footnoteReference w:id="13"/>
      </w:r>
      <w:r>
        <w:rPr>
          <w:i/>
        </w:rPr>
        <w:t xml:space="preserve">  </w:t>
      </w:r>
    </w:p>
    <w:p w14:paraId="4FE06986" w14:textId="77777777" w:rsidR="00B6140E" w:rsidRDefault="00F60E6B">
      <w:pPr>
        <w:ind w:left="-5" w:right="4"/>
      </w:pPr>
      <w:r>
        <w:t xml:space="preserve">STARTTS is strongly supportive of the need for services to be informed by community needs. Equally, it is important to be explicit and for the services to also be informed by community strengths and assets, so not to be couched into taking a deficit approach to working with communities. Additionally, we suggest that this could be expanded further to make it explicit that services must ensure the services that are provided are accessible to the community they serve. This approach may require the use of more </w:t>
      </w:r>
      <w:r>
        <w:t xml:space="preserve">inclusive, participatory and collaborative means of service design and delivery that might not be adequately expressed by the current wording and the specific use of “informed by”. </w:t>
      </w:r>
      <w:r>
        <w:t xml:space="preserve"> </w:t>
      </w:r>
    </w:p>
    <w:p w14:paraId="6F3D1444" w14:textId="77777777" w:rsidR="00B6140E" w:rsidRDefault="00F60E6B">
      <w:pPr>
        <w:ind w:left="-5" w:right="4"/>
      </w:pPr>
      <w:r>
        <w:t>In the case for people from refugee backgrounds, it means that in order for a service provider to meet this community’s need for services, it needs to have good cultural match and understanding of its strengths and assets to promote engagement and accessibility. Service providers will need to proactively engage with the community through existing community structures to build trust, rapport and understanding. To be effective, the services they provide need to be culturally relevant, bridging cultural unders</w:t>
      </w:r>
      <w:r>
        <w:t>tandings and concepts, and be delivered in-language, using bicultural workers, interpreters and translated material.</w:t>
      </w:r>
      <w:r>
        <w:t xml:space="preserve"> </w:t>
      </w:r>
    </w:p>
    <w:p w14:paraId="153F65B3" w14:textId="77777777" w:rsidR="00B6140E" w:rsidRDefault="00F60E6B">
      <w:pPr>
        <w:spacing w:after="777" w:line="259" w:lineRule="auto"/>
        <w:ind w:left="0" w:right="0" w:firstLine="0"/>
        <w:jc w:val="left"/>
      </w:pPr>
      <w:r>
        <w:t xml:space="preserve"> </w:t>
      </w:r>
      <w:r>
        <w:tab/>
        <w:t xml:space="preserve"> </w:t>
      </w:r>
    </w:p>
    <w:p w14:paraId="3C2D3435" w14:textId="77777777" w:rsidR="00B6140E" w:rsidRDefault="00F60E6B">
      <w:pPr>
        <w:spacing w:after="0" w:line="259" w:lineRule="auto"/>
        <w:ind w:left="0" w:right="0" w:firstLine="0"/>
        <w:jc w:val="left"/>
      </w:pPr>
      <w:r>
        <w:rPr>
          <w:noProof/>
        </w:rPr>
        <mc:AlternateContent>
          <mc:Choice Requires="wpg">
            <w:drawing>
              <wp:inline distT="0" distB="0" distL="0" distR="0" wp14:anchorId="2DEC76F5" wp14:editId="639C6434">
                <wp:extent cx="1829054" cy="7620"/>
                <wp:effectExtent l="0" t="0" r="0" b="0"/>
                <wp:docPr id="19975" name="Group 1997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3208" name="Shape 2320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975" style="width:144.02pt;height:0.599976pt;mso-position-horizontal-relative:char;mso-position-vertical-relative:line" coordsize="18290,76">
                <v:shape id="Shape 2320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D38A73A" w14:textId="77777777" w:rsidR="00B6140E" w:rsidRDefault="00F60E6B">
      <w:pPr>
        <w:pStyle w:val="Heading2"/>
        <w:spacing w:after="98"/>
        <w:ind w:left="103"/>
      </w:pPr>
      <w:r>
        <w:t>Improving family wellbeing</w:t>
      </w:r>
      <w:r>
        <w:t xml:space="preserve"> </w:t>
      </w:r>
    </w:p>
    <w:p w14:paraId="71742AF8" w14:textId="77777777" w:rsidR="00B6140E" w:rsidRDefault="00F60E6B">
      <w:pPr>
        <w:shd w:val="clear" w:color="auto" w:fill="E9F7FD"/>
        <w:spacing w:after="111" w:line="249" w:lineRule="auto"/>
        <w:ind w:left="103" w:right="0"/>
        <w:jc w:val="left"/>
      </w:pPr>
      <w:r>
        <w:rPr>
          <w:i/>
        </w:rPr>
        <w:t xml:space="preserve">Do the proposed focus areas – </w:t>
      </w:r>
      <w:r>
        <w:rPr>
          <w:i/>
        </w:rPr>
        <w:t xml:space="preserve">like supporting families at risk of child protection involvement and young parents – match the needs or priorities of your service? </w:t>
      </w:r>
    </w:p>
    <w:p w14:paraId="10A15033" w14:textId="77777777" w:rsidR="00B6140E" w:rsidRDefault="00F60E6B">
      <w:pPr>
        <w:shd w:val="clear" w:color="auto" w:fill="E9F7FD"/>
        <w:spacing w:after="129" w:line="249" w:lineRule="auto"/>
        <w:ind w:left="103" w:right="0"/>
        <w:jc w:val="left"/>
      </w:pPr>
      <w:r>
        <w:rPr>
          <w:i/>
        </w:rPr>
        <w:lastRenderedPageBreak/>
        <w:t>Are there other groups in your community, or different approaches, that you think the department should consider to better support family wellbeing?</w:t>
      </w:r>
      <w:r>
        <w:t xml:space="preserve"> </w:t>
      </w:r>
    </w:p>
    <w:p w14:paraId="178E81C8" w14:textId="77777777" w:rsidR="00B6140E" w:rsidRDefault="00F60E6B">
      <w:pPr>
        <w:spacing w:after="0" w:line="259" w:lineRule="auto"/>
        <w:ind w:left="0" w:right="0" w:firstLine="0"/>
        <w:jc w:val="left"/>
      </w:pPr>
      <w:r>
        <w:t xml:space="preserve"> </w:t>
      </w:r>
    </w:p>
    <w:p w14:paraId="5115938C" w14:textId="77777777" w:rsidR="00B6140E" w:rsidRDefault="00F60E6B">
      <w:pPr>
        <w:ind w:left="-5" w:right="4"/>
      </w:pPr>
      <w:r>
        <w:t>STARTTS is of the view that the focus areas are a suitable way to establish the priorities of service provision, as long as they are not rigidly applied and restrict access for other client groups that may fall outside of the stated key areas of interest. The stated key areas of interest are not a mirror-match to the needs and priorities of our service as we are not typically defined as a children and families service, which again highlights the need for taking a flexible approach to addressing the priority</w:t>
      </w:r>
      <w:r>
        <w:t xml:space="preserve"> and the key areas of interest.</w:t>
      </w:r>
      <w:r>
        <w:t xml:space="preserve"> </w:t>
      </w:r>
    </w:p>
    <w:p w14:paraId="43CA3D0C" w14:textId="77777777" w:rsidR="00B6140E" w:rsidRDefault="00F60E6B">
      <w:pPr>
        <w:ind w:left="-5" w:right="4"/>
      </w:pPr>
      <w:r>
        <w:t>STARTTS asks the department to give consideration to the different approaches that are required to better support family wellbeing for people from CALD backgrounds, particularly for people from refugee backgrounds. For refugee communities in particular, for whom developing trust and a sense of safety is a vital issue, it is particularly important that services are provided in a culturally and linguistically sensitive manner. Some of the issues that contribute to lack of access and appropriate service provis</w:t>
      </w:r>
      <w:r>
        <w:t>ion for individuals and families from CALD and refugee backgrounds include:</w:t>
      </w:r>
      <w:r>
        <w:t xml:space="preserve"> </w:t>
      </w:r>
    </w:p>
    <w:p w14:paraId="4094D15F" w14:textId="77777777" w:rsidR="00B6140E" w:rsidRDefault="00F60E6B">
      <w:pPr>
        <w:numPr>
          <w:ilvl w:val="0"/>
          <w:numId w:val="4"/>
        </w:numPr>
        <w:ind w:right="4" w:hanging="360"/>
      </w:pPr>
      <w:r>
        <w:t>lack of access to interpreters and/or bilingual staff which can significantly limit access to family and children services</w:t>
      </w:r>
      <w:r>
        <w:t xml:space="preserve"> </w:t>
      </w:r>
    </w:p>
    <w:p w14:paraId="28310573" w14:textId="77777777" w:rsidR="00B6140E" w:rsidRDefault="00F60E6B">
      <w:pPr>
        <w:numPr>
          <w:ilvl w:val="0"/>
          <w:numId w:val="4"/>
        </w:numPr>
        <w:ind w:right="4" w:hanging="360"/>
      </w:pPr>
      <w:r>
        <w:t>services may not be culturally sensitive or appropriate for people of different cultural and religious backgrounds, which means they will be unlikely to access those services</w:t>
      </w:r>
      <w:r>
        <w:t xml:space="preserve"> </w:t>
      </w:r>
    </w:p>
    <w:p w14:paraId="7BAAE1BE" w14:textId="77777777" w:rsidR="00B6140E" w:rsidRDefault="00F60E6B">
      <w:pPr>
        <w:numPr>
          <w:ilvl w:val="0"/>
          <w:numId w:val="4"/>
        </w:numPr>
        <w:ind w:right="4" w:hanging="360"/>
      </w:pPr>
      <w:r>
        <w:t xml:space="preserve">service providers are often not aware of the particular issues facing refugees, and in particular torture and trauma survivors </w:t>
      </w:r>
      <w:r>
        <w:t xml:space="preserve"> </w:t>
      </w:r>
    </w:p>
    <w:p w14:paraId="65A33579" w14:textId="77777777" w:rsidR="00B6140E" w:rsidRDefault="00F60E6B">
      <w:pPr>
        <w:numPr>
          <w:ilvl w:val="0"/>
          <w:numId w:val="4"/>
        </w:numPr>
        <w:ind w:right="4" w:hanging="360"/>
      </w:pPr>
      <w:r>
        <w:t>service providers are often not aware of the levels of trauma experienced by many refugees, and the impact this trauma may have on children, youth, parents and family dynamics, and how it may manifest itself</w:t>
      </w:r>
      <w:r>
        <w:t xml:space="preserve"> </w:t>
      </w:r>
    </w:p>
    <w:p w14:paraId="4147621C" w14:textId="77777777" w:rsidR="00B6140E" w:rsidRDefault="00F60E6B">
      <w:pPr>
        <w:numPr>
          <w:ilvl w:val="0"/>
          <w:numId w:val="4"/>
        </w:numPr>
        <w:ind w:right="4" w:hanging="360"/>
      </w:pPr>
      <w:r>
        <w:t>lack of understanding of the role of support services and fear of authorities and governmentfunded services by CALD and refugee families, particularly fear of children being taken away, which can inhibit families from seeking support at an early stage</w:t>
      </w:r>
      <w:r>
        <w:t xml:space="preserve"> </w:t>
      </w:r>
    </w:p>
    <w:p w14:paraId="6A8BAF60" w14:textId="77777777" w:rsidR="00B6140E" w:rsidRDefault="00F60E6B">
      <w:pPr>
        <w:ind w:left="-5" w:right="4"/>
      </w:pPr>
      <w:r>
        <w:t xml:space="preserve">Apart from ensuring equity of service provision and addressing any issues at an early stage, ensuring access to appropriate services for CALD and refugee communities is also important from a social inclusion point of view, and to support individuals, families and communities to feel part of Australian society. </w:t>
      </w:r>
      <w:r>
        <w:t xml:space="preserve"> </w:t>
      </w:r>
    </w:p>
    <w:p w14:paraId="0BD3E299" w14:textId="77777777" w:rsidR="00B6140E" w:rsidRDefault="00F60E6B">
      <w:pPr>
        <w:spacing w:after="175" w:line="259" w:lineRule="auto"/>
        <w:ind w:left="0" w:right="0" w:firstLine="0"/>
        <w:jc w:val="left"/>
      </w:pPr>
      <w:r>
        <w:t xml:space="preserve"> </w:t>
      </w:r>
    </w:p>
    <w:p w14:paraId="5AA8D090" w14:textId="77777777" w:rsidR="00B6140E" w:rsidRDefault="00F60E6B">
      <w:pPr>
        <w:spacing w:after="0" w:line="259" w:lineRule="auto"/>
        <w:ind w:left="0" w:right="0" w:firstLine="0"/>
        <w:jc w:val="left"/>
      </w:pPr>
      <w:r>
        <w:t xml:space="preserve"> </w:t>
      </w:r>
      <w:r>
        <w:tab/>
        <w:t xml:space="preserve"> </w:t>
      </w:r>
    </w:p>
    <w:p w14:paraId="1955FB02" w14:textId="77777777" w:rsidR="00B6140E" w:rsidRDefault="00F60E6B">
      <w:pPr>
        <w:pStyle w:val="Heading2"/>
        <w:ind w:left="103"/>
      </w:pPr>
      <w:r>
        <w:t>Connected, co-located, and integrated services</w:t>
      </w:r>
      <w:r>
        <w:t xml:space="preserve"> </w:t>
      </w:r>
    </w:p>
    <w:p w14:paraId="128B3546" w14:textId="77777777" w:rsidR="00B6140E" w:rsidRDefault="00F60E6B">
      <w:pPr>
        <w:shd w:val="clear" w:color="auto" w:fill="E9F7FD"/>
        <w:spacing w:after="168" w:line="249" w:lineRule="auto"/>
        <w:ind w:left="103" w:right="0"/>
        <w:jc w:val="left"/>
      </w:pPr>
      <w:r>
        <w:rPr>
          <w:i/>
        </w:rPr>
        <w:t>What would you highlight in a grant application to demonstrate a service is connected to the community it serves?</w:t>
      </w:r>
      <w:r>
        <w:t xml:space="preserve"> </w:t>
      </w:r>
    </w:p>
    <w:p w14:paraId="01878517" w14:textId="77777777" w:rsidR="00B6140E" w:rsidRDefault="00F60E6B">
      <w:pPr>
        <w:shd w:val="clear" w:color="auto" w:fill="E9F7FD"/>
        <w:spacing w:after="168" w:line="249" w:lineRule="auto"/>
        <w:ind w:left="103" w:right="0"/>
        <w:jc w:val="left"/>
      </w:pPr>
      <w:r>
        <w:rPr>
          <w:i/>
        </w:rPr>
        <w:t>What should applicants be assessed on?</w:t>
      </w:r>
      <w:r>
        <w:t xml:space="preserve"> </w:t>
      </w:r>
    </w:p>
    <w:p w14:paraId="470981D8" w14:textId="77777777" w:rsidR="00B6140E" w:rsidRDefault="00F60E6B">
      <w:pPr>
        <w:spacing w:after="0" w:line="259" w:lineRule="auto"/>
        <w:ind w:left="0" w:right="0" w:firstLine="0"/>
        <w:jc w:val="left"/>
      </w:pPr>
      <w:r>
        <w:rPr>
          <w:b/>
        </w:rPr>
        <w:t xml:space="preserve"> </w:t>
      </w:r>
    </w:p>
    <w:p w14:paraId="52C7280A" w14:textId="77777777" w:rsidR="00B6140E" w:rsidRDefault="00F60E6B">
      <w:pPr>
        <w:ind w:left="-5" w:right="4"/>
      </w:pPr>
      <w:r>
        <w:t xml:space="preserve">As we have noted in other parts of this submission, STARTTS proposes that refugee-led organisations should have an increased role in the delivery of services. These organisations have a direct connection </w:t>
      </w:r>
      <w:r>
        <w:lastRenderedPageBreak/>
        <w:t xml:space="preserve">to the communities they serve and are well-placed to provide accessible services that are relevant and effective for community members. </w:t>
      </w:r>
      <w:r>
        <w:t xml:space="preserve"> </w:t>
      </w:r>
    </w:p>
    <w:p w14:paraId="3D57F481" w14:textId="77777777" w:rsidR="00B6140E" w:rsidRDefault="00F60E6B">
      <w:pPr>
        <w:ind w:left="-5" w:right="4"/>
      </w:pPr>
      <w:r>
        <w:t>We acknowledge that there will be a range of different partnership arrangements within a diverse field of grant applicants, and grassroots community-based and community-led organisations will not be an applicant or represented in all of these scenarios. To assist with assessing the connection that grant applicants have with the community that they would like to provide services to, we provide some suggestions below for the department’s consideration.</w:t>
      </w:r>
      <w:r>
        <w:t xml:space="preserve"> </w:t>
      </w:r>
    </w:p>
    <w:p w14:paraId="724BCFC7" w14:textId="77777777" w:rsidR="00B6140E" w:rsidRDefault="00F60E6B">
      <w:pPr>
        <w:numPr>
          <w:ilvl w:val="0"/>
          <w:numId w:val="5"/>
        </w:numPr>
        <w:ind w:right="4" w:hanging="358"/>
      </w:pPr>
      <w:r>
        <w:t xml:space="preserve">Demonstration of links with either members of those communities or with community organisations that are representative of the diversity in the community. Evidence for this may include documentation from previous work and projects, other statements that detail any current or previous partnership and work with the community. </w:t>
      </w:r>
      <w:r>
        <w:t xml:space="preserve"> </w:t>
      </w:r>
    </w:p>
    <w:p w14:paraId="616EFA1B" w14:textId="77777777" w:rsidR="00B6140E" w:rsidRDefault="00F60E6B">
      <w:pPr>
        <w:numPr>
          <w:ilvl w:val="0"/>
          <w:numId w:val="5"/>
        </w:numPr>
        <w:ind w:right="4" w:hanging="358"/>
      </w:pPr>
      <w:r>
        <w:t xml:space="preserve">Demonstration of an awareness and understanding of the diversity of the community (eg. CALD, refugee and/or asylum seeking backgrounds and other intersecting and overlapping identities, including but not limited to, gender identity, sexual orientation, disability, religion, ethnicity, sex, age, and socio-economic status). </w:t>
      </w:r>
      <w:r>
        <w:t xml:space="preserve"> </w:t>
      </w:r>
    </w:p>
    <w:p w14:paraId="797DBE8A" w14:textId="77777777" w:rsidR="00B6140E" w:rsidRDefault="00F60E6B">
      <w:pPr>
        <w:numPr>
          <w:ilvl w:val="0"/>
          <w:numId w:val="5"/>
        </w:numPr>
        <w:ind w:right="4" w:hanging="358"/>
      </w:pPr>
      <w:r>
        <w:t xml:space="preserve">Demonstration of an understanding of and plan to work with a community’s strengths and assets, </w:t>
      </w:r>
      <w:r>
        <w:t>to work out with them how to build upon these to address the challenges and needs that the community experiences.</w:t>
      </w:r>
      <w:r>
        <w:t xml:space="preserve"> </w:t>
      </w:r>
    </w:p>
    <w:p w14:paraId="6803A114" w14:textId="77777777" w:rsidR="00B6140E" w:rsidRDefault="00F60E6B">
      <w:pPr>
        <w:numPr>
          <w:ilvl w:val="0"/>
          <w:numId w:val="5"/>
        </w:numPr>
        <w:ind w:right="4" w:hanging="358"/>
      </w:pPr>
      <w:r>
        <w:t>That the design of the national program has the scope for the inclusion of performance indicators and outcomes on access and equity of services provided.</w:t>
      </w:r>
      <w:r>
        <w:t xml:space="preserve"> </w:t>
      </w:r>
    </w:p>
    <w:p w14:paraId="6E475A4C" w14:textId="77777777" w:rsidR="00B6140E" w:rsidRDefault="00F60E6B">
      <w:pPr>
        <w:numPr>
          <w:ilvl w:val="0"/>
          <w:numId w:val="5"/>
        </w:numPr>
        <w:ind w:right="4" w:hanging="358"/>
      </w:pPr>
      <w:r>
        <w:t>Plans that outline clear actions to address access and equity matters for diverse community members, which may include:</w:t>
      </w:r>
      <w:r>
        <w:t xml:space="preserve"> </w:t>
      </w:r>
    </w:p>
    <w:p w14:paraId="4260143D" w14:textId="77777777" w:rsidR="00B6140E" w:rsidRDefault="00F60E6B">
      <w:pPr>
        <w:numPr>
          <w:ilvl w:val="1"/>
          <w:numId w:val="5"/>
        </w:numPr>
        <w:ind w:right="4" w:hanging="358"/>
      </w:pPr>
      <w:r>
        <w:t xml:space="preserve">A commitment to the equity of outcomes for all clients, and how this will inform the design of the service provision and the operations of the organisation. </w:t>
      </w:r>
      <w:r>
        <w:t xml:space="preserve"> </w:t>
      </w:r>
    </w:p>
    <w:p w14:paraId="7AF54119" w14:textId="77777777" w:rsidR="00B6140E" w:rsidRDefault="00F60E6B">
      <w:pPr>
        <w:numPr>
          <w:ilvl w:val="1"/>
          <w:numId w:val="5"/>
        </w:numPr>
        <w:ind w:right="4" w:hanging="358"/>
      </w:pPr>
      <w:r>
        <w:t>Use and collection of the service’s access and equity data, including how it will be used to report on access and equity milestones, measure performance and outcomes, and improve the effectiveness and accessibility of services.</w:t>
      </w:r>
      <w:r>
        <w:t xml:space="preserve"> </w:t>
      </w:r>
    </w:p>
    <w:p w14:paraId="2DCF4D3A" w14:textId="77777777" w:rsidR="00B6140E" w:rsidRDefault="00F60E6B">
      <w:pPr>
        <w:numPr>
          <w:ilvl w:val="1"/>
          <w:numId w:val="5"/>
        </w:numPr>
        <w:ind w:right="4" w:hanging="358"/>
      </w:pPr>
      <w:r>
        <w:t>A plan for ongoing engagement and consultation with the community.</w:t>
      </w:r>
      <w:r>
        <w:t xml:space="preserve"> </w:t>
      </w:r>
    </w:p>
    <w:p w14:paraId="04D26857" w14:textId="77777777" w:rsidR="00B6140E" w:rsidRDefault="00F60E6B">
      <w:pPr>
        <w:numPr>
          <w:ilvl w:val="1"/>
          <w:numId w:val="5"/>
        </w:numPr>
        <w:ind w:right="4" w:hanging="358"/>
      </w:pPr>
      <w:r>
        <w:t>Service delivery strategies that are relevant to a particular group in order to guarantee appropriate levels of support and avoid employing a one size fits all approach.</w:t>
      </w:r>
      <w:r>
        <w:t xml:space="preserve"> </w:t>
      </w:r>
    </w:p>
    <w:p w14:paraId="16F982E9" w14:textId="77777777" w:rsidR="00B6140E" w:rsidRDefault="00F60E6B">
      <w:pPr>
        <w:numPr>
          <w:ilvl w:val="1"/>
          <w:numId w:val="5"/>
        </w:numPr>
        <w:ind w:right="4" w:hanging="358"/>
      </w:pPr>
      <w:r>
        <w:t>Increased staff resources and mandated training for line managers and frontline staff eg. cross cultural training, knowledge and skills for working with specific community groups, training on the use of interpreters and effective communication.</w:t>
      </w:r>
      <w:r>
        <w:t xml:space="preserve"> </w:t>
      </w:r>
    </w:p>
    <w:p w14:paraId="7D1FEC0C" w14:textId="77777777" w:rsidR="00B6140E" w:rsidRDefault="00B6140E">
      <w:pPr>
        <w:sectPr w:rsidR="00B6140E">
          <w:footerReference w:type="even" r:id="rId10"/>
          <w:footerReference w:type="default" r:id="rId11"/>
          <w:footerReference w:type="first" r:id="rId12"/>
          <w:pgSz w:w="11906" w:h="16838"/>
          <w:pgMar w:top="1440" w:right="1424" w:bottom="1437" w:left="1440" w:header="720" w:footer="706" w:gutter="0"/>
          <w:cols w:space="720"/>
        </w:sectPr>
      </w:pPr>
    </w:p>
    <w:p w14:paraId="4CAF8C88" w14:textId="77777777" w:rsidR="00B6140E" w:rsidRDefault="00F60E6B">
      <w:pPr>
        <w:pStyle w:val="Heading2"/>
        <w:ind w:left="103"/>
      </w:pPr>
      <w:r>
        <w:lastRenderedPageBreak/>
        <w:t>Responding to community need</w:t>
      </w:r>
      <w:r>
        <w:t xml:space="preserve"> </w:t>
      </w:r>
    </w:p>
    <w:p w14:paraId="05AF2722" w14:textId="77777777" w:rsidR="00B6140E" w:rsidRDefault="00F60E6B">
      <w:pPr>
        <w:shd w:val="clear" w:color="auto" w:fill="E9F7FD"/>
        <w:spacing w:after="168" w:line="249" w:lineRule="auto"/>
        <w:ind w:left="103" w:right="0"/>
        <w:jc w:val="left"/>
      </w:pPr>
      <w:r>
        <w:rPr>
          <w:i/>
        </w:rPr>
        <w:t>Beyond locational disadvantage, what other factors should the department consider to make sure funding reflects the needs of communities?</w:t>
      </w:r>
      <w:r>
        <w:t xml:space="preserve"> </w:t>
      </w:r>
    </w:p>
    <w:p w14:paraId="2B7D0225" w14:textId="77777777" w:rsidR="00B6140E" w:rsidRDefault="00F60E6B">
      <w:pPr>
        <w:shd w:val="clear" w:color="auto" w:fill="E9F7FD"/>
        <w:spacing w:after="168" w:line="249" w:lineRule="auto"/>
        <w:ind w:left="103" w:right="0"/>
        <w:jc w:val="left"/>
      </w:pPr>
      <w:r>
        <w:rPr>
          <w:i/>
        </w:rPr>
        <w:t>What’s the best way for organisations to show in grant applications, that their service is genuinely meeting the needs of the community?</w:t>
      </w:r>
      <w:r>
        <w:t xml:space="preserve"> </w:t>
      </w:r>
    </w:p>
    <w:p w14:paraId="75C80128" w14:textId="77777777" w:rsidR="00B6140E" w:rsidRDefault="00F60E6B">
      <w:pPr>
        <w:spacing w:after="0" w:line="259" w:lineRule="auto"/>
        <w:ind w:left="0" w:right="0" w:firstLine="0"/>
        <w:jc w:val="left"/>
      </w:pPr>
      <w:r>
        <w:rPr>
          <w:b/>
        </w:rPr>
        <w:t xml:space="preserve"> </w:t>
      </w:r>
    </w:p>
    <w:p w14:paraId="14E152D2" w14:textId="77777777" w:rsidR="00B6140E" w:rsidRDefault="00F60E6B">
      <w:pPr>
        <w:spacing w:after="187"/>
        <w:ind w:left="-5" w:right="4"/>
      </w:pPr>
      <w:r>
        <w:t xml:space="preserve">The use of key data sources that provide measures of locational disadvantage can benefit from further analysis to identify the individuals and groups within the community to better target services. People from refugee backgrounds are not well represented in key data sources. This is because data on CALD and refugee background are not recorded routinely and consistently across key data holdings and among government and non-government service providers. This issue has been highlighted repeatedly in inquiries </w:t>
      </w:r>
      <w:r>
        <w:t>and reviews, most recently in the area of mental health services, where the Australian Institute of Health and Welfare (AIHW) has identified refugees as one of the specific cohorts where data is not currently available for national reporting purposes.</w:t>
      </w:r>
      <w:r>
        <w:rPr>
          <w:vertAlign w:val="superscript"/>
        </w:rPr>
        <w:footnoteReference w:id="14"/>
      </w:r>
      <w:r>
        <w:t xml:space="preserve"> </w:t>
      </w:r>
    </w:p>
    <w:p w14:paraId="2332FC5C" w14:textId="77777777" w:rsidR="00B6140E" w:rsidRDefault="00F60E6B">
      <w:pPr>
        <w:spacing w:after="194"/>
        <w:ind w:left="-5" w:right="4"/>
      </w:pPr>
      <w:r>
        <w:t>The AIHW has since 2022, through funding by the Department of Home Affairs, worked on developing datasets and information that will help to build a more comprehensive picture of the health and welfare status of refugees and humanitarian entrants. The aim of this data linkage project is to provide more data to potentially identify areas of need.</w:t>
      </w:r>
      <w:r>
        <w:rPr>
          <w:vertAlign w:val="superscript"/>
        </w:rPr>
        <w:t xml:space="preserve"> </w:t>
      </w:r>
      <w:r>
        <w:rPr>
          <w:vertAlign w:val="superscript"/>
        </w:rPr>
        <w:footnoteReference w:id="15"/>
      </w:r>
      <w:r>
        <w:t xml:space="preserve"> </w:t>
      </w:r>
    </w:p>
    <w:p w14:paraId="7608267E" w14:textId="77777777" w:rsidR="00B6140E" w:rsidRDefault="00F60E6B">
      <w:pPr>
        <w:ind w:left="-5" w:right="4"/>
      </w:pPr>
      <w:r>
        <w:t>STARTTS takes a localised approach to understanding community strengths and needs, through the specialist work that we undertake. We work to build a relationship established on trust, reciprocity and mutual respect so that we can start to have discussions about their individual and community strengths, assets and needs, and how we can help. This consultative approach gives voice to the community, providing them with a chair at the table to design service interventions that is respectful, speaks to the commu</w:t>
      </w:r>
      <w:r>
        <w:t>nity and is effective.</w:t>
      </w:r>
      <w:r>
        <w:t xml:space="preserve"> </w:t>
      </w:r>
    </w:p>
    <w:p w14:paraId="31B99E25" w14:textId="77777777" w:rsidR="00B6140E" w:rsidRDefault="00F60E6B">
      <w:pPr>
        <w:ind w:left="-5" w:right="4"/>
      </w:pPr>
      <w:r>
        <w:t>Community consultations are an essential tool that we utilise to improve our services and our relationships with refugee communities. Community consultations are an ongoing process, and we use a number of formal and informal community consultation and participation strategies.</w:t>
      </w:r>
      <w:r>
        <w:rPr>
          <w:vertAlign w:val="superscript"/>
        </w:rPr>
        <w:footnoteReference w:id="16"/>
      </w:r>
      <w:r>
        <w:t xml:space="preserve"> They are used to ensure that our services are accessible and equitably provided to communities. Furthermore, it assists us to develop a knowledge base of the community, including a community’s needs, priorities, issues, strengths, resources, culture, structure, understanding of counselling and mental health.</w:t>
      </w:r>
      <w:r>
        <w:t xml:space="preserve"> </w:t>
      </w:r>
    </w:p>
    <w:p w14:paraId="38F4BA59" w14:textId="77777777" w:rsidR="00B6140E" w:rsidRDefault="00F60E6B">
      <w:pPr>
        <w:spacing w:after="425"/>
        <w:ind w:left="-5" w:right="4"/>
      </w:pPr>
      <w:r>
        <w:t xml:space="preserve">STARTTS </w:t>
      </w:r>
      <w:r>
        <w:t>suggests that evidence of community engagement, like meetings and community consultations that document the discussion and outcomes, is just the first step for organisations to demonstrate a genuine approach to understanding community needs. The grant application may also consider an organisation’s track record for meeting community needs through acceptance of material that reference in far more detail current or completed contracts, such as the supply of quarterly, half yearly and/or annual reports.</w:t>
      </w:r>
      <w:r>
        <w:t xml:space="preserve">  </w:t>
      </w:r>
    </w:p>
    <w:p w14:paraId="1F9DB80F" w14:textId="77777777" w:rsidR="00B6140E" w:rsidRDefault="00F60E6B">
      <w:pPr>
        <w:spacing w:after="0" w:line="259" w:lineRule="auto"/>
        <w:ind w:left="0" w:right="0" w:firstLine="0"/>
        <w:jc w:val="left"/>
      </w:pPr>
      <w:r>
        <w:rPr>
          <w:noProof/>
        </w:rPr>
        <w:lastRenderedPageBreak/>
        <mc:AlternateContent>
          <mc:Choice Requires="wpg">
            <w:drawing>
              <wp:inline distT="0" distB="0" distL="0" distR="0" wp14:anchorId="01BCF882" wp14:editId="49964FFE">
                <wp:extent cx="1829054" cy="7620"/>
                <wp:effectExtent l="0" t="0" r="0" b="0"/>
                <wp:docPr id="21779" name="Group 21779"/>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3210" name="Shape 2321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779" style="width:144.02pt;height:0.599976pt;mso-position-horizontal-relative:char;mso-position-vertical-relative:line" coordsize="18290,76">
                <v:shape id="Shape 2321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00AAD51F" w14:textId="77777777" w:rsidR="00B6140E" w:rsidRDefault="00F60E6B">
      <w:pPr>
        <w:pStyle w:val="Heading2"/>
        <w:ind w:left="103"/>
      </w:pPr>
      <w:r>
        <w:t>Improving outcomes for Aboriginal and Torres Strait Islander children and families</w:t>
      </w:r>
      <w:r>
        <w:t xml:space="preserve"> </w:t>
      </w:r>
    </w:p>
    <w:p w14:paraId="34BEA62F" w14:textId="77777777" w:rsidR="00B6140E" w:rsidRDefault="00F60E6B">
      <w:pPr>
        <w:shd w:val="clear" w:color="auto" w:fill="E9F7FD"/>
        <w:spacing w:after="168" w:line="249" w:lineRule="auto"/>
        <w:ind w:left="103" w:right="0"/>
        <w:jc w:val="left"/>
      </w:pPr>
      <w:r>
        <w:rPr>
          <w:i/>
        </w:rPr>
        <w:t>How could the grant process be designed to support and increase the number of ACCOs delivering services to children and families?</w:t>
      </w:r>
      <w:r>
        <w:t xml:space="preserve"> </w:t>
      </w:r>
    </w:p>
    <w:p w14:paraId="10FA1B17" w14:textId="77777777" w:rsidR="00B6140E" w:rsidRDefault="00F60E6B">
      <w:pPr>
        <w:spacing w:after="0" w:line="259" w:lineRule="auto"/>
        <w:ind w:left="0" w:right="0" w:firstLine="0"/>
        <w:jc w:val="left"/>
      </w:pPr>
      <w:r>
        <w:rPr>
          <w:b/>
        </w:rPr>
        <w:t xml:space="preserve"> </w:t>
      </w:r>
    </w:p>
    <w:p w14:paraId="65EE014E" w14:textId="77777777" w:rsidR="00B6140E" w:rsidRDefault="00F60E6B">
      <w:pPr>
        <w:ind w:left="-5" w:right="4"/>
      </w:pPr>
      <w:r>
        <w:t xml:space="preserve">While STARTTS does not provide services for Aboriginal and Torres Strait Islander children and families, we would like to share what we have learned from our experience working with refugee-led organisations, as this information may assist the grant process design to support the increased involvement of ACCOs. </w:t>
      </w:r>
      <w:r>
        <w:t xml:space="preserve"> </w:t>
      </w:r>
    </w:p>
    <w:p w14:paraId="76B4FB84" w14:textId="77777777" w:rsidR="00B6140E" w:rsidRDefault="00F60E6B">
      <w:pPr>
        <w:ind w:left="-5" w:right="4"/>
      </w:pPr>
      <w:r>
        <w:t>Refugee-led organisations, like ACCOs, play an important role in their communities. Most refugee-led organisations are small organisations that are run by community members, frequently in a voluntary capacity, and it is common for the work that they do to support their communities to be unfunded or not formally acknowledged.</w:t>
      </w:r>
      <w:r>
        <w:rPr>
          <w:vertAlign w:val="superscript"/>
        </w:rPr>
        <w:footnoteReference w:id="17"/>
      </w:r>
      <w:r>
        <w:t xml:space="preserve"> As refugee-led organisations are embedded within their communities, they have better reach and engagement with their communities than mainstream or other services, and add significant value to the funding they receive to provide services. A recent report by the Refugee Communities Advocacy Network (RCAN) undertook analysis of Afghan-led organisations and found that they,</w:t>
      </w:r>
      <w:r>
        <w:t xml:space="preserve"> “</w:t>
      </w:r>
      <w:r>
        <w:t>added value through reducing service duplication, low overhead costs, efficient use of funds to maximise impact in the community and off</w:t>
      </w:r>
      <w:r>
        <w:t>ering culturally competent services which facilitated access to eligible community members.”</w:t>
      </w:r>
      <w:r>
        <w:rPr>
          <w:vertAlign w:val="superscript"/>
        </w:rPr>
        <w:footnoteReference w:id="18"/>
      </w:r>
      <w:r>
        <w:t xml:space="preserve"> </w:t>
      </w:r>
      <w:r>
        <w:t xml:space="preserve"> </w:t>
      </w:r>
    </w:p>
    <w:p w14:paraId="1821E7F3" w14:textId="77777777" w:rsidR="00B6140E" w:rsidRDefault="00F60E6B">
      <w:pPr>
        <w:ind w:left="-5" w:right="4"/>
      </w:pPr>
      <w:r>
        <w:t>The following suggestions for improving the design of the grant program are informed by RCAN’s report and our work with refugee-led organisations, and these may be similarly beneficial and supportive for the participation of ACCOs. Refugee-led organisations can be supported to increase their involvement in service delivery through a range of strategies that include: improving the accessibility of the funding application process, provision of direct support during the funding application process, quarantinin</w:t>
      </w:r>
      <w:r>
        <w:t>g funds specifically for refugee-led organisations, and the increased provision of individualised capacity and capability building opportunities for refugee-led organisations.</w:t>
      </w:r>
      <w:r>
        <w:t xml:space="preserve"> </w:t>
      </w:r>
    </w:p>
    <w:p w14:paraId="67CC0574" w14:textId="77777777" w:rsidR="00B6140E" w:rsidRDefault="00F60E6B">
      <w:pPr>
        <w:ind w:left="-5" w:right="4"/>
      </w:pPr>
      <w:r>
        <w:t xml:space="preserve">At the request of the department, we can share more detailed information about our extensive experience and successes working with refugee-led organisations across multiple work areas and projects, including: capacity building, grant application support, and auspicing and joint-partnership arrangements for grant applications and service delivery. </w:t>
      </w:r>
      <w:r>
        <w:t xml:space="preserve"> </w:t>
      </w:r>
    </w:p>
    <w:p w14:paraId="18FA2B7A" w14:textId="77777777" w:rsidR="00B6140E" w:rsidRDefault="00F60E6B">
      <w:pPr>
        <w:spacing w:after="2321" w:line="259" w:lineRule="auto"/>
        <w:ind w:left="0" w:right="0" w:firstLine="0"/>
        <w:jc w:val="left"/>
      </w:pPr>
      <w:r>
        <w:lastRenderedPageBreak/>
        <w:t xml:space="preserve"> </w:t>
      </w:r>
      <w:r>
        <w:tab/>
        <w:t xml:space="preserve"> </w:t>
      </w:r>
    </w:p>
    <w:p w14:paraId="5062B638" w14:textId="77777777" w:rsidR="00B6140E" w:rsidRDefault="00F60E6B">
      <w:pPr>
        <w:spacing w:after="0" w:line="259" w:lineRule="auto"/>
        <w:ind w:left="0" w:right="0" w:firstLine="0"/>
        <w:jc w:val="left"/>
      </w:pPr>
      <w:r>
        <w:rPr>
          <w:noProof/>
        </w:rPr>
        <mc:AlternateContent>
          <mc:Choice Requires="wpg">
            <w:drawing>
              <wp:inline distT="0" distB="0" distL="0" distR="0" wp14:anchorId="2687A908" wp14:editId="3D6C55A6">
                <wp:extent cx="1829054" cy="7620"/>
                <wp:effectExtent l="0" t="0" r="0" b="0"/>
                <wp:docPr id="22309" name="Group 22309"/>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3212" name="Shape 2321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309" style="width:144.02pt;height:0.599976pt;mso-position-horizontal-relative:char;mso-position-vertical-relative:line" coordsize="18290,76">
                <v:shape id="Shape 2321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75F56672" w14:textId="77777777" w:rsidR="00B6140E" w:rsidRDefault="00F60E6B">
      <w:pPr>
        <w:pStyle w:val="Heading2"/>
        <w:ind w:left="103"/>
      </w:pPr>
      <w:r>
        <w:t>Measuring outcomes</w:t>
      </w:r>
      <w:r>
        <w:t xml:space="preserve"> </w:t>
      </w:r>
    </w:p>
    <w:p w14:paraId="62681707" w14:textId="77777777" w:rsidR="00B6140E" w:rsidRDefault="00F60E6B">
      <w:pPr>
        <w:shd w:val="clear" w:color="auto" w:fill="E9F7FD"/>
        <w:spacing w:after="168" w:line="249" w:lineRule="auto"/>
        <w:ind w:left="103" w:right="0"/>
        <w:jc w:val="left"/>
      </w:pPr>
      <w:r>
        <w:rPr>
          <w:i/>
        </w:rPr>
        <w:t>What types of data would help your organisation better understand its impact and continuously improve its services?</w:t>
      </w:r>
      <w:r>
        <w:t xml:space="preserve"> </w:t>
      </w:r>
    </w:p>
    <w:p w14:paraId="4E484BDF" w14:textId="77777777" w:rsidR="00B6140E" w:rsidRDefault="00F60E6B">
      <w:pPr>
        <w:shd w:val="clear" w:color="auto" w:fill="E9F7FD"/>
        <w:spacing w:after="168" w:line="249" w:lineRule="auto"/>
        <w:ind w:left="103" w:right="0"/>
        <w:jc w:val="left"/>
      </w:pPr>
      <w:r>
        <w:rPr>
          <w:i/>
        </w:rPr>
        <w:t>What kinds of data or information would be most valuable for you to share, to show how your service is positively impacting children and families?</w:t>
      </w:r>
      <w:r>
        <w:t xml:space="preserve"> </w:t>
      </w:r>
    </w:p>
    <w:p w14:paraId="46938C2B" w14:textId="77777777" w:rsidR="00B6140E" w:rsidRDefault="00F60E6B">
      <w:pPr>
        <w:shd w:val="clear" w:color="auto" w:fill="E9F7FD"/>
        <w:spacing w:after="168" w:line="249" w:lineRule="auto"/>
        <w:ind w:left="103" w:right="0"/>
        <w:jc w:val="left"/>
      </w:pPr>
      <w:r>
        <w:rPr>
          <w:i/>
        </w:rPr>
        <w:t>If your organisation currently reports in the Data Exchange (DEX), what SCORE Circumstances domain is most relevant to the service you deliver?</w:t>
      </w:r>
      <w:r>
        <w:t xml:space="preserve"> </w:t>
      </w:r>
    </w:p>
    <w:p w14:paraId="25752584" w14:textId="77777777" w:rsidR="00B6140E" w:rsidRDefault="00F60E6B">
      <w:pPr>
        <w:shd w:val="clear" w:color="auto" w:fill="E9F7FD"/>
        <w:spacing w:after="168" w:line="249" w:lineRule="auto"/>
        <w:ind w:left="103" w:right="0"/>
        <w:jc w:val="left"/>
      </w:pPr>
      <w:r>
        <w:rPr>
          <w:i/>
        </w:rPr>
        <w:t>What kinds of templates or guidance would help you prepare strong case studies that show the impact of your service?</w:t>
      </w:r>
      <w:r>
        <w:t xml:space="preserve"> </w:t>
      </w:r>
    </w:p>
    <w:p w14:paraId="1A2CEEE7" w14:textId="77777777" w:rsidR="00B6140E" w:rsidRDefault="00F60E6B">
      <w:pPr>
        <w:spacing w:after="0" w:line="259" w:lineRule="auto"/>
        <w:ind w:left="0" w:right="0" w:firstLine="0"/>
        <w:jc w:val="left"/>
      </w:pPr>
      <w:r>
        <w:t xml:space="preserve"> </w:t>
      </w:r>
    </w:p>
    <w:p w14:paraId="48D5E55D" w14:textId="77777777" w:rsidR="00B6140E" w:rsidRDefault="00F60E6B">
      <w:pPr>
        <w:ind w:left="-5" w:right="4"/>
      </w:pPr>
      <w:r>
        <w:t>STARTTS is committed to the evaluation of the programs we provide and measuring the impact of our services and the outcomes it achieves for clients.</w:t>
      </w:r>
      <w:r>
        <w:t xml:space="preserve"> </w:t>
      </w:r>
    </w:p>
    <w:p w14:paraId="50CD0BA2" w14:textId="77777777" w:rsidR="00B6140E" w:rsidRDefault="00F60E6B">
      <w:pPr>
        <w:spacing w:after="1"/>
        <w:ind w:left="-5" w:right="4"/>
      </w:pPr>
      <w:r>
        <w:t>In addition to our participation in the performance monitoring framework and data reporting required by the funding bodies we are engaged with, STARTTS has internal Evaluation Officer positions who evaluate various elements of our grant-funded projects. At STARTTS, we utilise concepts of wellbeing and social capital to formulate the evaluation plans for these projects. The STARTTS Social Capital framework was co-designed by STARTTS staff, refugee community leaders and UNSW; and is specific to Social Capital</w:t>
      </w:r>
      <w:r>
        <w:t xml:space="preserve"> in resettlement context for communities from refugee backgrounds.</w:t>
      </w:r>
      <w:r>
        <w:rPr>
          <w:vertAlign w:val="superscript"/>
        </w:rPr>
        <w:footnoteReference w:id="19"/>
      </w:r>
      <w:r>
        <w:t xml:space="preserve"> We would welcome the opportunity to share some of our evaluation reports to demonstrate our approach and how we utilise it to inform and improve on our work.</w:t>
      </w:r>
      <w:r>
        <w:t xml:space="preserve"> </w:t>
      </w:r>
    </w:p>
    <w:p w14:paraId="65442070" w14:textId="77777777" w:rsidR="00B6140E" w:rsidRDefault="00F60E6B">
      <w:pPr>
        <w:spacing w:after="0" w:line="259" w:lineRule="auto"/>
        <w:ind w:left="0" w:right="0" w:firstLine="0"/>
        <w:jc w:val="left"/>
      </w:pPr>
      <w:r>
        <w:t xml:space="preserve"> </w:t>
      </w:r>
    </w:p>
    <w:p w14:paraId="019D59AF" w14:textId="77777777" w:rsidR="00B6140E" w:rsidRDefault="00F60E6B">
      <w:pPr>
        <w:spacing w:after="0"/>
        <w:ind w:left="-5" w:right="4"/>
      </w:pPr>
      <w:r>
        <w:t>We are familiar with Data Exchange (DEX) and SCORE, most significantly, as part of the reporting requirements of the Settlement Engagement and Transition Support (SETS) program, for which we receive grant funding from the Department of Home Affairs. As a requirement of the SETS program funding, we complete the SCORE measure across multiple domains for the individual and community functions depending on the service provided. DEX reporting periods are 6-monthly and additionally for SETS, we provide qualitativ</w:t>
      </w:r>
      <w:r>
        <w:t>e and narrative aspects of our service provision as part of the Activity Work Plan reporting annually.</w:t>
      </w:r>
      <w:r>
        <w:t xml:space="preserve"> </w:t>
      </w:r>
    </w:p>
    <w:p w14:paraId="0C863EC2" w14:textId="77777777" w:rsidR="00B6140E" w:rsidRDefault="00F60E6B">
      <w:pPr>
        <w:spacing w:after="0" w:line="259" w:lineRule="auto"/>
        <w:ind w:left="0" w:right="0" w:firstLine="0"/>
        <w:jc w:val="left"/>
      </w:pPr>
      <w:r>
        <w:t xml:space="preserve"> </w:t>
      </w:r>
    </w:p>
    <w:p w14:paraId="15224417" w14:textId="77777777" w:rsidR="00B6140E" w:rsidRDefault="00F60E6B">
      <w:pPr>
        <w:spacing w:after="3"/>
        <w:ind w:left="-5" w:right="4"/>
      </w:pPr>
      <w:r>
        <w:lastRenderedPageBreak/>
        <w:t>We understand that the intention is to utilise DEX and SCORE for outcomes reporting for this single national program and to use it to “track what’s working, and improve services to better meet the needs of communities.”</w:t>
      </w:r>
      <w:r>
        <w:rPr>
          <w:vertAlign w:val="superscript"/>
        </w:rPr>
        <w:t>20</w:t>
      </w:r>
      <w:r>
        <w:t xml:space="preserve"> There are a number of matters that we would like to raise for the department’s consideration in relation to our experience with DEX and SCORE, and the plan to utilise it for this program.</w:t>
      </w:r>
      <w:r>
        <w:t xml:space="preserve"> </w:t>
      </w:r>
    </w:p>
    <w:p w14:paraId="5E9ADA64" w14:textId="77777777" w:rsidR="00B6140E" w:rsidRDefault="00F60E6B">
      <w:pPr>
        <w:spacing w:after="0" w:line="259" w:lineRule="auto"/>
        <w:ind w:left="0" w:right="0" w:firstLine="0"/>
        <w:jc w:val="left"/>
      </w:pPr>
      <w:r>
        <w:t xml:space="preserve"> </w:t>
      </w:r>
    </w:p>
    <w:p w14:paraId="75B92114" w14:textId="77777777" w:rsidR="00B6140E" w:rsidRDefault="00F60E6B">
      <w:pPr>
        <w:numPr>
          <w:ilvl w:val="0"/>
          <w:numId w:val="6"/>
        </w:numPr>
        <w:ind w:right="4" w:hanging="360"/>
      </w:pPr>
      <w:r>
        <w:t xml:space="preserve">People with limited or no proficiency in English, are unable to complete the SCORE assessment independently. There are no standardised translations of the SCORE assessment in different languages. While organisations can choose to commission their own translations or use interpreters to assist service users, this can result in inconsistent interpretations across the </w:t>
      </w:r>
    </w:p>
    <w:p w14:paraId="5A36F041" w14:textId="77777777" w:rsidR="00B6140E" w:rsidRDefault="00F60E6B">
      <w:pPr>
        <w:spacing w:after="0" w:line="259" w:lineRule="auto"/>
        <w:ind w:left="0" w:right="0" w:firstLine="0"/>
        <w:jc w:val="left"/>
      </w:pPr>
      <w:r>
        <w:rPr>
          <w:noProof/>
        </w:rPr>
        <mc:AlternateContent>
          <mc:Choice Requires="wpg">
            <w:drawing>
              <wp:inline distT="0" distB="0" distL="0" distR="0" wp14:anchorId="001E8E8F" wp14:editId="2F4FC1D7">
                <wp:extent cx="1829054" cy="7620"/>
                <wp:effectExtent l="0" t="0" r="0" b="0"/>
                <wp:docPr id="22155" name="Group 2215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3214" name="Shape 2321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155" style="width:144.02pt;height:0.599976pt;mso-position-horizontal-relative:char;mso-position-vertical-relative:line" coordsize="18290,76">
                <v:shape id="Shape 2321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08ABCE59" w14:textId="77777777" w:rsidR="00B6140E" w:rsidRDefault="00B6140E">
      <w:pPr>
        <w:sectPr w:rsidR="00B6140E">
          <w:footerReference w:type="even" r:id="rId13"/>
          <w:footerReference w:type="default" r:id="rId14"/>
          <w:footerReference w:type="first" r:id="rId15"/>
          <w:pgSz w:w="11906" w:h="16838"/>
          <w:pgMar w:top="1483" w:right="1433" w:bottom="975" w:left="1440" w:header="720" w:footer="706" w:gutter="0"/>
          <w:cols w:space="720"/>
        </w:sectPr>
      </w:pPr>
    </w:p>
    <w:p w14:paraId="4217F2EA" w14:textId="77777777" w:rsidR="00B6140E" w:rsidRDefault="00F60E6B">
      <w:pPr>
        <w:spacing w:after="0"/>
        <w:ind w:left="730" w:right="4"/>
      </w:pPr>
      <w:r>
        <w:lastRenderedPageBreak/>
        <w:t>different services and varying cultural interpretations. Furthermore, the wording of the SCORE questions and response options are difficult for people who have low proficiency in English to understand.</w:t>
      </w:r>
      <w:r>
        <w:t xml:space="preserve"> </w:t>
      </w:r>
    </w:p>
    <w:p w14:paraId="2BCED8E5" w14:textId="77777777" w:rsidR="00B6140E" w:rsidRDefault="00F60E6B">
      <w:pPr>
        <w:spacing w:after="0" w:line="259" w:lineRule="auto"/>
        <w:ind w:left="720" w:right="0" w:firstLine="0"/>
        <w:jc w:val="left"/>
      </w:pPr>
      <w:r>
        <w:t xml:space="preserve"> </w:t>
      </w:r>
    </w:p>
    <w:p w14:paraId="39639385" w14:textId="77777777" w:rsidR="00B6140E" w:rsidRDefault="00F60E6B">
      <w:pPr>
        <w:numPr>
          <w:ilvl w:val="0"/>
          <w:numId w:val="6"/>
        </w:numPr>
        <w:spacing w:after="0"/>
        <w:ind w:right="4" w:hanging="360"/>
      </w:pPr>
      <w:r>
        <w:t>In its current design, there are limitations with DEX and SCORE that results in it being wellsuited for some types of programs but less effective for others. We understand that SCORE domains and measures are necessarily generalised to suit the application of it for a variety of service types to provide a consistent measure. However, this can and has created situations where SCORE assessments are completed for domains which is not directly related to the type of service provided or its goal.</w:t>
      </w:r>
      <w:r>
        <w:t xml:space="preserve"> </w:t>
      </w:r>
    </w:p>
    <w:p w14:paraId="3C1F3659" w14:textId="77777777" w:rsidR="00B6140E" w:rsidRDefault="00F60E6B">
      <w:pPr>
        <w:spacing w:after="1" w:line="259" w:lineRule="auto"/>
        <w:ind w:left="720" w:right="0" w:firstLine="0"/>
        <w:jc w:val="left"/>
      </w:pPr>
      <w:r>
        <w:t xml:space="preserve"> </w:t>
      </w:r>
    </w:p>
    <w:p w14:paraId="1474D6CA" w14:textId="77777777" w:rsidR="00B6140E" w:rsidRDefault="00F60E6B">
      <w:pPr>
        <w:numPr>
          <w:ilvl w:val="0"/>
          <w:numId w:val="6"/>
        </w:numPr>
        <w:spacing w:after="1"/>
        <w:ind w:right="4" w:hanging="360"/>
      </w:pPr>
      <w:r>
        <w:t>The SCORE reporting can be completed either by the service user or the service provider.</w:t>
      </w:r>
      <w:r>
        <w:rPr>
          <w:vertAlign w:val="superscript"/>
        </w:rPr>
        <w:footnoteReference w:id="20"/>
      </w:r>
      <w:r>
        <w:t xml:space="preserve"> While this is intended to maximise the practicality and convenience of it, it creates inconsistency and reduces the reliability of the data. The lack of clarity provided to organisations regarding how SCORE measures are (or are not) utilised to assess and monitor the performance of services can further erode the reliability of the SCORE data provided by service providers. </w:t>
      </w:r>
      <w:r>
        <w:t xml:space="preserve"> </w:t>
      </w:r>
    </w:p>
    <w:p w14:paraId="6160D0C8" w14:textId="77777777" w:rsidR="00B6140E" w:rsidRDefault="00F60E6B">
      <w:pPr>
        <w:spacing w:after="0" w:line="259" w:lineRule="auto"/>
        <w:ind w:left="720" w:right="0" w:firstLine="0"/>
        <w:jc w:val="left"/>
      </w:pPr>
      <w:r>
        <w:t xml:space="preserve"> </w:t>
      </w:r>
    </w:p>
    <w:p w14:paraId="5A367AD8" w14:textId="77777777" w:rsidR="00B6140E" w:rsidRDefault="00F60E6B">
      <w:pPr>
        <w:numPr>
          <w:ilvl w:val="0"/>
          <w:numId w:val="6"/>
        </w:numPr>
        <w:spacing w:after="0"/>
        <w:ind w:right="4" w:hanging="360"/>
      </w:pPr>
      <w:r>
        <w:t>Each of the SCORE domains covers a broad aspect of a person’s life. While Data Exchange Protocol and Program Specific Guidance documents are provided as a resource to guide service providers on how to complete DEX and SCORE, there is insufficient guidance about the nuanced indicators a service provider should look out for that is demonstrative of change experienced by a client, in order to determine the most appropriate scale response for any given SCORE domain. We understand this issue has led to different</w:t>
      </w:r>
      <w:r>
        <w:t xml:space="preserve"> service providers establishing internal definitions and indicators to use as guide for when a practitioner is completing the SCORE to ensure consistent reporting within their own organisation, but this can create inconsistencies in SCORE reporting across the different service providers in a program area. The cross-provider variability and insufficient linking of the service activities and indicators for client change with the SCORE domain and its scales, impacts upon whether SCORE can be considered an evid</w:t>
      </w:r>
      <w:r>
        <w:t>ence-based representation of a true, accurate, robust and valid measure of change.</w:t>
      </w:r>
      <w:r>
        <w:t xml:space="preserve"> </w:t>
      </w:r>
    </w:p>
    <w:p w14:paraId="7713A9C6" w14:textId="77777777" w:rsidR="00B6140E" w:rsidRDefault="00F60E6B">
      <w:pPr>
        <w:spacing w:after="0" w:line="259" w:lineRule="auto"/>
        <w:ind w:left="720" w:right="0" w:firstLine="0"/>
        <w:jc w:val="left"/>
      </w:pPr>
      <w:r>
        <w:t xml:space="preserve"> </w:t>
      </w:r>
    </w:p>
    <w:p w14:paraId="4865140E" w14:textId="77777777" w:rsidR="00B6140E" w:rsidRDefault="00F60E6B">
      <w:pPr>
        <w:numPr>
          <w:ilvl w:val="0"/>
          <w:numId w:val="6"/>
        </w:numPr>
        <w:spacing w:after="0"/>
        <w:ind w:right="4" w:hanging="360"/>
      </w:pPr>
      <w:r>
        <w:t>The SCORE assessment is intended to measure the result of a client’s interaction at a point in time. When paired with other SCORE results for the same client it can be used as a measure of change (outcome) that has been achieved. We suggest that the interpretive value of any change in SCORE results may be limited, and while it may be appropriate to attribute the change to the service that the client was accessing, it does not provide additional insights about how and what specific aspect of the services pro</w:t>
      </w:r>
      <w:r>
        <w:t>vided contributed to this change.</w:t>
      </w:r>
      <w:r>
        <w:t xml:space="preserve"> </w:t>
      </w:r>
    </w:p>
    <w:p w14:paraId="68BF3221" w14:textId="77777777" w:rsidR="00B6140E" w:rsidRDefault="00F60E6B">
      <w:pPr>
        <w:spacing w:after="0" w:line="259" w:lineRule="auto"/>
        <w:ind w:left="720" w:right="0" w:firstLine="0"/>
        <w:jc w:val="left"/>
      </w:pPr>
      <w:r>
        <w:t xml:space="preserve"> </w:t>
      </w:r>
    </w:p>
    <w:p w14:paraId="09F2FC0D" w14:textId="77777777" w:rsidR="00B6140E" w:rsidRDefault="00F60E6B">
      <w:pPr>
        <w:numPr>
          <w:ilvl w:val="0"/>
          <w:numId w:val="6"/>
        </w:numPr>
        <w:spacing w:after="0"/>
        <w:ind w:right="4" w:hanging="360"/>
      </w:pPr>
      <w:r>
        <w:t xml:space="preserve">We agree with comments made by the department, which flagged </w:t>
      </w:r>
      <w:r>
        <w:t>the need for additional work and discussion with the sector about DEX and SCORE given the intention to use it for this national program. We recommend that there be further collaboration between the department and sector stakeholders about DEX and SCORE with the aims of:</w:t>
      </w:r>
      <w:r>
        <w:t xml:space="preserve"> </w:t>
      </w:r>
    </w:p>
    <w:p w14:paraId="49BC2CF4" w14:textId="77777777" w:rsidR="00B6140E" w:rsidRDefault="00F60E6B">
      <w:pPr>
        <w:spacing w:after="201" w:line="259" w:lineRule="auto"/>
        <w:ind w:left="720" w:right="0" w:firstLine="0"/>
        <w:jc w:val="left"/>
      </w:pPr>
      <w:r>
        <w:lastRenderedPageBreak/>
        <w:t xml:space="preserve"> </w:t>
      </w:r>
    </w:p>
    <w:p w14:paraId="53156940" w14:textId="77777777" w:rsidR="00B6140E" w:rsidRDefault="00F60E6B">
      <w:pPr>
        <w:spacing w:after="0" w:line="259" w:lineRule="auto"/>
        <w:ind w:left="0" w:right="0" w:firstLine="0"/>
        <w:jc w:val="left"/>
      </w:pPr>
      <w:r>
        <w:rPr>
          <w:noProof/>
        </w:rPr>
        <mc:AlternateContent>
          <mc:Choice Requires="wpg">
            <w:drawing>
              <wp:inline distT="0" distB="0" distL="0" distR="0" wp14:anchorId="21CC304C" wp14:editId="316597A5">
                <wp:extent cx="1829054" cy="7620"/>
                <wp:effectExtent l="0" t="0" r="0" b="0"/>
                <wp:docPr id="22206" name="Group 22206"/>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3216" name="Shape 2321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206" style="width:144.02pt;height:0.600037pt;mso-position-horizontal-relative:char;mso-position-vertical-relative:line" coordsize="18290,76">
                <v:shape id="Shape 2321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7773A991" w14:textId="77777777" w:rsidR="00B6140E" w:rsidRDefault="00F60E6B">
      <w:pPr>
        <w:numPr>
          <w:ilvl w:val="1"/>
          <w:numId w:val="6"/>
        </w:numPr>
        <w:spacing w:after="0"/>
        <w:ind w:right="4" w:firstLine="55"/>
      </w:pPr>
      <w:r>
        <w:t xml:space="preserve">Clarifying how the department uses DEX and how it looks for them, </w:t>
      </w:r>
      <w:r>
        <w:t xml:space="preserve"> </w:t>
      </w:r>
    </w:p>
    <w:p w14:paraId="2B3D2067" w14:textId="77777777" w:rsidR="00B6140E" w:rsidRDefault="00F60E6B">
      <w:pPr>
        <w:numPr>
          <w:ilvl w:val="1"/>
          <w:numId w:val="6"/>
        </w:numPr>
        <w:spacing w:after="14"/>
        <w:ind w:right="4" w:firstLine="55"/>
      </w:pPr>
      <w:r>
        <w:t xml:space="preserve">Coming to a shared agreement and understanding of what domains apply to which services (including shared understandings of definitions and the applicable indicators), </w:t>
      </w:r>
      <w:r>
        <w:t xml:space="preserve"> </w:t>
      </w:r>
      <w:r>
        <w:t>III.</w:t>
      </w:r>
      <w:r>
        <w:rPr>
          <w:rFonts w:ascii="Arial" w:eastAsia="Arial" w:hAnsi="Arial" w:cs="Arial"/>
        </w:rPr>
        <w:t xml:space="preserve"> </w:t>
      </w:r>
      <w:r>
        <w:t xml:space="preserve">A shared understanding of what is the accurate interpretive value of the dataset, and </w:t>
      </w:r>
      <w:r>
        <w:t xml:space="preserve"> </w:t>
      </w:r>
    </w:p>
    <w:p w14:paraId="6310EBA7" w14:textId="77777777" w:rsidR="00B6140E" w:rsidRDefault="00F60E6B">
      <w:pPr>
        <w:tabs>
          <w:tab w:val="center" w:pos="963"/>
          <w:tab w:val="right" w:pos="9033"/>
        </w:tabs>
        <w:spacing w:after="0" w:line="259" w:lineRule="auto"/>
        <w:ind w:left="0" w:right="0" w:firstLine="0"/>
        <w:jc w:val="left"/>
      </w:pPr>
      <w:r>
        <w:tab/>
      </w:r>
      <w:r>
        <w:t>IV.</w:t>
      </w:r>
      <w:r>
        <w:rPr>
          <w:rFonts w:ascii="Arial" w:eastAsia="Arial" w:hAnsi="Arial" w:cs="Arial"/>
        </w:rPr>
        <w:t xml:space="preserve"> </w:t>
      </w:r>
      <w:r>
        <w:rPr>
          <w:rFonts w:ascii="Arial" w:eastAsia="Arial" w:hAnsi="Arial" w:cs="Arial"/>
        </w:rPr>
        <w:tab/>
      </w:r>
      <w:r>
        <w:t xml:space="preserve">Set clear expectations for how the data will and will not be used to assess the </w:t>
      </w:r>
    </w:p>
    <w:p w14:paraId="1B2D5683" w14:textId="77777777" w:rsidR="00B6140E" w:rsidRDefault="00F60E6B">
      <w:pPr>
        <w:spacing w:after="0"/>
        <w:ind w:left="1450" w:right="4"/>
      </w:pPr>
      <w:r>
        <w:t xml:space="preserve">performance of a service </w:t>
      </w:r>
      <w:r>
        <w:t>as part of this national program.</w:t>
      </w:r>
      <w:r>
        <w:t xml:space="preserve"> </w:t>
      </w:r>
    </w:p>
    <w:p w14:paraId="355CA832" w14:textId="77777777" w:rsidR="00B6140E" w:rsidRDefault="00F60E6B">
      <w:pPr>
        <w:spacing w:after="0" w:line="259" w:lineRule="auto"/>
        <w:ind w:left="0" w:right="0" w:firstLine="0"/>
        <w:jc w:val="left"/>
      </w:pPr>
      <w:r>
        <w:t xml:space="preserve"> </w:t>
      </w:r>
    </w:p>
    <w:p w14:paraId="3EAD6061" w14:textId="77777777" w:rsidR="00B6140E" w:rsidRDefault="00F60E6B">
      <w:pPr>
        <w:spacing w:after="2" w:line="259" w:lineRule="auto"/>
        <w:ind w:left="0" w:right="0" w:firstLine="0"/>
        <w:jc w:val="left"/>
      </w:pPr>
      <w:r>
        <w:t xml:space="preserve"> </w:t>
      </w:r>
    </w:p>
    <w:p w14:paraId="1C573764" w14:textId="77777777" w:rsidR="00B6140E" w:rsidRDefault="00F60E6B">
      <w:pPr>
        <w:pStyle w:val="Heading2"/>
        <w:ind w:left="103"/>
      </w:pPr>
      <w:r>
        <w:t>Working together</w:t>
      </w:r>
      <w:r>
        <w:t xml:space="preserve"> </w:t>
      </w:r>
    </w:p>
    <w:p w14:paraId="58F4BC1C" w14:textId="77777777" w:rsidR="00B6140E" w:rsidRDefault="00F60E6B">
      <w:pPr>
        <w:shd w:val="clear" w:color="auto" w:fill="E9F7FD"/>
        <w:spacing w:after="168" w:line="249" w:lineRule="auto"/>
        <w:ind w:left="103" w:right="0"/>
        <w:jc w:val="left"/>
      </w:pPr>
      <w:r>
        <w:rPr>
          <w:i/>
        </w:rPr>
        <w:t>What does a relational contracting approach mean to you in practice?</w:t>
      </w:r>
      <w:r>
        <w:t xml:space="preserve"> </w:t>
      </w:r>
    </w:p>
    <w:p w14:paraId="3FE174A2" w14:textId="77777777" w:rsidR="00B6140E" w:rsidRDefault="00F60E6B">
      <w:pPr>
        <w:shd w:val="clear" w:color="auto" w:fill="E9F7FD"/>
        <w:spacing w:after="168" w:line="249" w:lineRule="auto"/>
        <w:ind w:left="103" w:right="0"/>
        <w:jc w:val="left"/>
      </w:pPr>
      <w:r>
        <w:rPr>
          <w:i/>
        </w:rPr>
        <w:t>What criteria would you like to see included in a relational contract?</w:t>
      </w:r>
      <w:r>
        <w:t xml:space="preserve"> </w:t>
      </w:r>
    </w:p>
    <w:p w14:paraId="47444B5C" w14:textId="77777777" w:rsidR="00B6140E" w:rsidRDefault="00F60E6B">
      <w:pPr>
        <w:shd w:val="clear" w:color="auto" w:fill="E9F7FD"/>
        <w:spacing w:after="168" w:line="249" w:lineRule="auto"/>
        <w:ind w:left="103" w:right="0"/>
        <w:jc w:val="left"/>
      </w:pPr>
      <w:r>
        <w:rPr>
          <w:i/>
        </w:rPr>
        <w:t>What’s the best way for the department to decide which organisations should be offered a relational contract?</w:t>
      </w:r>
      <w:r>
        <w:t xml:space="preserve"> </w:t>
      </w:r>
    </w:p>
    <w:p w14:paraId="220BE077" w14:textId="77777777" w:rsidR="00B6140E" w:rsidRDefault="00F60E6B">
      <w:pPr>
        <w:shd w:val="clear" w:color="auto" w:fill="E9F7FD"/>
        <w:spacing w:after="168" w:line="249" w:lineRule="auto"/>
        <w:ind w:left="103" w:right="0"/>
        <w:jc w:val="left"/>
      </w:pPr>
      <w:r>
        <w:rPr>
          <w:i/>
        </w:rPr>
        <w:t>Is your organisation interested in a relational contracting approach? Why/why not?</w:t>
      </w:r>
      <w:r>
        <w:t xml:space="preserve"> </w:t>
      </w:r>
    </w:p>
    <w:p w14:paraId="3CAEF91E" w14:textId="77777777" w:rsidR="00B6140E" w:rsidRDefault="00F60E6B">
      <w:pPr>
        <w:spacing w:after="0" w:line="259" w:lineRule="auto"/>
        <w:ind w:left="0" w:right="0" w:firstLine="0"/>
        <w:jc w:val="left"/>
      </w:pPr>
      <w:r>
        <w:rPr>
          <w:b/>
        </w:rPr>
        <w:t xml:space="preserve"> </w:t>
      </w:r>
    </w:p>
    <w:p w14:paraId="1F97BD1B" w14:textId="77777777" w:rsidR="00B6140E" w:rsidRDefault="00F60E6B">
      <w:pPr>
        <w:ind w:left="-5" w:right="4"/>
      </w:pPr>
      <w:r>
        <w:t>STARTTS commends the department for looking at alternative ways of commissioning and for proposing to offer relational contracting in the new national program. We note that the discussion paper describes relational contracting as, “a flexible approach to commissioning that focuses on shared goals, trust-based partnerships and long-term outcomes.”</w:t>
      </w:r>
      <w:r>
        <w:rPr>
          <w:vertAlign w:val="superscript"/>
        </w:rPr>
        <w:footnoteReference w:id="21"/>
      </w:r>
      <w:r>
        <w:t xml:space="preserve"> </w:t>
      </w:r>
    </w:p>
    <w:p w14:paraId="1B3E7A0B" w14:textId="77777777" w:rsidR="00B6140E" w:rsidRDefault="00F60E6B">
      <w:pPr>
        <w:ind w:left="-5" w:right="4"/>
      </w:pPr>
      <w:r>
        <w:t xml:space="preserve">STARTTS welcomes the initiative and would be interested in a relational contract. The information provided suggests that this approach involves a more active and engaged partnership between the funding body and the service provider, with the funding body demonstrating a deeper investment and interest in working together with the service provider to understand the services that have been commissioned and how it contributes to the outcomes of the program. We believe that this could be a good match for us and </w:t>
      </w:r>
      <w:r>
        <w:t xml:space="preserve">for the provision of services for people from refugee backgrounds, as effective service delivery for this cohort looks different to how and what is provided in traditional mainstream services. To better meet the needs of people from refugee backgrounds, which can be diverse and community-specific, there is a need to adapt or augment existing resources and approaches, utilise different modalities and strategies to achieve the same outcomes. </w:t>
      </w:r>
      <w:r>
        <w:t xml:space="preserve"> </w:t>
      </w:r>
    </w:p>
    <w:p w14:paraId="46DCCB8B" w14:textId="77777777" w:rsidR="00B6140E" w:rsidRDefault="00F60E6B">
      <w:pPr>
        <w:ind w:left="-5" w:right="4"/>
      </w:pPr>
      <w:r>
        <w:t>In this relational contracting approach, we would like to suggest the following practices:</w:t>
      </w:r>
      <w:r>
        <w:t xml:space="preserve"> </w:t>
      </w:r>
    </w:p>
    <w:p w14:paraId="1F795B48" w14:textId="77777777" w:rsidR="00B6140E" w:rsidRDefault="00F60E6B">
      <w:pPr>
        <w:numPr>
          <w:ilvl w:val="0"/>
          <w:numId w:val="7"/>
        </w:numPr>
        <w:ind w:right="4" w:hanging="355"/>
      </w:pPr>
      <w:r>
        <w:t>Locally engaged contact managers with understanding of the program areas and communities being served</w:t>
      </w:r>
      <w:r>
        <w:t xml:space="preserve"> </w:t>
      </w:r>
    </w:p>
    <w:p w14:paraId="0DAF8D16" w14:textId="77777777" w:rsidR="00B6140E" w:rsidRDefault="00F60E6B">
      <w:pPr>
        <w:numPr>
          <w:ilvl w:val="0"/>
          <w:numId w:val="7"/>
        </w:numPr>
        <w:ind w:right="4" w:hanging="355"/>
      </w:pPr>
      <w:r>
        <w:t xml:space="preserve">Collaborate on identifying outcome measures that are going to be most appropriate for the service-type and which are demonstrative of the outcomes that are actually achieved by it. Noting that current contracts are very transactional and have a focus on the provision of outcomes and outputs that rely principally on quantitative, generalised/best-fit measures. </w:t>
      </w:r>
      <w:r>
        <w:t xml:space="preserve"> </w:t>
      </w:r>
    </w:p>
    <w:p w14:paraId="22C433C0" w14:textId="77777777" w:rsidR="00B6140E" w:rsidRDefault="00F60E6B">
      <w:pPr>
        <w:spacing w:after="225"/>
        <w:ind w:left="-5" w:right="4"/>
      </w:pPr>
      <w:r>
        <w:lastRenderedPageBreak/>
        <w:t xml:space="preserve">We note that what relational contracting ultimately becomes will be dependent on what the department set as the boundaries for engagement and what it is able to invest to make it happen. We would be interested in seeing the department extending the same relational concept into assessment and commissioning. In this similar approach, ‘relational assessment and commissioning’ would involve </w:t>
      </w:r>
    </w:p>
    <w:p w14:paraId="5C020D69" w14:textId="77777777" w:rsidR="00B6140E" w:rsidRDefault="00F60E6B">
      <w:pPr>
        <w:spacing w:after="0" w:line="259" w:lineRule="auto"/>
        <w:ind w:left="0" w:right="0" w:firstLine="0"/>
        <w:jc w:val="left"/>
      </w:pPr>
      <w:r>
        <w:rPr>
          <w:noProof/>
        </w:rPr>
        <mc:AlternateContent>
          <mc:Choice Requires="wpg">
            <w:drawing>
              <wp:inline distT="0" distB="0" distL="0" distR="0" wp14:anchorId="21776C16" wp14:editId="7D7A44FB">
                <wp:extent cx="1829054" cy="7620"/>
                <wp:effectExtent l="0" t="0" r="0" b="0"/>
                <wp:docPr id="20049" name="Group 20049"/>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3218" name="Shape 2321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049" style="width:144.02pt;height:0.600037pt;mso-position-horizontal-relative:char;mso-position-vertical-relative:line" coordsize="18290,76">
                <v:shape id="Shape 2321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5C96BFB" w14:textId="77777777" w:rsidR="00B6140E" w:rsidRDefault="00F60E6B">
      <w:pPr>
        <w:ind w:left="-5" w:right="4"/>
      </w:pPr>
      <w:r>
        <w:t>discussion and collaboration between the funding body and the service provider as part of the assessment of the tender, and as an example, could involve the assessor or contract manager going out to organisations and see firsthand the work that is happening to understand it.</w:t>
      </w:r>
      <w:r>
        <w:t xml:space="preserve"> </w:t>
      </w:r>
    </w:p>
    <w:p w14:paraId="2B40592C" w14:textId="77777777" w:rsidR="00B6140E" w:rsidRDefault="00F60E6B">
      <w:pPr>
        <w:spacing w:after="158" w:line="259" w:lineRule="auto"/>
        <w:ind w:left="0" w:right="0" w:firstLine="0"/>
        <w:jc w:val="left"/>
      </w:pPr>
      <w:r>
        <w:rPr>
          <w:b/>
        </w:rPr>
        <w:t xml:space="preserve"> </w:t>
      </w:r>
    </w:p>
    <w:p w14:paraId="5EA9B06B" w14:textId="77777777" w:rsidR="00B6140E" w:rsidRDefault="00F60E6B">
      <w:pPr>
        <w:spacing w:after="0" w:line="259" w:lineRule="auto"/>
        <w:ind w:left="0" w:right="0" w:firstLine="0"/>
        <w:jc w:val="left"/>
      </w:pPr>
      <w:r>
        <w:rPr>
          <w:b/>
        </w:rPr>
        <w:t xml:space="preserve"> </w:t>
      </w:r>
    </w:p>
    <w:sectPr w:rsidR="00B6140E">
      <w:footerReference w:type="even" r:id="rId16"/>
      <w:footerReference w:type="default" r:id="rId17"/>
      <w:footerReference w:type="first" r:id="rId18"/>
      <w:pgSz w:w="11906" w:h="16838"/>
      <w:pgMar w:top="1483" w:right="1433" w:bottom="1437"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881F3" w14:textId="77777777" w:rsidR="00F60E6B" w:rsidRDefault="00F60E6B">
      <w:pPr>
        <w:spacing w:after="0" w:line="240" w:lineRule="auto"/>
      </w:pPr>
      <w:r>
        <w:separator/>
      </w:r>
    </w:p>
  </w:endnote>
  <w:endnote w:type="continuationSeparator" w:id="0">
    <w:p w14:paraId="3FFA2B5F" w14:textId="77777777" w:rsidR="00F60E6B" w:rsidRDefault="00F60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A4A1" w14:textId="77777777" w:rsidR="00B6140E" w:rsidRDefault="00F60E6B">
    <w:pPr>
      <w:spacing w:after="0" w:line="216" w:lineRule="auto"/>
      <w:ind w:left="0" w:right="15" w:firstLine="0"/>
      <w:jc w:val="right"/>
    </w:pPr>
    <w:r>
      <w:rPr>
        <w:sz w:val="16"/>
      </w:rPr>
      <w:t xml:space="preserve">Page | </w:t>
    </w:r>
    <w:r>
      <w:fldChar w:fldCharType="begin"/>
    </w:r>
    <w:r>
      <w:instrText xml:space="preserve"> PAGE   \* MERGEFORMAT </w:instrText>
    </w:r>
    <w:r>
      <w:fldChar w:fldCharType="separate"/>
    </w:r>
    <w:r>
      <w:rPr>
        <w:sz w:val="16"/>
      </w:rPr>
      <w:t>1</w:t>
    </w:r>
    <w:r>
      <w:rPr>
        <w:sz w:val="16"/>
      </w:rPr>
      <w:fldChar w:fldCharType="end"/>
    </w:r>
    <w:r>
      <w:rPr>
        <w:sz w:val="16"/>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F721" w14:textId="77777777" w:rsidR="00B6140E" w:rsidRDefault="00F60E6B">
    <w:pPr>
      <w:spacing w:after="0" w:line="216" w:lineRule="auto"/>
      <w:ind w:left="0" w:right="15" w:firstLine="0"/>
      <w:jc w:val="right"/>
    </w:pPr>
    <w:r>
      <w:rPr>
        <w:sz w:val="16"/>
      </w:rPr>
      <w:t xml:space="preserve">Page | </w:t>
    </w:r>
    <w:r>
      <w:fldChar w:fldCharType="begin"/>
    </w:r>
    <w:r>
      <w:instrText xml:space="preserve"> PAGE   \* MERGEFORMAT </w:instrText>
    </w:r>
    <w:r>
      <w:fldChar w:fldCharType="separate"/>
    </w:r>
    <w:r>
      <w:rPr>
        <w:sz w:val="16"/>
      </w:rPr>
      <w:t>1</w:t>
    </w:r>
    <w:r>
      <w:rPr>
        <w:sz w:val="16"/>
      </w:rPr>
      <w:fldChar w:fldCharType="end"/>
    </w:r>
    <w:r>
      <w:rPr>
        <w:sz w:val="16"/>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13C9A" w14:textId="77777777" w:rsidR="00B6140E" w:rsidRDefault="00F60E6B">
    <w:pPr>
      <w:spacing w:after="0" w:line="216" w:lineRule="auto"/>
      <w:ind w:left="0" w:right="15" w:firstLine="0"/>
      <w:jc w:val="right"/>
    </w:pPr>
    <w:r>
      <w:rPr>
        <w:sz w:val="16"/>
      </w:rPr>
      <w:t xml:space="preserve">Page | </w:t>
    </w:r>
    <w:r>
      <w:fldChar w:fldCharType="begin"/>
    </w:r>
    <w:r>
      <w:instrText xml:space="preserve"> PAGE   \* MERGEFORMAT </w:instrText>
    </w:r>
    <w:r>
      <w:fldChar w:fldCharType="separate"/>
    </w:r>
    <w:r>
      <w:rPr>
        <w:sz w:val="16"/>
      </w:rPr>
      <w:t>1</w:t>
    </w:r>
    <w:r>
      <w:rPr>
        <w:sz w:val="16"/>
      </w:rPr>
      <w:fldChar w:fldCharType="end"/>
    </w:r>
    <w:r>
      <w:rPr>
        <w:sz w:val="16"/>
      </w:rPr>
      <w:t xml:space="preserve">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AB8C6" w14:textId="77777777" w:rsidR="00B6140E" w:rsidRDefault="00F60E6B">
    <w:pPr>
      <w:spacing w:after="0" w:line="216" w:lineRule="auto"/>
      <w:ind w:left="0" w:right="5" w:firstLine="0"/>
      <w:jc w:val="right"/>
    </w:pPr>
    <w:r>
      <w:rPr>
        <w:sz w:val="16"/>
      </w:rPr>
      <w:t xml:space="preserve">Page | </w:t>
    </w:r>
    <w:r>
      <w:fldChar w:fldCharType="begin"/>
    </w:r>
    <w:r>
      <w:instrText xml:space="preserve"> PAGE   \* MERGEFORMAT </w:instrText>
    </w:r>
    <w:r>
      <w:fldChar w:fldCharType="separate"/>
    </w:r>
    <w:r>
      <w:rPr>
        <w:sz w:val="16"/>
      </w:rPr>
      <w:t>10</w:t>
    </w:r>
    <w:r>
      <w:rPr>
        <w:sz w:val="16"/>
      </w:rPr>
      <w:fldChar w:fldCharType="end"/>
    </w:r>
    <w:r>
      <w:rPr>
        <w:sz w:val="16"/>
      </w:rPr>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A044E" w14:textId="77777777" w:rsidR="00B6140E" w:rsidRDefault="00F60E6B">
    <w:pPr>
      <w:spacing w:after="30" w:line="259" w:lineRule="auto"/>
      <w:ind w:left="0" w:right="5" w:firstLine="0"/>
      <w:jc w:val="right"/>
    </w:pPr>
    <w:r>
      <w:fldChar w:fldCharType="begin"/>
    </w:r>
    <w:r>
      <w:instrText xml:space="preserve"> PAGE   \* MERGEFORMAT </w:instrText>
    </w:r>
    <w:r>
      <w:fldChar w:fldCharType="separate"/>
    </w:r>
    <w:r>
      <w:rPr>
        <w:sz w:val="16"/>
      </w:rPr>
      <w:t>11</w:t>
    </w:r>
    <w:r>
      <w:rPr>
        <w:sz w:val="16"/>
      </w:rPr>
      <w:fldChar w:fldCharType="end"/>
    </w:r>
    <w:r>
      <w:rPr>
        <w:sz w:val="16"/>
      </w:rPr>
      <w:t xml:space="preserve">  </w:t>
    </w:r>
  </w:p>
  <w:p w14:paraId="2AE3F5EF" w14:textId="77777777" w:rsidR="00B6140E" w:rsidRDefault="00F60E6B">
    <w:pPr>
      <w:spacing w:after="0" w:line="259" w:lineRule="auto"/>
      <w:ind w:left="0" w:righ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D73B" w14:textId="77777777" w:rsidR="00B6140E" w:rsidRDefault="00F60E6B">
    <w:pPr>
      <w:spacing w:after="0" w:line="216" w:lineRule="auto"/>
      <w:ind w:left="0" w:right="5" w:firstLine="0"/>
      <w:jc w:val="right"/>
    </w:pPr>
    <w:r>
      <w:rPr>
        <w:sz w:val="16"/>
      </w:rPr>
      <w:t xml:space="preserve">Page | </w:t>
    </w:r>
    <w:r>
      <w:fldChar w:fldCharType="begin"/>
    </w:r>
    <w:r>
      <w:instrText xml:space="preserve"> PAGE   \* MERGEFORMAT </w:instrText>
    </w:r>
    <w:r>
      <w:fldChar w:fldCharType="separate"/>
    </w:r>
    <w:r>
      <w:rPr>
        <w:sz w:val="16"/>
      </w:rPr>
      <w:t>10</w:t>
    </w:r>
    <w:r>
      <w:rPr>
        <w:sz w:val="16"/>
      </w:rPr>
      <w:fldChar w:fldCharType="end"/>
    </w:r>
    <w:r>
      <w:rPr>
        <w:sz w:val="16"/>
      </w:rPr>
      <w:t xml:space="preserve">  </w:t>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6200" w14:textId="77777777" w:rsidR="00B6140E" w:rsidRDefault="00F60E6B">
    <w:pPr>
      <w:spacing w:after="0" w:line="216" w:lineRule="auto"/>
      <w:ind w:left="0" w:right="5" w:firstLine="0"/>
      <w:jc w:val="right"/>
    </w:pPr>
    <w:r>
      <w:rPr>
        <w:sz w:val="16"/>
      </w:rPr>
      <w:t xml:space="preserve">Page | </w:t>
    </w:r>
    <w:r>
      <w:fldChar w:fldCharType="begin"/>
    </w:r>
    <w:r>
      <w:instrText xml:space="preserve"> PAGE   \* MERGEFORMAT </w:instrText>
    </w:r>
    <w:r>
      <w:fldChar w:fldCharType="separate"/>
    </w:r>
    <w:r>
      <w:rPr>
        <w:sz w:val="16"/>
      </w:rPr>
      <w:t>10</w:t>
    </w:r>
    <w:r>
      <w:rPr>
        <w:sz w:val="16"/>
      </w:rPr>
      <w:fldChar w:fldCharType="end"/>
    </w:r>
    <w:r>
      <w:rPr>
        <w:sz w:val="16"/>
      </w:rPr>
      <w:t xml:space="preserve">  </w:t>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18D4C" w14:textId="77777777" w:rsidR="00B6140E" w:rsidRDefault="00F60E6B">
    <w:pPr>
      <w:spacing w:after="0" w:line="216" w:lineRule="auto"/>
      <w:ind w:left="0" w:right="5" w:firstLine="0"/>
      <w:jc w:val="right"/>
    </w:pPr>
    <w:r>
      <w:rPr>
        <w:sz w:val="16"/>
      </w:rPr>
      <w:t xml:space="preserve">Page | </w:t>
    </w:r>
    <w:r>
      <w:fldChar w:fldCharType="begin"/>
    </w:r>
    <w:r>
      <w:instrText xml:space="preserve"> PAGE   \* MERGEFORMAT </w:instrText>
    </w:r>
    <w:r>
      <w:fldChar w:fldCharType="separate"/>
    </w:r>
    <w:r>
      <w:rPr>
        <w:sz w:val="16"/>
      </w:rPr>
      <w:t>10</w:t>
    </w:r>
    <w:r>
      <w:rPr>
        <w:sz w:val="16"/>
      </w:rPr>
      <w:fldChar w:fldCharType="end"/>
    </w:r>
    <w:r>
      <w:rPr>
        <w:sz w:val="16"/>
      </w:rPr>
      <w:t xml:space="preserve">  </w:t>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BD7FB" w14:textId="77777777" w:rsidR="00B6140E" w:rsidRDefault="00F60E6B">
    <w:pPr>
      <w:spacing w:after="0" w:line="216" w:lineRule="auto"/>
      <w:ind w:left="0" w:right="5" w:firstLine="0"/>
      <w:jc w:val="right"/>
    </w:pPr>
    <w:r>
      <w:rPr>
        <w:sz w:val="16"/>
      </w:rPr>
      <w:t xml:space="preserve">Page | </w:t>
    </w:r>
    <w:r>
      <w:fldChar w:fldCharType="begin"/>
    </w:r>
    <w:r>
      <w:instrText xml:space="preserve"> PAGE   \* MERGEFORMAT </w:instrText>
    </w:r>
    <w:r>
      <w:fldChar w:fldCharType="separate"/>
    </w:r>
    <w:r>
      <w:rPr>
        <w:sz w:val="16"/>
      </w:rPr>
      <w:t>10</w:t>
    </w:r>
    <w:r>
      <w:rPr>
        <w:sz w:val="16"/>
      </w:rPr>
      <w:fldChar w:fldCharType="end"/>
    </w:r>
    <w:r>
      <w:rPr>
        <w:sz w:val="16"/>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B5E49" w14:textId="77777777" w:rsidR="00B6140E" w:rsidRDefault="00F60E6B">
      <w:pPr>
        <w:spacing w:after="0" w:line="251" w:lineRule="auto"/>
        <w:ind w:left="0" w:right="0" w:firstLine="0"/>
      </w:pPr>
      <w:r>
        <w:separator/>
      </w:r>
    </w:p>
  </w:footnote>
  <w:footnote w:type="continuationSeparator" w:id="0">
    <w:p w14:paraId="621D656B" w14:textId="77777777" w:rsidR="00B6140E" w:rsidRDefault="00F60E6B">
      <w:pPr>
        <w:spacing w:after="0" w:line="251" w:lineRule="auto"/>
        <w:ind w:left="0" w:right="0" w:firstLine="0"/>
      </w:pPr>
      <w:r>
        <w:continuationSeparator/>
      </w:r>
    </w:p>
  </w:footnote>
  <w:footnote w:id="1">
    <w:p w14:paraId="34FF1029" w14:textId="77777777" w:rsidR="00B6140E" w:rsidRDefault="00F60E6B">
      <w:pPr>
        <w:pStyle w:val="footnotedescription"/>
        <w:spacing w:line="251" w:lineRule="auto"/>
        <w:jc w:val="both"/>
      </w:pPr>
      <w:r>
        <w:rPr>
          <w:rStyle w:val="footnotemark"/>
        </w:rPr>
        <w:footnoteRef/>
      </w:r>
      <w:r>
        <w:t xml:space="preserve"> Health Services Act 1997 (NSW), Section 13, </w:t>
      </w:r>
      <w:hyperlink r:id="rId1">
        <w:r>
          <w:rPr>
            <w:color w:val="467886"/>
            <w:u w:val="single" w:color="467886"/>
          </w:rPr>
          <w:t>https://legislation.nsw.gov.au/view/html/inforce/current/act</w:t>
        </w:r>
      </w:hyperlink>
      <w:hyperlink r:id="rId2"/>
      <w:hyperlink r:id="rId3">
        <w:r>
          <w:rPr>
            <w:color w:val="467886"/>
            <w:u w:val="single" w:color="467886"/>
          </w:rPr>
          <w:t>1997</w:t>
        </w:r>
      </w:hyperlink>
      <w:hyperlink r:id="rId4">
        <w:r>
          <w:rPr>
            <w:color w:val="467886"/>
            <w:u w:val="single" w:color="467886"/>
          </w:rPr>
          <w:t>-</w:t>
        </w:r>
      </w:hyperlink>
      <w:hyperlink r:id="rId5">
        <w:r>
          <w:rPr>
            <w:color w:val="467886"/>
            <w:u w:val="single" w:color="467886"/>
          </w:rPr>
          <w:t>154</w:t>
        </w:r>
      </w:hyperlink>
      <w:hyperlink r:id="rId6">
        <w:r>
          <w:t xml:space="preserve"> </w:t>
        </w:r>
      </w:hyperlink>
      <w:r>
        <w:t xml:space="preserve"> </w:t>
      </w:r>
    </w:p>
  </w:footnote>
  <w:footnote w:id="2">
    <w:p w14:paraId="381BBE66" w14:textId="77777777" w:rsidR="00B6140E" w:rsidRDefault="00F60E6B">
      <w:pPr>
        <w:pStyle w:val="footnotedescription"/>
        <w:spacing w:line="296" w:lineRule="auto"/>
      </w:pPr>
      <w:r>
        <w:rPr>
          <w:rStyle w:val="footnotemark"/>
        </w:rPr>
        <w:footnoteRef/>
      </w:r>
      <w:r>
        <w:t xml:space="preserve"> Aroche, J., and Coello, M. (1994). </w:t>
      </w:r>
      <w:r>
        <w:rPr>
          <w:i/>
        </w:rPr>
        <w:t>Towards a systematic approach for the treatment and rehabilitation of torture and trauma survivors: The experience of STARTTS in Australia, STARTTS, Sydney</w:t>
      </w:r>
      <w:r>
        <w:t xml:space="preserve"> </w:t>
      </w:r>
    </w:p>
  </w:footnote>
  <w:footnote w:id="3">
    <w:p w14:paraId="1B64302A" w14:textId="77777777" w:rsidR="00B6140E" w:rsidRDefault="00F60E6B">
      <w:pPr>
        <w:pStyle w:val="footnotedescription"/>
        <w:spacing w:line="246" w:lineRule="auto"/>
      </w:pPr>
      <w:r>
        <w:rPr>
          <w:rStyle w:val="footnotemark"/>
        </w:rPr>
        <w:footnoteRef/>
      </w:r>
      <w:r>
        <w:t xml:space="preserve"> Refugee Communities Advocacy Network, 2023</w:t>
      </w:r>
      <w:r>
        <w:rPr>
          <w:i/>
        </w:rPr>
        <w:t>, Inclusive Settlement Funding Model: The Role of Refugee-Led Organizations in Settlement</w:t>
      </w:r>
      <w:r>
        <w:t>, August 2023</w:t>
      </w:r>
      <w:hyperlink r:id="rId7">
        <w:r>
          <w:t xml:space="preserve">, </w:t>
        </w:r>
      </w:hyperlink>
      <w:hyperlink r:id="rId8">
        <w:r>
          <w:rPr>
            <w:color w:val="467886"/>
            <w:u w:val="single" w:color="467886"/>
          </w:rPr>
          <w:t>https://www.refugeecouncil.org.au/wp</w:t>
        </w:r>
      </w:hyperlink>
      <w:hyperlink r:id="rId9"/>
      <w:hyperlink r:id="rId10">
        <w:r>
          <w:rPr>
            <w:color w:val="467886"/>
            <w:u w:val="single" w:color="467886"/>
          </w:rPr>
          <w:t>content/uploads/2016/05/Inclusive</w:t>
        </w:r>
      </w:hyperlink>
      <w:hyperlink r:id="rId11">
        <w:r>
          <w:rPr>
            <w:color w:val="467886"/>
            <w:u w:val="single" w:color="467886"/>
          </w:rPr>
          <w:t>-</w:t>
        </w:r>
      </w:hyperlink>
      <w:hyperlink r:id="rId12">
        <w:r>
          <w:rPr>
            <w:color w:val="467886"/>
            <w:u w:val="single" w:color="467886"/>
          </w:rPr>
          <w:t>Settlement</w:t>
        </w:r>
      </w:hyperlink>
      <w:hyperlink r:id="rId13">
        <w:r>
          <w:rPr>
            <w:color w:val="467886"/>
            <w:u w:val="single" w:color="467886"/>
          </w:rPr>
          <w:t>-</w:t>
        </w:r>
      </w:hyperlink>
      <w:hyperlink r:id="rId14">
        <w:r>
          <w:rPr>
            <w:color w:val="467886"/>
            <w:u w:val="single" w:color="467886"/>
          </w:rPr>
          <w:t>Funding</w:t>
        </w:r>
      </w:hyperlink>
      <w:hyperlink r:id="rId15">
        <w:r>
          <w:rPr>
            <w:color w:val="467886"/>
            <w:u w:val="single" w:color="467886"/>
          </w:rPr>
          <w:t>-</w:t>
        </w:r>
      </w:hyperlink>
      <w:hyperlink r:id="rId16">
        <w:r>
          <w:rPr>
            <w:color w:val="467886"/>
            <w:u w:val="single" w:color="467886"/>
          </w:rPr>
          <w:t>Model</w:t>
        </w:r>
      </w:hyperlink>
      <w:hyperlink r:id="rId17">
        <w:r>
          <w:rPr>
            <w:color w:val="467886"/>
            <w:u w:val="single" w:color="467886"/>
          </w:rPr>
          <w:t>-</w:t>
        </w:r>
      </w:hyperlink>
      <w:hyperlink r:id="rId18">
        <w:r>
          <w:rPr>
            <w:color w:val="467886"/>
            <w:u w:val="single" w:color="467886"/>
          </w:rPr>
          <w:t>The</w:t>
        </w:r>
      </w:hyperlink>
      <w:hyperlink r:id="rId19">
        <w:r>
          <w:rPr>
            <w:color w:val="467886"/>
            <w:u w:val="single" w:color="467886"/>
          </w:rPr>
          <w:t>-</w:t>
        </w:r>
      </w:hyperlink>
      <w:hyperlink r:id="rId20">
        <w:r>
          <w:rPr>
            <w:color w:val="467886"/>
            <w:u w:val="single" w:color="467886"/>
          </w:rPr>
          <w:t>role</w:t>
        </w:r>
      </w:hyperlink>
      <w:hyperlink r:id="rId21">
        <w:r>
          <w:rPr>
            <w:color w:val="467886"/>
            <w:u w:val="single" w:color="467886"/>
          </w:rPr>
          <w:t>-</w:t>
        </w:r>
      </w:hyperlink>
      <w:hyperlink r:id="rId22">
        <w:r>
          <w:rPr>
            <w:color w:val="467886"/>
            <w:u w:val="single" w:color="467886"/>
          </w:rPr>
          <w:t>of</w:t>
        </w:r>
      </w:hyperlink>
      <w:hyperlink r:id="rId23">
        <w:r>
          <w:rPr>
            <w:color w:val="467886"/>
            <w:u w:val="single" w:color="467886"/>
          </w:rPr>
          <w:t>-</w:t>
        </w:r>
      </w:hyperlink>
      <w:hyperlink r:id="rId24">
        <w:r>
          <w:rPr>
            <w:color w:val="467886"/>
            <w:u w:val="single" w:color="467886"/>
          </w:rPr>
          <w:t>refugee</w:t>
        </w:r>
      </w:hyperlink>
      <w:hyperlink r:id="rId25">
        <w:r>
          <w:rPr>
            <w:color w:val="467886"/>
            <w:u w:val="single" w:color="467886"/>
          </w:rPr>
          <w:t>-</w:t>
        </w:r>
      </w:hyperlink>
      <w:hyperlink r:id="rId26">
        <w:r>
          <w:rPr>
            <w:color w:val="467886"/>
            <w:u w:val="single" w:color="467886"/>
          </w:rPr>
          <w:t>led</w:t>
        </w:r>
      </w:hyperlink>
      <w:hyperlink r:id="rId27">
        <w:r>
          <w:rPr>
            <w:color w:val="467886"/>
            <w:u w:val="single" w:color="467886"/>
          </w:rPr>
          <w:t>-</w:t>
        </w:r>
      </w:hyperlink>
      <w:hyperlink r:id="rId28">
        <w:r>
          <w:rPr>
            <w:color w:val="467886"/>
            <w:u w:val="single" w:color="467886"/>
          </w:rPr>
          <w:t>organisations</w:t>
        </w:r>
      </w:hyperlink>
      <w:hyperlink r:id="rId29">
        <w:r>
          <w:rPr>
            <w:color w:val="467886"/>
            <w:u w:val="single" w:color="467886"/>
          </w:rPr>
          <w:t>-</w:t>
        </w:r>
      </w:hyperlink>
      <w:hyperlink r:id="rId30">
        <w:r>
          <w:rPr>
            <w:color w:val="467886"/>
            <w:u w:val="single" w:color="467886"/>
          </w:rPr>
          <w:t>in</w:t>
        </w:r>
      </w:hyperlink>
      <w:hyperlink r:id="rId31"/>
      <w:hyperlink r:id="rId32">
        <w:r>
          <w:rPr>
            <w:color w:val="467886"/>
            <w:u w:val="single" w:color="467886"/>
          </w:rPr>
          <w:t>Settlement.pdf</w:t>
        </w:r>
      </w:hyperlink>
      <w:hyperlink r:id="rId33">
        <w:r>
          <w:t xml:space="preserve"> </w:t>
        </w:r>
      </w:hyperlink>
      <w:r>
        <w:t xml:space="preserve"> </w:t>
      </w:r>
    </w:p>
  </w:footnote>
  <w:footnote w:id="4">
    <w:p w14:paraId="6D987E51" w14:textId="77777777" w:rsidR="00B6140E" w:rsidRDefault="00F60E6B">
      <w:pPr>
        <w:pStyle w:val="footnotedescription"/>
        <w:spacing w:line="248" w:lineRule="auto"/>
      </w:pPr>
      <w:r>
        <w:rPr>
          <w:rStyle w:val="footnotemark"/>
        </w:rPr>
        <w:footnoteRef/>
      </w:r>
      <w:r>
        <w:t xml:space="preserve"> Australian Institute of Family Studies, </w:t>
      </w:r>
      <w:r>
        <w:rPr>
          <w:i/>
        </w:rPr>
        <w:t>Understanding the mental health and help-seeking behaviours of refugees</w:t>
      </w:r>
      <w:r>
        <w:t xml:space="preserve">, July 2022, </w:t>
      </w:r>
      <w:hyperlink r:id="rId34">
        <w:r>
          <w:rPr>
            <w:color w:val="467886"/>
            <w:u w:val="single" w:color="467886"/>
          </w:rPr>
          <w:t>https://aifs.gov.au/resources/short</w:t>
        </w:r>
      </w:hyperlink>
      <w:hyperlink r:id="rId35">
        <w:r>
          <w:rPr>
            <w:color w:val="467886"/>
            <w:u w:val="single" w:color="467886"/>
          </w:rPr>
          <w:t>-</w:t>
        </w:r>
      </w:hyperlink>
      <w:hyperlink r:id="rId36">
        <w:r>
          <w:rPr>
            <w:color w:val="467886"/>
            <w:u w:val="single" w:color="467886"/>
          </w:rPr>
          <w:t>articles/understanding</w:t>
        </w:r>
      </w:hyperlink>
      <w:hyperlink r:id="rId37">
        <w:r>
          <w:rPr>
            <w:color w:val="467886"/>
            <w:u w:val="single" w:color="467886"/>
          </w:rPr>
          <w:t>-</w:t>
        </w:r>
      </w:hyperlink>
      <w:hyperlink r:id="rId38">
        <w:r>
          <w:rPr>
            <w:color w:val="467886"/>
            <w:u w:val="single" w:color="467886"/>
          </w:rPr>
          <w:t>mental</w:t>
        </w:r>
      </w:hyperlink>
      <w:hyperlink r:id="rId39">
        <w:r>
          <w:rPr>
            <w:color w:val="467886"/>
            <w:u w:val="single" w:color="467886"/>
          </w:rPr>
          <w:t>-</w:t>
        </w:r>
      </w:hyperlink>
      <w:hyperlink r:id="rId40">
        <w:r>
          <w:rPr>
            <w:color w:val="467886"/>
            <w:u w:val="single" w:color="467886"/>
          </w:rPr>
          <w:t>health</w:t>
        </w:r>
      </w:hyperlink>
      <w:hyperlink r:id="rId41">
        <w:r>
          <w:rPr>
            <w:color w:val="467886"/>
            <w:u w:val="single" w:color="467886"/>
          </w:rPr>
          <w:t>-</w:t>
        </w:r>
      </w:hyperlink>
      <w:hyperlink r:id="rId42">
        <w:r>
          <w:rPr>
            <w:color w:val="467886"/>
            <w:u w:val="single" w:color="467886"/>
          </w:rPr>
          <w:t>and</w:t>
        </w:r>
      </w:hyperlink>
      <w:hyperlink r:id="rId43">
        <w:r>
          <w:rPr>
            <w:color w:val="467886"/>
            <w:u w:val="single" w:color="467886"/>
          </w:rPr>
          <w:t>-</w:t>
        </w:r>
      </w:hyperlink>
      <w:hyperlink r:id="rId44">
        <w:r>
          <w:rPr>
            <w:color w:val="467886"/>
            <w:u w:val="single" w:color="467886"/>
          </w:rPr>
          <w:t>help</w:t>
        </w:r>
      </w:hyperlink>
      <w:hyperlink r:id="rId45"/>
      <w:hyperlink r:id="rId46">
        <w:r>
          <w:rPr>
            <w:color w:val="467886"/>
            <w:u w:val="single" w:color="467886"/>
          </w:rPr>
          <w:t>seeking</w:t>
        </w:r>
      </w:hyperlink>
      <w:hyperlink r:id="rId47">
        <w:r>
          <w:rPr>
            <w:color w:val="467886"/>
            <w:u w:val="single" w:color="467886"/>
          </w:rPr>
          <w:t>-</w:t>
        </w:r>
      </w:hyperlink>
      <w:hyperlink r:id="rId48">
        <w:r>
          <w:rPr>
            <w:color w:val="467886"/>
            <w:u w:val="single" w:color="467886"/>
          </w:rPr>
          <w:t>behaviours</w:t>
        </w:r>
      </w:hyperlink>
      <w:hyperlink r:id="rId49">
        <w:r>
          <w:rPr>
            <w:color w:val="467886"/>
            <w:u w:val="single" w:color="467886"/>
          </w:rPr>
          <w:t>-</w:t>
        </w:r>
      </w:hyperlink>
      <w:hyperlink r:id="rId50">
        <w:r>
          <w:rPr>
            <w:color w:val="467886"/>
            <w:u w:val="single" w:color="467886"/>
          </w:rPr>
          <w:t>refugees</w:t>
        </w:r>
      </w:hyperlink>
      <w:hyperlink r:id="rId51">
        <w:r>
          <w:t xml:space="preserve"> </w:t>
        </w:r>
      </w:hyperlink>
    </w:p>
  </w:footnote>
  <w:footnote w:id="5">
    <w:p w14:paraId="0E32D913" w14:textId="77777777" w:rsidR="00B6140E" w:rsidRDefault="00F60E6B">
      <w:pPr>
        <w:pStyle w:val="footnotedescription"/>
      </w:pPr>
      <w:r>
        <w:rPr>
          <w:rStyle w:val="footnotemark"/>
        </w:rPr>
        <w:footnoteRef/>
      </w:r>
      <w:r>
        <w:t xml:space="preserve"> Department of Social Services A new approach to programs for families and children: Evidence Summary, pg </w:t>
      </w:r>
    </w:p>
    <w:p w14:paraId="4FBE53E4" w14:textId="77777777" w:rsidR="00B6140E" w:rsidRDefault="00F60E6B">
      <w:pPr>
        <w:pStyle w:val="footnotedescription"/>
      </w:pPr>
      <w:r>
        <w:t>5.</w:t>
      </w:r>
      <w:r>
        <w:t xml:space="preserve"> </w:t>
      </w:r>
    </w:p>
  </w:footnote>
  <w:footnote w:id="6">
    <w:p w14:paraId="53A52F30" w14:textId="77777777" w:rsidR="00B6140E" w:rsidRDefault="00F60E6B">
      <w:pPr>
        <w:pStyle w:val="footnotedescription"/>
        <w:spacing w:line="263" w:lineRule="auto"/>
      </w:pPr>
      <w:r>
        <w:rPr>
          <w:rStyle w:val="footnotemark"/>
        </w:rPr>
        <w:footnoteRef/>
      </w:r>
      <w:r>
        <w:t xml:space="preserve"> </w:t>
      </w:r>
      <w:r>
        <w:t>Department of Social Services, A new approach to programs for families and children: Consultation Summary, pg 3.</w:t>
      </w:r>
      <w:r>
        <w:t xml:space="preserve"> </w:t>
      </w:r>
    </w:p>
  </w:footnote>
  <w:footnote w:id="7">
    <w:p w14:paraId="03102AB8" w14:textId="77777777" w:rsidR="00B6140E" w:rsidRDefault="00F60E6B">
      <w:pPr>
        <w:pStyle w:val="footnotedescription"/>
        <w:spacing w:line="265" w:lineRule="auto"/>
      </w:pPr>
      <w:r>
        <w:rPr>
          <w:rStyle w:val="footnotemark"/>
        </w:rPr>
        <w:footnoteRef/>
      </w:r>
      <w:r>
        <w:t xml:space="preserve"> The United Nations. (n.d.). The United Nations Disability Inclusion Strategy. </w:t>
      </w:r>
      <w:hyperlink r:id="rId52">
        <w:r>
          <w:rPr>
            <w:color w:val="467886"/>
            <w:u w:val="single" w:color="467886"/>
          </w:rPr>
          <w:t>https://www.un.org/en/content/disabilitystrategy/</w:t>
        </w:r>
      </w:hyperlink>
      <w:hyperlink r:id="rId53">
        <w:r>
          <w:t xml:space="preserve"> </w:t>
        </w:r>
      </w:hyperlink>
    </w:p>
  </w:footnote>
  <w:footnote w:id="8">
    <w:p w14:paraId="1E438600" w14:textId="77777777" w:rsidR="00B6140E" w:rsidRDefault="00F60E6B">
      <w:pPr>
        <w:pStyle w:val="footnotedescription"/>
        <w:spacing w:line="296" w:lineRule="auto"/>
      </w:pPr>
      <w:r>
        <w:rPr>
          <w:rStyle w:val="footnotemark"/>
        </w:rPr>
        <w:footnoteRef/>
      </w:r>
      <w:r>
        <w:t xml:space="preserve"> Department of Social Services, A new approach to programs for families and children: Consultation Summary, pg 3.</w:t>
      </w:r>
      <w:r>
        <w:t xml:space="preserve"> </w:t>
      </w:r>
    </w:p>
  </w:footnote>
  <w:footnote w:id="9">
    <w:p w14:paraId="1F78677A" w14:textId="77777777" w:rsidR="00B6140E" w:rsidRDefault="00F60E6B">
      <w:pPr>
        <w:pStyle w:val="footnotedescription"/>
        <w:spacing w:line="295" w:lineRule="auto"/>
      </w:pPr>
      <w:r>
        <w:rPr>
          <w:rStyle w:val="footnotemark"/>
        </w:rPr>
        <w:footnoteRef/>
      </w:r>
      <w:r>
        <w:t xml:space="preserve"> Community Sector Grants Engagement Framework, </w:t>
      </w:r>
      <w:hyperlink r:id="rId54">
        <w:r>
          <w:rPr>
            <w:color w:val="467886"/>
            <w:u w:val="single" w:color="467886"/>
          </w:rPr>
          <w:t>https://www.dss.gov.au/system/files/documents/2025</w:t>
        </w:r>
      </w:hyperlink>
      <w:hyperlink r:id="rId55"/>
      <w:hyperlink r:id="rId56">
        <w:r>
          <w:rPr>
            <w:color w:val="467886"/>
            <w:u w:val="single" w:color="467886"/>
          </w:rPr>
          <w:t>02/community</w:t>
        </w:r>
      </w:hyperlink>
      <w:hyperlink r:id="rId57">
        <w:r>
          <w:rPr>
            <w:color w:val="467886"/>
            <w:u w:val="single" w:color="467886"/>
          </w:rPr>
          <w:t>-</w:t>
        </w:r>
      </w:hyperlink>
      <w:hyperlink r:id="rId58">
        <w:r>
          <w:rPr>
            <w:color w:val="467886"/>
            <w:u w:val="single" w:color="467886"/>
          </w:rPr>
          <w:t>sector</w:t>
        </w:r>
      </w:hyperlink>
      <w:hyperlink r:id="rId59">
        <w:r>
          <w:rPr>
            <w:color w:val="467886"/>
            <w:u w:val="single" w:color="467886"/>
          </w:rPr>
          <w:t>-</w:t>
        </w:r>
      </w:hyperlink>
      <w:hyperlink r:id="rId60">
        <w:r>
          <w:rPr>
            <w:color w:val="467886"/>
            <w:u w:val="single" w:color="467886"/>
          </w:rPr>
          <w:t>grants</w:t>
        </w:r>
      </w:hyperlink>
      <w:hyperlink r:id="rId61">
        <w:r>
          <w:rPr>
            <w:color w:val="467886"/>
            <w:u w:val="single" w:color="467886"/>
          </w:rPr>
          <w:t>-</w:t>
        </w:r>
      </w:hyperlink>
      <w:hyperlink r:id="rId62">
        <w:r>
          <w:rPr>
            <w:color w:val="467886"/>
            <w:u w:val="single" w:color="467886"/>
          </w:rPr>
          <w:t>engagement</w:t>
        </w:r>
      </w:hyperlink>
      <w:hyperlink r:id="rId63">
        <w:r>
          <w:rPr>
            <w:color w:val="467886"/>
            <w:u w:val="single" w:color="467886"/>
          </w:rPr>
          <w:t>-</w:t>
        </w:r>
      </w:hyperlink>
      <w:hyperlink r:id="rId64">
        <w:r>
          <w:rPr>
            <w:color w:val="467886"/>
            <w:u w:val="single" w:color="467886"/>
          </w:rPr>
          <w:t>final.pdf</w:t>
        </w:r>
      </w:hyperlink>
      <w:hyperlink r:id="rId65">
        <w:r>
          <w:t xml:space="preserve"> </w:t>
        </w:r>
      </w:hyperlink>
      <w:r>
        <w:t xml:space="preserve"> </w:t>
      </w:r>
    </w:p>
  </w:footnote>
  <w:footnote w:id="10">
    <w:p w14:paraId="692663A6" w14:textId="77777777" w:rsidR="00B6140E" w:rsidRDefault="00F60E6B">
      <w:pPr>
        <w:pStyle w:val="footnotedescription"/>
        <w:spacing w:line="251" w:lineRule="auto"/>
      </w:pPr>
      <w:r>
        <w:rPr>
          <w:rStyle w:val="footnotemark"/>
        </w:rPr>
        <w:footnoteRef/>
      </w:r>
      <w:r>
        <w:t xml:space="preserve"> Refugee Council of Australia, (2014), </w:t>
      </w:r>
      <w:r>
        <w:rPr>
          <w:i/>
        </w:rPr>
        <w:t>The strength within: the role of refugee community organisations in settlement</w:t>
      </w:r>
      <w:r>
        <w:t xml:space="preserve">, </w:t>
      </w:r>
      <w:hyperlink r:id="rId66">
        <w:r>
          <w:rPr>
            <w:color w:val="467886"/>
            <w:u w:val="single" w:color="467886"/>
          </w:rPr>
          <w:t>https://www.refugeecouncil.org.au/wp</w:t>
        </w:r>
      </w:hyperlink>
      <w:hyperlink r:id="rId67"/>
      <w:hyperlink r:id="rId68">
        <w:r>
          <w:rPr>
            <w:color w:val="467886"/>
            <w:u w:val="single" w:color="467886"/>
          </w:rPr>
          <w:t>content/uploads/2018/12/1405_StrengthWithin_accessible.pdf</w:t>
        </w:r>
      </w:hyperlink>
      <w:hyperlink r:id="rId69">
        <w:r>
          <w:t xml:space="preserve"> </w:t>
        </w:r>
      </w:hyperlink>
    </w:p>
  </w:footnote>
  <w:footnote w:id="11">
    <w:p w14:paraId="00C9B738" w14:textId="77777777" w:rsidR="00B6140E" w:rsidRDefault="00F60E6B">
      <w:pPr>
        <w:pStyle w:val="footnotedescription"/>
        <w:jc w:val="both"/>
      </w:pPr>
      <w:r>
        <w:rPr>
          <w:rStyle w:val="footnotemark"/>
        </w:rPr>
        <w:footnoteRef/>
      </w:r>
      <w:r>
        <w:t xml:space="preserve"> Department of Social Services, ‘A new approach to programs for families and children’: Discussion Paper, </w:t>
      </w:r>
      <w:r>
        <w:t xml:space="preserve">pg 4 </w:t>
      </w:r>
    </w:p>
  </w:footnote>
  <w:footnote w:id="12">
    <w:p w14:paraId="55867FA3" w14:textId="77777777" w:rsidR="00B6140E" w:rsidRDefault="00F60E6B">
      <w:pPr>
        <w:pStyle w:val="footnotedescription"/>
        <w:spacing w:after="28"/>
      </w:pPr>
      <w:r>
        <w:rPr>
          <w:rStyle w:val="footnotemark"/>
        </w:rPr>
        <w:footnoteRef/>
      </w:r>
      <w:r>
        <w:t xml:space="preserve"> </w:t>
      </w:r>
      <w:r>
        <w:t xml:space="preserve">Consultation summary pg 8 </w:t>
      </w:r>
    </w:p>
  </w:footnote>
  <w:footnote w:id="13">
    <w:p w14:paraId="23DB7512" w14:textId="77777777" w:rsidR="00B6140E" w:rsidRDefault="00F60E6B">
      <w:pPr>
        <w:pStyle w:val="footnotedescription"/>
        <w:jc w:val="both"/>
      </w:pPr>
      <w:r>
        <w:rPr>
          <w:rStyle w:val="footnotemark"/>
        </w:rPr>
        <w:footnoteRef/>
      </w:r>
      <w:r>
        <w:t xml:space="preserve"> Department of Social Services, ‘A new approach to programs for families and children’: Discussion Paper, </w:t>
      </w:r>
      <w:r>
        <w:t xml:space="preserve">pg 4 </w:t>
      </w:r>
    </w:p>
  </w:footnote>
  <w:footnote w:id="14">
    <w:p w14:paraId="35270536" w14:textId="77777777" w:rsidR="00B6140E" w:rsidRDefault="00F60E6B">
      <w:pPr>
        <w:pStyle w:val="footnotedescription"/>
        <w:spacing w:line="249" w:lineRule="auto"/>
      </w:pPr>
      <w:r>
        <w:rPr>
          <w:rStyle w:val="footnotemark"/>
        </w:rPr>
        <w:footnoteRef/>
      </w:r>
      <w:r>
        <w:t xml:space="preserve"> Australian Institute of Health and Welfare,</w:t>
      </w:r>
      <w:r>
        <w:rPr>
          <w:i/>
        </w:rPr>
        <w:t xml:space="preserve"> Productivity Commission Submission: Inquiry into the Economic Impacts of Mental Ill-Health</w:t>
      </w:r>
      <w:r>
        <w:t xml:space="preserve">, April 2019, </w:t>
      </w:r>
      <w:hyperlink r:id="rId70">
        <w:r>
          <w:rPr>
            <w:color w:val="467886"/>
            <w:u w:val="single" w:color="467886"/>
          </w:rPr>
          <w:t>https://www.pc.gov.au/__data/assets/pdf_file/0008/240965/sub370</w:t>
        </w:r>
      </w:hyperlink>
      <w:hyperlink r:id="rId71"/>
      <w:hyperlink r:id="rId72">
        <w:r>
          <w:rPr>
            <w:color w:val="467886"/>
            <w:u w:val="single" w:color="467886"/>
          </w:rPr>
          <w:t>mental</w:t>
        </w:r>
      </w:hyperlink>
      <w:hyperlink r:id="rId73">
        <w:r>
          <w:rPr>
            <w:color w:val="467886"/>
            <w:u w:val="single" w:color="467886"/>
          </w:rPr>
          <w:t>-</w:t>
        </w:r>
      </w:hyperlink>
      <w:hyperlink r:id="rId74">
        <w:r>
          <w:rPr>
            <w:color w:val="467886"/>
            <w:u w:val="single" w:color="467886"/>
          </w:rPr>
          <w:t>health.pdf</w:t>
        </w:r>
      </w:hyperlink>
      <w:hyperlink r:id="rId75">
        <w:r>
          <w:t xml:space="preserve"> </w:t>
        </w:r>
      </w:hyperlink>
      <w:hyperlink r:id="rId76">
        <w:r>
          <w:t xml:space="preserve"> </w:t>
        </w:r>
      </w:hyperlink>
    </w:p>
  </w:footnote>
  <w:footnote w:id="15">
    <w:p w14:paraId="34FFC202" w14:textId="77777777" w:rsidR="00B6140E" w:rsidRDefault="00F60E6B">
      <w:pPr>
        <w:pStyle w:val="footnotedescription"/>
      </w:pPr>
      <w:r>
        <w:rPr>
          <w:rStyle w:val="footnotemark"/>
        </w:rPr>
        <w:footnoteRef/>
      </w:r>
      <w:r>
        <w:t xml:space="preserve"> Australian Institute of Health and Welfare, </w:t>
      </w:r>
      <w:r>
        <w:rPr>
          <w:i/>
        </w:rPr>
        <w:t xml:space="preserve">Culturally and linguistically diverse Australians, Refugee and </w:t>
      </w:r>
    </w:p>
    <w:p w14:paraId="52C294F3" w14:textId="77777777" w:rsidR="00B6140E" w:rsidRDefault="00F60E6B">
      <w:pPr>
        <w:pStyle w:val="footnotedescription"/>
        <w:spacing w:after="26" w:line="242" w:lineRule="auto"/>
      </w:pPr>
      <w:r>
        <w:rPr>
          <w:i/>
        </w:rPr>
        <w:t>humanitarian entrant health</w:t>
      </w:r>
      <w:hyperlink r:id="rId77">
        <w:r>
          <w:t xml:space="preserve">, </w:t>
        </w:r>
      </w:hyperlink>
      <w:hyperlink r:id="rId78">
        <w:r>
          <w:rPr>
            <w:color w:val="467886"/>
            <w:u w:val="single" w:color="467886"/>
          </w:rPr>
          <w:t>https://www.aihw.gov.au/reports</w:t>
        </w:r>
      </w:hyperlink>
      <w:hyperlink r:id="rId79">
        <w:r>
          <w:rPr>
            <w:color w:val="467886"/>
            <w:u w:val="single" w:color="467886"/>
          </w:rPr>
          <w:t>-</w:t>
        </w:r>
      </w:hyperlink>
      <w:hyperlink r:id="rId80">
        <w:r>
          <w:rPr>
            <w:color w:val="467886"/>
            <w:u w:val="single" w:color="467886"/>
          </w:rPr>
          <w:t>data/population</w:t>
        </w:r>
      </w:hyperlink>
      <w:hyperlink r:id="rId81">
        <w:r>
          <w:rPr>
            <w:color w:val="467886"/>
            <w:u w:val="single" w:color="467886"/>
          </w:rPr>
          <w:t>-</w:t>
        </w:r>
      </w:hyperlink>
      <w:hyperlink r:id="rId82">
        <w:r>
          <w:rPr>
            <w:color w:val="467886"/>
            <w:u w:val="single" w:color="467886"/>
          </w:rPr>
          <w:t>groups/cald</w:t>
        </w:r>
      </w:hyperlink>
      <w:hyperlink r:id="rId83"/>
      <w:hyperlink r:id="rId84">
        <w:r>
          <w:rPr>
            <w:color w:val="467886"/>
            <w:u w:val="single" w:color="467886"/>
          </w:rPr>
          <w:t>australians/refugee</w:t>
        </w:r>
      </w:hyperlink>
      <w:hyperlink r:id="rId85">
        <w:r>
          <w:rPr>
            <w:color w:val="467886"/>
            <w:u w:val="single" w:color="467886"/>
          </w:rPr>
          <w:t>-</w:t>
        </w:r>
      </w:hyperlink>
      <w:hyperlink r:id="rId86">
        <w:r>
          <w:rPr>
            <w:color w:val="467886"/>
            <w:u w:val="single" w:color="467886"/>
          </w:rPr>
          <w:t>and</w:t>
        </w:r>
      </w:hyperlink>
      <w:hyperlink r:id="rId87">
        <w:r>
          <w:rPr>
            <w:color w:val="467886"/>
            <w:u w:val="single" w:color="467886"/>
          </w:rPr>
          <w:t>-</w:t>
        </w:r>
      </w:hyperlink>
      <w:hyperlink r:id="rId88">
        <w:r>
          <w:rPr>
            <w:color w:val="467886"/>
            <w:u w:val="single" w:color="467886"/>
          </w:rPr>
          <w:t>humanitarian</w:t>
        </w:r>
      </w:hyperlink>
      <w:hyperlink r:id="rId89">
        <w:r>
          <w:rPr>
            <w:color w:val="467886"/>
            <w:u w:val="single" w:color="467886"/>
          </w:rPr>
          <w:t>-</w:t>
        </w:r>
      </w:hyperlink>
      <w:hyperlink r:id="rId90">
        <w:r>
          <w:rPr>
            <w:color w:val="467886"/>
            <w:u w:val="single" w:color="467886"/>
          </w:rPr>
          <w:t>entrant</w:t>
        </w:r>
      </w:hyperlink>
      <w:hyperlink r:id="rId91">
        <w:r>
          <w:rPr>
            <w:color w:val="467886"/>
            <w:u w:val="single" w:color="467886"/>
          </w:rPr>
          <w:t>-</w:t>
        </w:r>
      </w:hyperlink>
      <w:hyperlink r:id="rId92">
        <w:r>
          <w:rPr>
            <w:color w:val="467886"/>
            <w:u w:val="single" w:color="467886"/>
          </w:rPr>
          <w:t>health</w:t>
        </w:r>
      </w:hyperlink>
      <w:hyperlink r:id="rId93">
        <w:r>
          <w:t xml:space="preserve"> </w:t>
        </w:r>
      </w:hyperlink>
      <w:hyperlink r:id="rId94">
        <w:r>
          <w:t xml:space="preserve"> </w:t>
        </w:r>
      </w:hyperlink>
    </w:p>
  </w:footnote>
  <w:footnote w:id="16">
    <w:p w14:paraId="0DD92066" w14:textId="77777777" w:rsidR="00B6140E" w:rsidRDefault="00F60E6B">
      <w:pPr>
        <w:pStyle w:val="footnotedescription"/>
      </w:pPr>
      <w:r>
        <w:rPr>
          <w:rStyle w:val="footnotemark"/>
        </w:rPr>
        <w:footnoteRef/>
      </w:r>
      <w:r>
        <w:t xml:space="preserve"> We have a number of community consultation reports that we can share with the department by request.</w:t>
      </w:r>
      <w:r>
        <w:t xml:space="preserve"> </w:t>
      </w:r>
    </w:p>
  </w:footnote>
  <w:footnote w:id="17">
    <w:p w14:paraId="5DBC8EAB" w14:textId="77777777" w:rsidR="00B6140E" w:rsidRDefault="00F60E6B">
      <w:pPr>
        <w:pStyle w:val="footnotedescription"/>
        <w:spacing w:line="260" w:lineRule="auto"/>
      </w:pPr>
      <w:r>
        <w:rPr>
          <w:rStyle w:val="footnotemark"/>
        </w:rPr>
        <w:footnoteRef/>
      </w:r>
      <w:r>
        <w:t xml:space="preserve"> Hugo, G., (2011), </w:t>
      </w:r>
      <w:r>
        <w:rPr>
          <w:i/>
        </w:rPr>
        <w:t>Economic, Social and Civic Contribution of First and Second Generation Humanitarian Entrants</w:t>
      </w:r>
      <w:r>
        <w:t xml:space="preserve">, Department of Immigration and Citizenship (DIAC). </w:t>
      </w:r>
    </w:p>
    <w:p w14:paraId="25BA1701" w14:textId="77777777" w:rsidR="00B6140E" w:rsidRDefault="00F60E6B">
      <w:pPr>
        <w:pStyle w:val="footnotedescription"/>
      </w:pPr>
      <w:hyperlink r:id="rId95">
        <w:r>
          <w:rPr>
            <w:color w:val="467886"/>
            <w:u w:val="single" w:color="467886"/>
          </w:rPr>
          <w:t>https://library.bsl.org.au/jspui/bitstream/1/2544/1/Economic</w:t>
        </w:r>
      </w:hyperlink>
      <w:hyperlink r:id="rId96">
        <w:r>
          <w:rPr>
            <w:color w:val="467886"/>
            <w:u w:val="single" w:color="467886"/>
          </w:rPr>
          <w:t>-</w:t>
        </w:r>
      </w:hyperlink>
      <w:hyperlink r:id="rId97">
        <w:r>
          <w:rPr>
            <w:color w:val="467886"/>
            <w:u w:val="single" w:color="467886"/>
          </w:rPr>
          <w:t>social</w:t>
        </w:r>
      </w:hyperlink>
      <w:hyperlink r:id="rId98">
        <w:r>
          <w:rPr>
            <w:color w:val="467886"/>
            <w:u w:val="single" w:color="467886"/>
          </w:rPr>
          <w:t>-</w:t>
        </w:r>
      </w:hyperlink>
      <w:hyperlink r:id="rId99">
        <w:r>
          <w:rPr>
            <w:color w:val="467886"/>
            <w:u w:val="single" w:color="467886"/>
          </w:rPr>
          <w:t>civic</w:t>
        </w:r>
      </w:hyperlink>
      <w:hyperlink r:id="rId100">
        <w:r>
          <w:rPr>
            <w:color w:val="467886"/>
            <w:u w:val="single" w:color="467886"/>
          </w:rPr>
          <w:t>-</w:t>
        </w:r>
      </w:hyperlink>
      <w:hyperlink r:id="rId101">
        <w:r>
          <w:rPr>
            <w:color w:val="467886"/>
            <w:u w:val="single" w:color="467886"/>
          </w:rPr>
          <w:t>contributions.pdf</w:t>
        </w:r>
      </w:hyperlink>
      <w:hyperlink r:id="rId102">
        <w:r>
          <w:t xml:space="preserve"> </w:t>
        </w:r>
      </w:hyperlink>
    </w:p>
  </w:footnote>
  <w:footnote w:id="18">
    <w:p w14:paraId="6F1155E1" w14:textId="77777777" w:rsidR="00B6140E" w:rsidRDefault="00F60E6B">
      <w:pPr>
        <w:pStyle w:val="footnotedescription"/>
        <w:spacing w:after="29" w:line="248" w:lineRule="auto"/>
      </w:pPr>
      <w:r>
        <w:rPr>
          <w:rStyle w:val="footnotemark"/>
        </w:rPr>
        <w:footnoteRef/>
      </w:r>
      <w:r>
        <w:t xml:space="preserve"> Refugee Communities Advocacy Network, 2023</w:t>
      </w:r>
      <w:r>
        <w:rPr>
          <w:i/>
        </w:rPr>
        <w:t>, Inclusive Settlement Funding Model: The Role of RefugeeLed Organizations in Settlement</w:t>
      </w:r>
      <w:r>
        <w:t xml:space="preserve">, August 2023, </w:t>
      </w:r>
      <w:hyperlink r:id="rId103">
        <w:r>
          <w:rPr>
            <w:color w:val="467886"/>
            <w:u w:val="single" w:color="467886"/>
          </w:rPr>
          <w:t>https://www.refugeecouncil.org.au/wp</w:t>
        </w:r>
      </w:hyperlink>
      <w:hyperlink r:id="rId104"/>
      <w:hyperlink r:id="rId105">
        <w:r>
          <w:rPr>
            <w:color w:val="467886"/>
            <w:u w:val="single" w:color="467886"/>
          </w:rPr>
          <w:t>content/uploads/2016/05/Inclusive</w:t>
        </w:r>
      </w:hyperlink>
      <w:hyperlink r:id="rId106">
        <w:r>
          <w:rPr>
            <w:color w:val="467886"/>
            <w:u w:val="single" w:color="467886"/>
          </w:rPr>
          <w:t>-</w:t>
        </w:r>
      </w:hyperlink>
      <w:hyperlink r:id="rId107">
        <w:r>
          <w:rPr>
            <w:color w:val="467886"/>
            <w:u w:val="single" w:color="467886"/>
          </w:rPr>
          <w:t>Settlement</w:t>
        </w:r>
      </w:hyperlink>
      <w:hyperlink r:id="rId108">
        <w:r>
          <w:rPr>
            <w:color w:val="467886"/>
            <w:u w:val="single" w:color="467886"/>
          </w:rPr>
          <w:t>-</w:t>
        </w:r>
      </w:hyperlink>
      <w:hyperlink r:id="rId109">
        <w:r>
          <w:rPr>
            <w:color w:val="467886"/>
            <w:u w:val="single" w:color="467886"/>
          </w:rPr>
          <w:t>Funding</w:t>
        </w:r>
      </w:hyperlink>
      <w:hyperlink r:id="rId110">
        <w:r>
          <w:rPr>
            <w:color w:val="467886"/>
            <w:u w:val="single" w:color="467886"/>
          </w:rPr>
          <w:t>-</w:t>
        </w:r>
      </w:hyperlink>
      <w:hyperlink r:id="rId111">
        <w:r>
          <w:rPr>
            <w:color w:val="467886"/>
            <w:u w:val="single" w:color="467886"/>
          </w:rPr>
          <w:t>Model</w:t>
        </w:r>
      </w:hyperlink>
      <w:hyperlink r:id="rId112">
        <w:r>
          <w:rPr>
            <w:color w:val="467886"/>
            <w:u w:val="single" w:color="467886"/>
          </w:rPr>
          <w:t>-</w:t>
        </w:r>
      </w:hyperlink>
      <w:hyperlink r:id="rId113">
        <w:r>
          <w:rPr>
            <w:color w:val="467886"/>
            <w:u w:val="single" w:color="467886"/>
          </w:rPr>
          <w:t>The</w:t>
        </w:r>
      </w:hyperlink>
      <w:hyperlink r:id="rId114">
        <w:r>
          <w:rPr>
            <w:color w:val="467886"/>
            <w:u w:val="single" w:color="467886"/>
          </w:rPr>
          <w:t>-</w:t>
        </w:r>
      </w:hyperlink>
      <w:hyperlink r:id="rId115">
        <w:r>
          <w:rPr>
            <w:color w:val="467886"/>
            <w:u w:val="single" w:color="467886"/>
          </w:rPr>
          <w:t>role</w:t>
        </w:r>
      </w:hyperlink>
      <w:hyperlink r:id="rId116">
        <w:r>
          <w:rPr>
            <w:color w:val="467886"/>
            <w:u w:val="single" w:color="467886"/>
          </w:rPr>
          <w:t>-</w:t>
        </w:r>
      </w:hyperlink>
      <w:hyperlink r:id="rId117">
        <w:r>
          <w:rPr>
            <w:color w:val="467886"/>
            <w:u w:val="single" w:color="467886"/>
          </w:rPr>
          <w:t>of</w:t>
        </w:r>
      </w:hyperlink>
      <w:hyperlink r:id="rId118">
        <w:r>
          <w:rPr>
            <w:color w:val="467886"/>
            <w:u w:val="single" w:color="467886"/>
          </w:rPr>
          <w:t>-</w:t>
        </w:r>
      </w:hyperlink>
      <w:hyperlink r:id="rId119">
        <w:r>
          <w:rPr>
            <w:color w:val="467886"/>
            <w:u w:val="single" w:color="467886"/>
          </w:rPr>
          <w:t>refugee</w:t>
        </w:r>
      </w:hyperlink>
      <w:hyperlink r:id="rId120">
        <w:r>
          <w:rPr>
            <w:color w:val="467886"/>
            <w:u w:val="single" w:color="467886"/>
          </w:rPr>
          <w:t>-</w:t>
        </w:r>
      </w:hyperlink>
      <w:hyperlink r:id="rId121">
        <w:r>
          <w:rPr>
            <w:color w:val="467886"/>
            <w:u w:val="single" w:color="467886"/>
          </w:rPr>
          <w:t>led</w:t>
        </w:r>
      </w:hyperlink>
      <w:hyperlink r:id="rId122">
        <w:r>
          <w:rPr>
            <w:color w:val="467886"/>
            <w:u w:val="single" w:color="467886"/>
          </w:rPr>
          <w:t>-</w:t>
        </w:r>
      </w:hyperlink>
      <w:hyperlink r:id="rId123">
        <w:r>
          <w:rPr>
            <w:color w:val="467886"/>
            <w:u w:val="single" w:color="467886"/>
          </w:rPr>
          <w:t>organisations</w:t>
        </w:r>
      </w:hyperlink>
      <w:hyperlink r:id="rId124">
        <w:r>
          <w:rPr>
            <w:color w:val="467886"/>
            <w:u w:val="single" w:color="467886"/>
          </w:rPr>
          <w:t>-</w:t>
        </w:r>
      </w:hyperlink>
      <w:hyperlink r:id="rId125">
        <w:r>
          <w:rPr>
            <w:color w:val="467886"/>
            <w:u w:val="single" w:color="467886"/>
          </w:rPr>
          <w:t>in</w:t>
        </w:r>
      </w:hyperlink>
      <w:hyperlink r:id="rId126">
        <w:r>
          <w:rPr>
            <w:color w:val="467886"/>
            <w:u w:val="single" w:color="467886"/>
          </w:rPr>
          <w:t>-</w:t>
        </w:r>
      </w:hyperlink>
    </w:p>
    <w:p w14:paraId="071894C0" w14:textId="77777777" w:rsidR="00B6140E" w:rsidRDefault="00F60E6B">
      <w:pPr>
        <w:pStyle w:val="footnotedescription"/>
        <w:spacing w:after="220"/>
      </w:pPr>
      <w:hyperlink r:id="rId127">
        <w:r>
          <w:rPr>
            <w:color w:val="467886"/>
            <w:u w:val="single" w:color="467886"/>
          </w:rPr>
          <w:t>Settlement.pdf</w:t>
        </w:r>
      </w:hyperlink>
      <w:hyperlink r:id="rId128">
        <w:r>
          <w:t xml:space="preserve"> </w:t>
        </w:r>
      </w:hyperlink>
      <w:hyperlink r:id="rId129">
        <w:r>
          <w:t xml:space="preserve"> </w:t>
        </w:r>
      </w:hyperlink>
    </w:p>
    <w:p w14:paraId="550F2E8A" w14:textId="77777777" w:rsidR="00B6140E" w:rsidRDefault="00F60E6B">
      <w:pPr>
        <w:pStyle w:val="footnotedescription"/>
        <w:ind w:right="151"/>
        <w:jc w:val="right"/>
      </w:pPr>
      <w:r>
        <w:rPr>
          <w:sz w:val="16"/>
        </w:rPr>
        <w:t xml:space="preserve">Page | </w:t>
      </w:r>
    </w:p>
  </w:footnote>
  <w:footnote w:id="19">
    <w:p w14:paraId="42794517" w14:textId="77777777" w:rsidR="00B6140E" w:rsidRDefault="00F60E6B">
      <w:pPr>
        <w:pStyle w:val="footnotedescription"/>
        <w:spacing w:after="32" w:line="264" w:lineRule="auto"/>
      </w:pPr>
      <w:r>
        <w:rPr>
          <w:rStyle w:val="footnotemark"/>
        </w:rPr>
        <w:footnoteRef/>
      </w:r>
      <w:r>
        <w:t xml:space="preserve"> Bartolomei, L., Pittaway, E., Doney G. &amp; Ward, K. (2014), </w:t>
      </w:r>
      <w:r>
        <w:rPr>
          <w:i/>
        </w:rPr>
        <w:t>The glue that binds: Designing and evaluating projects to increase social capital in refugee communities in Australia, Outcomes of the social capital research project</w:t>
      </w:r>
      <w:hyperlink r:id="rId130">
        <w:r>
          <w:t xml:space="preserve">, </w:t>
        </w:r>
      </w:hyperlink>
      <w:hyperlink r:id="rId131">
        <w:r>
          <w:rPr>
            <w:color w:val="467886"/>
            <w:u w:val="single" w:color="467886"/>
          </w:rPr>
          <w:t>https://startts.org.au/media/Linda</w:t>
        </w:r>
      </w:hyperlink>
      <w:hyperlink r:id="rId132">
        <w:r>
          <w:rPr>
            <w:color w:val="467886"/>
            <w:u w:val="single" w:color="467886"/>
          </w:rPr>
          <w:t>-</w:t>
        </w:r>
      </w:hyperlink>
      <w:hyperlink r:id="rId133">
        <w:r>
          <w:rPr>
            <w:color w:val="467886"/>
            <w:u w:val="single" w:color="467886"/>
          </w:rPr>
          <w:t>Bartolomei_STARTTS</w:t>
        </w:r>
      </w:hyperlink>
      <w:hyperlink r:id="rId134">
        <w:r>
          <w:rPr>
            <w:color w:val="467886"/>
            <w:u w:val="single" w:color="467886"/>
          </w:rPr>
          <w:t>-</w:t>
        </w:r>
      </w:hyperlink>
      <w:hyperlink r:id="rId135">
        <w:r>
          <w:rPr>
            <w:color w:val="467886"/>
            <w:u w:val="single" w:color="467886"/>
          </w:rPr>
          <w:t>CD</w:t>
        </w:r>
      </w:hyperlink>
      <w:hyperlink r:id="rId136">
        <w:r>
          <w:rPr>
            <w:color w:val="467886"/>
            <w:u w:val="single" w:color="467886"/>
          </w:rPr>
          <w:t>-</w:t>
        </w:r>
      </w:hyperlink>
      <w:hyperlink r:id="rId137">
        <w:r>
          <w:rPr>
            <w:color w:val="467886"/>
            <w:u w:val="single" w:color="467886"/>
          </w:rPr>
          <w:t>Evening</w:t>
        </w:r>
      </w:hyperlink>
      <w:hyperlink r:id="rId138">
        <w:r>
          <w:rPr>
            <w:color w:val="467886"/>
            <w:u w:val="single" w:color="467886"/>
          </w:rPr>
          <w:t>-</w:t>
        </w:r>
      </w:hyperlink>
      <w:hyperlink r:id="rId139">
        <w:r>
          <w:rPr>
            <w:color w:val="467886"/>
            <w:u w:val="single" w:color="467886"/>
          </w:rPr>
          <w:t>Presentation_7th</w:t>
        </w:r>
      </w:hyperlink>
      <w:hyperlink r:id="rId140">
        <w:r>
          <w:rPr>
            <w:color w:val="467886"/>
            <w:u w:val="single" w:color="467886"/>
          </w:rPr>
          <w:t>-</w:t>
        </w:r>
      </w:hyperlink>
      <w:hyperlink r:id="rId141">
        <w:r>
          <w:rPr>
            <w:color w:val="467886"/>
            <w:u w:val="single" w:color="467886"/>
          </w:rPr>
          <w:t>Aug</w:t>
        </w:r>
      </w:hyperlink>
      <w:hyperlink r:id="rId142">
        <w:r>
          <w:rPr>
            <w:color w:val="467886"/>
            <w:u w:val="single" w:color="467886"/>
          </w:rPr>
          <w:t>-</w:t>
        </w:r>
      </w:hyperlink>
      <w:hyperlink r:id="rId143">
        <w:r>
          <w:rPr>
            <w:color w:val="467886"/>
            <w:u w:val="single" w:color="467886"/>
          </w:rPr>
          <w:t>2014.pdf</w:t>
        </w:r>
      </w:hyperlink>
      <w:hyperlink r:id="rId144">
        <w:r>
          <w:t xml:space="preserve"> </w:t>
        </w:r>
      </w:hyperlink>
      <w:r>
        <w:t xml:space="preserve"> </w:t>
      </w:r>
      <w:r>
        <w:rPr>
          <w:vertAlign w:val="superscript"/>
        </w:rPr>
        <w:t>20</w:t>
      </w:r>
      <w:r>
        <w:t xml:space="preserve"> Department of Social Services, ‘A new approach to programs for families and children’: Discussion Paper, pg </w:t>
      </w:r>
    </w:p>
    <w:p w14:paraId="415C5ED8" w14:textId="77777777" w:rsidR="00B6140E" w:rsidRDefault="00F60E6B">
      <w:pPr>
        <w:pStyle w:val="footnotedescription"/>
      </w:pPr>
      <w:r>
        <w:t>7.</w:t>
      </w:r>
      <w:r>
        <w:t xml:space="preserve"> </w:t>
      </w:r>
    </w:p>
  </w:footnote>
  <w:footnote w:id="20">
    <w:p w14:paraId="0FAF55FE" w14:textId="77777777" w:rsidR="00B6140E" w:rsidRDefault="00F60E6B">
      <w:pPr>
        <w:pStyle w:val="footnotedescription"/>
        <w:spacing w:line="249" w:lineRule="auto"/>
      </w:pPr>
      <w:r>
        <w:rPr>
          <w:rStyle w:val="footnotemark"/>
        </w:rPr>
        <w:footnoteRef/>
      </w:r>
      <w:r>
        <w:t xml:space="preserve"> “This may be through a practitioner assessment, a client self-assessment, support person assessment, or a joint assessment.”, from </w:t>
      </w:r>
      <w:r>
        <w:rPr>
          <w:i/>
        </w:rPr>
        <w:t>SCORE – at a glance</w:t>
      </w:r>
      <w:hyperlink r:id="rId145">
        <w:r>
          <w:t xml:space="preserve">, </w:t>
        </w:r>
      </w:hyperlink>
      <w:hyperlink r:id="rId146">
        <w:r>
          <w:rPr>
            <w:color w:val="467886"/>
            <w:u w:val="single" w:color="467886"/>
          </w:rPr>
          <w:t>https://dex.dss.gov.au/sites/default/files/documents/2022</w:t>
        </w:r>
      </w:hyperlink>
      <w:hyperlink r:id="rId147"/>
      <w:hyperlink r:id="rId148">
        <w:r>
          <w:rPr>
            <w:color w:val="467886"/>
            <w:u w:val="single" w:color="467886"/>
          </w:rPr>
          <w:t>07/1135</w:t>
        </w:r>
      </w:hyperlink>
      <w:hyperlink r:id="rId149">
        <w:r>
          <w:rPr>
            <w:color w:val="467886"/>
            <w:u w:val="single" w:color="467886"/>
          </w:rPr>
          <w:t>-</w:t>
        </w:r>
      </w:hyperlink>
      <w:hyperlink r:id="rId150">
        <w:r>
          <w:rPr>
            <w:color w:val="467886"/>
            <w:u w:val="single" w:color="467886"/>
          </w:rPr>
          <w:t>doc</w:t>
        </w:r>
      </w:hyperlink>
      <w:hyperlink r:id="rId151">
        <w:r>
          <w:rPr>
            <w:color w:val="467886"/>
            <w:u w:val="single" w:color="467886"/>
          </w:rPr>
          <w:t>-</w:t>
        </w:r>
      </w:hyperlink>
      <w:hyperlink r:id="rId152">
        <w:r>
          <w:rPr>
            <w:color w:val="467886"/>
            <w:u w:val="single" w:color="467886"/>
          </w:rPr>
          <w:t>score</w:t>
        </w:r>
      </w:hyperlink>
      <w:hyperlink r:id="rId153">
        <w:r>
          <w:rPr>
            <w:color w:val="467886"/>
            <w:u w:val="single" w:color="467886"/>
          </w:rPr>
          <w:t>-</w:t>
        </w:r>
      </w:hyperlink>
      <w:hyperlink r:id="rId154">
        <w:r>
          <w:rPr>
            <w:color w:val="467886"/>
            <w:u w:val="single" w:color="467886"/>
          </w:rPr>
          <w:t>glance</w:t>
        </w:r>
      </w:hyperlink>
      <w:hyperlink r:id="rId155">
        <w:r>
          <w:rPr>
            <w:color w:val="467886"/>
            <w:u w:val="single" w:color="467886"/>
          </w:rPr>
          <w:t>-</w:t>
        </w:r>
      </w:hyperlink>
      <w:hyperlink r:id="rId156">
        <w:r>
          <w:rPr>
            <w:color w:val="467886"/>
            <w:u w:val="single" w:color="467886"/>
          </w:rPr>
          <w:t>1.pdf</w:t>
        </w:r>
      </w:hyperlink>
      <w:hyperlink r:id="rId157">
        <w:r>
          <w:t xml:space="preserve"> </w:t>
        </w:r>
      </w:hyperlink>
      <w:r>
        <w:t xml:space="preserve"> </w:t>
      </w:r>
    </w:p>
  </w:footnote>
  <w:footnote w:id="21">
    <w:p w14:paraId="5482BCBA" w14:textId="77777777" w:rsidR="00B6140E" w:rsidRDefault="00F60E6B">
      <w:pPr>
        <w:pStyle w:val="footnotedescription"/>
        <w:jc w:val="both"/>
      </w:pPr>
      <w:r>
        <w:rPr>
          <w:rStyle w:val="footnotemark"/>
        </w:rPr>
        <w:footnoteRef/>
      </w:r>
      <w:r>
        <w:t xml:space="preserve"> </w:t>
      </w:r>
      <w:r>
        <w:t>Department of Social Services, ‘A new approach to programs for families and children’: Discussion Paper, pg7.</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D00FC"/>
    <w:multiLevelType w:val="hybridMultilevel"/>
    <w:tmpl w:val="EECEFA0E"/>
    <w:lvl w:ilvl="0" w:tplc="845EB10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584A6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9C2271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CF6D9E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D4C64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0FCCF9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DA85A3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5EBA9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A5C148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CE41A54"/>
    <w:multiLevelType w:val="hybridMultilevel"/>
    <w:tmpl w:val="8162F256"/>
    <w:lvl w:ilvl="0" w:tplc="5B320F74">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4689A2">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066FFA">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1E08A2">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12CA5C">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94D730">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32DB42">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D4FB86">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D07C62">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44E06C9"/>
    <w:multiLevelType w:val="hybridMultilevel"/>
    <w:tmpl w:val="045CB0D8"/>
    <w:lvl w:ilvl="0" w:tplc="D58E27DC">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78F8E8">
      <w:start w:val="1"/>
      <w:numFmt w:val="upperRoman"/>
      <w:lvlText w:val="%2."/>
      <w:lvlJc w:val="left"/>
      <w:pPr>
        <w:ind w:left="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6C00C6">
      <w:start w:val="1"/>
      <w:numFmt w:val="lowerRoman"/>
      <w:lvlText w:val="%3"/>
      <w:lvlJc w:val="left"/>
      <w:pPr>
        <w:ind w:left="20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9E8B50">
      <w:start w:val="1"/>
      <w:numFmt w:val="decimal"/>
      <w:lvlText w:val="%4"/>
      <w:lvlJc w:val="left"/>
      <w:pPr>
        <w:ind w:left="2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3A63F2">
      <w:start w:val="1"/>
      <w:numFmt w:val="lowerLetter"/>
      <w:lvlText w:val="%5"/>
      <w:lvlJc w:val="left"/>
      <w:pPr>
        <w:ind w:left="34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E4FFDC">
      <w:start w:val="1"/>
      <w:numFmt w:val="lowerRoman"/>
      <w:lvlText w:val="%6"/>
      <w:lvlJc w:val="left"/>
      <w:pPr>
        <w:ind w:left="41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A012EA">
      <w:start w:val="1"/>
      <w:numFmt w:val="decimal"/>
      <w:lvlText w:val="%7"/>
      <w:lvlJc w:val="left"/>
      <w:pPr>
        <w:ind w:left="49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5E1934">
      <w:start w:val="1"/>
      <w:numFmt w:val="lowerLetter"/>
      <w:lvlText w:val="%8"/>
      <w:lvlJc w:val="left"/>
      <w:pPr>
        <w:ind w:left="56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60496E">
      <w:start w:val="1"/>
      <w:numFmt w:val="lowerRoman"/>
      <w:lvlText w:val="%9"/>
      <w:lvlJc w:val="left"/>
      <w:pPr>
        <w:ind w:left="63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1AA121B"/>
    <w:multiLevelType w:val="hybridMultilevel"/>
    <w:tmpl w:val="B6D22BB2"/>
    <w:lvl w:ilvl="0" w:tplc="AE068802">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92CB00">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147D6C">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6C94F2">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967076">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6A9EA8">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76A1DA">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267A40">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C8335A">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B9E3676"/>
    <w:multiLevelType w:val="hybridMultilevel"/>
    <w:tmpl w:val="357C26D0"/>
    <w:lvl w:ilvl="0" w:tplc="5CC44670">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FC2C3A">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54821E">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107570">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86B83E">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52DDA0">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68E294">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9EEC10">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B2794C">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86E39A3"/>
    <w:multiLevelType w:val="hybridMultilevel"/>
    <w:tmpl w:val="C512E320"/>
    <w:lvl w:ilvl="0" w:tplc="F6CEF09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B4F68E">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508CEEC">
      <w:start w:val="1"/>
      <w:numFmt w:val="bullet"/>
      <w:lvlText w:val="▪"/>
      <w:lvlJc w:val="left"/>
      <w:pPr>
        <w:ind w:left="21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0D692F6">
      <w:start w:val="1"/>
      <w:numFmt w:val="bullet"/>
      <w:lvlText w:val="•"/>
      <w:lvlJc w:val="left"/>
      <w:pPr>
        <w:ind w:left="28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E1CE498">
      <w:start w:val="1"/>
      <w:numFmt w:val="bullet"/>
      <w:lvlText w:val="o"/>
      <w:lvlJc w:val="left"/>
      <w:pPr>
        <w:ind w:left="36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0B836E6">
      <w:start w:val="1"/>
      <w:numFmt w:val="bullet"/>
      <w:lvlText w:val="▪"/>
      <w:lvlJc w:val="left"/>
      <w:pPr>
        <w:ind w:left="43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42674D8">
      <w:start w:val="1"/>
      <w:numFmt w:val="bullet"/>
      <w:lvlText w:val="•"/>
      <w:lvlJc w:val="left"/>
      <w:pPr>
        <w:ind w:left="50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BFCD64C">
      <w:start w:val="1"/>
      <w:numFmt w:val="bullet"/>
      <w:lvlText w:val="o"/>
      <w:lvlJc w:val="left"/>
      <w:pPr>
        <w:ind w:left="57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21E5B8C">
      <w:start w:val="1"/>
      <w:numFmt w:val="bullet"/>
      <w:lvlText w:val="▪"/>
      <w:lvlJc w:val="left"/>
      <w:pPr>
        <w:ind w:left="64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B3C0059"/>
    <w:multiLevelType w:val="hybridMultilevel"/>
    <w:tmpl w:val="1038A5E6"/>
    <w:lvl w:ilvl="0" w:tplc="F560009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F08B7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0A434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28A7B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06234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06723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5C5D1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D92872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8E2D0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446852928">
    <w:abstractNumId w:val="6"/>
  </w:num>
  <w:num w:numId="2" w16cid:durableId="1009797219">
    <w:abstractNumId w:val="1"/>
  </w:num>
  <w:num w:numId="3" w16cid:durableId="2041735900">
    <w:abstractNumId w:val="3"/>
  </w:num>
  <w:num w:numId="4" w16cid:durableId="1721634345">
    <w:abstractNumId w:val="0"/>
  </w:num>
  <w:num w:numId="5" w16cid:durableId="876434298">
    <w:abstractNumId w:val="5"/>
  </w:num>
  <w:num w:numId="6" w16cid:durableId="1948191768">
    <w:abstractNumId w:val="2"/>
  </w:num>
  <w:num w:numId="7" w16cid:durableId="891815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40E"/>
    <w:rsid w:val="00083D19"/>
    <w:rsid w:val="00B6140E"/>
    <w:rsid w:val="00F60E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4B43B"/>
  <w15:docId w15:val="{1217E312-2E4B-4854-BC5A-5CE070E2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0" w:lineRule="auto"/>
      <w:ind w:left="10" w:right="11"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outlineLvl w:val="0"/>
    </w:pPr>
    <w:rPr>
      <w:rFonts w:ascii="Calibri" w:eastAsia="Calibri" w:hAnsi="Calibri" w:cs="Calibri"/>
      <w:color w:val="008D85"/>
      <w:sz w:val="32"/>
    </w:rPr>
  </w:style>
  <w:style w:type="paragraph" w:styleId="Heading2">
    <w:name w:val="heading 2"/>
    <w:next w:val="Normal"/>
    <w:link w:val="Heading2Char"/>
    <w:uiPriority w:val="9"/>
    <w:unhideWhenUsed/>
    <w:qFormat/>
    <w:pPr>
      <w:keepNext/>
      <w:keepLines/>
      <w:shd w:val="clear" w:color="auto" w:fill="E9F7FD"/>
      <w:spacing w:after="159" w:line="259" w:lineRule="auto"/>
      <w:ind w:left="118"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color w:val="008D85"/>
      <w:sz w:val="32"/>
    </w:rPr>
  </w:style>
  <w:style w:type="paragraph" w:customStyle="1" w:styleId="footnotedescription">
    <w:name w:val="footnote description"/>
    <w:next w:val="Normal"/>
    <w:link w:val="footnotedescriptionChar"/>
    <w:hidden/>
    <w:pPr>
      <w:spacing w:after="0" w:line="259"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tartts.org.au/" TargetMode="Externa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artts.org.au/" TargetMode="External"/><Relationship Id="rId14" Type="http://schemas.openxmlformats.org/officeDocument/2006/relationships/footer" Target="footer5.xml"/></Relationships>
</file>

<file path=word/_rels/footnotes.xml.rels><?xml version="1.0" encoding="UTF-8" standalone="yes"?>
<Relationships xmlns="http://schemas.openxmlformats.org/package/2006/relationships"><Relationship Id="rId117" Type="http://schemas.openxmlformats.org/officeDocument/2006/relationships/hyperlink" Target="https://www.refugeecouncil.org.au/wp-content/uploads/2016/05/Inclusive-Settlement-Funding-Model-The-role-of-refugee-led-organisations-in-Settlement.pdf" TargetMode="External"/><Relationship Id="rId21" Type="http://schemas.openxmlformats.org/officeDocument/2006/relationships/hyperlink" Target="https://www.refugeecouncil.org.au/wp-content/uploads/2016/05/Inclusive-Settlement-Funding-Model-The-role-of-refugee-led-organisations-in-Settlement.pdf" TargetMode="External"/><Relationship Id="rId42" Type="http://schemas.openxmlformats.org/officeDocument/2006/relationships/hyperlink" Target="https://aifs.gov.au/resources/short-articles/understanding-mental-health-and-help-seeking-behaviours-refugees" TargetMode="External"/><Relationship Id="rId63" Type="http://schemas.openxmlformats.org/officeDocument/2006/relationships/hyperlink" Target="https://www.dss.gov.au/system/files/documents/2025-02/community-sector-grants-engagement-final.pdf" TargetMode="External"/><Relationship Id="rId84" Type="http://schemas.openxmlformats.org/officeDocument/2006/relationships/hyperlink" Target="https://www.aihw.gov.au/reports-data/population-groups/cald-australians/refugee-and-humanitarian-entrant-health" TargetMode="External"/><Relationship Id="rId138" Type="http://schemas.openxmlformats.org/officeDocument/2006/relationships/hyperlink" Target="https://startts.org.au/media/Linda-Bartolomei_STARTTS-CD-Evening-Presentation_7th-Aug-2014.pdf" TargetMode="External"/><Relationship Id="rId107" Type="http://schemas.openxmlformats.org/officeDocument/2006/relationships/hyperlink" Target="https://www.refugeecouncil.org.au/wp-content/uploads/2016/05/Inclusive-Settlement-Funding-Model-The-role-of-refugee-led-organisations-in-Settlement.pdf" TargetMode="External"/><Relationship Id="rId11" Type="http://schemas.openxmlformats.org/officeDocument/2006/relationships/hyperlink" Target="https://www.refugeecouncil.org.au/wp-content/uploads/2016/05/Inclusive-Settlement-Funding-Model-The-role-of-refugee-led-organisations-in-Settlement.pdf" TargetMode="External"/><Relationship Id="rId32" Type="http://schemas.openxmlformats.org/officeDocument/2006/relationships/hyperlink" Target="https://www.refugeecouncil.org.au/wp-content/uploads/2016/05/Inclusive-Settlement-Funding-Model-The-role-of-refugee-led-organisations-in-Settlement.pdf" TargetMode="External"/><Relationship Id="rId53" Type="http://schemas.openxmlformats.org/officeDocument/2006/relationships/hyperlink" Target="https://www.un.org/en/content/disabilitystrategy/" TargetMode="External"/><Relationship Id="rId74" Type="http://schemas.openxmlformats.org/officeDocument/2006/relationships/hyperlink" Target="https://www.pc.gov.au/__data/assets/pdf_file/0008/240965/sub370-mental-health.pdf" TargetMode="External"/><Relationship Id="rId128" Type="http://schemas.openxmlformats.org/officeDocument/2006/relationships/hyperlink" Target="https://www.refugeecouncil.org.au/wp-content/uploads/2016/05/Inclusive-Settlement-Funding-Model-The-role-of-refugee-led-organisations-in-Settlement.pdf" TargetMode="External"/><Relationship Id="rId149" Type="http://schemas.openxmlformats.org/officeDocument/2006/relationships/hyperlink" Target="https://dex.dss.gov.au/sites/default/files/documents/2022-07/1135-doc-score-glance-1.pdf" TargetMode="External"/><Relationship Id="rId5" Type="http://schemas.openxmlformats.org/officeDocument/2006/relationships/hyperlink" Target="https://legislation.nsw.gov.au/view/html/inforce/current/act-1997-154" TargetMode="External"/><Relationship Id="rId95" Type="http://schemas.openxmlformats.org/officeDocument/2006/relationships/hyperlink" Target="https://library.bsl.org.au/jspui/bitstream/1/2544/1/Economic-social-civic-contributions.pdf" TargetMode="External"/><Relationship Id="rId22" Type="http://schemas.openxmlformats.org/officeDocument/2006/relationships/hyperlink" Target="https://www.refugeecouncil.org.au/wp-content/uploads/2016/05/Inclusive-Settlement-Funding-Model-The-role-of-refugee-led-organisations-in-Settlement.pdf" TargetMode="External"/><Relationship Id="rId43" Type="http://schemas.openxmlformats.org/officeDocument/2006/relationships/hyperlink" Target="https://aifs.gov.au/resources/short-articles/understanding-mental-health-and-help-seeking-behaviours-refugees" TargetMode="External"/><Relationship Id="rId64" Type="http://schemas.openxmlformats.org/officeDocument/2006/relationships/hyperlink" Target="https://www.dss.gov.au/system/files/documents/2025-02/community-sector-grants-engagement-final.pdf" TargetMode="External"/><Relationship Id="rId118" Type="http://schemas.openxmlformats.org/officeDocument/2006/relationships/hyperlink" Target="https://www.refugeecouncil.org.au/wp-content/uploads/2016/05/Inclusive-Settlement-Funding-Model-The-role-of-refugee-led-organisations-in-Settlement.pdf" TargetMode="External"/><Relationship Id="rId139" Type="http://schemas.openxmlformats.org/officeDocument/2006/relationships/hyperlink" Target="https://startts.org.au/media/Linda-Bartolomei_STARTTS-CD-Evening-Presentation_7th-Aug-2014.pdf" TargetMode="External"/><Relationship Id="rId80" Type="http://schemas.openxmlformats.org/officeDocument/2006/relationships/hyperlink" Target="https://www.aihw.gov.au/reports-data/population-groups/cald-australians/refugee-and-humanitarian-entrant-health" TargetMode="External"/><Relationship Id="rId85" Type="http://schemas.openxmlformats.org/officeDocument/2006/relationships/hyperlink" Target="https://www.aihw.gov.au/reports-data/population-groups/cald-australians/refugee-and-humanitarian-entrant-health" TargetMode="External"/><Relationship Id="rId150" Type="http://schemas.openxmlformats.org/officeDocument/2006/relationships/hyperlink" Target="https://dex.dss.gov.au/sites/default/files/documents/2022-07/1135-doc-score-glance-1.pdf" TargetMode="External"/><Relationship Id="rId155" Type="http://schemas.openxmlformats.org/officeDocument/2006/relationships/hyperlink" Target="https://dex.dss.gov.au/sites/default/files/documents/2022-07/1135-doc-score-glance-1.pdf" TargetMode="External"/><Relationship Id="rId12" Type="http://schemas.openxmlformats.org/officeDocument/2006/relationships/hyperlink" Target="https://www.refugeecouncil.org.au/wp-content/uploads/2016/05/Inclusive-Settlement-Funding-Model-The-role-of-refugee-led-organisations-in-Settlement.pdf" TargetMode="External"/><Relationship Id="rId17" Type="http://schemas.openxmlformats.org/officeDocument/2006/relationships/hyperlink" Target="https://www.refugeecouncil.org.au/wp-content/uploads/2016/05/Inclusive-Settlement-Funding-Model-The-role-of-refugee-led-organisations-in-Settlement.pdf" TargetMode="External"/><Relationship Id="rId33" Type="http://schemas.openxmlformats.org/officeDocument/2006/relationships/hyperlink" Target="https://www.refugeecouncil.org.au/wp-content/uploads/2016/05/Inclusive-Settlement-Funding-Model-The-role-of-refugee-led-organisations-in-Settlement.pdf" TargetMode="External"/><Relationship Id="rId38" Type="http://schemas.openxmlformats.org/officeDocument/2006/relationships/hyperlink" Target="https://aifs.gov.au/resources/short-articles/understanding-mental-health-and-help-seeking-behaviours-refugees" TargetMode="External"/><Relationship Id="rId59" Type="http://schemas.openxmlformats.org/officeDocument/2006/relationships/hyperlink" Target="https://www.dss.gov.au/system/files/documents/2025-02/community-sector-grants-engagement-final.pdf" TargetMode="External"/><Relationship Id="rId103" Type="http://schemas.openxmlformats.org/officeDocument/2006/relationships/hyperlink" Target="https://www.refugeecouncil.org.au/wp-content/uploads/2016/05/Inclusive-Settlement-Funding-Model-The-role-of-refugee-led-organisations-in-Settlement.pdf" TargetMode="External"/><Relationship Id="rId108" Type="http://schemas.openxmlformats.org/officeDocument/2006/relationships/hyperlink" Target="https://www.refugeecouncil.org.au/wp-content/uploads/2016/05/Inclusive-Settlement-Funding-Model-The-role-of-refugee-led-organisations-in-Settlement.pdf" TargetMode="External"/><Relationship Id="rId124" Type="http://schemas.openxmlformats.org/officeDocument/2006/relationships/hyperlink" Target="https://www.refugeecouncil.org.au/wp-content/uploads/2016/05/Inclusive-Settlement-Funding-Model-The-role-of-refugee-led-organisations-in-Settlement.pdf" TargetMode="External"/><Relationship Id="rId129" Type="http://schemas.openxmlformats.org/officeDocument/2006/relationships/hyperlink" Target="https://www.refugeecouncil.org.au/wp-content/uploads/2016/05/Inclusive-Settlement-Funding-Model-The-role-of-refugee-led-organisations-in-Settlement.pdf" TargetMode="External"/><Relationship Id="rId54" Type="http://schemas.openxmlformats.org/officeDocument/2006/relationships/hyperlink" Target="https://www.dss.gov.au/system/files/documents/2025-02/community-sector-grants-engagement-final.pdf" TargetMode="External"/><Relationship Id="rId70" Type="http://schemas.openxmlformats.org/officeDocument/2006/relationships/hyperlink" Target="https://www.pc.gov.au/__data/assets/pdf_file/0008/240965/sub370-mental-health.pdf" TargetMode="External"/><Relationship Id="rId75" Type="http://schemas.openxmlformats.org/officeDocument/2006/relationships/hyperlink" Target="https://www.pc.gov.au/__data/assets/pdf_file/0008/240965/sub370-mental-health.pdf" TargetMode="External"/><Relationship Id="rId91" Type="http://schemas.openxmlformats.org/officeDocument/2006/relationships/hyperlink" Target="https://www.aihw.gov.au/reports-data/population-groups/cald-australians/refugee-and-humanitarian-entrant-health" TargetMode="External"/><Relationship Id="rId96" Type="http://schemas.openxmlformats.org/officeDocument/2006/relationships/hyperlink" Target="https://library.bsl.org.au/jspui/bitstream/1/2544/1/Economic-social-civic-contributions.pdf" TargetMode="External"/><Relationship Id="rId140" Type="http://schemas.openxmlformats.org/officeDocument/2006/relationships/hyperlink" Target="https://startts.org.au/media/Linda-Bartolomei_STARTTS-CD-Evening-Presentation_7th-Aug-2014.pdf" TargetMode="External"/><Relationship Id="rId145" Type="http://schemas.openxmlformats.org/officeDocument/2006/relationships/hyperlink" Target="https://dex.dss.gov.au/sites/default/files/documents/2022-07/1135-doc-score-glance-1.pdf" TargetMode="External"/><Relationship Id="rId1" Type="http://schemas.openxmlformats.org/officeDocument/2006/relationships/hyperlink" Target="https://legislation.nsw.gov.au/view/html/inforce/current/act-1997-154" TargetMode="External"/><Relationship Id="rId6" Type="http://schemas.openxmlformats.org/officeDocument/2006/relationships/hyperlink" Target="https://legislation.nsw.gov.au/view/html/inforce/current/act-1997-154" TargetMode="External"/><Relationship Id="rId23" Type="http://schemas.openxmlformats.org/officeDocument/2006/relationships/hyperlink" Target="https://www.refugeecouncil.org.au/wp-content/uploads/2016/05/Inclusive-Settlement-Funding-Model-The-role-of-refugee-led-organisations-in-Settlement.pdf" TargetMode="External"/><Relationship Id="rId28" Type="http://schemas.openxmlformats.org/officeDocument/2006/relationships/hyperlink" Target="https://www.refugeecouncil.org.au/wp-content/uploads/2016/05/Inclusive-Settlement-Funding-Model-The-role-of-refugee-led-organisations-in-Settlement.pdf" TargetMode="External"/><Relationship Id="rId49" Type="http://schemas.openxmlformats.org/officeDocument/2006/relationships/hyperlink" Target="https://aifs.gov.au/resources/short-articles/understanding-mental-health-and-help-seeking-behaviours-refugees" TargetMode="External"/><Relationship Id="rId114" Type="http://schemas.openxmlformats.org/officeDocument/2006/relationships/hyperlink" Target="https://www.refugeecouncil.org.au/wp-content/uploads/2016/05/Inclusive-Settlement-Funding-Model-The-role-of-refugee-led-organisations-in-Settlement.pdf" TargetMode="External"/><Relationship Id="rId119" Type="http://schemas.openxmlformats.org/officeDocument/2006/relationships/hyperlink" Target="https://www.refugeecouncil.org.au/wp-content/uploads/2016/05/Inclusive-Settlement-Funding-Model-The-role-of-refugee-led-organisations-in-Settlement.pdf" TargetMode="External"/><Relationship Id="rId44" Type="http://schemas.openxmlformats.org/officeDocument/2006/relationships/hyperlink" Target="https://aifs.gov.au/resources/short-articles/understanding-mental-health-and-help-seeking-behaviours-refugees" TargetMode="External"/><Relationship Id="rId60" Type="http://schemas.openxmlformats.org/officeDocument/2006/relationships/hyperlink" Target="https://www.dss.gov.au/system/files/documents/2025-02/community-sector-grants-engagement-final.pdf" TargetMode="External"/><Relationship Id="rId65" Type="http://schemas.openxmlformats.org/officeDocument/2006/relationships/hyperlink" Target="https://www.dss.gov.au/system/files/documents/2025-02/community-sector-grants-engagement-final.pdf" TargetMode="External"/><Relationship Id="rId81" Type="http://schemas.openxmlformats.org/officeDocument/2006/relationships/hyperlink" Target="https://www.aihw.gov.au/reports-data/population-groups/cald-australians/refugee-and-humanitarian-entrant-health" TargetMode="External"/><Relationship Id="rId86" Type="http://schemas.openxmlformats.org/officeDocument/2006/relationships/hyperlink" Target="https://www.aihw.gov.au/reports-data/population-groups/cald-australians/refugee-and-humanitarian-entrant-health" TargetMode="External"/><Relationship Id="rId130" Type="http://schemas.openxmlformats.org/officeDocument/2006/relationships/hyperlink" Target="https://startts.org.au/media/Linda-Bartolomei_STARTTS-CD-Evening-Presentation_7th-Aug-2014.pdf" TargetMode="External"/><Relationship Id="rId135" Type="http://schemas.openxmlformats.org/officeDocument/2006/relationships/hyperlink" Target="https://startts.org.au/media/Linda-Bartolomei_STARTTS-CD-Evening-Presentation_7th-Aug-2014.pdf" TargetMode="External"/><Relationship Id="rId151" Type="http://schemas.openxmlformats.org/officeDocument/2006/relationships/hyperlink" Target="https://dex.dss.gov.au/sites/default/files/documents/2022-07/1135-doc-score-glance-1.pdf" TargetMode="External"/><Relationship Id="rId156" Type="http://schemas.openxmlformats.org/officeDocument/2006/relationships/hyperlink" Target="https://dex.dss.gov.au/sites/default/files/documents/2022-07/1135-doc-score-glance-1.pdf" TargetMode="External"/><Relationship Id="rId13" Type="http://schemas.openxmlformats.org/officeDocument/2006/relationships/hyperlink" Target="https://www.refugeecouncil.org.au/wp-content/uploads/2016/05/Inclusive-Settlement-Funding-Model-The-role-of-refugee-led-organisations-in-Settlement.pdf" TargetMode="External"/><Relationship Id="rId18" Type="http://schemas.openxmlformats.org/officeDocument/2006/relationships/hyperlink" Target="https://www.refugeecouncil.org.au/wp-content/uploads/2016/05/Inclusive-Settlement-Funding-Model-The-role-of-refugee-led-organisations-in-Settlement.pdf" TargetMode="External"/><Relationship Id="rId39" Type="http://schemas.openxmlformats.org/officeDocument/2006/relationships/hyperlink" Target="https://aifs.gov.au/resources/short-articles/understanding-mental-health-and-help-seeking-behaviours-refugees" TargetMode="External"/><Relationship Id="rId109" Type="http://schemas.openxmlformats.org/officeDocument/2006/relationships/hyperlink" Target="https://www.refugeecouncil.org.au/wp-content/uploads/2016/05/Inclusive-Settlement-Funding-Model-The-role-of-refugee-led-organisations-in-Settlement.pdf" TargetMode="External"/><Relationship Id="rId34" Type="http://schemas.openxmlformats.org/officeDocument/2006/relationships/hyperlink" Target="https://aifs.gov.au/resources/short-articles/understanding-mental-health-and-help-seeking-behaviours-refugees" TargetMode="External"/><Relationship Id="rId50" Type="http://schemas.openxmlformats.org/officeDocument/2006/relationships/hyperlink" Target="https://aifs.gov.au/resources/short-articles/understanding-mental-health-and-help-seeking-behaviours-refugees" TargetMode="External"/><Relationship Id="rId55" Type="http://schemas.openxmlformats.org/officeDocument/2006/relationships/hyperlink" Target="https://www.dss.gov.au/system/files/documents/2025-02/community-sector-grants-engagement-final.pdf" TargetMode="External"/><Relationship Id="rId76" Type="http://schemas.openxmlformats.org/officeDocument/2006/relationships/hyperlink" Target="https://www.pc.gov.au/__data/assets/pdf_file/0008/240965/sub370-mental-health.pdf" TargetMode="External"/><Relationship Id="rId97" Type="http://schemas.openxmlformats.org/officeDocument/2006/relationships/hyperlink" Target="https://library.bsl.org.au/jspui/bitstream/1/2544/1/Economic-social-civic-contributions.pdf" TargetMode="External"/><Relationship Id="rId104" Type="http://schemas.openxmlformats.org/officeDocument/2006/relationships/hyperlink" Target="https://www.refugeecouncil.org.au/wp-content/uploads/2016/05/Inclusive-Settlement-Funding-Model-The-role-of-refugee-led-organisations-in-Settlement.pdf" TargetMode="External"/><Relationship Id="rId120" Type="http://schemas.openxmlformats.org/officeDocument/2006/relationships/hyperlink" Target="https://www.refugeecouncil.org.au/wp-content/uploads/2016/05/Inclusive-Settlement-Funding-Model-The-role-of-refugee-led-organisations-in-Settlement.pdf" TargetMode="External"/><Relationship Id="rId125" Type="http://schemas.openxmlformats.org/officeDocument/2006/relationships/hyperlink" Target="https://www.refugeecouncil.org.au/wp-content/uploads/2016/05/Inclusive-Settlement-Funding-Model-The-role-of-refugee-led-organisations-in-Settlement.pdf" TargetMode="External"/><Relationship Id="rId141" Type="http://schemas.openxmlformats.org/officeDocument/2006/relationships/hyperlink" Target="https://startts.org.au/media/Linda-Bartolomei_STARTTS-CD-Evening-Presentation_7th-Aug-2014.pdf" TargetMode="External"/><Relationship Id="rId146" Type="http://schemas.openxmlformats.org/officeDocument/2006/relationships/hyperlink" Target="https://dex.dss.gov.au/sites/default/files/documents/2022-07/1135-doc-score-glance-1.pdf" TargetMode="External"/><Relationship Id="rId7" Type="http://schemas.openxmlformats.org/officeDocument/2006/relationships/hyperlink" Target="https://www.refugeecouncil.org.au/wp-content/uploads/2016/05/Inclusive-Settlement-Funding-Model-The-role-of-refugee-led-organisations-in-Settlement.pdf" TargetMode="External"/><Relationship Id="rId71" Type="http://schemas.openxmlformats.org/officeDocument/2006/relationships/hyperlink" Target="https://www.pc.gov.au/__data/assets/pdf_file/0008/240965/sub370-mental-health.pdf" TargetMode="External"/><Relationship Id="rId92" Type="http://schemas.openxmlformats.org/officeDocument/2006/relationships/hyperlink" Target="https://www.aihw.gov.au/reports-data/population-groups/cald-australians/refugee-and-humanitarian-entrant-health" TargetMode="External"/><Relationship Id="rId2" Type="http://schemas.openxmlformats.org/officeDocument/2006/relationships/hyperlink" Target="https://legislation.nsw.gov.au/view/html/inforce/current/act-1997-154" TargetMode="External"/><Relationship Id="rId29" Type="http://schemas.openxmlformats.org/officeDocument/2006/relationships/hyperlink" Target="https://www.refugeecouncil.org.au/wp-content/uploads/2016/05/Inclusive-Settlement-Funding-Model-The-role-of-refugee-led-organisations-in-Settlement.pdf" TargetMode="External"/><Relationship Id="rId24" Type="http://schemas.openxmlformats.org/officeDocument/2006/relationships/hyperlink" Target="https://www.refugeecouncil.org.au/wp-content/uploads/2016/05/Inclusive-Settlement-Funding-Model-The-role-of-refugee-led-organisations-in-Settlement.pdf" TargetMode="External"/><Relationship Id="rId40" Type="http://schemas.openxmlformats.org/officeDocument/2006/relationships/hyperlink" Target="https://aifs.gov.au/resources/short-articles/understanding-mental-health-and-help-seeking-behaviours-refugees" TargetMode="External"/><Relationship Id="rId45" Type="http://schemas.openxmlformats.org/officeDocument/2006/relationships/hyperlink" Target="https://aifs.gov.au/resources/short-articles/understanding-mental-health-and-help-seeking-behaviours-refugees" TargetMode="External"/><Relationship Id="rId66" Type="http://schemas.openxmlformats.org/officeDocument/2006/relationships/hyperlink" Target="https://www.refugeecouncil.org.au/wp-content/uploads/2018/12/1405_StrengthWithin_accessible.pdf" TargetMode="External"/><Relationship Id="rId87" Type="http://schemas.openxmlformats.org/officeDocument/2006/relationships/hyperlink" Target="https://www.aihw.gov.au/reports-data/population-groups/cald-australians/refugee-and-humanitarian-entrant-health" TargetMode="External"/><Relationship Id="rId110" Type="http://schemas.openxmlformats.org/officeDocument/2006/relationships/hyperlink" Target="https://www.refugeecouncil.org.au/wp-content/uploads/2016/05/Inclusive-Settlement-Funding-Model-The-role-of-refugee-led-organisations-in-Settlement.pdf" TargetMode="External"/><Relationship Id="rId115" Type="http://schemas.openxmlformats.org/officeDocument/2006/relationships/hyperlink" Target="https://www.refugeecouncil.org.au/wp-content/uploads/2016/05/Inclusive-Settlement-Funding-Model-The-role-of-refugee-led-organisations-in-Settlement.pdf" TargetMode="External"/><Relationship Id="rId131" Type="http://schemas.openxmlformats.org/officeDocument/2006/relationships/hyperlink" Target="https://startts.org.au/media/Linda-Bartolomei_STARTTS-CD-Evening-Presentation_7th-Aug-2014.pdf" TargetMode="External"/><Relationship Id="rId136" Type="http://schemas.openxmlformats.org/officeDocument/2006/relationships/hyperlink" Target="https://startts.org.au/media/Linda-Bartolomei_STARTTS-CD-Evening-Presentation_7th-Aug-2014.pdf" TargetMode="External"/><Relationship Id="rId157" Type="http://schemas.openxmlformats.org/officeDocument/2006/relationships/hyperlink" Target="https://dex.dss.gov.au/sites/default/files/documents/2022-07/1135-doc-score-glance-1.pdf" TargetMode="External"/><Relationship Id="rId61" Type="http://schemas.openxmlformats.org/officeDocument/2006/relationships/hyperlink" Target="https://www.dss.gov.au/system/files/documents/2025-02/community-sector-grants-engagement-final.pdf" TargetMode="External"/><Relationship Id="rId82" Type="http://schemas.openxmlformats.org/officeDocument/2006/relationships/hyperlink" Target="https://www.aihw.gov.au/reports-data/population-groups/cald-australians/refugee-and-humanitarian-entrant-health" TargetMode="External"/><Relationship Id="rId152" Type="http://schemas.openxmlformats.org/officeDocument/2006/relationships/hyperlink" Target="https://dex.dss.gov.au/sites/default/files/documents/2022-07/1135-doc-score-glance-1.pdf" TargetMode="External"/><Relationship Id="rId19" Type="http://schemas.openxmlformats.org/officeDocument/2006/relationships/hyperlink" Target="https://www.refugeecouncil.org.au/wp-content/uploads/2016/05/Inclusive-Settlement-Funding-Model-The-role-of-refugee-led-organisations-in-Settlement.pdf" TargetMode="External"/><Relationship Id="rId14" Type="http://schemas.openxmlformats.org/officeDocument/2006/relationships/hyperlink" Target="https://www.refugeecouncil.org.au/wp-content/uploads/2016/05/Inclusive-Settlement-Funding-Model-The-role-of-refugee-led-organisations-in-Settlement.pdf" TargetMode="External"/><Relationship Id="rId30" Type="http://schemas.openxmlformats.org/officeDocument/2006/relationships/hyperlink" Target="https://www.refugeecouncil.org.au/wp-content/uploads/2016/05/Inclusive-Settlement-Funding-Model-The-role-of-refugee-led-organisations-in-Settlement.pdf" TargetMode="External"/><Relationship Id="rId35" Type="http://schemas.openxmlformats.org/officeDocument/2006/relationships/hyperlink" Target="https://aifs.gov.au/resources/short-articles/understanding-mental-health-and-help-seeking-behaviours-refugees" TargetMode="External"/><Relationship Id="rId56" Type="http://schemas.openxmlformats.org/officeDocument/2006/relationships/hyperlink" Target="https://www.dss.gov.au/system/files/documents/2025-02/community-sector-grants-engagement-final.pdf" TargetMode="External"/><Relationship Id="rId77" Type="http://schemas.openxmlformats.org/officeDocument/2006/relationships/hyperlink" Target="https://www.aihw.gov.au/reports-data/population-groups/cald-australians/refugee-and-humanitarian-entrant-health" TargetMode="External"/><Relationship Id="rId100" Type="http://schemas.openxmlformats.org/officeDocument/2006/relationships/hyperlink" Target="https://library.bsl.org.au/jspui/bitstream/1/2544/1/Economic-social-civic-contributions.pdf" TargetMode="External"/><Relationship Id="rId105" Type="http://schemas.openxmlformats.org/officeDocument/2006/relationships/hyperlink" Target="https://www.refugeecouncil.org.au/wp-content/uploads/2016/05/Inclusive-Settlement-Funding-Model-The-role-of-refugee-led-organisations-in-Settlement.pdf" TargetMode="External"/><Relationship Id="rId126" Type="http://schemas.openxmlformats.org/officeDocument/2006/relationships/hyperlink" Target="https://www.refugeecouncil.org.au/wp-content/uploads/2016/05/Inclusive-Settlement-Funding-Model-The-role-of-refugee-led-organisations-in-Settlement.pdf" TargetMode="External"/><Relationship Id="rId147" Type="http://schemas.openxmlformats.org/officeDocument/2006/relationships/hyperlink" Target="https://dex.dss.gov.au/sites/default/files/documents/2022-07/1135-doc-score-glance-1.pdf" TargetMode="External"/><Relationship Id="rId8" Type="http://schemas.openxmlformats.org/officeDocument/2006/relationships/hyperlink" Target="https://www.refugeecouncil.org.au/wp-content/uploads/2016/05/Inclusive-Settlement-Funding-Model-The-role-of-refugee-led-organisations-in-Settlement.pdf" TargetMode="External"/><Relationship Id="rId51" Type="http://schemas.openxmlformats.org/officeDocument/2006/relationships/hyperlink" Target="https://aifs.gov.au/resources/short-articles/understanding-mental-health-and-help-seeking-behaviours-refugees" TargetMode="External"/><Relationship Id="rId72" Type="http://schemas.openxmlformats.org/officeDocument/2006/relationships/hyperlink" Target="https://www.pc.gov.au/__data/assets/pdf_file/0008/240965/sub370-mental-health.pdf" TargetMode="External"/><Relationship Id="rId93" Type="http://schemas.openxmlformats.org/officeDocument/2006/relationships/hyperlink" Target="https://www.aihw.gov.au/reports-data/population-groups/cald-australians/refugee-and-humanitarian-entrant-health" TargetMode="External"/><Relationship Id="rId98" Type="http://schemas.openxmlformats.org/officeDocument/2006/relationships/hyperlink" Target="https://library.bsl.org.au/jspui/bitstream/1/2544/1/Economic-social-civic-contributions.pdf" TargetMode="External"/><Relationship Id="rId121" Type="http://schemas.openxmlformats.org/officeDocument/2006/relationships/hyperlink" Target="https://www.refugeecouncil.org.au/wp-content/uploads/2016/05/Inclusive-Settlement-Funding-Model-The-role-of-refugee-led-organisations-in-Settlement.pdf" TargetMode="External"/><Relationship Id="rId142" Type="http://schemas.openxmlformats.org/officeDocument/2006/relationships/hyperlink" Target="https://startts.org.au/media/Linda-Bartolomei_STARTTS-CD-Evening-Presentation_7th-Aug-2014.pdf" TargetMode="External"/><Relationship Id="rId3" Type="http://schemas.openxmlformats.org/officeDocument/2006/relationships/hyperlink" Target="https://legislation.nsw.gov.au/view/html/inforce/current/act-1997-154" TargetMode="External"/><Relationship Id="rId25" Type="http://schemas.openxmlformats.org/officeDocument/2006/relationships/hyperlink" Target="https://www.refugeecouncil.org.au/wp-content/uploads/2016/05/Inclusive-Settlement-Funding-Model-The-role-of-refugee-led-organisations-in-Settlement.pdf" TargetMode="External"/><Relationship Id="rId46" Type="http://schemas.openxmlformats.org/officeDocument/2006/relationships/hyperlink" Target="https://aifs.gov.au/resources/short-articles/understanding-mental-health-and-help-seeking-behaviours-refugees" TargetMode="External"/><Relationship Id="rId67" Type="http://schemas.openxmlformats.org/officeDocument/2006/relationships/hyperlink" Target="https://www.refugeecouncil.org.au/wp-content/uploads/2018/12/1405_StrengthWithin_accessible.pdf" TargetMode="External"/><Relationship Id="rId116" Type="http://schemas.openxmlformats.org/officeDocument/2006/relationships/hyperlink" Target="https://www.refugeecouncil.org.au/wp-content/uploads/2016/05/Inclusive-Settlement-Funding-Model-The-role-of-refugee-led-organisations-in-Settlement.pdf" TargetMode="External"/><Relationship Id="rId137" Type="http://schemas.openxmlformats.org/officeDocument/2006/relationships/hyperlink" Target="https://startts.org.au/media/Linda-Bartolomei_STARTTS-CD-Evening-Presentation_7th-Aug-2014.pdf" TargetMode="External"/><Relationship Id="rId20" Type="http://schemas.openxmlformats.org/officeDocument/2006/relationships/hyperlink" Target="https://www.refugeecouncil.org.au/wp-content/uploads/2016/05/Inclusive-Settlement-Funding-Model-The-role-of-refugee-led-organisations-in-Settlement.pdf" TargetMode="External"/><Relationship Id="rId41" Type="http://schemas.openxmlformats.org/officeDocument/2006/relationships/hyperlink" Target="https://aifs.gov.au/resources/short-articles/understanding-mental-health-and-help-seeking-behaviours-refugees" TargetMode="External"/><Relationship Id="rId62" Type="http://schemas.openxmlformats.org/officeDocument/2006/relationships/hyperlink" Target="https://www.dss.gov.au/system/files/documents/2025-02/community-sector-grants-engagement-final.pdf" TargetMode="External"/><Relationship Id="rId83" Type="http://schemas.openxmlformats.org/officeDocument/2006/relationships/hyperlink" Target="https://www.aihw.gov.au/reports-data/population-groups/cald-australians/refugee-and-humanitarian-entrant-health" TargetMode="External"/><Relationship Id="rId88" Type="http://schemas.openxmlformats.org/officeDocument/2006/relationships/hyperlink" Target="https://www.aihw.gov.au/reports-data/population-groups/cald-australians/refugee-and-humanitarian-entrant-health" TargetMode="External"/><Relationship Id="rId111" Type="http://schemas.openxmlformats.org/officeDocument/2006/relationships/hyperlink" Target="https://www.refugeecouncil.org.au/wp-content/uploads/2016/05/Inclusive-Settlement-Funding-Model-The-role-of-refugee-led-organisations-in-Settlement.pdf" TargetMode="External"/><Relationship Id="rId132" Type="http://schemas.openxmlformats.org/officeDocument/2006/relationships/hyperlink" Target="https://startts.org.au/media/Linda-Bartolomei_STARTTS-CD-Evening-Presentation_7th-Aug-2014.pdf" TargetMode="External"/><Relationship Id="rId153" Type="http://schemas.openxmlformats.org/officeDocument/2006/relationships/hyperlink" Target="https://dex.dss.gov.au/sites/default/files/documents/2022-07/1135-doc-score-glance-1.pdf" TargetMode="External"/><Relationship Id="rId15" Type="http://schemas.openxmlformats.org/officeDocument/2006/relationships/hyperlink" Target="https://www.refugeecouncil.org.au/wp-content/uploads/2016/05/Inclusive-Settlement-Funding-Model-The-role-of-refugee-led-organisations-in-Settlement.pdf" TargetMode="External"/><Relationship Id="rId36" Type="http://schemas.openxmlformats.org/officeDocument/2006/relationships/hyperlink" Target="https://aifs.gov.au/resources/short-articles/understanding-mental-health-and-help-seeking-behaviours-refugees" TargetMode="External"/><Relationship Id="rId57" Type="http://schemas.openxmlformats.org/officeDocument/2006/relationships/hyperlink" Target="https://www.dss.gov.au/system/files/documents/2025-02/community-sector-grants-engagement-final.pdf" TargetMode="External"/><Relationship Id="rId106" Type="http://schemas.openxmlformats.org/officeDocument/2006/relationships/hyperlink" Target="https://www.refugeecouncil.org.au/wp-content/uploads/2016/05/Inclusive-Settlement-Funding-Model-The-role-of-refugee-led-organisations-in-Settlement.pdf" TargetMode="External"/><Relationship Id="rId127" Type="http://schemas.openxmlformats.org/officeDocument/2006/relationships/hyperlink" Target="https://www.refugeecouncil.org.au/wp-content/uploads/2016/05/Inclusive-Settlement-Funding-Model-The-role-of-refugee-led-organisations-in-Settlement.pdf" TargetMode="External"/><Relationship Id="rId10" Type="http://schemas.openxmlformats.org/officeDocument/2006/relationships/hyperlink" Target="https://www.refugeecouncil.org.au/wp-content/uploads/2016/05/Inclusive-Settlement-Funding-Model-The-role-of-refugee-led-organisations-in-Settlement.pdf" TargetMode="External"/><Relationship Id="rId31" Type="http://schemas.openxmlformats.org/officeDocument/2006/relationships/hyperlink" Target="https://www.refugeecouncil.org.au/wp-content/uploads/2016/05/Inclusive-Settlement-Funding-Model-The-role-of-refugee-led-organisations-in-Settlement.pdf" TargetMode="External"/><Relationship Id="rId52" Type="http://schemas.openxmlformats.org/officeDocument/2006/relationships/hyperlink" Target="https://www.un.org/en/content/disabilitystrategy/" TargetMode="External"/><Relationship Id="rId73" Type="http://schemas.openxmlformats.org/officeDocument/2006/relationships/hyperlink" Target="https://www.pc.gov.au/__data/assets/pdf_file/0008/240965/sub370-mental-health.pdf" TargetMode="External"/><Relationship Id="rId78" Type="http://schemas.openxmlformats.org/officeDocument/2006/relationships/hyperlink" Target="https://www.aihw.gov.au/reports-data/population-groups/cald-australians/refugee-and-humanitarian-entrant-health" TargetMode="External"/><Relationship Id="rId94" Type="http://schemas.openxmlformats.org/officeDocument/2006/relationships/hyperlink" Target="https://www.aihw.gov.au/reports-data/population-groups/cald-australians/refugee-and-humanitarian-entrant-health" TargetMode="External"/><Relationship Id="rId99" Type="http://schemas.openxmlformats.org/officeDocument/2006/relationships/hyperlink" Target="https://library.bsl.org.au/jspui/bitstream/1/2544/1/Economic-social-civic-contributions.pdf" TargetMode="External"/><Relationship Id="rId101" Type="http://schemas.openxmlformats.org/officeDocument/2006/relationships/hyperlink" Target="https://library.bsl.org.au/jspui/bitstream/1/2544/1/Economic-social-civic-contributions.pdf" TargetMode="External"/><Relationship Id="rId122" Type="http://schemas.openxmlformats.org/officeDocument/2006/relationships/hyperlink" Target="https://www.refugeecouncil.org.au/wp-content/uploads/2016/05/Inclusive-Settlement-Funding-Model-The-role-of-refugee-led-organisations-in-Settlement.pdf" TargetMode="External"/><Relationship Id="rId143" Type="http://schemas.openxmlformats.org/officeDocument/2006/relationships/hyperlink" Target="https://startts.org.au/media/Linda-Bartolomei_STARTTS-CD-Evening-Presentation_7th-Aug-2014.pdf" TargetMode="External"/><Relationship Id="rId148" Type="http://schemas.openxmlformats.org/officeDocument/2006/relationships/hyperlink" Target="https://dex.dss.gov.au/sites/default/files/documents/2022-07/1135-doc-score-glance-1.pdf" TargetMode="External"/><Relationship Id="rId4" Type="http://schemas.openxmlformats.org/officeDocument/2006/relationships/hyperlink" Target="https://legislation.nsw.gov.au/view/html/inforce/current/act-1997-154" TargetMode="External"/><Relationship Id="rId9" Type="http://schemas.openxmlformats.org/officeDocument/2006/relationships/hyperlink" Target="https://www.refugeecouncil.org.au/wp-content/uploads/2016/05/Inclusive-Settlement-Funding-Model-The-role-of-refugee-led-organisations-in-Settlement.pdf" TargetMode="External"/><Relationship Id="rId26" Type="http://schemas.openxmlformats.org/officeDocument/2006/relationships/hyperlink" Target="https://www.refugeecouncil.org.au/wp-content/uploads/2016/05/Inclusive-Settlement-Funding-Model-The-role-of-refugee-led-organisations-in-Settlement.pdf" TargetMode="External"/><Relationship Id="rId47" Type="http://schemas.openxmlformats.org/officeDocument/2006/relationships/hyperlink" Target="https://aifs.gov.au/resources/short-articles/understanding-mental-health-and-help-seeking-behaviours-refugees" TargetMode="External"/><Relationship Id="rId68" Type="http://schemas.openxmlformats.org/officeDocument/2006/relationships/hyperlink" Target="https://www.refugeecouncil.org.au/wp-content/uploads/2018/12/1405_StrengthWithin_accessible.pdf" TargetMode="External"/><Relationship Id="rId89" Type="http://schemas.openxmlformats.org/officeDocument/2006/relationships/hyperlink" Target="https://www.aihw.gov.au/reports-data/population-groups/cald-australians/refugee-and-humanitarian-entrant-health" TargetMode="External"/><Relationship Id="rId112" Type="http://schemas.openxmlformats.org/officeDocument/2006/relationships/hyperlink" Target="https://www.refugeecouncil.org.au/wp-content/uploads/2016/05/Inclusive-Settlement-Funding-Model-The-role-of-refugee-led-organisations-in-Settlement.pdf" TargetMode="External"/><Relationship Id="rId133" Type="http://schemas.openxmlformats.org/officeDocument/2006/relationships/hyperlink" Target="https://startts.org.au/media/Linda-Bartolomei_STARTTS-CD-Evening-Presentation_7th-Aug-2014.pdf" TargetMode="External"/><Relationship Id="rId154" Type="http://schemas.openxmlformats.org/officeDocument/2006/relationships/hyperlink" Target="https://dex.dss.gov.au/sites/default/files/documents/2022-07/1135-doc-score-glance-1.pdf" TargetMode="External"/><Relationship Id="rId16" Type="http://schemas.openxmlformats.org/officeDocument/2006/relationships/hyperlink" Target="https://www.refugeecouncil.org.au/wp-content/uploads/2016/05/Inclusive-Settlement-Funding-Model-The-role-of-refugee-led-organisations-in-Settlement.pdf" TargetMode="External"/><Relationship Id="rId37" Type="http://schemas.openxmlformats.org/officeDocument/2006/relationships/hyperlink" Target="https://aifs.gov.au/resources/short-articles/understanding-mental-health-and-help-seeking-behaviours-refugees" TargetMode="External"/><Relationship Id="rId58" Type="http://schemas.openxmlformats.org/officeDocument/2006/relationships/hyperlink" Target="https://www.dss.gov.au/system/files/documents/2025-02/community-sector-grants-engagement-final.pdf" TargetMode="External"/><Relationship Id="rId79" Type="http://schemas.openxmlformats.org/officeDocument/2006/relationships/hyperlink" Target="https://www.aihw.gov.au/reports-data/population-groups/cald-australians/refugee-and-humanitarian-entrant-health" TargetMode="External"/><Relationship Id="rId102" Type="http://schemas.openxmlformats.org/officeDocument/2006/relationships/hyperlink" Target="https://library.bsl.org.au/jspui/bitstream/1/2544/1/Economic-social-civic-contributions.pdf" TargetMode="External"/><Relationship Id="rId123" Type="http://schemas.openxmlformats.org/officeDocument/2006/relationships/hyperlink" Target="https://www.refugeecouncil.org.au/wp-content/uploads/2016/05/Inclusive-Settlement-Funding-Model-The-role-of-refugee-led-organisations-in-Settlement.pdf" TargetMode="External"/><Relationship Id="rId144" Type="http://schemas.openxmlformats.org/officeDocument/2006/relationships/hyperlink" Target="https://startts.org.au/media/Linda-Bartolomei_STARTTS-CD-Evening-Presentation_7th-Aug-2014.pdf" TargetMode="External"/><Relationship Id="rId90" Type="http://schemas.openxmlformats.org/officeDocument/2006/relationships/hyperlink" Target="https://www.aihw.gov.au/reports-data/population-groups/cald-australians/refugee-and-humanitarian-entrant-health" TargetMode="External"/><Relationship Id="rId27" Type="http://schemas.openxmlformats.org/officeDocument/2006/relationships/hyperlink" Target="https://www.refugeecouncil.org.au/wp-content/uploads/2016/05/Inclusive-Settlement-Funding-Model-The-role-of-refugee-led-organisations-in-Settlement.pdf" TargetMode="External"/><Relationship Id="rId48" Type="http://schemas.openxmlformats.org/officeDocument/2006/relationships/hyperlink" Target="https://aifs.gov.au/resources/short-articles/understanding-mental-health-and-help-seeking-behaviours-refugees" TargetMode="External"/><Relationship Id="rId69" Type="http://schemas.openxmlformats.org/officeDocument/2006/relationships/hyperlink" Target="https://www.refugeecouncil.org.au/wp-content/uploads/2018/12/1405_StrengthWithin_accessible.pdf" TargetMode="External"/><Relationship Id="rId113" Type="http://schemas.openxmlformats.org/officeDocument/2006/relationships/hyperlink" Target="https://www.refugeecouncil.org.au/wp-content/uploads/2016/05/Inclusive-Settlement-Funding-Model-The-role-of-refugee-led-organisations-in-Settlement.pdf" TargetMode="External"/><Relationship Id="rId134" Type="http://schemas.openxmlformats.org/officeDocument/2006/relationships/hyperlink" Target="https://startts.org.au/media/Linda-Bartolomei_STARTTS-CD-Evening-Presentation_7th-Aug-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5673</Words>
  <Characters>32321</Characters>
  <Application>Microsoft Office Word</Application>
  <DocSecurity>0</DocSecurity>
  <Lines>508</Lines>
  <Paragraphs>133</Paragraphs>
  <ScaleCrop>false</ScaleCrop>
  <Company/>
  <LinksUpToDate>false</LinksUpToDate>
  <CharactersWithSpaces>38134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Lo-Shu Wen</dc:creator>
  <cp:keywords>[SEC=OFFICIAL]</cp:keywords>
  <cp:lastModifiedBy>CATLIN-STRUTHERS, Lydia</cp:lastModifiedBy>
  <cp:revision>2</cp:revision>
  <dcterms:created xsi:type="dcterms:W3CDTF">2025-12-12T03:48:00Z</dcterms:created>
  <dcterms:modified xsi:type="dcterms:W3CDTF">2025-12-12T03:48:00Z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v=2024.1;a=SHA256;h=96832CE7D6C6C2126BE6F564F1697DD37D62F67B0DE5B4B0878F82B28875B756</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2025-12-12T03:48:08Z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2025-12-12T03:48:08Z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45c49f31d4d647218e6ed01987b91537</vt:lpwstr>
  </property>
  <property fmtid="{D5CDD505-2E9C-101B-9397-08002B2CF9AE}" pid="24" name="PM_Originator_Hash_SHA1">
    <vt:lpwstr>70D524B4874D1B3B34D90FDE0E5D82AA5E75BD44</vt:lpwstr>
  </property>
  <property fmtid="{D5CDD505-2E9C-101B-9397-08002B2CF9AE}" pid="25" name="PM_Originating_FileId">
    <vt:lpwstr>939D0286AC1C4F92B9908B25604F2996</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731B41B814A3D3B5E40B5DD21F04F666</vt:lpwstr>
  </property>
  <property fmtid="{D5CDD505-2E9C-101B-9397-08002B2CF9AE}" pid="33" name="PM_Hash_Salt">
    <vt:lpwstr>0249CDA3F37F3ED2A77E31C3A50484A0</vt:lpwstr>
  </property>
  <property fmtid="{D5CDD505-2E9C-101B-9397-08002B2CF9AE}" pid="34" name="PM_Hash_SHA1">
    <vt:lpwstr>E4EB5943DECEEDADC759B5D6079A1AFDF0753747</vt:lpwstr>
  </property>
</Properties>
</file>