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A828FA" w:rsidRPr="00A828FA" w14:paraId="53CE27B1"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A828FA" w:rsidRPr="00A828FA" w14:paraId="48D3473C" w14:textId="77777777">
              <w:trPr>
                <w:tblCellSpacing w:w="0" w:type="dxa"/>
              </w:trPr>
              <w:tc>
                <w:tcPr>
                  <w:tcW w:w="0" w:type="auto"/>
                  <w:gridSpan w:val="2"/>
                  <w:shd w:val="clear" w:color="auto" w:fill="EAF2FA"/>
                  <w:vAlign w:val="center"/>
                  <w:hideMark/>
                </w:tcPr>
                <w:p w14:paraId="2CF186F6" w14:textId="77777777" w:rsidR="00A828FA" w:rsidRPr="00A828FA" w:rsidRDefault="00A828FA" w:rsidP="00A828FA">
                  <w:r w:rsidRPr="00A828FA">
                    <w:rPr>
                      <w:b/>
                      <w:bCs/>
                    </w:rPr>
                    <w:t>Are you an individual or making a submission on behalf of an organisation?</w:t>
                  </w:r>
                  <w:r w:rsidRPr="00A828FA">
                    <w:t xml:space="preserve"> </w:t>
                  </w:r>
                </w:p>
              </w:tc>
            </w:tr>
            <w:tr w:rsidR="00A828FA" w:rsidRPr="00A828FA" w14:paraId="28D14C9B" w14:textId="77777777">
              <w:trPr>
                <w:tblCellSpacing w:w="0" w:type="dxa"/>
              </w:trPr>
              <w:tc>
                <w:tcPr>
                  <w:tcW w:w="300" w:type="dxa"/>
                  <w:shd w:val="clear" w:color="auto" w:fill="FFFFFF"/>
                  <w:vAlign w:val="center"/>
                  <w:hideMark/>
                </w:tcPr>
                <w:p w14:paraId="6C60A7A7" w14:textId="77777777" w:rsidR="00A828FA" w:rsidRPr="00A828FA" w:rsidRDefault="00A828FA" w:rsidP="00A828FA">
                  <w:r w:rsidRPr="00A828FA">
                    <w:t> </w:t>
                  </w:r>
                </w:p>
              </w:tc>
              <w:tc>
                <w:tcPr>
                  <w:tcW w:w="0" w:type="auto"/>
                  <w:shd w:val="clear" w:color="auto" w:fill="FFFFFF"/>
                  <w:vAlign w:val="center"/>
                  <w:hideMark/>
                </w:tcPr>
                <w:p w14:paraId="530CB039" w14:textId="77777777" w:rsidR="00A828FA" w:rsidRPr="00A828FA" w:rsidRDefault="00A828FA" w:rsidP="00A828FA">
                  <w:r w:rsidRPr="00A828FA">
                    <w:t xml:space="preserve">Organisation </w:t>
                  </w:r>
                </w:p>
              </w:tc>
            </w:tr>
            <w:tr w:rsidR="00A828FA" w:rsidRPr="00A828FA" w14:paraId="14E77263" w14:textId="77777777">
              <w:trPr>
                <w:tblCellSpacing w:w="0" w:type="dxa"/>
              </w:trPr>
              <w:tc>
                <w:tcPr>
                  <w:tcW w:w="0" w:type="auto"/>
                  <w:gridSpan w:val="2"/>
                  <w:shd w:val="clear" w:color="auto" w:fill="EAF2FA"/>
                  <w:vAlign w:val="center"/>
                  <w:hideMark/>
                </w:tcPr>
                <w:p w14:paraId="00749E3E" w14:textId="77777777" w:rsidR="00A828FA" w:rsidRPr="00A828FA" w:rsidRDefault="00A828FA" w:rsidP="00A828FA">
                  <w:r w:rsidRPr="00A828FA">
                    <w:rPr>
                      <w:b/>
                      <w:bCs/>
                    </w:rPr>
                    <w:t>Organisation name</w:t>
                  </w:r>
                  <w:r w:rsidRPr="00A828FA">
                    <w:t xml:space="preserve"> </w:t>
                  </w:r>
                </w:p>
              </w:tc>
            </w:tr>
            <w:tr w:rsidR="00A828FA" w:rsidRPr="00A828FA" w14:paraId="6BC792AD" w14:textId="77777777">
              <w:trPr>
                <w:tblCellSpacing w:w="0" w:type="dxa"/>
              </w:trPr>
              <w:tc>
                <w:tcPr>
                  <w:tcW w:w="300" w:type="dxa"/>
                  <w:shd w:val="clear" w:color="auto" w:fill="FFFFFF"/>
                  <w:vAlign w:val="center"/>
                  <w:hideMark/>
                </w:tcPr>
                <w:p w14:paraId="0E1C0CD9" w14:textId="77777777" w:rsidR="00A828FA" w:rsidRPr="00A828FA" w:rsidRDefault="00A828FA" w:rsidP="00A828FA">
                  <w:r w:rsidRPr="00A828FA">
                    <w:t> </w:t>
                  </w:r>
                </w:p>
              </w:tc>
              <w:tc>
                <w:tcPr>
                  <w:tcW w:w="0" w:type="auto"/>
                  <w:shd w:val="clear" w:color="auto" w:fill="FFFFFF"/>
                  <w:vAlign w:val="center"/>
                  <w:hideMark/>
                </w:tcPr>
                <w:p w14:paraId="65258761" w14:textId="77777777" w:rsidR="00A828FA" w:rsidRPr="00A828FA" w:rsidRDefault="00A828FA" w:rsidP="00A828FA">
                  <w:r w:rsidRPr="00A828FA">
                    <w:t xml:space="preserve">Triple P International Pty Ltd </w:t>
                  </w:r>
                </w:p>
              </w:tc>
            </w:tr>
            <w:tr w:rsidR="00A828FA" w:rsidRPr="00A828FA" w14:paraId="6731CB16" w14:textId="77777777">
              <w:trPr>
                <w:tblCellSpacing w:w="0" w:type="dxa"/>
              </w:trPr>
              <w:tc>
                <w:tcPr>
                  <w:tcW w:w="0" w:type="auto"/>
                  <w:gridSpan w:val="2"/>
                  <w:shd w:val="clear" w:color="auto" w:fill="EAF2FA"/>
                  <w:vAlign w:val="center"/>
                  <w:hideMark/>
                </w:tcPr>
                <w:p w14:paraId="4CB21739" w14:textId="77777777" w:rsidR="00A828FA" w:rsidRPr="00A828FA" w:rsidRDefault="00A828FA" w:rsidP="00A828FA">
                  <w:r w:rsidRPr="00A828FA">
                    <w:rPr>
                      <w:b/>
                      <w:bCs/>
                    </w:rPr>
                    <w:t>Is your organisation….?</w:t>
                  </w:r>
                  <w:r w:rsidRPr="00A828FA">
                    <w:t xml:space="preserve"> </w:t>
                  </w:r>
                </w:p>
              </w:tc>
            </w:tr>
            <w:tr w:rsidR="00A828FA" w:rsidRPr="00A828FA" w14:paraId="62889524" w14:textId="77777777">
              <w:trPr>
                <w:tblCellSpacing w:w="0" w:type="dxa"/>
              </w:trPr>
              <w:tc>
                <w:tcPr>
                  <w:tcW w:w="300" w:type="dxa"/>
                  <w:shd w:val="clear" w:color="auto" w:fill="FFFFFF"/>
                  <w:vAlign w:val="center"/>
                  <w:hideMark/>
                </w:tcPr>
                <w:p w14:paraId="7C48F29D" w14:textId="77777777" w:rsidR="00A828FA" w:rsidRPr="00A828FA" w:rsidRDefault="00A828FA" w:rsidP="00A828FA">
                  <w:r w:rsidRPr="00A828FA">
                    <w:t> </w:t>
                  </w:r>
                </w:p>
              </w:tc>
              <w:tc>
                <w:tcPr>
                  <w:tcW w:w="0" w:type="auto"/>
                  <w:shd w:val="clear" w:color="auto" w:fill="FFFFFF"/>
                  <w:vAlign w:val="center"/>
                  <w:hideMark/>
                </w:tcPr>
                <w:p w14:paraId="15907942" w14:textId="77777777" w:rsidR="00A828FA" w:rsidRPr="00A828FA" w:rsidRDefault="00A828FA" w:rsidP="00A828FA">
                  <w:pPr>
                    <w:numPr>
                      <w:ilvl w:val="0"/>
                      <w:numId w:val="1"/>
                    </w:numPr>
                  </w:pPr>
                  <w:r w:rsidRPr="00A828FA">
                    <w:t>None of the above</w:t>
                  </w:r>
                </w:p>
              </w:tc>
            </w:tr>
            <w:tr w:rsidR="00A828FA" w:rsidRPr="00A828FA" w14:paraId="09307346" w14:textId="77777777">
              <w:trPr>
                <w:tblCellSpacing w:w="0" w:type="dxa"/>
              </w:trPr>
              <w:tc>
                <w:tcPr>
                  <w:tcW w:w="0" w:type="auto"/>
                  <w:gridSpan w:val="2"/>
                  <w:shd w:val="clear" w:color="auto" w:fill="EAF2FA"/>
                  <w:vAlign w:val="center"/>
                  <w:hideMark/>
                </w:tcPr>
                <w:p w14:paraId="2CCE80D0" w14:textId="77777777" w:rsidR="00A828FA" w:rsidRPr="00A828FA" w:rsidRDefault="00A828FA" w:rsidP="00A828FA">
                  <w:r w:rsidRPr="00A828FA">
                    <w:rPr>
                      <w:b/>
                      <w:bCs/>
                    </w:rPr>
                    <w:t>Please specify</w:t>
                  </w:r>
                  <w:r w:rsidRPr="00A828FA">
                    <w:t xml:space="preserve"> </w:t>
                  </w:r>
                </w:p>
              </w:tc>
            </w:tr>
            <w:tr w:rsidR="00A828FA" w:rsidRPr="00A828FA" w14:paraId="16197D8C" w14:textId="77777777">
              <w:trPr>
                <w:tblCellSpacing w:w="0" w:type="dxa"/>
              </w:trPr>
              <w:tc>
                <w:tcPr>
                  <w:tcW w:w="300" w:type="dxa"/>
                  <w:shd w:val="clear" w:color="auto" w:fill="FFFFFF"/>
                  <w:vAlign w:val="center"/>
                  <w:hideMark/>
                </w:tcPr>
                <w:p w14:paraId="22C2F164" w14:textId="77777777" w:rsidR="00A828FA" w:rsidRPr="00A828FA" w:rsidRDefault="00A828FA" w:rsidP="00A828FA">
                  <w:r w:rsidRPr="00A828FA">
                    <w:t> </w:t>
                  </w:r>
                </w:p>
              </w:tc>
              <w:tc>
                <w:tcPr>
                  <w:tcW w:w="0" w:type="auto"/>
                  <w:shd w:val="clear" w:color="auto" w:fill="FFFFFF"/>
                  <w:vAlign w:val="center"/>
                  <w:hideMark/>
                </w:tcPr>
                <w:p w14:paraId="2BB33C35" w14:textId="77777777" w:rsidR="00A828FA" w:rsidRPr="00A828FA" w:rsidRDefault="00A828FA" w:rsidP="00A828FA">
                  <w:r w:rsidRPr="00A828FA">
                    <w:t xml:space="preserve">A provider, </w:t>
                  </w:r>
                  <w:proofErr w:type="gramStart"/>
                  <w:r w:rsidRPr="00A828FA">
                    <w:t>however</w:t>
                  </w:r>
                  <w:proofErr w:type="gramEnd"/>
                  <w:r w:rsidRPr="00A828FA">
                    <w:t xml:space="preserve"> not currently funded under any of the 5 programs in scope for the consultation </w:t>
                  </w:r>
                </w:p>
              </w:tc>
            </w:tr>
            <w:tr w:rsidR="00A828FA" w:rsidRPr="00A828FA" w14:paraId="6395DA00" w14:textId="77777777">
              <w:trPr>
                <w:tblCellSpacing w:w="0" w:type="dxa"/>
              </w:trPr>
              <w:tc>
                <w:tcPr>
                  <w:tcW w:w="0" w:type="auto"/>
                  <w:gridSpan w:val="2"/>
                  <w:shd w:val="clear" w:color="auto" w:fill="EAF2FA"/>
                  <w:vAlign w:val="center"/>
                  <w:hideMark/>
                </w:tcPr>
                <w:p w14:paraId="6AF2117D" w14:textId="77777777" w:rsidR="00A828FA" w:rsidRPr="00A828FA" w:rsidRDefault="00A828FA" w:rsidP="00A828FA">
                  <w:r w:rsidRPr="00A828FA">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A828FA">
                    <w:t xml:space="preserve"> </w:t>
                  </w:r>
                </w:p>
              </w:tc>
            </w:tr>
            <w:tr w:rsidR="00A828FA" w:rsidRPr="00A828FA" w14:paraId="781B5720" w14:textId="77777777">
              <w:trPr>
                <w:tblCellSpacing w:w="0" w:type="dxa"/>
              </w:trPr>
              <w:tc>
                <w:tcPr>
                  <w:tcW w:w="300" w:type="dxa"/>
                  <w:shd w:val="clear" w:color="auto" w:fill="FFFFFF"/>
                  <w:vAlign w:val="center"/>
                  <w:hideMark/>
                </w:tcPr>
                <w:p w14:paraId="06D919EE" w14:textId="77777777" w:rsidR="00A828FA" w:rsidRPr="00A828FA" w:rsidRDefault="00A828FA" w:rsidP="00A828FA">
                  <w:r w:rsidRPr="00A828FA">
                    <w:t> </w:t>
                  </w:r>
                </w:p>
              </w:tc>
              <w:tc>
                <w:tcPr>
                  <w:tcW w:w="0" w:type="auto"/>
                  <w:shd w:val="clear" w:color="auto" w:fill="FFFFFF"/>
                  <w:vAlign w:val="center"/>
                  <w:hideMark/>
                </w:tcPr>
                <w:p w14:paraId="51C47077" w14:textId="77777777" w:rsidR="00A828FA" w:rsidRPr="00A828FA" w:rsidRDefault="00A828FA" w:rsidP="00A828FA">
                  <w:r w:rsidRPr="00A828FA">
                    <w:t xml:space="preserve">The two main outcomes support the program vision and acknowledge the key role of parents and carers as the most influential agents of change in a child’s life. In addition to these outcomes, introducing community-level outcomes alongside the core vision for children and families could strengthen the program’s alignment with a public health approach, extending impact beyond the individual family to the wider community. </w:t>
                  </w:r>
                  <w:r w:rsidRPr="00A828FA">
                    <w:br/>
                    <w:t xml:space="preserve">By underpinning the vision with community-level outcomes, such as community ownership, increased service access and capacity and workforce building, the program can drive measurable improvements at scale. </w:t>
                  </w:r>
                  <w:r w:rsidRPr="00A828FA">
                    <w:br/>
                  </w:r>
                  <w:r w:rsidRPr="00A828FA">
                    <w:br/>
                    <w:t xml:space="preserve">This could include wellbeing indicators such as reductions in rates of child maltreatment and positive shifts in child development indicators at a community level (e.g. improvements in AEDC scores in vulnerable communities). </w:t>
                  </w:r>
                  <w:r w:rsidRPr="00A828FA">
                    <w:br/>
                  </w:r>
                  <w:r w:rsidRPr="00A828FA">
                    <w:br/>
                    <w:t xml:space="preserve">Anticipated benefits for the community in such a population approach can include less stigma around parent help-seeking, the development of a common language that normalises family support, increases in multi-disciplinary collaboration, greater service continuity, and collective improvements in parent and child wellbeing in disadvantaged communities. </w:t>
                  </w:r>
                  <w:r w:rsidRPr="00A828FA">
                    <w:br/>
                  </w:r>
                  <w:r w:rsidRPr="00A828FA">
                    <w:br/>
                  </w:r>
                  <w:r w:rsidRPr="00A828FA">
                    <w:lastRenderedPageBreak/>
                    <w:t xml:space="preserve">Embedding these outcomes can ensure that the program not only supports individual families, but also promotes resilient, supportive communities capable of sustaining positive change over time. </w:t>
                  </w:r>
                </w:p>
              </w:tc>
            </w:tr>
            <w:tr w:rsidR="00A828FA" w:rsidRPr="00A828FA" w14:paraId="77C8A398" w14:textId="77777777">
              <w:trPr>
                <w:tblCellSpacing w:w="0" w:type="dxa"/>
              </w:trPr>
              <w:tc>
                <w:tcPr>
                  <w:tcW w:w="0" w:type="auto"/>
                  <w:gridSpan w:val="2"/>
                  <w:shd w:val="clear" w:color="auto" w:fill="EAF2FA"/>
                  <w:vAlign w:val="center"/>
                  <w:hideMark/>
                </w:tcPr>
                <w:p w14:paraId="4BEA54EB" w14:textId="77777777" w:rsidR="00A828FA" w:rsidRPr="00A828FA" w:rsidRDefault="00A828FA" w:rsidP="00A828FA">
                  <w:r w:rsidRPr="00A828FA">
                    <w:rPr>
                      <w:b/>
                      <w:bCs/>
                    </w:rPr>
                    <w:lastRenderedPageBreak/>
                    <w:t>4. Does the service or activity you deliver fit within one of the three funding streams? Do these streams reflect what children and families in your community need now – and what they might need in the future?</w:t>
                  </w:r>
                  <w:r w:rsidRPr="00A828FA">
                    <w:t xml:space="preserve"> </w:t>
                  </w:r>
                </w:p>
              </w:tc>
            </w:tr>
            <w:tr w:rsidR="00A828FA" w:rsidRPr="00A828FA" w14:paraId="5E6E3C53" w14:textId="77777777">
              <w:trPr>
                <w:tblCellSpacing w:w="0" w:type="dxa"/>
              </w:trPr>
              <w:tc>
                <w:tcPr>
                  <w:tcW w:w="300" w:type="dxa"/>
                  <w:shd w:val="clear" w:color="auto" w:fill="FFFFFF"/>
                  <w:vAlign w:val="center"/>
                  <w:hideMark/>
                </w:tcPr>
                <w:p w14:paraId="6738F175" w14:textId="77777777" w:rsidR="00A828FA" w:rsidRPr="00A828FA" w:rsidRDefault="00A828FA" w:rsidP="00A828FA">
                  <w:r w:rsidRPr="00A828FA">
                    <w:t> </w:t>
                  </w:r>
                </w:p>
              </w:tc>
              <w:tc>
                <w:tcPr>
                  <w:tcW w:w="0" w:type="auto"/>
                  <w:shd w:val="clear" w:color="auto" w:fill="FFFFFF"/>
                  <w:vAlign w:val="center"/>
                  <w:hideMark/>
                </w:tcPr>
                <w:p w14:paraId="0E93FD6F" w14:textId="77777777" w:rsidR="00A828FA" w:rsidRPr="00A828FA" w:rsidRDefault="00A828FA" w:rsidP="00A828FA">
                  <w:r w:rsidRPr="00A828FA">
                    <w:t xml:space="preserve">Taking a population approach to support for children and their families, the proposed approach supports proportionate universalism, assisting parents to access the level of support they need, with the most intensive services being directed to those with the most serious or complex needs. </w:t>
                  </w:r>
                </w:p>
              </w:tc>
            </w:tr>
            <w:tr w:rsidR="00A828FA" w:rsidRPr="00A828FA" w14:paraId="03A08E71" w14:textId="77777777">
              <w:trPr>
                <w:tblCellSpacing w:w="0" w:type="dxa"/>
              </w:trPr>
              <w:tc>
                <w:tcPr>
                  <w:tcW w:w="0" w:type="auto"/>
                  <w:gridSpan w:val="2"/>
                  <w:shd w:val="clear" w:color="auto" w:fill="EAF2FA"/>
                  <w:vAlign w:val="center"/>
                  <w:hideMark/>
                </w:tcPr>
                <w:p w14:paraId="460D346A" w14:textId="77777777" w:rsidR="00A828FA" w:rsidRPr="00A828FA" w:rsidRDefault="00A828FA" w:rsidP="00A828FA">
                  <w:r w:rsidRPr="00A828FA">
                    <w:rPr>
                      <w:b/>
                      <w:bCs/>
                    </w:rPr>
                    <w:t>5. Are there other changes we could make to the program to help your organisation or community overcome current challenges?</w:t>
                  </w:r>
                  <w:r w:rsidRPr="00A828FA">
                    <w:t xml:space="preserve"> </w:t>
                  </w:r>
                </w:p>
              </w:tc>
            </w:tr>
            <w:tr w:rsidR="00A828FA" w:rsidRPr="00A828FA" w14:paraId="26B204E1" w14:textId="77777777">
              <w:trPr>
                <w:tblCellSpacing w:w="0" w:type="dxa"/>
              </w:trPr>
              <w:tc>
                <w:tcPr>
                  <w:tcW w:w="300" w:type="dxa"/>
                  <w:shd w:val="clear" w:color="auto" w:fill="FFFFFF"/>
                  <w:vAlign w:val="center"/>
                  <w:hideMark/>
                </w:tcPr>
                <w:p w14:paraId="418546EA" w14:textId="77777777" w:rsidR="00A828FA" w:rsidRPr="00A828FA" w:rsidRDefault="00A828FA" w:rsidP="00A828FA">
                  <w:r w:rsidRPr="00A828FA">
                    <w:t> </w:t>
                  </w:r>
                </w:p>
              </w:tc>
              <w:tc>
                <w:tcPr>
                  <w:tcW w:w="0" w:type="auto"/>
                  <w:shd w:val="clear" w:color="auto" w:fill="FFFFFF"/>
                  <w:vAlign w:val="center"/>
                  <w:hideMark/>
                </w:tcPr>
                <w:p w14:paraId="30FE4BE3" w14:textId="77777777" w:rsidR="00A828FA" w:rsidRPr="00A828FA" w:rsidRDefault="00A828FA" w:rsidP="00A828FA">
                  <w:r w:rsidRPr="00A828FA">
                    <w:t xml:space="preserve">Dedicated funding for training and ongoing implementation support in evidence-based programs that are proven to work will help to ensure practitioner skill development and delivery of programs with flexibility and fidelity. </w:t>
                  </w:r>
                  <w:r w:rsidRPr="00A828FA">
                    <w:br/>
                  </w:r>
                  <w:r w:rsidRPr="00A828FA">
                    <w:br/>
                    <w:t xml:space="preserve">For services to be both effective and sustainable, service providers need dedicated time for capacity building, ongoing professional development, clear frameworks for family engagement, and mechanisms for collecting feedback. </w:t>
                  </w:r>
                  <w:r w:rsidRPr="00A828FA">
                    <w:br/>
                  </w:r>
                  <w:r w:rsidRPr="00A828FA">
                    <w:br/>
                    <w:t xml:space="preserve">Evidence-based, manualised interventions that are designed to be flexible and responsive while maintaining fidelity enhance practitioner confidence and strengthen their capacity to deliver tailored support to diverse families. </w:t>
                  </w:r>
                  <w:r w:rsidRPr="00A828FA">
                    <w:br/>
                  </w:r>
                  <w:r w:rsidRPr="00A828FA">
                    <w:br/>
                    <w:t>Practitioners also require access to evidence-based evaluation frameworks to assess the impact of the services, identify areas for improvement and inform ongoing refinement.</w:t>
                  </w:r>
                  <w:r w:rsidRPr="00A828FA">
                    <w:br/>
                  </w:r>
                  <w:r w:rsidRPr="00A828FA">
                    <w:br/>
                    <w:t xml:space="preserve">Child and family practitioners emphasise the need for improved peer and managerial support, involvement in leadership decisions, and reflexive </w:t>
                  </w:r>
                  <w:proofErr w:type="gramStart"/>
                  <w:r w:rsidRPr="00A828FA">
                    <w:t>supervision(</w:t>
                  </w:r>
                  <w:proofErr w:type="gramEnd"/>
                  <w:r w:rsidRPr="00A828FA">
                    <w:t xml:space="preserve">1,2). </w:t>
                  </w:r>
                  <w:r w:rsidRPr="00A828FA">
                    <w:br/>
                  </w:r>
                  <w:r w:rsidRPr="00A828FA">
                    <w:br/>
                    <w:t xml:space="preserve">To support practitioners, ongoing professional development, mentoring, and supervision is vital to practitioner wellbeing and confidence. </w:t>
                  </w:r>
                  <w:r w:rsidRPr="00A828FA">
                    <w:br/>
                  </w:r>
                  <w:r w:rsidRPr="00A828FA">
                    <w:br/>
                    <w:t xml:space="preserve">1 Schmied, V., Homer, C., Fowler, C., Psaila, K., Barclay, L., Wilson, I., Kemp, L., Fasher, M., &amp; Kruske, S. (2015). Implementing a national approach to universal </w:t>
                  </w:r>
                  <w:r w:rsidRPr="00A828FA">
                    <w:lastRenderedPageBreak/>
                    <w:t xml:space="preserve">child and family health services in Australia: Professionals' views of the challenges and opportunities. Health Soc Care Community, 23(2), 159-170. </w:t>
                  </w:r>
                  <w:hyperlink r:id="rId5" w:history="1">
                    <w:r w:rsidRPr="00A828FA">
                      <w:rPr>
                        <w:rStyle w:val="Hyperlink"/>
                      </w:rPr>
                      <w:t>https://doi.org/10.1111/hsc.12129</w:t>
                    </w:r>
                  </w:hyperlink>
                  <w:r w:rsidRPr="00A828FA">
                    <w:t xml:space="preserve"> </w:t>
                  </w:r>
                  <w:r w:rsidRPr="00A828FA">
                    <w:br/>
                  </w:r>
                  <w:r w:rsidRPr="00A828FA">
                    <w:br/>
                    <w:t xml:space="preserve">2 Sanders, M. R., Prinz, R. J., &amp; Shapiro, C. J. (2009). Predicting utilization of evidence-based parenting interventions with organizational, service-provider and client variables. Administration and Policy in Mental Health and Mental Health Services Research, 36(2), 133-143. </w:t>
                  </w:r>
                  <w:hyperlink r:id="rId6" w:history="1">
                    <w:r w:rsidRPr="00A828FA">
                      <w:rPr>
                        <w:rStyle w:val="Hyperlink"/>
                      </w:rPr>
                      <w:t>https://doi.org/10.1007/s10488-009-0205-3</w:t>
                    </w:r>
                  </w:hyperlink>
                  <w:r w:rsidRPr="00A828FA">
                    <w:t xml:space="preserve"> </w:t>
                  </w:r>
                </w:p>
              </w:tc>
            </w:tr>
            <w:tr w:rsidR="00A828FA" w:rsidRPr="00A828FA" w14:paraId="2CD74CC3" w14:textId="77777777">
              <w:trPr>
                <w:tblCellSpacing w:w="0" w:type="dxa"/>
              </w:trPr>
              <w:tc>
                <w:tcPr>
                  <w:tcW w:w="0" w:type="auto"/>
                  <w:gridSpan w:val="2"/>
                  <w:shd w:val="clear" w:color="auto" w:fill="EAF2FA"/>
                  <w:vAlign w:val="center"/>
                  <w:hideMark/>
                </w:tcPr>
                <w:p w14:paraId="1671F52C" w14:textId="77777777" w:rsidR="00A828FA" w:rsidRPr="00A828FA" w:rsidRDefault="00A828FA" w:rsidP="00A828FA">
                  <w:r w:rsidRPr="00A828FA">
                    <w:rPr>
                      <w:b/>
                      <w:bCs/>
                    </w:rPr>
                    <w:lastRenderedPageBreak/>
                    <w:t>9. Are there other groups in your community, or different approaches, that you think the department should consider to better support family wellbeing?</w:t>
                  </w:r>
                  <w:r w:rsidRPr="00A828FA">
                    <w:t xml:space="preserve"> </w:t>
                  </w:r>
                </w:p>
              </w:tc>
            </w:tr>
            <w:tr w:rsidR="00A828FA" w:rsidRPr="00A828FA" w14:paraId="04912AB8" w14:textId="77777777">
              <w:trPr>
                <w:tblCellSpacing w:w="0" w:type="dxa"/>
              </w:trPr>
              <w:tc>
                <w:tcPr>
                  <w:tcW w:w="300" w:type="dxa"/>
                  <w:shd w:val="clear" w:color="auto" w:fill="FFFFFF"/>
                  <w:vAlign w:val="center"/>
                  <w:hideMark/>
                </w:tcPr>
                <w:p w14:paraId="5AA89C05" w14:textId="77777777" w:rsidR="00A828FA" w:rsidRPr="00A828FA" w:rsidRDefault="00A828FA" w:rsidP="00A828FA">
                  <w:r w:rsidRPr="00A828FA">
                    <w:t> </w:t>
                  </w:r>
                </w:p>
              </w:tc>
              <w:tc>
                <w:tcPr>
                  <w:tcW w:w="0" w:type="auto"/>
                  <w:shd w:val="clear" w:color="auto" w:fill="FFFFFF"/>
                  <w:vAlign w:val="center"/>
                  <w:hideMark/>
                </w:tcPr>
                <w:p w14:paraId="11765B17" w14:textId="77777777" w:rsidR="00A828FA" w:rsidRPr="00A828FA" w:rsidRDefault="00A828FA" w:rsidP="00A828FA">
                  <w:r w:rsidRPr="00A828FA">
                    <w:t xml:space="preserve">- Australian parents face significant challenges during the process of getting a diagnosis for their child, including a lack of evidence-based information and support whilst on long </w:t>
                  </w:r>
                  <w:proofErr w:type="gramStart"/>
                  <w:r w:rsidRPr="00A828FA">
                    <w:t>waitlists(</w:t>
                  </w:r>
                  <w:proofErr w:type="gramEnd"/>
                  <w:r w:rsidRPr="00A828FA">
                    <w:t xml:space="preserve">1). </w:t>
                  </w:r>
                  <w:r w:rsidRPr="00A828FA">
                    <w:br/>
                  </w:r>
                  <w:r w:rsidRPr="00A828FA">
                    <w:br/>
                    <w:t xml:space="preserve">- Children from First Nations, culturally and linguistically diverse, low income, and rural backgrounds are all at increased risk of developmental vulnerability at school </w:t>
                  </w:r>
                  <w:proofErr w:type="gramStart"/>
                  <w:r w:rsidRPr="00A828FA">
                    <w:t>entry(</w:t>
                  </w:r>
                  <w:proofErr w:type="gramEnd"/>
                  <w:r w:rsidRPr="00A828FA">
                    <w:t xml:space="preserve">2). Children in very remote areas and from low-socio-economic backgrounds are twice as likely to be developmentally vulnerable than children in urban or high-income </w:t>
                  </w:r>
                  <w:proofErr w:type="gramStart"/>
                  <w:r w:rsidRPr="00A828FA">
                    <w:t>families(</w:t>
                  </w:r>
                  <w:proofErr w:type="gramEnd"/>
                  <w:r w:rsidRPr="00A828FA">
                    <w:t xml:space="preserve">3). </w:t>
                  </w:r>
                  <w:r w:rsidRPr="00A828FA">
                    <w:br/>
                  </w:r>
                  <w:r w:rsidRPr="00A828FA">
                    <w:br/>
                    <w:t>- Wait lists for developmental screening create considerable challenges for early intervention and treatment and can negatively impact family functioning. To reduce bottlenecks in accessing early intervention services for developmental disabilities and delay, all families should have access to timely developmental screening and appropriate supports.</w:t>
                  </w:r>
                  <w:r w:rsidRPr="00A828FA">
                    <w:br/>
                  </w:r>
                  <w:r w:rsidRPr="00A828FA">
                    <w:br/>
                    <w:t>- Access to parenting support is essential, as are easily scalable intensive interventions to respond to the “missing middle” – those families who need more than the foundational supports but not yet complex enough to qualify for tertiary supports.</w:t>
                  </w:r>
                  <w:r w:rsidRPr="00A828FA">
                    <w:br/>
                  </w:r>
                  <w:r w:rsidRPr="00A828FA">
                    <w:br/>
                  </w:r>
                  <w:r w:rsidRPr="00A828FA">
                    <w:br/>
                  </w:r>
                  <w:r w:rsidRPr="00A828FA">
                    <w:br/>
                    <w:t>The program must ensure that there are multiple entry points for families to access support, recognising that early intervention can occur at all ages and stages of parenting from the early years through to teenage and young adult hood.</w:t>
                  </w:r>
                  <w:r w:rsidRPr="00A828FA">
                    <w:br/>
                  </w:r>
                  <w:r w:rsidRPr="00A828FA">
                    <w:br/>
                    <w:t xml:space="preserve">- Service continuity and consistent approaches to parenting education and support are essential. </w:t>
                  </w:r>
                  <w:r w:rsidRPr="00A828FA">
                    <w:br/>
                  </w:r>
                  <w:r w:rsidRPr="00A828FA">
                    <w:lastRenderedPageBreak/>
                    <w:br/>
                    <w:t xml:space="preserve">- Parenting support is often overlooked when developing support for older children and particularly adolescents, however poor parenting style is the greatest risk factor for mental health difficulties in Australian teens, particularly for teens from low socio-economic </w:t>
                  </w:r>
                  <w:proofErr w:type="gramStart"/>
                  <w:r w:rsidRPr="00A828FA">
                    <w:t>backgrounds(</w:t>
                  </w:r>
                  <w:proofErr w:type="gramEnd"/>
                  <w:r w:rsidRPr="00A828FA">
                    <w:t xml:space="preserve">4). </w:t>
                  </w:r>
                  <w:r w:rsidRPr="00A828FA">
                    <w:br/>
                  </w:r>
                  <w:r w:rsidRPr="00A828FA">
                    <w:br/>
                    <w:t>- Families need to build trust, feel empowered, have choice, be able to work in collaboration and feel safe when accessing services.</w:t>
                  </w:r>
                  <w:r w:rsidRPr="00A828FA">
                    <w:br/>
                    <w:t>- Approximately two-thirds of Australian teens (aged 10-18 years) report experiencing depression and anxiety symptoms, including high rates of chronic mental health symptoms (more than 50%)(5).</w:t>
                  </w:r>
                  <w:r w:rsidRPr="00A828FA">
                    <w:br/>
                  </w:r>
                  <w:r w:rsidRPr="00A828FA">
                    <w:br/>
                    <w:t>- A consistent, positive relationship with parents across childhood and adolescence is protective against the development of risky behaviours, such as physical inactivity, school withdrawal, antisocial behaviour, risky sexual behaviours and social withdrawal (6-9).</w:t>
                  </w:r>
                  <w:r w:rsidRPr="00A828FA">
                    <w:br/>
                  </w:r>
                  <w:r w:rsidRPr="00A828FA">
                    <w:br/>
                    <w:t xml:space="preserve">- The 13-18-year-old age groups are under-represented in the uptake of </w:t>
                  </w:r>
                  <w:proofErr w:type="spellStart"/>
                  <w:r w:rsidRPr="00A828FA">
                    <w:t>CaPS</w:t>
                  </w:r>
                  <w:proofErr w:type="spellEnd"/>
                  <w:r w:rsidRPr="00A828FA">
                    <w:t xml:space="preserve">, </w:t>
                  </w:r>
                  <w:proofErr w:type="spellStart"/>
                  <w:r w:rsidRPr="00A828FA">
                    <w:t>CfC</w:t>
                  </w:r>
                  <w:proofErr w:type="spellEnd"/>
                  <w:r w:rsidRPr="00A828FA">
                    <w:t xml:space="preserve"> FP program services. There is scope to improve both universal and targeted early intervention support for this cohort. </w:t>
                  </w:r>
                  <w:r w:rsidRPr="00A828FA">
                    <w:br/>
                  </w:r>
                  <w:r w:rsidRPr="00A828FA">
                    <w:br/>
                    <w:t xml:space="preserve">- Parenting programs like Triple P can be used in conjunction with other interventions, such as educational or psychological supports, to develop a comprehensive approach to supporting teens and their families. </w:t>
                  </w:r>
                  <w:r w:rsidRPr="00A828FA">
                    <w:br/>
                  </w:r>
                  <w:r w:rsidRPr="00A828FA">
                    <w:br/>
                    <w:t xml:space="preserve">1 D’Arcy, E., Burnett, T., Capstick, E., Elder, C., Slee, O., Girdler, S., </w:t>
                  </w:r>
                  <w:proofErr w:type="spellStart"/>
                  <w:r w:rsidRPr="00A828FA">
                    <w:t>scott</w:t>
                  </w:r>
                  <w:proofErr w:type="spellEnd"/>
                  <w:r w:rsidRPr="00A828FA">
                    <w:t xml:space="preserve">, M., &amp; Milbourn, B. (2024). The well-being and support needs of Australian caregivers of neurodiverse children. Journal of Autism and Developmental Disorders, 54(5), 1857-1869. </w:t>
                  </w:r>
                  <w:hyperlink r:id="rId7" w:history="1">
                    <w:r w:rsidRPr="00A828FA">
                      <w:rPr>
                        <w:rStyle w:val="Hyperlink"/>
                      </w:rPr>
                      <w:t>https://doi.org/10.1007/s10803-023-05910-1</w:t>
                    </w:r>
                  </w:hyperlink>
                  <w:r w:rsidRPr="00A828FA">
                    <w:t xml:space="preserve"> </w:t>
                  </w:r>
                  <w:r w:rsidRPr="00A828FA">
                    <w:br/>
                  </w:r>
                  <w:r w:rsidRPr="00A828FA">
                    <w:br/>
                    <w:t xml:space="preserve">2 Australian Government. (2025). Australian Early Development Census National Report 2024. Department for Education. </w:t>
                  </w:r>
                  <w:hyperlink r:id="rId8" w:history="1">
                    <w:r w:rsidRPr="00A828FA">
                      <w:rPr>
                        <w:rStyle w:val="Hyperlink"/>
                      </w:rPr>
                      <w:t>https://www.aedc.gov.au/docs/default-source/default-document-library/aedc_national-report-2024_da7-409a37b9d-95ce-43e7-af00-51aa604cf0b3.pdf?sfvrsn=b56015ba_1</w:t>
                    </w:r>
                  </w:hyperlink>
                  <w:r w:rsidRPr="00A828FA">
                    <w:br/>
                  </w:r>
                  <w:r w:rsidRPr="00A828FA">
                    <w:br/>
                    <w:t xml:space="preserve">3 Australian Institute of Health and Welfare. (2022, 25 February). Australia's children: The transition to primary school. </w:t>
                  </w:r>
                  <w:hyperlink r:id="rId9" w:history="1">
                    <w:r w:rsidRPr="00A828FA">
                      <w:rPr>
                        <w:rStyle w:val="Hyperlink"/>
                      </w:rPr>
                      <w:t>https://www.aihw.gov.au/reports/children-youth/australias-children/contents/education/transition-primary-school</w:t>
                    </w:r>
                  </w:hyperlink>
                  <w:r w:rsidRPr="00A828FA">
                    <w:br/>
                  </w:r>
                  <w:r w:rsidRPr="00A828FA">
                    <w:br/>
                  </w:r>
                  <w:r w:rsidRPr="00A828FA">
                    <w:lastRenderedPageBreak/>
                    <w:t xml:space="preserve">4 Gautam, N., Rahman, M. M., Hashmi, R., Lim, A., &amp; Khanam, R. (2024). Socioeconomic inequalities in child and adolescent mental health in Australia: The role of parenting style and parents' relationships. Child </w:t>
                  </w:r>
                  <w:proofErr w:type="spellStart"/>
                  <w:r w:rsidRPr="00A828FA">
                    <w:t>Adolesc</w:t>
                  </w:r>
                  <w:proofErr w:type="spellEnd"/>
                  <w:r w:rsidRPr="00A828FA">
                    <w:t xml:space="preserve"> Psychiatry Ment Health, 18(1), 28. </w:t>
                  </w:r>
                  <w:hyperlink r:id="rId10" w:history="1">
                    <w:r w:rsidRPr="00A828FA">
                      <w:rPr>
                        <w:rStyle w:val="Hyperlink"/>
                      </w:rPr>
                      <w:t>https://doi.org/10.1186/s13034-024-00719-x</w:t>
                    </w:r>
                  </w:hyperlink>
                  <w:r w:rsidRPr="00A828FA">
                    <w:t xml:space="preserve"> </w:t>
                  </w:r>
                  <w:r w:rsidRPr="00A828FA">
                    <w:br/>
                    <w:t xml:space="preserve">5 Robson, E. M., Husin, H. M., Dashti, S. G., Vijayakumar, N., Moreno-Betancur, M., Moran, P., Patton, G. C., &amp; Sawyer, S. M. (2025). Tracking the course of depressive and anxiety symptoms across adolescence (the CATS study): A population-based cohort study in Australia. The Lancet Psychiatry, 12(1), 44-53. </w:t>
                  </w:r>
                  <w:hyperlink r:id="rId11" w:history="1">
                    <w:r w:rsidRPr="00A828FA">
                      <w:rPr>
                        <w:rStyle w:val="Hyperlink"/>
                      </w:rPr>
                      <w:t>https://doi.org/10.1016/S2215-0366(24)00361-4</w:t>
                    </w:r>
                  </w:hyperlink>
                  <w:r w:rsidRPr="00A828FA">
                    <w:t xml:space="preserve"> </w:t>
                  </w:r>
                  <w:r w:rsidRPr="00A828FA">
                    <w:br/>
                  </w:r>
                  <w:r w:rsidRPr="00A828FA">
                    <w:br/>
                    <w:t xml:space="preserve">6 Orr, C., Fisher, C., Bell, M., O'Donnell, M., Martin, K., Glauert, R., &amp; Preen, D. (2023). Exposure to family and domestic violence is associated with lower attendance and higher suspension in school children. Child Abuse &amp; Neglect, 142, 105594. </w:t>
                  </w:r>
                  <w:hyperlink r:id="rId12" w:history="1">
                    <w:r w:rsidRPr="00A828FA">
                      <w:rPr>
                        <w:rStyle w:val="Hyperlink"/>
                      </w:rPr>
                      <w:t>https://doi.org/https://doi.org/10.1016/j.chiabu.2022.105594</w:t>
                    </w:r>
                  </w:hyperlink>
                  <w:r w:rsidRPr="00A828FA">
                    <w:t xml:space="preserve"> </w:t>
                  </w:r>
                  <w:r w:rsidRPr="00A828FA">
                    <w:br/>
                  </w:r>
                  <w:r w:rsidRPr="00A828FA">
                    <w:br/>
                    <w:t xml:space="preserve">7 Allwood, M. A., &amp; Widom, C. S. (2013). Child abuse and neglect, developmental role attainment, and adult arrests. Journal of Research in Crime and Delinquency, 50(4), 551-578. </w:t>
                  </w:r>
                  <w:hyperlink r:id="rId13" w:history="1">
                    <w:r w:rsidRPr="00A828FA">
                      <w:rPr>
                        <w:rStyle w:val="Hyperlink"/>
                      </w:rPr>
                      <w:t>https://doi.org/10.1177/0022427812471177</w:t>
                    </w:r>
                  </w:hyperlink>
                  <w:r w:rsidRPr="00A828FA">
                    <w:t xml:space="preserve"> </w:t>
                  </w:r>
                  <w:r w:rsidRPr="00A828FA">
                    <w:br/>
                  </w:r>
                  <w:r w:rsidRPr="00A828FA">
                    <w:br/>
                    <w:t xml:space="preserve">8 Porche, M. V., Costello, D. M., &amp; Rosen-Reynoso, M. (2016). Adverse family experiences, child mental health, and educational outcomes for a national sample of students. School Mental Health, 8(1), 44-60. </w:t>
                  </w:r>
                  <w:hyperlink r:id="rId14" w:history="1">
                    <w:r w:rsidRPr="00A828FA">
                      <w:rPr>
                        <w:rStyle w:val="Hyperlink"/>
                      </w:rPr>
                      <w:t>https://doi.org/10.1007/s12310-016-9174-3</w:t>
                    </w:r>
                  </w:hyperlink>
                  <w:r w:rsidRPr="00A828FA">
                    <w:t xml:space="preserve"> </w:t>
                  </w:r>
                  <w:r w:rsidRPr="00A828FA">
                    <w:br/>
                  </w:r>
                  <w:r w:rsidRPr="00A828FA">
                    <w:br/>
                    <w:t xml:space="preserve">9 Armfield, J. M., </w:t>
                  </w:r>
                  <w:proofErr w:type="spellStart"/>
                  <w:r w:rsidRPr="00A828FA">
                    <w:t>Gnanamanickam</w:t>
                  </w:r>
                  <w:proofErr w:type="spellEnd"/>
                  <w:r w:rsidRPr="00A828FA">
                    <w:t xml:space="preserve">, E., Nguyen, H. T., Doidge, J. C., Brown, D. S., Preen, D. B., &amp; Segal, L. (2020). School absenteeism associated with child protection system involvement, maltreatment type, and time in out-of-home care. Child Maltreatment, 25(4), 433-445. </w:t>
                  </w:r>
                  <w:hyperlink r:id="rId15" w:history="1">
                    <w:r w:rsidRPr="00A828FA">
                      <w:rPr>
                        <w:rStyle w:val="Hyperlink"/>
                      </w:rPr>
                      <w:t>https://doi.org/10.1177/1077559520907682</w:t>
                    </w:r>
                  </w:hyperlink>
                  <w:r w:rsidRPr="00A828FA">
                    <w:t xml:space="preserve"> </w:t>
                  </w:r>
                </w:p>
              </w:tc>
            </w:tr>
            <w:tr w:rsidR="00A828FA" w:rsidRPr="00A828FA" w14:paraId="0CA171E0" w14:textId="77777777">
              <w:trPr>
                <w:tblCellSpacing w:w="0" w:type="dxa"/>
              </w:trPr>
              <w:tc>
                <w:tcPr>
                  <w:tcW w:w="0" w:type="auto"/>
                  <w:gridSpan w:val="2"/>
                  <w:shd w:val="clear" w:color="auto" w:fill="EAF2FA"/>
                  <w:vAlign w:val="center"/>
                  <w:hideMark/>
                </w:tcPr>
                <w:p w14:paraId="50209282" w14:textId="77777777" w:rsidR="00A828FA" w:rsidRPr="00A828FA" w:rsidRDefault="00A828FA" w:rsidP="00A828FA">
                  <w:r w:rsidRPr="00A828FA">
                    <w:rPr>
                      <w:b/>
                      <w:bCs/>
                    </w:rPr>
                    <w:lastRenderedPageBreak/>
                    <w:t>10. What are other effective ways, beyond co-location, that you’ve seen work well to connect and coordinate services for families?</w:t>
                  </w:r>
                  <w:r w:rsidRPr="00A828FA">
                    <w:t xml:space="preserve"> </w:t>
                  </w:r>
                </w:p>
              </w:tc>
            </w:tr>
            <w:tr w:rsidR="00A828FA" w:rsidRPr="00A828FA" w14:paraId="0A6F01D5" w14:textId="77777777">
              <w:trPr>
                <w:tblCellSpacing w:w="0" w:type="dxa"/>
              </w:trPr>
              <w:tc>
                <w:tcPr>
                  <w:tcW w:w="300" w:type="dxa"/>
                  <w:shd w:val="clear" w:color="auto" w:fill="FFFFFF"/>
                  <w:vAlign w:val="center"/>
                  <w:hideMark/>
                </w:tcPr>
                <w:p w14:paraId="289A6063" w14:textId="77777777" w:rsidR="00A828FA" w:rsidRPr="00A828FA" w:rsidRDefault="00A828FA" w:rsidP="00A828FA">
                  <w:r w:rsidRPr="00A828FA">
                    <w:t> </w:t>
                  </w:r>
                </w:p>
              </w:tc>
              <w:tc>
                <w:tcPr>
                  <w:tcW w:w="0" w:type="auto"/>
                  <w:shd w:val="clear" w:color="auto" w:fill="FFFFFF"/>
                  <w:vAlign w:val="center"/>
                  <w:hideMark/>
                </w:tcPr>
                <w:p w14:paraId="457090C7" w14:textId="77777777" w:rsidR="00A828FA" w:rsidRPr="00A828FA" w:rsidRDefault="00A828FA" w:rsidP="00A828FA">
                  <w:r w:rsidRPr="00A828FA">
                    <w:t xml:space="preserve">Australian and State Governments must work together to promote availability of services to families and to enhance availability of information around relevant referral pathways. </w:t>
                  </w:r>
                  <w:r w:rsidRPr="00A828FA">
                    <w:br/>
                  </w:r>
                  <w:r w:rsidRPr="00A828FA">
                    <w:br/>
                    <w:t xml:space="preserve">Families all around Australia interact with a range of multi-disciplinary supports across government, health care (GPs and primary care professionals, speech and language, occupational therapy, child and family health services), education (early childhood education and care services, schools), community and other organisations and services. This offers an opportunity to readily integrate universal </w:t>
                  </w:r>
                  <w:r w:rsidRPr="00A828FA">
                    <w:lastRenderedPageBreak/>
                    <w:t xml:space="preserve">and targeted support into routine service provision. </w:t>
                  </w:r>
                  <w:r w:rsidRPr="00A828FA">
                    <w:br/>
                  </w:r>
                  <w:r w:rsidRPr="00A828FA">
                    <w:br/>
                    <w:t xml:space="preserve">For example, integrating proven parenting programs into health, education and community services can provide an important opportunity to offer parenting support as a part of stepped care strategy – engaging parents with varying support needs in a brief, low-level intervention with the option to refer to more intensive auxiliary treatment if required. </w:t>
                  </w:r>
                  <w:r w:rsidRPr="00A828FA">
                    <w:br/>
                  </w:r>
                  <w:r w:rsidRPr="00A828FA">
                    <w:br/>
                    <w:t xml:space="preserve">Families require the knowledge and skills to understand and navigate their support needs. This includes making informed decisions about evidence-based services that align with their needs, appraising service quality, advocating for desired services through a local area planner, and ultimately accessing those </w:t>
                  </w:r>
                  <w:proofErr w:type="gramStart"/>
                  <w:r w:rsidRPr="00A828FA">
                    <w:t>services(</w:t>
                  </w:r>
                  <w:proofErr w:type="gramEnd"/>
                  <w:r w:rsidRPr="00A828FA">
                    <w:t>1).</w:t>
                  </w:r>
                  <w:r w:rsidRPr="00A828FA">
                    <w:br/>
                  </w:r>
                  <w:r w:rsidRPr="00A828FA">
                    <w:br/>
                    <w:t xml:space="preserve">It is important that evidence-based services are available where families can most easily access them. Beyond co-location of multi-disciplinary support in community hubs, evidence-based services should be available across community touchpoints, with easy signposting and referral options for the workforce working with these </w:t>
                  </w:r>
                  <w:proofErr w:type="gramStart"/>
                  <w:r w:rsidRPr="00A828FA">
                    <w:t>families(</w:t>
                  </w:r>
                  <w:proofErr w:type="gramEnd"/>
                  <w:r w:rsidRPr="00A828FA">
                    <w:t xml:space="preserve">2). </w:t>
                  </w:r>
                  <w:r w:rsidRPr="00A828FA">
                    <w:br/>
                  </w:r>
                  <w:r w:rsidRPr="00A828FA">
                    <w:br/>
                    <w:t xml:space="preserve">A range of universal and targeted programs should be available to families, with multiple delivery options and modalities so that they are easily accessible for service providers and families. Professionals working with families also require professional development to help them identify when families </w:t>
                  </w:r>
                  <w:proofErr w:type="gramStart"/>
                  <w:r w:rsidRPr="00A828FA">
                    <w:t>are in need of</w:t>
                  </w:r>
                  <w:proofErr w:type="gramEnd"/>
                  <w:r w:rsidRPr="00A828FA">
                    <w:t xml:space="preserve"> additional support, and accessible referral pathways through which they can access it. </w:t>
                  </w:r>
                  <w:r w:rsidRPr="00A828FA">
                    <w:br/>
                  </w:r>
                  <w:r w:rsidRPr="00A828FA">
                    <w:br/>
                    <w:t>Existing initiatives can also be leveraged by services, and services can be delivered to parents online to help improve accessibility. The Australian Government’s Parenting Education and Support Program (PESP) provides free access to Triple P’s evidence-based online programs, providing support to families living in regional and remote locations, or those unable to access childcare and transport, ensuring these families are not denied access to effective supports. Notably, it’s limited to families with children aged under 12 years.</w:t>
                  </w:r>
                  <w:r w:rsidRPr="00A828FA">
                    <w:br/>
                  </w:r>
                  <w:r w:rsidRPr="00A828FA">
                    <w:br/>
                    <w:t xml:space="preserve">The availability of digital supports can be complementary to additional workforce training and professional development for practitioners in interventions that are responsive to community needs. </w:t>
                  </w:r>
                  <w:r w:rsidRPr="00A828FA">
                    <w:br/>
                  </w:r>
                  <w:r w:rsidRPr="00A828FA">
                    <w:br/>
                    <w:t xml:space="preserve">1 </w:t>
                  </w:r>
                  <w:proofErr w:type="spellStart"/>
                  <w:r w:rsidRPr="00A828FA">
                    <w:t>Mazzucchelli</w:t>
                  </w:r>
                  <w:proofErr w:type="spellEnd"/>
                  <w:r w:rsidRPr="00A828FA">
                    <w:t xml:space="preserve">, T. G., Tonge, B. J., Brereton, A. V., Wade, C., Baird-Bate, K., &amp; Dawe, S. (2023). The National Disability Insurance Scheme and parenting support for </w:t>
                  </w:r>
                  <w:r w:rsidRPr="00A828FA">
                    <w:lastRenderedPageBreak/>
                    <w:t xml:space="preserve">families of children with developmental disability: A need for policy reform. Australian &amp; New Zealand Journal of Psychiatry, 0(0), 00048674231192369. </w:t>
                  </w:r>
                  <w:hyperlink r:id="rId16" w:history="1">
                    <w:r w:rsidRPr="00A828FA">
                      <w:rPr>
                        <w:rStyle w:val="Hyperlink"/>
                      </w:rPr>
                      <w:t>https://doi.org/10.1177/00048674231192369</w:t>
                    </w:r>
                  </w:hyperlink>
                  <w:r w:rsidRPr="00A828FA">
                    <w:t xml:space="preserve"> </w:t>
                  </w:r>
                  <w:r w:rsidRPr="00A828FA">
                    <w:br/>
                  </w:r>
                  <w:r w:rsidRPr="00A828FA">
                    <w:br/>
                    <w:t xml:space="preserve">2 Hiscock, H., Kabir, A., </w:t>
                  </w:r>
                  <w:proofErr w:type="spellStart"/>
                  <w:r w:rsidRPr="00A828FA">
                    <w:t>Honisett</w:t>
                  </w:r>
                  <w:proofErr w:type="spellEnd"/>
                  <w:r w:rsidRPr="00A828FA">
                    <w:t xml:space="preserve">, S., Morris, T., Constable, L., Forell, S., Woolfenden, S., Goldfeld, S., &amp; </w:t>
                  </w:r>
                  <w:proofErr w:type="spellStart"/>
                  <w:r w:rsidRPr="00A828FA">
                    <w:t>Jorm</w:t>
                  </w:r>
                  <w:proofErr w:type="spellEnd"/>
                  <w:r w:rsidRPr="00A828FA">
                    <w:t xml:space="preserve">, A. (2024). Identifying Service, Research and Policy priorities for preventing the impacts of family adversity on children’s mental health: An Australian national resource allocation study with professional and lived experience experts. Australian and New Zealand Journal of Public Health, 48(5), 100184. </w:t>
                  </w:r>
                  <w:hyperlink r:id="rId17" w:history="1">
                    <w:r w:rsidRPr="00A828FA">
                      <w:rPr>
                        <w:rStyle w:val="Hyperlink"/>
                      </w:rPr>
                      <w:t>https://doi.org/10.1016/j.anzjph.2024.100184</w:t>
                    </w:r>
                  </w:hyperlink>
                  <w:r w:rsidRPr="00A828FA">
                    <w:t xml:space="preserve"> </w:t>
                  </w:r>
                </w:p>
              </w:tc>
            </w:tr>
            <w:tr w:rsidR="00A828FA" w:rsidRPr="00A828FA" w14:paraId="7B630D42" w14:textId="77777777">
              <w:trPr>
                <w:tblCellSpacing w:w="0" w:type="dxa"/>
              </w:trPr>
              <w:tc>
                <w:tcPr>
                  <w:tcW w:w="0" w:type="auto"/>
                  <w:gridSpan w:val="2"/>
                  <w:shd w:val="clear" w:color="auto" w:fill="EAF2FA"/>
                  <w:vAlign w:val="center"/>
                  <w:hideMark/>
                </w:tcPr>
                <w:p w14:paraId="5FA5EC31" w14:textId="77777777" w:rsidR="00A828FA" w:rsidRPr="00A828FA" w:rsidRDefault="00A828FA" w:rsidP="00A828FA">
                  <w:r w:rsidRPr="00A828FA">
                    <w:rPr>
                      <w:b/>
                      <w:bCs/>
                    </w:rPr>
                    <w:lastRenderedPageBreak/>
                    <w:t>13. What’s the best way for organisations to show in grant applications, that their service is genuinely meeting the needs of the community?</w:t>
                  </w:r>
                  <w:r w:rsidRPr="00A828FA">
                    <w:t xml:space="preserve"> </w:t>
                  </w:r>
                </w:p>
              </w:tc>
            </w:tr>
            <w:tr w:rsidR="00A828FA" w:rsidRPr="00A828FA" w14:paraId="06BC3560" w14:textId="77777777">
              <w:trPr>
                <w:tblCellSpacing w:w="0" w:type="dxa"/>
              </w:trPr>
              <w:tc>
                <w:tcPr>
                  <w:tcW w:w="300" w:type="dxa"/>
                  <w:shd w:val="clear" w:color="auto" w:fill="FFFFFF"/>
                  <w:vAlign w:val="center"/>
                  <w:hideMark/>
                </w:tcPr>
                <w:p w14:paraId="220087AD" w14:textId="77777777" w:rsidR="00A828FA" w:rsidRPr="00A828FA" w:rsidRDefault="00A828FA" w:rsidP="00A828FA">
                  <w:r w:rsidRPr="00A828FA">
                    <w:t> </w:t>
                  </w:r>
                </w:p>
              </w:tc>
              <w:tc>
                <w:tcPr>
                  <w:tcW w:w="0" w:type="auto"/>
                  <w:shd w:val="clear" w:color="auto" w:fill="FFFFFF"/>
                  <w:vAlign w:val="center"/>
                  <w:hideMark/>
                </w:tcPr>
                <w:p w14:paraId="0961C481" w14:textId="77777777" w:rsidR="00A828FA" w:rsidRPr="00A828FA" w:rsidRDefault="00A828FA" w:rsidP="00A828FA">
                  <w:r w:rsidRPr="00A828FA">
                    <w:t xml:space="preserve">Service providers should be able to confidently collect data that assesses community need and confirms the type of support needed, based on evidence of what works. </w:t>
                  </w:r>
                  <w:r w:rsidRPr="00A828FA">
                    <w:br/>
                    <w:t xml:space="preserve">The requirement for services to utilise evidence-base programs should remain and be strengthened, with priority given to services adopting strongly evidence-based programs. </w:t>
                  </w:r>
                  <w:r w:rsidRPr="00A828FA">
                    <w:br/>
                  </w:r>
                  <w:r w:rsidRPr="00A828FA">
                    <w:br/>
                    <w:t xml:space="preserve">Recognising that not all services will immediately have the capability to demonstrate how they meet community needs in grant applications, ongoing funding and capability building should be provided to support evaluation and assessment of efficacy for proven programs. </w:t>
                  </w:r>
                  <w:r w:rsidRPr="00A828FA">
                    <w:br/>
                  </w:r>
                  <w:r w:rsidRPr="00A828FA">
                    <w:br/>
                    <w:t xml:space="preserve">Strengthening the capacity of service providers to demonstrate the benefits they deliver to their target communities is critical to ensuring that services are effective, responsive and aligned with program priorities. To support this, organisations require robust evaluation frameworks with measurable outcomes and continuous feedback. </w:t>
                  </w:r>
                  <w:r w:rsidRPr="00A828FA">
                    <w:br/>
                  </w:r>
                  <w:r w:rsidRPr="00A828FA">
                    <w:br/>
                    <w:t>Innovation to encourage flexible and responsive service delivery with First Nations, CALD, neurodiverse and other targeted communities can and should occur alongside evidence-based programs. If the evidence is based on studies of efficacy in diverse communities; culturally, socioeconomically, linguistically; then the object should be to maintain program fidelity. Diluting fidelity of evidence-based programs risks poorer outcomes for the families accessing parenting programs.</w:t>
                  </w:r>
                  <w:r w:rsidRPr="00A828FA">
                    <w:br/>
                  </w:r>
                  <w:r w:rsidRPr="00A828FA">
                    <w:br/>
                    <w:t xml:space="preserve">The Triple P — Positive Parenting Program® is owned by the University of Queensland. The University, through </w:t>
                  </w:r>
                  <w:proofErr w:type="spellStart"/>
                  <w:r w:rsidRPr="00A828FA">
                    <w:t>Uniquest</w:t>
                  </w:r>
                  <w:proofErr w:type="spellEnd"/>
                  <w:r w:rsidRPr="00A828FA">
                    <w:t xml:space="preserve"> Pty Ltd, its technology transfer </w:t>
                  </w:r>
                  <w:r w:rsidRPr="00A828FA">
                    <w:lastRenderedPageBreak/>
                    <w:t xml:space="preserve">company, has licensed Triple P International Pty Ltd to disseminate the program worldwide. </w:t>
                  </w:r>
                  <w:r w:rsidRPr="00A828FA">
                    <w:br/>
                  </w:r>
                  <w:r w:rsidRPr="00A828FA">
                    <w:br/>
                    <w:t xml:space="preserve">New Triple P programs are developed by researchers from the Parenting and Family Support Centre (PFSC) at the University of Queensland and extensively evaluated with families and professional providers. All Triple P programs must be evaluated and demonstrate program efficacy for participants through rigorously designed studies. </w:t>
                  </w:r>
                  <w:r w:rsidRPr="00A828FA">
                    <w:br/>
                    <w:t xml:space="preserve">The dissemination of Triple P programs is guided by an evidence-based implementation framework, wherein Triple P International works in partnership with organisations to support the implementation process to be smooth, timely, and responsive to the contextual needs of the implementing organisation and community. </w:t>
                  </w:r>
                  <w:r w:rsidRPr="00A828FA">
                    <w:br/>
                  </w:r>
                  <w:r w:rsidRPr="00A828FA">
                    <w:br/>
                    <w:t xml:space="preserve">Triple P is designed to ensure responsive and tailored support, providing a robust and flexible delivery model. Triple P practitioners must complete required training and accreditation, demonstrating acquisition of the skills required to become an accredited Triple P Provider. </w:t>
                  </w:r>
                  <w:r w:rsidRPr="00A828FA">
                    <w:br/>
                  </w:r>
                  <w:r w:rsidRPr="00A828FA">
                    <w:br/>
                    <w:t>Triple P resources, such as the family workbooks used in face-to-face programs and the online suite of courses provides a base of information that allows for easy transfer. By having standardised, evidence-based resources, transfer becomes a question of time required to implement as opposed to capability. During training, practitioners are informed and empowered with the necessary information and skills to be competent in tailoring program content and processes with flexibility whilst maintaining program fidelity to meet diverse individual and community needs.</w:t>
                  </w:r>
                  <w:r w:rsidRPr="00A828FA">
                    <w:br/>
                  </w:r>
                  <w:r w:rsidRPr="00A828FA">
                    <w:br/>
                    <w:t xml:space="preserve">As part of training, practitioners are guided to collect participant data and measure parent progress against valid and reliable assessment measures that are sensitive to program outcomes. </w:t>
                  </w:r>
                </w:p>
              </w:tc>
            </w:tr>
            <w:tr w:rsidR="00A828FA" w:rsidRPr="00A828FA" w14:paraId="4080B05A" w14:textId="77777777">
              <w:trPr>
                <w:tblCellSpacing w:w="0" w:type="dxa"/>
              </w:trPr>
              <w:tc>
                <w:tcPr>
                  <w:tcW w:w="0" w:type="auto"/>
                  <w:gridSpan w:val="2"/>
                  <w:shd w:val="clear" w:color="auto" w:fill="EAF2FA"/>
                  <w:vAlign w:val="center"/>
                  <w:hideMark/>
                </w:tcPr>
                <w:p w14:paraId="7D58534D" w14:textId="77777777" w:rsidR="00A828FA" w:rsidRPr="00A828FA" w:rsidRDefault="00A828FA" w:rsidP="00A828FA">
                  <w:r w:rsidRPr="00A828FA">
                    <w:rPr>
                      <w:b/>
                      <w:bCs/>
                    </w:rPr>
                    <w:lastRenderedPageBreak/>
                    <w:t>15. What else should be built into the program design to help improve outcomes for Aboriginal and Torres Strait Islander children and families?</w:t>
                  </w:r>
                  <w:r w:rsidRPr="00A828FA">
                    <w:t xml:space="preserve"> </w:t>
                  </w:r>
                </w:p>
              </w:tc>
            </w:tr>
            <w:tr w:rsidR="00A828FA" w:rsidRPr="00A828FA" w14:paraId="22EB6740" w14:textId="77777777">
              <w:trPr>
                <w:tblCellSpacing w:w="0" w:type="dxa"/>
              </w:trPr>
              <w:tc>
                <w:tcPr>
                  <w:tcW w:w="300" w:type="dxa"/>
                  <w:shd w:val="clear" w:color="auto" w:fill="FFFFFF"/>
                  <w:vAlign w:val="center"/>
                  <w:hideMark/>
                </w:tcPr>
                <w:p w14:paraId="23FA3E72" w14:textId="77777777" w:rsidR="00A828FA" w:rsidRPr="00A828FA" w:rsidRDefault="00A828FA" w:rsidP="00A828FA">
                  <w:r w:rsidRPr="00A828FA">
                    <w:t> </w:t>
                  </w:r>
                </w:p>
              </w:tc>
              <w:tc>
                <w:tcPr>
                  <w:tcW w:w="0" w:type="auto"/>
                  <w:shd w:val="clear" w:color="auto" w:fill="FFFFFF"/>
                  <w:vAlign w:val="center"/>
                  <w:hideMark/>
                </w:tcPr>
                <w:p w14:paraId="523A5568" w14:textId="77777777" w:rsidR="00A828FA" w:rsidRPr="00A828FA" w:rsidRDefault="00A828FA" w:rsidP="00A828FA">
                  <w:r w:rsidRPr="00A828FA">
                    <w:t xml:space="preserve">Triple P International understands the need for working in partnership with ACCOs to ensure genuine collaboration and the opportunity to co-design solutions, that include First Nations styles of learning and the incorporation of cultural knowledge. </w:t>
                  </w:r>
                  <w:r w:rsidRPr="00A828FA">
                    <w:br/>
                  </w:r>
                  <w:r w:rsidRPr="00A828FA">
                    <w:br/>
                    <w:t xml:space="preserve">Triple P International has dedicated First Nations Implementation Consultants (FNIC) and Cultural Consultants who work directly with and are led by First Nations </w:t>
                  </w:r>
                  <w:r w:rsidRPr="00A828FA">
                    <w:lastRenderedPageBreak/>
                    <w:t>communities including Elders, leaders and organisations. Triple P’s self-regulatory model aligns with and supports self-determination for families and communities. Communities determine the most appropriate program variants, locations, practitioners and delivery goals. Through consultation with community, Triple P has developed culturally responsive processes to engage families and develop supplementary resources to help practitioners introduce Triple P strategies.</w:t>
                  </w:r>
                  <w:r w:rsidRPr="00A828FA">
                    <w:br/>
                  </w:r>
                  <w:r w:rsidRPr="00A828FA">
                    <w:br/>
                    <w:t xml:space="preserve">Opportunities for workforce development in Triple P for First Nations Families, with tailored implementation support, could be made widely available to ACCO's to help improve outcomes for Aboriginal and Torres Strait Islander children and families. Supporting and building capacity in ACCOs to implement Triple P for First Nations Families enables proven parenting programs to be delivered in culturally responsive ways to meet the unique needs of community. </w:t>
                  </w:r>
                  <w:r w:rsidRPr="00A828FA">
                    <w:br/>
                  </w:r>
                  <w:r w:rsidRPr="00A828FA">
                    <w:br/>
                    <w:t xml:space="preserve">FNIC use Triple P’s Implementation Framework to provide intensive support that remains flexible and responsive to the different contexts and goals of community. Making this level of implementation support available results in high uptake of training and accreditation rates, along with an increase in practitioner capacity. By supporting flexible and culturally responsive implementation, the program can be delivered with fidelity and increased parental participation. </w:t>
                  </w:r>
                  <w:r w:rsidRPr="00A828FA">
                    <w:br/>
                  </w:r>
                  <w:r w:rsidRPr="00A828FA">
                    <w:br/>
                    <w:t xml:space="preserve">This approach also supports ACCOs to identify and implement suitable systems to collect, measure and evaluate their assessment data. This data can then be used to demonstrate and highlight improvements in social and emotional wellbeing to participating families and funding bodies. </w:t>
                  </w:r>
                  <w:r w:rsidRPr="00A828FA">
                    <w:br/>
                  </w:r>
                  <w:r w:rsidRPr="00A828FA">
                    <w:br/>
                    <w:t xml:space="preserve">Funding access to Triple P enables First Nations communities to choose to become competent and skilled in the delivery of the world’s strongest evidence-based parenting program. Triple P is well received in First Nations communities, and when governments (e.g. in Queensland, Victoria and Western Australia) provide access to professional development in Triple P together with ongoing implementation support, staff report high confidence and competence in the delivery of the program and reduced workplace stress. </w:t>
                  </w:r>
                  <w:r w:rsidRPr="00A828FA">
                    <w:br/>
                  </w:r>
                  <w:r w:rsidRPr="00A828FA">
                    <w:br/>
                    <w:t xml:space="preserve">In First Nations communities, such as in Queensland and Western Australia, Triple P has been effectively implemented alongside other community programs that support individuals affected by violence, or drug or alcohol problems. </w:t>
                  </w:r>
                  <w:r w:rsidRPr="00A828FA">
                    <w:br/>
                  </w:r>
                  <w:r w:rsidRPr="00A828FA">
                    <w:br/>
                    <w:t xml:space="preserve">Triple P programs have helped families in these communities to nurture more positive couple relationships as well as benefit their parenting and children’s social </w:t>
                  </w:r>
                  <w:r w:rsidRPr="00A828FA">
                    <w:lastRenderedPageBreak/>
                    <w:t>and emotional well-being.</w:t>
                  </w:r>
                  <w:r w:rsidRPr="00A828FA">
                    <w:br/>
                  </w:r>
                  <w:r w:rsidRPr="00A828FA">
                    <w:br/>
                    <w:t>Parents attending Triple P learn about the influences on child behaviour, how to manage thoughts and emotions, and how to create a safe and engaging environment for their child. Triple P aims to equip all parents with the skills and confidence to be self-sufficient and respond to family issues without ongoing support. Positive, nurturing, pro-social relationships lay the foundations to not only secure bonding and attachment in children, but also better self-regulatory capability, fewer social, emotional and behavioural difficulties, and greater academic success. This adds up to a more connected, safe and secure life for many children.</w:t>
                  </w:r>
                  <w:r w:rsidRPr="00A828FA">
                    <w:br/>
                  </w:r>
                  <w:r w:rsidRPr="00A828FA">
                    <w:br/>
                    <w:t>Case Example 1 – Koorie Outcomes Division</w:t>
                  </w:r>
                  <w:r w:rsidRPr="00A828FA">
                    <w:br/>
                  </w:r>
                  <w:r w:rsidRPr="00A828FA">
                    <w:br/>
                    <w:t xml:space="preserve">The Victorian Department of Education, Koorie Outcomes Division (KOD DE) through the </w:t>
                  </w:r>
                  <w:proofErr w:type="spellStart"/>
                  <w:r w:rsidRPr="00A828FA">
                    <w:t>Balert</w:t>
                  </w:r>
                  <w:proofErr w:type="spellEnd"/>
                  <w:r w:rsidRPr="00A828FA">
                    <w:t xml:space="preserve"> </w:t>
                  </w:r>
                  <w:proofErr w:type="spellStart"/>
                  <w:r w:rsidRPr="00A828FA">
                    <w:t>Gerrbik</w:t>
                  </w:r>
                  <w:proofErr w:type="spellEnd"/>
                  <w:r w:rsidRPr="00A828FA">
                    <w:t xml:space="preserve">: Koorie Families as First Educators (KFFE) and Triple P International have been collaborating and working in partnership since 2018 providing evidence-based parenting support to Aboriginal and Torres Strait Islander parents in regional and remote Victoria. </w:t>
                  </w:r>
                  <w:r w:rsidRPr="00A828FA">
                    <w:br/>
                  </w:r>
                  <w:r w:rsidRPr="00A828FA">
                    <w:br/>
                    <w:t xml:space="preserve">- By supporting and building capacity in KFFE as practitioners to implement Triple P, parenting programs are delivered in culturally responsive ways to meet the complex and unique needs of the communities they live and work in. </w:t>
                  </w:r>
                  <w:r w:rsidRPr="00A828FA">
                    <w:br/>
                  </w:r>
                  <w:r w:rsidRPr="00A828FA">
                    <w:br/>
                    <w:t xml:space="preserve">- This initiative is based on genuine collaboration, listening, co-design and the integration of Indigenous learning styles and cultural knowledge in the delivery of Triple P. </w:t>
                  </w:r>
                  <w:r w:rsidRPr="00A828FA">
                    <w:br/>
                  </w:r>
                  <w:r w:rsidRPr="00A828FA">
                    <w:br/>
                    <w:t xml:space="preserve">- Through monitoring and evaluation, activities are undertaken that increase practitioner confidence and strengthen capacity to embed evidence-based parenting support into practitioners work and communities. </w:t>
                  </w:r>
                  <w:r w:rsidRPr="00A828FA">
                    <w:br/>
                  </w:r>
                  <w:r w:rsidRPr="00A828FA">
                    <w:br/>
                    <w:t xml:space="preserve">- Triple P International’s FNIC uses Triple P’s Implementation Framework to provide intensive support, both in person and online to seven different sites and locations across Ballarat, Bendigo, Geelong, Morwell, Prestons, Shepperton and Wodonga. </w:t>
                  </w:r>
                  <w:r w:rsidRPr="00A828FA">
                    <w:br/>
                  </w:r>
                  <w:r w:rsidRPr="00A828FA">
                    <w:br/>
                    <w:t xml:space="preserve">- As a result, a high uptake of training and accreditation rate have been observed, alongside an increase in confidence, competence and capacity of practitioners. By supporting flexible and culturally responsive delivery, the program is being delivered with fidelity, with increased parental participation, enhancing </w:t>
                  </w:r>
                  <w:r w:rsidRPr="00A828FA">
                    <w:lastRenderedPageBreak/>
                    <w:t>sustainable outcomes for families and communities.</w:t>
                  </w:r>
                  <w:r w:rsidRPr="00A828FA">
                    <w:br/>
                  </w:r>
                  <w:r w:rsidRPr="00A828FA">
                    <w:br/>
                  </w:r>
                  <w:r w:rsidRPr="00A828FA">
                    <w:br/>
                    <w:t>Case Example 2 - Cherbourg</w:t>
                  </w:r>
                  <w:r w:rsidRPr="00A828FA">
                    <w:br/>
                  </w:r>
                  <w:r w:rsidRPr="00A828FA">
                    <w:br/>
                    <w:t xml:space="preserve">TPI has partnered with Cherbourg Regional Aboriginal &amp; Islander Community Controlled Health Service (CRAICCHS) to deliver Triple P for First Nations Families. The project was co-designed following extensive community consultations and a review of Cherbourg community </w:t>
                  </w:r>
                  <w:proofErr w:type="gramStart"/>
                  <w:r w:rsidRPr="00A828FA">
                    <w:t>protocols, and</w:t>
                  </w:r>
                  <w:proofErr w:type="gramEnd"/>
                  <w:r w:rsidRPr="00A828FA">
                    <w:t xml:space="preserve"> co-facilitated by community staff. It uses a whole-of-community approach to promote family and child wellbeing by: </w:t>
                  </w:r>
                  <w:r w:rsidRPr="00A828FA">
                    <w:br/>
                  </w:r>
                  <w:r w:rsidRPr="00A828FA">
                    <w:br/>
                    <w:t>- incorporating training and accreditation for local community members;</w:t>
                  </w:r>
                  <w:r w:rsidRPr="00A828FA">
                    <w:br/>
                  </w:r>
                  <w:r w:rsidRPr="00A828FA">
                    <w:br/>
                    <w:t xml:space="preserve">- increasing the capacity of local Aboriginal and Torres Strait Islander community-controlled family wellbeing services; </w:t>
                  </w:r>
                  <w:r w:rsidRPr="00A828FA">
                    <w:br/>
                  </w:r>
                  <w:r w:rsidRPr="00A828FA">
                    <w:br/>
                    <w:t>- developing and implementing universal family and child wellbeing resources; and</w:t>
                  </w:r>
                  <w:r w:rsidRPr="00A828FA">
                    <w:br/>
                  </w:r>
                  <w:r w:rsidRPr="00A828FA">
                    <w:br/>
                    <w:t>- a partnership approach to implementation of targeted parent support programs in a discrete Indigenous community.</w:t>
                  </w:r>
                  <w:r w:rsidRPr="00A828FA">
                    <w:br/>
                  </w:r>
                  <w:r w:rsidRPr="00A828FA">
                    <w:br/>
                    <w:t>As part of this collaborative partnership, six community-controlled Aboriginal Medical Service staff members (CRAICCHS staff) were trained and accredited to deliver the Triple P for First Nations Families. Staff accreditation and access to evidence-based parenting resources increased service capacity to provide preventative interventions in the community.</w:t>
                  </w:r>
                  <w:r w:rsidRPr="00A828FA">
                    <w:br/>
                  </w:r>
                  <w:r w:rsidRPr="00A828FA">
                    <w:br/>
                    <w:t xml:space="preserve">In addition, a series (16) of public service announcements (PSAs) were drafted from qualitative data on Indigenous parent wellbeing constructs from another study in this research series. These PSA drafts were reviewed and endorsed by community-based advisory group members. Production of PSAs involved local people’s voices, including Elders and parents, creating an audio landscape involving sounds of the country and community (e.g., Barambah creek, birds, Bunya Mountains, and children). </w:t>
                  </w:r>
                </w:p>
              </w:tc>
            </w:tr>
          </w:tbl>
          <w:p w14:paraId="3BE4CE61" w14:textId="77777777" w:rsidR="00A828FA" w:rsidRPr="00A828FA" w:rsidRDefault="00A828FA" w:rsidP="00A828FA"/>
        </w:tc>
      </w:tr>
    </w:tbl>
    <w:p w14:paraId="26D5A3F1" w14:textId="77777777" w:rsidR="00A828FA" w:rsidRPr="00A828FA" w:rsidRDefault="00A828FA" w:rsidP="00A828FA"/>
    <w:p w14:paraId="6946D110"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D2CB0"/>
    <w:multiLevelType w:val="multilevel"/>
    <w:tmpl w:val="1574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430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FA"/>
    <w:rsid w:val="002168C3"/>
    <w:rsid w:val="00482A6F"/>
    <w:rsid w:val="006A4151"/>
    <w:rsid w:val="00A82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D7D3"/>
  <w15:chartTrackingRefBased/>
  <w15:docId w15:val="{258A9E68-721B-4B96-A1B1-0EE0C4FE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8FA"/>
    <w:rPr>
      <w:rFonts w:eastAsiaTheme="majorEastAsia" w:cstheme="majorBidi"/>
      <w:color w:val="272727" w:themeColor="text1" w:themeTint="D8"/>
    </w:rPr>
  </w:style>
  <w:style w:type="paragraph" w:styleId="Title">
    <w:name w:val="Title"/>
    <w:basedOn w:val="Normal"/>
    <w:next w:val="Normal"/>
    <w:link w:val="TitleChar"/>
    <w:uiPriority w:val="10"/>
    <w:qFormat/>
    <w:rsid w:val="00A82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8FA"/>
    <w:pPr>
      <w:spacing w:before="160"/>
      <w:jc w:val="center"/>
    </w:pPr>
    <w:rPr>
      <w:i/>
      <w:iCs/>
      <w:color w:val="404040" w:themeColor="text1" w:themeTint="BF"/>
    </w:rPr>
  </w:style>
  <w:style w:type="character" w:customStyle="1" w:styleId="QuoteChar">
    <w:name w:val="Quote Char"/>
    <w:basedOn w:val="DefaultParagraphFont"/>
    <w:link w:val="Quote"/>
    <w:uiPriority w:val="29"/>
    <w:rsid w:val="00A828FA"/>
    <w:rPr>
      <w:i/>
      <w:iCs/>
      <w:color w:val="404040" w:themeColor="text1" w:themeTint="BF"/>
    </w:rPr>
  </w:style>
  <w:style w:type="paragraph" w:styleId="ListParagraph">
    <w:name w:val="List Paragraph"/>
    <w:basedOn w:val="Normal"/>
    <w:uiPriority w:val="34"/>
    <w:qFormat/>
    <w:rsid w:val="00A828FA"/>
    <w:pPr>
      <w:ind w:left="720"/>
      <w:contextualSpacing/>
    </w:pPr>
  </w:style>
  <w:style w:type="character" w:styleId="IntenseEmphasis">
    <w:name w:val="Intense Emphasis"/>
    <w:basedOn w:val="DefaultParagraphFont"/>
    <w:uiPriority w:val="21"/>
    <w:qFormat/>
    <w:rsid w:val="00A828FA"/>
    <w:rPr>
      <w:i/>
      <w:iCs/>
      <w:color w:val="0F4761" w:themeColor="accent1" w:themeShade="BF"/>
    </w:rPr>
  </w:style>
  <w:style w:type="paragraph" w:styleId="IntenseQuote">
    <w:name w:val="Intense Quote"/>
    <w:basedOn w:val="Normal"/>
    <w:next w:val="Normal"/>
    <w:link w:val="IntenseQuoteChar"/>
    <w:uiPriority w:val="30"/>
    <w:qFormat/>
    <w:rsid w:val="00A8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8FA"/>
    <w:rPr>
      <w:i/>
      <w:iCs/>
      <w:color w:val="0F4761" w:themeColor="accent1" w:themeShade="BF"/>
    </w:rPr>
  </w:style>
  <w:style w:type="character" w:styleId="IntenseReference">
    <w:name w:val="Intense Reference"/>
    <w:basedOn w:val="DefaultParagraphFont"/>
    <w:uiPriority w:val="32"/>
    <w:qFormat/>
    <w:rsid w:val="00A828FA"/>
    <w:rPr>
      <w:b/>
      <w:bCs/>
      <w:smallCaps/>
      <w:color w:val="0F4761" w:themeColor="accent1" w:themeShade="BF"/>
      <w:spacing w:val="5"/>
    </w:rPr>
  </w:style>
  <w:style w:type="character" w:styleId="Hyperlink">
    <w:name w:val="Hyperlink"/>
    <w:basedOn w:val="DefaultParagraphFont"/>
    <w:uiPriority w:val="99"/>
    <w:unhideWhenUsed/>
    <w:rsid w:val="00A828FA"/>
    <w:rPr>
      <w:color w:val="467886" w:themeColor="hyperlink"/>
      <w:u w:val="single"/>
    </w:rPr>
  </w:style>
  <w:style w:type="character" w:styleId="UnresolvedMention">
    <w:name w:val="Unresolved Mention"/>
    <w:basedOn w:val="DefaultParagraphFont"/>
    <w:uiPriority w:val="99"/>
    <w:semiHidden/>
    <w:unhideWhenUsed/>
    <w:rsid w:val="00A82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dc.gov.au/docs/default-source/default-document-library/aedc_national-report-2024_da7-409a37b9d-95ce-43e7-af00-51aa604cf0b3.pdf?sfvrsn=b56015ba_1" TargetMode="External"/><Relationship Id="rId13" Type="http://schemas.openxmlformats.org/officeDocument/2006/relationships/hyperlink" Target="https://doi.org/10.1177/00224278124711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803-023-05910-1" TargetMode="External"/><Relationship Id="rId12" Type="http://schemas.openxmlformats.org/officeDocument/2006/relationships/hyperlink" Target="https://doi.org/https:/doi.org/10.1016/j.chiabu.2022.105594" TargetMode="External"/><Relationship Id="rId17" Type="http://schemas.openxmlformats.org/officeDocument/2006/relationships/hyperlink" Target="https://doi.org/10.1016/j.anzjph.2024.100184" TargetMode="External"/><Relationship Id="rId2" Type="http://schemas.openxmlformats.org/officeDocument/2006/relationships/styles" Target="styles.xml"/><Relationship Id="rId16" Type="http://schemas.openxmlformats.org/officeDocument/2006/relationships/hyperlink" Target="https://doi.org/10.1177/00048674231192369" TargetMode="External"/><Relationship Id="rId1" Type="http://schemas.openxmlformats.org/officeDocument/2006/relationships/numbering" Target="numbering.xml"/><Relationship Id="rId6" Type="http://schemas.openxmlformats.org/officeDocument/2006/relationships/hyperlink" Target="https://doi.org/10.1007/s10488-009-0205-3" TargetMode="External"/><Relationship Id="rId11" Type="http://schemas.openxmlformats.org/officeDocument/2006/relationships/hyperlink" Target="https://doi.org/10.1016/S2215-0366(24)00361-4" TargetMode="External"/><Relationship Id="rId5" Type="http://schemas.openxmlformats.org/officeDocument/2006/relationships/hyperlink" Target="https://doi.org/10.1111/hsc.12129" TargetMode="External"/><Relationship Id="rId15" Type="http://schemas.openxmlformats.org/officeDocument/2006/relationships/hyperlink" Target="https://doi.org/10.1177/1077559520907682" TargetMode="External"/><Relationship Id="rId10" Type="http://schemas.openxmlformats.org/officeDocument/2006/relationships/hyperlink" Target="https://doi.org/10.1186/s13034-024-00719-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ihw.gov.au/reports/children-youth/australias-children/contents/education/transition-primary-school" TargetMode="External"/><Relationship Id="rId14" Type="http://schemas.openxmlformats.org/officeDocument/2006/relationships/hyperlink" Target="https://doi.org/10.1007/s12310-016-9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3327</Words>
  <Characters>20866</Characters>
  <Application>Microsoft Office Word</Application>
  <DocSecurity>0</DocSecurity>
  <Lines>433</Lines>
  <Paragraphs>22</Paragraphs>
  <ScaleCrop>false</ScaleCrop>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2025-12-11T00:10:00Z</dcterms:created>
  <dcterms:modified xsi:type="dcterms:W3CDTF">2025-12-11T00:12:00Z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v=2024.1;a=SHA256;h=FB3396FA9502CB7620E484C46FF13FA0399F5F0CD71B3E190C554A4C52716598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2025-12-11T00:12:12Z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2025-12-11T00:12:12Z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0d3f010d546d4e7eb941a1c2a9c086ba</vt:lpwstr>
  </property>
  <property fmtid="{D5CDD505-2E9C-101B-9397-08002B2CF9AE}" pid="24" name="PM_Originator_Hash_SHA1">
    <vt:lpwstr>A695838720124A92C2B08AFA5EEDBB07A348141B</vt:lpwstr>
  </property>
  <property fmtid="{D5CDD505-2E9C-101B-9397-08002B2CF9AE}" pid="25" name="PM_Originating_FileId">
    <vt:lpwstr>1FD64FF9360F498E9B50ABCB6CE6FA8A</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84EEE84E77DDF63141BC42FD7C151229</vt:lpwstr>
  </property>
  <property fmtid="{D5CDD505-2E9C-101B-9397-08002B2CF9AE}" pid="33" name="PM_Hash_Salt">
    <vt:lpwstr>1993D753CB0452BB4758D73DA2977E24</vt:lpwstr>
  </property>
  <property fmtid="{D5CDD505-2E9C-101B-9397-08002B2CF9AE}" pid="34" name="PM_Hash_SHA1">
    <vt:lpwstr>3E6E85F80D5CB9484642C91830560D53BB67C02A</vt:lpwstr>
  </property>
</Properties>
</file>