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964E" w14:textId="77777777" w:rsidR="00E74B44" w:rsidRDefault="00B63677">
      <w:pPr>
        <w:spacing w:after="0" w:line="259" w:lineRule="auto"/>
        <w:ind w:left="-1440" w:right="10464" w:firstLine="0"/>
      </w:pPr>
      <w:r>
        <w:rPr>
          <w:noProof/>
        </w:rPr>
        <w:drawing>
          <wp:anchor distT="0" distB="0" distL="114300" distR="114300" simplePos="0" relativeHeight="251658240" behindDoc="0" locked="0" layoutInCell="1" allowOverlap="0" wp14:anchorId="4490213F" wp14:editId="68584EFE">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6E2F095F" w14:textId="77777777" w:rsidR="00E74B44" w:rsidRDefault="00E74B44">
      <w:pPr>
        <w:sectPr w:rsidR="00E74B44">
          <w:headerReference w:type="even" r:id="rId8"/>
          <w:headerReference w:type="default" r:id="rId9"/>
          <w:footerReference w:type="even" r:id="rId10"/>
          <w:footerReference w:type="default" r:id="rId11"/>
          <w:headerReference w:type="first" r:id="rId12"/>
          <w:footerReference w:type="first" r:id="rId13"/>
          <w:pgSz w:w="11904" w:h="16838"/>
          <w:pgMar w:top="1440" w:right="1440" w:bottom="1440" w:left="1440" w:header="720" w:footer="720" w:gutter="0"/>
          <w:cols w:space="720"/>
        </w:sectPr>
      </w:pPr>
    </w:p>
    <w:p w14:paraId="1D8775F4" w14:textId="77777777" w:rsidR="00E74B44" w:rsidRDefault="00B63677">
      <w:pPr>
        <w:spacing w:after="751" w:line="259" w:lineRule="auto"/>
        <w:ind w:left="2" w:firstLine="0"/>
      </w:pPr>
      <w:r>
        <w:lastRenderedPageBreak/>
        <w:t xml:space="preserve"> </w:t>
      </w:r>
    </w:p>
    <w:p w14:paraId="70C4CF9B" w14:textId="77777777" w:rsidR="00E74B44" w:rsidRDefault="00B63677">
      <w:pPr>
        <w:pStyle w:val="Heading1"/>
        <w:ind w:left="-3"/>
      </w:pPr>
      <w:r>
        <w:t xml:space="preserve">SUMMARY </w:t>
      </w:r>
    </w:p>
    <w:p w14:paraId="495D4F77" w14:textId="77777777" w:rsidR="00E74B44" w:rsidRDefault="00B63677">
      <w:pPr>
        <w:ind w:left="-4"/>
      </w:pPr>
      <w:r>
        <w:t xml:space="preserve">The Department of Social Services' consultation on a new approach to programmes for families and children represents a potentially significant opportunity to address long-standing fragmentation and a lack of strategic investment in prevention. The existing five programmes were amalgamated and recommissioned, with the new programme providing for early support for families and young children as part of Australia’s extensive early childhood education and care investment – ‘families at risk of child protection </w:t>
      </w:r>
      <w:r>
        <w:t xml:space="preserve">involvement’, ‘prevention and early intervention support for children aged 05 years’ and ‘young parents’. </w:t>
      </w:r>
    </w:p>
    <w:p w14:paraId="1BBE6046" w14:textId="77777777" w:rsidR="00E74B44" w:rsidRDefault="00B63677">
      <w:pPr>
        <w:spacing w:after="166"/>
        <w:ind w:left="-4"/>
      </w:pPr>
      <w:r>
        <w:t xml:space="preserve">This submission argues for two critical enhancements to the proposed reforms: </w:t>
      </w:r>
    </w:p>
    <w:p w14:paraId="71802150" w14:textId="77777777" w:rsidR="00E74B44" w:rsidRDefault="00B63677">
      <w:pPr>
        <w:spacing w:after="54"/>
        <w:ind w:left="-3" w:hanging="10"/>
      </w:pPr>
      <w:r>
        <w:rPr>
          <w:b/>
          <w:color w:val="0A769F"/>
          <w:sz w:val="28"/>
        </w:rPr>
        <w:t xml:space="preserve">No1: Establishment of adolescence as an explicit investment priority alongside early childhood.  </w:t>
      </w:r>
    </w:p>
    <w:p w14:paraId="5B8AE9A1" w14:textId="77777777" w:rsidR="00E74B44" w:rsidRDefault="00B63677">
      <w:pPr>
        <w:spacing w:after="168"/>
        <w:ind w:left="-4"/>
      </w:pPr>
      <w:r>
        <w:t xml:space="preserve">The neurobiological evidence is compelling: adolescence represents a second window of opportunity for intervention with comparable developmental plasticity to early childhood. The cost evidence is equally compelling: youth homelessness and early school leaving generate over $1.7 billion in annual costs while creating pathways to chronic adult disadvantage. Strategic investment in adolescent prevention breaks these cycles at their source. </w:t>
      </w:r>
    </w:p>
    <w:p w14:paraId="7B31B128" w14:textId="77777777" w:rsidR="00E74B44" w:rsidRDefault="00B63677">
      <w:pPr>
        <w:spacing w:after="54"/>
        <w:ind w:left="-3" w:hanging="10"/>
      </w:pPr>
      <w:r>
        <w:rPr>
          <w:b/>
          <w:color w:val="0A769F"/>
          <w:sz w:val="28"/>
        </w:rPr>
        <w:t xml:space="preserve">No 2: Positioning of systemic ecosystem models such as the COSS Model as demonstration exemplars of the connected, integrated approach that DSS seeks to achieve.  </w:t>
      </w:r>
    </w:p>
    <w:p w14:paraId="3C664C69" w14:textId="77777777" w:rsidR="00E74B44" w:rsidRDefault="00B63677">
      <w:pPr>
        <w:spacing w:after="6"/>
        <w:ind w:left="-4"/>
      </w:pPr>
      <w:r>
        <w:t xml:space="preserve">The ‘Community of Schools and Services’ operationalises the vision articulated in the discussion paper: services working together within formal networks, intervening early before crisis escalation, responding to community need through place-based adaptation, and maintaining accountability through shared governance and outcomes measurement. The closest programme is the </w:t>
      </w:r>
    </w:p>
    <w:p w14:paraId="3B8E1BCE" w14:textId="77777777" w:rsidR="00E74B44" w:rsidRDefault="00B63677">
      <w:pPr>
        <w:ind w:left="-4"/>
      </w:pPr>
      <w:r>
        <w:rPr>
          <w:i/>
        </w:rPr>
        <w:t>Communities for Children</w:t>
      </w:r>
      <w:r>
        <w:t xml:space="preserve"> strategy, which embodies elements of the COSS architecture; however, the COSS architecture and methodology is a more robust and evidence-based system-changing approach. </w:t>
      </w:r>
    </w:p>
    <w:p w14:paraId="55CD8880" w14:textId="77777777" w:rsidR="00E74B44" w:rsidRDefault="00B63677">
      <w:pPr>
        <w:ind w:left="-4"/>
      </w:pPr>
      <w:r>
        <w:t xml:space="preserve">The evidence summary appropriately notes that 'investing in children and families before problems worsen will support them to become productive and engaged citizens.' This principle applies with equal force to adolescents. Indeed, given the pathways from adolescent to adult disadvantage documented in research, adolescent prevention may represent the single most cost-effective intervention point in the life course. </w:t>
      </w:r>
    </w:p>
    <w:p w14:paraId="48FA6819" w14:textId="77777777" w:rsidR="00E74B44" w:rsidRDefault="00B63677">
      <w:pPr>
        <w:ind w:left="-4"/>
      </w:pPr>
      <w:r>
        <w:t xml:space="preserve">The proposed single national programme potentially creates community infrastructure for systemic prevention through its three-stream structure, longer funding terms, and emphasis on integration. Explicitly prioritising adolescent prevention and supporting innovation such as the COSS Model would ensure this infrastructure has a transformative potential more broadly over time. </w:t>
      </w:r>
    </w:p>
    <w:p w14:paraId="49785981" w14:textId="77777777" w:rsidR="00E74B44" w:rsidRDefault="00B63677">
      <w:pPr>
        <w:spacing w:after="0" w:line="259" w:lineRule="auto"/>
        <w:ind w:left="1" w:firstLine="0"/>
      </w:pPr>
      <w:r>
        <w:t xml:space="preserve"> </w:t>
      </w:r>
      <w:r>
        <w:tab/>
        <w:t xml:space="preserve"> </w:t>
      </w:r>
    </w:p>
    <w:p w14:paraId="290E7C36" w14:textId="77777777" w:rsidR="00E74B44" w:rsidRDefault="00B63677">
      <w:pPr>
        <w:spacing w:after="736" w:line="259" w:lineRule="auto"/>
        <w:ind w:left="2" w:firstLine="0"/>
      </w:pPr>
      <w:r>
        <w:t xml:space="preserve"> </w:t>
      </w:r>
    </w:p>
    <w:p w14:paraId="2BBFEEFF" w14:textId="77777777" w:rsidR="00E74B44" w:rsidRDefault="00B63677">
      <w:pPr>
        <w:pStyle w:val="Heading1"/>
        <w:ind w:left="-3"/>
      </w:pPr>
      <w:r>
        <w:lastRenderedPageBreak/>
        <w:t xml:space="preserve">Recommendations </w:t>
      </w:r>
    </w:p>
    <w:p w14:paraId="7D407C22" w14:textId="77777777" w:rsidR="00E74B44" w:rsidRDefault="00B63677">
      <w:pPr>
        <w:ind w:left="-4"/>
      </w:pPr>
      <w:r>
        <w:t xml:space="preserve">Based on the evidence and analysis presented in this submission, Upstream Australia makes the following recommendations to strengthen the proposed reforms: </w:t>
      </w:r>
    </w:p>
    <w:p w14:paraId="2DE719D7" w14:textId="77777777" w:rsidR="00E74B44" w:rsidRDefault="00B63677">
      <w:pPr>
        <w:spacing w:after="342" w:line="259" w:lineRule="auto"/>
        <w:ind w:left="2" w:firstLine="0"/>
      </w:pPr>
      <w:r>
        <w:t xml:space="preserve"> </w:t>
      </w:r>
    </w:p>
    <w:p w14:paraId="15D71FC1" w14:textId="77777777" w:rsidR="00E74B44" w:rsidRDefault="00B63677">
      <w:pPr>
        <w:shd w:val="clear" w:color="auto" w:fill="C9EDFA"/>
        <w:spacing w:after="94" w:line="259" w:lineRule="auto"/>
        <w:ind w:left="270" w:right="342" w:firstLine="0"/>
      </w:pPr>
      <w:r>
        <w:rPr>
          <w:b/>
          <w:color w:val="0F4761"/>
          <w:sz w:val="20"/>
        </w:rPr>
        <w:t xml:space="preserve">Recommendation 1: Establish an explicit adolescent prevention priority in the new programme. </w:t>
      </w:r>
    </w:p>
    <w:p w14:paraId="78E9EFFF" w14:textId="77777777" w:rsidR="00E74B44" w:rsidRDefault="00B63677">
      <w:pPr>
        <w:shd w:val="clear" w:color="auto" w:fill="C9EDFA"/>
        <w:spacing w:after="120" w:line="239" w:lineRule="auto"/>
        <w:ind w:left="280" w:right="342" w:hanging="10"/>
      </w:pPr>
      <w:r>
        <w:rPr>
          <w:color w:val="0F4761"/>
          <w:sz w:val="20"/>
        </w:rPr>
        <w:t xml:space="preserve">That the single national programme establishes an explicit investment priority for adolescent prevention (ages 12-17), recognising adolescence as a second critical window of opportunity alongside early childhood. </w:t>
      </w:r>
    </w:p>
    <w:p w14:paraId="41A91561" w14:textId="77777777" w:rsidR="00E74B44" w:rsidRDefault="00B63677">
      <w:pPr>
        <w:shd w:val="clear" w:color="auto" w:fill="C9EDFA"/>
        <w:spacing w:after="53" w:line="239" w:lineRule="auto"/>
        <w:ind w:left="280" w:right="342" w:hanging="10"/>
      </w:pPr>
      <w:r>
        <w:rPr>
          <w:b/>
          <w:color w:val="0F4761"/>
          <w:sz w:val="20"/>
        </w:rPr>
        <w:t>Rationale:</w:t>
      </w:r>
      <w:r>
        <w:rPr>
          <w:color w:val="0F4761"/>
          <w:sz w:val="20"/>
        </w:rPr>
        <w:t xml:space="preserve"> Current policy frameworks disproportionately emphasise early childhood while underinvesting in adolescent prevention despite comparable neurobiological evidence and demonstrated pathways from adolescent to adult disadvantage. An explicit priority would signal strategic commitment and guide resource allocation. </w:t>
      </w:r>
    </w:p>
    <w:p w14:paraId="0EA5FAF0" w14:textId="77777777" w:rsidR="00E74B44" w:rsidRDefault="00B63677">
      <w:pPr>
        <w:shd w:val="clear" w:color="auto" w:fill="C9EDFA"/>
        <w:spacing w:after="242" w:line="259" w:lineRule="auto"/>
        <w:ind w:left="270" w:right="342" w:firstLine="0"/>
        <w:jc w:val="right"/>
      </w:pPr>
      <w:r>
        <w:t xml:space="preserve"> </w:t>
      </w:r>
    </w:p>
    <w:p w14:paraId="109894B8" w14:textId="77777777" w:rsidR="00E74B44" w:rsidRDefault="00B63677">
      <w:pPr>
        <w:shd w:val="clear" w:color="auto" w:fill="C9EDFA"/>
        <w:spacing w:line="249" w:lineRule="auto"/>
        <w:ind w:left="280" w:right="575" w:hanging="10"/>
      </w:pPr>
      <w:r>
        <w:rPr>
          <w:b/>
          <w:color w:val="0F4660"/>
          <w:sz w:val="20"/>
        </w:rPr>
        <w:t xml:space="preserve">Recommendation 2: Fund systemic collective impact prevention models </w:t>
      </w:r>
    </w:p>
    <w:p w14:paraId="488E0DEA" w14:textId="77777777" w:rsidR="00E74B44" w:rsidRDefault="00B63677">
      <w:pPr>
        <w:shd w:val="clear" w:color="auto" w:fill="C9EDFA"/>
        <w:spacing w:after="119" w:line="238" w:lineRule="auto"/>
        <w:ind w:left="280" w:right="575" w:hanging="10"/>
      </w:pPr>
      <w:r>
        <w:rPr>
          <w:color w:val="0F4660"/>
          <w:sz w:val="20"/>
        </w:rPr>
        <w:t xml:space="preserve">That Stream 2 (Prevention and Early Intervention) prioritises funding for systemic prevention models such as the place-based collective impact ‘Community of Schools and Services’ model of prevention/early intervention (COSS Model) to create demonstration communities for the effectiveness of systematic risk identification, an ecosystem model of service integration, achievable population-level outcomes, a population-level outcome focus, and a framework for sustained fidelity. </w:t>
      </w:r>
    </w:p>
    <w:p w14:paraId="0CB8B742" w14:textId="77777777" w:rsidR="00E74B44" w:rsidRDefault="00B63677">
      <w:pPr>
        <w:shd w:val="clear" w:color="auto" w:fill="C9EDFA"/>
        <w:spacing w:after="145" w:line="238" w:lineRule="auto"/>
        <w:ind w:left="280" w:right="575" w:hanging="10"/>
      </w:pPr>
      <w:r>
        <w:rPr>
          <w:b/>
          <w:color w:val="0F4660"/>
          <w:sz w:val="20"/>
        </w:rPr>
        <w:t>Rationale:</w:t>
      </w:r>
      <w:r>
        <w:rPr>
          <w:color w:val="0F4660"/>
          <w:sz w:val="20"/>
        </w:rPr>
        <w:t xml:space="preserve"> The discussion paper appropriately emphasises connected and integrated services but requires concrete models that operationalise these principles to achieve population-level outcomes. The COSS Model provides a proven framework with an evidence base of achieved population-level outcomes and implementation fidelity. </w:t>
      </w:r>
    </w:p>
    <w:p w14:paraId="255B0C03" w14:textId="77777777" w:rsidR="00E74B44" w:rsidRDefault="00B63677">
      <w:pPr>
        <w:shd w:val="clear" w:color="auto" w:fill="C9EDFA"/>
        <w:spacing w:after="234" w:line="259" w:lineRule="auto"/>
        <w:ind w:left="270" w:right="575" w:firstLine="0"/>
        <w:jc w:val="right"/>
      </w:pPr>
      <w:r>
        <w:rPr>
          <w:color w:val="0F4660"/>
          <w:sz w:val="20"/>
        </w:rPr>
        <w:t xml:space="preserve"> </w:t>
      </w:r>
      <w:r>
        <w:rPr>
          <w:color w:val="0F4660"/>
          <w:sz w:val="20"/>
        </w:rPr>
        <w:tab/>
      </w:r>
      <w:r>
        <w:t xml:space="preserve"> </w:t>
      </w:r>
    </w:p>
    <w:p w14:paraId="30E888F0" w14:textId="77777777" w:rsidR="00E74B44" w:rsidRDefault="00B63677">
      <w:pPr>
        <w:shd w:val="clear" w:color="auto" w:fill="C9EDFA"/>
        <w:spacing w:line="249" w:lineRule="auto"/>
        <w:ind w:left="280" w:right="575" w:hanging="10"/>
      </w:pPr>
      <w:r>
        <w:rPr>
          <w:b/>
          <w:color w:val="0F4660"/>
          <w:sz w:val="20"/>
        </w:rPr>
        <w:t xml:space="preserve">Recommendation 3: Recognise that secondary schools are anchor or universal institutions for adolescents. </w:t>
      </w:r>
    </w:p>
    <w:p w14:paraId="63DA1B5A" w14:textId="77777777" w:rsidR="00E74B44" w:rsidRDefault="00B63677">
      <w:pPr>
        <w:shd w:val="clear" w:color="auto" w:fill="C9EDFA"/>
        <w:spacing w:after="119" w:line="238" w:lineRule="auto"/>
        <w:ind w:left="280" w:right="575" w:hanging="10"/>
      </w:pPr>
      <w:r>
        <w:rPr>
          <w:color w:val="0F4660"/>
          <w:sz w:val="20"/>
        </w:rPr>
        <w:t xml:space="preserve">That the assessment criteria explicitly recognise secondary schools as anchor/universal institutions for adolescent prevention and early intervention, with grant applications that demonstrate community sector-school education partnerships receiving favourable consideration. </w:t>
      </w:r>
    </w:p>
    <w:p w14:paraId="4158466E" w14:textId="77777777" w:rsidR="00E74B44" w:rsidRDefault="00B63677">
      <w:pPr>
        <w:shd w:val="clear" w:color="auto" w:fill="C9EDFA"/>
        <w:spacing w:after="119" w:line="238" w:lineRule="auto"/>
        <w:ind w:left="280" w:right="575" w:hanging="10"/>
      </w:pPr>
      <w:r>
        <w:rPr>
          <w:b/>
          <w:color w:val="0F4660"/>
          <w:sz w:val="20"/>
        </w:rPr>
        <w:t>Rationale:</w:t>
      </w:r>
      <w:r>
        <w:rPr>
          <w:color w:val="0F4660"/>
          <w:sz w:val="20"/>
        </w:rPr>
        <w:t xml:space="preserve"> Secondary schools are anchor settings where adolescents spend time and where early signs of risk can be identified (through systematic population screening in the case of the COSS Model) and where identified vulnerable adolescents can be reached for youth and family support. This is possible in community-school cross-sectoral partnership models such as the COSS Model rather than school-based-only or community services-only models.  </w:t>
      </w:r>
    </w:p>
    <w:p w14:paraId="7292B1AA" w14:textId="77777777" w:rsidR="00E74B44" w:rsidRDefault="00B63677">
      <w:pPr>
        <w:shd w:val="clear" w:color="auto" w:fill="C9EDFA"/>
        <w:spacing w:after="46" w:line="259" w:lineRule="auto"/>
        <w:ind w:left="270" w:right="575" w:firstLine="0"/>
        <w:jc w:val="right"/>
      </w:pPr>
      <w:r>
        <w:rPr>
          <w:color w:val="0F4660"/>
          <w:sz w:val="20"/>
        </w:rPr>
        <w:t xml:space="preserve"> </w:t>
      </w:r>
      <w:r>
        <w:rPr>
          <w:color w:val="0F4660"/>
          <w:sz w:val="20"/>
        </w:rPr>
        <w:tab/>
      </w:r>
      <w:r>
        <w:t xml:space="preserve"> </w:t>
      </w:r>
    </w:p>
    <w:p w14:paraId="00B6C072" w14:textId="77777777" w:rsidR="00E74B44" w:rsidRDefault="00B63677">
      <w:pPr>
        <w:spacing w:after="0" w:line="259" w:lineRule="auto"/>
        <w:ind w:left="2" w:firstLine="0"/>
      </w:pPr>
      <w:r>
        <w:t xml:space="preserve"> </w:t>
      </w:r>
      <w:r>
        <w:tab/>
        <w:t xml:space="preserve"> </w:t>
      </w:r>
    </w:p>
    <w:p w14:paraId="7E018849" w14:textId="77777777" w:rsidR="00E74B44" w:rsidRDefault="00B63677">
      <w:pPr>
        <w:spacing w:after="343" w:line="259" w:lineRule="auto"/>
        <w:ind w:left="2" w:firstLine="0"/>
      </w:pPr>
      <w:r>
        <w:t xml:space="preserve"> </w:t>
      </w:r>
    </w:p>
    <w:p w14:paraId="1BD6658A" w14:textId="77777777" w:rsidR="00E74B44" w:rsidRDefault="00B63677">
      <w:pPr>
        <w:shd w:val="clear" w:color="auto" w:fill="C9EDFA"/>
        <w:spacing w:line="249" w:lineRule="auto"/>
        <w:ind w:left="280" w:right="575" w:hanging="10"/>
      </w:pPr>
      <w:r>
        <w:rPr>
          <w:b/>
          <w:color w:val="0F4660"/>
          <w:sz w:val="20"/>
        </w:rPr>
        <w:t xml:space="preserve">Recommendation 4: Preferentially support relational contracts for ecosystem and partnership models. </w:t>
      </w:r>
    </w:p>
    <w:p w14:paraId="0B02184F" w14:textId="77777777" w:rsidR="00E74B44" w:rsidRDefault="00B63677">
      <w:pPr>
        <w:shd w:val="clear" w:color="auto" w:fill="C9EDFA"/>
        <w:spacing w:after="119" w:line="238" w:lineRule="auto"/>
        <w:ind w:left="280" w:right="575" w:hanging="10"/>
      </w:pPr>
      <w:r>
        <w:rPr>
          <w:color w:val="0F4660"/>
          <w:sz w:val="20"/>
        </w:rPr>
        <w:t xml:space="preserve">That relational contracting be available and the preferred contractual approach for ecosystem and partnership prevention models requiring network coordination, shared governance, backbone support across multiple partners and adaptive implementation. </w:t>
      </w:r>
    </w:p>
    <w:p w14:paraId="6A6B3283" w14:textId="77777777" w:rsidR="00E74B44" w:rsidRDefault="00B63677">
      <w:pPr>
        <w:shd w:val="clear" w:color="auto" w:fill="C9EDFA"/>
        <w:spacing w:after="54" w:line="238" w:lineRule="auto"/>
        <w:ind w:left="280" w:right="575" w:hanging="10"/>
      </w:pPr>
      <w:r>
        <w:rPr>
          <w:b/>
          <w:color w:val="0F4660"/>
          <w:sz w:val="20"/>
        </w:rPr>
        <w:lastRenderedPageBreak/>
        <w:t>Rationale:</w:t>
      </w:r>
      <w:r>
        <w:rPr>
          <w:color w:val="0F4660"/>
          <w:sz w:val="20"/>
        </w:rPr>
        <w:t xml:space="preserve"> Partnership and ecosystem models such as the COSS Model require flexibility to adapt to local contexts while maintaining strong core fidelity. Relational contracts focused on outcomes rather than prescribed activities and outputs will serve to enable this balance. </w:t>
      </w:r>
    </w:p>
    <w:p w14:paraId="2D7DC50D" w14:textId="77777777" w:rsidR="00E74B44" w:rsidRDefault="00B63677">
      <w:pPr>
        <w:shd w:val="clear" w:color="auto" w:fill="C9EDFA"/>
        <w:spacing w:after="338" w:line="259" w:lineRule="auto"/>
        <w:ind w:left="270" w:right="575" w:firstLine="0"/>
        <w:jc w:val="right"/>
      </w:pPr>
      <w:r>
        <w:t xml:space="preserve"> </w:t>
      </w:r>
    </w:p>
    <w:p w14:paraId="4CFD480F" w14:textId="77777777" w:rsidR="00E74B44" w:rsidRDefault="00B63677">
      <w:pPr>
        <w:shd w:val="clear" w:color="auto" w:fill="C9EDFA"/>
        <w:spacing w:line="249" w:lineRule="auto"/>
        <w:ind w:left="280" w:right="575" w:hanging="10"/>
      </w:pPr>
      <w:r>
        <w:rPr>
          <w:b/>
          <w:color w:val="0F4660"/>
          <w:sz w:val="20"/>
        </w:rPr>
        <w:t xml:space="preserve">Recommendation 5:  Set targets and outcomes for family and adolescent well-being, incorporating measurable indicators for social problem areas such as youth homelessness, early school leaving, mental health support and involvement with the justice system. </w:t>
      </w:r>
    </w:p>
    <w:p w14:paraId="2BC2341A" w14:textId="77777777" w:rsidR="00E74B44" w:rsidRDefault="00B63677">
      <w:pPr>
        <w:shd w:val="clear" w:color="auto" w:fill="C9EDFA"/>
        <w:spacing w:after="119" w:line="238" w:lineRule="auto"/>
        <w:ind w:left="280" w:right="575" w:hanging="10"/>
      </w:pPr>
      <w:r>
        <w:rPr>
          <w:color w:val="0F4660"/>
          <w:sz w:val="20"/>
        </w:rPr>
        <w:t xml:space="preserve">That performance frameworks for Stream 2 include explicit targets for improved adolescent wellbeing, improved school engagement and reducing early school leaving, reducing youth homelessness incidence and prevalence, and reductions in unsupported adolescents with mental health issues, with longitudinal tracking to measure prevention of adult disadvantage on a range of dimensions. </w:t>
      </w:r>
    </w:p>
    <w:p w14:paraId="54559C51" w14:textId="77777777" w:rsidR="00E74B44" w:rsidRDefault="00B63677">
      <w:pPr>
        <w:shd w:val="clear" w:color="auto" w:fill="C9EDFA"/>
        <w:spacing w:after="119" w:line="238" w:lineRule="auto"/>
        <w:ind w:left="280" w:right="575" w:hanging="10"/>
      </w:pPr>
      <w:r>
        <w:rPr>
          <w:b/>
          <w:color w:val="0F4660"/>
          <w:sz w:val="20"/>
        </w:rPr>
        <w:t xml:space="preserve">Rationale: </w:t>
      </w:r>
      <w:r>
        <w:rPr>
          <w:color w:val="0F4660"/>
          <w:sz w:val="20"/>
        </w:rPr>
        <w:t>Given evidence that adolescent homelessness feeds adult homelessness and generates substantial late intervention costs, prevention targets would drive strategic investment and enable measurement of long-term returns.</w:t>
      </w:r>
      <w:r>
        <w:rPr>
          <w:b/>
          <w:color w:val="0F4660"/>
          <w:sz w:val="20"/>
        </w:rPr>
        <w:t xml:space="preserve"> </w:t>
      </w:r>
    </w:p>
    <w:p w14:paraId="735AA537" w14:textId="77777777" w:rsidR="00E74B44" w:rsidRDefault="00B63677">
      <w:pPr>
        <w:shd w:val="clear" w:color="auto" w:fill="C9EDFA"/>
        <w:spacing w:after="290" w:line="259" w:lineRule="auto"/>
        <w:ind w:left="270" w:right="575" w:firstLine="0"/>
        <w:jc w:val="right"/>
      </w:pPr>
      <w:r>
        <w:t xml:space="preserve"> </w:t>
      </w:r>
    </w:p>
    <w:p w14:paraId="77812E5B" w14:textId="77777777" w:rsidR="00E74B44" w:rsidRDefault="00B63677">
      <w:pPr>
        <w:shd w:val="clear" w:color="auto" w:fill="C9EDFA"/>
        <w:spacing w:line="249" w:lineRule="auto"/>
        <w:ind w:left="280" w:right="575" w:hanging="10"/>
      </w:pPr>
      <w:r>
        <w:rPr>
          <w:b/>
          <w:color w:val="0F4660"/>
          <w:sz w:val="20"/>
        </w:rPr>
        <w:t xml:space="preserve">Recommendation 6: Support an infrastructure for fidelity assessment </w:t>
      </w:r>
    </w:p>
    <w:p w14:paraId="31DC512B" w14:textId="77777777" w:rsidR="00E74B44" w:rsidRDefault="00B63677">
      <w:pPr>
        <w:shd w:val="clear" w:color="auto" w:fill="C9EDFA"/>
        <w:spacing w:after="119" w:line="238" w:lineRule="auto"/>
        <w:ind w:left="280" w:right="575" w:hanging="10"/>
      </w:pPr>
      <w:r>
        <w:rPr>
          <w:color w:val="0F4660"/>
          <w:sz w:val="20"/>
        </w:rPr>
        <w:t xml:space="preserve">That DSS support the development of fidelity assessment frameworks for evidence-based prevention models, recognising that adaptation without fidelity monitoring risks programme drift and diminished outcomes. </w:t>
      </w:r>
    </w:p>
    <w:p w14:paraId="6C22BF0D" w14:textId="77777777" w:rsidR="00E74B44" w:rsidRDefault="00B63677">
      <w:pPr>
        <w:shd w:val="clear" w:color="auto" w:fill="C9EDFA"/>
        <w:spacing w:after="73" w:line="238" w:lineRule="auto"/>
        <w:ind w:left="280" w:right="575" w:hanging="10"/>
      </w:pPr>
      <w:r>
        <w:rPr>
          <w:b/>
          <w:color w:val="0F4660"/>
          <w:sz w:val="20"/>
        </w:rPr>
        <w:t xml:space="preserve">Rationale:  </w:t>
      </w:r>
      <w:r>
        <w:rPr>
          <w:color w:val="0F4660"/>
          <w:sz w:val="20"/>
        </w:rPr>
        <w:t>The tension between local adaptation and evidence-based fidelity is a persistent challenge for community services. Supporting fidelity frameworks would enable both flexibility and quality assurance.</w:t>
      </w:r>
      <w:r>
        <w:rPr>
          <w:b/>
          <w:color w:val="0F4660"/>
          <w:sz w:val="20"/>
        </w:rPr>
        <w:t xml:space="preserve"> </w:t>
      </w:r>
    </w:p>
    <w:p w14:paraId="0C084D29" w14:textId="77777777" w:rsidR="00E74B44" w:rsidRDefault="00B63677">
      <w:pPr>
        <w:shd w:val="clear" w:color="auto" w:fill="C9EDFA"/>
        <w:spacing w:after="266" w:line="259" w:lineRule="auto"/>
        <w:ind w:left="270" w:right="575" w:firstLine="0"/>
        <w:jc w:val="right"/>
      </w:pPr>
      <w:r>
        <w:t xml:space="preserve"> </w:t>
      </w:r>
    </w:p>
    <w:p w14:paraId="3584E60D" w14:textId="77777777" w:rsidR="00E74B44" w:rsidRDefault="00B63677">
      <w:pPr>
        <w:shd w:val="clear" w:color="auto" w:fill="C9EDFA"/>
        <w:spacing w:line="249" w:lineRule="auto"/>
        <w:ind w:left="280" w:right="575" w:hanging="10"/>
      </w:pPr>
      <w:r>
        <w:rPr>
          <w:b/>
          <w:color w:val="0F4660"/>
          <w:sz w:val="20"/>
        </w:rPr>
        <w:t xml:space="preserve">Recommendation 7: Provide for backbone support </w:t>
      </w:r>
    </w:p>
    <w:p w14:paraId="467A577D" w14:textId="77777777" w:rsidR="00E74B44" w:rsidRDefault="00B63677">
      <w:pPr>
        <w:shd w:val="clear" w:color="auto" w:fill="C9EDFA"/>
        <w:spacing w:after="119" w:line="238" w:lineRule="auto"/>
        <w:ind w:left="280" w:right="575" w:hanging="10"/>
      </w:pPr>
      <w:r>
        <w:rPr>
          <w:color w:val="0F4660"/>
          <w:sz w:val="20"/>
        </w:rPr>
        <w:t xml:space="preserve">That place-based integrated cross-sectoral models such as the COSS Model architecture and methodology need ongoing backbone support to accomplish the tasks of local system changes and the measurement and sharing of identifiable data on adolescents at the community level. </w:t>
      </w:r>
    </w:p>
    <w:p w14:paraId="5E7B3D49" w14:textId="77777777" w:rsidR="00E74B44" w:rsidRDefault="00B63677">
      <w:pPr>
        <w:shd w:val="clear" w:color="auto" w:fill="C9EDFA"/>
        <w:spacing w:after="40" w:line="238" w:lineRule="auto"/>
        <w:ind w:left="280" w:right="575" w:hanging="10"/>
      </w:pPr>
      <w:r>
        <w:rPr>
          <w:b/>
          <w:color w:val="0F4660"/>
          <w:sz w:val="20"/>
        </w:rPr>
        <w:t xml:space="preserve">Rationale:  </w:t>
      </w:r>
      <w:r>
        <w:rPr>
          <w:color w:val="0F4660"/>
          <w:sz w:val="20"/>
        </w:rPr>
        <w:t>The implementation science literature on the dissemination of innovations highlights the necessity of ongoing backbone support for implementation.  Research in the health sector has shown that even with evidence-based effective innovations in medical and health practices, about 50% will fail over time without implementation support. Human services innovations are not selfimplementing.</w:t>
      </w:r>
      <w:r>
        <w:rPr>
          <w:b/>
          <w:color w:val="0F4660"/>
          <w:sz w:val="20"/>
        </w:rPr>
        <w:t xml:space="preserve"> </w:t>
      </w:r>
    </w:p>
    <w:p w14:paraId="38EB026B" w14:textId="77777777" w:rsidR="00E74B44" w:rsidRDefault="00B63677">
      <w:pPr>
        <w:shd w:val="clear" w:color="auto" w:fill="C9EDFA"/>
        <w:spacing w:after="39" w:line="259" w:lineRule="auto"/>
        <w:ind w:left="270" w:right="575" w:firstLine="0"/>
        <w:jc w:val="right"/>
      </w:pPr>
      <w:r>
        <w:rPr>
          <w:b/>
          <w:color w:val="1F4D78"/>
          <w:sz w:val="24"/>
        </w:rPr>
        <w:t xml:space="preserve"> </w:t>
      </w:r>
    </w:p>
    <w:p w14:paraId="2AC8A81A" w14:textId="77777777" w:rsidR="00E74B44" w:rsidRDefault="00B63677">
      <w:pPr>
        <w:spacing w:after="122" w:line="259" w:lineRule="auto"/>
        <w:ind w:left="2" w:firstLine="0"/>
      </w:pPr>
      <w:r>
        <w:t xml:space="preserve"> </w:t>
      </w:r>
    </w:p>
    <w:p w14:paraId="6EE5B021" w14:textId="77777777" w:rsidR="00E74B44" w:rsidRDefault="00B63677">
      <w:pPr>
        <w:spacing w:after="117" w:line="259" w:lineRule="auto"/>
        <w:ind w:left="2" w:firstLine="0"/>
      </w:pPr>
      <w:r>
        <w:t xml:space="preserve"> </w:t>
      </w:r>
    </w:p>
    <w:p w14:paraId="7CA2D526" w14:textId="77777777" w:rsidR="00E74B44" w:rsidRDefault="00B63677">
      <w:pPr>
        <w:spacing w:after="117" w:line="259" w:lineRule="auto"/>
        <w:ind w:left="2" w:firstLine="0"/>
      </w:pPr>
      <w:r>
        <w:t xml:space="preserve"> </w:t>
      </w:r>
    </w:p>
    <w:p w14:paraId="0DD81A0E" w14:textId="77777777" w:rsidR="00E74B44" w:rsidRDefault="00B63677">
      <w:pPr>
        <w:spacing w:after="117" w:line="259" w:lineRule="auto"/>
        <w:ind w:left="2" w:firstLine="0"/>
      </w:pPr>
      <w:r>
        <w:t xml:space="preserve"> </w:t>
      </w:r>
    </w:p>
    <w:p w14:paraId="366C3951" w14:textId="77777777" w:rsidR="00E74B44" w:rsidRDefault="00B63677">
      <w:pPr>
        <w:spacing w:after="0" w:line="259" w:lineRule="auto"/>
        <w:ind w:left="2" w:firstLine="0"/>
      </w:pPr>
      <w:r>
        <w:t xml:space="preserve"> </w:t>
      </w:r>
    </w:p>
    <w:p w14:paraId="70DFB509" w14:textId="77777777" w:rsidR="00E74B44" w:rsidRDefault="00B63677">
      <w:pPr>
        <w:spacing w:after="0" w:line="259" w:lineRule="auto"/>
        <w:ind w:left="2" w:firstLine="0"/>
      </w:pPr>
      <w:r>
        <w:rPr>
          <w:b/>
          <w:color w:val="0A769F"/>
          <w:sz w:val="56"/>
        </w:rPr>
        <w:t xml:space="preserve">Introducing Upstream Australia </w:t>
      </w:r>
    </w:p>
    <w:p w14:paraId="51310797" w14:textId="77777777" w:rsidR="00E74B44" w:rsidRDefault="00B63677">
      <w:pPr>
        <w:spacing w:after="12"/>
        <w:ind w:left="-4"/>
      </w:pPr>
      <w:r>
        <w:t xml:space="preserve">Upstream Australia was founded by Associate Professor David MacKenzie and Dr Tammy Hand in </w:t>
      </w:r>
    </w:p>
    <w:p w14:paraId="60FD064B" w14:textId="77777777" w:rsidR="00E74B44" w:rsidRDefault="00B63677">
      <w:pPr>
        <w:ind w:left="-4"/>
      </w:pPr>
      <w:r>
        <w:t xml:space="preserve">2021 as a not-for-profit platform to support agencies and communities implementing the ‘Community of Schools and Services’ model of prevention/early intervention as well as yet-to-befunded communities organised around COSS Model initiative groups. Upstream Australia is a </w:t>
      </w:r>
      <w:r>
        <w:lastRenderedPageBreak/>
        <w:t xml:space="preserve">purpose-built change agency and field-building intermediary organisation dedicated to addressing youth disadvantage and preventing a range of issues experienced by vulnerable young Australians. </w:t>
      </w:r>
    </w:p>
    <w:p w14:paraId="65E74E4D" w14:textId="77777777" w:rsidR="00E74B44" w:rsidRDefault="00B63677">
      <w:pPr>
        <w:spacing w:after="7"/>
        <w:ind w:left="-4"/>
      </w:pPr>
      <w:r>
        <w:t xml:space="preserve">The COSS Model emerged from research on youth homelessness that began in the 1990s, and in </w:t>
      </w:r>
    </w:p>
    <w:p w14:paraId="75B3BEC1" w14:textId="77777777" w:rsidR="00E74B44" w:rsidRDefault="00B63677">
      <w:pPr>
        <w:ind w:left="-4"/>
      </w:pPr>
      <w:r>
        <w:t xml:space="preserve">2010, the first prototype of the COSS Model, the Geelong Project, was funded by the Victorian Government. This work yielded the first community-level reduction ever achieved by any youth homelessness initiative anywhere in the world. Subsequently, the New South Wales Government under its 2018-2023 NSW Homelessness Strategy funded the ‘Universal Screening and Support’ (USS) pilot programme that trialled the COSS Model from 2019-2023.  </w:t>
      </w:r>
    </w:p>
    <w:p w14:paraId="0BA9E9B4" w14:textId="77777777" w:rsidR="00E74B44" w:rsidRDefault="00B63677">
      <w:pPr>
        <w:spacing w:after="131"/>
        <w:ind w:left="-4"/>
      </w:pPr>
      <w:r>
        <w:t xml:space="preserve">The Albury Project emerged from the pilot programme as an exemplary community demonstration of the achievability of community-level outcomes. Peer-reviewed evaluation of the Albury Project (https://www.mdpi.com/2673-995X/4/3/82 ) and earlier research in the Geelong Project have demonstrated: </w:t>
      </w:r>
    </w:p>
    <w:p w14:paraId="10774DF9" w14:textId="77777777" w:rsidR="00E74B44" w:rsidRDefault="00B63677">
      <w:pPr>
        <w:numPr>
          <w:ilvl w:val="0"/>
          <w:numId w:val="1"/>
        </w:numPr>
        <w:ind w:hanging="360"/>
      </w:pPr>
      <w:r>
        <w:t xml:space="preserve">40–50% reduction in adolescent homelessness risk within 12 months. </w:t>
      </w:r>
    </w:p>
    <w:p w14:paraId="4BF70A0B" w14:textId="77777777" w:rsidR="00E74B44" w:rsidRDefault="00B63677">
      <w:pPr>
        <w:numPr>
          <w:ilvl w:val="0"/>
          <w:numId w:val="1"/>
        </w:numPr>
        <w:spacing w:after="131"/>
        <w:ind w:hanging="360"/>
      </w:pPr>
      <w:r>
        <w:t xml:space="preserve">95–97% of identified young people do not become homelessness service clients in the following two years. </w:t>
      </w:r>
    </w:p>
    <w:p w14:paraId="5F4937DD" w14:textId="77777777" w:rsidR="00E74B44" w:rsidRDefault="00B63677">
      <w:pPr>
        <w:numPr>
          <w:ilvl w:val="0"/>
          <w:numId w:val="1"/>
        </w:numPr>
        <w:ind w:hanging="360"/>
      </w:pPr>
      <w:r>
        <w:t xml:space="preserve">Increased school engagement and improved attendance. </w:t>
      </w:r>
    </w:p>
    <w:p w14:paraId="16F0FA65" w14:textId="77777777" w:rsidR="00E74B44" w:rsidRDefault="00B63677">
      <w:pPr>
        <w:numPr>
          <w:ilvl w:val="0"/>
          <w:numId w:val="1"/>
        </w:numPr>
        <w:spacing w:after="131"/>
        <w:ind w:hanging="360"/>
      </w:pPr>
      <w:r>
        <w:t xml:space="preserve">Earlier identification of hidden cohorts, including students experiencing family instability or psychological distress. </w:t>
      </w:r>
    </w:p>
    <w:p w14:paraId="35C2B7C1" w14:textId="77777777" w:rsidR="00E74B44" w:rsidRDefault="00B63677">
      <w:pPr>
        <w:numPr>
          <w:ilvl w:val="0"/>
          <w:numId w:val="1"/>
        </w:numPr>
        <w:spacing w:after="83"/>
        <w:ind w:hanging="360"/>
      </w:pPr>
      <w:r>
        <w:t xml:space="preserve">Improved cross-sector governance and system coordination. </w:t>
      </w:r>
    </w:p>
    <w:p w14:paraId="0A103066" w14:textId="77777777" w:rsidR="00E74B44" w:rsidRDefault="00B63677">
      <w:pPr>
        <w:ind w:left="-4"/>
      </w:pPr>
      <w:r>
        <w:t xml:space="preserve">Early evaluation data coming from the Wodonga Project pilot in Victoria is showing 0% of students identified and supported as COSS Model clients have become homelessness or disengaged from education. </w:t>
      </w:r>
    </w:p>
    <w:p w14:paraId="2A1D5EE5" w14:textId="77777777" w:rsidR="00E74B44" w:rsidRDefault="00B63677">
      <w:pPr>
        <w:ind w:left="-4"/>
      </w:pPr>
      <w:r>
        <w:t xml:space="preserve">Also, peer-review evidence has demonstrated the COSS Model’s effectiveness at reducing students’ psychological distress when the COSS Model architecture and methodology is extended to the issue of adolescent mental health where young people who are unsupported, experiencing a clinical level of psychological distress but not an evident risk of homelessness (see: https://www.mdpi.com/16604601/22/12/1780). </w:t>
      </w:r>
    </w:p>
    <w:p w14:paraId="43CE469E" w14:textId="77777777" w:rsidR="00E74B44" w:rsidRDefault="00B63677">
      <w:pPr>
        <w:ind w:left="-4"/>
      </w:pPr>
      <w:r>
        <w:t xml:space="preserve">These outcomes make the Australian COSS Model innovation one of the most effective youth homelessness prevention approaches ever tested (and developed) in Australia. </w:t>
      </w:r>
    </w:p>
    <w:p w14:paraId="5B77E38E" w14:textId="77777777" w:rsidR="00E74B44" w:rsidRDefault="00B63677">
      <w:pPr>
        <w:ind w:left="-4"/>
      </w:pPr>
      <w:r>
        <w:t xml:space="preserve">The COSS Model involves spending a period building the partnerships and the schools and community agencies collaboration, but collaboration about how the local ecosystem of support will operate differently.  </w:t>
      </w:r>
    </w:p>
    <w:p w14:paraId="2161955B" w14:textId="77777777" w:rsidR="00E74B44" w:rsidRDefault="00B63677">
      <w:pPr>
        <w:ind w:left="-4"/>
      </w:pPr>
      <w:r>
        <w:t xml:space="preserve">Systematic annual screening for risk uses a population health approach with a proprietary Australian Index of Adolescent Development survey supplemented by local knowledge to identify risk, and measure outcomes and change over time. Prevention in the COSS Model is reaching vulnerable youth and their families before the onset of crises and in most case before their situation approaches crisis point. </w:t>
      </w:r>
    </w:p>
    <w:p w14:paraId="37AB8493" w14:textId="77777777" w:rsidR="00E74B44" w:rsidRDefault="00B63677">
      <w:pPr>
        <w:ind w:left="-4"/>
      </w:pPr>
      <w:r>
        <w:t xml:space="preserve">A flexible tiered practice framework ensures that intervention with families is response, helpful but also efficient use of time. Repeat periods of support are by design over the duration of secondary schooling for identified vulnerable adolescents by contrast with crisis services where repeat support periods signal unresolved issues and a recurrence of problems. </w:t>
      </w:r>
    </w:p>
    <w:p w14:paraId="4A09BDF0" w14:textId="77777777" w:rsidR="00E74B44" w:rsidRDefault="00B63677">
      <w:pPr>
        <w:ind w:left="-4"/>
      </w:pPr>
      <w:r>
        <w:lastRenderedPageBreak/>
        <w:t xml:space="preserve">Data management of identifiable data is managed by Upstream Australia on behalf of the community of schools and services under strict data security protocols. The use of data, and the embedded evaluation of outcomes is first and foremost about providing feedback to practitioners supporting the young people and families on individual cases for support workers, but particularly the overall pattern of changes (whether positive or negative) that the collective effort has achieved. </w:t>
      </w:r>
    </w:p>
    <w:p w14:paraId="72C8856A" w14:textId="77777777" w:rsidR="00E74B44" w:rsidRDefault="00B63677">
      <w:pPr>
        <w:ind w:left="-4"/>
      </w:pPr>
      <w:r>
        <w:t xml:space="preserve">Lastly, the COSS Model as an innovation is place-based and focused on an integrated collaborative ecosystem of partners working together within an outcome’s framework, not output based KPIs as is the case with many social programs. Upstream Australia provides backbone support, data management and support around adaptation where and when that is necessary as well as fidelity to the key features that are essential to reach the achievable community-level outcomes.  </w:t>
      </w:r>
    </w:p>
    <w:p w14:paraId="11B31C8F" w14:textId="77777777" w:rsidR="00E74B44" w:rsidRDefault="00B63677">
      <w:pPr>
        <w:ind w:left="-4"/>
      </w:pPr>
      <w:r>
        <w:t xml:space="preserve">Upstream Australia supports an Upstream Community of Practice and convenes an Assembly event each year. The international recognition and early adoption of the Australian COSS Model innovation include an International Upstream Living Lab that brings together researchers, practitioners working on the COSS Model projects and other specialists. The Upstream International network involves leading researchers and practice leaders on prevention science. </w:t>
      </w:r>
    </w:p>
    <w:p w14:paraId="1F5B66E7" w14:textId="77777777" w:rsidR="00E74B44" w:rsidRDefault="00B63677">
      <w:pPr>
        <w:ind w:left="-4"/>
      </w:pPr>
      <w:r>
        <w:t>The principals of Upstream Australia are Associate Professor David Mackenzie, the founding CEO and Dr Tammy Hand, the Deputy CEO. David MacKenzie is a leading researcher on youth disadvantage and homelessness and the original researcher-developer of the COSS Model. He has contributed to policy and served on various government data, research and policy committees. Tammy Hand, who has worked for a time in women’s services, is an experienced researcher whose broad interests are focused on social and educationa</w:t>
      </w:r>
      <w:r>
        <w:t xml:space="preserve">l outcomes for young people, specifically at the intersections of in/equality, structural and non-structural barriers, social and system change and reform. </w:t>
      </w:r>
    </w:p>
    <w:p w14:paraId="1087744D" w14:textId="77777777" w:rsidR="00E74B44" w:rsidRDefault="00B63677">
      <w:pPr>
        <w:ind w:left="-4"/>
      </w:pPr>
      <w:r>
        <w:t xml:space="preserve">Upstream Australia stands ready to support communities and funded agencies with a primary focus on adolescents and their families through: </w:t>
      </w:r>
    </w:p>
    <w:p w14:paraId="37857348" w14:textId="77777777" w:rsidR="00E74B44" w:rsidRDefault="00B63677">
      <w:pPr>
        <w:numPr>
          <w:ilvl w:val="0"/>
          <w:numId w:val="2"/>
        </w:numPr>
        <w:ind w:hanging="360"/>
      </w:pPr>
      <w:r>
        <w:t xml:space="preserve">Backbone support for COSS implementation and fidelity assessment. </w:t>
      </w:r>
    </w:p>
    <w:p w14:paraId="15A46BAC" w14:textId="77777777" w:rsidR="00E74B44" w:rsidRDefault="00B63677">
      <w:pPr>
        <w:numPr>
          <w:ilvl w:val="0"/>
          <w:numId w:val="2"/>
        </w:numPr>
        <w:ind w:hanging="360"/>
      </w:pPr>
      <w:r>
        <w:t xml:space="preserve">Community capacity building and training for support service networks. </w:t>
      </w:r>
    </w:p>
    <w:p w14:paraId="5FC36925" w14:textId="77777777" w:rsidR="00E74B44" w:rsidRDefault="00B63677">
      <w:pPr>
        <w:numPr>
          <w:ilvl w:val="0"/>
          <w:numId w:val="2"/>
        </w:numPr>
        <w:ind w:hanging="360"/>
      </w:pPr>
      <w:r>
        <w:t xml:space="preserve">An outcomes evaluation framework aligned with DEX reporting requirements. </w:t>
      </w:r>
    </w:p>
    <w:p w14:paraId="66A58B1A" w14:textId="77777777" w:rsidR="00E74B44" w:rsidRDefault="00B63677">
      <w:pPr>
        <w:numPr>
          <w:ilvl w:val="0"/>
          <w:numId w:val="2"/>
        </w:numPr>
        <w:ind w:hanging="360"/>
      </w:pPr>
      <w:r>
        <w:t xml:space="preserve">Partnership development between education and community sectors. </w:t>
      </w:r>
    </w:p>
    <w:p w14:paraId="77D65C67" w14:textId="77777777" w:rsidR="00E74B44" w:rsidRDefault="00B63677">
      <w:pPr>
        <w:ind w:left="-4"/>
      </w:pPr>
      <w:r>
        <w:t xml:space="preserve">We welcome the opportunity to discuss the case for an explicit focus on adolescents within the new consolidated DSS program as well as the seven recommendations presented. Furthermore, the Upstream Australia team and associates are keen to contribute to the design and implementation of an adolescent prevention priority within the new single national programme. </w:t>
      </w:r>
    </w:p>
    <w:p w14:paraId="75A3D433" w14:textId="77777777" w:rsidR="00E74B44" w:rsidRDefault="00B63677">
      <w:pPr>
        <w:spacing w:after="0" w:line="259" w:lineRule="auto"/>
        <w:ind w:left="0" w:firstLine="0"/>
      </w:pPr>
      <w:r>
        <w:t xml:space="preserve"> </w:t>
      </w:r>
      <w:r>
        <w:tab/>
        <w:t xml:space="preserve"> </w:t>
      </w:r>
    </w:p>
    <w:p w14:paraId="2910A13D" w14:textId="77777777" w:rsidR="00E74B44" w:rsidRDefault="00B63677">
      <w:pPr>
        <w:numPr>
          <w:ilvl w:val="0"/>
          <w:numId w:val="3"/>
        </w:numPr>
        <w:spacing w:after="54"/>
        <w:ind w:hanging="280"/>
      </w:pPr>
      <w:r>
        <w:rPr>
          <w:b/>
          <w:color w:val="0A769F"/>
          <w:sz w:val="28"/>
        </w:rPr>
        <w:t xml:space="preserve">The new vision for a single national program for children and families </w:t>
      </w:r>
    </w:p>
    <w:p w14:paraId="7E066C9C" w14:textId="77777777" w:rsidR="00E74B44" w:rsidRDefault="00B63677">
      <w:pPr>
        <w:ind w:left="-4"/>
      </w:pPr>
      <w:r>
        <w:t xml:space="preserve">The vision for the new national programme reflects important aspirations for children and families – “All children and young people are supported by strong families who have the skills and confidence to nurture them.”  </w:t>
      </w:r>
    </w:p>
    <w:p w14:paraId="57819980" w14:textId="77777777" w:rsidR="00E74B44" w:rsidRDefault="00B63677">
      <w:pPr>
        <w:ind w:left="-4"/>
      </w:pPr>
      <w:r>
        <w:t>The national programme will encompass five current DSS children and family programmes. The DSS discussion paper appropriately emphasises early childhood (0-5 years) as a critical investment priority, noting that 'experiences during this time lay the foundation for lifelong learning, wellbeing and health.' The DSS Evidence Summary cites the extensive early childhood literature and points to returns on investment for early childhood interventions of 15-17% return for every dollar invested in preschool-aged ch</w:t>
      </w:r>
      <w:r>
        <w:t xml:space="preserve">ildren. </w:t>
      </w:r>
    </w:p>
    <w:p w14:paraId="21EAB505" w14:textId="77777777" w:rsidR="00E74B44" w:rsidRDefault="00B63677">
      <w:pPr>
        <w:ind w:left="-4"/>
      </w:pPr>
      <w:r>
        <w:lastRenderedPageBreak/>
        <w:t xml:space="preserve">However, the discussion paper's acknowledgement that 'it's never too late to intervene' and that 'middle childhood and adolescence are also crucial periods' remains critically underdeveloped. This represents a significant policy blind spot, particularly given the evidence that: </w:t>
      </w:r>
    </w:p>
    <w:p w14:paraId="442F3B69" w14:textId="77777777" w:rsidR="00E74B44" w:rsidRDefault="00B63677">
      <w:pPr>
        <w:numPr>
          <w:ilvl w:val="1"/>
          <w:numId w:val="3"/>
        </w:numPr>
        <w:ind w:hanging="360"/>
      </w:pPr>
      <w:r>
        <w:t xml:space="preserve">Research demonstrates that while early childhood interventions are important, there is not strong evidence of significant long-term or lifelong effects from such interventions alone. </w:t>
      </w:r>
    </w:p>
    <w:p w14:paraId="630706A1" w14:textId="77777777" w:rsidR="00E74B44" w:rsidRDefault="00B63677">
      <w:pPr>
        <w:numPr>
          <w:ilvl w:val="1"/>
          <w:numId w:val="3"/>
        </w:numPr>
        <w:ind w:hanging="360"/>
      </w:pPr>
      <w:r>
        <w:t xml:space="preserve">Adolescence represents a second period of major neurological development and structural brain remodelling and plasticity in the human life course. </w:t>
      </w:r>
    </w:p>
    <w:p w14:paraId="1F964660" w14:textId="77777777" w:rsidR="00E74B44" w:rsidRDefault="00B63677">
      <w:pPr>
        <w:numPr>
          <w:ilvl w:val="1"/>
          <w:numId w:val="3"/>
        </w:numPr>
        <w:ind w:hanging="360"/>
      </w:pPr>
      <w:r>
        <w:t xml:space="preserve">Many negative physical and mental health outcomes are first manifested during adolescence. </w:t>
      </w:r>
    </w:p>
    <w:p w14:paraId="63169C53" w14:textId="77777777" w:rsidR="00E74B44" w:rsidRDefault="00B63677">
      <w:pPr>
        <w:numPr>
          <w:ilvl w:val="1"/>
          <w:numId w:val="3"/>
        </w:numPr>
        <w:ind w:hanging="360"/>
      </w:pPr>
      <w:r>
        <w:t xml:space="preserve">The majority of chronic and recurring psychiatric problems of adult Australians emerge during adolescence. </w:t>
      </w:r>
    </w:p>
    <w:p w14:paraId="757818FB" w14:textId="77777777" w:rsidR="00E74B44" w:rsidRDefault="00B63677">
      <w:pPr>
        <w:ind w:left="-4"/>
      </w:pPr>
      <w:r>
        <w:t xml:space="preserve">However, whether lasting prevention of adversity can be achieved depends on how it is operationalised in practice. Through our work developing and implementing the Community of Schools and Services (COSS) Model across multiple Australian jurisdictions, we have seen that children and families thrive when they can access coordinated, prevention-focused supports that intervene before crises escalate. </w:t>
      </w:r>
    </w:p>
    <w:p w14:paraId="1B63468D" w14:textId="77777777" w:rsidR="00E74B44" w:rsidRDefault="00B63677">
      <w:pPr>
        <w:ind w:left="-4"/>
      </w:pPr>
      <w:r>
        <w:t xml:space="preserve">While we support the aspiration for healthy, resilient children and empowered carers, we believe the vision must explicitly recognise that: </w:t>
      </w:r>
    </w:p>
    <w:p w14:paraId="4A966251" w14:textId="77777777" w:rsidR="00E74B44" w:rsidRDefault="00B63677">
      <w:pPr>
        <w:numPr>
          <w:ilvl w:val="1"/>
          <w:numId w:val="3"/>
        </w:numPr>
        <w:ind w:hanging="360"/>
      </w:pPr>
      <w:r>
        <w:t xml:space="preserve">Adolescence represents a second critical window of opportunity alongside early childhood </w:t>
      </w:r>
    </w:p>
    <w:p w14:paraId="0646A821" w14:textId="77777777" w:rsidR="00E74B44" w:rsidRDefault="00B63677">
      <w:pPr>
        <w:numPr>
          <w:ilvl w:val="1"/>
          <w:numId w:val="3"/>
        </w:numPr>
        <w:ind w:hanging="360"/>
      </w:pPr>
      <w:r>
        <w:t xml:space="preserve">Wellbeing requires systemic coordination, not just individual services </w:t>
      </w:r>
    </w:p>
    <w:p w14:paraId="5FACA046" w14:textId="77777777" w:rsidR="00E74B44" w:rsidRDefault="00B63677">
      <w:pPr>
        <w:numPr>
          <w:ilvl w:val="1"/>
          <w:numId w:val="3"/>
        </w:numPr>
        <w:ind w:hanging="360"/>
      </w:pPr>
      <w:r>
        <w:t xml:space="preserve">A Prevention infrastructure must be properly resourced on a community-level need </w:t>
      </w:r>
    </w:p>
    <w:p w14:paraId="7C8D96A9" w14:textId="77777777" w:rsidR="00E74B44" w:rsidRDefault="00B63677">
      <w:pPr>
        <w:numPr>
          <w:ilvl w:val="1"/>
          <w:numId w:val="3"/>
        </w:numPr>
        <w:ind w:hanging="360"/>
      </w:pPr>
      <w:r>
        <w:t xml:space="preserve">Place-based implementation must be able to adapt to local contexts while preserving fidelity to the key features that underpin the evidence base for achievable outcomes. </w:t>
      </w:r>
    </w:p>
    <w:p w14:paraId="5ED9CD8D" w14:textId="77777777" w:rsidR="00E74B44" w:rsidRDefault="00B63677">
      <w:pPr>
        <w:spacing w:after="303"/>
        <w:ind w:left="-4"/>
      </w:pPr>
      <w:r>
        <w:t xml:space="preserve">Our support for the vision is contingent upon the reforms being designed to support genuine systemic integration rather than perpetuating fragmentation under a new administrative structure. </w:t>
      </w:r>
    </w:p>
    <w:p w14:paraId="64AF734F" w14:textId="77777777" w:rsidR="00E74B44" w:rsidRDefault="00B63677">
      <w:pPr>
        <w:numPr>
          <w:ilvl w:val="0"/>
          <w:numId w:val="3"/>
        </w:numPr>
        <w:spacing w:after="54"/>
        <w:ind w:hanging="280"/>
      </w:pPr>
      <w:r>
        <w:rPr>
          <w:b/>
          <w:color w:val="0A769F"/>
          <w:sz w:val="28"/>
        </w:rPr>
        <w:t xml:space="preserve">Towards an outcomes-focus approach in the new program  </w:t>
      </w:r>
    </w:p>
    <w:p w14:paraId="39E79CC7" w14:textId="77777777" w:rsidR="00E74B44" w:rsidRDefault="00B63677">
      <w:pPr>
        <w:ind w:left="-4"/>
      </w:pPr>
      <w:r>
        <w:t xml:space="preserve">The outcomes are positive in direction but insufficient in scope. They focus appropriately on parental empowerment and child development but underemphasise critical factors: </w:t>
      </w:r>
    </w:p>
    <w:p w14:paraId="05765A89" w14:textId="77777777" w:rsidR="00E74B44" w:rsidRDefault="00B63677">
      <w:pPr>
        <w:ind w:left="-4"/>
      </w:pPr>
      <w:r>
        <w:rPr>
          <w:b/>
        </w:rPr>
        <w:t>Outcome 1:</w:t>
      </w:r>
      <w:r>
        <w:t xml:space="preserve"> Parents and caregivers are empowered to raise healthy, resilient children </w:t>
      </w:r>
    </w:p>
    <w:p w14:paraId="287BDDE3" w14:textId="77777777" w:rsidR="00E74B44" w:rsidRDefault="00B63677">
      <w:pPr>
        <w:ind w:left="-4"/>
      </w:pPr>
      <w:r>
        <w:t xml:space="preserve">We support this outcome, but empowerment cannot occur in isolation. Our experience implementing COSS demonstrates that parental capacity is enabled by coordinated community infrastructure. When schools, family services, and specialist providers work within integrated networks, families can access support before challenges escalate. </w:t>
      </w:r>
    </w:p>
    <w:p w14:paraId="32FC1612" w14:textId="77777777" w:rsidR="00E74B44" w:rsidRDefault="00B63677">
      <w:pPr>
        <w:ind w:left="-4"/>
      </w:pPr>
      <w:r>
        <w:rPr>
          <w:b/>
        </w:rPr>
        <w:t>Outcome 2:</w:t>
      </w:r>
      <w:r>
        <w:t xml:space="preserve"> Children are supported to grow into healthy, resilient adults </w:t>
      </w:r>
    </w:p>
    <w:p w14:paraId="0BE78AC2" w14:textId="77777777" w:rsidR="00E74B44" w:rsidRDefault="00B63677">
      <w:pPr>
        <w:ind w:left="-4"/>
      </w:pPr>
      <w:r>
        <w:t xml:space="preserve">This aligns with our prevention approach, but resilience is not linear or confined to early childhood. Research demonstrates that adolescence represents a second period of major neurological development—comparable to early childhood in its plasticity and opportunity for intervention. Yet the proposed outcomes framework risks perpetuating the policy blind spot that underinvests in adolescent prevention. </w:t>
      </w:r>
    </w:p>
    <w:p w14:paraId="4CC2DC43" w14:textId="77777777" w:rsidR="00E74B44" w:rsidRDefault="00B63677">
      <w:pPr>
        <w:ind w:left="-4"/>
      </w:pPr>
      <w:r>
        <w:rPr>
          <w:b/>
        </w:rPr>
        <w:t>Critical gap:</w:t>
      </w:r>
      <w:r>
        <w:t xml:space="preserve"> The outcomes do not explicitly recognise: </w:t>
      </w:r>
    </w:p>
    <w:p w14:paraId="6A88E17C" w14:textId="77777777" w:rsidR="00E74B44" w:rsidRDefault="00B63677">
      <w:pPr>
        <w:numPr>
          <w:ilvl w:val="0"/>
          <w:numId w:val="4"/>
        </w:numPr>
        <w:ind w:left="722" w:hanging="360"/>
      </w:pPr>
      <w:r>
        <w:t xml:space="preserve">Adolescence as a strategic intervention point </w:t>
      </w:r>
    </w:p>
    <w:p w14:paraId="203F4883" w14:textId="77777777" w:rsidR="00E74B44" w:rsidRDefault="00B63677">
      <w:pPr>
        <w:numPr>
          <w:ilvl w:val="0"/>
          <w:numId w:val="4"/>
        </w:numPr>
        <w:ind w:left="722" w:hanging="360"/>
      </w:pPr>
      <w:r>
        <w:lastRenderedPageBreak/>
        <w:t xml:space="preserve">Systemic coordination in communities with funded agencies </w:t>
      </w:r>
    </w:p>
    <w:p w14:paraId="36CD83BC" w14:textId="77777777" w:rsidR="00E74B44" w:rsidRDefault="00B63677">
      <w:pPr>
        <w:numPr>
          <w:ilvl w:val="0"/>
          <w:numId w:val="4"/>
        </w:numPr>
        <w:ind w:left="722" w:hanging="360"/>
      </w:pPr>
      <w:r>
        <w:t xml:space="preserve">Network-based and collective impact prevention approaches </w:t>
      </w:r>
    </w:p>
    <w:p w14:paraId="05439B57" w14:textId="77777777" w:rsidR="00E74B44" w:rsidRDefault="00B63677">
      <w:pPr>
        <w:numPr>
          <w:ilvl w:val="0"/>
          <w:numId w:val="4"/>
        </w:numPr>
        <w:spacing w:after="305"/>
        <w:ind w:left="722" w:hanging="360"/>
      </w:pPr>
      <w:r>
        <w:t xml:space="preserve">Population-level outcomes versus individual case management </w:t>
      </w:r>
    </w:p>
    <w:p w14:paraId="0DAB1C7E" w14:textId="77777777" w:rsidR="00E74B44" w:rsidRDefault="00B63677">
      <w:pPr>
        <w:numPr>
          <w:ilvl w:val="0"/>
          <w:numId w:val="5"/>
        </w:numPr>
        <w:spacing w:after="54"/>
        <w:ind w:hanging="10"/>
      </w:pPr>
      <w:r>
        <w:rPr>
          <w:b/>
          <w:color w:val="0A769F"/>
          <w:sz w:val="28"/>
        </w:rPr>
        <w:t xml:space="preserve">Does a single national programme provide more flexibility for your organisation? </w:t>
      </w:r>
    </w:p>
    <w:p w14:paraId="7870D6FA" w14:textId="77777777" w:rsidR="00E74B44" w:rsidRDefault="00B63677">
      <w:pPr>
        <w:ind w:left="-4"/>
      </w:pPr>
      <w:r>
        <w:t xml:space="preserve">Potentially yes, but this depends entirely on whether flexibility is genuine or theoretical. For systemic prevention models like COSS, flexibility means: </w:t>
      </w:r>
    </w:p>
    <w:p w14:paraId="1BF4206B" w14:textId="77777777" w:rsidR="00E74B44" w:rsidRDefault="00B63677">
      <w:pPr>
        <w:numPr>
          <w:ilvl w:val="1"/>
          <w:numId w:val="5"/>
        </w:numPr>
        <w:ind w:hanging="360"/>
      </w:pPr>
      <w:r>
        <w:t xml:space="preserve">Ability to adapt to local contexts while maintaining core fidelity </w:t>
      </w:r>
    </w:p>
    <w:p w14:paraId="7F8C7C6A" w14:textId="77777777" w:rsidR="00E74B44" w:rsidRDefault="00B63677">
      <w:pPr>
        <w:numPr>
          <w:ilvl w:val="1"/>
          <w:numId w:val="5"/>
        </w:numPr>
        <w:ind w:hanging="360"/>
      </w:pPr>
      <w:r>
        <w:t xml:space="preserve">Freedom to coordinate across multiple service types within a network </w:t>
      </w:r>
    </w:p>
    <w:p w14:paraId="4B8DDCA7" w14:textId="77777777" w:rsidR="00E74B44" w:rsidRDefault="00B63677">
      <w:pPr>
        <w:numPr>
          <w:ilvl w:val="1"/>
          <w:numId w:val="5"/>
        </w:numPr>
        <w:ind w:hanging="360"/>
      </w:pPr>
      <w:r>
        <w:t xml:space="preserve">Responsive adjustment to emerging community needs </w:t>
      </w:r>
    </w:p>
    <w:p w14:paraId="1C56CD1C" w14:textId="77777777" w:rsidR="00E74B44" w:rsidRDefault="00B63677">
      <w:pPr>
        <w:numPr>
          <w:ilvl w:val="1"/>
          <w:numId w:val="5"/>
        </w:numPr>
        <w:ind w:hanging="360"/>
      </w:pPr>
      <w:r>
        <w:t xml:space="preserve">Long-term funding horizons that support relationship building </w:t>
      </w:r>
    </w:p>
    <w:p w14:paraId="490767DD" w14:textId="77777777" w:rsidR="00E74B44" w:rsidRDefault="00B63677">
      <w:pPr>
        <w:ind w:left="-4"/>
      </w:pPr>
      <w:r>
        <w:t xml:space="preserve">If the single programme consolidates reporting requirements and enables multi-year funding agreements, this will support flexibility. However, if national directives constrain local adaptation or competitive grant processes disrupt established networks, flexibility will decrease rather than increase. </w:t>
      </w:r>
    </w:p>
    <w:p w14:paraId="3C286812" w14:textId="77777777" w:rsidR="00E74B44" w:rsidRDefault="00B63677">
      <w:pPr>
        <w:spacing w:after="302"/>
        <w:ind w:left="-4"/>
      </w:pPr>
      <w:r>
        <w:t xml:space="preserve">The discussion paper's interest in relational contracting is encouraging. Complex systemic models require outcome-focused agreements rather than prescribed activity lists. COSS implementation requires network coordination, shared governance, and adaptive responses—capabilities that standard grant agreements often constrain. </w:t>
      </w:r>
    </w:p>
    <w:p w14:paraId="752D4BC2" w14:textId="77777777" w:rsidR="00E74B44" w:rsidRDefault="00B63677">
      <w:pPr>
        <w:numPr>
          <w:ilvl w:val="0"/>
          <w:numId w:val="5"/>
        </w:numPr>
        <w:spacing w:after="54"/>
        <w:ind w:hanging="10"/>
      </w:pPr>
      <w:r>
        <w:rPr>
          <w:b/>
          <w:color w:val="0A769F"/>
          <w:sz w:val="28"/>
        </w:rPr>
        <w:t xml:space="preserve">The COSS Model within one of the three funding streams of the new programme </w:t>
      </w:r>
    </w:p>
    <w:p w14:paraId="65C04DC8" w14:textId="77777777" w:rsidR="00E74B44" w:rsidRDefault="00B63677">
      <w:pPr>
        <w:ind w:left="-4"/>
      </w:pPr>
      <w:r>
        <w:t xml:space="preserve">The ‘Community of Schools and Services’ model of prevention/early intervention is not currently funded within the existing five DSS programmes.  </w:t>
      </w:r>
    </w:p>
    <w:p w14:paraId="1D74D8AF" w14:textId="77777777" w:rsidR="00E74B44" w:rsidRDefault="00B63677">
      <w:pPr>
        <w:ind w:left="-4"/>
      </w:pPr>
      <w:r>
        <w:t xml:space="preserve">The COSS Model fits primarily within Stream 2: Prevention and Early Intervention. However, our implementation experience shows that effective prevention operates across the continuum— identifying risk early (Stream 2), providing intensive family support when needed (Stream 3), and connecting families to universal resources (Stream 1). </w:t>
      </w:r>
    </w:p>
    <w:p w14:paraId="26A9820D" w14:textId="77777777" w:rsidR="00E74B44" w:rsidRDefault="00B63677">
      <w:pPr>
        <w:ind w:left="-4"/>
      </w:pPr>
      <w:r>
        <w:t xml:space="preserve">COSS Model networks or community collectives: </w:t>
      </w:r>
    </w:p>
    <w:p w14:paraId="4FEEE358" w14:textId="77777777" w:rsidR="00E74B44" w:rsidRDefault="00B63677">
      <w:pPr>
        <w:numPr>
          <w:ilvl w:val="1"/>
          <w:numId w:val="5"/>
        </w:numPr>
        <w:ind w:hanging="360"/>
      </w:pPr>
      <w:r>
        <w:t xml:space="preserve">Annual screening of secondary school populations using validated tools to identify a range of vulnerable cohorts. </w:t>
      </w:r>
    </w:p>
    <w:p w14:paraId="1A9490C5" w14:textId="77777777" w:rsidR="00E74B44" w:rsidRDefault="00B63677">
      <w:pPr>
        <w:numPr>
          <w:ilvl w:val="1"/>
          <w:numId w:val="5"/>
        </w:numPr>
        <w:ind w:hanging="360"/>
      </w:pPr>
      <w:r>
        <w:t xml:space="preserve">Provide coordinated and systematic early intervention with adolescents and their families before the escalation to crises occurs. </w:t>
      </w:r>
    </w:p>
    <w:p w14:paraId="50829B53" w14:textId="77777777" w:rsidR="00E74B44" w:rsidRDefault="00B63677">
      <w:pPr>
        <w:numPr>
          <w:ilvl w:val="1"/>
          <w:numId w:val="5"/>
        </w:numPr>
        <w:ind w:hanging="360"/>
      </w:pPr>
      <w:r>
        <w:t xml:space="preserve">Support and interventions are provided on a tiered approach – for only as long as necessary but whenever necessary to balance effectiveness and efficiency. </w:t>
      </w:r>
    </w:p>
    <w:p w14:paraId="3D8D9D1D" w14:textId="77777777" w:rsidR="00E74B44" w:rsidRDefault="00B63677">
      <w:pPr>
        <w:numPr>
          <w:ilvl w:val="1"/>
          <w:numId w:val="5"/>
        </w:numPr>
        <w:ind w:hanging="360"/>
      </w:pPr>
      <w:r>
        <w:t xml:space="preserve">Provide wraparound support for complex cases of family dysfunction. </w:t>
      </w:r>
    </w:p>
    <w:p w14:paraId="7CD132D4" w14:textId="77777777" w:rsidR="00E74B44" w:rsidRDefault="00B63677">
      <w:pPr>
        <w:numPr>
          <w:ilvl w:val="1"/>
          <w:numId w:val="5"/>
        </w:numPr>
        <w:ind w:hanging="360"/>
      </w:pPr>
      <w:r>
        <w:t xml:space="preserve">Reduce demand on crisis services and out-of-home care. </w:t>
      </w:r>
    </w:p>
    <w:p w14:paraId="0097F24B" w14:textId="77777777" w:rsidR="00E74B44" w:rsidRDefault="00B63677">
      <w:pPr>
        <w:ind w:left="-4"/>
      </w:pPr>
      <w:r>
        <w:lastRenderedPageBreak/>
        <w:t xml:space="preserve">The three-stream structure is conceptually sound. However, implementation must recognise that families do not experience needs in discrete categories. Young people move fluidly between prevention, early intervention, and intensive support—sometimes within the same service journey. </w:t>
      </w:r>
    </w:p>
    <w:p w14:paraId="6036E3B6" w14:textId="77777777" w:rsidR="00E74B44" w:rsidRDefault="00B63677">
      <w:pPr>
        <w:ind w:left="-4"/>
      </w:pPr>
      <w:r>
        <w:t xml:space="preserve">For the streams to reflect community-level need: </w:t>
      </w:r>
    </w:p>
    <w:p w14:paraId="34CAAD5D" w14:textId="77777777" w:rsidR="00E74B44" w:rsidRDefault="00B63677">
      <w:pPr>
        <w:numPr>
          <w:ilvl w:val="1"/>
          <w:numId w:val="5"/>
        </w:numPr>
        <w:ind w:hanging="360"/>
      </w:pPr>
      <w:r>
        <w:t xml:space="preserve">Stream 2 must explicitly prioritise adolescent prevention alongside early childhood. </w:t>
      </w:r>
    </w:p>
    <w:p w14:paraId="5E698B78" w14:textId="77777777" w:rsidR="00E74B44" w:rsidRDefault="00B63677">
      <w:pPr>
        <w:numPr>
          <w:ilvl w:val="1"/>
          <w:numId w:val="5"/>
        </w:numPr>
        <w:ind w:hanging="360"/>
      </w:pPr>
      <w:r>
        <w:t xml:space="preserve">Funding must support local community network coordination and backbone support, not just direct service delivery. </w:t>
      </w:r>
    </w:p>
    <w:p w14:paraId="12186DC3" w14:textId="77777777" w:rsidR="00E74B44" w:rsidRDefault="00B63677">
      <w:pPr>
        <w:numPr>
          <w:ilvl w:val="1"/>
          <w:numId w:val="5"/>
        </w:numPr>
        <w:ind w:hanging="360"/>
      </w:pPr>
      <w:r>
        <w:t xml:space="preserve">Assessment criteria must recognise community-level systemic integration as distinct from co-location. </w:t>
      </w:r>
    </w:p>
    <w:p w14:paraId="4E378C49" w14:textId="77777777" w:rsidR="00E74B44" w:rsidRDefault="00B63677">
      <w:pPr>
        <w:numPr>
          <w:ilvl w:val="1"/>
          <w:numId w:val="5"/>
        </w:numPr>
        <w:spacing w:after="302"/>
        <w:ind w:hanging="360"/>
      </w:pPr>
      <w:r>
        <w:t xml:space="preserve">Providers working across streams should not be penalised for ‘holistic’ approaches, provided any practice innovation of working across programmes reports against outcomes. </w:t>
      </w:r>
    </w:p>
    <w:p w14:paraId="440D9A12" w14:textId="77777777" w:rsidR="00E74B44" w:rsidRDefault="00B63677">
      <w:pPr>
        <w:numPr>
          <w:ilvl w:val="0"/>
          <w:numId w:val="5"/>
        </w:numPr>
        <w:spacing w:after="54"/>
        <w:ind w:hanging="10"/>
      </w:pPr>
      <w:r>
        <w:rPr>
          <w:b/>
          <w:color w:val="0A769F"/>
          <w:sz w:val="28"/>
        </w:rPr>
        <w:t xml:space="preserve">Ideas for reform under the new national program approach to the wellbeing of families, children and young people </w:t>
      </w:r>
    </w:p>
    <w:p w14:paraId="58DC7E4D" w14:textId="77777777" w:rsidR="00E74B44" w:rsidRDefault="00B63677">
      <w:pPr>
        <w:ind w:left="-4"/>
      </w:pPr>
      <w:r>
        <w:t xml:space="preserve">Several changes would significantly strengthen systemic prevention approaches: </w:t>
      </w:r>
    </w:p>
    <w:p w14:paraId="1DE6410B" w14:textId="77777777" w:rsidR="00E74B44" w:rsidRDefault="00B63677">
      <w:pPr>
        <w:spacing w:after="92" w:line="267" w:lineRule="auto"/>
        <w:ind w:left="-3" w:hanging="10"/>
      </w:pPr>
      <w:r>
        <w:rPr>
          <w:b/>
          <w:sz w:val="24"/>
        </w:rPr>
        <w:t xml:space="preserve">Recognise schools as an anchor institution within a cross-sectoral approach for adolescent prevention. </w:t>
      </w:r>
    </w:p>
    <w:p w14:paraId="2559FA25" w14:textId="77777777" w:rsidR="00E74B44" w:rsidRDefault="00B63677">
      <w:pPr>
        <w:ind w:left="-4"/>
      </w:pPr>
      <w:r>
        <w:t xml:space="preserve">Secondary schools are the primary setting where adolescents spend time and where early warning signs become visible. The COSS Model demonstrates that using a community-level framework and undertaking identification of vulnerability in school settings followed by a combined team of school welfare staff collaborating with external prevention workers is able to achieve community-level outcomes significantly more effectively than school-based welfare alone or external community services responding to referrals </w:t>
      </w:r>
      <w:r>
        <w:t xml:space="preserve">from schools. Assessment criteria should explicitly value the ecosystem and cross-sectoral approaches. </w:t>
      </w:r>
    </w:p>
    <w:p w14:paraId="07DE2B4C" w14:textId="77777777" w:rsidR="00E74B44" w:rsidRDefault="00B63677">
      <w:pPr>
        <w:pStyle w:val="Heading2"/>
        <w:ind w:left="-3"/>
      </w:pPr>
      <w:r>
        <w:t xml:space="preserve">Support fidelity frameworks for evidence-based models </w:t>
      </w:r>
    </w:p>
    <w:p w14:paraId="712FAB84" w14:textId="77777777" w:rsidR="00E74B44" w:rsidRDefault="00B63677">
      <w:pPr>
        <w:ind w:left="-4"/>
      </w:pPr>
      <w:r>
        <w:t xml:space="preserve">The tension between local adaptation and evidence-based fidelity is persistent in prevention work. Upstream Australia has developed comprehensive fidelity assessment frameworks for COSS Model that balance core components with adaptable elements. DSS should support such frameworks rather than requiring providers to develop ad hoc approaches. </w:t>
      </w:r>
    </w:p>
    <w:p w14:paraId="4CD3EDE6" w14:textId="77777777" w:rsidR="00E74B44" w:rsidRDefault="00B63677">
      <w:pPr>
        <w:spacing w:after="120" w:line="259" w:lineRule="auto"/>
        <w:ind w:left="2" w:firstLine="0"/>
      </w:pPr>
      <w:r>
        <w:rPr>
          <w:b/>
          <w:sz w:val="24"/>
        </w:rPr>
        <w:t xml:space="preserve"> </w:t>
      </w:r>
    </w:p>
    <w:p w14:paraId="795A6FA3" w14:textId="77777777" w:rsidR="00E74B44" w:rsidRDefault="00B63677">
      <w:pPr>
        <w:spacing w:after="0" w:line="259" w:lineRule="auto"/>
        <w:ind w:left="2" w:firstLine="0"/>
      </w:pPr>
      <w:r>
        <w:rPr>
          <w:b/>
          <w:sz w:val="24"/>
        </w:rPr>
        <w:t xml:space="preserve"> </w:t>
      </w:r>
    </w:p>
    <w:p w14:paraId="1D79AD50" w14:textId="77777777" w:rsidR="00E74B44" w:rsidRDefault="00B63677">
      <w:pPr>
        <w:pStyle w:val="Heading2"/>
        <w:ind w:left="-3"/>
      </w:pPr>
      <w:r>
        <w:t xml:space="preserve">Fund network coordination infrastructure </w:t>
      </w:r>
    </w:p>
    <w:p w14:paraId="5FFA9B85" w14:textId="77777777" w:rsidR="00E74B44" w:rsidRDefault="00B63677">
      <w:pPr>
        <w:ind w:left="-4"/>
      </w:pPr>
      <w:r>
        <w:t xml:space="preserve">Systemic integration requires dedicated community-level coordination by a lead agency. This is not administrative overhead—it is essential infrastructure. COSS Model networks incorporate ongoing formal coordination roles that convene partners, facilitated case conferencing, backbone support, management of shared data, and maintenance of collective accountability. Without this 'service glue', local service integration remains theoretical or rhetorical.  </w:t>
      </w:r>
    </w:p>
    <w:p w14:paraId="2C2D25C5" w14:textId="77777777" w:rsidR="00E74B44" w:rsidRDefault="00B63677">
      <w:pPr>
        <w:pStyle w:val="Heading2"/>
        <w:ind w:left="-3"/>
      </w:pPr>
      <w:r>
        <w:t xml:space="preserve">Establish adolescent social problem targets </w:t>
      </w:r>
    </w:p>
    <w:p w14:paraId="5B0EB1FC" w14:textId="77777777" w:rsidR="00E74B44" w:rsidRDefault="00B63677">
      <w:pPr>
        <w:ind w:left="-4"/>
      </w:pPr>
      <w:r>
        <w:t xml:space="preserve">Given evidence that adolescent homelessness feeds adult homelessness and early school leaving feeds adult disadvantage and mental health issues intersect with both in generating substantial late intervention costs, performance frameworks should include explicit targets for reducing the </w:t>
      </w:r>
      <w:r>
        <w:lastRenderedPageBreak/>
        <w:t xml:space="preserve">incidence of adolescent social problems as part of monitoring and improving wellbeing. Longitudinal tracking would enable measurement of long-term prevention returns. </w:t>
      </w:r>
    </w:p>
    <w:p w14:paraId="5DCEEBF5" w14:textId="77777777" w:rsidR="00E74B44" w:rsidRDefault="00B63677">
      <w:pPr>
        <w:pStyle w:val="Heading2"/>
        <w:ind w:left="-3"/>
      </w:pPr>
      <w:r>
        <w:t xml:space="preserve">Support relational contracts for complex systemic models </w:t>
      </w:r>
    </w:p>
    <w:p w14:paraId="663F06EB" w14:textId="77777777" w:rsidR="00E74B44" w:rsidRDefault="00B63677">
      <w:pPr>
        <w:spacing w:after="302"/>
        <w:ind w:left="-4"/>
      </w:pPr>
      <w:r>
        <w:t xml:space="preserve">Models requiring network coordination and adaptive implementation will not operate optimally under standard grant agreements. Relational contracting focused on outcomes rather than prescribed activities would enable the flexibility that systemic prevention requires. </w:t>
      </w:r>
    </w:p>
    <w:p w14:paraId="1AF95B50" w14:textId="77777777" w:rsidR="00E74B44" w:rsidRDefault="00B63677">
      <w:pPr>
        <w:spacing w:after="54"/>
        <w:ind w:left="-3" w:hanging="10"/>
      </w:pPr>
      <w:r>
        <w:rPr>
          <w:b/>
          <w:color w:val="0A769F"/>
          <w:sz w:val="28"/>
        </w:rPr>
        <w:t xml:space="preserve">6. Do you agree that the four priorities listed on Page 4 are the right areas for investment to improve outcomes for children and families? </w:t>
      </w:r>
    </w:p>
    <w:p w14:paraId="6B30BBCA" w14:textId="77777777" w:rsidR="00E74B44" w:rsidRDefault="00B63677">
      <w:pPr>
        <w:ind w:left="-4"/>
      </w:pPr>
      <w:r>
        <w:t xml:space="preserve">The four priorities are appropriate but incomplete. Each requires refinement to achieve stated goals: </w:t>
      </w:r>
    </w:p>
    <w:p w14:paraId="47A12945" w14:textId="77777777" w:rsidR="00E74B44" w:rsidRDefault="00B63677">
      <w:pPr>
        <w:pStyle w:val="Heading2"/>
        <w:ind w:left="-3"/>
      </w:pPr>
      <w:r>
        <w:t xml:space="preserve">Priority 1: Invest early to improve family wellbeing </w:t>
      </w:r>
    </w:p>
    <w:p w14:paraId="0CB923B2" w14:textId="77777777" w:rsidR="00E74B44" w:rsidRDefault="00B63677">
      <w:pPr>
        <w:ind w:left="-4"/>
      </w:pPr>
      <w:r>
        <w:t xml:space="preserve">We strongly support this priority. However, 'early' must explicitly include adolescence, not just early childhood. The evidence summary extensively documents the return on early childhood investment but barely acknowledges adolescent prevention—despite neurobiological evidence that adolescence represents a second critical window of opportunity. </w:t>
      </w:r>
    </w:p>
    <w:p w14:paraId="359B1F28" w14:textId="77777777" w:rsidR="00E74B44" w:rsidRDefault="00B63677">
      <w:pPr>
        <w:ind w:left="-4"/>
      </w:pPr>
      <w:r>
        <w:t xml:space="preserve">The evidence summary references the cost offsets of late intervention of some $22 billion. This metric underpins the case for a system of early childhood education and support programmes that are relatively well-developed but extended to a somewhat lesser extent through primary schooling years.  Prevention is hugely under-developed for vulnerable adolescents, where most programme responses to various youth problems are about crisis management and in the form of siloed and fragmented programmatic responses. </w:t>
      </w:r>
    </w:p>
    <w:p w14:paraId="1B0723EA" w14:textId="77777777" w:rsidR="00E74B44" w:rsidRDefault="00B63677">
      <w:pPr>
        <w:ind w:left="-4"/>
      </w:pPr>
      <w:r>
        <w:t xml:space="preserve">Taking the commitment to early childhood interventions as established science and relatively wellestablished and funded sector, arguably, adolescent prevention represents the single most costeffective intervention point for breaking cycles of disadvantage that the government should begin to  invest in. </w:t>
      </w:r>
    </w:p>
    <w:p w14:paraId="7BF98E70" w14:textId="77777777" w:rsidR="00E74B44" w:rsidRDefault="00B63677">
      <w:pPr>
        <w:ind w:left="-4"/>
      </w:pPr>
      <w:r>
        <w:t xml:space="preserve">A problem for the prevention agenda is that the cost savings from prevention do not accrue to the department doing the prevention/early intervention but to other departments, and current costbenefit accounting within government do not monitor the cost savings metrics systematically. </w:t>
      </w:r>
    </w:p>
    <w:p w14:paraId="2FDA5500" w14:textId="77777777" w:rsidR="00E74B44" w:rsidRDefault="00B63677">
      <w:pPr>
        <w:pStyle w:val="Heading2"/>
        <w:ind w:left="-3"/>
      </w:pPr>
      <w:r>
        <w:t xml:space="preserve">Priority 2: Prioritise connected, co-located, and integrated services </w:t>
      </w:r>
    </w:p>
    <w:p w14:paraId="65FBB3A5" w14:textId="77777777" w:rsidR="00E74B44" w:rsidRDefault="00B63677">
      <w:pPr>
        <w:ind w:left="-4"/>
      </w:pPr>
      <w:r>
        <w:t xml:space="preserve">This priority is essential. However, the discussion paper must distinguish between genuine systemic integration and simple co-location. The COSS Model demonstrates that integration requires: </w:t>
      </w:r>
    </w:p>
    <w:p w14:paraId="0427A832" w14:textId="77777777" w:rsidR="00E74B44" w:rsidRDefault="00E74B44">
      <w:pPr>
        <w:sectPr w:rsidR="00E74B44">
          <w:headerReference w:type="even" r:id="rId14"/>
          <w:headerReference w:type="default" r:id="rId15"/>
          <w:footerReference w:type="even" r:id="rId16"/>
          <w:footerReference w:type="default" r:id="rId17"/>
          <w:headerReference w:type="first" r:id="rId18"/>
          <w:footerReference w:type="first" r:id="rId19"/>
          <w:pgSz w:w="11904" w:h="16838"/>
          <w:pgMar w:top="711" w:right="1437" w:bottom="1265" w:left="1438" w:header="720" w:footer="709" w:gutter="0"/>
          <w:cols w:space="720"/>
        </w:sectPr>
      </w:pPr>
    </w:p>
    <w:p w14:paraId="006C452F" w14:textId="77777777" w:rsidR="00E74B44" w:rsidRDefault="00B63677">
      <w:pPr>
        <w:ind w:left="730"/>
      </w:pPr>
      <w:r>
        <w:lastRenderedPageBreak/>
        <w:t xml:space="preserve">Formal network structures with shared governance </w:t>
      </w:r>
    </w:p>
    <w:p w14:paraId="54A6C655" w14:textId="77777777" w:rsidR="00E74B44" w:rsidRDefault="00B63677">
      <w:pPr>
        <w:numPr>
          <w:ilvl w:val="0"/>
          <w:numId w:val="6"/>
        </w:numPr>
        <w:ind w:hanging="360"/>
      </w:pPr>
      <w:r>
        <w:t xml:space="preserve">Standardised assessment and referral pathways </w:t>
      </w:r>
    </w:p>
    <w:p w14:paraId="1D1395CE" w14:textId="77777777" w:rsidR="00E74B44" w:rsidRDefault="00B63677">
      <w:pPr>
        <w:numPr>
          <w:ilvl w:val="0"/>
          <w:numId w:val="6"/>
        </w:numPr>
        <w:ind w:hanging="360"/>
      </w:pPr>
      <w:r>
        <w:t xml:space="preserve">Coordinated case management across agencies </w:t>
      </w:r>
    </w:p>
    <w:p w14:paraId="1366C67F" w14:textId="77777777" w:rsidR="00E74B44" w:rsidRDefault="00B63677">
      <w:pPr>
        <w:numPr>
          <w:ilvl w:val="0"/>
          <w:numId w:val="6"/>
        </w:numPr>
        <w:ind w:hanging="360"/>
      </w:pPr>
      <w:r>
        <w:t xml:space="preserve">Shared accountability for population outcomes </w:t>
      </w:r>
    </w:p>
    <w:p w14:paraId="68D9B4A0" w14:textId="77777777" w:rsidR="00E74B44" w:rsidRDefault="00B63677">
      <w:pPr>
        <w:numPr>
          <w:ilvl w:val="0"/>
          <w:numId w:val="6"/>
        </w:numPr>
        <w:ind w:hanging="360"/>
      </w:pPr>
      <w:r>
        <w:t xml:space="preserve">Dedicated coordination infrastructure </w:t>
      </w:r>
    </w:p>
    <w:p w14:paraId="02F34AB3" w14:textId="77777777" w:rsidR="00E74B44" w:rsidRDefault="00B63677">
      <w:pPr>
        <w:spacing w:after="129"/>
        <w:ind w:left="-4"/>
      </w:pPr>
      <w:r>
        <w:t xml:space="preserve">These mechanisms cannot be assumed—they must be developed and explicitly funded and supported. </w:t>
      </w:r>
    </w:p>
    <w:p w14:paraId="4A857012" w14:textId="77777777" w:rsidR="00E74B44" w:rsidRDefault="00B63677">
      <w:pPr>
        <w:pStyle w:val="Heading2"/>
        <w:ind w:left="-3"/>
      </w:pPr>
      <w:r>
        <w:t xml:space="preserve">Priority 3: Ensure services are informed by and respond to community needs </w:t>
      </w:r>
    </w:p>
    <w:p w14:paraId="7C294179" w14:textId="77777777" w:rsidR="00E74B44" w:rsidRDefault="00B63677">
      <w:pPr>
        <w:ind w:left="-4"/>
      </w:pPr>
      <w:r>
        <w:t xml:space="preserve">The COSS Model is a place-based approach. Each network adapts to local contexts while maintaining core fidelity. Implementation includes community advisory groups, local governance structures, and data-driven targeting. However, place-based approaches require trust and continuity. Competitive grant processes that replace established providers risk disrupting trusted relationships. </w:t>
      </w:r>
    </w:p>
    <w:p w14:paraId="55C1B51E" w14:textId="77777777" w:rsidR="00E74B44" w:rsidRDefault="00B63677">
      <w:pPr>
        <w:pStyle w:val="Heading2"/>
        <w:ind w:left="-3"/>
      </w:pPr>
      <w:r>
        <w:t xml:space="preserve">Priority 4: Improve outcomes for First Nations children and families </w:t>
      </w:r>
    </w:p>
    <w:p w14:paraId="034E2AFA" w14:textId="77777777" w:rsidR="00E74B44" w:rsidRDefault="00B63677">
      <w:pPr>
        <w:spacing w:after="302"/>
        <w:ind w:left="-4"/>
      </w:pPr>
      <w:r>
        <w:t>We support Aboriginal Community-Controlled Organisations (ACCO-led) service delivery in communities with significant First Nations populations. There has been outreach from several communities in Australia where First Nations youth and families are a significant part of the local population. These conversations are ongoing at present. As a general principle, the lead agency(ies) in such a community ought to be an ACCO-led agency to guide social and cultural adaptation of a model such as the COSS Model while</w:t>
      </w:r>
      <w:r>
        <w:t xml:space="preserve"> maintaining fidelity to prevention outcomes. </w:t>
      </w:r>
    </w:p>
    <w:p w14:paraId="68D35B96" w14:textId="77777777" w:rsidR="00E74B44" w:rsidRDefault="00B63677">
      <w:pPr>
        <w:spacing w:after="54"/>
        <w:ind w:left="-3" w:hanging="10"/>
      </w:pPr>
      <w:r>
        <w:rPr>
          <w:b/>
          <w:color w:val="0A769F"/>
          <w:sz w:val="28"/>
        </w:rPr>
        <w:t xml:space="preserve">7. Are there any other priorities or issues you think the department should be focusing on? </w:t>
      </w:r>
    </w:p>
    <w:p w14:paraId="0F6D6E20" w14:textId="77777777" w:rsidR="00E74B44" w:rsidRDefault="00B63677">
      <w:pPr>
        <w:ind w:left="-4"/>
      </w:pPr>
      <w:r>
        <w:t xml:space="preserve">Several critical priorities are underemphasised: </w:t>
      </w:r>
    </w:p>
    <w:p w14:paraId="742689EE" w14:textId="77777777" w:rsidR="00E74B44" w:rsidRDefault="00B63677">
      <w:pPr>
        <w:pStyle w:val="Heading2"/>
        <w:ind w:left="-3"/>
      </w:pPr>
      <w:r>
        <w:t xml:space="preserve">Adolescent prevention as explicit investment priority </w:t>
      </w:r>
    </w:p>
    <w:p w14:paraId="0586542B" w14:textId="77777777" w:rsidR="00E74B44" w:rsidRDefault="00B63677">
      <w:pPr>
        <w:ind w:left="-4"/>
      </w:pPr>
      <w:r>
        <w:t xml:space="preserve">This is the most significant gap in the current framework. The neurobiological evidence is clear: adolescence represents a second window of opportunity with developmental plasticity comparable to early childhood. UNICEF's research program explicitly describes adolescence as 'a second window of opportunity' for intervention. </w:t>
      </w:r>
    </w:p>
    <w:p w14:paraId="0D57ADE5" w14:textId="77777777" w:rsidR="00E74B44" w:rsidRDefault="00B63677">
      <w:pPr>
        <w:ind w:left="-4"/>
      </w:pPr>
      <w:r>
        <w:t xml:space="preserve">Adolescent prevention delivers multiple strategic benefits: </w:t>
      </w:r>
    </w:p>
    <w:p w14:paraId="77B6ED79" w14:textId="77777777" w:rsidR="00E74B44" w:rsidRDefault="00B63677">
      <w:pPr>
        <w:numPr>
          <w:ilvl w:val="0"/>
          <w:numId w:val="7"/>
        </w:numPr>
        <w:ind w:hanging="360"/>
      </w:pPr>
      <w:r>
        <w:t xml:space="preserve">Breaks pathways from adolescent to adult homelessness </w:t>
      </w:r>
    </w:p>
    <w:p w14:paraId="3FC13F81" w14:textId="77777777" w:rsidR="00E74B44" w:rsidRDefault="00B63677">
      <w:pPr>
        <w:numPr>
          <w:ilvl w:val="0"/>
          <w:numId w:val="7"/>
        </w:numPr>
        <w:ind w:hanging="360"/>
      </w:pPr>
      <w:r>
        <w:t xml:space="preserve">Addresses issues before they become chronic psychiatric conditions </w:t>
      </w:r>
    </w:p>
    <w:p w14:paraId="73AE1E23" w14:textId="77777777" w:rsidR="00E74B44" w:rsidRDefault="00B63677">
      <w:pPr>
        <w:numPr>
          <w:ilvl w:val="0"/>
          <w:numId w:val="7"/>
        </w:numPr>
        <w:ind w:hanging="360"/>
      </w:pPr>
      <w:r>
        <w:t xml:space="preserve">Supports successful transitions to independence </w:t>
      </w:r>
    </w:p>
    <w:p w14:paraId="79C72297" w14:textId="77777777" w:rsidR="00E74B44" w:rsidRDefault="00B63677">
      <w:pPr>
        <w:numPr>
          <w:ilvl w:val="0"/>
          <w:numId w:val="7"/>
        </w:numPr>
        <w:ind w:hanging="360"/>
      </w:pPr>
      <w:r>
        <w:t xml:space="preserve">Reduces intergenerational transmission of disadvantage </w:t>
      </w:r>
    </w:p>
    <w:p w14:paraId="6787010D" w14:textId="77777777" w:rsidR="00E74B44" w:rsidRDefault="00B63677">
      <w:pPr>
        <w:pStyle w:val="Heading2"/>
        <w:ind w:left="-3"/>
      </w:pPr>
      <w:r>
        <w:t xml:space="preserve">Systemic versus service-level thinking </w:t>
      </w:r>
    </w:p>
    <w:p w14:paraId="414035DA" w14:textId="77777777" w:rsidR="00E74B44" w:rsidRDefault="00B63677">
      <w:pPr>
        <w:ind w:left="-4"/>
      </w:pPr>
      <w:r>
        <w:t xml:space="preserve">The Evidence Summary appropriately notes that 'services continue to be compartmentalised and cannot respond to the needs of families and children in a holistic and integrated way.' However, addressing this requires funding systemic infrastructure—network coordination, shared governance, collective accountability—not just encouraging collaboration. </w:t>
      </w:r>
    </w:p>
    <w:p w14:paraId="575EB5C6" w14:textId="77777777" w:rsidR="00E74B44" w:rsidRDefault="00B63677">
      <w:pPr>
        <w:spacing w:after="0" w:line="259" w:lineRule="auto"/>
        <w:ind w:left="1" w:firstLine="0"/>
      </w:pPr>
      <w:r>
        <w:rPr>
          <w:b/>
          <w:sz w:val="24"/>
        </w:rPr>
        <w:t xml:space="preserve"> </w:t>
      </w:r>
    </w:p>
    <w:p w14:paraId="67705501" w14:textId="77777777" w:rsidR="00E74B44" w:rsidRDefault="00B63677">
      <w:pPr>
        <w:pStyle w:val="Heading2"/>
        <w:ind w:left="-3"/>
      </w:pPr>
      <w:r>
        <w:lastRenderedPageBreak/>
        <w:t xml:space="preserve">Prevention fidelity frameworks </w:t>
      </w:r>
    </w:p>
    <w:p w14:paraId="5B79ECAA" w14:textId="77777777" w:rsidR="00E74B44" w:rsidRDefault="00B63677">
      <w:pPr>
        <w:ind w:left="-4"/>
      </w:pPr>
      <w:r>
        <w:t xml:space="preserve">Place-based implementation creates tension between local adaptation and evidence-based fidelity. DSS should support the development of fidelity assessment frameworks that enable both flexibility and quality assurance. Without fidelity mechanisms, evidence-based models risk programme drift and diminished outcomes. </w:t>
      </w:r>
    </w:p>
    <w:p w14:paraId="6F7925C6" w14:textId="77777777" w:rsidR="00E74B44" w:rsidRDefault="00B63677">
      <w:pPr>
        <w:pStyle w:val="Heading2"/>
        <w:ind w:left="-3"/>
      </w:pPr>
      <w:r>
        <w:t xml:space="preserve">Longitudinal outcome measurement </w:t>
      </w:r>
    </w:p>
    <w:p w14:paraId="15AB0BFA" w14:textId="77777777" w:rsidR="00E74B44" w:rsidRDefault="00B63677">
      <w:pPr>
        <w:spacing w:after="302"/>
        <w:ind w:left="-4"/>
      </w:pPr>
      <w:r>
        <w:t xml:space="preserve">Prevention impacts are often not visible in short-term metrics. The most significant returns— reduced adult homelessness, prevented psychiatric morbidity, decreased child protection involvement in the next generation—require longitudinal tracking. DEX reporting should be supplemented with longer-term follow-up studies. </w:t>
      </w:r>
    </w:p>
    <w:p w14:paraId="5DF730CA" w14:textId="77777777" w:rsidR="00E74B44" w:rsidRDefault="00B63677">
      <w:pPr>
        <w:numPr>
          <w:ilvl w:val="0"/>
          <w:numId w:val="8"/>
        </w:numPr>
        <w:spacing w:after="54"/>
        <w:ind w:hanging="10"/>
      </w:pPr>
      <w:r>
        <w:rPr>
          <w:b/>
          <w:color w:val="0A769F"/>
          <w:sz w:val="28"/>
        </w:rPr>
        <w:t xml:space="preserve">Do the proposed focus areas – like supporting families at risk of child protection involvement and young parents – match the needs or priorities of your service? </w:t>
      </w:r>
    </w:p>
    <w:p w14:paraId="6F178D59" w14:textId="77777777" w:rsidR="00E74B44" w:rsidRDefault="00B63677">
      <w:pPr>
        <w:ind w:left="-4"/>
      </w:pPr>
      <w:r>
        <w:t xml:space="preserve">These focus areas are important but represent only part of the prevention continuum. The COSS Model engages families before they reach child protection thresholds. Our screening identifies students at risk of homelessness—a strong predictor of future child protection involvement—when early warning signs first emerge. </w:t>
      </w:r>
    </w:p>
    <w:p w14:paraId="7596729C" w14:textId="77777777" w:rsidR="00E74B44" w:rsidRDefault="00B63677">
      <w:pPr>
        <w:ind w:left="-4"/>
      </w:pPr>
      <w:r>
        <w:t xml:space="preserve">The focus on young parents is appropriate but narrow. Youth homelessness affects all adolescents, not just young parents. Research shows: </w:t>
      </w:r>
    </w:p>
    <w:p w14:paraId="27B7BE70" w14:textId="77777777" w:rsidR="00E74B44" w:rsidRDefault="00B63677">
      <w:pPr>
        <w:numPr>
          <w:ilvl w:val="1"/>
          <w:numId w:val="8"/>
        </w:numPr>
        <w:ind w:hanging="360"/>
      </w:pPr>
      <w:r>
        <w:t xml:space="preserve">Children of young parents have higher risk of entering care and protection </w:t>
      </w:r>
    </w:p>
    <w:p w14:paraId="4F119A97" w14:textId="77777777" w:rsidR="00E74B44" w:rsidRDefault="00B63677">
      <w:pPr>
        <w:numPr>
          <w:ilvl w:val="1"/>
          <w:numId w:val="8"/>
        </w:numPr>
        <w:ind w:hanging="360"/>
      </w:pPr>
      <w:r>
        <w:t xml:space="preserve">Supporting young parents can break intergenerational cycles </w:t>
      </w:r>
    </w:p>
    <w:p w14:paraId="71646CC4" w14:textId="77777777" w:rsidR="00E74B44" w:rsidRDefault="00B63677">
      <w:pPr>
        <w:numPr>
          <w:ilvl w:val="1"/>
          <w:numId w:val="8"/>
        </w:numPr>
        <w:ind w:hanging="360"/>
      </w:pPr>
      <w:r>
        <w:t xml:space="preserve">However, many at-risk adolescents are not parents but will become vulnerable parents without intervention </w:t>
      </w:r>
    </w:p>
    <w:p w14:paraId="34AD9A35" w14:textId="77777777" w:rsidR="00E74B44" w:rsidRDefault="00B63677">
      <w:pPr>
        <w:spacing w:after="302"/>
        <w:ind w:left="-4"/>
      </w:pPr>
      <w:r>
        <w:t xml:space="preserve">Upstream prevention must reach adolescents before their lives become deeply problematic, become young parents in crisis, or they enter child protection systems. The focus areas should explicitly include adolescent prevention as a strategic priority. </w:t>
      </w:r>
    </w:p>
    <w:p w14:paraId="0301B89A" w14:textId="77777777" w:rsidR="00E74B44" w:rsidRDefault="00B63677">
      <w:pPr>
        <w:numPr>
          <w:ilvl w:val="0"/>
          <w:numId w:val="8"/>
        </w:numPr>
        <w:spacing w:after="54"/>
        <w:ind w:hanging="10"/>
      </w:pPr>
      <w:r>
        <w:rPr>
          <w:b/>
          <w:color w:val="0A769F"/>
          <w:sz w:val="28"/>
        </w:rPr>
        <w:t xml:space="preserve">Are there other groups in your community, or different approaches, that you think the department should consider to better support family wellbeing? </w:t>
      </w:r>
    </w:p>
    <w:p w14:paraId="74139B26" w14:textId="77777777" w:rsidR="00E74B44" w:rsidRDefault="00B63677">
      <w:pPr>
        <w:spacing w:after="132"/>
        <w:ind w:left="-4"/>
      </w:pPr>
      <w:r>
        <w:t xml:space="preserve">Several groups require targeted approaches: </w:t>
      </w:r>
    </w:p>
    <w:p w14:paraId="2F33EB48" w14:textId="77777777" w:rsidR="00E74B44" w:rsidRDefault="00B63677">
      <w:pPr>
        <w:pStyle w:val="Heading2"/>
        <w:ind w:left="-3"/>
      </w:pPr>
      <w:r>
        <w:t xml:space="preserve">Adolescents showing early warning signs </w:t>
      </w:r>
    </w:p>
    <w:p w14:paraId="75D5F7E7" w14:textId="77777777" w:rsidR="00E74B44" w:rsidRDefault="00B63677">
      <w:pPr>
        <w:ind w:left="-4"/>
      </w:pPr>
      <w:r>
        <w:t xml:space="preserve">COSS networks identify vulnerable students through Australian Index of Adolescent Development (AIAD) indicators and local knowledge using factors such as: </w:t>
      </w:r>
    </w:p>
    <w:p w14:paraId="2C945573" w14:textId="77777777" w:rsidR="00E74B44" w:rsidRDefault="00B63677">
      <w:pPr>
        <w:numPr>
          <w:ilvl w:val="0"/>
          <w:numId w:val="9"/>
        </w:numPr>
        <w:ind w:hanging="360"/>
      </w:pPr>
      <w:r>
        <w:t xml:space="preserve">Risk of homelessness </w:t>
      </w:r>
    </w:p>
    <w:p w14:paraId="519EF26B" w14:textId="77777777" w:rsidR="00E74B44" w:rsidRDefault="00B63677">
      <w:pPr>
        <w:numPr>
          <w:ilvl w:val="0"/>
          <w:numId w:val="9"/>
        </w:numPr>
        <w:ind w:hanging="360"/>
      </w:pPr>
      <w:r>
        <w:t xml:space="preserve">Adolescent well-being </w:t>
      </w:r>
    </w:p>
    <w:p w14:paraId="59C6E450" w14:textId="77777777" w:rsidR="00E74B44" w:rsidRDefault="00B63677">
      <w:pPr>
        <w:numPr>
          <w:ilvl w:val="0"/>
          <w:numId w:val="9"/>
        </w:numPr>
        <w:ind w:hanging="360"/>
      </w:pPr>
      <w:r>
        <w:t xml:space="preserve">Disengagement from school </w:t>
      </w:r>
    </w:p>
    <w:p w14:paraId="3E31AB0D" w14:textId="77777777" w:rsidR="00E74B44" w:rsidRDefault="00B63677">
      <w:pPr>
        <w:numPr>
          <w:ilvl w:val="0"/>
          <w:numId w:val="9"/>
        </w:numPr>
        <w:ind w:hanging="360"/>
      </w:pPr>
      <w:r>
        <w:t xml:space="preserve">Connectedness with teachers, school, parents and peers </w:t>
      </w:r>
    </w:p>
    <w:p w14:paraId="127BF156" w14:textId="77777777" w:rsidR="00E74B44" w:rsidRDefault="00B63677">
      <w:pPr>
        <w:numPr>
          <w:ilvl w:val="0"/>
          <w:numId w:val="9"/>
        </w:numPr>
        <w:ind w:hanging="360"/>
      </w:pPr>
      <w:r>
        <w:t xml:space="preserve">Self-esteem </w:t>
      </w:r>
    </w:p>
    <w:p w14:paraId="37E61B07" w14:textId="77777777" w:rsidR="00E74B44" w:rsidRDefault="00B63677">
      <w:pPr>
        <w:ind w:left="730"/>
      </w:pPr>
      <w:r>
        <w:lastRenderedPageBreak/>
        <w:t xml:space="preserve">Psychological distress </w:t>
      </w:r>
    </w:p>
    <w:p w14:paraId="11A7AA85" w14:textId="77777777" w:rsidR="00E74B44" w:rsidRDefault="00B63677">
      <w:pPr>
        <w:numPr>
          <w:ilvl w:val="0"/>
          <w:numId w:val="9"/>
        </w:numPr>
        <w:ind w:hanging="360"/>
      </w:pPr>
      <w:r>
        <w:t xml:space="preserve">Resilience </w:t>
      </w:r>
    </w:p>
    <w:p w14:paraId="68457506" w14:textId="77777777" w:rsidR="00E74B44" w:rsidRDefault="00B63677">
      <w:pPr>
        <w:numPr>
          <w:ilvl w:val="0"/>
          <w:numId w:val="9"/>
        </w:numPr>
        <w:ind w:hanging="360"/>
      </w:pPr>
      <w:r>
        <w:t xml:space="preserve">Antisocial behaviours/risk of offending </w:t>
      </w:r>
    </w:p>
    <w:p w14:paraId="4BA756AC" w14:textId="77777777" w:rsidR="00E74B44" w:rsidRDefault="00B63677">
      <w:pPr>
        <w:numPr>
          <w:ilvl w:val="0"/>
          <w:numId w:val="9"/>
        </w:numPr>
        <w:ind w:hanging="360"/>
      </w:pPr>
      <w:r>
        <w:t xml:space="preserve">Chronic absenteeism </w:t>
      </w:r>
    </w:p>
    <w:p w14:paraId="6DB4E91C" w14:textId="77777777" w:rsidR="00E74B44" w:rsidRDefault="00B63677">
      <w:pPr>
        <w:numPr>
          <w:ilvl w:val="0"/>
          <w:numId w:val="9"/>
        </w:numPr>
        <w:ind w:hanging="360"/>
      </w:pPr>
      <w:r>
        <w:t xml:space="preserve">Family conflict or breakdown </w:t>
      </w:r>
    </w:p>
    <w:p w14:paraId="505FD533" w14:textId="77777777" w:rsidR="00E74B44" w:rsidRDefault="00B63677">
      <w:pPr>
        <w:numPr>
          <w:ilvl w:val="0"/>
          <w:numId w:val="9"/>
        </w:numPr>
        <w:ind w:hanging="360"/>
      </w:pPr>
      <w:r>
        <w:t xml:space="preserve">Housing instability </w:t>
      </w:r>
    </w:p>
    <w:p w14:paraId="0782F373" w14:textId="77777777" w:rsidR="00E74B44" w:rsidRDefault="00B63677">
      <w:pPr>
        <w:numPr>
          <w:ilvl w:val="0"/>
          <w:numId w:val="9"/>
        </w:numPr>
        <w:ind w:hanging="360"/>
      </w:pPr>
      <w:r>
        <w:t xml:space="preserve">Behavioural changes </w:t>
      </w:r>
    </w:p>
    <w:p w14:paraId="45C24829" w14:textId="77777777" w:rsidR="00E74B44" w:rsidRDefault="00B63677">
      <w:pPr>
        <w:numPr>
          <w:ilvl w:val="0"/>
          <w:numId w:val="9"/>
        </w:numPr>
        <w:ind w:hanging="360"/>
      </w:pPr>
      <w:r>
        <w:t xml:space="preserve">LGBTQI and aboriginal students </w:t>
      </w:r>
    </w:p>
    <w:p w14:paraId="49572E60" w14:textId="77777777" w:rsidR="00E74B44" w:rsidRDefault="00B63677">
      <w:pPr>
        <w:numPr>
          <w:ilvl w:val="0"/>
          <w:numId w:val="9"/>
        </w:numPr>
        <w:ind w:hanging="360"/>
      </w:pPr>
      <w:r>
        <w:t xml:space="preserve">Students who have been in the Out-of-Home Care system but are no longer clients of that system </w:t>
      </w:r>
    </w:p>
    <w:p w14:paraId="309AFEC7" w14:textId="77777777" w:rsidR="00E74B44" w:rsidRDefault="00B63677">
      <w:pPr>
        <w:ind w:left="-4"/>
      </w:pPr>
      <w:r>
        <w:t xml:space="preserve">These students are not yet 'at risk' by statutory definitions but are on trajectories towards homelessness, child protection, or justice involvement. Early engagement prevents escalation. </w:t>
      </w:r>
    </w:p>
    <w:p w14:paraId="452CF355" w14:textId="77777777" w:rsidR="00E74B44" w:rsidRDefault="00B63677">
      <w:pPr>
        <w:pStyle w:val="Heading2"/>
        <w:ind w:left="-3"/>
      </w:pPr>
      <w:r>
        <w:t xml:space="preserve">Young people with emerging mental health challenges </w:t>
      </w:r>
    </w:p>
    <w:p w14:paraId="687FD1F4" w14:textId="77777777" w:rsidR="00E74B44" w:rsidRDefault="00B63677">
      <w:pPr>
        <w:spacing w:after="130"/>
        <w:ind w:left="-4"/>
      </w:pPr>
      <w:r>
        <w:t xml:space="preserve">Mental health difficulties often manifest during adolescence and serve as entry points to broader family support. Yet mental health infrastructure for adolescents remains insufficient, particularly in prevention and early intervention. </w:t>
      </w:r>
    </w:p>
    <w:p w14:paraId="0AA661D3" w14:textId="77777777" w:rsidR="00E74B44" w:rsidRDefault="00B63677">
      <w:pPr>
        <w:pStyle w:val="Heading2"/>
        <w:ind w:left="-3"/>
      </w:pPr>
      <w:r>
        <w:t xml:space="preserve">Kinship and non-traditional caregivers </w:t>
      </w:r>
    </w:p>
    <w:p w14:paraId="2C038983" w14:textId="77777777" w:rsidR="00E74B44" w:rsidRDefault="00B63677">
      <w:pPr>
        <w:spacing w:after="302"/>
        <w:ind w:left="-4"/>
      </w:pPr>
      <w:r>
        <w:t xml:space="preserve">First Nations kinship structures and informal caregiving arrangements are often invisible natural support frameworks. In terms of the prospects for COSS Model implementation in communities with significant Aboriginal and Torres Strait Islander population, we are cognisant of the importance of these structures as part of any ACCO partnership and community governance. </w:t>
      </w:r>
    </w:p>
    <w:p w14:paraId="1EBF205D" w14:textId="77777777" w:rsidR="00E74B44" w:rsidRDefault="00B63677">
      <w:pPr>
        <w:spacing w:after="54"/>
        <w:ind w:left="-3" w:hanging="10"/>
      </w:pPr>
      <w:r>
        <w:rPr>
          <w:b/>
          <w:color w:val="0A769F"/>
          <w:sz w:val="28"/>
        </w:rPr>
        <w:t xml:space="preserve">10. What are other effective ways, beyond co-location, that you've seen work well to connect and coordinate services for families? </w:t>
      </w:r>
    </w:p>
    <w:p w14:paraId="254944FC" w14:textId="77777777" w:rsidR="00E74B44" w:rsidRDefault="00B63677">
      <w:pPr>
        <w:ind w:left="-4"/>
      </w:pPr>
      <w:r>
        <w:t xml:space="preserve">COSS demonstrates that genuine integration requires mechanisms beyond physical proximity: </w:t>
      </w:r>
    </w:p>
    <w:p w14:paraId="06E8500A" w14:textId="77777777" w:rsidR="00E74B44" w:rsidRDefault="00B63677">
      <w:pPr>
        <w:pStyle w:val="Heading2"/>
        <w:ind w:left="-3"/>
      </w:pPr>
      <w:r>
        <w:t xml:space="preserve">Formal network structures </w:t>
      </w:r>
    </w:p>
    <w:p w14:paraId="195356F8" w14:textId="77777777" w:rsidR="00E74B44" w:rsidRDefault="00B63677">
      <w:pPr>
        <w:spacing w:after="130"/>
        <w:ind w:left="-4"/>
      </w:pPr>
      <w:r>
        <w:t xml:space="preserve">Community services-school partnerships and networks need to include memoranda of understanding, shared governance bodies, and collective accountability frameworks. These formalise integration rather than relying on informal relationships. </w:t>
      </w:r>
    </w:p>
    <w:p w14:paraId="2D3C1893" w14:textId="77777777" w:rsidR="00E74B44" w:rsidRDefault="00B63677">
      <w:pPr>
        <w:pStyle w:val="Heading2"/>
        <w:ind w:left="-3"/>
      </w:pPr>
      <w:r>
        <w:t xml:space="preserve">Standardised assessment and referral pathways </w:t>
      </w:r>
    </w:p>
    <w:p w14:paraId="758786E2" w14:textId="77777777" w:rsidR="00E74B44" w:rsidRDefault="00B63677">
      <w:pPr>
        <w:ind w:left="-4"/>
      </w:pPr>
      <w:r>
        <w:t xml:space="preserve">COSS Model networks use validated screening tools and shared case management systems. This ensures consistent identification and coordinated response across partners. </w:t>
      </w:r>
    </w:p>
    <w:p w14:paraId="6B4E70E1" w14:textId="77777777" w:rsidR="00E74B44" w:rsidRDefault="00B63677">
      <w:pPr>
        <w:pStyle w:val="Heading2"/>
        <w:ind w:left="-3"/>
      </w:pPr>
      <w:r>
        <w:t xml:space="preserve">Regular case conferencing </w:t>
      </w:r>
    </w:p>
    <w:p w14:paraId="3B4D4D6B" w14:textId="77777777" w:rsidR="00E74B44" w:rsidRDefault="00B63677">
      <w:pPr>
        <w:ind w:left="-4"/>
      </w:pPr>
      <w:r>
        <w:t xml:space="preserve">School welfare staff and community service prevention workers should meet regularly as a team to discuss complex cases, identify service gaps, coordinate wraparound supports and review outcomes data. This creates genuine collaboration rather than sequential referrals. </w:t>
      </w:r>
    </w:p>
    <w:p w14:paraId="1F9FC815" w14:textId="77777777" w:rsidR="00E74B44" w:rsidRDefault="00B63677">
      <w:pPr>
        <w:spacing w:after="120" w:line="259" w:lineRule="auto"/>
        <w:ind w:left="1" w:firstLine="0"/>
      </w:pPr>
      <w:r>
        <w:rPr>
          <w:b/>
          <w:sz w:val="24"/>
        </w:rPr>
        <w:t xml:space="preserve"> </w:t>
      </w:r>
    </w:p>
    <w:p w14:paraId="4FCB88AC" w14:textId="77777777" w:rsidR="00E74B44" w:rsidRDefault="00B63677">
      <w:pPr>
        <w:spacing w:after="0" w:line="259" w:lineRule="auto"/>
        <w:ind w:left="1" w:firstLine="0"/>
      </w:pPr>
      <w:r>
        <w:rPr>
          <w:b/>
          <w:sz w:val="24"/>
        </w:rPr>
        <w:t xml:space="preserve"> </w:t>
      </w:r>
    </w:p>
    <w:p w14:paraId="4E470D6B" w14:textId="77777777" w:rsidR="00E74B44" w:rsidRDefault="00B63677">
      <w:pPr>
        <w:pStyle w:val="Heading2"/>
        <w:ind w:left="-3"/>
      </w:pPr>
      <w:r>
        <w:lastRenderedPageBreak/>
        <w:t xml:space="preserve">Dedicated coordination roles </w:t>
      </w:r>
    </w:p>
    <w:p w14:paraId="16DAA108" w14:textId="77777777" w:rsidR="00E74B44" w:rsidRDefault="00B63677">
      <w:pPr>
        <w:ind w:left="-4"/>
      </w:pPr>
      <w:r>
        <w:t xml:space="preserve">Network coordination requires dedicated infrastructure—someone whose job is to convene partners, facilitate information sharing, maintain data systems, and hold collective accountability. This is not administrative overhead; it is an essential part of the service architecture. </w:t>
      </w:r>
    </w:p>
    <w:p w14:paraId="5C607D9B" w14:textId="77777777" w:rsidR="00E74B44" w:rsidRDefault="00B63677">
      <w:pPr>
        <w:pStyle w:val="Heading2"/>
        <w:ind w:left="-3"/>
      </w:pPr>
      <w:r>
        <w:t xml:space="preserve">Shared outcomes rather than isolated outputs </w:t>
      </w:r>
    </w:p>
    <w:p w14:paraId="7CBF8B02" w14:textId="77777777" w:rsidR="00E74B44" w:rsidRDefault="00B63677">
      <w:pPr>
        <w:spacing w:after="302"/>
        <w:ind w:left="-4"/>
      </w:pPr>
      <w:r>
        <w:t xml:space="preserve">COSS Model networks are accountable for population-level outcomes in the catchment area—not just individual service outputs. These shifts focus from organisational performance to the extent that community-level impact has been achieved. </w:t>
      </w:r>
    </w:p>
    <w:p w14:paraId="5B44B48D" w14:textId="77777777" w:rsidR="00E74B44" w:rsidRDefault="00B63677">
      <w:pPr>
        <w:spacing w:after="54"/>
        <w:ind w:left="-3" w:hanging="10"/>
      </w:pPr>
      <w:r>
        <w:rPr>
          <w:b/>
          <w:color w:val="0A769F"/>
          <w:sz w:val="28"/>
        </w:rPr>
        <w:t xml:space="preserve">11. What would you highlight in a grant application to demonstrate a service is connected to the community it serves? </w:t>
      </w:r>
    </w:p>
    <w:p w14:paraId="75CF638E" w14:textId="77777777" w:rsidR="00E74B44" w:rsidRDefault="00B63677">
      <w:pPr>
        <w:ind w:left="-4"/>
      </w:pPr>
      <w:r>
        <w:t xml:space="preserve">A truly connected local service ecosystem will exemplify: </w:t>
      </w:r>
    </w:p>
    <w:p w14:paraId="302B32BA" w14:textId="77777777" w:rsidR="00E74B44" w:rsidRDefault="00B63677">
      <w:pPr>
        <w:numPr>
          <w:ilvl w:val="1"/>
          <w:numId w:val="10"/>
        </w:numPr>
        <w:ind w:hanging="360"/>
      </w:pPr>
      <w:r>
        <w:t xml:space="preserve">Formal partnerships with schools, community organisations, and local providers </w:t>
      </w:r>
    </w:p>
    <w:p w14:paraId="0445D208" w14:textId="77777777" w:rsidR="00E74B44" w:rsidRDefault="00B63677">
      <w:pPr>
        <w:numPr>
          <w:ilvl w:val="1"/>
          <w:numId w:val="10"/>
        </w:numPr>
        <w:ind w:hanging="360"/>
      </w:pPr>
      <w:r>
        <w:t xml:space="preserve">Community governance, including youth and family voice </w:t>
      </w:r>
    </w:p>
    <w:p w14:paraId="059722D3" w14:textId="77777777" w:rsidR="00E74B44" w:rsidRDefault="00B63677">
      <w:pPr>
        <w:numPr>
          <w:ilvl w:val="1"/>
          <w:numId w:val="10"/>
        </w:numPr>
        <w:ind w:hanging="360"/>
      </w:pPr>
      <w:r>
        <w:t xml:space="preserve">Local shared data demonstrating understanding of community vulnerabilities </w:t>
      </w:r>
    </w:p>
    <w:p w14:paraId="121FA8AF" w14:textId="77777777" w:rsidR="00E74B44" w:rsidRDefault="00B63677">
      <w:pPr>
        <w:numPr>
          <w:ilvl w:val="1"/>
          <w:numId w:val="10"/>
        </w:numPr>
        <w:ind w:hanging="360"/>
      </w:pPr>
      <w:r>
        <w:t xml:space="preserve">Evidence of sustained relationships and trust </w:t>
      </w:r>
    </w:p>
    <w:p w14:paraId="6397059B" w14:textId="77777777" w:rsidR="00E74B44" w:rsidRDefault="00B63677">
      <w:pPr>
        <w:numPr>
          <w:ilvl w:val="1"/>
          <w:numId w:val="10"/>
        </w:numPr>
        <w:spacing w:after="305"/>
        <w:ind w:hanging="360"/>
      </w:pPr>
      <w:r>
        <w:t xml:space="preserve">Coordination infrastructure that enables collaboration </w:t>
      </w:r>
    </w:p>
    <w:p w14:paraId="33BF08D1" w14:textId="77777777" w:rsidR="00E74B44" w:rsidRDefault="00B63677">
      <w:pPr>
        <w:spacing w:after="54"/>
        <w:ind w:left="-3" w:hanging="10"/>
      </w:pPr>
      <w:r>
        <w:rPr>
          <w:b/>
          <w:color w:val="0A769F"/>
          <w:sz w:val="28"/>
        </w:rPr>
        <w:t xml:space="preserve">12-13. Assessment of community need and evidence of impact </w:t>
      </w:r>
    </w:p>
    <w:p w14:paraId="42C1F6EB" w14:textId="77777777" w:rsidR="00E74B44" w:rsidRDefault="00B63677">
      <w:pPr>
        <w:ind w:left="-4"/>
      </w:pPr>
      <w:r>
        <w:t xml:space="preserve">COSS Model implementation uses the Department's recommended indicators—Census data, SEIFA indicators, Specialist Homelessness Services LGA data, child protection engagement, NEET rates etc to target catchment areas. However, a qualifying factor for implementation is the ‘readiness’ of a lead agency and its community to take on the challenge of working together. </w:t>
      </w:r>
    </w:p>
    <w:p w14:paraId="262A69AB" w14:textId="77777777" w:rsidR="00E74B44" w:rsidRDefault="00B63677">
      <w:pPr>
        <w:ind w:left="-4"/>
      </w:pPr>
      <w:r>
        <w:t xml:space="preserve">However, impact assessment requires both individual-level outcomes (risk reduction using validated tools) and population-level outcomes (changes in homelessness prevalence within catchments). </w:t>
      </w:r>
    </w:p>
    <w:p w14:paraId="442485DC" w14:textId="77777777" w:rsidR="00E74B44" w:rsidRDefault="00B63677">
      <w:pPr>
        <w:ind w:left="-4"/>
      </w:pPr>
      <w:r>
        <w:t xml:space="preserve">So far, the most meaningful evidence of impact has been on youth homelessness, including: </w:t>
      </w:r>
    </w:p>
    <w:p w14:paraId="4830205D" w14:textId="77777777" w:rsidR="00E74B44" w:rsidRDefault="00B63677">
      <w:pPr>
        <w:numPr>
          <w:ilvl w:val="1"/>
          <w:numId w:val="12"/>
        </w:numPr>
        <w:ind w:hanging="360"/>
      </w:pPr>
      <w:r>
        <w:t xml:space="preserve">40-50% reduction in homelessness risk among engaged students </w:t>
      </w:r>
    </w:p>
    <w:p w14:paraId="795668A6" w14:textId="77777777" w:rsidR="00E74B44" w:rsidRDefault="00B63677">
      <w:pPr>
        <w:numPr>
          <w:ilvl w:val="1"/>
          <w:numId w:val="12"/>
        </w:numPr>
        <w:ind w:hanging="360"/>
      </w:pPr>
      <w:r>
        <w:t xml:space="preserve">40% population-level decrease in youth homelessness in established catchments </w:t>
      </w:r>
    </w:p>
    <w:p w14:paraId="02F9927B" w14:textId="77777777" w:rsidR="00E74B44" w:rsidRDefault="00B63677">
      <w:pPr>
        <w:numPr>
          <w:ilvl w:val="1"/>
          <w:numId w:val="12"/>
        </w:numPr>
        <w:ind w:hanging="360"/>
      </w:pPr>
      <w:r>
        <w:t xml:space="preserve">Documented increases in cross-agency coordination </w:t>
      </w:r>
    </w:p>
    <w:p w14:paraId="3B753AFF" w14:textId="77777777" w:rsidR="00E74B44" w:rsidRDefault="00B63677">
      <w:pPr>
        <w:numPr>
          <w:ilvl w:val="1"/>
          <w:numId w:val="12"/>
        </w:numPr>
        <w:ind w:hanging="360"/>
      </w:pPr>
      <w:r>
        <w:t xml:space="preserve">Sustained fidelity to core model components across two Australian jurisdictions </w:t>
      </w:r>
    </w:p>
    <w:p w14:paraId="1B6518F7" w14:textId="77777777" w:rsidR="00E74B44" w:rsidRDefault="00B63677">
      <w:pPr>
        <w:spacing w:after="302"/>
        <w:ind w:left="-4"/>
      </w:pPr>
      <w:r>
        <w:t xml:space="preserve">The achieved outcomes on youth homelessness have earned the COSS Model international recognition and early adoption in the UK, several European Union countries, Canada and the United States. </w:t>
      </w:r>
    </w:p>
    <w:p w14:paraId="107B7B6C" w14:textId="77777777" w:rsidR="00E74B44" w:rsidRDefault="00B63677">
      <w:pPr>
        <w:spacing w:after="16"/>
        <w:ind w:left="-3" w:hanging="10"/>
      </w:pPr>
      <w:r>
        <w:rPr>
          <w:b/>
          <w:color w:val="0A769F"/>
          <w:sz w:val="28"/>
        </w:rPr>
        <w:t xml:space="preserve">14-15. Supporting ACCO service delivery and improving outcomes for First </w:t>
      </w:r>
    </w:p>
    <w:p w14:paraId="6C3AA0D8" w14:textId="77777777" w:rsidR="00E74B44" w:rsidRDefault="00B63677">
      <w:pPr>
        <w:spacing w:after="54"/>
        <w:ind w:left="-3" w:hanging="10"/>
      </w:pPr>
      <w:r>
        <w:rPr>
          <w:b/>
          <w:color w:val="0A769F"/>
          <w:sz w:val="28"/>
        </w:rPr>
        <w:t xml:space="preserve">Nations children and families </w:t>
      </w:r>
    </w:p>
    <w:p w14:paraId="20396AAB" w14:textId="77777777" w:rsidR="00E74B44" w:rsidRDefault="00B63677">
      <w:pPr>
        <w:ind w:left="-4"/>
      </w:pPr>
      <w:r>
        <w:t xml:space="preserve">The COSS Model's flexibility enables cultural adaptation while maintaining prevention fidelity. Key considerations: </w:t>
      </w:r>
    </w:p>
    <w:p w14:paraId="55BDE0AF" w14:textId="77777777" w:rsidR="00E74B44" w:rsidRDefault="00B63677">
      <w:pPr>
        <w:numPr>
          <w:ilvl w:val="1"/>
          <w:numId w:val="13"/>
        </w:numPr>
        <w:ind w:hanging="360"/>
      </w:pPr>
      <w:r>
        <w:t xml:space="preserve">Capability-building support during implementation </w:t>
      </w:r>
    </w:p>
    <w:p w14:paraId="70618D1C" w14:textId="77777777" w:rsidR="00E74B44" w:rsidRDefault="00B63677">
      <w:pPr>
        <w:ind w:left="730"/>
      </w:pPr>
      <w:r>
        <w:lastRenderedPageBreak/>
        <w:t xml:space="preserve">Recognition that cultural authority and community trust matter more than administrative infrastructure </w:t>
      </w:r>
    </w:p>
    <w:p w14:paraId="696F6ED2" w14:textId="77777777" w:rsidR="00E74B44" w:rsidRDefault="00B63677">
      <w:pPr>
        <w:numPr>
          <w:ilvl w:val="1"/>
          <w:numId w:val="13"/>
        </w:numPr>
        <w:ind w:hanging="360"/>
      </w:pPr>
      <w:r>
        <w:t xml:space="preserve">Evaluation frameworks that respect kinship structures and cultural definitions of wellbeing </w:t>
      </w:r>
    </w:p>
    <w:p w14:paraId="72FB4DAC" w14:textId="77777777" w:rsidR="00E74B44" w:rsidRDefault="00B63677">
      <w:pPr>
        <w:numPr>
          <w:ilvl w:val="1"/>
          <w:numId w:val="13"/>
        </w:numPr>
        <w:spacing w:after="305"/>
        <w:ind w:hanging="360"/>
      </w:pPr>
      <w:r>
        <w:t xml:space="preserve">Relational contracting that supports ACCO leadership </w:t>
      </w:r>
    </w:p>
    <w:p w14:paraId="2DDFA217" w14:textId="77777777" w:rsidR="00E74B44" w:rsidRDefault="00B63677">
      <w:pPr>
        <w:spacing w:after="54"/>
        <w:ind w:left="-3" w:hanging="10"/>
      </w:pPr>
      <w:r>
        <w:rPr>
          <w:b/>
          <w:color w:val="0A769F"/>
          <w:sz w:val="28"/>
        </w:rPr>
        <w:t xml:space="preserve">16-19. Data, outcomes measurement, and reporting </w:t>
      </w:r>
    </w:p>
    <w:p w14:paraId="775A27B1" w14:textId="77777777" w:rsidR="00E74B44" w:rsidRDefault="00B63677">
      <w:pPr>
        <w:ind w:left="-4"/>
      </w:pPr>
      <w:r>
        <w:t xml:space="preserve">Prevention models require data that captures: </w:t>
      </w:r>
    </w:p>
    <w:p w14:paraId="58B19B40" w14:textId="77777777" w:rsidR="00E74B44" w:rsidRDefault="00B63677">
      <w:pPr>
        <w:numPr>
          <w:ilvl w:val="1"/>
          <w:numId w:val="11"/>
        </w:numPr>
        <w:ind w:hanging="360"/>
      </w:pPr>
      <w:r>
        <w:t xml:space="preserve">Individual risk reduction (validated assessment tools) </w:t>
      </w:r>
    </w:p>
    <w:p w14:paraId="309DBA19" w14:textId="77777777" w:rsidR="00E74B44" w:rsidRDefault="00B63677">
      <w:pPr>
        <w:numPr>
          <w:ilvl w:val="1"/>
          <w:numId w:val="11"/>
        </w:numPr>
        <w:ind w:hanging="360"/>
      </w:pPr>
      <w:r>
        <w:t xml:space="preserve">Population-level outcomes (prevalence changes in catchments) </w:t>
      </w:r>
    </w:p>
    <w:p w14:paraId="2DF90E60" w14:textId="77777777" w:rsidR="00E74B44" w:rsidRDefault="00B63677">
      <w:pPr>
        <w:numPr>
          <w:ilvl w:val="1"/>
          <w:numId w:val="11"/>
        </w:numPr>
        <w:ind w:hanging="360"/>
      </w:pPr>
      <w:r>
        <w:t xml:space="preserve">System coordination metrics (referral pathways, case conferences) </w:t>
      </w:r>
    </w:p>
    <w:p w14:paraId="46A942AE" w14:textId="77777777" w:rsidR="00E74B44" w:rsidRDefault="00B63677">
      <w:pPr>
        <w:numPr>
          <w:ilvl w:val="1"/>
          <w:numId w:val="11"/>
        </w:numPr>
        <w:ind w:hanging="360"/>
      </w:pPr>
      <w:r>
        <w:t xml:space="preserve">Longitudinal tracking (long-term prevention returns) </w:t>
      </w:r>
    </w:p>
    <w:p w14:paraId="666FE3D3" w14:textId="77777777" w:rsidR="00E74B44" w:rsidRDefault="00B63677">
      <w:pPr>
        <w:spacing w:after="302"/>
        <w:ind w:left="-4"/>
      </w:pPr>
      <w:r>
        <w:t xml:space="preserve">DEX reporting should be supplemented with prevention-specific frameworks that capture what matters—sustained reduction in vulnerability and system demand. </w:t>
      </w:r>
    </w:p>
    <w:p w14:paraId="6D8414F4" w14:textId="77777777" w:rsidR="00E74B44" w:rsidRDefault="00B63677">
      <w:pPr>
        <w:spacing w:after="54"/>
        <w:ind w:left="-3" w:hanging="10"/>
      </w:pPr>
      <w:r>
        <w:rPr>
          <w:b/>
          <w:color w:val="0A769F"/>
          <w:sz w:val="28"/>
        </w:rPr>
        <w:t xml:space="preserve">20-22. Relational contracting </w:t>
      </w:r>
    </w:p>
    <w:p w14:paraId="7F24C5C7" w14:textId="77777777" w:rsidR="00E74B44" w:rsidRDefault="00B63677">
      <w:pPr>
        <w:ind w:left="-4"/>
      </w:pPr>
      <w:r>
        <w:t xml:space="preserve">Upstream Australia strongly supports relational contracting for systemic ecosystem prevention models. The COSS Model requires: </w:t>
      </w:r>
    </w:p>
    <w:p w14:paraId="40C46E49" w14:textId="77777777" w:rsidR="00E74B44" w:rsidRDefault="00B63677">
      <w:pPr>
        <w:numPr>
          <w:ilvl w:val="1"/>
          <w:numId w:val="14"/>
        </w:numPr>
        <w:ind w:hanging="360"/>
      </w:pPr>
      <w:r>
        <w:t xml:space="preserve">Flexibility to adapt to local contexts </w:t>
      </w:r>
    </w:p>
    <w:p w14:paraId="4AC7BE43" w14:textId="77777777" w:rsidR="00E74B44" w:rsidRDefault="00B63677">
      <w:pPr>
        <w:numPr>
          <w:ilvl w:val="1"/>
          <w:numId w:val="14"/>
        </w:numPr>
        <w:ind w:hanging="360"/>
      </w:pPr>
      <w:r>
        <w:t xml:space="preserve">Community-level network coordination across multiple partners </w:t>
      </w:r>
    </w:p>
    <w:p w14:paraId="6BDADEB6" w14:textId="77777777" w:rsidR="00E74B44" w:rsidRDefault="00B63677">
      <w:pPr>
        <w:numPr>
          <w:ilvl w:val="1"/>
          <w:numId w:val="14"/>
        </w:numPr>
        <w:ind w:hanging="360"/>
      </w:pPr>
      <w:r>
        <w:t xml:space="preserve">Outcome focus rather than prescribed activities and a focus on outputs </w:t>
      </w:r>
    </w:p>
    <w:p w14:paraId="469EEC2B" w14:textId="77777777" w:rsidR="00E74B44" w:rsidRDefault="00B63677">
      <w:pPr>
        <w:numPr>
          <w:ilvl w:val="1"/>
          <w:numId w:val="14"/>
        </w:numPr>
        <w:ind w:hanging="360"/>
      </w:pPr>
      <w:r>
        <w:t xml:space="preserve">Long-term funding horizons for relationship building </w:t>
      </w:r>
    </w:p>
    <w:p w14:paraId="59D717CB" w14:textId="77777777" w:rsidR="00E74B44" w:rsidRDefault="00B63677">
      <w:pPr>
        <w:ind w:left="-4"/>
      </w:pPr>
      <w:r>
        <w:t xml:space="preserve">Relational contracts should be offered to organisations demonstrating: </w:t>
      </w:r>
    </w:p>
    <w:p w14:paraId="2BB8AF59" w14:textId="77777777" w:rsidR="00E74B44" w:rsidRDefault="00B63677">
      <w:pPr>
        <w:numPr>
          <w:ilvl w:val="1"/>
          <w:numId w:val="14"/>
        </w:numPr>
        <w:ind w:hanging="360"/>
      </w:pPr>
      <w:r>
        <w:t xml:space="preserve">Proven history of coordinated service delivery </w:t>
      </w:r>
    </w:p>
    <w:p w14:paraId="672BB2AF" w14:textId="77777777" w:rsidR="00E74B44" w:rsidRDefault="00B63677">
      <w:pPr>
        <w:numPr>
          <w:ilvl w:val="1"/>
          <w:numId w:val="14"/>
        </w:numPr>
        <w:ind w:hanging="360"/>
      </w:pPr>
      <w:r>
        <w:t xml:space="preserve">Evidence of community trust and embedded relationships </w:t>
      </w:r>
    </w:p>
    <w:p w14:paraId="1272DD1C" w14:textId="77777777" w:rsidR="00E74B44" w:rsidRDefault="00B63677">
      <w:pPr>
        <w:numPr>
          <w:ilvl w:val="1"/>
          <w:numId w:val="14"/>
        </w:numPr>
        <w:ind w:hanging="360"/>
      </w:pPr>
      <w:r>
        <w:t xml:space="preserve">Capacity for network governance and collective accountability </w:t>
      </w:r>
    </w:p>
    <w:p w14:paraId="5B994679" w14:textId="77777777" w:rsidR="00E74B44" w:rsidRDefault="00B63677">
      <w:pPr>
        <w:numPr>
          <w:ilvl w:val="1"/>
          <w:numId w:val="14"/>
        </w:numPr>
        <w:ind w:hanging="360"/>
      </w:pPr>
      <w:r>
        <w:t xml:space="preserve">Fidelity frameworks that balance adaptation with evidence-based core components </w:t>
      </w:r>
    </w:p>
    <w:p w14:paraId="22317EDA" w14:textId="77777777" w:rsidR="00E74B44" w:rsidRDefault="00B63677">
      <w:pPr>
        <w:spacing w:after="301"/>
        <w:ind w:left="-4"/>
      </w:pPr>
      <w:r>
        <w:t xml:space="preserve">Yes, Upstream Australia is interested in relational contracting. Systemic models will not operate optimally under standard grant agreements that specify rigid activities and short-term deliverables. </w:t>
      </w:r>
    </w:p>
    <w:p w14:paraId="5FDC4470" w14:textId="77777777" w:rsidR="00E74B44" w:rsidRDefault="00B63677">
      <w:pPr>
        <w:spacing w:after="54"/>
        <w:ind w:left="-3" w:hanging="10"/>
      </w:pPr>
      <w:r>
        <w:rPr>
          <w:b/>
          <w:color w:val="0A769F"/>
          <w:sz w:val="28"/>
        </w:rPr>
        <w:t xml:space="preserve">23. Is there anything else you think the department should understand or consider about this proposed approach? </w:t>
      </w:r>
    </w:p>
    <w:p w14:paraId="203A7553" w14:textId="77777777" w:rsidR="00E74B44" w:rsidRDefault="00B63677">
      <w:pPr>
        <w:ind w:left="-4"/>
      </w:pPr>
      <w:r>
        <w:t xml:space="preserve">Several critical considerations: </w:t>
      </w:r>
    </w:p>
    <w:p w14:paraId="7DB3B58F" w14:textId="77777777" w:rsidR="00E74B44" w:rsidRDefault="00B63677">
      <w:pPr>
        <w:pStyle w:val="Heading2"/>
        <w:ind w:left="-3"/>
      </w:pPr>
      <w:r>
        <w:t xml:space="preserve">The adolescent prevention blind spot must be addressed </w:t>
      </w:r>
    </w:p>
    <w:p w14:paraId="724928EE" w14:textId="77777777" w:rsidR="00E74B44" w:rsidRDefault="00B63677">
      <w:pPr>
        <w:ind w:left="-4"/>
      </w:pPr>
      <w:r>
        <w:t xml:space="preserve">The Discussion Paper and Evidence Summary extensively document early childhood investment while barely acknowledging adolescence—despite comparable neurobiological evidence and demonstrated pathways from adolescent to adult disadvantage. This represents a significant policy gap. </w:t>
      </w:r>
    </w:p>
    <w:p w14:paraId="7BB42792" w14:textId="77777777" w:rsidR="00E74B44" w:rsidRDefault="00B63677">
      <w:pPr>
        <w:ind w:left="-4"/>
      </w:pPr>
      <w:r>
        <w:t xml:space="preserve">Adolescent prevention delivers multiple strategic benefits: </w:t>
      </w:r>
    </w:p>
    <w:p w14:paraId="495F08A5" w14:textId="77777777" w:rsidR="00E74B44" w:rsidRDefault="00B63677">
      <w:pPr>
        <w:numPr>
          <w:ilvl w:val="0"/>
          <w:numId w:val="15"/>
        </w:numPr>
        <w:ind w:hanging="360"/>
      </w:pPr>
      <w:r>
        <w:t xml:space="preserve">Breaks intergenerational cycles before they become entrenched </w:t>
      </w:r>
    </w:p>
    <w:p w14:paraId="5DDB7E7A" w14:textId="77777777" w:rsidR="00E74B44" w:rsidRDefault="00B63677">
      <w:pPr>
        <w:numPr>
          <w:ilvl w:val="0"/>
          <w:numId w:val="15"/>
        </w:numPr>
        <w:ind w:hanging="360"/>
      </w:pPr>
      <w:r>
        <w:lastRenderedPageBreak/>
        <w:t xml:space="preserve">Prevents pathway from adolescent to adult homelessness </w:t>
      </w:r>
    </w:p>
    <w:p w14:paraId="488FF4AC" w14:textId="77777777" w:rsidR="00E74B44" w:rsidRDefault="00B63677">
      <w:pPr>
        <w:numPr>
          <w:ilvl w:val="0"/>
          <w:numId w:val="15"/>
        </w:numPr>
        <w:ind w:hanging="360"/>
      </w:pPr>
      <w:r>
        <w:t xml:space="preserve">Addresses issues when neuroplasticity enables intervention </w:t>
      </w:r>
    </w:p>
    <w:p w14:paraId="55AA48F8" w14:textId="77777777" w:rsidR="00E74B44" w:rsidRDefault="00B63677">
      <w:pPr>
        <w:numPr>
          <w:ilvl w:val="0"/>
          <w:numId w:val="15"/>
        </w:numPr>
        <w:ind w:hanging="360"/>
      </w:pPr>
      <w:r>
        <w:t xml:space="preserve">Reduces demand on crisis services and child protection </w:t>
      </w:r>
    </w:p>
    <w:p w14:paraId="00BE2DCF" w14:textId="77777777" w:rsidR="00E74B44" w:rsidRDefault="00B63677">
      <w:pPr>
        <w:ind w:left="-4"/>
      </w:pPr>
      <w:r>
        <w:t xml:space="preserve">An explicit adolescent prevention priority would signal strategic commitment and guide resource allocation. </w:t>
      </w:r>
    </w:p>
    <w:p w14:paraId="1AF01E44" w14:textId="77777777" w:rsidR="00E74B44" w:rsidRDefault="00B63677">
      <w:pPr>
        <w:pStyle w:val="Heading2"/>
        <w:ind w:left="-3"/>
      </w:pPr>
      <w:r>
        <w:t xml:space="preserve">Systemic integration requires dedicated infrastructure </w:t>
      </w:r>
    </w:p>
    <w:p w14:paraId="08C5D5CC" w14:textId="77777777" w:rsidR="00E74B44" w:rsidRDefault="00B63677">
      <w:pPr>
        <w:ind w:left="-4"/>
      </w:pPr>
      <w:r>
        <w:t xml:space="preserve">DSS appropriately emphasises connected and integrated services. However, integration does not happen organically. It requires: </w:t>
      </w:r>
    </w:p>
    <w:p w14:paraId="28A7AFD7" w14:textId="77777777" w:rsidR="00E74B44" w:rsidRDefault="00B63677">
      <w:pPr>
        <w:numPr>
          <w:ilvl w:val="0"/>
          <w:numId w:val="16"/>
        </w:numPr>
        <w:ind w:hanging="360"/>
      </w:pPr>
      <w:r>
        <w:t xml:space="preserve">Network coordination roles </w:t>
      </w:r>
    </w:p>
    <w:p w14:paraId="44119A31" w14:textId="77777777" w:rsidR="00E74B44" w:rsidRDefault="00B63677">
      <w:pPr>
        <w:numPr>
          <w:ilvl w:val="0"/>
          <w:numId w:val="16"/>
        </w:numPr>
        <w:ind w:hanging="360"/>
      </w:pPr>
      <w:r>
        <w:t xml:space="preserve">Formal governance structures </w:t>
      </w:r>
    </w:p>
    <w:p w14:paraId="72552C24" w14:textId="77777777" w:rsidR="00E74B44" w:rsidRDefault="00B63677">
      <w:pPr>
        <w:numPr>
          <w:ilvl w:val="0"/>
          <w:numId w:val="16"/>
        </w:numPr>
        <w:ind w:hanging="360"/>
      </w:pPr>
      <w:r>
        <w:t xml:space="preserve">Shared data systems </w:t>
      </w:r>
    </w:p>
    <w:p w14:paraId="488B5D9C" w14:textId="77777777" w:rsidR="00E74B44" w:rsidRDefault="00B63677">
      <w:pPr>
        <w:numPr>
          <w:ilvl w:val="0"/>
          <w:numId w:val="16"/>
        </w:numPr>
        <w:ind w:hanging="360"/>
      </w:pPr>
      <w:r>
        <w:t xml:space="preserve">Standardised assessment tools </w:t>
      </w:r>
    </w:p>
    <w:p w14:paraId="2592FF51" w14:textId="77777777" w:rsidR="00E74B44" w:rsidRDefault="00B63677">
      <w:pPr>
        <w:numPr>
          <w:ilvl w:val="0"/>
          <w:numId w:val="16"/>
        </w:numPr>
        <w:ind w:hanging="360"/>
      </w:pPr>
      <w:r>
        <w:t xml:space="preserve">Case conferencing processes </w:t>
      </w:r>
    </w:p>
    <w:p w14:paraId="13599182" w14:textId="77777777" w:rsidR="00E74B44" w:rsidRDefault="00B63677">
      <w:pPr>
        <w:numPr>
          <w:ilvl w:val="0"/>
          <w:numId w:val="16"/>
        </w:numPr>
        <w:ind w:hanging="360"/>
      </w:pPr>
      <w:r>
        <w:t xml:space="preserve">Collective accountability mechanisms </w:t>
      </w:r>
    </w:p>
    <w:p w14:paraId="6E2FDBDA" w14:textId="77777777" w:rsidR="00E74B44" w:rsidRDefault="00B63677">
      <w:pPr>
        <w:ind w:left="-4"/>
      </w:pPr>
      <w:r>
        <w:t xml:space="preserve">This coordination infrastructure must be explicitly funded as core programme architecture. </w:t>
      </w:r>
    </w:p>
    <w:p w14:paraId="3D1219CE" w14:textId="77777777" w:rsidR="00E74B44" w:rsidRDefault="00B63677">
      <w:pPr>
        <w:pStyle w:val="Heading2"/>
        <w:ind w:left="-3"/>
      </w:pPr>
      <w:r>
        <w:t xml:space="preserve">Evidence-based models require fidelity support </w:t>
      </w:r>
    </w:p>
    <w:p w14:paraId="7A74C4FB" w14:textId="77777777" w:rsidR="00E74B44" w:rsidRDefault="00B63677">
      <w:pPr>
        <w:ind w:left="-4"/>
      </w:pPr>
      <w:r>
        <w:t xml:space="preserve">Place-based implementation creates tension between local adaptation and fidelity. Without fidelity mechanisms, evidence-based models risk programme drift. DSS should support fidelity frameworks rather than assuming providers can and will develop them ad hoc. </w:t>
      </w:r>
    </w:p>
    <w:p w14:paraId="6CB5C685" w14:textId="77777777" w:rsidR="00E74B44" w:rsidRDefault="00B63677">
      <w:pPr>
        <w:pStyle w:val="Heading2"/>
        <w:ind w:left="-3"/>
      </w:pPr>
      <w:r>
        <w:t xml:space="preserve">Prevention impacts require longitudinal outcomes measurement </w:t>
      </w:r>
    </w:p>
    <w:p w14:paraId="148DC78B" w14:textId="77777777" w:rsidR="00E74B44" w:rsidRDefault="00B63677">
      <w:pPr>
        <w:ind w:left="-4"/>
      </w:pPr>
      <w:r>
        <w:t xml:space="preserve">The most significant prevention returns—reduced adult homelessness, prevented chronic conditions, decreased child protection involvement in the next generation—are not visible in shortterm metrics. Evaluation frameworks must include longitudinal tracking. </w:t>
      </w:r>
    </w:p>
    <w:p w14:paraId="1E2CD047" w14:textId="77777777" w:rsidR="00E74B44" w:rsidRDefault="00B63677">
      <w:pPr>
        <w:pStyle w:val="Heading2"/>
        <w:ind w:left="-3"/>
      </w:pPr>
      <w:r>
        <w:t xml:space="preserve">Competitive processes can disrupt trusted collaborative community relationships </w:t>
      </w:r>
    </w:p>
    <w:p w14:paraId="383EF0C9" w14:textId="77777777" w:rsidR="00E74B44" w:rsidRDefault="00B63677">
      <w:pPr>
        <w:ind w:left="-4"/>
      </w:pPr>
      <w:r>
        <w:t xml:space="preserve">In communities where the COSS Model or similar systemic models are established, competitive grant processes risk replacing trusted providers and disrupting networks. Assessment criteria should recognise the value of continuity and established community relationships. </w:t>
      </w:r>
    </w:p>
    <w:p w14:paraId="61A82350" w14:textId="77777777" w:rsidR="00E74B44" w:rsidRDefault="00B63677">
      <w:pPr>
        <w:spacing w:after="92" w:line="267" w:lineRule="auto"/>
        <w:ind w:left="-3" w:hanging="10"/>
      </w:pPr>
      <w:r>
        <w:rPr>
          <w:b/>
          <w:sz w:val="24"/>
        </w:rPr>
        <w:t xml:space="preserve">Secondary schools must be recognised as anchor institutions or universal platforms where vulnerable adolescents and families can be systematically identified and reached. </w:t>
      </w:r>
    </w:p>
    <w:p w14:paraId="0A5F9B2B" w14:textId="77777777" w:rsidR="00E74B44" w:rsidRDefault="00B63677">
      <w:pPr>
        <w:ind w:left="-4"/>
      </w:pPr>
      <w:r>
        <w:t xml:space="preserve">For adolescent prevention, secondary schools are the primary setting where young people are and where early warning signs become visible. School-based prevention models achieve earlier identification and sustained engagement. This should be explicitly reflected in assessment criteria. </w:t>
      </w:r>
    </w:p>
    <w:p w14:paraId="10D071B4" w14:textId="77777777" w:rsidR="00E74B44" w:rsidRDefault="00B63677">
      <w:pPr>
        <w:spacing w:after="92" w:line="267" w:lineRule="auto"/>
        <w:ind w:left="-3" w:hanging="10"/>
      </w:pPr>
      <w:r>
        <w:rPr>
          <w:b/>
          <w:sz w:val="24"/>
        </w:rPr>
        <w:t>Final message</w:t>
      </w:r>
      <w:r>
        <w:rPr>
          <w:b/>
        </w:rPr>
        <w:t>:</w:t>
      </w:r>
      <w:r>
        <w:t xml:space="preserve">  </w:t>
      </w:r>
    </w:p>
    <w:p w14:paraId="27A6B8E5" w14:textId="77777777" w:rsidR="00E74B44" w:rsidRDefault="00B63677">
      <w:pPr>
        <w:ind w:left="-4"/>
      </w:pPr>
      <w:r>
        <w:t>The proposed reforms create infrastructure for systemic prevention through the three-stream structure, longer funding terms, and emphasis on integration. Explicitly prioritising adolescent prevention and supporting proven systemic models such as the COSS Model would ensure this infrastructure achieves its transformative potential. Upstream Australia stands ready to support implementation through policy advice, backbone support for communities successfully funded to implement the COSS Model, professional dev</w:t>
      </w:r>
      <w:r>
        <w:t xml:space="preserve">elopment and training, fidelity assessment support, </w:t>
      </w:r>
    </w:p>
    <w:p w14:paraId="420FED00" w14:textId="77777777" w:rsidR="00E74B44" w:rsidRDefault="00E74B44">
      <w:pPr>
        <w:sectPr w:rsidR="00E74B44">
          <w:headerReference w:type="even" r:id="rId20"/>
          <w:headerReference w:type="default" r:id="rId21"/>
          <w:footerReference w:type="even" r:id="rId22"/>
          <w:footerReference w:type="default" r:id="rId23"/>
          <w:headerReference w:type="first" r:id="rId24"/>
          <w:footerReference w:type="first" r:id="rId25"/>
          <w:pgSz w:w="11904" w:h="16838"/>
          <w:pgMar w:top="1134" w:right="1440" w:bottom="1141" w:left="1439" w:header="720" w:footer="709" w:gutter="0"/>
          <w:cols w:space="720"/>
        </w:sectPr>
      </w:pPr>
    </w:p>
    <w:p w14:paraId="78040199" w14:textId="77777777" w:rsidR="00E74B44" w:rsidRDefault="00B63677">
      <w:pPr>
        <w:spacing w:after="301"/>
        <w:ind w:left="-4"/>
      </w:pPr>
      <w:r>
        <w:lastRenderedPageBreak/>
        <w:t xml:space="preserve">and partnership development and through the Upstream Community of Practice learning community. </w:t>
      </w:r>
    </w:p>
    <w:p w14:paraId="4CBE3A4D" w14:textId="77777777" w:rsidR="00E74B44" w:rsidRDefault="00B63677">
      <w:pPr>
        <w:spacing w:after="155"/>
        <w:ind w:left="-3" w:hanging="10"/>
      </w:pPr>
      <w:r>
        <w:rPr>
          <w:b/>
          <w:color w:val="0A769F"/>
          <w:sz w:val="28"/>
        </w:rPr>
        <w:t xml:space="preserve">References </w:t>
      </w:r>
    </w:p>
    <w:p w14:paraId="38CF6F38" w14:textId="77777777" w:rsidR="00E74B44" w:rsidRDefault="00B63677">
      <w:pPr>
        <w:spacing w:after="175"/>
        <w:ind w:left="-4"/>
      </w:pPr>
      <w:r>
        <w:t xml:space="preserve">Australia &amp; New Zealand School of Government (2023). </w:t>
      </w:r>
      <w:r>
        <w:rPr>
          <w:i/>
        </w:rPr>
        <w:t>Place-based approaches: A guide for the Victorian Public Service</w:t>
      </w:r>
      <w:r>
        <w:t xml:space="preserve">. Melbourne, Victorian State Government. </w:t>
      </w:r>
    </w:p>
    <w:p w14:paraId="08EA899E" w14:textId="77777777" w:rsidR="00E74B44" w:rsidRDefault="00B63677">
      <w:pPr>
        <w:spacing w:after="175"/>
        <w:ind w:left="-4"/>
      </w:pPr>
      <w:r>
        <w:t xml:space="preserve">Ballard, M., Gill, P. R., Hand, T., &amp; MacKenzie, D. (2023). A critical evaluation of adolescent resilience self-report scales: A scoping review. </w:t>
      </w:r>
      <w:r>
        <w:rPr>
          <w:i/>
        </w:rPr>
        <w:t>Children and Youth Services Review</w:t>
      </w:r>
      <w:r>
        <w:t xml:space="preserve">, Vol. 157. </w:t>
      </w:r>
      <w:r>
        <w:rPr>
          <w:color w:val="0562C1"/>
          <w:u w:val="single" w:color="0562C1"/>
        </w:rPr>
        <w:t>https://doi.org/10.1016/j.childyouth.2023.107364</w:t>
      </w:r>
      <w:r>
        <w:t xml:space="preserve"> </w:t>
      </w:r>
    </w:p>
    <w:p w14:paraId="28AE36CF" w14:textId="77777777" w:rsidR="00E74B44" w:rsidRDefault="00B63677">
      <w:pPr>
        <w:spacing w:after="170"/>
        <w:ind w:left="-4"/>
      </w:pPr>
      <w:r>
        <w:t xml:space="preserve">Flatau, P., Steen, A.  &amp; MacKenzie, D. (2020). The high health and Justice Costs of youth homelessness and what drives them. </w:t>
      </w:r>
      <w:r>
        <w:rPr>
          <w:i/>
        </w:rPr>
        <w:t>Housing Studies</w:t>
      </w:r>
      <w:r>
        <w:t xml:space="preserve">, Vol.35(4), 648-678. </w:t>
      </w:r>
    </w:p>
    <w:p w14:paraId="3E7976D2" w14:textId="77777777" w:rsidR="00E74B44" w:rsidRDefault="00B63677">
      <w:pPr>
        <w:spacing w:after="175"/>
        <w:ind w:left="-4"/>
      </w:pPr>
      <w:r>
        <w:t xml:space="preserve">Hand, T. &amp; MacKenzie, D. (2019). Data matters: Using data in a collective impact research and development project and the backbone role of Upstream Australia. </w:t>
      </w:r>
      <w:r>
        <w:rPr>
          <w:i/>
        </w:rPr>
        <w:t>Parity</w:t>
      </w:r>
      <w:r>
        <w:t xml:space="preserve">, 32(7), 16-17.  </w:t>
      </w:r>
    </w:p>
    <w:p w14:paraId="54D0250A" w14:textId="77777777" w:rsidR="00E74B44" w:rsidRDefault="00B63677">
      <w:pPr>
        <w:spacing w:after="170"/>
        <w:ind w:left="-4"/>
      </w:pPr>
      <w:r>
        <w:t xml:space="preserve">Hand, T. &amp; MacKenzie, D. (2025-online first). A Report Card on Youth Homelessness in Australia: 2008–2018. </w:t>
      </w:r>
      <w:r>
        <w:rPr>
          <w:i/>
        </w:rPr>
        <w:t>Australian Journal of Social Issues</w:t>
      </w:r>
      <w:r>
        <w:t xml:space="preserve">. </w:t>
      </w:r>
      <w:r>
        <w:rPr>
          <w:color w:val="0562C1"/>
          <w:u w:val="single" w:color="0562C1"/>
        </w:rPr>
        <w:t>https://doi.org/10.1002/ajs4.70073</w:t>
      </w:r>
      <w:r>
        <w:t xml:space="preserve"> </w:t>
      </w:r>
      <w:r>
        <w:rPr>
          <w:b/>
        </w:rPr>
        <w:t xml:space="preserve"> </w:t>
      </w:r>
    </w:p>
    <w:p w14:paraId="5029C6CD" w14:textId="77777777" w:rsidR="00E74B44" w:rsidRDefault="00B63677">
      <w:pPr>
        <w:spacing w:after="0"/>
        <w:ind w:left="-4"/>
      </w:pPr>
      <w:r>
        <w:t xml:space="preserve">Hand, T. &amp; MacKenzie, D. (2025). The Community of Schools and Services (COSS) Model: Working upstream in youth homelessness. </w:t>
      </w:r>
      <w:r>
        <w:rPr>
          <w:i/>
        </w:rPr>
        <w:t>The Upstreamist</w:t>
      </w:r>
      <w:r>
        <w:t xml:space="preserve">, Vol. 1, </w:t>
      </w:r>
    </w:p>
    <w:p w14:paraId="6DBC7BF7" w14:textId="77777777" w:rsidR="00E74B44" w:rsidRDefault="00B63677">
      <w:pPr>
        <w:spacing w:after="190" w:line="249" w:lineRule="auto"/>
        <w:ind w:left="-5" w:hanging="10"/>
      </w:pPr>
      <w:r>
        <w:t xml:space="preserve">Article2. </w:t>
      </w:r>
      <w:r>
        <w:rPr>
          <w:color w:val="0562C1"/>
          <w:u w:val="single" w:color="0562C1"/>
        </w:rPr>
        <w:t>https://theupstreamist.substack.com/p/the-community-of-schools-and-services</w:t>
      </w:r>
      <w:r>
        <w:t xml:space="preserve"> </w:t>
      </w:r>
    </w:p>
    <w:p w14:paraId="72EC963C" w14:textId="77777777" w:rsidR="00E74B44" w:rsidRDefault="00B63677">
      <w:pPr>
        <w:spacing w:after="0"/>
        <w:ind w:left="-4"/>
      </w:pPr>
      <w:r>
        <w:t xml:space="preserve">Hand, T., MacKenzie, D., Gill, P. Zimmerman, J., McGrath, K. &amp; Jackson, D. (2025) Extending the COSS </w:t>
      </w:r>
    </w:p>
    <w:p w14:paraId="794C5E06" w14:textId="77777777" w:rsidR="00E74B44" w:rsidRDefault="00B63677">
      <w:pPr>
        <w:spacing w:after="0"/>
        <w:ind w:left="-4"/>
      </w:pPr>
      <w:r>
        <w:t xml:space="preserve">Model to Youth Mental Health: Outcomes 2 and learnings from the Albury Project Mental Health </w:t>
      </w:r>
    </w:p>
    <w:p w14:paraId="01C0117B" w14:textId="77777777" w:rsidR="00E74B44" w:rsidRDefault="00B63677">
      <w:pPr>
        <w:spacing w:after="188" w:line="249" w:lineRule="auto"/>
        <w:ind w:left="-5" w:hanging="10"/>
      </w:pPr>
      <w:r>
        <w:t xml:space="preserve">Pilot, </w:t>
      </w:r>
      <w:r>
        <w:rPr>
          <w:i/>
        </w:rPr>
        <w:t>Journal of Environmental Research and Public Health</w:t>
      </w:r>
      <w:r>
        <w:t xml:space="preserve">. </w:t>
      </w:r>
      <w:r>
        <w:rPr>
          <w:color w:val="0562C1"/>
          <w:u w:val="single" w:color="0562C1"/>
        </w:rPr>
        <w:t>https://www.mdpi.com/16604601/22/12/1780</w:t>
      </w:r>
      <w:r>
        <w:t xml:space="preserve"> </w:t>
      </w:r>
    </w:p>
    <w:p w14:paraId="406B548E" w14:textId="77777777" w:rsidR="00E74B44" w:rsidRDefault="00B63677">
      <w:pPr>
        <w:spacing w:after="190" w:line="249" w:lineRule="auto"/>
        <w:ind w:left="-5" w:hanging="10"/>
      </w:pPr>
      <w:r>
        <w:t xml:space="preserve">Lamb, S. &amp;. (2017). </w:t>
      </w:r>
      <w:r>
        <w:rPr>
          <w:i/>
        </w:rPr>
        <w:t>Counting the costs of lost opportunity in Australia</w:t>
      </w:r>
      <w:r>
        <w:t xml:space="preserve">. Melbourne: Mitchell Institute. </w:t>
      </w:r>
      <w:r>
        <w:rPr>
          <w:color w:val="0562C1"/>
          <w:u w:val="single" w:color="0562C1"/>
        </w:rPr>
        <w:t>https://www.vu.edu.au/sites/default/files/counting-the-costs-of-lost-opportunity-in-Aus-educationmitchell-institute.pdf</w:t>
      </w:r>
      <w:r>
        <w:t xml:space="preserve"> </w:t>
      </w:r>
    </w:p>
    <w:p w14:paraId="7097A041" w14:textId="77777777" w:rsidR="00E74B44" w:rsidRDefault="00B63677">
      <w:pPr>
        <w:spacing w:after="170"/>
        <w:ind w:left="-4"/>
      </w:pPr>
      <w:r>
        <w:t xml:space="preserve">MacKenzie, D. &amp; Hand, T. (2022). ‘Youth Homelessness and Early School Leaving: The Twin Peaks of Youth Disadvantage’. </w:t>
      </w:r>
      <w:r>
        <w:rPr>
          <w:i/>
        </w:rPr>
        <w:t>Parity</w:t>
      </w:r>
      <w:r>
        <w:t xml:space="preserve">, 35(4):17-19 </w:t>
      </w:r>
    </w:p>
    <w:p w14:paraId="03EBD833" w14:textId="77777777" w:rsidR="00E74B44" w:rsidRDefault="00B63677">
      <w:pPr>
        <w:spacing w:after="9" w:line="249" w:lineRule="auto"/>
        <w:ind w:left="-5" w:hanging="10"/>
      </w:pPr>
      <w:r>
        <w:t xml:space="preserve">MacKenzie, D. et.al. (2016). </w:t>
      </w:r>
      <w:r>
        <w:rPr>
          <w:i/>
        </w:rPr>
        <w:t>The Cost of Youth Homelessness in Australia: Research Brief</w:t>
      </w:r>
      <w:r>
        <w:t xml:space="preserve">. Melbourne: </w:t>
      </w:r>
    </w:p>
    <w:p w14:paraId="09D1D64D" w14:textId="77777777" w:rsidR="00E74B44" w:rsidRDefault="00B63677">
      <w:pPr>
        <w:spacing w:after="190" w:line="249" w:lineRule="auto"/>
        <w:ind w:left="-5" w:hanging="10"/>
      </w:pPr>
      <w:r>
        <w:t xml:space="preserve">Swinburne University of Technology. </w:t>
      </w:r>
      <w:r>
        <w:rPr>
          <w:color w:val="0562C1"/>
          <w:u w:val="single" w:color="0562C1"/>
        </w:rPr>
        <w:t>https://apo.org.au/sites/default/files/resource-files/201604/apo-nid63479.pdf</w:t>
      </w:r>
      <w:r>
        <w:t xml:space="preserve"> </w:t>
      </w:r>
    </w:p>
    <w:p w14:paraId="5216FD2C" w14:textId="77777777" w:rsidR="00E74B44" w:rsidRDefault="00B63677">
      <w:pPr>
        <w:spacing w:after="168"/>
        <w:ind w:left="-4"/>
      </w:pPr>
      <w:r>
        <w:t xml:space="preserve">MacKenzie, D., Hand, T. &amp; Gill, P. (2024). The ‘community of services and schools’ (COSS) model of early intervention: A System-changing Innovation for the prevention of Youth Homelessness. </w:t>
      </w:r>
      <w:r>
        <w:rPr>
          <w:i/>
        </w:rPr>
        <w:t xml:space="preserve">Youth 2024, </w:t>
      </w:r>
      <w:r>
        <w:t>4, 1305-1321 [MDPI].</w:t>
      </w:r>
      <w:r>
        <w:t xml:space="preserve"> </w:t>
      </w:r>
      <w:r>
        <w:rPr>
          <w:color w:val="0562C1"/>
          <w:u w:val="single" w:color="0562C1"/>
        </w:rPr>
        <w:t>https://www.mdpi.com/2673-995X/4/3/82</w:t>
      </w:r>
      <w:r>
        <w:t xml:space="preserve"> </w:t>
      </w:r>
    </w:p>
    <w:p w14:paraId="56FB5979" w14:textId="77777777" w:rsidR="00E74B44" w:rsidRDefault="00B63677">
      <w:pPr>
        <w:spacing w:after="175"/>
        <w:ind w:left="-4"/>
      </w:pPr>
      <w:r>
        <w:t xml:space="preserve">McGrath, K., Glen, R., Catetell, E., Pain, M., Brosolo, K., MacKenzie, D. &amp; Hand, T. (2022). ‘The Covid19 Pandemic in Albury: Weathering the storm. </w:t>
      </w:r>
      <w:r>
        <w:rPr>
          <w:i/>
        </w:rPr>
        <w:t>Parity</w:t>
      </w:r>
      <w:r>
        <w:t xml:space="preserve">, 35(2), 4-6. </w:t>
      </w:r>
    </w:p>
    <w:p w14:paraId="03A464A8" w14:textId="77777777" w:rsidR="00E74B44" w:rsidRDefault="00B63677">
      <w:pPr>
        <w:spacing w:after="170"/>
        <w:ind w:left="-4"/>
      </w:pPr>
      <w:r>
        <w:t xml:space="preserve">O’Connell, M. </w:t>
      </w:r>
      <w:r>
        <w:rPr>
          <w:i/>
          <w:color w:val="0562C1"/>
          <w:u w:val="single" w:color="0562C1"/>
        </w:rPr>
        <w:t xml:space="preserve">The Cost of Late Intervention in 2024 </w:t>
      </w:r>
      <w:r>
        <w:rPr>
          <w:color w:val="0562C1"/>
          <w:u w:val="single" w:color="0562C1"/>
        </w:rPr>
        <w:t>[PDF 1,594KB]</w:t>
      </w:r>
      <w:r>
        <w:t xml:space="preserve">, The Front Project, Melbourne, 2025, accessed 17 October 2025. </w:t>
      </w:r>
    </w:p>
    <w:p w14:paraId="54B63182" w14:textId="77777777" w:rsidR="00E74B44" w:rsidRDefault="00B63677">
      <w:pPr>
        <w:spacing w:after="78" w:line="259" w:lineRule="auto"/>
        <w:ind w:left="0" w:firstLine="0"/>
      </w:pPr>
      <w:r>
        <w:t xml:space="preserve"> </w:t>
      </w:r>
    </w:p>
    <w:p w14:paraId="6C963612" w14:textId="77777777" w:rsidR="00E74B44" w:rsidRDefault="00B63677">
      <w:pPr>
        <w:spacing w:after="101" w:line="239" w:lineRule="auto"/>
        <w:ind w:left="0" w:firstLine="0"/>
      </w:pPr>
      <w:r>
        <w:t>Access all articles on</w:t>
      </w:r>
      <w:r>
        <w:rPr>
          <w:i/>
        </w:rPr>
        <w:t xml:space="preserve"> The Upstreamist: </w:t>
      </w:r>
      <w:r>
        <w:t xml:space="preserve"> </w:t>
      </w:r>
      <w:r>
        <w:rPr>
          <w:b/>
          <w:i/>
          <w:color w:val="0562C1"/>
          <w:u w:val="single" w:color="0562C1"/>
        </w:rPr>
        <w:t>https://theupstreamist.substack.com/?utm source=globalsearch</w:t>
      </w:r>
      <w:r>
        <w:t xml:space="preserve">  </w:t>
      </w:r>
    </w:p>
    <w:p w14:paraId="59A53551" w14:textId="77777777" w:rsidR="00E74B44" w:rsidRDefault="00B63677">
      <w:pPr>
        <w:spacing w:after="79" w:line="259" w:lineRule="auto"/>
        <w:ind w:left="0" w:firstLine="0"/>
      </w:pPr>
      <w:r>
        <w:rPr>
          <w:i/>
        </w:rPr>
        <w:lastRenderedPageBreak/>
        <w:t xml:space="preserve"> </w:t>
      </w:r>
    </w:p>
    <w:p w14:paraId="31FB4A1B" w14:textId="77777777" w:rsidR="00E74B44" w:rsidRDefault="00B63677">
      <w:pPr>
        <w:spacing w:after="0" w:line="259" w:lineRule="auto"/>
        <w:ind w:left="0" w:firstLine="0"/>
      </w:pPr>
      <w:r>
        <w:t xml:space="preserve"> </w:t>
      </w:r>
    </w:p>
    <w:p w14:paraId="1056B3F2" w14:textId="77777777" w:rsidR="00E74B44" w:rsidRDefault="00B63677">
      <w:pPr>
        <w:spacing w:after="79" w:line="259" w:lineRule="auto"/>
        <w:ind w:left="0" w:firstLine="0"/>
        <w:jc w:val="both"/>
      </w:pPr>
      <w:r>
        <w:t xml:space="preserve"> </w:t>
      </w:r>
    </w:p>
    <w:p w14:paraId="6941FEFD" w14:textId="77777777" w:rsidR="00E74B44" w:rsidRDefault="00B63677">
      <w:pPr>
        <w:spacing w:after="117" w:line="259" w:lineRule="auto"/>
        <w:ind w:left="0" w:firstLine="0"/>
        <w:jc w:val="both"/>
      </w:pPr>
      <w:r>
        <w:t xml:space="preserve"> </w:t>
      </w:r>
    </w:p>
    <w:p w14:paraId="23E012F8" w14:textId="77777777" w:rsidR="00E74B44" w:rsidRDefault="00B63677">
      <w:pPr>
        <w:spacing w:after="117" w:line="259" w:lineRule="auto"/>
        <w:ind w:left="0" w:firstLine="0"/>
        <w:jc w:val="both"/>
      </w:pPr>
      <w:r>
        <w:t xml:space="preserve"> </w:t>
      </w:r>
    </w:p>
    <w:p w14:paraId="66446C83" w14:textId="77777777" w:rsidR="00E74B44" w:rsidRDefault="00B63677">
      <w:pPr>
        <w:spacing w:after="122" w:line="259" w:lineRule="auto"/>
        <w:ind w:left="0" w:firstLine="0"/>
        <w:jc w:val="both"/>
      </w:pPr>
      <w:r>
        <w:t xml:space="preserve"> </w:t>
      </w:r>
    </w:p>
    <w:p w14:paraId="6A03D52C" w14:textId="77777777" w:rsidR="00E74B44" w:rsidRDefault="00B63677">
      <w:pPr>
        <w:spacing w:after="117" w:line="259" w:lineRule="auto"/>
        <w:ind w:left="0" w:firstLine="0"/>
        <w:jc w:val="both"/>
      </w:pPr>
      <w:r>
        <w:rPr>
          <w:b/>
        </w:rPr>
        <w:t xml:space="preserve"> </w:t>
      </w:r>
    </w:p>
    <w:p w14:paraId="3015F54B" w14:textId="77777777" w:rsidR="00E74B44" w:rsidRDefault="00B63677">
      <w:pPr>
        <w:spacing w:after="117" w:line="259" w:lineRule="auto"/>
        <w:ind w:left="0" w:firstLine="0"/>
        <w:jc w:val="both"/>
      </w:pPr>
      <w:r>
        <w:t xml:space="preserve"> </w:t>
      </w:r>
    </w:p>
    <w:p w14:paraId="556FFED5" w14:textId="77777777" w:rsidR="00E74B44" w:rsidRDefault="00B63677">
      <w:pPr>
        <w:spacing w:after="0" w:line="259" w:lineRule="auto"/>
        <w:ind w:left="0" w:firstLine="0"/>
        <w:jc w:val="both"/>
      </w:pPr>
      <w:r>
        <w:t xml:space="preserve"> </w:t>
      </w:r>
    </w:p>
    <w:sectPr w:rsidR="00E74B44">
      <w:headerReference w:type="even" r:id="rId26"/>
      <w:headerReference w:type="default" r:id="rId27"/>
      <w:footerReference w:type="even" r:id="rId28"/>
      <w:footerReference w:type="default" r:id="rId29"/>
      <w:headerReference w:type="first" r:id="rId30"/>
      <w:footerReference w:type="first" r:id="rId31"/>
      <w:pgSz w:w="11904" w:h="16838"/>
      <w:pgMar w:top="1134" w:right="1483" w:bottom="114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F865" w14:textId="77777777" w:rsidR="00B63677" w:rsidRDefault="00B63677">
      <w:pPr>
        <w:spacing w:after="0" w:line="240" w:lineRule="auto"/>
      </w:pPr>
      <w:r>
        <w:separator/>
      </w:r>
    </w:p>
  </w:endnote>
  <w:endnote w:type="continuationSeparator" w:id="0">
    <w:p w14:paraId="3AF1E2CA" w14:textId="77777777" w:rsidR="00B63677" w:rsidRDefault="00B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24F6" w14:textId="77777777" w:rsidR="00E74B44" w:rsidRDefault="00E74B44">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C993" w14:textId="77777777" w:rsidR="00E74B44" w:rsidRDefault="00B63677">
    <w:pPr>
      <w:tabs>
        <w:tab w:val="right" w:pos="8981"/>
      </w:tabs>
      <w:spacing w:after="0" w:line="259" w:lineRule="auto"/>
      <w:ind w:left="0" w:right="-44"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62B3" w14:textId="77777777" w:rsidR="00E74B44" w:rsidRDefault="00B63677">
    <w:pPr>
      <w:tabs>
        <w:tab w:val="right" w:pos="8981"/>
      </w:tabs>
      <w:spacing w:after="0" w:line="259" w:lineRule="auto"/>
      <w:ind w:left="0" w:right="-44"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CCFA" w14:textId="77777777" w:rsidR="00E74B44" w:rsidRDefault="00B63677">
    <w:pPr>
      <w:tabs>
        <w:tab w:val="right" w:pos="8981"/>
      </w:tabs>
      <w:spacing w:after="0" w:line="259" w:lineRule="auto"/>
      <w:ind w:left="0" w:right="-44"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834" w14:textId="77777777" w:rsidR="00E74B44" w:rsidRDefault="00E74B4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0EA8" w14:textId="77777777" w:rsidR="00E74B44" w:rsidRDefault="00E74B4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B0E5" w14:textId="77777777" w:rsidR="00E74B44" w:rsidRDefault="00B63677">
    <w:pPr>
      <w:tabs>
        <w:tab w:val="right" w:pos="9029"/>
      </w:tabs>
      <w:spacing w:after="0" w:line="259" w:lineRule="auto"/>
      <w:ind w:left="0"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85EE" w14:textId="77777777" w:rsidR="00E74B44" w:rsidRDefault="00B63677">
    <w:pPr>
      <w:tabs>
        <w:tab w:val="right" w:pos="9029"/>
      </w:tabs>
      <w:spacing w:after="0" w:line="259" w:lineRule="auto"/>
      <w:ind w:left="0"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1D63" w14:textId="77777777" w:rsidR="00E74B44" w:rsidRDefault="00B63677">
    <w:pPr>
      <w:tabs>
        <w:tab w:val="right" w:pos="9029"/>
      </w:tabs>
      <w:spacing w:after="0" w:line="259" w:lineRule="auto"/>
      <w:ind w:left="0"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3481" w14:textId="77777777" w:rsidR="00E74B44" w:rsidRDefault="00B63677">
    <w:pPr>
      <w:tabs>
        <w:tab w:val="right" w:pos="9024"/>
      </w:tabs>
      <w:spacing w:after="0" w:line="259" w:lineRule="auto"/>
      <w:ind w:left="0" w:right="-2"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CA25" w14:textId="77777777" w:rsidR="00E74B44" w:rsidRDefault="00B63677">
    <w:pPr>
      <w:tabs>
        <w:tab w:val="right" w:pos="9024"/>
      </w:tabs>
      <w:spacing w:after="0" w:line="259" w:lineRule="auto"/>
      <w:ind w:left="0" w:right="-2"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BBC5" w14:textId="77777777" w:rsidR="00E74B44" w:rsidRDefault="00B63677">
    <w:pPr>
      <w:tabs>
        <w:tab w:val="right" w:pos="9024"/>
      </w:tabs>
      <w:spacing w:after="0" w:line="259" w:lineRule="auto"/>
      <w:ind w:left="0" w:right="-2" w:firstLine="0"/>
    </w:pPr>
    <w:r>
      <w:t xml:space="preserve">A New Approach to Programs for Families and Children </w:t>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4F4E" w14:textId="77777777" w:rsidR="00B63677" w:rsidRDefault="00B63677">
      <w:pPr>
        <w:spacing w:after="0" w:line="240" w:lineRule="auto"/>
      </w:pPr>
      <w:r>
        <w:separator/>
      </w:r>
    </w:p>
  </w:footnote>
  <w:footnote w:type="continuationSeparator" w:id="0">
    <w:p w14:paraId="1C744E58" w14:textId="77777777" w:rsidR="00B63677" w:rsidRDefault="00B6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FDB8" w14:textId="77777777" w:rsidR="00E74B44" w:rsidRDefault="00E74B44">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77E8" w14:textId="77777777" w:rsidR="00E74B44" w:rsidRDefault="00E74B44">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67FC" w14:textId="77777777" w:rsidR="00E74B44" w:rsidRDefault="00E74B44">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5693" w14:textId="77777777" w:rsidR="00E74B44" w:rsidRDefault="00E74B4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4047" w14:textId="77777777" w:rsidR="00E74B44" w:rsidRDefault="00E74B4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DFB1" w14:textId="77777777" w:rsidR="00E74B44" w:rsidRDefault="00E74B4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19E3" w14:textId="77777777" w:rsidR="00E74B44" w:rsidRDefault="00E74B4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58FE" w14:textId="77777777" w:rsidR="00E74B44" w:rsidRDefault="00E74B4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9A55" w14:textId="77777777" w:rsidR="00E74B44" w:rsidRDefault="00E74B44">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4EEA" w14:textId="77777777" w:rsidR="00E74B44" w:rsidRDefault="00E74B44">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3B66" w14:textId="77777777" w:rsidR="00E74B44" w:rsidRDefault="00B63677">
    <w:pPr>
      <w:spacing w:after="0" w:line="259" w:lineRule="auto"/>
      <w:ind w:left="361" w:firstLine="0"/>
    </w:pPr>
    <w: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812" w14:textId="77777777" w:rsidR="00E74B44" w:rsidRDefault="00B63677">
    <w:pPr>
      <w:spacing w:after="0" w:line="259" w:lineRule="auto"/>
      <w:ind w:left="361" w:firstLine="0"/>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10B"/>
    <w:multiLevelType w:val="hybridMultilevel"/>
    <w:tmpl w:val="CBC02554"/>
    <w:lvl w:ilvl="0" w:tplc="6884040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586428">
      <w:start w:val="1"/>
      <w:numFmt w:val="bullet"/>
      <w:lvlRestart w:val="0"/>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A8C712">
      <w:start w:val="1"/>
      <w:numFmt w:val="bullet"/>
      <w:lvlText w:val="▪"/>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0E99E4">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C4CE2A">
      <w:start w:val="1"/>
      <w:numFmt w:val="bullet"/>
      <w:lvlText w:val="o"/>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C8DCA0">
      <w:start w:val="1"/>
      <w:numFmt w:val="bullet"/>
      <w:lvlText w:val="▪"/>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E851A">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D25014">
      <w:start w:val="1"/>
      <w:numFmt w:val="bullet"/>
      <w:lvlText w:val="o"/>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280002">
      <w:start w:val="1"/>
      <w:numFmt w:val="bullet"/>
      <w:lvlText w:val="▪"/>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9E5464"/>
    <w:multiLevelType w:val="hybridMultilevel"/>
    <w:tmpl w:val="819E1A54"/>
    <w:lvl w:ilvl="0" w:tplc="59DA538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6BBA6">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2AA0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6C0F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C21FC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68A95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E663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2E610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BCEF5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3B2025"/>
    <w:multiLevelType w:val="hybridMultilevel"/>
    <w:tmpl w:val="B242443E"/>
    <w:lvl w:ilvl="0" w:tplc="78363D1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A6C4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640D5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D4C99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46D2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A28D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A0A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6861D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90045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8112F7"/>
    <w:multiLevelType w:val="hybridMultilevel"/>
    <w:tmpl w:val="75E41184"/>
    <w:lvl w:ilvl="0" w:tplc="37A6316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7E4778">
      <w:start w:val="1"/>
      <w:numFmt w:val="bullet"/>
      <w:lvlRestart w:val="0"/>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C0300E">
      <w:start w:val="1"/>
      <w:numFmt w:val="bullet"/>
      <w:lvlText w:val="▪"/>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F8EDF0">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FC2D3C">
      <w:start w:val="1"/>
      <w:numFmt w:val="bullet"/>
      <w:lvlText w:val="o"/>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6C9426">
      <w:start w:val="1"/>
      <w:numFmt w:val="bullet"/>
      <w:lvlText w:val="▪"/>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BCC8DE">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46D4E">
      <w:start w:val="1"/>
      <w:numFmt w:val="bullet"/>
      <w:lvlText w:val="o"/>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78DE88">
      <w:start w:val="1"/>
      <w:numFmt w:val="bullet"/>
      <w:lvlText w:val="▪"/>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269D8"/>
    <w:multiLevelType w:val="hybridMultilevel"/>
    <w:tmpl w:val="AF76BC1E"/>
    <w:lvl w:ilvl="0" w:tplc="4FD0600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F817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26FCC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B8175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E71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4D5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DE3F3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78EA3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9AE4F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5A4740"/>
    <w:multiLevelType w:val="hybridMultilevel"/>
    <w:tmpl w:val="538811DC"/>
    <w:lvl w:ilvl="0" w:tplc="9CDAC5E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645906">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9C8F2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4E0DC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40985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A8EE3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F87D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D2962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67AE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66406C"/>
    <w:multiLevelType w:val="hybridMultilevel"/>
    <w:tmpl w:val="4EF46AEA"/>
    <w:lvl w:ilvl="0" w:tplc="0B922DD0">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E69B8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5895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583C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62A97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2EC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2ADD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E4B40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D0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E7459C"/>
    <w:multiLevelType w:val="hybridMultilevel"/>
    <w:tmpl w:val="572221D8"/>
    <w:lvl w:ilvl="0" w:tplc="CBE471C2">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2C8C2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D269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B4EB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5EBA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144C6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3E969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3C3A9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0EAC3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1129F7"/>
    <w:multiLevelType w:val="hybridMultilevel"/>
    <w:tmpl w:val="58AE9CD2"/>
    <w:lvl w:ilvl="0" w:tplc="BDBA186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A067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7CEA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7EEFA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A0B4D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3200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6A757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54F73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9E2E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FC4211"/>
    <w:multiLevelType w:val="hybridMultilevel"/>
    <w:tmpl w:val="A000BF7C"/>
    <w:lvl w:ilvl="0" w:tplc="91D28EC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2A8336">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7C643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36B10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04EAC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C1A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9EDA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30E9E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4128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F223F0"/>
    <w:multiLevelType w:val="hybridMultilevel"/>
    <w:tmpl w:val="E048D738"/>
    <w:lvl w:ilvl="0" w:tplc="1270C56E">
      <w:start w:val="1"/>
      <w:numFmt w:val="bullet"/>
      <w:lvlText w:val="-"/>
      <w:lvlJc w:val="left"/>
      <w:pPr>
        <w:ind w:left="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12A63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E1D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ED9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867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56B2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10F8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C664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62F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352CCC"/>
    <w:multiLevelType w:val="hybridMultilevel"/>
    <w:tmpl w:val="B5A291DE"/>
    <w:lvl w:ilvl="0" w:tplc="7DE0612A">
      <w:start w:val="3"/>
      <w:numFmt w:val="decimal"/>
      <w:lvlText w:val="%1."/>
      <w:lvlJc w:val="left"/>
      <w:pPr>
        <w:ind w:left="10"/>
      </w:pPr>
      <w:rPr>
        <w:rFonts w:ascii="Calibri" w:eastAsia="Calibri" w:hAnsi="Calibri" w:cs="Calibri"/>
        <w:b/>
        <w:bCs/>
        <w:i w:val="0"/>
        <w:strike w:val="0"/>
        <w:dstrike w:val="0"/>
        <w:color w:val="0A769F"/>
        <w:sz w:val="28"/>
        <w:szCs w:val="28"/>
        <w:u w:val="none" w:color="000000"/>
        <w:bdr w:val="none" w:sz="0" w:space="0" w:color="auto"/>
        <w:shd w:val="clear" w:color="auto" w:fill="auto"/>
        <w:vertAlign w:val="baseline"/>
      </w:rPr>
    </w:lvl>
    <w:lvl w:ilvl="1" w:tplc="16368D9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EA7D0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84E3F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1871C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CC1A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AEF5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0A0A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803B4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5914E1"/>
    <w:multiLevelType w:val="hybridMultilevel"/>
    <w:tmpl w:val="3F786BC6"/>
    <w:lvl w:ilvl="0" w:tplc="0422EB74">
      <w:start w:val="1"/>
      <w:numFmt w:val="decimal"/>
      <w:lvlText w:val="%1."/>
      <w:lvlJc w:val="left"/>
      <w:pPr>
        <w:ind w:left="280"/>
      </w:pPr>
      <w:rPr>
        <w:rFonts w:ascii="Calibri" w:eastAsia="Calibri" w:hAnsi="Calibri" w:cs="Calibri"/>
        <w:b/>
        <w:bCs/>
        <w:i w:val="0"/>
        <w:strike w:val="0"/>
        <w:dstrike w:val="0"/>
        <w:color w:val="0A769F"/>
        <w:sz w:val="28"/>
        <w:szCs w:val="28"/>
        <w:u w:val="none" w:color="000000"/>
        <w:bdr w:val="none" w:sz="0" w:space="0" w:color="auto"/>
        <w:shd w:val="clear" w:color="auto" w:fill="auto"/>
        <w:vertAlign w:val="baseline"/>
      </w:rPr>
    </w:lvl>
    <w:lvl w:ilvl="1" w:tplc="734474B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A722C">
      <w:start w:val="1"/>
      <w:numFmt w:val="bullet"/>
      <w:lvlText w:val="▪"/>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0DF4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D01558">
      <w:start w:val="1"/>
      <w:numFmt w:val="bullet"/>
      <w:lvlText w:val="o"/>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16DC00">
      <w:start w:val="1"/>
      <w:numFmt w:val="bullet"/>
      <w:lvlText w:val="▪"/>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0C8D2C">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401EA">
      <w:start w:val="1"/>
      <w:numFmt w:val="bullet"/>
      <w:lvlText w:val="o"/>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ECE00C">
      <w:start w:val="1"/>
      <w:numFmt w:val="bullet"/>
      <w:lvlText w:val="▪"/>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1C45A7"/>
    <w:multiLevelType w:val="hybridMultilevel"/>
    <w:tmpl w:val="CE2E6926"/>
    <w:lvl w:ilvl="0" w:tplc="4F003F08">
      <w:start w:val="8"/>
      <w:numFmt w:val="decimal"/>
      <w:lvlText w:val="%1."/>
      <w:lvlJc w:val="left"/>
      <w:pPr>
        <w:ind w:left="10"/>
      </w:pPr>
      <w:rPr>
        <w:rFonts w:ascii="Calibri" w:eastAsia="Calibri" w:hAnsi="Calibri" w:cs="Calibri"/>
        <w:b/>
        <w:bCs/>
        <w:i w:val="0"/>
        <w:strike w:val="0"/>
        <w:dstrike w:val="0"/>
        <w:color w:val="0A769F"/>
        <w:sz w:val="28"/>
        <w:szCs w:val="28"/>
        <w:u w:val="none" w:color="000000"/>
        <w:bdr w:val="none" w:sz="0" w:space="0" w:color="auto"/>
        <w:shd w:val="clear" w:color="auto" w:fill="auto"/>
        <w:vertAlign w:val="baseline"/>
      </w:rPr>
    </w:lvl>
    <w:lvl w:ilvl="1" w:tplc="8FDA29C4">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B0AE1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5EA2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80BBB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B8900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7222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63D9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EC248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B976FC"/>
    <w:multiLevelType w:val="hybridMultilevel"/>
    <w:tmpl w:val="CCD0075E"/>
    <w:lvl w:ilvl="0" w:tplc="159C500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AE21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6ED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C4624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E0D0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ABE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C254E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C373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A9A5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C6682D"/>
    <w:multiLevelType w:val="hybridMultilevel"/>
    <w:tmpl w:val="849E3A1E"/>
    <w:lvl w:ilvl="0" w:tplc="1464BA2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9816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768B1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7EA8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86859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3C050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BC09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EDCE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BAFA9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3448804">
    <w:abstractNumId w:val="10"/>
  </w:num>
  <w:num w:numId="2" w16cid:durableId="783617966">
    <w:abstractNumId w:val="2"/>
  </w:num>
  <w:num w:numId="3" w16cid:durableId="311641112">
    <w:abstractNumId w:val="12"/>
  </w:num>
  <w:num w:numId="4" w16cid:durableId="2028212878">
    <w:abstractNumId w:val="7"/>
  </w:num>
  <w:num w:numId="5" w16cid:durableId="663046313">
    <w:abstractNumId w:val="11"/>
  </w:num>
  <w:num w:numId="6" w16cid:durableId="2066490329">
    <w:abstractNumId w:val="6"/>
  </w:num>
  <w:num w:numId="7" w16cid:durableId="88353276">
    <w:abstractNumId w:val="15"/>
  </w:num>
  <w:num w:numId="8" w16cid:durableId="2109302917">
    <w:abstractNumId w:val="13"/>
  </w:num>
  <w:num w:numId="9" w16cid:durableId="1538472329">
    <w:abstractNumId w:val="8"/>
  </w:num>
  <w:num w:numId="10" w16cid:durableId="786588469">
    <w:abstractNumId w:val="9"/>
  </w:num>
  <w:num w:numId="11" w16cid:durableId="2085833118">
    <w:abstractNumId w:val="5"/>
  </w:num>
  <w:num w:numId="12" w16cid:durableId="517499960">
    <w:abstractNumId w:val="1"/>
  </w:num>
  <w:num w:numId="13" w16cid:durableId="1979608733">
    <w:abstractNumId w:val="0"/>
  </w:num>
  <w:num w:numId="14" w16cid:durableId="270404073">
    <w:abstractNumId w:val="3"/>
  </w:num>
  <w:num w:numId="15" w16cid:durableId="1929851283">
    <w:abstractNumId w:val="4"/>
  </w:num>
  <w:num w:numId="16" w16cid:durableId="160701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44"/>
    <w:rsid w:val="003D4265"/>
    <w:rsid w:val="00B63677"/>
    <w:rsid w:val="00E74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FB87"/>
  <w15:docId w15:val="{334B519B-6348-4F02-AEB7-F3C1E0CD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69" w:lineRule="auto"/>
      <w:ind w:left="9"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4" w:line="259" w:lineRule="auto"/>
      <w:ind w:left="12" w:hanging="10"/>
      <w:outlineLvl w:val="0"/>
    </w:pPr>
    <w:rPr>
      <w:rFonts w:ascii="Calibri" w:eastAsia="Calibri" w:hAnsi="Calibri" w:cs="Calibri"/>
      <w:color w:val="0A769F"/>
      <w:sz w:val="72"/>
    </w:rPr>
  </w:style>
  <w:style w:type="paragraph" w:styleId="Heading2">
    <w:name w:val="heading 2"/>
    <w:next w:val="Normal"/>
    <w:link w:val="Heading2Char"/>
    <w:uiPriority w:val="9"/>
    <w:unhideWhenUsed/>
    <w:qFormat/>
    <w:pPr>
      <w:keepNext/>
      <w:keepLines/>
      <w:spacing w:after="92" w:line="267" w:lineRule="auto"/>
      <w:ind w:left="12"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A769F"/>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5696</Words>
  <Characters>37994</Characters>
  <Application>Microsoft Office Word</Application>
  <DocSecurity>0</DocSecurity>
  <Lines>631</Lines>
  <Paragraphs>288</Paragraphs>
  <ScaleCrop>false</ScaleCrop>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2025-12-12T03:56:00Z</dcterms:created>
  <dcterms:modified xsi:type="dcterms:W3CDTF">2025-12-12T03:56:00Z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v=2024.1;a=SHA256;h=CC73974F09FB92F0E0FD4E5F1F9B522C2AA34F1A818801EF08DF64E05D285491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2025-12-12T03:56:19Z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2025-12-12T03:56:19Z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36cf736f6f3c488d913eb16a6c1fe700</vt:lpwstr>
  </property>
  <property fmtid="{D5CDD505-2E9C-101B-9397-08002B2CF9AE}" pid="24" name="PM_Originator_Hash_SHA1">
    <vt:lpwstr>70D524B4874D1B3B34D90FDE0E5D82AA5E75BD44</vt:lpwstr>
  </property>
  <property fmtid="{D5CDD505-2E9C-101B-9397-08002B2CF9AE}" pid="25" name="PM_Originating_FileId">
    <vt:lpwstr>78D79EA1E4174331AD3BFC69175A37E5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410E650E50FA84FE0CDFAAE54C8A7368</vt:lpwstr>
  </property>
  <property fmtid="{D5CDD505-2E9C-101B-9397-08002B2CF9AE}" pid="33" name="PM_Hash_Salt">
    <vt:lpwstr>771D3F69FEC0C18EF7DD016D89F831C4</vt:lpwstr>
  </property>
  <property fmtid="{D5CDD505-2E9C-101B-9397-08002B2CF9AE}" pid="34" name="PM_Hash_SHA1">
    <vt:lpwstr>41AD1BB28DD42B391E6DB175F07D9E600C0F563A</vt:lpwstr>
  </property>
</Properties>
</file>