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05A51" w14:textId="77777777" w:rsidR="0039782D" w:rsidRDefault="00FA2745">
      <w:pPr>
        <w:spacing w:after="0" w:line="259" w:lineRule="auto"/>
        <w:ind w:left="-1440" w:right="10462" w:firstLine="0"/>
      </w:pPr>
      <w:r>
        <w:rPr>
          <w:noProof/>
          <w:sz w:val="22"/>
        </w:rPr>
        <mc:AlternateContent>
          <mc:Choice Requires="wpg">
            <w:drawing>
              <wp:anchor distT="0" distB="0" distL="114300" distR="114300" simplePos="0" relativeHeight="251658240" behindDoc="0" locked="0" layoutInCell="1" allowOverlap="1" wp14:anchorId="128736F2" wp14:editId="68538D98">
                <wp:simplePos x="0" y="0"/>
                <wp:positionH relativeFrom="page">
                  <wp:posOffset>0</wp:posOffset>
                </wp:positionH>
                <wp:positionV relativeFrom="page">
                  <wp:posOffset>2</wp:posOffset>
                </wp:positionV>
                <wp:extent cx="7560564" cy="10692379"/>
                <wp:effectExtent l="0" t="0" r="0" b="0"/>
                <wp:wrapTopAndBottom/>
                <wp:docPr id="6083" name="Group 6083"/>
                <wp:cNvGraphicFramePr/>
                <a:graphic xmlns:a="http://schemas.openxmlformats.org/drawingml/2006/main">
                  <a:graphicData uri="http://schemas.microsoft.com/office/word/2010/wordprocessingGroup">
                    <wpg:wgp>
                      <wpg:cNvGrpSpPr/>
                      <wpg:grpSpPr>
                        <a:xfrm>
                          <a:off x="0" y="0"/>
                          <a:ext cx="7560564" cy="10692379"/>
                          <a:chOff x="0" y="0"/>
                          <a:chExt cx="7560564" cy="10692379"/>
                        </a:xfrm>
                      </wpg:grpSpPr>
                      <pic:pic xmlns:pic="http://schemas.openxmlformats.org/drawingml/2006/picture">
                        <pic:nvPicPr>
                          <pic:cNvPr id="7060" name="Picture 7060"/>
                          <pic:cNvPicPr/>
                        </pic:nvPicPr>
                        <pic:blipFill>
                          <a:blip r:embed="rId7"/>
                          <a:stretch>
                            <a:fillRect/>
                          </a:stretch>
                        </pic:blipFill>
                        <pic:spPr>
                          <a:xfrm>
                            <a:off x="0" y="-1"/>
                            <a:ext cx="7543800" cy="10664952"/>
                          </a:xfrm>
                          <a:prstGeom prst="rect">
                            <a:avLst/>
                          </a:prstGeom>
                        </pic:spPr>
                      </pic:pic>
                      <wps:wsp>
                        <wps:cNvPr id="8" name="Rectangle 8"/>
                        <wps:cNvSpPr/>
                        <wps:spPr>
                          <a:xfrm>
                            <a:off x="914705" y="463066"/>
                            <a:ext cx="46096" cy="235529"/>
                          </a:xfrm>
                          <a:prstGeom prst="rect">
                            <a:avLst/>
                          </a:prstGeom>
                          <a:ln>
                            <a:noFill/>
                          </a:ln>
                        </wps:spPr>
                        <wps:txbx>
                          <w:txbxContent>
                            <w:p w14:paraId="72809378"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914705" y="1094256"/>
                            <a:ext cx="46096" cy="235529"/>
                          </a:xfrm>
                          <a:prstGeom prst="rect">
                            <a:avLst/>
                          </a:prstGeom>
                          <a:ln>
                            <a:noFill/>
                          </a:ln>
                        </wps:spPr>
                        <wps:txbx>
                          <w:txbxContent>
                            <w:p w14:paraId="0CADBA84"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914705" y="1284756"/>
                            <a:ext cx="46096" cy="235529"/>
                          </a:xfrm>
                          <a:prstGeom prst="rect">
                            <a:avLst/>
                          </a:prstGeom>
                          <a:ln>
                            <a:noFill/>
                          </a:ln>
                        </wps:spPr>
                        <wps:txbx>
                          <w:txbxContent>
                            <w:p w14:paraId="456C208E"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914705" y="1475256"/>
                            <a:ext cx="46096" cy="235529"/>
                          </a:xfrm>
                          <a:prstGeom prst="rect">
                            <a:avLst/>
                          </a:prstGeom>
                          <a:ln>
                            <a:noFill/>
                          </a:ln>
                        </wps:spPr>
                        <wps:txbx>
                          <w:txbxContent>
                            <w:p w14:paraId="3C980826"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14705" y="1665756"/>
                            <a:ext cx="46096" cy="235529"/>
                          </a:xfrm>
                          <a:prstGeom prst="rect">
                            <a:avLst/>
                          </a:prstGeom>
                          <a:ln>
                            <a:noFill/>
                          </a:ln>
                        </wps:spPr>
                        <wps:txbx>
                          <w:txbxContent>
                            <w:p w14:paraId="7C00C4A5"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914705" y="1856256"/>
                            <a:ext cx="46096" cy="235529"/>
                          </a:xfrm>
                          <a:prstGeom prst="rect">
                            <a:avLst/>
                          </a:prstGeom>
                          <a:ln>
                            <a:noFill/>
                          </a:ln>
                        </wps:spPr>
                        <wps:txbx>
                          <w:txbxContent>
                            <w:p w14:paraId="372A3BCC"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914705" y="2046756"/>
                            <a:ext cx="46096" cy="235529"/>
                          </a:xfrm>
                          <a:prstGeom prst="rect">
                            <a:avLst/>
                          </a:prstGeom>
                          <a:ln>
                            <a:noFill/>
                          </a:ln>
                        </wps:spPr>
                        <wps:txbx>
                          <w:txbxContent>
                            <w:p w14:paraId="6DFDD48B"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705" y="2237256"/>
                            <a:ext cx="46096" cy="235529"/>
                          </a:xfrm>
                          <a:prstGeom prst="rect">
                            <a:avLst/>
                          </a:prstGeom>
                          <a:ln>
                            <a:noFill/>
                          </a:ln>
                        </wps:spPr>
                        <wps:txbx>
                          <w:txbxContent>
                            <w:p w14:paraId="66A86027"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914705" y="2427756"/>
                            <a:ext cx="46096" cy="235529"/>
                          </a:xfrm>
                          <a:prstGeom prst="rect">
                            <a:avLst/>
                          </a:prstGeom>
                          <a:ln>
                            <a:noFill/>
                          </a:ln>
                        </wps:spPr>
                        <wps:txbx>
                          <w:txbxContent>
                            <w:p w14:paraId="443C9B86"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914705" y="2618256"/>
                            <a:ext cx="46096" cy="235529"/>
                          </a:xfrm>
                          <a:prstGeom prst="rect">
                            <a:avLst/>
                          </a:prstGeom>
                          <a:ln>
                            <a:noFill/>
                          </a:ln>
                        </wps:spPr>
                        <wps:txbx>
                          <w:txbxContent>
                            <w:p w14:paraId="4EC95C00"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914705" y="2808756"/>
                            <a:ext cx="46096" cy="235529"/>
                          </a:xfrm>
                          <a:prstGeom prst="rect">
                            <a:avLst/>
                          </a:prstGeom>
                          <a:ln>
                            <a:noFill/>
                          </a:ln>
                        </wps:spPr>
                        <wps:txbx>
                          <w:txbxContent>
                            <w:p w14:paraId="7ECE4963"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914705" y="2999256"/>
                            <a:ext cx="46096" cy="235529"/>
                          </a:xfrm>
                          <a:prstGeom prst="rect">
                            <a:avLst/>
                          </a:prstGeom>
                          <a:ln>
                            <a:noFill/>
                          </a:ln>
                        </wps:spPr>
                        <wps:txbx>
                          <w:txbxContent>
                            <w:p w14:paraId="698B29E2"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1056437" y="3208883"/>
                            <a:ext cx="7349315" cy="615778"/>
                          </a:xfrm>
                          <a:prstGeom prst="rect">
                            <a:avLst/>
                          </a:prstGeom>
                          <a:ln>
                            <a:noFill/>
                          </a:ln>
                        </wps:spPr>
                        <wps:txbx>
                          <w:txbxContent>
                            <w:p w14:paraId="22A3F89F" w14:textId="77777777" w:rsidR="0039782D" w:rsidRDefault="00FA2745">
                              <w:pPr>
                                <w:spacing w:after="160" w:line="259" w:lineRule="auto"/>
                                <w:ind w:left="0" w:firstLine="0"/>
                              </w:pPr>
                              <w:r>
                                <w:rPr>
                                  <w:b/>
                                  <w:color w:val="BA8D97"/>
                                  <w:w w:val="129"/>
                                  <w:sz w:val="52"/>
                                </w:rPr>
                                <w:t>Victorian</w:t>
                              </w:r>
                              <w:r>
                                <w:rPr>
                                  <w:b/>
                                  <w:color w:val="BA8D97"/>
                                  <w:spacing w:val="6"/>
                                  <w:w w:val="129"/>
                                  <w:sz w:val="52"/>
                                </w:rPr>
                                <w:t xml:space="preserve"> </w:t>
                              </w:r>
                              <w:r>
                                <w:rPr>
                                  <w:b/>
                                  <w:color w:val="BA8D97"/>
                                  <w:w w:val="129"/>
                                  <w:sz w:val="52"/>
                                </w:rPr>
                                <w:t>Aboriginal</w:t>
                              </w:r>
                              <w:r>
                                <w:rPr>
                                  <w:b/>
                                  <w:color w:val="BA8D97"/>
                                  <w:spacing w:val="4"/>
                                  <w:w w:val="129"/>
                                  <w:sz w:val="52"/>
                                </w:rPr>
                                <w:t xml:space="preserve"> </w:t>
                              </w:r>
                              <w:r>
                                <w:rPr>
                                  <w:b/>
                                  <w:color w:val="BA8D97"/>
                                  <w:w w:val="129"/>
                                  <w:sz w:val="52"/>
                                </w:rPr>
                                <w:t>Community</w:t>
                              </w:r>
                              <w:r>
                                <w:rPr>
                                  <w:b/>
                                  <w:color w:val="BA8D97"/>
                                  <w:spacing w:val="6"/>
                                  <w:w w:val="129"/>
                                  <w:sz w:val="52"/>
                                </w:rPr>
                                <w:t xml:space="preserve"> </w:t>
                              </w:r>
                            </w:p>
                          </w:txbxContent>
                        </wps:txbx>
                        <wps:bodyPr horzOverflow="overflow" vert="horz" lIns="0" tIns="0" rIns="0" bIns="0" rtlCol="0">
                          <a:noAutofit/>
                        </wps:bodyPr>
                      </wps:wsp>
                      <wps:wsp>
                        <wps:cNvPr id="21" name="Rectangle 21"/>
                        <wps:cNvSpPr/>
                        <wps:spPr>
                          <a:xfrm>
                            <a:off x="1166165" y="3704183"/>
                            <a:ext cx="6955656" cy="615778"/>
                          </a:xfrm>
                          <a:prstGeom prst="rect">
                            <a:avLst/>
                          </a:prstGeom>
                          <a:ln>
                            <a:noFill/>
                          </a:ln>
                        </wps:spPr>
                        <wps:txbx>
                          <w:txbxContent>
                            <w:p w14:paraId="300EECBC" w14:textId="77777777" w:rsidR="0039782D" w:rsidRDefault="00FA2745">
                              <w:pPr>
                                <w:spacing w:after="160" w:line="259" w:lineRule="auto"/>
                                <w:ind w:left="0" w:firstLine="0"/>
                              </w:pPr>
                              <w:r>
                                <w:rPr>
                                  <w:b/>
                                  <w:color w:val="BA8D97"/>
                                  <w:w w:val="127"/>
                                  <w:sz w:val="52"/>
                                </w:rPr>
                                <w:t>Controlled</w:t>
                              </w:r>
                              <w:r>
                                <w:rPr>
                                  <w:b/>
                                  <w:color w:val="BA8D97"/>
                                  <w:spacing w:val="6"/>
                                  <w:w w:val="127"/>
                                  <w:sz w:val="52"/>
                                </w:rPr>
                                <w:t xml:space="preserve"> </w:t>
                              </w:r>
                              <w:r>
                                <w:rPr>
                                  <w:b/>
                                  <w:color w:val="BA8D97"/>
                                  <w:w w:val="127"/>
                                  <w:sz w:val="52"/>
                                </w:rPr>
                                <w:t>Health</w:t>
                              </w:r>
                              <w:r>
                                <w:rPr>
                                  <w:b/>
                                  <w:color w:val="BA8D97"/>
                                  <w:spacing w:val="4"/>
                                  <w:w w:val="127"/>
                                  <w:sz w:val="52"/>
                                </w:rPr>
                                <w:t xml:space="preserve"> </w:t>
                              </w:r>
                              <w:r>
                                <w:rPr>
                                  <w:b/>
                                  <w:color w:val="BA8D97"/>
                                  <w:w w:val="127"/>
                                  <w:sz w:val="52"/>
                                </w:rPr>
                                <w:t>Organisation</w:t>
                              </w:r>
                            </w:p>
                          </w:txbxContent>
                        </wps:txbx>
                        <wps:bodyPr horzOverflow="overflow" vert="horz" lIns="0" tIns="0" rIns="0" bIns="0" rtlCol="0">
                          <a:noAutofit/>
                        </wps:bodyPr>
                      </wps:wsp>
                      <wps:wsp>
                        <wps:cNvPr id="22" name="Rectangle 22"/>
                        <wps:cNvSpPr/>
                        <wps:spPr>
                          <a:xfrm>
                            <a:off x="6395974" y="3704183"/>
                            <a:ext cx="104682" cy="615778"/>
                          </a:xfrm>
                          <a:prstGeom prst="rect">
                            <a:avLst/>
                          </a:prstGeom>
                          <a:ln>
                            <a:noFill/>
                          </a:ln>
                        </wps:spPr>
                        <wps:txbx>
                          <w:txbxContent>
                            <w:p w14:paraId="601ED4EF" w14:textId="77777777" w:rsidR="0039782D" w:rsidRDefault="00FA2745">
                              <w:pPr>
                                <w:spacing w:after="160" w:line="259" w:lineRule="auto"/>
                                <w:ind w:left="0" w:firstLine="0"/>
                              </w:pPr>
                              <w:r>
                                <w:rPr>
                                  <w:b/>
                                  <w:color w:val="BA8D97"/>
                                  <w:sz w:val="52"/>
                                </w:rPr>
                                <w:t xml:space="preserve"> </w:t>
                              </w:r>
                            </w:p>
                          </w:txbxContent>
                        </wps:txbx>
                        <wps:bodyPr horzOverflow="overflow" vert="horz" lIns="0" tIns="0" rIns="0" bIns="0" rtlCol="0">
                          <a:noAutofit/>
                        </wps:bodyPr>
                      </wps:wsp>
                      <wps:wsp>
                        <wps:cNvPr id="6071" name="Rectangle 6071"/>
                        <wps:cNvSpPr/>
                        <wps:spPr>
                          <a:xfrm>
                            <a:off x="1353566" y="4199482"/>
                            <a:ext cx="213323" cy="615779"/>
                          </a:xfrm>
                          <a:prstGeom prst="rect">
                            <a:avLst/>
                          </a:prstGeom>
                          <a:ln>
                            <a:noFill/>
                          </a:ln>
                        </wps:spPr>
                        <wps:txbx>
                          <w:txbxContent>
                            <w:p w14:paraId="1DAE4B93" w14:textId="77777777" w:rsidR="0039782D" w:rsidRDefault="00FA2745">
                              <w:pPr>
                                <w:spacing w:after="160" w:line="259" w:lineRule="auto"/>
                                <w:ind w:left="0" w:firstLine="0"/>
                              </w:pPr>
                              <w:r>
                                <w:rPr>
                                  <w:b/>
                                  <w:color w:val="BA8D97"/>
                                  <w:w w:val="162"/>
                                  <w:sz w:val="52"/>
                                </w:rPr>
                                <w:t>(</w:t>
                              </w:r>
                            </w:p>
                          </w:txbxContent>
                        </wps:txbx>
                        <wps:bodyPr horzOverflow="overflow" vert="horz" lIns="0" tIns="0" rIns="0" bIns="0" rtlCol="0">
                          <a:noAutofit/>
                        </wps:bodyPr>
                      </wps:wsp>
                      <wps:wsp>
                        <wps:cNvPr id="6073" name="Rectangle 6073"/>
                        <wps:cNvSpPr/>
                        <wps:spPr>
                          <a:xfrm>
                            <a:off x="1513959" y="4199482"/>
                            <a:ext cx="1960374" cy="615779"/>
                          </a:xfrm>
                          <a:prstGeom prst="rect">
                            <a:avLst/>
                          </a:prstGeom>
                          <a:ln>
                            <a:noFill/>
                          </a:ln>
                        </wps:spPr>
                        <wps:txbx>
                          <w:txbxContent>
                            <w:p w14:paraId="136B6731" w14:textId="77777777" w:rsidR="0039782D" w:rsidRDefault="00FA2745">
                              <w:pPr>
                                <w:spacing w:after="160" w:line="259" w:lineRule="auto"/>
                                <w:ind w:left="0" w:firstLine="0"/>
                              </w:pPr>
                              <w:r>
                                <w:rPr>
                                  <w:b/>
                                  <w:color w:val="BA8D97"/>
                                  <w:w w:val="128"/>
                                  <w:sz w:val="52"/>
                                </w:rPr>
                                <w:t>VACCHO</w:t>
                              </w:r>
                            </w:p>
                          </w:txbxContent>
                        </wps:txbx>
                        <wps:bodyPr horzOverflow="overflow" vert="horz" lIns="0" tIns="0" rIns="0" bIns="0" rtlCol="0">
                          <a:noAutofit/>
                        </wps:bodyPr>
                      </wps:wsp>
                      <wps:wsp>
                        <wps:cNvPr id="6072" name="Rectangle 6072"/>
                        <wps:cNvSpPr/>
                        <wps:spPr>
                          <a:xfrm>
                            <a:off x="2987925" y="4199482"/>
                            <a:ext cx="213323" cy="615779"/>
                          </a:xfrm>
                          <a:prstGeom prst="rect">
                            <a:avLst/>
                          </a:prstGeom>
                          <a:ln>
                            <a:noFill/>
                          </a:ln>
                        </wps:spPr>
                        <wps:txbx>
                          <w:txbxContent>
                            <w:p w14:paraId="4F0FAB93" w14:textId="77777777" w:rsidR="0039782D" w:rsidRDefault="00FA2745">
                              <w:pPr>
                                <w:spacing w:after="160" w:line="259" w:lineRule="auto"/>
                                <w:ind w:left="0" w:firstLine="0"/>
                              </w:pPr>
                              <w:r>
                                <w:rPr>
                                  <w:b/>
                                  <w:color w:val="BA8D97"/>
                                  <w:w w:val="162"/>
                                  <w:sz w:val="52"/>
                                </w:rPr>
                                <w:t>)</w:t>
                              </w:r>
                            </w:p>
                          </w:txbxContent>
                        </wps:txbx>
                        <wps:bodyPr horzOverflow="overflow" vert="horz" lIns="0" tIns="0" rIns="0" bIns="0" rtlCol="0">
                          <a:noAutofit/>
                        </wps:bodyPr>
                      </wps:wsp>
                      <wps:wsp>
                        <wps:cNvPr id="24" name="Rectangle 24"/>
                        <wps:cNvSpPr/>
                        <wps:spPr>
                          <a:xfrm>
                            <a:off x="3147695" y="4199482"/>
                            <a:ext cx="104682" cy="615779"/>
                          </a:xfrm>
                          <a:prstGeom prst="rect">
                            <a:avLst/>
                          </a:prstGeom>
                          <a:ln>
                            <a:noFill/>
                          </a:ln>
                        </wps:spPr>
                        <wps:txbx>
                          <w:txbxContent>
                            <w:p w14:paraId="60351F5B" w14:textId="77777777" w:rsidR="0039782D" w:rsidRDefault="00FA2745">
                              <w:pPr>
                                <w:spacing w:after="160" w:line="259" w:lineRule="auto"/>
                                <w:ind w:left="0" w:firstLine="0"/>
                              </w:pPr>
                              <w:r>
                                <w:rPr>
                                  <w:b/>
                                  <w:color w:val="BA8D97"/>
                                  <w:sz w:val="52"/>
                                </w:rPr>
                                <w:t xml:space="preserve"> </w:t>
                              </w:r>
                            </w:p>
                          </w:txbxContent>
                        </wps:txbx>
                        <wps:bodyPr horzOverflow="overflow" vert="horz" lIns="0" tIns="0" rIns="0" bIns="0" rtlCol="0">
                          <a:noAutofit/>
                        </wps:bodyPr>
                      </wps:wsp>
                      <wps:wsp>
                        <wps:cNvPr id="25" name="Rectangle 25"/>
                        <wps:cNvSpPr/>
                        <wps:spPr>
                          <a:xfrm>
                            <a:off x="3226943" y="4199482"/>
                            <a:ext cx="4067216" cy="615779"/>
                          </a:xfrm>
                          <a:prstGeom prst="rect">
                            <a:avLst/>
                          </a:prstGeom>
                          <a:ln>
                            <a:noFill/>
                          </a:ln>
                        </wps:spPr>
                        <wps:txbx>
                          <w:txbxContent>
                            <w:p w14:paraId="44FF8A07" w14:textId="77777777" w:rsidR="0039782D" w:rsidRDefault="00FA2745">
                              <w:pPr>
                                <w:spacing w:after="160" w:line="259" w:lineRule="auto"/>
                                <w:ind w:left="0" w:firstLine="0"/>
                              </w:pPr>
                              <w:r>
                                <w:rPr>
                                  <w:b/>
                                  <w:color w:val="BA8D97"/>
                                  <w:w w:val="126"/>
                                  <w:sz w:val="52"/>
                                </w:rPr>
                                <w:t>and</w:t>
                              </w:r>
                              <w:r>
                                <w:rPr>
                                  <w:b/>
                                  <w:color w:val="BA8D97"/>
                                  <w:spacing w:val="5"/>
                                  <w:w w:val="126"/>
                                  <w:sz w:val="52"/>
                                </w:rPr>
                                <w:t xml:space="preserve"> </w:t>
                              </w:r>
                              <w:r>
                                <w:rPr>
                                  <w:b/>
                                  <w:color w:val="BA8D97"/>
                                  <w:w w:val="126"/>
                                  <w:sz w:val="52"/>
                                </w:rPr>
                                <w:t>The</w:t>
                              </w:r>
                              <w:r>
                                <w:rPr>
                                  <w:b/>
                                  <w:color w:val="BA8D97"/>
                                  <w:spacing w:val="6"/>
                                  <w:w w:val="126"/>
                                  <w:sz w:val="52"/>
                                </w:rPr>
                                <w:t xml:space="preserve"> </w:t>
                              </w:r>
                              <w:r>
                                <w:rPr>
                                  <w:b/>
                                  <w:color w:val="BA8D97"/>
                                  <w:w w:val="126"/>
                                  <w:sz w:val="52"/>
                                </w:rPr>
                                <w:t>Centre</w:t>
                              </w:r>
                              <w:r>
                                <w:rPr>
                                  <w:b/>
                                  <w:color w:val="BA8D97"/>
                                  <w:spacing w:val="6"/>
                                  <w:w w:val="126"/>
                                  <w:sz w:val="52"/>
                                </w:rPr>
                                <w:t xml:space="preserve"> </w:t>
                              </w:r>
                              <w:r>
                                <w:rPr>
                                  <w:b/>
                                  <w:color w:val="BA8D97"/>
                                  <w:w w:val="126"/>
                                  <w:sz w:val="52"/>
                                </w:rPr>
                                <w:t>of</w:t>
                              </w:r>
                              <w:r>
                                <w:rPr>
                                  <w:b/>
                                  <w:color w:val="BA8D97"/>
                                  <w:spacing w:val="6"/>
                                  <w:w w:val="126"/>
                                  <w:sz w:val="52"/>
                                </w:rPr>
                                <w:t xml:space="preserve"> </w:t>
                              </w:r>
                            </w:p>
                          </w:txbxContent>
                        </wps:txbx>
                        <wps:bodyPr horzOverflow="overflow" vert="horz" lIns="0" tIns="0" rIns="0" bIns="0" rtlCol="0">
                          <a:noAutofit/>
                        </wps:bodyPr>
                      </wps:wsp>
                      <wps:wsp>
                        <wps:cNvPr id="26" name="Rectangle 26"/>
                        <wps:cNvSpPr/>
                        <wps:spPr>
                          <a:xfrm>
                            <a:off x="975665" y="4694782"/>
                            <a:ext cx="7563958" cy="615779"/>
                          </a:xfrm>
                          <a:prstGeom prst="rect">
                            <a:avLst/>
                          </a:prstGeom>
                          <a:ln>
                            <a:noFill/>
                          </a:ln>
                        </wps:spPr>
                        <wps:txbx>
                          <w:txbxContent>
                            <w:p w14:paraId="4BC2DE69" w14:textId="77777777" w:rsidR="0039782D" w:rsidRDefault="00FA2745">
                              <w:pPr>
                                <w:spacing w:after="160" w:line="259" w:lineRule="auto"/>
                                <w:ind w:left="0" w:firstLine="0"/>
                              </w:pPr>
                              <w:r>
                                <w:rPr>
                                  <w:b/>
                                  <w:color w:val="BA8D97"/>
                                  <w:w w:val="127"/>
                                  <w:sz w:val="52"/>
                                </w:rPr>
                                <w:t>Excellence</w:t>
                              </w:r>
                              <w:r>
                                <w:rPr>
                                  <w:b/>
                                  <w:color w:val="BA8D97"/>
                                  <w:spacing w:val="6"/>
                                  <w:w w:val="127"/>
                                  <w:sz w:val="52"/>
                                </w:rPr>
                                <w:t xml:space="preserve"> </w:t>
                              </w:r>
                              <w:r>
                                <w:rPr>
                                  <w:b/>
                                  <w:color w:val="BA8D97"/>
                                  <w:w w:val="127"/>
                                  <w:sz w:val="52"/>
                                </w:rPr>
                                <w:t>for</w:t>
                              </w:r>
                              <w:r>
                                <w:rPr>
                                  <w:b/>
                                  <w:color w:val="BA8D97"/>
                                  <w:spacing w:val="7"/>
                                  <w:w w:val="127"/>
                                  <w:sz w:val="52"/>
                                </w:rPr>
                                <w:t xml:space="preserve"> </w:t>
                              </w:r>
                              <w:r>
                                <w:rPr>
                                  <w:b/>
                                  <w:color w:val="BA8D97"/>
                                  <w:w w:val="127"/>
                                  <w:sz w:val="52"/>
                                </w:rPr>
                                <w:t>Aboriginal</w:t>
                              </w:r>
                              <w:r>
                                <w:rPr>
                                  <w:b/>
                                  <w:color w:val="BA8D97"/>
                                  <w:spacing w:val="4"/>
                                  <w:w w:val="127"/>
                                  <w:sz w:val="52"/>
                                </w:rPr>
                                <w:t xml:space="preserve"> </w:t>
                              </w:r>
                              <w:r>
                                <w:rPr>
                                  <w:b/>
                                  <w:color w:val="BA8D97"/>
                                  <w:w w:val="127"/>
                                  <w:sz w:val="52"/>
                                </w:rPr>
                                <w:t>Families</w:t>
                              </w:r>
                              <w:r>
                                <w:rPr>
                                  <w:b/>
                                  <w:color w:val="BA8D97"/>
                                  <w:spacing w:val="6"/>
                                  <w:w w:val="127"/>
                                  <w:sz w:val="52"/>
                                </w:rPr>
                                <w:t xml:space="preserve"> </w:t>
                              </w:r>
                            </w:p>
                          </w:txbxContent>
                        </wps:txbx>
                        <wps:bodyPr horzOverflow="overflow" vert="horz" lIns="0" tIns="0" rIns="0" bIns="0" rtlCol="0">
                          <a:noAutofit/>
                        </wps:bodyPr>
                      </wps:wsp>
                      <wps:wsp>
                        <wps:cNvPr id="27" name="Rectangle 27"/>
                        <wps:cNvSpPr/>
                        <wps:spPr>
                          <a:xfrm>
                            <a:off x="1359662" y="5190082"/>
                            <a:ext cx="6544404" cy="615779"/>
                          </a:xfrm>
                          <a:prstGeom prst="rect">
                            <a:avLst/>
                          </a:prstGeom>
                          <a:ln>
                            <a:noFill/>
                          </a:ln>
                        </wps:spPr>
                        <wps:txbx>
                          <w:txbxContent>
                            <w:p w14:paraId="2E65468C" w14:textId="77777777" w:rsidR="0039782D" w:rsidRDefault="00FA2745">
                              <w:pPr>
                                <w:spacing w:after="160" w:line="259" w:lineRule="auto"/>
                                <w:ind w:left="0" w:firstLine="0"/>
                              </w:pPr>
                              <w:r>
                                <w:rPr>
                                  <w:b/>
                                  <w:color w:val="BA8D97"/>
                                  <w:w w:val="127"/>
                                  <w:sz w:val="52"/>
                                </w:rPr>
                                <w:t>Wellbeing</w:t>
                              </w:r>
                              <w:r>
                                <w:rPr>
                                  <w:b/>
                                  <w:color w:val="BA8D97"/>
                                  <w:spacing w:val="6"/>
                                  <w:w w:val="127"/>
                                  <w:sz w:val="52"/>
                                </w:rPr>
                                <w:t xml:space="preserve"> </w:t>
                              </w:r>
                              <w:r>
                                <w:rPr>
                                  <w:b/>
                                  <w:color w:val="BA8D97"/>
                                  <w:w w:val="127"/>
                                  <w:sz w:val="52"/>
                                </w:rPr>
                                <w:t>submission</w:t>
                              </w:r>
                              <w:r>
                                <w:rPr>
                                  <w:b/>
                                  <w:color w:val="BA8D97"/>
                                  <w:spacing w:val="6"/>
                                  <w:w w:val="127"/>
                                  <w:sz w:val="52"/>
                                </w:rPr>
                                <w:t xml:space="preserve"> </w:t>
                              </w:r>
                              <w:r>
                                <w:rPr>
                                  <w:b/>
                                  <w:color w:val="BA8D97"/>
                                  <w:w w:val="127"/>
                                  <w:sz w:val="52"/>
                                </w:rPr>
                                <w:t>on</w:t>
                              </w:r>
                              <w:r>
                                <w:rPr>
                                  <w:b/>
                                  <w:color w:val="BA8D97"/>
                                  <w:spacing w:val="4"/>
                                  <w:w w:val="127"/>
                                  <w:sz w:val="52"/>
                                </w:rPr>
                                <w:t xml:space="preserve"> </w:t>
                              </w:r>
                              <w:r>
                                <w:rPr>
                                  <w:b/>
                                  <w:color w:val="BA8D97"/>
                                  <w:w w:val="127"/>
                                  <w:sz w:val="52"/>
                                </w:rPr>
                                <w:t>the</w:t>
                              </w:r>
                              <w:r>
                                <w:rPr>
                                  <w:b/>
                                  <w:color w:val="BA8D97"/>
                                  <w:spacing w:val="6"/>
                                  <w:w w:val="127"/>
                                  <w:sz w:val="52"/>
                                </w:rPr>
                                <w:t xml:space="preserve"> </w:t>
                              </w:r>
                            </w:p>
                          </w:txbxContent>
                        </wps:txbx>
                        <wps:bodyPr horzOverflow="overflow" vert="horz" lIns="0" tIns="0" rIns="0" bIns="0" rtlCol="0">
                          <a:noAutofit/>
                        </wps:bodyPr>
                      </wps:wsp>
                      <wps:wsp>
                        <wps:cNvPr id="28" name="Rectangle 28"/>
                        <wps:cNvSpPr/>
                        <wps:spPr>
                          <a:xfrm>
                            <a:off x="1262177" y="5685636"/>
                            <a:ext cx="6803471" cy="615779"/>
                          </a:xfrm>
                          <a:prstGeom prst="rect">
                            <a:avLst/>
                          </a:prstGeom>
                          <a:ln>
                            <a:noFill/>
                          </a:ln>
                        </wps:spPr>
                        <wps:txbx>
                          <w:txbxContent>
                            <w:p w14:paraId="67A8A3DF" w14:textId="77777777" w:rsidR="0039782D" w:rsidRDefault="00FA2745">
                              <w:pPr>
                                <w:spacing w:after="160" w:line="259" w:lineRule="auto"/>
                                <w:ind w:left="0" w:firstLine="0"/>
                              </w:pPr>
                              <w:r>
                                <w:rPr>
                                  <w:b/>
                                  <w:color w:val="BA8D97"/>
                                  <w:w w:val="128"/>
                                  <w:sz w:val="52"/>
                                </w:rPr>
                                <w:t>Department</w:t>
                              </w:r>
                              <w:r>
                                <w:rPr>
                                  <w:b/>
                                  <w:color w:val="BA8D97"/>
                                  <w:spacing w:val="4"/>
                                  <w:w w:val="128"/>
                                  <w:sz w:val="52"/>
                                </w:rPr>
                                <w:t xml:space="preserve"> </w:t>
                              </w:r>
                              <w:r>
                                <w:rPr>
                                  <w:b/>
                                  <w:color w:val="BA8D97"/>
                                  <w:w w:val="128"/>
                                  <w:sz w:val="52"/>
                                </w:rPr>
                                <w:t>of</w:t>
                              </w:r>
                              <w:r>
                                <w:rPr>
                                  <w:b/>
                                  <w:color w:val="BA8D97"/>
                                  <w:spacing w:val="6"/>
                                  <w:w w:val="128"/>
                                  <w:sz w:val="52"/>
                                </w:rPr>
                                <w:t xml:space="preserve"> </w:t>
                              </w:r>
                              <w:r>
                                <w:rPr>
                                  <w:b/>
                                  <w:color w:val="BA8D97"/>
                                  <w:w w:val="128"/>
                                  <w:sz w:val="52"/>
                                </w:rPr>
                                <w:t>Social</w:t>
                              </w:r>
                              <w:r>
                                <w:rPr>
                                  <w:b/>
                                  <w:color w:val="BA8D97"/>
                                  <w:spacing w:val="6"/>
                                  <w:w w:val="128"/>
                                  <w:sz w:val="52"/>
                                </w:rPr>
                                <w:t xml:space="preserve"> </w:t>
                              </w:r>
                              <w:r>
                                <w:rPr>
                                  <w:b/>
                                  <w:color w:val="BA8D97"/>
                                  <w:w w:val="128"/>
                                  <w:sz w:val="52"/>
                                </w:rPr>
                                <w:t>Services</w:t>
                              </w:r>
                              <w:r>
                                <w:rPr>
                                  <w:b/>
                                  <w:color w:val="BA8D97"/>
                                  <w:spacing w:val="6"/>
                                  <w:w w:val="128"/>
                                  <w:sz w:val="52"/>
                                </w:rPr>
                                <w:t xml:space="preserve"> </w:t>
                              </w:r>
                            </w:p>
                          </w:txbxContent>
                        </wps:txbx>
                        <wps:bodyPr horzOverflow="overflow" vert="horz" lIns="0" tIns="0" rIns="0" bIns="0" rtlCol="0">
                          <a:noAutofit/>
                        </wps:bodyPr>
                      </wps:wsp>
                      <wps:wsp>
                        <wps:cNvPr id="29" name="Rectangle 29"/>
                        <wps:cNvSpPr/>
                        <wps:spPr>
                          <a:xfrm>
                            <a:off x="1207313" y="6180936"/>
                            <a:ext cx="6947299" cy="615779"/>
                          </a:xfrm>
                          <a:prstGeom prst="rect">
                            <a:avLst/>
                          </a:prstGeom>
                          <a:ln>
                            <a:noFill/>
                          </a:ln>
                        </wps:spPr>
                        <wps:txbx>
                          <w:txbxContent>
                            <w:p w14:paraId="5B7C98BA" w14:textId="77777777" w:rsidR="0039782D" w:rsidRDefault="00FA2745">
                              <w:pPr>
                                <w:spacing w:after="160" w:line="259" w:lineRule="auto"/>
                                <w:ind w:left="0" w:firstLine="0"/>
                              </w:pPr>
                              <w:r>
                                <w:rPr>
                                  <w:b/>
                                  <w:color w:val="BA8D97"/>
                                  <w:w w:val="128"/>
                                  <w:sz w:val="52"/>
                                </w:rPr>
                                <w:t>new</w:t>
                              </w:r>
                              <w:r>
                                <w:rPr>
                                  <w:b/>
                                  <w:color w:val="BA8D97"/>
                                  <w:spacing w:val="6"/>
                                  <w:w w:val="128"/>
                                  <w:sz w:val="52"/>
                                </w:rPr>
                                <w:t xml:space="preserve"> </w:t>
                              </w:r>
                              <w:r>
                                <w:rPr>
                                  <w:b/>
                                  <w:color w:val="BA8D97"/>
                                  <w:w w:val="128"/>
                                  <w:sz w:val="52"/>
                                </w:rPr>
                                <w:t>approach</w:t>
                              </w:r>
                              <w:r>
                                <w:rPr>
                                  <w:b/>
                                  <w:color w:val="BA8D97"/>
                                  <w:spacing w:val="6"/>
                                  <w:w w:val="128"/>
                                  <w:sz w:val="52"/>
                                </w:rPr>
                                <w:t xml:space="preserve"> </w:t>
                              </w:r>
                              <w:r>
                                <w:rPr>
                                  <w:b/>
                                  <w:color w:val="BA8D97"/>
                                  <w:w w:val="128"/>
                                  <w:sz w:val="52"/>
                                </w:rPr>
                                <w:t>to</w:t>
                              </w:r>
                              <w:r>
                                <w:rPr>
                                  <w:b/>
                                  <w:color w:val="BA8D97"/>
                                  <w:spacing w:val="3"/>
                                  <w:w w:val="128"/>
                                  <w:sz w:val="52"/>
                                </w:rPr>
                                <w:t xml:space="preserve"> </w:t>
                              </w:r>
                              <w:r>
                                <w:rPr>
                                  <w:b/>
                                  <w:color w:val="BA8D97"/>
                                  <w:w w:val="128"/>
                                  <w:sz w:val="52"/>
                                </w:rPr>
                                <w:t>programs</w:t>
                              </w:r>
                              <w:r>
                                <w:rPr>
                                  <w:b/>
                                  <w:color w:val="BA8D97"/>
                                  <w:spacing w:val="6"/>
                                  <w:w w:val="128"/>
                                  <w:sz w:val="52"/>
                                </w:rPr>
                                <w:t xml:space="preserve"> </w:t>
                              </w:r>
                              <w:r>
                                <w:rPr>
                                  <w:b/>
                                  <w:color w:val="BA8D97"/>
                                  <w:w w:val="128"/>
                                  <w:sz w:val="52"/>
                                </w:rPr>
                                <w:t>for</w:t>
                              </w:r>
                              <w:r>
                                <w:rPr>
                                  <w:b/>
                                  <w:color w:val="BA8D97"/>
                                  <w:spacing w:val="6"/>
                                  <w:w w:val="128"/>
                                  <w:sz w:val="52"/>
                                </w:rPr>
                                <w:t xml:space="preserve"> </w:t>
                              </w:r>
                            </w:p>
                          </w:txbxContent>
                        </wps:txbx>
                        <wps:bodyPr horzOverflow="overflow" vert="horz" lIns="0" tIns="0" rIns="0" bIns="0" rtlCol="0">
                          <a:noAutofit/>
                        </wps:bodyPr>
                      </wps:wsp>
                      <wps:wsp>
                        <wps:cNvPr id="30" name="Rectangle 30"/>
                        <wps:cNvSpPr/>
                        <wps:spPr>
                          <a:xfrm>
                            <a:off x="2007362" y="6676236"/>
                            <a:ext cx="4719062" cy="615778"/>
                          </a:xfrm>
                          <a:prstGeom prst="rect">
                            <a:avLst/>
                          </a:prstGeom>
                          <a:ln>
                            <a:noFill/>
                          </a:ln>
                        </wps:spPr>
                        <wps:txbx>
                          <w:txbxContent>
                            <w:p w14:paraId="3DED54DE" w14:textId="77777777" w:rsidR="0039782D" w:rsidRDefault="00FA2745">
                              <w:pPr>
                                <w:spacing w:after="160" w:line="259" w:lineRule="auto"/>
                                <w:ind w:left="0" w:firstLine="0"/>
                              </w:pPr>
                              <w:r>
                                <w:rPr>
                                  <w:b/>
                                  <w:color w:val="BA8D97"/>
                                  <w:w w:val="130"/>
                                  <w:sz w:val="52"/>
                                </w:rPr>
                                <w:t>families</w:t>
                              </w:r>
                              <w:r>
                                <w:rPr>
                                  <w:b/>
                                  <w:color w:val="BA8D97"/>
                                  <w:spacing w:val="6"/>
                                  <w:w w:val="130"/>
                                  <w:sz w:val="52"/>
                                </w:rPr>
                                <w:t xml:space="preserve"> </w:t>
                              </w:r>
                              <w:r>
                                <w:rPr>
                                  <w:b/>
                                  <w:color w:val="BA8D97"/>
                                  <w:w w:val="130"/>
                                  <w:sz w:val="52"/>
                                </w:rPr>
                                <w:t>and</w:t>
                              </w:r>
                              <w:r>
                                <w:rPr>
                                  <w:b/>
                                  <w:color w:val="BA8D97"/>
                                  <w:spacing w:val="6"/>
                                  <w:w w:val="130"/>
                                  <w:sz w:val="52"/>
                                </w:rPr>
                                <w:t xml:space="preserve"> </w:t>
                              </w:r>
                              <w:r>
                                <w:rPr>
                                  <w:b/>
                                  <w:color w:val="BA8D97"/>
                                  <w:w w:val="130"/>
                                  <w:sz w:val="52"/>
                                </w:rPr>
                                <w:t>children</w:t>
                              </w:r>
                            </w:p>
                          </w:txbxContent>
                        </wps:txbx>
                        <wps:bodyPr horzOverflow="overflow" vert="horz" lIns="0" tIns="0" rIns="0" bIns="0" rtlCol="0">
                          <a:noAutofit/>
                        </wps:bodyPr>
                      </wps:wsp>
                      <wps:wsp>
                        <wps:cNvPr id="31" name="Rectangle 31"/>
                        <wps:cNvSpPr/>
                        <wps:spPr>
                          <a:xfrm>
                            <a:off x="5554726" y="6676236"/>
                            <a:ext cx="104682" cy="615778"/>
                          </a:xfrm>
                          <a:prstGeom prst="rect">
                            <a:avLst/>
                          </a:prstGeom>
                          <a:ln>
                            <a:noFill/>
                          </a:ln>
                        </wps:spPr>
                        <wps:txbx>
                          <w:txbxContent>
                            <w:p w14:paraId="55F463FA" w14:textId="77777777" w:rsidR="0039782D" w:rsidRDefault="00FA2745">
                              <w:pPr>
                                <w:spacing w:after="160" w:line="259" w:lineRule="auto"/>
                                <w:ind w:left="0" w:firstLine="0"/>
                              </w:pPr>
                              <w:r>
                                <w:rPr>
                                  <w:b/>
                                  <w:color w:val="BA8D97"/>
                                  <w:sz w:val="52"/>
                                </w:rPr>
                                <w:t xml:space="preserve"> </w:t>
                              </w:r>
                            </w:p>
                          </w:txbxContent>
                        </wps:txbx>
                        <wps:bodyPr horzOverflow="overflow" vert="horz" lIns="0" tIns="0" rIns="0" bIns="0" rtlCol="0">
                          <a:noAutofit/>
                        </wps:bodyPr>
                      </wps:wsp>
                      <wps:wsp>
                        <wps:cNvPr id="32" name="Rectangle 32"/>
                        <wps:cNvSpPr/>
                        <wps:spPr>
                          <a:xfrm>
                            <a:off x="914705" y="7152791"/>
                            <a:ext cx="46096" cy="235529"/>
                          </a:xfrm>
                          <a:prstGeom prst="rect">
                            <a:avLst/>
                          </a:prstGeom>
                          <a:ln>
                            <a:noFill/>
                          </a:ln>
                        </wps:spPr>
                        <wps:txbx>
                          <w:txbxContent>
                            <w:p w14:paraId="3DA194E9"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914705" y="7343291"/>
                            <a:ext cx="46096" cy="235529"/>
                          </a:xfrm>
                          <a:prstGeom prst="rect">
                            <a:avLst/>
                          </a:prstGeom>
                          <a:ln>
                            <a:noFill/>
                          </a:ln>
                        </wps:spPr>
                        <wps:txbx>
                          <w:txbxContent>
                            <w:p w14:paraId="296B747C"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34" name="Rectangle 34"/>
                        <wps:cNvSpPr/>
                        <wps:spPr>
                          <a:xfrm>
                            <a:off x="914705" y="7533791"/>
                            <a:ext cx="46096" cy="235529"/>
                          </a:xfrm>
                          <a:prstGeom prst="rect">
                            <a:avLst/>
                          </a:prstGeom>
                          <a:ln>
                            <a:noFill/>
                          </a:ln>
                        </wps:spPr>
                        <wps:txbx>
                          <w:txbxContent>
                            <w:p w14:paraId="02410A8F"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914705" y="7724291"/>
                            <a:ext cx="46096" cy="235529"/>
                          </a:xfrm>
                          <a:prstGeom prst="rect">
                            <a:avLst/>
                          </a:prstGeom>
                          <a:ln>
                            <a:noFill/>
                          </a:ln>
                        </wps:spPr>
                        <wps:txbx>
                          <w:txbxContent>
                            <w:p w14:paraId="4823AF87"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36" name="Rectangle 36"/>
                        <wps:cNvSpPr/>
                        <wps:spPr>
                          <a:xfrm>
                            <a:off x="6647434" y="7914791"/>
                            <a:ext cx="46097" cy="235529"/>
                          </a:xfrm>
                          <a:prstGeom prst="rect">
                            <a:avLst/>
                          </a:prstGeom>
                          <a:ln>
                            <a:noFill/>
                          </a:ln>
                        </wps:spPr>
                        <wps:txbx>
                          <w:txbxContent>
                            <w:p w14:paraId="6E596424"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37" name="Rectangle 37"/>
                        <wps:cNvSpPr/>
                        <wps:spPr>
                          <a:xfrm>
                            <a:off x="6647434" y="8105672"/>
                            <a:ext cx="46097" cy="235528"/>
                          </a:xfrm>
                          <a:prstGeom prst="rect">
                            <a:avLst/>
                          </a:prstGeom>
                          <a:ln>
                            <a:noFill/>
                          </a:ln>
                        </wps:spPr>
                        <wps:txbx>
                          <w:txbxContent>
                            <w:p w14:paraId="661EE67F"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38" name="Rectangle 38"/>
                        <wps:cNvSpPr/>
                        <wps:spPr>
                          <a:xfrm>
                            <a:off x="6647434" y="8296172"/>
                            <a:ext cx="46097" cy="235528"/>
                          </a:xfrm>
                          <a:prstGeom prst="rect">
                            <a:avLst/>
                          </a:prstGeom>
                          <a:ln>
                            <a:noFill/>
                          </a:ln>
                        </wps:spPr>
                        <wps:txbx>
                          <w:txbxContent>
                            <w:p w14:paraId="4C84F5BB"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39" name="Rectangle 39"/>
                        <wps:cNvSpPr/>
                        <wps:spPr>
                          <a:xfrm>
                            <a:off x="6647434" y="8486672"/>
                            <a:ext cx="46097" cy="235528"/>
                          </a:xfrm>
                          <a:prstGeom prst="rect">
                            <a:avLst/>
                          </a:prstGeom>
                          <a:ln>
                            <a:noFill/>
                          </a:ln>
                        </wps:spPr>
                        <wps:txbx>
                          <w:txbxContent>
                            <w:p w14:paraId="103536B2"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40" name="Rectangle 40"/>
                        <wps:cNvSpPr/>
                        <wps:spPr>
                          <a:xfrm>
                            <a:off x="6647434" y="8677172"/>
                            <a:ext cx="46097" cy="235528"/>
                          </a:xfrm>
                          <a:prstGeom prst="rect">
                            <a:avLst/>
                          </a:prstGeom>
                          <a:ln>
                            <a:noFill/>
                          </a:ln>
                        </wps:spPr>
                        <wps:txbx>
                          <w:txbxContent>
                            <w:p w14:paraId="1C488822"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41" name="Rectangle 41"/>
                        <wps:cNvSpPr/>
                        <wps:spPr>
                          <a:xfrm>
                            <a:off x="6647434" y="8867672"/>
                            <a:ext cx="46097" cy="235528"/>
                          </a:xfrm>
                          <a:prstGeom prst="rect">
                            <a:avLst/>
                          </a:prstGeom>
                          <a:ln>
                            <a:noFill/>
                          </a:ln>
                        </wps:spPr>
                        <wps:txbx>
                          <w:txbxContent>
                            <w:p w14:paraId="50A9C076"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6647434" y="9058172"/>
                            <a:ext cx="46097" cy="235528"/>
                          </a:xfrm>
                          <a:prstGeom prst="rect">
                            <a:avLst/>
                          </a:prstGeom>
                          <a:ln>
                            <a:noFill/>
                          </a:ln>
                        </wps:spPr>
                        <wps:txbx>
                          <w:txbxContent>
                            <w:p w14:paraId="63CDAC90"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43" name="Rectangle 43"/>
                        <wps:cNvSpPr/>
                        <wps:spPr>
                          <a:xfrm>
                            <a:off x="5643118" y="9248672"/>
                            <a:ext cx="1335108" cy="235528"/>
                          </a:xfrm>
                          <a:prstGeom prst="rect">
                            <a:avLst/>
                          </a:prstGeom>
                          <a:ln>
                            <a:noFill/>
                          </a:ln>
                        </wps:spPr>
                        <wps:txbx>
                          <w:txbxContent>
                            <w:p w14:paraId="2079B121" w14:textId="77777777" w:rsidR="0039782D" w:rsidRDefault="00FA2745">
                              <w:pPr>
                                <w:spacing w:after="160" w:line="259" w:lineRule="auto"/>
                                <w:ind w:left="0" w:firstLine="0"/>
                              </w:pPr>
                              <w:r>
                                <w:rPr>
                                  <w:w w:val="122"/>
                                </w:rPr>
                                <w:t>December</w:t>
                              </w:r>
                              <w:r>
                                <w:rPr>
                                  <w:spacing w:val="10"/>
                                  <w:w w:val="122"/>
                                </w:rPr>
                                <w:t xml:space="preserve"> </w:t>
                              </w:r>
                              <w:r>
                                <w:rPr>
                                  <w:w w:val="122"/>
                                </w:rPr>
                                <w:t>2025</w:t>
                              </w:r>
                            </w:p>
                          </w:txbxContent>
                        </wps:txbx>
                        <wps:bodyPr horzOverflow="overflow" vert="horz" lIns="0" tIns="0" rIns="0" bIns="0" rtlCol="0">
                          <a:noAutofit/>
                        </wps:bodyPr>
                      </wps:wsp>
                      <wps:wsp>
                        <wps:cNvPr id="44" name="Rectangle 44"/>
                        <wps:cNvSpPr/>
                        <wps:spPr>
                          <a:xfrm>
                            <a:off x="6647434" y="9248672"/>
                            <a:ext cx="46097" cy="235528"/>
                          </a:xfrm>
                          <a:prstGeom prst="rect">
                            <a:avLst/>
                          </a:prstGeom>
                          <a:ln>
                            <a:noFill/>
                          </a:ln>
                        </wps:spPr>
                        <wps:txbx>
                          <w:txbxContent>
                            <w:p w14:paraId="7680826A" w14:textId="77777777" w:rsidR="0039782D" w:rsidRDefault="00FA2745">
                              <w:pPr>
                                <w:spacing w:after="160" w:line="259" w:lineRule="auto"/>
                                <w:ind w:left="0" w:firstLine="0"/>
                              </w:pPr>
                              <w:r>
                                <w:t xml:space="preserve"> </w:t>
                              </w:r>
                            </w:p>
                          </w:txbxContent>
                        </wps:txbx>
                        <wps:bodyPr horzOverflow="overflow" vert="horz" lIns="0" tIns="0" rIns="0" bIns="0" rtlCol="0">
                          <a:noAutofit/>
                        </wps:bodyPr>
                      </wps:wsp>
                      <wps:wsp>
                        <wps:cNvPr id="45" name="Rectangle 45"/>
                        <wps:cNvSpPr/>
                        <wps:spPr>
                          <a:xfrm>
                            <a:off x="914705" y="9445978"/>
                            <a:ext cx="71978" cy="377412"/>
                          </a:xfrm>
                          <a:prstGeom prst="rect">
                            <a:avLst/>
                          </a:prstGeom>
                          <a:ln>
                            <a:noFill/>
                          </a:ln>
                        </wps:spPr>
                        <wps:txbx>
                          <w:txbxContent>
                            <w:p w14:paraId="26D8C674" w14:textId="77777777" w:rsidR="0039782D" w:rsidRDefault="00FA2745">
                              <w:pPr>
                                <w:spacing w:after="160" w:line="259" w:lineRule="auto"/>
                                <w:ind w:left="0" w:firstLine="0"/>
                              </w:pPr>
                              <w:r>
                                <w:rPr>
                                  <w:color w:val="995C6A"/>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083" style="width:595.32pt;height:841.92pt;position:absolute;mso-position-horizontal-relative:page;mso-position-horizontal:absolute;margin-left:8.70228e-06pt;mso-position-vertical-relative:page;margin-top:0.00012207pt;" coordsize="75605,106923">
                <v:shape id="Picture 7060" style="position:absolute;width:75438;height:106649;left:0;top:0;" filled="f">
                  <v:imagedata r:id="rId11"/>
                </v:shape>
                <v:rect id="Rectangle 8" style="position:absolute;width:460;height:2355;left:9147;top:463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9" style="position:absolute;width:460;height:2355;left:9147;top:10942;"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0" style="position:absolute;width:460;height:2355;left:9147;top:12847;"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1" style="position:absolute;width:460;height:2355;left:9147;top:14752;"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2" style="position:absolute;width:460;height:2355;left:9147;top:16657;"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3" style="position:absolute;width:460;height:2355;left:9147;top:18562;"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4" style="position:absolute;width:460;height:2355;left:9147;top:20467;"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5" style="position:absolute;width:460;height:2355;left:9147;top:22372;"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6" style="position:absolute;width:460;height:2355;left:9147;top:24277;"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7" style="position:absolute;width:460;height:2355;left:9147;top:26182;"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8" style="position:absolute;width:460;height:2355;left:9147;top:28087;"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9" style="position:absolute;width:460;height:2355;left:9147;top:29992;"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20" style="position:absolute;width:73493;height:6157;left:10564;top:32088;" filled="f" stroked="f">
                  <v:textbox inset="0,0,0,0">
                    <w:txbxContent>
                      <w:p>
                        <w:pPr>
                          <w:spacing w:before="0" w:after="160" w:line="259" w:lineRule="auto"/>
                          <w:ind w:left="0" w:firstLine="0"/>
                        </w:pPr>
                        <w:r>
                          <w:rPr>
                            <w:rFonts w:cs="Calibri" w:hAnsi="Calibri" w:eastAsia="Calibri" w:ascii="Calibri"/>
                            <w:b w:val="1"/>
                            <w:color w:val="ba8d97"/>
                            <w:w w:val="129"/>
                            <w:sz w:val="52"/>
                          </w:rPr>
                          <w:t xml:space="preserve">Victorian</w:t>
                        </w:r>
                        <w:r>
                          <w:rPr>
                            <w:rFonts w:cs="Calibri" w:hAnsi="Calibri" w:eastAsia="Calibri" w:ascii="Calibri"/>
                            <w:b w:val="1"/>
                            <w:color w:val="ba8d97"/>
                            <w:spacing w:val="6"/>
                            <w:w w:val="129"/>
                            <w:sz w:val="52"/>
                          </w:rPr>
                          <w:t xml:space="preserve"> </w:t>
                        </w:r>
                        <w:r>
                          <w:rPr>
                            <w:rFonts w:cs="Calibri" w:hAnsi="Calibri" w:eastAsia="Calibri" w:ascii="Calibri"/>
                            <w:b w:val="1"/>
                            <w:color w:val="ba8d97"/>
                            <w:w w:val="129"/>
                            <w:sz w:val="52"/>
                          </w:rPr>
                          <w:t xml:space="preserve">Aboriginal</w:t>
                        </w:r>
                        <w:r>
                          <w:rPr>
                            <w:rFonts w:cs="Calibri" w:hAnsi="Calibri" w:eastAsia="Calibri" w:ascii="Calibri"/>
                            <w:b w:val="1"/>
                            <w:color w:val="ba8d97"/>
                            <w:spacing w:val="4"/>
                            <w:w w:val="129"/>
                            <w:sz w:val="52"/>
                          </w:rPr>
                          <w:t xml:space="preserve"> </w:t>
                        </w:r>
                        <w:r>
                          <w:rPr>
                            <w:rFonts w:cs="Calibri" w:hAnsi="Calibri" w:eastAsia="Calibri" w:ascii="Calibri"/>
                            <w:b w:val="1"/>
                            <w:color w:val="ba8d97"/>
                            <w:w w:val="129"/>
                            <w:sz w:val="52"/>
                          </w:rPr>
                          <w:t xml:space="preserve">Community</w:t>
                        </w:r>
                        <w:r>
                          <w:rPr>
                            <w:rFonts w:cs="Calibri" w:hAnsi="Calibri" w:eastAsia="Calibri" w:ascii="Calibri"/>
                            <w:b w:val="1"/>
                            <w:color w:val="ba8d97"/>
                            <w:spacing w:val="6"/>
                            <w:w w:val="129"/>
                            <w:sz w:val="52"/>
                          </w:rPr>
                          <w:t xml:space="preserve"> </w:t>
                        </w:r>
                      </w:p>
                    </w:txbxContent>
                  </v:textbox>
                </v:rect>
                <v:rect id="Rectangle 21" style="position:absolute;width:69556;height:6157;left:11661;top:37041;" filled="f" stroked="f">
                  <v:textbox inset="0,0,0,0">
                    <w:txbxContent>
                      <w:p>
                        <w:pPr>
                          <w:spacing w:before="0" w:after="160" w:line="259" w:lineRule="auto"/>
                          <w:ind w:left="0" w:firstLine="0"/>
                        </w:pPr>
                        <w:r>
                          <w:rPr>
                            <w:rFonts w:cs="Calibri" w:hAnsi="Calibri" w:eastAsia="Calibri" w:ascii="Calibri"/>
                            <w:b w:val="1"/>
                            <w:color w:val="ba8d97"/>
                            <w:w w:val="127"/>
                            <w:sz w:val="52"/>
                          </w:rPr>
                          <w:t xml:space="preserve">Controlled</w:t>
                        </w:r>
                        <w:r>
                          <w:rPr>
                            <w:rFonts w:cs="Calibri" w:hAnsi="Calibri" w:eastAsia="Calibri" w:ascii="Calibri"/>
                            <w:b w:val="1"/>
                            <w:color w:val="ba8d97"/>
                            <w:spacing w:val="6"/>
                            <w:w w:val="127"/>
                            <w:sz w:val="52"/>
                          </w:rPr>
                          <w:t xml:space="preserve"> </w:t>
                        </w:r>
                        <w:r>
                          <w:rPr>
                            <w:rFonts w:cs="Calibri" w:hAnsi="Calibri" w:eastAsia="Calibri" w:ascii="Calibri"/>
                            <w:b w:val="1"/>
                            <w:color w:val="ba8d97"/>
                            <w:w w:val="127"/>
                            <w:sz w:val="52"/>
                          </w:rPr>
                          <w:t xml:space="preserve">Health</w:t>
                        </w:r>
                        <w:r>
                          <w:rPr>
                            <w:rFonts w:cs="Calibri" w:hAnsi="Calibri" w:eastAsia="Calibri" w:ascii="Calibri"/>
                            <w:b w:val="1"/>
                            <w:color w:val="ba8d97"/>
                            <w:spacing w:val="4"/>
                            <w:w w:val="127"/>
                            <w:sz w:val="52"/>
                          </w:rPr>
                          <w:t xml:space="preserve"> </w:t>
                        </w:r>
                        <w:r>
                          <w:rPr>
                            <w:rFonts w:cs="Calibri" w:hAnsi="Calibri" w:eastAsia="Calibri" w:ascii="Calibri"/>
                            <w:b w:val="1"/>
                            <w:color w:val="ba8d97"/>
                            <w:w w:val="127"/>
                            <w:sz w:val="52"/>
                          </w:rPr>
                          <w:t xml:space="preserve">Organisation</w:t>
                        </w:r>
                      </w:p>
                    </w:txbxContent>
                  </v:textbox>
                </v:rect>
                <v:rect id="Rectangle 22" style="position:absolute;width:1046;height:6157;left:63959;top:37041;" filled="f" stroked="f">
                  <v:textbox inset="0,0,0,0">
                    <w:txbxContent>
                      <w:p>
                        <w:pPr>
                          <w:spacing w:before="0" w:after="160" w:line="259" w:lineRule="auto"/>
                          <w:ind w:left="0" w:firstLine="0"/>
                        </w:pPr>
                        <w:r>
                          <w:rPr>
                            <w:rFonts w:cs="Calibri" w:hAnsi="Calibri" w:eastAsia="Calibri" w:ascii="Calibri"/>
                            <w:b w:val="1"/>
                            <w:color w:val="ba8d97"/>
                            <w:sz w:val="52"/>
                          </w:rPr>
                          <w:t xml:space="preserve"> </w:t>
                        </w:r>
                      </w:p>
                    </w:txbxContent>
                  </v:textbox>
                </v:rect>
                <v:rect id="Rectangle 6071" style="position:absolute;width:2133;height:6157;left:13535;top:41994;" filled="f" stroked="f">
                  <v:textbox inset="0,0,0,0">
                    <w:txbxContent>
                      <w:p>
                        <w:pPr>
                          <w:spacing w:before="0" w:after="160" w:line="259" w:lineRule="auto"/>
                          <w:ind w:left="0" w:firstLine="0"/>
                        </w:pPr>
                        <w:r>
                          <w:rPr>
                            <w:rFonts w:cs="Calibri" w:hAnsi="Calibri" w:eastAsia="Calibri" w:ascii="Calibri"/>
                            <w:b w:val="1"/>
                            <w:color w:val="ba8d97"/>
                            <w:w w:val="162"/>
                            <w:sz w:val="52"/>
                          </w:rPr>
                          <w:t xml:space="preserve">(</w:t>
                        </w:r>
                      </w:p>
                    </w:txbxContent>
                  </v:textbox>
                </v:rect>
                <v:rect id="Rectangle 6073" style="position:absolute;width:19603;height:6157;left:15139;top:41994;" filled="f" stroked="f">
                  <v:textbox inset="0,0,0,0">
                    <w:txbxContent>
                      <w:p>
                        <w:pPr>
                          <w:spacing w:before="0" w:after="160" w:line="259" w:lineRule="auto"/>
                          <w:ind w:left="0" w:firstLine="0"/>
                        </w:pPr>
                        <w:r>
                          <w:rPr>
                            <w:rFonts w:cs="Calibri" w:hAnsi="Calibri" w:eastAsia="Calibri" w:ascii="Calibri"/>
                            <w:b w:val="1"/>
                            <w:color w:val="ba8d97"/>
                            <w:w w:val="128"/>
                            <w:sz w:val="52"/>
                          </w:rPr>
                          <w:t xml:space="preserve">VACCHO</w:t>
                        </w:r>
                      </w:p>
                    </w:txbxContent>
                  </v:textbox>
                </v:rect>
                <v:rect id="Rectangle 6072" style="position:absolute;width:2133;height:6157;left:29879;top:41994;" filled="f" stroked="f">
                  <v:textbox inset="0,0,0,0">
                    <w:txbxContent>
                      <w:p>
                        <w:pPr>
                          <w:spacing w:before="0" w:after="160" w:line="259" w:lineRule="auto"/>
                          <w:ind w:left="0" w:firstLine="0"/>
                        </w:pPr>
                        <w:r>
                          <w:rPr>
                            <w:rFonts w:cs="Calibri" w:hAnsi="Calibri" w:eastAsia="Calibri" w:ascii="Calibri"/>
                            <w:b w:val="1"/>
                            <w:color w:val="ba8d97"/>
                            <w:w w:val="162"/>
                            <w:sz w:val="52"/>
                          </w:rPr>
                          <w:t xml:space="preserve">)</w:t>
                        </w:r>
                      </w:p>
                    </w:txbxContent>
                  </v:textbox>
                </v:rect>
                <v:rect id="Rectangle 24" style="position:absolute;width:1046;height:6157;left:31476;top:41994;" filled="f" stroked="f">
                  <v:textbox inset="0,0,0,0">
                    <w:txbxContent>
                      <w:p>
                        <w:pPr>
                          <w:spacing w:before="0" w:after="160" w:line="259" w:lineRule="auto"/>
                          <w:ind w:left="0" w:firstLine="0"/>
                        </w:pPr>
                        <w:r>
                          <w:rPr>
                            <w:rFonts w:cs="Calibri" w:hAnsi="Calibri" w:eastAsia="Calibri" w:ascii="Calibri"/>
                            <w:b w:val="1"/>
                            <w:color w:val="ba8d97"/>
                            <w:sz w:val="52"/>
                          </w:rPr>
                          <w:t xml:space="preserve"> </w:t>
                        </w:r>
                      </w:p>
                    </w:txbxContent>
                  </v:textbox>
                </v:rect>
                <v:rect id="Rectangle 25" style="position:absolute;width:40672;height:6157;left:32269;top:41994;" filled="f" stroked="f">
                  <v:textbox inset="0,0,0,0">
                    <w:txbxContent>
                      <w:p>
                        <w:pPr>
                          <w:spacing w:before="0" w:after="160" w:line="259" w:lineRule="auto"/>
                          <w:ind w:left="0" w:firstLine="0"/>
                        </w:pPr>
                        <w:r>
                          <w:rPr>
                            <w:rFonts w:cs="Calibri" w:hAnsi="Calibri" w:eastAsia="Calibri" w:ascii="Calibri"/>
                            <w:b w:val="1"/>
                            <w:color w:val="ba8d97"/>
                            <w:w w:val="126"/>
                            <w:sz w:val="52"/>
                          </w:rPr>
                          <w:t xml:space="preserve">and</w:t>
                        </w:r>
                        <w:r>
                          <w:rPr>
                            <w:rFonts w:cs="Calibri" w:hAnsi="Calibri" w:eastAsia="Calibri" w:ascii="Calibri"/>
                            <w:b w:val="1"/>
                            <w:color w:val="ba8d97"/>
                            <w:spacing w:val="5"/>
                            <w:w w:val="126"/>
                            <w:sz w:val="52"/>
                          </w:rPr>
                          <w:t xml:space="preserve"> </w:t>
                        </w:r>
                        <w:r>
                          <w:rPr>
                            <w:rFonts w:cs="Calibri" w:hAnsi="Calibri" w:eastAsia="Calibri" w:ascii="Calibri"/>
                            <w:b w:val="1"/>
                            <w:color w:val="ba8d97"/>
                            <w:w w:val="126"/>
                            <w:sz w:val="52"/>
                          </w:rPr>
                          <w:t xml:space="preserve">The</w:t>
                        </w:r>
                        <w:r>
                          <w:rPr>
                            <w:rFonts w:cs="Calibri" w:hAnsi="Calibri" w:eastAsia="Calibri" w:ascii="Calibri"/>
                            <w:b w:val="1"/>
                            <w:color w:val="ba8d97"/>
                            <w:spacing w:val="6"/>
                            <w:w w:val="126"/>
                            <w:sz w:val="52"/>
                          </w:rPr>
                          <w:t xml:space="preserve"> </w:t>
                        </w:r>
                        <w:r>
                          <w:rPr>
                            <w:rFonts w:cs="Calibri" w:hAnsi="Calibri" w:eastAsia="Calibri" w:ascii="Calibri"/>
                            <w:b w:val="1"/>
                            <w:color w:val="ba8d97"/>
                            <w:w w:val="126"/>
                            <w:sz w:val="52"/>
                          </w:rPr>
                          <w:t xml:space="preserve">Centre</w:t>
                        </w:r>
                        <w:r>
                          <w:rPr>
                            <w:rFonts w:cs="Calibri" w:hAnsi="Calibri" w:eastAsia="Calibri" w:ascii="Calibri"/>
                            <w:b w:val="1"/>
                            <w:color w:val="ba8d97"/>
                            <w:spacing w:val="6"/>
                            <w:w w:val="126"/>
                            <w:sz w:val="52"/>
                          </w:rPr>
                          <w:t xml:space="preserve"> </w:t>
                        </w:r>
                        <w:r>
                          <w:rPr>
                            <w:rFonts w:cs="Calibri" w:hAnsi="Calibri" w:eastAsia="Calibri" w:ascii="Calibri"/>
                            <w:b w:val="1"/>
                            <w:color w:val="ba8d97"/>
                            <w:w w:val="126"/>
                            <w:sz w:val="52"/>
                          </w:rPr>
                          <w:t xml:space="preserve">of</w:t>
                        </w:r>
                        <w:r>
                          <w:rPr>
                            <w:rFonts w:cs="Calibri" w:hAnsi="Calibri" w:eastAsia="Calibri" w:ascii="Calibri"/>
                            <w:b w:val="1"/>
                            <w:color w:val="ba8d97"/>
                            <w:spacing w:val="6"/>
                            <w:w w:val="126"/>
                            <w:sz w:val="52"/>
                          </w:rPr>
                          <w:t xml:space="preserve"> </w:t>
                        </w:r>
                      </w:p>
                    </w:txbxContent>
                  </v:textbox>
                </v:rect>
                <v:rect id="Rectangle 26" style="position:absolute;width:75639;height:6157;left:9756;top:46947;" filled="f" stroked="f">
                  <v:textbox inset="0,0,0,0">
                    <w:txbxContent>
                      <w:p>
                        <w:pPr>
                          <w:spacing w:before="0" w:after="160" w:line="259" w:lineRule="auto"/>
                          <w:ind w:left="0" w:firstLine="0"/>
                        </w:pPr>
                        <w:r>
                          <w:rPr>
                            <w:rFonts w:cs="Calibri" w:hAnsi="Calibri" w:eastAsia="Calibri" w:ascii="Calibri"/>
                            <w:b w:val="1"/>
                            <w:color w:val="ba8d97"/>
                            <w:w w:val="127"/>
                            <w:sz w:val="52"/>
                          </w:rPr>
                          <w:t xml:space="preserve">Excellence</w:t>
                        </w:r>
                        <w:r>
                          <w:rPr>
                            <w:rFonts w:cs="Calibri" w:hAnsi="Calibri" w:eastAsia="Calibri" w:ascii="Calibri"/>
                            <w:b w:val="1"/>
                            <w:color w:val="ba8d97"/>
                            <w:spacing w:val="6"/>
                            <w:w w:val="127"/>
                            <w:sz w:val="52"/>
                          </w:rPr>
                          <w:t xml:space="preserve"> </w:t>
                        </w:r>
                        <w:r>
                          <w:rPr>
                            <w:rFonts w:cs="Calibri" w:hAnsi="Calibri" w:eastAsia="Calibri" w:ascii="Calibri"/>
                            <w:b w:val="1"/>
                            <w:color w:val="ba8d97"/>
                            <w:w w:val="127"/>
                            <w:sz w:val="52"/>
                          </w:rPr>
                          <w:t xml:space="preserve">for</w:t>
                        </w:r>
                        <w:r>
                          <w:rPr>
                            <w:rFonts w:cs="Calibri" w:hAnsi="Calibri" w:eastAsia="Calibri" w:ascii="Calibri"/>
                            <w:b w:val="1"/>
                            <w:color w:val="ba8d97"/>
                            <w:spacing w:val="7"/>
                            <w:w w:val="127"/>
                            <w:sz w:val="52"/>
                          </w:rPr>
                          <w:t xml:space="preserve"> </w:t>
                        </w:r>
                        <w:r>
                          <w:rPr>
                            <w:rFonts w:cs="Calibri" w:hAnsi="Calibri" w:eastAsia="Calibri" w:ascii="Calibri"/>
                            <w:b w:val="1"/>
                            <w:color w:val="ba8d97"/>
                            <w:w w:val="127"/>
                            <w:sz w:val="52"/>
                          </w:rPr>
                          <w:t xml:space="preserve">Aboriginal</w:t>
                        </w:r>
                        <w:r>
                          <w:rPr>
                            <w:rFonts w:cs="Calibri" w:hAnsi="Calibri" w:eastAsia="Calibri" w:ascii="Calibri"/>
                            <w:b w:val="1"/>
                            <w:color w:val="ba8d97"/>
                            <w:spacing w:val="4"/>
                            <w:w w:val="127"/>
                            <w:sz w:val="52"/>
                          </w:rPr>
                          <w:t xml:space="preserve"> </w:t>
                        </w:r>
                        <w:r>
                          <w:rPr>
                            <w:rFonts w:cs="Calibri" w:hAnsi="Calibri" w:eastAsia="Calibri" w:ascii="Calibri"/>
                            <w:b w:val="1"/>
                            <w:color w:val="ba8d97"/>
                            <w:w w:val="127"/>
                            <w:sz w:val="52"/>
                          </w:rPr>
                          <w:t xml:space="preserve">Families</w:t>
                        </w:r>
                        <w:r>
                          <w:rPr>
                            <w:rFonts w:cs="Calibri" w:hAnsi="Calibri" w:eastAsia="Calibri" w:ascii="Calibri"/>
                            <w:b w:val="1"/>
                            <w:color w:val="ba8d97"/>
                            <w:spacing w:val="6"/>
                            <w:w w:val="127"/>
                            <w:sz w:val="52"/>
                          </w:rPr>
                          <w:t xml:space="preserve"> </w:t>
                        </w:r>
                      </w:p>
                    </w:txbxContent>
                  </v:textbox>
                </v:rect>
                <v:rect id="Rectangle 27" style="position:absolute;width:65444;height:6157;left:13596;top:51900;" filled="f" stroked="f">
                  <v:textbox inset="0,0,0,0">
                    <w:txbxContent>
                      <w:p>
                        <w:pPr>
                          <w:spacing w:before="0" w:after="160" w:line="259" w:lineRule="auto"/>
                          <w:ind w:left="0" w:firstLine="0"/>
                        </w:pPr>
                        <w:r>
                          <w:rPr>
                            <w:rFonts w:cs="Calibri" w:hAnsi="Calibri" w:eastAsia="Calibri" w:ascii="Calibri"/>
                            <w:b w:val="1"/>
                            <w:color w:val="ba8d97"/>
                            <w:w w:val="127"/>
                            <w:sz w:val="52"/>
                          </w:rPr>
                          <w:t xml:space="preserve">Wellbeing</w:t>
                        </w:r>
                        <w:r>
                          <w:rPr>
                            <w:rFonts w:cs="Calibri" w:hAnsi="Calibri" w:eastAsia="Calibri" w:ascii="Calibri"/>
                            <w:b w:val="1"/>
                            <w:color w:val="ba8d97"/>
                            <w:spacing w:val="6"/>
                            <w:w w:val="127"/>
                            <w:sz w:val="52"/>
                          </w:rPr>
                          <w:t xml:space="preserve"> </w:t>
                        </w:r>
                        <w:r>
                          <w:rPr>
                            <w:rFonts w:cs="Calibri" w:hAnsi="Calibri" w:eastAsia="Calibri" w:ascii="Calibri"/>
                            <w:b w:val="1"/>
                            <w:color w:val="ba8d97"/>
                            <w:w w:val="127"/>
                            <w:sz w:val="52"/>
                          </w:rPr>
                          <w:t xml:space="preserve">submission</w:t>
                        </w:r>
                        <w:r>
                          <w:rPr>
                            <w:rFonts w:cs="Calibri" w:hAnsi="Calibri" w:eastAsia="Calibri" w:ascii="Calibri"/>
                            <w:b w:val="1"/>
                            <w:color w:val="ba8d97"/>
                            <w:spacing w:val="6"/>
                            <w:w w:val="127"/>
                            <w:sz w:val="52"/>
                          </w:rPr>
                          <w:t xml:space="preserve"> </w:t>
                        </w:r>
                        <w:r>
                          <w:rPr>
                            <w:rFonts w:cs="Calibri" w:hAnsi="Calibri" w:eastAsia="Calibri" w:ascii="Calibri"/>
                            <w:b w:val="1"/>
                            <w:color w:val="ba8d97"/>
                            <w:w w:val="127"/>
                            <w:sz w:val="52"/>
                          </w:rPr>
                          <w:t xml:space="preserve">on</w:t>
                        </w:r>
                        <w:r>
                          <w:rPr>
                            <w:rFonts w:cs="Calibri" w:hAnsi="Calibri" w:eastAsia="Calibri" w:ascii="Calibri"/>
                            <w:b w:val="1"/>
                            <w:color w:val="ba8d97"/>
                            <w:spacing w:val="4"/>
                            <w:w w:val="127"/>
                            <w:sz w:val="52"/>
                          </w:rPr>
                          <w:t xml:space="preserve"> </w:t>
                        </w:r>
                        <w:r>
                          <w:rPr>
                            <w:rFonts w:cs="Calibri" w:hAnsi="Calibri" w:eastAsia="Calibri" w:ascii="Calibri"/>
                            <w:b w:val="1"/>
                            <w:color w:val="ba8d97"/>
                            <w:w w:val="127"/>
                            <w:sz w:val="52"/>
                          </w:rPr>
                          <w:t xml:space="preserve">the</w:t>
                        </w:r>
                        <w:r>
                          <w:rPr>
                            <w:rFonts w:cs="Calibri" w:hAnsi="Calibri" w:eastAsia="Calibri" w:ascii="Calibri"/>
                            <w:b w:val="1"/>
                            <w:color w:val="ba8d97"/>
                            <w:spacing w:val="6"/>
                            <w:w w:val="127"/>
                            <w:sz w:val="52"/>
                          </w:rPr>
                          <w:t xml:space="preserve"> </w:t>
                        </w:r>
                      </w:p>
                    </w:txbxContent>
                  </v:textbox>
                </v:rect>
                <v:rect id="Rectangle 28" style="position:absolute;width:68034;height:6157;left:12621;top:56856;" filled="f" stroked="f">
                  <v:textbox inset="0,0,0,0">
                    <w:txbxContent>
                      <w:p>
                        <w:pPr>
                          <w:spacing w:before="0" w:after="160" w:line="259" w:lineRule="auto"/>
                          <w:ind w:left="0" w:firstLine="0"/>
                        </w:pPr>
                        <w:r>
                          <w:rPr>
                            <w:rFonts w:cs="Calibri" w:hAnsi="Calibri" w:eastAsia="Calibri" w:ascii="Calibri"/>
                            <w:b w:val="1"/>
                            <w:color w:val="ba8d97"/>
                            <w:w w:val="128"/>
                            <w:sz w:val="52"/>
                          </w:rPr>
                          <w:t xml:space="preserve">Department</w:t>
                        </w:r>
                        <w:r>
                          <w:rPr>
                            <w:rFonts w:cs="Calibri" w:hAnsi="Calibri" w:eastAsia="Calibri" w:ascii="Calibri"/>
                            <w:b w:val="1"/>
                            <w:color w:val="ba8d97"/>
                            <w:spacing w:val="4"/>
                            <w:w w:val="128"/>
                            <w:sz w:val="52"/>
                          </w:rPr>
                          <w:t xml:space="preserve"> </w:t>
                        </w:r>
                        <w:r>
                          <w:rPr>
                            <w:rFonts w:cs="Calibri" w:hAnsi="Calibri" w:eastAsia="Calibri" w:ascii="Calibri"/>
                            <w:b w:val="1"/>
                            <w:color w:val="ba8d97"/>
                            <w:w w:val="128"/>
                            <w:sz w:val="52"/>
                          </w:rPr>
                          <w:t xml:space="preserve">of</w:t>
                        </w:r>
                        <w:r>
                          <w:rPr>
                            <w:rFonts w:cs="Calibri" w:hAnsi="Calibri" w:eastAsia="Calibri" w:ascii="Calibri"/>
                            <w:b w:val="1"/>
                            <w:color w:val="ba8d97"/>
                            <w:spacing w:val="6"/>
                            <w:w w:val="128"/>
                            <w:sz w:val="52"/>
                          </w:rPr>
                          <w:t xml:space="preserve"> </w:t>
                        </w:r>
                        <w:r>
                          <w:rPr>
                            <w:rFonts w:cs="Calibri" w:hAnsi="Calibri" w:eastAsia="Calibri" w:ascii="Calibri"/>
                            <w:b w:val="1"/>
                            <w:color w:val="ba8d97"/>
                            <w:w w:val="128"/>
                            <w:sz w:val="52"/>
                          </w:rPr>
                          <w:t xml:space="preserve">Social</w:t>
                        </w:r>
                        <w:r>
                          <w:rPr>
                            <w:rFonts w:cs="Calibri" w:hAnsi="Calibri" w:eastAsia="Calibri" w:ascii="Calibri"/>
                            <w:b w:val="1"/>
                            <w:color w:val="ba8d97"/>
                            <w:spacing w:val="6"/>
                            <w:w w:val="128"/>
                            <w:sz w:val="52"/>
                          </w:rPr>
                          <w:t xml:space="preserve"> </w:t>
                        </w:r>
                        <w:r>
                          <w:rPr>
                            <w:rFonts w:cs="Calibri" w:hAnsi="Calibri" w:eastAsia="Calibri" w:ascii="Calibri"/>
                            <w:b w:val="1"/>
                            <w:color w:val="ba8d97"/>
                            <w:w w:val="128"/>
                            <w:sz w:val="52"/>
                          </w:rPr>
                          <w:t xml:space="preserve">Services</w:t>
                        </w:r>
                        <w:r>
                          <w:rPr>
                            <w:rFonts w:cs="Calibri" w:hAnsi="Calibri" w:eastAsia="Calibri" w:ascii="Calibri"/>
                            <w:b w:val="1"/>
                            <w:color w:val="ba8d97"/>
                            <w:spacing w:val="6"/>
                            <w:w w:val="128"/>
                            <w:sz w:val="52"/>
                          </w:rPr>
                          <w:t xml:space="preserve"> </w:t>
                        </w:r>
                      </w:p>
                    </w:txbxContent>
                  </v:textbox>
                </v:rect>
                <v:rect id="Rectangle 29" style="position:absolute;width:69472;height:6157;left:12073;top:61809;" filled="f" stroked="f">
                  <v:textbox inset="0,0,0,0">
                    <w:txbxContent>
                      <w:p>
                        <w:pPr>
                          <w:spacing w:before="0" w:after="160" w:line="259" w:lineRule="auto"/>
                          <w:ind w:left="0" w:firstLine="0"/>
                        </w:pPr>
                        <w:r>
                          <w:rPr>
                            <w:rFonts w:cs="Calibri" w:hAnsi="Calibri" w:eastAsia="Calibri" w:ascii="Calibri"/>
                            <w:b w:val="1"/>
                            <w:color w:val="ba8d97"/>
                            <w:w w:val="128"/>
                            <w:sz w:val="52"/>
                          </w:rPr>
                          <w:t xml:space="preserve">new</w:t>
                        </w:r>
                        <w:r>
                          <w:rPr>
                            <w:rFonts w:cs="Calibri" w:hAnsi="Calibri" w:eastAsia="Calibri" w:ascii="Calibri"/>
                            <w:b w:val="1"/>
                            <w:color w:val="ba8d97"/>
                            <w:spacing w:val="6"/>
                            <w:w w:val="128"/>
                            <w:sz w:val="52"/>
                          </w:rPr>
                          <w:t xml:space="preserve"> </w:t>
                        </w:r>
                        <w:r>
                          <w:rPr>
                            <w:rFonts w:cs="Calibri" w:hAnsi="Calibri" w:eastAsia="Calibri" w:ascii="Calibri"/>
                            <w:b w:val="1"/>
                            <w:color w:val="ba8d97"/>
                            <w:w w:val="128"/>
                            <w:sz w:val="52"/>
                          </w:rPr>
                          <w:t xml:space="preserve">approach</w:t>
                        </w:r>
                        <w:r>
                          <w:rPr>
                            <w:rFonts w:cs="Calibri" w:hAnsi="Calibri" w:eastAsia="Calibri" w:ascii="Calibri"/>
                            <w:b w:val="1"/>
                            <w:color w:val="ba8d97"/>
                            <w:spacing w:val="6"/>
                            <w:w w:val="128"/>
                            <w:sz w:val="52"/>
                          </w:rPr>
                          <w:t xml:space="preserve"> </w:t>
                        </w:r>
                        <w:r>
                          <w:rPr>
                            <w:rFonts w:cs="Calibri" w:hAnsi="Calibri" w:eastAsia="Calibri" w:ascii="Calibri"/>
                            <w:b w:val="1"/>
                            <w:color w:val="ba8d97"/>
                            <w:w w:val="128"/>
                            <w:sz w:val="52"/>
                          </w:rPr>
                          <w:t xml:space="preserve">to</w:t>
                        </w:r>
                        <w:r>
                          <w:rPr>
                            <w:rFonts w:cs="Calibri" w:hAnsi="Calibri" w:eastAsia="Calibri" w:ascii="Calibri"/>
                            <w:b w:val="1"/>
                            <w:color w:val="ba8d97"/>
                            <w:spacing w:val="3"/>
                            <w:w w:val="128"/>
                            <w:sz w:val="52"/>
                          </w:rPr>
                          <w:t xml:space="preserve"> </w:t>
                        </w:r>
                        <w:r>
                          <w:rPr>
                            <w:rFonts w:cs="Calibri" w:hAnsi="Calibri" w:eastAsia="Calibri" w:ascii="Calibri"/>
                            <w:b w:val="1"/>
                            <w:color w:val="ba8d97"/>
                            <w:w w:val="128"/>
                            <w:sz w:val="52"/>
                          </w:rPr>
                          <w:t xml:space="preserve">programs</w:t>
                        </w:r>
                        <w:r>
                          <w:rPr>
                            <w:rFonts w:cs="Calibri" w:hAnsi="Calibri" w:eastAsia="Calibri" w:ascii="Calibri"/>
                            <w:b w:val="1"/>
                            <w:color w:val="ba8d97"/>
                            <w:spacing w:val="6"/>
                            <w:w w:val="128"/>
                            <w:sz w:val="52"/>
                          </w:rPr>
                          <w:t xml:space="preserve"> </w:t>
                        </w:r>
                        <w:r>
                          <w:rPr>
                            <w:rFonts w:cs="Calibri" w:hAnsi="Calibri" w:eastAsia="Calibri" w:ascii="Calibri"/>
                            <w:b w:val="1"/>
                            <w:color w:val="ba8d97"/>
                            <w:w w:val="128"/>
                            <w:sz w:val="52"/>
                          </w:rPr>
                          <w:t xml:space="preserve">for</w:t>
                        </w:r>
                        <w:r>
                          <w:rPr>
                            <w:rFonts w:cs="Calibri" w:hAnsi="Calibri" w:eastAsia="Calibri" w:ascii="Calibri"/>
                            <w:b w:val="1"/>
                            <w:color w:val="ba8d97"/>
                            <w:spacing w:val="6"/>
                            <w:w w:val="128"/>
                            <w:sz w:val="52"/>
                          </w:rPr>
                          <w:t xml:space="preserve"> </w:t>
                        </w:r>
                      </w:p>
                    </w:txbxContent>
                  </v:textbox>
                </v:rect>
                <v:rect id="Rectangle 30" style="position:absolute;width:47190;height:6157;left:20073;top:66762;" filled="f" stroked="f">
                  <v:textbox inset="0,0,0,0">
                    <w:txbxContent>
                      <w:p>
                        <w:pPr>
                          <w:spacing w:before="0" w:after="160" w:line="259" w:lineRule="auto"/>
                          <w:ind w:left="0" w:firstLine="0"/>
                        </w:pPr>
                        <w:r>
                          <w:rPr>
                            <w:rFonts w:cs="Calibri" w:hAnsi="Calibri" w:eastAsia="Calibri" w:ascii="Calibri"/>
                            <w:b w:val="1"/>
                            <w:color w:val="ba8d97"/>
                            <w:w w:val="130"/>
                            <w:sz w:val="52"/>
                          </w:rPr>
                          <w:t xml:space="preserve">families</w:t>
                        </w:r>
                        <w:r>
                          <w:rPr>
                            <w:rFonts w:cs="Calibri" w:hAnsi="Calibri" w:eastAsia="Calibri" w:ascii="Calibri"/>
                            <w:b w:val="1"/>
                            <w:color w:val="ba8d97"/>
                            <w:spacing w:val="6"/>
                            <w:w w:val="130"/>
                            <w:sz w:val="52"/>
                          </w:rPr>
                          <w:t xml:space="preserve"> </w:t>
                        </w:r>
                        <w:r>
                          <w:rPr>
                            <w:rFonts w:cs="Calibri" w:hAnsi="Calibri" w:eastAsia="Calibri" w:ascii="Calibri"/>
                            <w:b w:val="1"/>
                            <w:color w:val="ba8d97"/>
                            <w:w w:val="130"/>
                            <w:sz w:val="52"/>
                          </w:rPr>
                          <w:t xml:space="preserve">and</w:t>
                        </w:r>
                        <w:r>
                          <w:rPr>
                            <w:rFonts w:cs="Calibri" w:hAnsi="Calibri" w:eastAsia="Calibri" w:ascii="Calibri"/>
                            <w:b w:val="1"/>
                            <w:color w:val="ba8d97"/>
                            <w:spacing w:val="6"/>
                            <w:w w:val="130"/>
                            <w:sz w:val="52"/>
                          </w:rPr>
                          <w:t xml:space="preserve"> </w:t>
                        </w:r>
                        <w:r>
                          <w:rPr>
                            <w:rFonts w:cs="Calibri" w:hAnsi="Calibri" w:eastAsia="Calibri" w:ascii="Calibri"/>
                            <w:b w:val="1"/>
                            <w:color w:val="ba8d97"/>
                            <w:w w:val="130"/>
                            <w:sz w:val="52"/>
                          </w:rPr>
                          <w:t xml:space="preserve">children</w:t>
                        </w:r>
                      </w:p>
                    </w:txbxContent>
                  </v:textbox>
                </v:rect>
                <v:rect id="Rectangle 31" style="position:absolute;width:1046;height:6157;left:55547;top:66762;" filled="f" stroked="f">
                  <v:textbox inset="0,0,0,0">
                    <w:txbxContent>
                      <w:p>
                        <w:pPr>
                          <w:spacing w:before="0" w:after="160" w:line="259" w:lineRule="auto"/>
                          <w:ind w:left="0" w:firstLine="0"/>
                        </w:pPr>
                        <w:r>
                          <w:rPr>
                            <w:rFonts w:cs="Calibri" w:hAnsi="Calibri" w:eastAsia="Calibri" w:ascii="Calibri"/>
                            <w:b w:val="1"/>
                            <w:color w:val="ba8d97"/>
                            <w:sz w:val="52"/>
                          </w:rPr>
                          <w:t xml:space="preserve"> </w:t>
                        </w:r>
                      </w:p>
                    </w:txbxContent>
                  </v:textbox>
                </v:rect>
                <v:rect id="Rectangle 32" style="position:absolute;width:460;height:2355;left:9147;top:71527;"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3" style="position:absolute;width:460;height:2355;left:9147;top:73432;"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4" style="position:absolute;width:460;height:2355;left:9147;top:75337;"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5" style="position:absolute;width:460;height:2355;left:9147;top:77242;"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6" style="position:absolute;width:460;height:2355;left:66474;top:79147;"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7" style="position:absolute;width:460;height:2355;left:66474;top:81056;"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8" style="position:absolute;width:460;height:2355;left:66474;top:82961;"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9" style="position:absolute;width:460;height:2355;left:66474;top:84866;"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40" style="position:absolute;width:460;height:2355;left:66474;top:86771;"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41" style="position:absolute;width:460;height:2355;left:66474;top:88676;"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42" style="position:absolute;width:460;height:2355;left:66474;top:90581;"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43" style="position:absolute;width:13351;height:2355;left:56431;top:92486;" filled="f" stroked="f">
                  <v:textbox inset="0,0,0,0">
                    <w:txbxContent>
                      <w:p>
                        <w:pPr>
                          <w:spacing w:before="0" w:after="160" w:line="259" w:lineRule="auto"/>
                          <w:ind w:left="0" w:firstLine="0"/>
                        </w:pPr>
                        <w:r>
                          <w:rPr>
                            <w:w w:val="122"/>
                          </w:rPr>
                          <w:t xml:space="preserve">December</w:t>
                        </w:r>
                        <w:r>
                          <w:rPr>
                            <w:spacing w:val="10"/>
                            <w:w w:val="122"/>
                          </w:rPr>
                          <w:t xml:space="preserve"> </w:t>
                        </w:r>
                        <w:r>
                          <w:rPr>
                            <w:w w:val="122"/>
                          </w:rPr>
                          <w:t xml:space="preserve">2025</w:t>
                        </w:r>
                      </w:p>
                    </w:txbxContent>
                  </v:textbox>
                </v:rect>
                <v:rect id="Rectangle 44" style="position:absolute;width:460;height:2355;left:66474;top:92486;"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45" style="position:absolute;width:719;height:3774;left:9147;top:94459;" filled="f" stroked="f">
                  <v:textbox inset="0,0,0,0">
                    <w:txbxContent>
                      <w:p>
                        <w:pPr>
                          <w:spacing w:before="0" w:after="160" w:line="259" w:lineRule="auto"/>
                          <w:ind w:left="0" w:firstLine="0"/>
                        </w:pPr>
                        <w:r>
                          <w:rPr>
                            <w:rFonts w:cs="Calibri" w:hAnsi="Calibri" w:eastAsia="Calibri" w:ascii="Calibri"/>
                            <w:color w:val="995c6a"/>
                            <w:sz w:val="32"/>
                          </w:rPr>
                          <w:t xml:space="preserve"> </w:t>
                        </w:r>
                      </w:p>
                    </w:txbxContent>
                  </v:textbox>
                </v:rect>
                <w10:wrap type="topAndBottom"/>
              </v:group>
            </w:pict>
          </mc:Fallback>
        </mc:AlternateContent>
      </w:r>
      <w:r>
        <w:br w:type="page"/>
      </w:r>
    </w:p>
    <w:p w14:paraId="3F85A334" w14:textId="77777777" w:rsidR="0039782D" w:rsidRDefault="00FA2745">
      <w:pPr>
        <w:spacing w:after="868" w:line="259" w:lineRule="auto"/>
        <w:ind w:left="0" w:firstLine="0"/>
      </w:pPr>
      <w:r>
        <w:lastRenderedPageBreak/>
        <w:t xml:space="preserve"> </w:t>
      </w:r>
    </w:p>
    <w:p w14:paraId="04D2CA33" w14:textId="77777777" w:rsidR="0039782D" w:rsidRDefault="00FA2745">
      <w:pPr>
        <w:spacing w:after="48" w:line="259" w:lineRule="auto"/>
        <w:ind w:left="-5"/>
      </w:pPr>
      <w:r>
        <w:rPr>
          <w:color w:val="995C6A"/>
          <w:sz w:val="32"/>
        </w:rPr>
        <w:t xml:space="preserve">Victorian Aboriginal Community Controlled Health Organisation </w:t>
      </w:r>
    </w:p>
    <w:p w14:paraId="25A3C4DF" w14:textId="77777777" w:rsidR="0039782D" w:rsidRDefault="00FA2745">
      <w:pPr>
        <w:spacing w:after="135"/>
        <w:ind w:left="-5"/>
      </w:pPr>
      <w:r>
        <w:t>The</w:t>
      </w:r>
      <w:r>
        <w:t xml:space="preserve"> </w:t>
      </w:r>
      <w:r>
        <w:t>Victorian</w:t>
      </w:r>
      <w:r>
        <w:t xml:space="preserve"> </w:t>
      </w:r>
      <w:r>
        <w:t>Aboriginal</w:t>
      </w:r>
      <w:r>
        <w:t xml:space="preserve"> </w:t>
      </w:r>
      <w:r>
        <w:t>Community</w:t>
      </w:r>
      <w:r>
        <w:t xml:space="preserve"> </w:t>
      </w:r>
      <w:r>
        <w:t>Controlled</w:t>
      </w:r>
      <w:r>
        <w:t xml:space="preserve"> </w:t>
      </w:r>
      <w:r>
        <w:t>Health</w:t>
      </w:r>
      <w:r>
        <w:t xml:space="preserve"> </w:t>
      </w:r>
      <w:r>
        <w:t>Organisation (VACCHO) is the peak body for Aboriginal health and wellbeing in Victoria – the only organisation of its kind - with 34 Aboriginal Community Controlled Organisations (ACCOs) as Members. VACCHO trains, supports, and advocates with and for our Members and their Communities across Victoria. ACCOs deliver a suite of culturally safe and responsive frontline health and community care services for Aboriginal Communities. ACCOs have a proud, long histor</w:t>
      </w:r>
      <w:r>
        <w:t xml:space="preserve">y as sustainable, grassroot organisations that assist in building Aboriginal self-determination. They hold Aboriginal health in Aboriginal hands. </w:t>
      </w:r>
      <w:r>
        <w:t xml:space="preserve"> </w:t>
      </w:r>
    </w:p>
    <w:p w14:paraId="16C45749" w14:textId="77777777" w:rsidR="0039782D" w:rsidRDefault="00FA2745">
      <w:pPr>
        <w:spacing w:after="59" w:line="259" w:lineRule="auto"/>
        <w:ind w:left="0" w:firstLine="0"/>
      </w:pPr>
      <w:r>
        <w:rPr>
          <w:color w:val="995C6A"/>
          <w:sz w:val="32"/>
        </w:rPr>
        <w:t xml:space="preserve"> </w:t>
      </w:r>
    </w:p>
    <w:p w14:paraId="05554ECF" w14:textId="77777777" w:rsidR="0039782D" w:rsidRDefault="00FA2745">
      <w:pPr>
        <w:spacing w:after="59" w:line="259" w:lineRule="auto"/>
        <w:ind w:left="-5"/>
      </w:pPr>
      <w:r>
        <w:rPr>
          <w:color w:val="995C6A"/>
          <w:sz w:val="32"/>
        </w:rPr>
        <w:t xml:space="preserve">The Centre of Excellence for Aboriginal Families </w:t>
      </w:r>
    </w:p>
    <w:p w14:paraId="34BD1306" w14:textId="77777777" w:rsidR="0039782D" w:rsidRDefault="00FA2745">
      <w:pPr>
        <w:spacing w:after="0" w:line="259" w:lineRule="auto"/>
        <w:ind w:left="-5"/>
      </w:pPr>
      <w:r>
        <w:rPr>
          <w:color w:val="995C6A"/>
          <w:sz w:val="32"/>
        </w:rPr>
        <w:t xml:space="preserve">Wellbeing  </w:t>
      </w:r>
    </w:p>
    <w:p w14:paraId="548F8D05" w14:textId="77777777" w:rsidR="0039782D" w:rsidRDefault="00FA2745">
      <w:pPr>
        <w:ind w:left="-5"/>
      </w:pPr>
      <w:r>
        <w:t>In 2023, VACCHO launched the Centre of Excellence for Aboriginal Families Wellbeing (the Centre). The Centre is dedicated to advancing the rights and social and emotional wellbeing of Aboriginal and Torres Strait Islander families across Victoria. We celebrate Aboriginal families’ enduring strength, resilience and cultural richness by honouring Aboriginal models of parenting and child-rearing. These practices have kept families safe and strong for more than 65,000 years – and our work seeks to continue this</w:t>
      </w:r>
      <w:r>
        <w:t xml:space="preserve"> legacy. </w:t>
      </w:r>
      <w:r>
        <w:t xml:space="preserve"> </w:t>
      </w:r>
      <w:r>
        <w:t>Our work focuses on Aboriginal families – not just children- acknowledging that Aboriginal families extend beyond the immediate nuclear unit to include extended family, clan and kinship networks, and the broader Community. The Centre works closely with VACCHO’s Balit Durn Durn Centre (Social Emotional Wellbeing), the Centre for Aboriginal Medical, Health and Wellbeing Research and the Centre of Excellence for Aboriginal Digital in Health (CEDAH).</w:t>
      </w:r>
      <w:r>
        <w:t xml:space="preserve"> </w:t>
      </w:r>
    </w:p>
    <w:p w14:paraId="2221C95E" w14:textId="77777777" w:rsidR="0039782D" w:rsidRDefault="00FA2745">
      <w:pPr>
        <w:spacing w:after="37" w:line="259" w:lineRule="auto"/>
        <w:ind w:left="0" w:firstLine="0"/>
      </w:pPr>
      <w:r>
        <w:t xml:space="preserve"> </w:t>
      </w:r>
    </w:p>
    <w:p w14:paraId="0536D8BE" w14:textId="77777777" w:rsidR="0039782D" w:rsidRDefault="00FA2745">
      <w:pPr>
        <w:spacing w:after="34" w:line="259" w:lineRule="auto"/>
        <w:ind w:left="-5"/>
      </w:pPr>
      <w:r>
        <w:rPr>
          <w:i/>
        </w:rPr>
        <w:t xml:space="preserve">Lack of dedicated funding to advance health and wellbeing outcomes for Aboriginal and Torres Strait Islander families </w:t>
      </w:r>
      <w:r>
        <w:t xml:space="preserve"> </w:t>
      </w:r>
    </w:p>
    <w:p w14:paraId="2425B057" w14:textId="77777777" w:rsidR="0039782D" w:rsidRDefault="00FA2745">
      <w:pPr>
        <w:ind w:left="-5"/>
      </w:pPr>
      <w:r>
        <w:t>The Centre works to influence positive change for Aboriginal and Torres Strait Islander families in Vicotria through strengths-based research, programming, advocacy and collaboration. The work is done in partnership with Aboriginal and Torres Strait Islander communities. Mostly, we amplify the voices of Aboriginal families, empowering them to shape policies and practices that promote their social and wellbeing, self-determination and prosperity. The Centre is unfunded and is in its infancy of standing up, h</w:t>
      </w:r>
      <w:r>
        <w:t xml:space="preserve">owever aligns with the broader advocacy and strategic direction as VACCHO its mother organisation and the peak body for Aboriginal health and wellbeing in Victoria. </w:t>
      </w:r>
      <w:r>
        <w:t xml:space="preserve"> </w:t>
      </w:r>
    </w:p>
    <w:p w14:paraId="54EABFBD" w14:textId="77777777" w:rsidR="0039782D" w:rsidRDefault="00FA2745">
      <w:pPr>
        <w:spacing w:after="37" w:line="259" w:lineRule="auto"/>
        <w:ind w:left="0" w:firstLine="0"/>
      </w:pPr>
      <w:r>
        <w:t xml:space="preserve"> </w:t>
      </w:r>
    </w:p>
    <w:p w14:paraId="4CCA9019" w14:textId="77777777" w:rsidR="0039782D" w:rsidRDefault="00FA2745">
      <w:pPr>
        <w:ind w:left="-5"/>
      </w:pPr>
      <w:r>
        <w:t xml:space="preserve">The Centre joins a landscape of many influential, groundbreaking and self-determined </w:t>
      </w:r>
    </w:p>
    <w:p w14:paraId="1206F224" w14:textId="77777777" w:rsidR="0039782D" w:rsidRDefault="00FA2745">
      <w:pPr>
        <w:ind w:left="-5"/>
      </w:pPr>
      <w:r>
        <w:t>Aboriginal organisations working to improve outcomes for Aboriginal and Torres Strait Islander children and families in Victoria. Our aim is to strengthen the sector’s collective aspiration: keeping families together, safe and strong.</w:t>
      </w:r>
      <w:r>
        <w:t xml:space="preserve"> </w:t>
      </w:r>
    </w:p>
    <w:p w14:paraId="2F840780" w14:textId="77777777" w:rsidR="0039782D" w:rsidRDefault="00FA2745">
      <w:pPr>
        <w:spacing w:after="0" w:line="259" w:lineRule="auto"/>
        <w:ind w:left="0" w:firstLine="0"/>
      </w:pPr>
      <w:r>
        <w:t xml:space="preserve"> </w:t>
      </w:r>
    </w:p>
    <w:p w14:paraId="77208AB8" w14:textId="77777777" w:rsidR="0039782D" w:rsidRDefault="00FA2745">
      <w:pPr>
        <w:spacing w:after="37" w:line="259" w:lineRule="auto"/>
        <w:ind w:left="0" w:firstLine="0"/>
      </w:pPr>
      <w:r>
        <w:t xml:space="preserve"> </w:t>
      </w:r>
    </w:p>
    <w:p w14:paraId="3676B127" w14:textId="77777777" w:rsidR="0039782D" w:rsidRDefault="00FA2745">
      <w:pPr>
        <w:spacing w:after="37" w:line="259" w:lineRule="auto"/>
        <w:ind w:left="0" w:firstLine="0"/>
      </w:pPr>
      <w:r>
        <w:t xml:space="preserve"> </w:t>
      </w:r>
    </w:p>
    <w:p w14:paraId="40E3C179" w14:textId="77777777" w:rsidR="00FA2745" w:rsidRDefault="00FA2745">
      <w:pPr>
        <w:spacing w:after="34" w:line="259" w:lineRule="auto"/>
        <w:ind w:left="-5"/>
        <w:rPr>
          <w:i/>
        </w:rPr>
      </w:pPr>
    </w:p>
    <w:p w14:paraId="279C0929" w14:textId="77777777" w:rsidR="00FA2745" w:rsidRDefault="00FA2745">
      <w:pPr>
        <w:spacing w:after="34" w:line="259" w:lineRule="auto"/>
        <w:ind w:left="-5"/>
        <w:rPr>
          <w:i/>
        </w:rPr>
      </w:pPr>
    </w:p>
    <w:p w14:paraId="432DF486" w14:textId="77777777" w:rsidR="00FA2745" w:rsidRDefault="00FA2745">
      <w:pPr>
        <w:spacing w:after="34" w:line="259" w:lineRule="auto"/>
        <w:ind w:left="-5"/>
        <w:rPr>
          <w:i/>
        </w:rPr>
      </w:pPr>
    </w:p>
    <w:p w14:paraId="12C8FCCD" w14:textId="77777777" w:rsidR="00FA2745" w:rsidRDefault="00FA2745">
      <w:pPr>
        <w:spacing w:after="34" w:line="259" w:lineRule="auto"/>
        <w:ind w:left="-5"/>
        <w:rPr>
          <w:i/>
        </w:rPr>
      </w:pPr>
    </w:p>
    <w:p w14:paraId="11E0F4E2" w14:textId="77777777" w:rsidR="00FA2745" w:rsidRDefault="00FA2745">
      <w:pPr>
        <w:spacing w:after="34" w:line="259" w:lineRule="auto"/>
        <w:ind w:left="-5"/>
        <w:rPr>
          <w:i/>
        </w:rPr>
      </w:pPr>
    </w:p>
    <w:p w14:paraId="0FE3EE98" w14:textId="77777777" w:rsidR="00FA2745" w:rsidRDefault="00FA2745">
      <w:pPr>
        <w:spacing w:after="34" w:line="259" w:lineRule="auto"/>
        <w:ind w:left="-5"/>
        <w:rPr>
          <w:i/>
        </w:rPr>
      </w:pPr>
    </w:p>
    <w:p w14:paraId="0276E5D6" w14:textId="7E1F3FEA" w:rsidR="0039782D" w:rsidRDefault="00FA2745">
      <w:pPr>
        <w:spacing w:after="34" w:line="259" w:lineRule="auto"/>
        <w:ind w:left="-5"/>
      </w:pPr>
      <w:r>
        <w:rPr>
          <w:i/>
        </w:rPr>
        <w:t xml:space="preserve">About the Artwork  </w:t>
      </w:r>
    </w:p>
    <w:p w14:paraId="265BECDB" w14:textId="77777777" w:rsidR="0039782D" w:rsidRDefault="00FA2745">
      <w:pPr>
        <w:ind w:left="-5"/>
      </w:pPr>
      <w:r>
        <w:t>Empowering Generations: Celebrating the Strength of Aboriginal Families' by Djab Wurrung, Kirrae Wurrung and Peek Wurrung artist Tarni Jarvis.</w:t>
      </w:r>
      <w:r>
        <w:t xml:space="preserve"> </w:t>
      </w:r>
    </w:p>
    <w:p w14:paraId="2F9A442F" w14:textId="77777777" w:rsidR="0039782D" w:rsidRDefault="00FA2745">
      <w:pPr>
        <w:spacing w:after="37" w:line="259" w:lineRule="auto"/>
        <w:ind w:left="0" w:firstLine="0"/>
      </w:pPr>
      <w:r>
        <w:t xml:space="preserve"> </w:t>
      </w:r>
    </w:p>
    <w:p w14:paraId="4C369983" w14:textId="77777777" w:rsidR="0039782D" w:rsidRDefault="00FA2745">
      <w:pPr>
        <w:ind w:left="-5"/>
      </w:pPr>
      <w:r>
        <w:t>This inspiring artwork brings to life Dr Aunty Jill Gallagher’s vision of the strength of generations spanning 65,000+ years. It represents and celebrates Aboriginal families, ancestors, Culture and future generations</w:t>
      </w:r>
      <w:r>
        <w:t xml:space="preserve"> </w:t>
      </w:r>
    </w:p>
    <w:p w14:paraId="65AC19A5" w14:textId="77777777" w:rsidR="0039782D" w:rsidRDefault="00FA2745">
      <w:pPr>
        <w:spacing w:after="313" w:line="259" w:lineRule="auto"/>
        <w:ind w:left="0" w:firstLine="0"/>
      </w:pPr>
      <w:r>
        <w:t xml:space="preserve"> </w:t>
      </w:r>
    </w:p>
    <w:p w14:paraId="1660ADBB" w14:textId="77777777" w:rsidR="0039782D" w:rsidRDefault="00FA2745">
      <w:pPr>
        <w:spacing w:after="0" w:line="259" w:lineRule="auto"/>
        <w:ind w:left="0" w:firstLine="0"/>
      </w:pPr>
      <w:r>
        <w:rPr>
          <w:b/>
          <w:color w:val="80340D"/>
          <w:sz w:val="44"/>
        </w:rPr>
        <w:t xml:space="preserve"> </w:t>
      </w:r>
    </w:p>
    <w:p w14:paraId="15F589CC" w14:textId="77777777" w:rsidR="0039782D" w:rsidRDefault="00FA2745">
      <w:pPr>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14:paraId="0EC4237A" w14:textId="77777777" w:rsidR="00FA2745" w:rsidRDefault="00FA2745">
      <w:pPr>
        <w:pStyle w:val="Heading1"/>
        <w:ind w:left="-5"/>
      </w:pPr>
    </w:p>
    <w:p w14:paraId="07B406B1" w14:textId="3644F6FD" w:rsidR="0039782D" w:rsidRDefault="00FA2745">
      <w:pPr>
        <w:pStyle w:val="Heading1"/>
        <w:ind w:left="-5"/>
      </w:pPr>
      <w:r>
        <w:t xml:space="preserve">Executive Summary </w:t>
      </w:r>
      <w:r>
        <w:rPr>
          <w:b/>
        </w:rPr>
        <w:t xml:space="preserve"> </w:t>
      </w:r>
    </w:p>
    <w:p w14:paraId="207174E4" w14:textId="77777777" w:rsidR="0039782D" w:rsidRDefault="00FA2745">
      <w:pPr>
        <w:ind w:left="-5"/>
      </w:pPr>
      <w:r>
        <w:t xml:space="preserve">VACCHO and The Centre of Excellence for Aboriginal Families Wellbeing (The Centre) welcomes the opportunity to provide feedback on the Department of Social Services (DSS) new approach to programs. The Centre is fundamentally aligned with DSS vision, supporting Aboriginal and Torres Strait Islander children and families to be resilient, empowered, and able to thrive with strong social and emotional wellbeing, selfdetermination, and long-term prosperity. Despite this strong strategic alignment with state and </w:t>
      </w:r>
      <w:r>
        <w:t xml:space="preserve">federal government priorities and commitments, the Centre is unfunded. This limits the capacity for the Centre to strengthen outcomes for Aboriginal children and families across Victoria. </w:t>
      </w:r>
      <w:r>
        <w:t xml:space="preserve"> </w:t>
      </w:r>
    </w:p>
    <w:p w14:paraId="3B9E1855" w14:textId="77777777" w:rsidR="0039782D" w:rsidRDefault="00FA2745">
      <w:pPr>
        <w:spacing w:after="38" w:line="259" w:lineRule="auto"/>
        <w:ind w:left="0" w:firstLine="0"/>
      </w:pPr>
      <w:r>
        <w:t xml:space="preserve"> </w:t>
      </w:r>
    </w:p>
    <w:p w14:paraId="3B1855FD" w14:textId="77777777" w:rsidR="0039782D" w:rsidRDefault="00FA2745">
      <w:pPr>
        <w:ind w:left="-5"/>
      </w:pPr>
      <w:r>
        <w:t xml:space="preserve">Whilst the new DSS </w:t>
      </w:r>
      <w:r>
        <w:t xml:space="preserve">approach identifies the necessity of support services for Aboriginal children and families and the streamlining of funding and reporting requirements, the approach should further clarify and demonstrate how the proposed program model will impact upon Aboriginal and Torres Strait Islander communities and Aboriginal Community Controlled Organisations.  </w:t>
      </w:r>
      <w:r>
        <w:t xml:space="preserve"> </w:t>
      </w:r>
    </w:p>
    <w:p w14:paraId="2FA78DF9" w14:textId="77777777" w:rsidR="0039782D" w:rsidRDefault="00FA2745">
      <w:pPr>
        <w:spacing w:after="337" w:line="259" w:lineRule="auto"/>
        <w:ind w:left="0" w:firstLine="0"/>
      </w:pPr>
      <w:r>
        <w:rPr>
          <w:color w:val="242424"/>
        </w:rPr>
        <w:t xml:space="preserve"> </w:t>
      </w:r>
    </w:p>
    <w:p w14:paraId="49FE52BD" w14:textId="77777777" w:rsidR="0039782D" w:rsidRDefault="00FA2745">
      <w:pPr>
        <w:spacing w:after="339" w:line="259" w:lineRule="auto"/>
        <w:ind w:left="0" w:firstLine="0"/>
      </w:pPr>
      <w:r>
        <w:rPr>
          <w:color w:val="242424"/>
        </w:rPr>
        <w:t>This submission identifies five recommendations:</w:t>
      </w:r>
      <w:r>
        <w:t xml:space="preserve"> </w:t>
      </w:r>
    </w:p>
    <w:p w14:paraId="3CB8E8DD" w14:textId="77777777" w:rsidR="0039782D" w:rsidRDefault="00FA2745">
      <w:pPr>
        <w:numPr>
          <w:ilvl w:val="0"/>
          <w:numId w:val="1"/>
        </w:numPr>
        <w:spacing w:after="0" w:line="259" w:lineRule="auto"/>
        <w:ind w:hanging="360"/>
      </w:pPr>
      <w:r>
        <w:rPr>
          <w:i/>
          <w:color w:val="242424"/>
        </w:rPr>
        <w:t xml:space="preserve">Ensuring programs are aligned with Closing the Gap reforms and, Safe and </w:t>
      </w:r>
    </w:p>
    <w:p w14:paraId="1CCA35B6" w14:textId="77777777" w:rsidR="0039782D" w:rsidRDefault="00FA2745">
      <w:pPr>
        <w:spacing w:after="34" w:line="259" w:lineRule="auto"/>
        <w:ind w:left="730"/>
      </w:pPr>
      <w:r>
        <w:rPr>
          <w:i/>
        </w:rPr>
        <w:t xml:space="preserve">Supported Commitments </w:t>
      </w:r>
    </w:p>
    <w:p w14:paraId="147B4F47" w14:textId="77777777" w:rsidR="0039782D" w:rsidRDefault="00FA2745">
      <w:pPr>
        <w:spacing w:after="40" w:line="259" w:lineRule="auto"/>
        <w:ind w:left="720" w:firstLine="0"/>
      </w:pPr>
      <w:r>
        <w:t xml:space="preserve"> </w:t>
      </w:r>
    </w:p>
    <w:p w14:paraId="599D0732" w14:textId="77777777" w:rsidR="0039782D" w:rsidRDefault="00FA2745">
      <w:pPr>
        <w:numPr>
          <w:ilvl w:val="0"/>
          <w:numId w:val="1"/>
        </w:numPr>
        <w:spacing w:after="34" w:line="259" w:lineRule="auto"/>
        <w:ind w:hanging="360"/>
      </w:pPr>
      <w:r>
        <w:rPr>
          <w:i/>
        </w:rPr>
        <w:t xml:space="preserve">Streamline State and Federal funding to improve clarity and efficiency  </w:t>
      </w:r>
    </w:p>
    <w:p w14:paraId="7829F00A" w14:textId="77777777" w:rsidR="0039782D" w:rsidRDefault="00FA2745">
      <w:pPr>
        <w:spacing w:after="39" w:line="259" w:lineRule="auto"/>
        <w:ind w:left="720" w:firstLine="0"/>
      </w:pPr>
      <w:r>
        <w:rPr>
          <w:i/>
        </w:rPr>
        <w:t xml:space="preserve"> </w:t>
      </w:r>
    </w:p>
    <w:p w14:paraId="7BEA9887" w14:textId="77777777" w:rsidR="0039782D" w:rsidRDefault="00FA2745">
      <w:pPr>
        <w:numPr>
          <w:ilvl w:val="0"/>
          <w:numId w:val="1"/>
        </w:numPr>
        <w:spacing w:after="34" w:line="259" w:lineRule="auto"/>
        <w:ind w:hanging="360"/>
      </w:pPr>
      <w:r>
        <w:rPr>
          <w:i/>
        </w:rPr>
        <w:t xml:space="preserve">Governments should adopt flexible funding arrangements, supporting the selfdetermination of Aboriginal and Torres Strait Islander communities </w:t>
      </w:r>
    </w:p>
    <w:p w14:paraId="71EA7EA2" w14:textId="77777777" w:rsidR="0039782D" w:rsidRDefault="00FA2745">
      <w:pPr>
        <w:spacing w:after="39" w:line="259" w:lineRule="auto"/>
        <w:ind w:left="720" w:firstLine="0"/>
      </w:pPr>
      <w:r>
        <w:t xml:space="preserve"> </w:t>
      </w:r>
    </w:p>
    <w:p w14:paraId="4C08F5FA" w14:textId="77777777" w:rsidR="0039782D" w:rsidRDefault="00FA2745">
      <w:pPr>
        <w:numPr>
          <w:ilvl w:val="0"/>
          <w:numId w:val="1"/>
        </w:numPr>
        <w:spacing w:after="0" w:line="259" w:lineRule="auto"/>
        <w:ind w:hanging="360"/>
      </w:pPr>
      <w:r>
        <w:rPr>
          <w:i/>
        </w:rPr>
        <w:t xml:space="preserve">Sustainable long-term funding, with workforce and infrastructure prioritised </w:t>
      </w:r>
    </w:p>
    <w:p w14:paraId="0ED14BAB" w14:textId="77777777" w:rsidR="0039782D" w:rsidRDefault="00FA2745">
      <w:pPr>
        <w:spacing w:after="39" w:line="259" w:lineRule="auto"/>
        <w:ind w:left="720" w:firstLine="0"/>
      </w:pPr>
      <w:r>
        <w:t xml:space="preserve"> </w:t>
      </w:r>
    </w:p>
    <w:p w14:paraId="0E509C6A" w14:textId="77777777" w:rsidR="0039782D" w:rsidRDefault="00FA2745">
      <w:pPr>
        <w:numPr>
          <w:ilvl w:val="0"/>
          <w:numId w:val="1"/>
        </w:numPr>
        <w:spacing w:after="156" w:line="259" w:lineRule="auto"/>
        <w:ind w:hanging="360"/>
      </w:pPr>
      <w:r>
        <w:rPr>
          <w:i/>
        </w:rPr>
        <w:t>Protection of Indigenous Data Sovereignty and Evidence building.</w:t>
      </w:r>
      <w:r>
        <w:t xml:space="preserve"> </w:t>
      </w:r>
    </w:p>
    <w:p w14:paraId="458D5850" w14:textId="77777777" w:rsidR="0039782D" w:rsidRDefault="00FA2745">
      <w:pPr>
        <w:spacing w:after="313" w:line="259" w:lineRule="auto"/>
        <w:ind w:left="0" w:firstLine="0"/>
      </w:pPr>
      <w:r>
        <w:t xml:space="preserve"> </w:t>
      </w:r>
    </w:p>
    <w:p w14:paraId="5A81CBAE" w14:textId="77777777" w:rsidR="0039782D" w:rsidRDefault="00FA2745">
      <w:pPr>
        <w:pStyle w:val="Heading1"/>
        <w:ind w:left="-5"/>
      </w:pPr>
      <w:r>
        <w:t>Recommendations</w:t>
      </w:r>
      <w:r>
        <w:rPr>
          <w:b/>
        </w:rPr>
        <w:t xml:space="preserve"> </w:t>
      </w:r>
    </w:p>
    <w:p w14:paraId="406FAB27" w14:textId="77777777" w:rsidR="0039782D" w:rsidRDefault="00FA2745">
      <w:pPr>
        <w:spacing w:after="38" w:line="259" w:lineRule="auto"/>
        <w:ind w:left="0" w:firstLine="0"/>
      </w:pPr>
      <w:r>
        <w:t xml:space="preserve"> </w:t>
      </w:r>
    </w:p>
    <w:p w14:paraId="1705C1F3" w14:textId="77777777" w:rsidR="0039782D" w:rsidRDefault="00FA2745">
      <w:pPr>
        <w:spacing w:after="34" w:line="259" w:lineRule="auto"/>
        <w:ind w:left="-5"/>
      </w:pPr>
      <w:r>
        <w:rPr>
          <w:i/>
        </w:rPr>
        <w:t xml:space="preserve">Ensuring programs are aligned with Closing the Gap reforms and Safe and Supported commitments </w:t>
      </w:r>
    </w:p>
    <w:p w14:paraId="1151501D" w14:textId="77777777" w:rsidR="00FA2745" w:rsidRDefault="00FA2745">
      <w:pPr>
        <w:ind w:left="-5"/>
      </w:pPr>
      <w:r>
        <w:t>The new DSS approach to programs for families and children should articulate</w:t>
      </w:r>
      <w:r>
        <w:t xml:space="preserve"> </w:t>
      </w:r>
      <w:r>
        <w:t>alignment with the Closing the Gap priority reforms, sector strengthening plans (early childhood care and development; health) and Safe and Supported commitments,</w:t>
      </w:r>
      <w:r>
        <w:t xml:space="preserve"> </w:t>
      </w:r>
      <w:r>
        <w:t>as well as other policy levers such as Voice, Treaty and Truth telling in Victoria.</w:t>
      </w:r>
      <w:r>
        <w:t xml:space="preserve"> </w:t>
      </w:r>
      <w:r>
        <w:t>This requires strong partnership with Aboriginal communities, genuine consultation and co-design, and recognition of ACCOs as cultural authority service providers. Clearer articulation across government systems is required so that reform works together in alignmen</w:t>
      </w:r>
      <w:r>
        <w:t xml:space="preserve">t with existing frameworks and commitments and ensure that the new approach actively supports the empowerment of Aboriginal and Torres Strait Islander children and families. Without clear articulation and alignment with these central reforms and promises, the proposed program approach risks failing to improve health and wellbeing outcomes for Aboriginal children and families. </w:t>
      </w:r>
    </w:p>
    <w:p w14:paraId="487B75EF" w14:textId="77777777" w:rsidR="00FA2745" w:rsidRDefault="00FA2745">
      <w:pPr>
        <w:ind w:left="-5"/>
      </w:pPr>
    </w:p>
    <w:p w14:paraId="1009574B" w14:textId="77777777" w:rsidR="00FA2745" w:rsidRDefault="00FA2745">
      <w:pPr>
        <w:ind w:left="-5"/>
      </w:pPr>
    </w:p>
    <w:p w14:paraId="668F43EE" w14:textId="77777777" w:rsidR="00FA2745" w:rsidRDefault="00FA2745">
      <w:pPr>
        <w:ind w:left="-5"/>
      </w:pPr>
    </w:p>
    <w:p w14:paraId="52EE4564" w14:textId="51668F2B" w:rsidR="0039782D" w:rsidRDefault="00FA2745">
      <w:pPr>
        <w:ind w:left="-5"/>
      </w:pPr>
      <w:r>
        <w:t>The holistic and interconnectedness of Closing the Gap and other policies are articulated at a high level, however silod government funding undermines the ability to realise the overarching intent.</w:t>
      </w:r>
      <w:r>
        <w:t xml:space="preserve"> </w:t>
      </w:r>
    </w:p>
    <w:p w14:paraId="19E8FD6C" w14:textId="77777777" w:rsidR="0039782D" w:rsidRDefault="00FA2745">
      <w:pPr>
        <w:spacing w:after="37" w:line="259" w:lineRule="auto"/>
        <w:ind w:left="0" w:firstLine="0"/>
      </w:pPr>
      <w:r>
        <w:t xml:space="preserve"> </w:t>
      </w:r>
    </w:p>
    <w:p w14:paraId="1A4EE7E3" w14:textId="77777777" w:rsidR="0039782D" w:rsidRDefault="00FA2745">
      <w:pPr>
        <w:spacing w:after="316" w:line="259" w:lineRule="auto"/>
        <w:ind w:left="-5"/>
      </w:pPr>
      <w:r>
        <w:rPr>
          <w:i/>
        </w:rPr>
        <w:t xml:space="preserve">Streamline State and Federal funding to improve clarity and efficiency </w:t>
      </w:r>
      <w:r>
        <w:t xml:space="preserve"> </w:t>
      </w:r>
    </w:p>
    <w:p w14:paraId="6022A629" w14:textId="77777777" w:rsidR="0039782D" w:rsidRDefault="00FA2745">
      <w:pPr>
        <w:spacing w:after="2" w:line="296" w:lineRule="auto"/>
        <w:ind w:left="-5"/>
      </w:pPr>
      <w:r>
        <w:t xml:space="preserve">VACCHO supports the consolidation of five existing programs to address silos that often exist within systems funded by multiple streams and programs, however, notes the importance of fully integrating funding across all levels (commonwealth and jurisdiction, and across department portfolios e.g. health, family services and education). Without a coordinated, connected approach across all parts of Government (horizontal) and across </w:t>
      </w:r>
      <w:r>
        <w:t>levels (vertical), there is a lack of responsibility and accountability for Australia’s childr</w:t>
      </w:r>
      <w:r>
        <w:t xml:space="preserve">en. We are advocating for broader funding reform across all parts of the system </w:t>
      </w:r>
      <w:r>
        <w:t>–</w:t>
      </w:r>
      <w:r>
        <w:t xml:space="preserve"> both state and federal government and across all departments within. By only reforming funding models within DSS, there is potential to increase administrative burden, risks duplicating functions, unnecessary competition for resources and missed opportunities to work collaboratively to improve outcomes for Aboriginal children and fami</w:t>
      </w:r>
      <w:r>
        <w:t>lies.</w:t>
      </w:r>
      <w:r>
        <w:rPr>
          <w:rFonts w:ascii="Times New Roman" w:eastAsia="Times New Roman" w:hAnsi="Times New Roman" w:cs="Times New Roman"/>
          <w:sz w:val="24"/>
        </w:rPr>
        <w:t xml:space="preserve"> </w:t>
      </w:r>
    </w:p>
    <w:p w14:paraId="2C4D63AA" w14:textId="77777777" w:rsidR="0039782D" w:rsidRDefault="00FA2745">
      <w:pPr>
        <w:spacing w:after="0" w:line="259" w:lineRule="auto"/>
        <w:ind w:left="0" w:firstLine="0"/>
      </w:pPr>
      <w:r>
        <w:rPr>
          <w:rFonts w:ascii="Times New Roman" w:eastAsia="Times New Roman" w:hAnsi="Times New Roman" w:cs="Times New Roman"/>
          <w:sz w:val="24"/>
        </w:rPr>
        <w:t xml:space="preserve"> </w:t>
      </w:r>
    </w:p>
    <w:p w14:paraId="2FF53265" w14:textId="77777777" w:rsidR="0039782D" w:rsidRDefault="00FA2745">
      <w:pPr>
        <w:spacing w:after="281" w:line="296" w:lineRule="auto"/>
        <w:ind w:left="-5"/>
      </w:pPr>
      <w:r>
        <w:t>Federated governance creates an uncertain and confusing funding environment for ACCOs to operate in with uncertainty over which jurisdiction is responsible for which aspect of the service system, and the health sector more broadly. This adds complexity in data collection, burdensome reporting and acquittal processes that divert limited resources away from program development and service delivery and into funding compliance. This complex, multi-agency funding environment creates a service system in which ser</w:t>
      </w:r>
      <w:r>
        <w:t xml:space="preserve">vice delivery gaps persist as it is difficult to identify which agency will fund which component </w:t>
      </w:r>
      <w:r>
        <w:t>–</w:t>
      </w:r>
      <w:r>
        <w:t xml:space="preserve"> be it physical infrastructure, workforce positions, program funding and evaluation, and brokerage to keep Community well.   </w:t>
      </w:r>
    </w:p>
    <w:p w14:paraId="6C9B2B06" w14:textId="77777777" w:rsidR="0039782D" w:rsidRDefault="00FA2745">
      <w:pPr>
        <w:spacing w:after="311" w:line="259" w:lineRule="auto"/>
        <w:ind w:left="-5"/>
      </w:pPr>
      <w:r>
        <w:rPr>
          <w:i/>
        </w:rPr>
        <w:t>Governments should adopt flexible funding and reporting arrangements, supporting the self-determination of Aboriginal and Torres Strait Islander communities</w:t>
      </w:r>
      <w:r>
        <w:t xml:space="preserve"> </w:t>
      </w:r>
    </w:p>
    <w:p w14:paraId="17CE7952" w14:textId="77777777" w:rsidR="0039782D" w:rsidRDefault="00FA2745">
      <w:pPr>
        <w:spacing w:after="278" w:line="296" w:lineRule="auto"/>
        <w:ind w:left="-5"/>
      </w:pPr>
      <w:r>
        <w:t>We support the proposed shift to reporting against funding contracts within the new program model. The approach highlights capturing qualitative data and the stories within services - a critical aspect to reflecting the complexity, strengths, and cultural realities of Aboriginal and Torres Strait Islander communities. We know that a narrow focus on quantitative indicators risks disregarding story driven ways of demonstrating impact. These are essential to how Aboriginal and Torres Strait Islander communitie</w:t>
      </w:r>
      <w:r>
        <w:t xml:space="preserve">s understand progress and assess outcomes.  </w:t>
      </w:r>
    </w:p>
    <w:p w14:paraId="7787E78A" w14:textId="77777777" w:rsidR="00FA2745" w:rsidRDefault="00FA2745">
      <w:pPr>
        <w:spacing w:after="278" w:line="296" w:lineRule="auto"/>
        <w:ind w:left="-5"/>
      </w:pPr>
      <w:r>
        <w:t>However, f</w:t>
      </w:r>
      <w:r>
        <w:t>unding contracts are often too restrictive in their scope, hindering ACCOs’</w:t>
      </w:r>
      <w:r>
        <w:t xml:space="preserve"> ability to develop programs that are self-determined, place-based and align with Aboriginal ways of knowing, being and doing. In theory, the Victorian and commonwealth governments have supported the Victorian ACCO Model - a holistic, community-controlled approach to health and wellbeing for the Victorian Aboriginal community, focused on culturally safe services and self-determination</w:t>
      </w:r>
      <w:r>
        <w:rPr>
          <w:vertAlign w:val="superscript"/>
        </w:rPr>
        <w:footnoteReference w:id="1"/>
      </w:r>
      <w:r>
        <w:t xml:space="preserve">. However, the proposed reform should determine and incorporate more flexible and untied arrangements, where funding enables ACCOs to respond to Community priorities and needs, and provide holistic support without being constrained by prescriptive or burdensome acquittal or reporting requirements. This flexibility is essential in the proposed reform to ensure systems </w:t>
      </w:r>
    </w:p>
    <w:p w14:paraId="7B05310B" w14:textId="77777777" w:rsidR="00FA2745" w:rsidRDefault="00FA2745">
      <w:pPr>
        <w:spacing w:after="278" w:line="296" w:lineRule="auto"/>
        <w:ind w:left="-5"/>
      </w:pPr>
    </w:p>
    <w:p w14:paraId="6711073E" w14:textId="03BB56AE" w:rsidR="0039782D" w:rsidRDefault="00FA2745">
      <w:pPr>
        <w:spacing w:after="278" w:line="296" w:lineRule="auto"/>
        <w:ind w:left="-5"/>
      </w:pPr>
      <w:r>
        <w:t>support and enable self-</w:t>
      </w:r>
      <w:r>
        <w:t xml:space="preserve">determination and Community-led service design. Without flexibility ACCOs face challenges in adapting to and supporting the variable needs of their Communities.    </w:t>
      </w:r>
    </w:p>
    <w:p w14:paraId="134FC82B" w14:textId="77777777" w:rsidR="0039782D" w:rsidRDefault="00FA2745">
      <w:pPr>
        <w:spacing w:after="281" w:line="296" w:lineRule="auto"/>
        <w:ind w:left="-5"/>
      </w:pPr>
      <w:r>
        <w:t xml:space="preserve">Flexibility is required for measuring localised success and evidence building. Focusing only on the broader picture can overlook the impacts that are being made on the ground. Despite bottom-up approaches demonstrating success and positively impacting families and Communities, there are limitations and disconnect from scaling programs to national agendas.  </w:t>
      </w:r>
    </w:p>
    <w:p w14:paraId="76BEC9A6" w14:textId="77777777" w:rsidR="0039782D" w:rsidRDefault="00FA2745">
      <w:pPr>
        <w:spacing w:after="37" w:line="259" w:lineRule="auto"/>
        <w:ind w:left="-5"/>
      </w:pPr>
      <w:r>
        <w:rPr>
          <w:i/>
        </w:rPr>
        <w:t>Sustainable long-</w:t>
      </w:r>
      <w:r>
        <w:rPr>
          <w:i/>
        </w:rPr>
        <w:t>term funding, with workforce and infrastructure prioritised</w:t>
      </w:r>
      <w:r>
        <w:t xml:space="preserve">  </w:t>
      </w:r>
    </w:p>
    <w:p w14:paraId="104ACFB5" w14:textId="77777777" w:rsidR="0039782D" w:rsidRDefault="00FA2745">
      <w:pPr>
        <w:spacing w:after="37" w:line="259" w:lineRule="auto"/>
        <w:ind w:left="0" w:firstLine="0"/>
      </w:pPr>
      <w:r>
        <w:t xml:space="preserve"> </w:t>
      </w:r>
    </w:p>
    <w:p w14:paraId="210F0389" w14:textId="77777777" w:rsidR="0039782D" w:rsidRDefault="00FA2745">
      <w:pPr>
        <w:spacing w:after="2" w:line="296" w:lineRule="auto"/>
        <w:ind w:left="-5"/>
      </w:pPr>
      <w:r>
        <w:t xml:space="preserve">Persistent short-term funding cycles aligning with the priorities of the government or </w:t>
      </w:r>
      <w:r>
        <w:t xml:space="preserve">relevant minister’s agenda </w:t>
      </w:r>
      <w:r>
        <w:t xml:space="preserve">impact on </w:t>
      </w:r>
      <w:r>
        <w:t xml:space="preserve">ACCO’s ability to provide high quality, consistent </w:t>
      </w:r>
      <w:r>
        <w:t xml:space="preserve">services for Aboriginal children and families in Victoria. Funding models are not designed to ensure program sustainability, and arguably organisational sustainability. Frequently ACCOs are provided with 12- or 24-month funding cycles which often focuses on outputs </w:t>
      </w:r>
      <w:r>
        <w:t>rather than outcomes. This progression of “short</w:t>
      </w:r>
      <w:r>
        <w:t xml:space="preserve">-term funding prevents providers from building capacity, developing trust with Communities, and designing and </w:t>
      </w:r>
      <w:r>
        <w:t xml:space="preserve">delivering </w:t>
      </w:r>
      <w:r>
        <w:t>culturally appropriate programs” that impart long</w:t>
      </w:r>
      <w:r>
        <w:t xml:space="preserve">-term positive change in the </w:t>
      </w:r>
    </w:p>
    <w:p w14:paraId="58075BC3" w14:textId="77777777" w:rsidR="0039782D" w:rsidRDefault="00FA2745">
      <w:pPr>
        <w:spacing w:after="2" w:line="296" w:lineRule="auto"/>
        <w:ind w:left="-5"/>
      </w:pPr>
      <w:r>
        <w:t>Community</w:t>
      </w:r>
      <w:r>
        <w:rPr>
          <w:vertAlign w:val="superscript"/>
        </w:rPr>
        <w:footnoteReference w:id="2"/>
      </w:r>
      <w:r>
        <w:t xml:space="preserve">. It is essential that long-term, sustainable funding is embedded within the new program approach to ensure ACCOs are properly resourced to deliver culturally safe services and drive meaningful, lasting improvements for Aboriginal and Torres Strait Islander children and families. </w:t>
      </w:r>
    </w:p>
    <w:p w14:paraId="2D581C23" w14:textId="77777777" w:rsidR="0039782D" w:rsidRDefault="00FA2745">
      <w:pPr>
        <w:spacing w:after="37" w:line="259" w:lineRule="auto"/>
        <w:ind w:left="0" w:firstLine="0"/>
      </w:pPr>
      <w:r>
        <w:t xml:space="preserve"> </w:t>
      </w:r>
    </w:p>
    <w:p w14:paraId="283C2B74" w14:textId="77777777" w:rsidR="0039782D" w:rsidRDefault="00FA2745">
      <w:pPr>
        <w:spacing w:after="166" w:line="296" w:lineRule="auto"/>
        <w:ind w:left="-5"/>
      </w:pPr>
      <w:r>
        <w:t>T</w:t>
      </w:r>
      <w:r>
        <w:t>he “volume of small, short</w:t>
      </w:r>
      <w:r>
        <w:t xml:space="preserve">-term grants places organisations in a perpetual cycle of applying for, and reporting against grants that have often been provided for very specific purposes with limited, or no allowance made to cover the accompanying administrative </w:t>
      </w:r>
      <w:r>
        <w:t>requirements”</w:t>
      </w:r>
      <w:r>
        <w:rPr>
          <w:vertAlign w:val="superscript"/>
        </w:rPr>
        <w:footnoteReference w:id="3"/>
      </w:r>
      <w:r>
        <w:t xml:space="preserve">.  Short-term funding grants places a high administrative burden on ACCOs, </w:t>
      </w:r>
    </w:p>
    <w:p w14:paraId="275BD895" w14:textId="77777777" w:rsidR="0039782D" w:rsidRDefault="00FA2745">
      <w:pPr>
        <w:spacing w:after="0" w:line="259" w:lineRule="auto"/>
        <w:ind w:left="0" w:firstLine="0"/>
      </w:pPr>
      <w:r>
        <w:rPr>
          <w:noProof/>
          <w:sz w:val="22"/>
        </w:rPr>
        <mc:AlternateContent>
          <mc:Choice Requires="wpg">
            <w:drawing>
              <wp:inline distT="0" distB="0" distL="0" distR="0" wp14:anchorId="686BFC73" wp14:editId="11C0A7C3">
                <wp:extent cx="1829054" cy="6096"/>
                <wp:effectExtent l="0" t="0" r="0" b="0"/>
                <wp:docPr id="6477" name="Group 6477"/>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7325" name="Shape 732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77" style="width:144.02pt;height:0.47998pt;mso-position-horizontal-relative:char;mso-position-vertical-relative:line" coordsize="18290,60">
                <v:shape id="Shape 732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990A4FF" w14:textId="77777777" w:rsidR="0039782D" w:rsidRDefault="00FA2745">
      <w:pPr>
        <w:spacing w:after="2" w:line="296" w:lineRule="auto"/>
        <w:ind w:left="-5"/>
      </w:pPr>
      <w:r>
        <w:t xml:space="preserve">while placing undue pressure and uncertainty on the workforce. This often results in unnecessary staff turnover in pursuit of employment stability, resulting in workforce shortages that impact severely upon </w:t>
      </w:r>
      <w:r>
        <w:t xml:space="preserve">service wait lists, continuity of care and a program’s </w:t>
      </w:r>
      <w:r>
        <w:t xml:space="preserve">ability to run. These challenges are intensified in regional and rural areas, where the availability of the workforce is already stretched. The Department of Social Services should be acutely aware of the mechanisms and impacts of the suggested grant process and how it may impact ACCOs across states and territories. </w:t>
      </w:r>
    </w:p>
    <w:p w14:paraId="0D168E73" w14:textId="77777777" w:rsidR="0039782D" w:rsidRDefault="00FA2745">
      <w:pPr>
        <w:spacing w:after="37" w:line="259" w:lineRule="auto"/>
        <w:ind w:left="0" w:firstLine="0"/>
      </w:pPr>
      <w:r>
        <w:rPr>
          <w:i/>
        </w:rPr>
        <w:t xml:space="preserve"> </w:t>
      </w:r>
    </w:p>
    <w:p w14:paraId="35639404" w14:textId="77777777" w:rsidR="0039782D" w:rsidRDefault="00FA2745">
      <w:pPr>
        <w:spacing w:after="34" w:line="259" w:lineRule="auto"/>
        <w:ind w:left="-5"/>
      </w:pPr>
      <w:r>
        <w:rPr>
          <w:i/>
        </w:rPr>
        <w:t>Protecting and embedding Indigenous Data Sovereignty and evidence building</w:t>
      </w:r>
      <w:r>
        <w:t xml:space="preserve"> </w:t>
      </w:r>
    </w:p>
    <w:p w14:paraId="1ECB75E8" w14:textId="77777777" w:rsidR="00FA2745" w:rsidRDefault="00FA2745">
      <w:pPr>
        <w:spacing w:after="157"/>
        <w:ind w:left="-5"/>
      </w:pPr>
      <w:r>
        <w:t xml:space="preserve">We emphasise that this program reform must embed a commitment to building the Aboriginal evidence base of what works best for Aboriginal families. Too often ACCOs are restricted in program development and response by the lack of data available, which restricts an ACCO’s ability to respond to Community needs. Targeted investment is required in resourcing ACCOs to build partnerships with research institutes and building </w:t>
      </w:r>
    </w:p>
    <w:p w14:paraId="3834597D" w14:textId="77777777" w:rsidR="00FA2745" w:rsidRDefault="00FA2745">
      <w:pPr>
        <w:spacing w:after="157"/>
        <w:ind w:left="-5"/>
      </w:pPr>
    </w:p>
    <w:p w14:paraId="54A75D79" w14:textId="77777777" w:rsidR="00FA2745" w:rsidRDefault="00FA2745">
      <w:pPr>
        <w:spacing w:after="157"/>
        <w:ind w:left="-5"/>
      </w:pPr>
    </w:p>
    <w:p w14:paraId="483226CF" w14:textId="4B59F20B" w:rsidR="0039782D" w:rsidRDefault="00FA2745">
      <w:pPr>
        <w:spacing w:after="157"/>
        <w:ind w:left="-5"/>
      </w:pPr>
      <w:r>
        <w:t xml:space="preserve">their capacity to carry out research and evaluation, including longitudinal studies into family wellbeing, to build the Aboriginal evidence base and demonstrate the strength of Aboriginal-led responses and outcomes. </w:t>
      </w:r>
      <w:r>
        <w:t xml:space="preserve"> </w:t>
      </w:r>
    </w:p>
    <w:p w14:paraId="4707A65F" w14:textId="77777777" w:rsidR="0039782D" w:rsidRDefault="00FA2745">
      <w:pPr>
        <w:ind w:left="-5"/>
      </w:pPr>
      <w:r>
        <w:t>Aligned with National Closing the Gap Priorities, the Australian Government must improve access for ACCOs and the Aboriginal community to the data that is about them. Building an Aboriginal evidence base, in line with the principles of Indigenous Data Sovereignty, forms an integral part of achieving Aboriginal self-determination. However, with current under-investment in research and evaluation, ACCOs remain limited in their ability to progress this work. The proposed funding reform must therefore include d</w:t>
      </w:r>
      <w:r>
        <w:t xml:space="preserve">edicated and sustained resourcing that empowers ACCOs to lead evidence building as a central driver for improved outcomes for Aboriginal children and families. </w:t>
      </w:r>
      <w:r>
        <w:t xml:space="preserve"> </w:t>
      </w:r>
    </w:p>
    <w:p w14:paraId="0B8655D1" w14:textId="77777777" w:rsidR="0039782D" w:rsidRDefault="00FA2745">
      <w:pPr>
        <w:spacing w:after="33" w:line="259" w:lineRule="auto"/>
        <w:ind w:left="0" w:firstLine="0"/>
      </w:pPr>
      <w:r>
        <w:t xml:space="preserve"> </w:t>
      </w:r>
    </w:p>
    <w:p w14:paraId="3B96FB75" w14:textId="77777777" w:rsidR="0039782D" w:rsidRDefault="00FA2745">
      <w:pPr>
        <w:ind w:left="-5"/>
      </w:pPr>
      <w:r>
        <w:t>The Centre of Excellence for Aboriginal Digital in Health</w:t>
      </w:r>
      <w:r>
        <w:rPr>
          <w:vertAlign w:val="superscript"/>
        </w:rPr>
        <w:footnoteReference w:id="4"/>
      </w:r>
      <w:r>
        <w:t xml:space="preserve"> </w:t>
      </w:r>
      <w:r>
        <w:t xml:space="preserve">(CEADH) is dedicated to ensuring digital health technologies are culturally informed, meet consistent quality standards, and primarily benefit Aboriginal and Torres Strait Islander peoples. Under the auspices of VACCHO in consultation with Aboriginal and Torres Strait Islander peak bodies nationwide, CEADH champions Aboriginal-led recommendations for digital in health technologies, respecting the diversity of 250+ languages, Nations, clans, and communities across Australia. </w:t>
      </w:r>
      <w:r>
        <w:t xml:space="preserve"> </w:t>
      </w:r>
    </w:p>
    <w:p w14:paraId="2A398AC0" w14:textId="77777777" w:rsidR="0039782D" w:rsidRDefault="00FA2745">
      <w:pPr>
        <w:spacing w:after="37" w:line="259" w:lineRule="auto"/>
        <w:ind w:left="0" w:firstLine="0"/>
      </w:pPr>
      <w:r>
        <w:t xml:space="preserve"> </w:t>
      </w:r>
    </w:p>
    <w:p w14:paraId="7C8CBA05" w14:textId="77777777" w:rsidR="0039782D" w:rsidRDefault="00FA2745">
      <w:pPr>
        <w:ind w:left="-5"/>
      </w:pPr>
      <w:r>
        <w:t>CEADH aims to transform health service delivery for Aboriginal and Torres Strait Islander communities by advocating and developing culturally informed digital health solutions.</w:t>
      </w:r>
      <w:r>
        <w:rPr>
          <w:rFonts w:ascii="Segoe UI" w:eastAsia="Segoe UI" w:hAnsi="Segoe UI" w:cs="Segoe UI"/>
          <w:sz w:val="18"/>
        </w:rPr>
        <w:t xml:space="preserve"> </w:t>
      </w:r>
      <w:r>
        <w:t xml:space="preserve">Recognising the unique cultural, linguistic, and regional diversity of Aboriginal and Torres Strait Islander peoples, CEADH pursues a flexible, decentralised approach to technology integration in health care, ensuring that solutions are locally adaptable yet centrally informed. </w:t>
      </w:r>
      <w:r>
        <w:t xml:space="preserve"> </w:t>
      </w:r>
    </w:p>
    <w:p w14:paraId="3DC93C97" w14:textId="77777777" w:rsidR="0039782D" w:rsidRDefault="00FA2745">
      <w:pPr>
        <w:spacing w:after="215" w:line="259" w:lineRule="auto"/>
        <w:ind w:left="0" w:firstLine="0"/>
      </w:pPr>
      <w:r>
        <w:rPr>
          <w:color w:val="BA8D97"/>
        </w:rPr>
        <w:t xml:space="preserve"> </w:t>
      </w:r>
    </w:p>
    <w:p w14:paraId="6C26408C" w14:textId="77777777" w:rsidR="0039782D" w:rsidRDefault="00FA2745">
      <w:pPr>
        <w:spacing w:after="0" w:line="259" w:lineRule="auto"/>
        <w:ind w:left="0" w:firstLine="0"/>
      </w:pPr>
      <w:r>
        <w:rPr>
          <w:noProof/>
          <w:sz w:val="22"/>
        </w:rPr>
        <mc:AlternateContent>
          <mc:Choice Requires="wpg">
            <w:drawing>
              <wp:inline distT="0" distB="0" distL="0" distR="0" wp14:anchorId="26F0B178" wp14:editId="7AD502F6">
                <wp:extent cx="1829054" cy="6096"/>
                <wp:effectExtent l="0" t="0" r="0" b="0"/>
                <wp:docPr id="6535" name="Group 6535"/>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7327" name="Shape 732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35" style="width:144.02pt;height:0.47998pt;mso-position-horizontal-relative:char;mso-position-vertical-relative:line" coordsize="18290,60">
                <v:shape id="Shape 732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sectPr w:rsidR="0039782D">
      <w:headerReference w:type="even" r:id="rId12"/>
      <w:headerReference w:type="default" r:id="rId13"/>
      <w:footerReference w:type="even" r:id="rId14"/>
      <w:footerReference w:type="default" r:id="rId15"/>
      <w:headerReference w:type="first" r:id="rId16"/>
      <w:footerReference w:type="first" r:id="rId17"/>
      <w:pgSz w:w="11906" w:h="16838"/>
      <w:pgMar w:top="729" w:right="1444" w:bottom="1437"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1E2D2" w14:textId="77777777" w:rsidR="00FA2745" w:rsidRDefault="00FA2745">
      <w:pPr>
        <w:spacing w:after="0" w:line="240" w:lineRule="auto"/>
      </w:pPr>
      <w:r>
        <w:separator/>
      </w:r>
    </w:p>
  </w:endnote>
  <w:endnote w:type="continuationSeparator" w:id="0">
    <w:p w14:paraId="6DC6E1A7" w14:textId="77777777" w:rsidR="00FA2745" w:rsidRDefault="00FA2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40845" w14:textId="77777777" w:rsidR="0039782D" w:rsidRDefault="00FA2745">
    <w:pPr>
      <w:tabs>
        <w:tab w:val="right" w:pos="9022"/>
      </w:tabs>
      <w:spacing w:after="0" w:line="259" w:lineRule="auto"/>
      <w:ind w:left="0" w:right="-5" w:firstLine="0"/>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C201" w14:textId="77777777" w:rsidR="0039782D" w:rsidRDefault="00FA2745">
    <w:pPr>
      <w:tabs>
        <w:tab w:val="right" w:pos="9022"/>
      </w:tabs>
      <w:spacing w:after="0" w:line="259" w:lineRule="auto"/>
      <w:ind w:left="0" w:right="-5" w:firstLine="0"/>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8E14B" w14:textId="77777777" w:rsidR="0039782D" w:rsidRDefault="0039782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3CF1A" w14:textId="77777777" w:rsidR="0039782D" w:rsidRDefault="00FA2745">
      <w:pPr>
        <w:spacing w:after="0" w:line="255" w:lineRule="auto"/>
        <w:ind w:left="0" w:firstLine="0"/>
      </w:pPr>
      <w:r>
        <w:separator/>
      </w:r>
    </w:p>
  </w:footnote>
  <w:footnote w:type="continuationSeparator" w:id="0">
    <w:p w14:paraId="133B9120" w14:textId="77777777" w:rsidR="0039782D" w:rsidRDefault="00FA2745">
      <w:pPr>
        <w:spacing w:after="0" w:line="255" w:lineRule="auto"/>
        <w:ind w:left="0" w:firstLine="0"/>
      </w:pPr>
      <w:r>
        <w:continuationSeparator/>
      </w:r>
    </w:p>
  </w:footnote>
  <w:footnote w:id="1">
    <w:p w14:paraId="29AC2569" w14:textId="77777777" w:rsidR="0039782D" w:rsidRDefault="00FA2745">
      <w:pPr>
        <w:pStyle w:val="footnotedescription"/>
        <w:spacing w:line="255" w:lineRule="auto"/>
      </w:pPr>
      <w:r>
        <w:rPr>
          <w:rStyle w:val="footnotemark"/>
        </w:rPr>
        <w:footnoteRef/>
      </w:r>
      <w:r>
        <w:t xml:space="preserve"> VACCHO (2024). </w:t>
      </w:r>
      <w:r>
        <w:rPr>
          <w:i/>
        </w:rPr>
        <w:t>The Victorian ACCO Model - VACCHO</w:t>
      </w:r>
      <w:r>
        <w:t xml:space="preserve">. [online] VACCHO. Available at: https://www.vaccho.org.au/vicaccomodel/. </w:t>
      </w:r>
    </w:p>
  </w:footnote>
  <w:footnote w:id="2">
    <w:p w14:paraId="4C240483" w14:textId="77777777" w:rsidR="0039782D" w:rsidRDefault="00FA2745">
      <w:pPr>
        <w:pStyle w:val="footnotedescription"/>
        <w:jc w:val="both"/>
      </w:pPr>
      <w:r>
        <w:rPr>
          <w:rStyle w:val="footnotemark"/>
        </w:rPr>
        <w:footnoteRef/>
      </w:r>
      <w:r>
        <w:t xml:space="preserve"> Secretariat of National Aboriginal and Islander Child Care (2024), </w:t>
      </w:r>
      <w:r>
        <w:rPr>
          <w:i/>
        </w:rPr>
        <w:t>Stronger ACCOs, Stronger Families</w:t>
      </w:r>
      <w:r>
        <w:t xml:space="preserve">. SNAICC. </w:t>
      </w:r>
    </w:p>
    <w:p w14:paraId="1CCDE77D" w14:textId="77777777" w:rsidR="0039782D" w:rsidRDefault="00FA2745">
      <w:pPr>
        <w:pStyle w:val="footnotedescription"/>
        <w:spacing w:line="259" w:lineRule="auto"/>
      </w:pPr>
      <w:r>
        <w:t xml:space="preserve"> </w:t>
      </w:r>
    </w:p>
  </w:footnote>
  <w:footnote w:id="3">
    <w:p w14:paraId="22366E58" w14:textId="77777777" w:rsidR="0039782D" w:rsidRDefault="00FA2745">
      <w:pPr>
        <w:pStyle w:val="footnotedescription"/>
        <w:spacing w:line="250" w:lineRule="auto"/>
      </w:pPr>
      <w:r>
        <w:rPr>
          <w:rStyle w:val="footnotemark"/>
        </w:rPr>
        <w:footnoteRef/>
      </w:r>
      <w:r>
        <w:t xml:space="preserve"> Moran, M., Porter, D. and Curth-</w:t>
      </w:r>
      <w:r>
        <w:t xml:space="preserve">Bibb, J. (2016). The Impact of Funding Modalities on the Performance of Indigenous Organisations. </w:t>
      </w:r>
      <w:r>
        <w:rPr>
          <w:i/>
        </w:rPr>
        <w:t>Australian Journal of Public Administration</w:t>
      </w:r>
      <w:r>
        <w:t>, 75(3), p.359</w:t>
      </w:r>
      <w:r>
        <w:t>–</w:t>
      </w:r>
      <w:r>
        <w:t xml:space="preserve">372. doi:10.1111/1467-8500.12192. </w:t>
      </w:r>
    </w:p>
    <w:p w14:paraId="1D33E7D5" w14:textId="77777777" w:rsidR="0039782D" w:rsidRDefault="00FA2745">
      <w:pPr>
        <w:pStyle w:val="footnotedescription"/>
        <w:spacing w:line="259" w:lineRule="auto"/>
      </w:pPr>
      <w:r>
        <w:t xml:space="preserve"> </w:t>
      </w:r>
    </w:p>
    <w:p w14:paraId="6B51A341" w14:textId="77777777" w:rsidR="0039782D" w:rsidRDefault="00FA2745">
      <w:pPr>
        <w:pStyle w:val="footnotedescription"/>
        <w:spacing w:line="259" w:lineRule="auto"/>
      </w:pPr>
      <w:r>
        <w:t xml:space="preserve"> </w:t>
      </w:r>
    </w:p>
  </w:footnote>
  <w:footnote w:id="4">
    <w:p w14:paraId="35F0DC64" w14:textId="77777777" w:rsidR="0039782D" w:rsidRDefault="00FA2745">
      <w:pPr>
        <w:pStyle w:val="footnotedescription"/>
      </w:pPr>
      <w:r>
        <w:rPr>
          <w:rStyle w:val="footnotemark"/>
        </w:rPr>
        <w:footnoteRef/>
      </w:r>
      <w:r>
        <w:t xml:space="preserve"> VACCHO - Victorian Aboriginal Community Controlled Health Organisation Inc. (2024). </w:t>
      </w:r>
      <w:r>
        <w:rPr>
          <w:i/>
        </w:rPr>
        <w:t>Centre of Excellence for Aboriginal Digital in Health CEADH - VACCHO</w:t>
      </w:r>
      <w:r>
        <w:t xml:space="preserve">. [online] Available at: </w:t>
      </w:r>
    </w:p>
    <w:p w14:paraId="7443B1D4" w14:textId="77777777" w:rsidR="0039782D" w:rsidRDefault="00FA2745">
      <w:pPr>
        <w:pStyle w:val="footnotedescription"/>
        <w:spacing w:line="259" w:lineRule="auto"/>
      </w:pPr>
      <w:r>
        <w:t xml:space="preserve">https://www.vaccho.org.au/centre-of-excellence-for-aboriginal-digital-in-health-ceadh/.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CF5E" w14:textId="77777777" w:rsidR="0039782D" w:rsidRDefault="00FA2745">
    <w:r>
      <w:rPr>
        <w:noProof/>
        <w:sz w:val="22"/>
      </w:rPr>
      <mc:AlternateContent>
        <mc:Choice Requires="wpg">
          <w:drawing>
            <wp:anchor distT="0" distB="0" distL="114300" distR="114300" simplePos="0" relativeHeight="251658240" behindDoc="1" locked="0" layoutInCell="1" allowOverlap="1" wp14:anchorId="07B51A22" wp14:editId="49B8374F">
              <wp:simplePos x="0" y="0"/>
              <wp:positionH relativeFrom="page">
                <wp:posOffset>0</wp:posOffset>
              </wp:positionH>
              <wp:positionV relativeFrom="page">
                <wp:posOffset>671</wp:posOffset>
              </wp:positionV>
              <wp:extent cx="7555865" cy="10691710"/>
              <wp:effectExtent l="0" t="0" r="0" b="0"/>
              <wp:wrapNone/>
              <wp:docPr id="7081" name="Group 7081"/>
              <wp:cNvGraphicFramePr/>
              <a:graphic xmlns:a="http://schemas.openxmlformats.org/drawingml/2006/main">
                <a:graphicData uri="http://schemas.microsoft.com/office/word/2010/wordprocessingGroup">
                  <wpg:wgp>
                    <wpg:cNvGrpSpPr/>
                    <wpg:grpSpPr>
                      <a:xfrm>
                        <a:off x="0" y="0"/>
                        <a:ext cx="7555865" cy="10691710"/>
                        <a:chOff x="0" y="0"/>
                        <a:chExt cx="7555865" cy="10691710"/>
                      </a:xfrm>
                    </wpg:grpSpPr>
                    <pic:pic xmlns:pic="http://schemas.openxmlformats.org/drawingml/2006/picture">
                      <pic:nvPicPr>
                        <pic:cNvPr id="7082" name="Picture 7082"/>
                        <pic:cNvPicPr/>
                      </pic:nvPicPr>
                      <pic:blipFill>
                        <a:blip r:embed="rId1"/>
                        <a:stretch>
                          <a:fillRect/>
                        </a:stretch>
                      </pic:blipFill>
                      <pic:spPr>
                        <a:xfrm>
                          <a:off x="0" y="-670"/>
                          <a:ext cx="7543800" cy="10664952"/>
                        </a:xfrm>
                        <a:prstGeom prst="rect">
                          <a:avLst/>
                        </a:prstGeom>
                      </pic:spPr>
                    </pic:pic>
                  </wpg:wgp>
                </a:graphicData>
              </a:graphic>
            </wp:anchor>
          </w:drawing>
        </mc:Choice>
        <mc:Fallback xmlns:a="http://schemas.openxmlformats.org/drawingml/2006/main">
          <w:pict>
            <v:group id="Group 7081" style="width:594.95pt;height:841.867pt;position:absolute;z-index:-2147483648;mso-position-horizontal-relative:page;mso-position-horizontal:absolute;margin-left:8.9407e-06pt;mso-position-vertical-relative:page;margin-top:0.0528564pt;" coordsize="75558,106917">
              <v:shape id="Picture 7082" style="position:absolute;width:75438;height:106649;left:0;top:-6;" filled="f">
                <v:imagedata r:id="rId1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46EBD" w14:textId="77777777" w:rsidR="0039782D" w:rsidRDefault="00FA2745">
    <w:r>
      <w:rPr>
        <w:noProof/>
        <w:sz w:val="22"/>
      </w:rPr>
      <mc:AlternateContent>
        <mc:Choice Requires="wpg">
          <w:drawing>
            <wp:anchor distT="0" distB="0" distL="114300" distR="114300" simplePos="0" relativeHeight="251659264" behindDoc="1" locked="0" layoutInCell="1" allowOverlap="1" wp14:anchorId="3B2EAAF0" wp14:editId="08609FD8">
              <wp:simplePos x="0" y="0"/>
              <wp:positionH relativeFrom="page">
                <wp:posOffset>0</wp:posOffset>
              </wp:positionH>
              <wp:positionV relativeFrom="page">
                <wp:posOffset>671</wp:posOffset>
              </wp:positionV>
              <wp:extent cx="7555865" cy="10691710"/>
              <wp:effectExtent l="0" t="0" r="0" b="0"/>
              <wp:wrapNone/>
              <wp:docPr id="7069" name="Group 7069"/>
              <wp:cNvGraphicFramePr/>
              <a:graphic xmlns:a="http://schemas.openxmlformats.org/drawingml/2006/main">
                <a:graphicData uri="http://schemas.microsoft.com/office/word/2010/wordprocessingGroup">
                  <wpg:wgp>
                    <wpg:cNvGrpSpPr/>
                    <wpg:grpSpPr>
                      <a:xfrm>
                        <a:off x="0" y="0"/>
                        <a:ext cx="7555865" cy="10691710"/>
                        <a:chOff x="0" y="0"/>
                        <a:chExt cx="7555865" cy="10691710"/>
                      </a:xfrm>
                    </wpg:grpSpPr>
                    <pic:pic xmlns:pic="http://schemas.openxmlformats.org/drawingml/2006/picture">
                      <pic:nvPicPr>
                        <pic:cNvPr id="7070" name="Picture 7070"/>
                        <pic:cNvPicPr/>
                      </pic:nvPicPr>
                      <pic:blipFill>
                        <a:blip r:embed="rId1"/>
                        <a:stretch>
                          <a:fillRect/>
                        </a:stretch>
                      </pic:blipFill>
                      <pic:spPr>
                        <a:xfrm>
                          <a:off x="0" y="-670"/>
                          <a:ext cx="7543800" cy="10664952"/>
                        </a:xfrm>
                        <a:prstGeom prst="rect">
                          <a:avLst/>
                        </a:prstGeom>
                      </pic:spPr>
                    </pic:pic>
                  </wpg:wgp>
                </a:graphicData>
              </a:graphic>
            </wp:anchor>
          </w:drawing>
        </mc:Choice>
        <mc:Fallback xmlns:a="http://schemas.openxmlformats.org/drawingml/2006/main">
          <w:pict>
            <v:group id="Group 7069" style="width:594.95pt;height:841.867pt;position:absolute;z-index:-2147483648;mso-position-horizontal-relative:page;mso-position-horizontal:absolute;margin-left:8.9407e-06pt;mso-position-vertical-relative:page;margin-top:0.0528564pt;" coordsize="75558,106917">
              <v:shape id="Picture 7070" style="position:absolute;width:75438;height:106649;left:0;top:-6;" filled="f">
                <v:imagedata r:id="rId1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C68B5" w14:textId="77777777" w:rsidR="0039782D" w:rsidRDefault="00FA2745">
    <w:r>
      <w:rPr>
        <w:noProof/>
        <w:sz w:val="22"/>
      </w:rPr>
      <mc:AlternateContent>
        <mc:Choice Requires="wpg">
          <w:drawing>
            <wp:anchor distT="0" distB="0" distL="114300" distR="114300" simplePos="0" relativeHeight="251660288" behindDoc="1" locked="0" layoutInCell="1" allowOverlap="1" wp14:anchorId="7DE0CF19" wp14:editId="3475E3AD">
              <wp:simplePos x="0" y="0"/>
              <wp:positionH relativeFrom="page">
                <wp:posOffset>0</wp:posOffset>
              </wp:positionH>
              <wp:positionV relativeFrom="page">
                <wp:posOffset>0</wp:posOffset>
              </wp:positionV>
              <wp:extent cx="1" cy="1"/>
              <wp:effectExtent l="0" t="0" r="0" b="0"/>
              <wp:wrapNone/>
              <wp:docPr id="7066" name="Group 706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06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3680B"/>
    <w:multiLevelType w:val="hybridMultilevel"/>
    <w:tmpl w:val="E47E5512"/>
    <w:lvl w:ilvl="0" w:tplc="F852E75E">
      <w:start w:val="1"/>
      <w:numFmt w:val="decimal"/>
      <w:lvlText w:val="%1."/>
      <w:lvlJc w:val="left"/>
      <w:pPr>
        <w:ind w:left="720"/>
      </w:pPr>
      <w:rPr>
        <w:rFonts w:ascii="Segoe UI" w:eastAsia="Segoe UI" w:hAnsi="Segoe UI" w:cs="Segoe UI"/>
        <w:b/>
        <w:bCs/>
        <w:i/>
        <w:iCs/>
        <w:strike w:val="0"/>
        <w:dstrike w:val="0"/>
        <w:color w:val="242424"/>
        <w:sz w:val="21"/>
        <w:szCs w:val="21"/>
        <w:u w:val="none" w:color="000000"/>
        <w:bdr w:val="none" w:sz="0" w:space="0" w:color="auto"/>
        <w:shd w:val="clear" w:color="auto" w:fill="auto"/>
        <w:vertAlign w:val="baseline"/>
      </w:rPr>
    </w:lvl>
    <w:lvl w:ilvl="1" w:tplc="AA8A2090">
      <w:start w:val="1"/>
      <w:numFmt w:val="lowerLetter"/>
      <w:lvlText w:val="%2"/>
      <w:lvlJc w:val="left"/>
      <w:pPr>
        <w:ind w:left="1440"/>
      </w:pPr>
      <w:rPr>
        <w:rFonts w:ascii="Segoe UI" w:eastAsia="Segoe UI" w:hAnsi="Segoe UI" w:cs="Segoe UI"/>
        <w:b/>
        <w:bCs/>
        <w:i/>
        <w:iCs/>
        <w:strike w:val="0"/>
        <w:dstrike w:val="0"/>
        <w:color w:val="242424"/>
        <w:sz w:val="21"/>
        <w:szCs w:val="21"/>
        <w:u w:val="none" w:color="000000"/>
        <w:bdr w:val="none" w:sz="0" w:space="0" w:color="auto"/>
        <w:shd w:val="clear" w:color="auto" w:fill="auto"/>
        <w:vertAlign w:val="baseline"/>
      </w:rPr>
    </w:lvl>
    <w:lvl w:ilvl="2" w:tplc="85242F74">
      <w:start w:val="1"/>
      <w:numFmt w:val="lowerRoman"/>
      <w:lvlText w:val="%3"/>
      <w:lvlJc w:val="left"/>
      <w:pPr>
        <w:ind w:left="2160"/>
      </w:pPr>
      <w:rPr>
        <w:rFonts w:ascii="Segoe UI" w:eastAsia="Segoe UI" w:hAnsi="Segoe UI" w:cs="Segoe UI"/>
        <w:b/>
        <w:bCs/>
        <w:i/>
        <w:iCs/>
        <w:strike w:val="0"/>
        <w:dstrike w:val="0"/>
        <w:color w:val="242424"/>
        <w:sz w:val="21"/>
        <w:szCs w:val="21"/>
        <w:u w:val="none" w:color="000000"/>
        <w:bdr w:val="none" w:sz="0" w:space="0" w:color="auto"/>
        <w:shd w:val="clear" w:color="auto" w:fill="auto"/>
        <w:vertAlign w:val="baseline"/>
      </w:rPr>
    </w:lvl>
    <w:lvl w:ilvl="3" w:tplc="D8D86FA2">
      <w:start w:val="1"/>
      <w:numFmt w:val="decimal"/>
      <w:lvlText w:val="%4"/>
      <w:lvlJc w:val="left"/>
      <w:pPr>
        <w:ind w:left="2880"/>
      </w:pPr>
      <w:rPr>
        <w:rFonts w:ascii="Segoe UI" w:eastAsia="Segoe UI" w:hAnsi="Segoe UI" w:cs="Segoe UI"/>
        <w:b/>
        <w:bCs/>
        <w:i/>
        <w:iCs/>
        <w:strike w:val="0"/>
        <w:dstrike w:val="0"/>
        <w:color w:val="242424"/>
        <w:sz w:val="21"/>
        <w:szCs w:val="21"/>
        <w:u w:val="none" w:color="000000"/>
        <w:bdr w:val="none" w:sz="0" w:space="0" w:color="auto"/>
        <w:shd w:val="clear" w:color="auto" w:fill="auto"/>
        <w:vertAlign w:val="baseline"/>
      </w:rPr>
    </w:lvl>
    <w:lvl w:ilvl="4" w:tplc="FFDEB0A0">
      <w:start w:val="1"/>
      <w:numFmt w:val="lowerLetter"/>
      <w:lvlText w:val="%5"/>
      <w:lvlJc w:val="left"/>
      <w:pPr>
        <w:ind w:left="3600"/>
      </w:pPr>
      <w:rPr>
        <w:rFonts w:ascii="Segoe UI" w:eastAsia="Segoe UI" w:hAnsi="Segoe UI" w:cs="Segoe UI"/>
        <w:b/>
        <w:bCs/>
        <w:i/>
        <w:iCs/>
        <w:strike w:val="0"/>
        <w:dstrike w:val="0"/>
        <w:color w:val="242424"/>
        <w:sz w:val="21"/>
        <w:szCs w:val="21"/>
        <w:u w:val="none" w:color="000000"/>
        <w:bdr w:val="none" w:sz="0" w:space="0" w:color="auto"/>
        <w:shd w:val="clear" w:color="auto" w:fill="auto"/>
        <w:vertAlign w:val="baseline"/>
      </w:rPr>
    </w:lvl>
    <w:lvl w:ilvl="5" w:tplc="82625E7C">
      <w:start w:val="1"/>
      <w:numFmt w:val="lowerRoman"/>
      <w:lvlText w:val="%6"/>
      <w:lvlJc w:val="left"/>
      <w:pPr>
        <w:ind w:left="4320"/>
      </w:pPr>
      <w:rPr>
        <w:rFonts w:ascii="Segoe UI" w:eastAsia="Segoe UI" w:hAnsi="Segoe UI" w:cs="Segoe UI"/>
        <w:b/>
        <w:bCs/>
        <w:i/>
        <w:iCs/>
        <w:strike w:val="0"/>
        <w:dstrike w:val="0"/>
        <w:color w:val="242424"/>
        <w:sz w:val="21"/>
        <w:szCs w:val="21"/>
        <w:u w:val="none" w:color="000000"/>
        <w:bdr w:val="none" w:sz="0" w:space="0" w:color="auto"/>
        <w:shd w:val="clear" w:color="auto" w:fill="auto"/>
        <w:vertAlign w:val="baseline"/>
      </w:rPr>
    </w:lvl>
    <w:lvl w:ilvl="6" w:tplc="2E2A7230">
      <w:start w:val="1"/>
      <w:numFmt w:val="decimal"/>
      <w:lvlText w:val="%7"/>
      <w:lvlJc w:val="left"/>
      <w:pPr>
        <w:ind w:left="5040"/>
      </w:pPr>
      <w:rPr>
        <w:rFonts w:ascii="Segoe UI" w:eastAsia="Segoe UI" w:hAnsi="Segoe UI" w:cs="Segoe UI"/>
        <w:b/>
        <w:bCs/>
        <w:i/>
        <w:iCs/>
        <w:strike w:val="0"/>
        <w:dstrike w:val="0"/>
        <w:color w:val="242424"/>
        <w:sz w:val="21"/>
        <w:szCs w:val="21"/>
        <w:u w:val="none" w:color="000000"/>
        <w:bdr w:val="none" w:sz="0" w:space="0" w:color="auto"/>
        <w:shd w:val="clear" w:color="auto" w:fill="auto"/>
        <w:vertAlign w:val="baseline"/>
      </w:rPr>
    </w:lvl>
    <w:lvl w:ilvl="7" w:tplc="1F7C33B6">
      <w:start w:val="1"/>
      <w:numFmt w:val="lowerLetter"/>
      <w:lvlText w:val="%8"/>
      <w:lvlJc w:val="left"/>
      <w:pPr>
        <w:ind w:left="5760"/>
      </w:pPr>
      <w:rPr>
        <w:rFonts w:ascii="Segoe UI" w:eastAsia="Segoe UI" w:hAnsi="Segoe UI" w:cs="Segoe UI"/>
        <w:b/>
        <w:bCs/>
        <w:i/>
        <w:iCs/>
        <w:strike w:val="0"/>
        <w:dstrike w:val="0"/>
        <w:color w:val="242424"/>
        <w:sz w:val="21"/>
        <w:szCs w:val="21"/>
        <w:u w:val="none" w:color="000000"/>
        <w:bdr w:val="none" w:sz="0" w:space="0" w:color="auto"/>
        <w:shd w:val="clear" w:color="auto" w:fill="auto"/>
        <w:vertAlign w:val="baseline"/>
      </w:rPr>
    </w:lvl>
    <w:lvl w:ilvl="8" w:tplc="50E6DCB6">
      <w:start w:val="1"/>
      <w:numFmt w:val="lowerRoman"/>
      <w:lvlText w:val="%9"/>
      <w:lvlJc w:val="left"/>
      <w:pPr>
        <w:ind w:left="6480"/>
      </w:pPr>
      <w:rPr>
        <w:rFonts w:ascii="Segoe UI" w:eastAsia="Segoe UI" w:hAnsi="Segoe UI" w:cs="Segoe UI"/>
        <w:b/>
        <w:bCs/>
        <w:i/>
        <w:iCs/>
        <w:strike w:val="0"/>
        <w:dstrike w:val="0"/>
        <w:color w:val="242424"/>
        <w:sz w:val="21"/>
        <w:szCs w:val="21"/>
        <w:u w:val="none" w:color="000000"/>
        <w:bdr w:val="none" w:sz="0" w:space="0" w:color="auto"/>
        <w:shd w:val="clear" w:color="auto" w:fill="auto"/>
        <w:vertAlign w:val="baseline"/>
      </w:rPr>
    </w:lvl>
  </w:abstractNum>
  <w:num w:numId="1" w16cid:durableId="122355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82D"/>
    <w:rsid w:val="0039782D"/>
    <w:rsid w:val="00ED568C"/>
    <w:rsid w:val="00FA2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BCEBC"/>
  <w15:docId w15:val="{1105847D-1524-41F2-8ED0-CC14C7A5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98" w:lineRule="auto"/>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color w:val="80340D"/>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80340D"/>
      <w:sz w:val="44"/>
    </w:rPr>
  </w:style>
  <w:style w:type="paragraph" w:customStyle="1" w:styleId="footnotedescription">
    <w:name w:val="footnote description"/>
    <w:next w:val="Normal"/>
    <w:link w:val="footnotedescriptionChar"/>
    <w:hidden/>
    <w:pPr>
      <w:spacing w:after="0" w:line="256"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2" Type="http://schemas.openxmlformats.org/officeDocument/2006/relationships/image" Target="media/image20.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1981</Words>
  <Characters>12361</Characters>
  <Application>Microsoft Office Word</Application>
  <DocSecurity>4</DocSecurity>
  <Lines>197</Lines>
  <Paragraphs>45</Paragraphs>
  <ScaleCrop>false</ScaleCrop>
  <Company/>
  <LinksUpToDate>false</LinksUpToDate>
  <CharactersWithSpaces>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Harrison (VACCHO)</dc:creator>
  <cp:keywords>[SEC=OFFICIAL]</cp:keywords>
  <cp:lastModifiedBy>FRASER, Michelle</cp:lastModifiedBy>
  <cp:revision>2</cp:revision>
  <dcterms:created xsi:type="dcterms:W3CDTF">2025-12-22T02:35:00Z</dcterms:created>
  <dcterms:modified xsi:type="dcterms:W3CDTF">2025-12-22T02:35:00Z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v=2024.1;a=SHA256;h=019C048BE64122F7A85300AE1F257BD706F006F825064A7997D1A6EF2042F354</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2025-12-22T02:35:32Z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2025-12-22T02:35:32Z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020697291aaa4f5c90cd14edb723e141</vt:lpwstr>
  </property>
  <property fmtid="{D5CDD505-2E9C-101B-9397-08002B2CF9AE}" pid="24" name="PM_Originator_Hash_SHA1">
    <vt:lpwstr>D023C8159AED28735D978FE3D9B80582BED0F475</vt:lpwstr>
  </property>
  <property fmtid="{D5CDD505-2E9C-101B-9397-08002B2CF9AE}" pid="25" name="PM_Originating_FileId">
    <vt:lpwstr>A654C681A7BC4125BB947F8CE66591C5</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9512357A602A791731844CDCF575EB3CB2C12DACEB5B3DF3CC3FF7F3E729E2AA</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50D4CFA4A043630637C8B9445ED6952F</vt:lpwstr>
  </property>
  <property fmtid="{D5CDD505-2E9C-101B-9397-08002B2CF9AE}" pid="33" name="PM_Hash_Salt">
    <vt:lpwstr>C4D3D377E8335E28F01B8E9AA0DAAE6B</vt:lpwstr>
  </property>
  <property fmtid="{D5CDD505-2E9C-101B-9397-08002B2CF9AE}" pid="34" name="PM_Hash_SHA1">
    <vt:lpwstr>8BAA6FADCBD7CF98A49EDDB962774A310A305BA1</vt:lpwstr>
  </property>
</Properties>
</file>