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2165" w14:textId="77777777" w:rsidR="00A317F4" w:rsidRDefault="00483A87">
      <w:pPr>
        <w:spacing w:after="0" w:line="259" w:lineRule="auto"/>
        <w:ind w:left="-1440" w:right="10466" w:firstLine="0"/>
      </w:pPr>
      <w:r>
        <w:rPr>
          <w:noProof/>
        </w:rPr>
        <w:drawing>
          <wp:anchor distT="0" distB="0" distL="114300" distR="114300" simplePos="0" relativeHeight="251658240" behindDoc="0" locked="0" layoutInCell="1" allowOverlap="0" wp14:anchorId="362CD930" wp14:editId="7194D423">
            <wp:simplePos x="0" y="0"/>
            <wp:positionH relativeFrom="page">
              <wp:posOffset>0</wp:posOffset>
            </wp:positionH>
            <wp:positionV relativeFrom="page">
              <wp:posOffset>-1015</wp:posOffset>
            </wp:positionV>
            <wp:extent cx="7556500" cy="10693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56500" cy="10693400"/>
                    </a:xfrm>
                    <a:prstGeom prst="rect">
                      <a:avLst/>
                    </a:prstGeom>
                  </pic:spPr>
                </pic:pic>
              </a:graphicData>
            </a:graphic>
          </wp:anchor>
        </w:drawing>
      </w:r>
    </w:p>
    <w:p w14:paraId="6096E779" w14:textId="77777777" w:rsidR="00A317F4" w:rsidRDefault="00A317F4">
      <w:pPr>
        <w:sectPr w:rsidR="00A317F4">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40" w:right="1440" w:bottom="1440" w:left="1440" w:header="720" w:footer="720" w:gutter="0"/>
          <w:cols w:space="720"/>
        </w:sectPr>
      </w:pPr>
    </w:p>
    <w:p w14:paraId="183AE740" w14:textId="77777777" w:rsidR="00A317F4" w:rsidRDefault="00483A87">
      <w:pPr>
        <w:pStyle w:val="Heading1"/>
      </w:pPr>
      <w:bookmarkStart w:id="0" w:name="_Toc10664"/>
      <w:r>
        <w:lastRenderedPageBreak/>
        <w:t xml:space="preserve">Acknowledgement of Country </w:t>
      </w:r>
      <w:bookmarkEnd w:id="0"/>
    </w:p>
    <w:p w14:paraId="26C63102" w14:textId="77777777" w:rsidR="00A317F4" w:rsidRDefault="00483A87">
      <w:r>
        <w:t xml:space="preserve">Anglicare Southern Queensland acknowledges Aboriginal and Torres Strait Islander peoples as the first Australians and recognises their culture, history, diversity, and deep connection to the land. We acknowledge the Traditional Owners and Custodians of the land on which our service was founded and on which our sites are operating today. </w:t>
      </w:r>
    </w:p>
    <w:p w14:paraId="1C52DA64" w14:textId="77777777" w:rsidR="00A317F4" w:rsidRDefault="00483A87">
      <w:pPr>
        <w:spacing w:after="0"/>
      </w:pPr>
      <w:r>
        <w:t xml:space="preserve">We pay our respects to Aboriginal and Torres Strait Islander Elders both past and present, who have influenced and supported Anglicare Southern Queensland on its journey thus far. We also extend that respect to </w:t>
      </w:r>
      <w:proofErr w:type="gramStart"/>
      <w:r>
        <w:t>our</w:t>
      </w:r>
      <w:proofErr w:type="gramEnd"/>
      <w:r>
        <w:t xml:space="preserve"> </w:t>
      </w:r>
    </w:p>
    <w:p w14:paraId="3190FECD" w14:textId="77777777" w:rsidR="00A317F4" w:rsidRDefault="00483A87">
      <w:r>
        <w:t xml:space="preserve">Aboriginal and Torres Strait Islander staff, clients and partners (past, present and future) and we hope we can work together to build a service that values and respects our First Nations people. </w:t>
      </w:r>
    </w:p>
    <w:p w14:paraId="228BDB76" w14:textId="77777777" w:rsidR="00A317F4" w:rsidRDefault="00483A87">
      <w:r>
        <w:t xml:space="preserve">We acknowledge the past and present injustices that First Nations people have endured and seek to understand and reconcile these histories as foundational to moving forward together in unity. </w:t>
      </w:r>
    </w:p>
    <w:p w14:paraId="6A6F014D" w14:textId="77777777" w:rsidR="00A317F4" w:rsidRDefault="00483A87">
      <w:r>
        <w:t xml:space="preserve">Anglicare is committed to being more culturally responsive and inclusive of Aboriginal and Torres Strait Islander people and we are committed to embedding cultural capabilities across all facets of the organisation. </w:t>
      </w:r>
    </w:p>
    <w:p w14:paraId="3F91D318" w14:textId="77777777" w:rsidR="00A317F4" w:rsidRDefault="00483A87">
      <w:pPr>
        <w:spacing w:after="396" w:line="259" w:lineRule="auto"/>
        <w:ind w:left="286" w:firstLine="0"/>
      </w:pPr>
      <w:r>
        <w:t xml:space="preserve"> </w:t>
      </w:r>
    </w:p>
    <w:p w14:paraId="585C1DAD" w14:textId="77777777" w:rsidR="00A317F4" w:rsidRDefault="00483A87">
      <w:pPr>
        <w:pStyle w:val="Heading1"/>
      </w:pPr>
      <w:bookmarkStart w:id="1" w:name="_Toc10665"/>
      <w:r>
        <w:t xml:space="preserve">About Anglicare Southern Queensland </w:t>
      </w:r>
      <w:bookmarkEnd w:id="1"/>
    </w:p>
    <w:p w14:paraId="60EB6D82" w14:textId="77777777" w:rsidR="00A317F4" w:rsidRDefault="00483A87">
      <w:r>
        <w:t xml:space="preserve">Anglicare Southern Queensland (Anglicare) has responded to the needs of our community through more than 150 years of delivering innovative, quality care services. </w:t>
      </w:r>
    </w:p>
    <w:p w14:paraId="42D4F123" w14:textId="77777777" w:rsidR="00A317F4" w:rsidRDefault="00483A87">
      <w:r>
        <w:t xml:space="preserve">More than 3,000 Anglicare staff and volunteers operate across southern Queensland and in Townsville. Our comprehensive, integrated range of community services includes community aged care; residential aged care; and community support programs, including youth justice, child safety, disability support, counselling and education, mental health, homelessness, and chronic conditions. Our services are designed to ‘wrap around’ clients in a comprehensive way, recognising their health needs but also addressing the social needs which contribute to wellness. </w:t>
      </w:r>
    </w:p>
    <w:p w14:paraId="7E33AE8B" w14:textId="77777777" w:rsidR="00A317F4" w:rsidRDefault="00483A87">
      <w:pPr>
        <w:spacing w:after="233" w:line="259" w:lineRule="auto"/>
        <w:ind w:left="286" w:firstLine="0"/>
      </w:pPr>
      <w:r>
        <w:t xml:space="preserve"> </w:t>
      </w:r>
    </w:p>
    <w:p w14:paraId="1FBBFABE" w14:textId="77777777" w:rsidR="00A317F4" w:rsidRDefault="00483A87">
      <w:r>
        <w:t xml:space="preserve">This submission may be quoted in public documents. </w:t>
      </w:r>
    </w:p>
    <w:p w14:paraId="098F0266" w14:textId="77777777" w:rsidR="00A317F4" w:rsidRDefault="00483A87">
      <w:pPr>
        <w:spacing w:after="233" w:line="259" w:lineRule="auto"/>
        <w:ind w:left="281" w:right="269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59B2A6A" wp14:editId="5CB70D55">
                <wp:simplePos x="0" y="0"/>
                <wp:positionH relativeFrom="column">
                  <wp:posOffset>1083310</wp:posOffset>
                </wp:positionH>
                <wp:positionV relativeFrom="paragraph">
                  <wp:posOffset>35088</wp:posOffset>
                </wp:positionV>
                <wp:extent cx="3859543" cy="423443"/>
                <wp:effectExtent l="0" t="0" r="0" b="0"/>
                <wp:wrapSquare wrapText="bothSides"/>
                <wp:docPr id="10123" name="Group 10123"/>
                <wp:cNvGraphicFramePr/>
                <a:graphic xmlns:a="http://schemas.openxmlformats.org/drawingml/2006/main">
                  <a:graphicData uri="http://schemas.microsoft.com/office/word/2010/wordprocessingGroup">
                    <wpg:wgp>
                      <wpg:cNvGrpSpPr/>
                      <wpg:grpSpPr>
                        <a:xfrm>
                          <a:off x="0" y="0"/>
                          <a:ext cx="3859543" cy="423443"/>
                          <a:chOff x="0" y="0"/>
                          <a:chExt cx="3859543" cy="423443"/>
                        </a:xfrm>
                      </wpg:grpSpPr>
                      <wps:wsp>
                        <wps:cNvPr id="603" name="Rectangle 603"/>
                        <wps:cNvSpPr/>
                        <wps:spPr>
                          <a:xfrm>
                            <a:off x="3486531" y="269712"/>
                            <a:ext cx="46741" cy="187581"/>
                          </a:xfrm>
                          <a:prstGeom prst="rect">
                            <a:avLst/>
                          </a:prstGeom>
                          <a:ln>
                            <a:noFill/>
                          </a:ln>
                        </wps:spPr>
                        <wps:txbx>
                          <w:txbxContent>
                            <w:p w14:paraId="2A408615" w14:textId="77777777" w:rsidR="00A317F4" w:rsidRDefault="00483A87">
                              <w:pPr>
                                <w:spacing w:after="160" w:line="259" w:lineRule="auto"/>
                                <w:ind w:left="0" w:firstLine="0"/>
                              </w:pPr>
                              <w:r>
                                <w:t xml:space="preserve"> </w:t>
                              </w:r>
                            </w:p>
                          </w:txbxContent>
                        </wps:txbx>
                        <wps:bodyPr horzOverflow="overflow" vert="horz" lIns="0" tIns="0" rIns="0" bIns="0" rtlCol="0">
                          <a:noAutofit/>
                        </wps:bodyPr>
                      </wps:wsp>
                      <wps:wsp>
                        <wps:cNvPr id="10709" name="Shape 10709"/>
                        <wps:cNvSpPr/>
                        <wps:spPr>
                          <a:xfrm>
                            <a:off x="0" y="0"/>
                            <a:ext cx="3859543" cy="118643"/>
                          </a:xfrm>
                          <a:custGeom>
                            <a:avLst/>
                            <a:gdLst/>
                            <a:ahLst/>
                            <a:cxnLst/>
                            <a:rect l="0" t="0" r="0" b="0"/>
                            <a:pathLst>
                              <a:path w="3859543" h="118643">
                                <a:moveTo>
                                  <a:pt x="0" y="0"/>
                                </a:moveTo>
                                <a:lnTo>
                                  <a:pt x="3859543" y="0"/>
                                </a:lnTo>
                                <a:lnTo>
                                  <a:pt x="3859543" y="118643"/>
                                </a:lnTo>
                                <a:lnTo>
                                  <a:pt x="0" y="1186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0" name="Shape 10710"/>
                        <wps:cNvSpPr/>
                        <wps:spPr>
                          <a:xfrm>
                            <a:off x="0" y="304800"/>
                            <a:ext cx="3473679" cy="118643"/>
                          </a:xfrm>
                          <a:custGeom>
                            <a:avLst/>
                            <a:gdLst/>
                            <a:ahLst/>
                            <a:cxnLst/>
                            <a:rect l="0" t="0" r="0" b="0"/>
                            <a:pathLst>
                              <a:path w="3473679" h="118643">
                                <a:moveTo>
                                  <a:pt x="0" y="0"/>
                                </a:moveTo>
                                <a:lnTo>
                                  <a:pt x="3473679" y="0"/>
                                </a:lnTo>
                                <a:lnTo>
                                  <a:pt x="3473679" y="118643"/>
                                </a:lnTo>
                                <a:lnTo>
                                  <a:pt x="0" y="1186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23" style="width:303.901pt;height:33.342pt;position:absolute;mso-position-horizontal-relative:text;mso-position-horizontal:absolute;margin-left:85.3pt;mso-position-vertical-relative:text;margin-top:2.76282pt;" coordsize="38595,4234">
                <v:rect id="Rectangle 603" style="position:absolute;width:467;height:1875;left:34865;top:2697;" filled="f" stroked="f">
                  <v:textbox inset="0,0,0,0">
                    <w:txbxContent>
                      <w:p>
                        <w:pPr>
                          <w:spacing w:before="0" w:after="160" w:line="259" w:lineRule="auto"/>
                          <w:ind w:left="0" w:firstLine="0"/>
                        </w:pPr>
                        <w:r>
                          <w:rPr/>
                          <w:t xml:space="preserve"> </w:t>
                        </w:r>
                      </w:p>
                    </w:txbxContent>
                  </v:textbox>
                </v:rect>
                <v:shape id="Shape 10711" style="position:absolute;width:38595;height:1186;left:0;top:0;" coordsize="3859543,118643" path="m0,0l3859543,0l3859543,118643l0,118643l0,0">
                  <v:stroke weight="0pt" endcap="flat" joinstyle="miter" miterlimit="10" on="false" color="#000000" opacity="0"/>
                  <v:fill on="true" color="#000000"/>
                </v:shape>
                <v:shape id="Shape 10712" style="position:absolute;width:34736;height:1186;left:0;top:3048;" coordsize="3473679,118643" path="m0,0l3473679,0l3473679,118643l0,118643l0,0">
                  <v:stroke weight="0pt" endcap="flat" joinstyle="miter" miterlimit="10" on="false" color="#000000" opacity="0"/>
                  <v:fill on="true" color="#000000"/>
                </v:shape>
                <w10:wrap type="square"/>
              </v:group>
            </w:pict>
          </mc:Fallback>
        </mc:AlternateContent>
      </w:r>
      <w:r>
        <w:rPr>
          <w:b/>
        </w:rPr>
        <w:t>Contact</w:t>
      </w:r>
      <w:r>
        <w:t xml:space="preserve">:  </w:t>
      </w:r>
    </w:p>
    <w:p w14:paraId="4E5BBF72" w14:textId="77777777" w:rsidR="00A317F4" w:rsidRDefault="00483A87">
      <w:pPr>
        <w:spacing w:after="233" w:line="259" w:lineRule="auto"/>
        <w:ind w:left="281" w:right="2694"/>
      </w:pPr>
      <w:r>
        <w:rPr>
          <w:b/>
        </w:rPr>
        <w:t>Author</w:t>
      </w:r>
      <w:r>
        <w:t xml:space="preserve">: </w:t>
      </w:r>
    </w:p>
    <w:p w14:paraId="30CC61B1" w14:textId="77777777" w:rsidR="00A317F4" w:rsidRDefault="00483A87">
      <w:pPr>
        <w:spacing w:after="2643" w:line="259" w:lineRule="auto"/>
        <w:ind w:left="286" w:firstLine="0"/>
      </w:pPr>
      <w:r>
        <w:t xml:space="preserve"> </w:t>
      </w:r>
    </w:p>
    <w:p w14:paraId="2BCC7EA5" w14:textId="77777777" w:rsidR="00A317F4" w:rsidRDefault="00483A87">
      <w:pPr>
        <w:spacing w:after="182" w:line="259" w:lineRule="auto"/>
        <w:ind w:left="286" w:firstLine="0"/>
      </w:pPr>
      <w:r>
        <w:t xml:space="preserve"> </w:t>
      </w:r>
    </w:p>
    <w:p w14:paraId="5F235462" w14:textId="77777777" w:rsidR="00A317F4" w:rsidRDefault="00483A87">
      <w:pPr>
        <w:tabs>
          <w:tab w:val="center" w:pos="5104"/>
          <w:tab w:val="center" w:pos="8534"/>
        </w:tabs>
        <w:spacing w:after="6" w:line="259" w:lineRule="auto"/>
        <w:ind w:left="-15" w:firstLine="0"/>
      </w:pPr>
      <w:r>
        <w:t xml:space="preserve">Effective date: 2/12/2025 </w:t>
      </w:r>
      <w:r>
        <w:tab/>
        <w:t xml:space="preserve">Page ii </w:t>
      </w:r>
      <w:r>
        <w:tab/>
      </w:r>
      <w:r>
        <w:rPr>
          <w:b/>
          <w:color w:val="001770"/>
        </w:rPr>
        <w:t xml:space="preserve">1300 610 </w:t>
      </w:r>
      <w:proofErr w:type="gramStart"/>
      <w:r>
        <w:rPr>
          <w:b/>
          <w:color w:val="001770"/>
        </w:rPr>
        <w:t>610  |</w:t>
      </w:r>
      <w:proofErr w:type="gramEnd"/>
      <w:r>
        <w:rPr>
          <w:b/>
          <w:color w:val="001770"/>
        </w:rPr>
        <w:t xml:space="preserve">  anglicaresq.org.au</w:t>
      </w:r>
      <w:r>
        <w:rPr>
          <w:b/>
        </w:rPr>
        <w:t xml:space="preserve"> </w:t>
      </w:r>
    </w:p>
    <w:p w14:paraId="696928A3" w14:textId="77777777" w:rsidR="00A317F4" w:rsidRDefault="00483A87">
      <w:pPr>
        <w:spacing w:after="7" w:line="259" w:lineRule="auto"/>
        <w:ind w:left="-12" w:firstLine="0"/>
      </w:pPr>
      <w:r>
        <w:rPr>
          <w:rFonts w:ascii="Calibri" w:eastAsia="Calibri" w:hAnsi="Calibri" w:cs="Calibri"/>
          <w:noProof/>
          <w:sz w:val="22"/>
        </w:rPr>
        <w:lastRenderedPageBreak/>
        <mc:AlternateContent>
          <mc:Choice Requires="wpg">
            <w:drawing>
              <wp:inline distT="0" distB="0" distL="0" distR="0" wp14:anchorId="75875436" wp14:editId="63B68FC1">
                <wp:extent cx="6488812" cy="6097"/>
                <wp:effectExtent l="0" t="0" r="0" b="0"/>
                <wp:docPr id="10122" name="Group 10122"/>
                <wp:cNvGraphicFramePr/>
                <a:graphic xmlns:a="http://schemas.openxmlformats.org/drawingml/2006/main">
                  <a:graphicData uri="http://schemas.microsoft.com/office/word/2010/wordprocessingGroup">
                    <wpg:wgp>
                      <wpg:cNvGrpSpPr/>
                      <wpg:grpSpPr>
                        <a:xfrm>
                          <a:off x="0" y="0"/>
                          <a:ext cx="6488812" cy="6097"/>
                          <a:chOff x="0" y="0"/>
                          <a:chExt cx="6488812" cy="6097"/>
                        </a:xfrm>
                      </wpg:grpSpPr>
                      <wps:wsp>
                        <wps:cNvPr id="10713" name="Shape 10713"/>
                        <wps:cNvSpPr/>
                        <wps:spPr>
                          <a:xfrm>
                            <a:off x="0" y="0"/>
                            <a:ext cx="2169287" cy="9144"/>
                          </a:xfrm>
                          <a:custGeom>
                            <a:avLst/>
                            <a:gdLst/>
                            <a:ahLst/>
                            <a:cxnLst/>
                            <a:rect l="0" t="0" r="0" b="0"/>
                            <a:pathLst>
                              <a:path w="2169287" h="9144">
                                <a:moveTo>
                                  <a:pt x="0" y="0"/>
                                </a:moveTo>
                                <a:lnTo>
                                  <a:pt x="2169287" y="0"/>
                                </a:lnTo>
                                <a:lnTo>
                                  <a:pt x="2169287"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714" name="Shape 10714"/>
                        <wps:cNvSpPr/>
                        <wps:spPr>
                          <a:xfrm>
                            <a:off x="21601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715" name="Shape 10715"/>
                        <wps:cNvSpPr/>
                        <wps:spPr>
                          <a:xfrm>
                            <a:off x="2166239" y="0"/>
                            <a:ext cx="2162810" cy="9144"/>
                          </a:xfrm>
                          <a:custGeom>
                            <a:avLst/>
                            <a:gdLst/>
                            <a:ahLst/>
                            <a:cxnLst/>
                            <a:rect l="0" t="0" r="0" b="0"/>
                            <a:pathLst>
                              <a:path w="2162810" h="9144">
                                <a:moveTo>
                                  <a:pt x="0" y="0"/>
                                </a:moveTo>
                                <a:lnTo>
                                  <a:pt x="2162810" y="0"/>
                                </a:lnTo>
                                <a:lnTo>
                                  <a:pt x="2162810"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716" name="Shape 10716"/>
                        <wps:cNvSpPr/>
                        <wps:spPr>
                          <a:xfrm>
                            <a:off x="43199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717" name="Shape 10717"/>
                        <wps:cNvSpPr/>
                        <wps:spPr>
                          <a:xfrm>
                            <a:off x="4326001" y="0"/>
                            <a:ext cx="2162810" cy="9144"/>
                          </a:xfrm>
                          <a:custGeom>
                            <a:avLst/>
                            <a:gdLst/>
                            <a:ahLst/>
                            <a:cxnLst/>
                            <a:rect l="0" t="0" r="0" b="0"/>
                            <a:pathLst>
                              <a:path w="2162810" h="9144">
                                <a:moveTo>
                                  <a:pt x="0" y="0"/>
                                </a:moveTo>
                                <a:lnTo>
                                  <a:pt x="2162810" y="0"/>
                                </a:lnTo>
                                <a:lnTo>
                                  <a:pt x="2162810"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g:wgp>
                  </a:graphicData>
                </a:graphic>
              </wp:inline>
            </w:drawing>
          </mc:Choice>
          <mc:Fallback xmlns:a="http://schemas.openxmlformats.org/drawingml/2006/main">
            <w:pict>
              <v:group id="Group 10122" style="width:510.93pt;height:0.480042pt;mso-position-horizontal-relative:char;mso-position-vertical-relative:line" coordsize="64888,60">
                <v:shape id="Shape 10718" style="position:absolute;width:21692;height:91;left:0;top:0;" coordsize="2169287,9144" path="m0,0l2169287,0l2169287,9144l0,9144l0,0">
                  <v:stroke weight="0pt" endcap="flat" joinstyle="miter" miterlimit="10" on="false" color="#000000" opacity="0"/>
                  <v:fill on="true" color="#001770"/>
                </v:shape>
                <v:shape id="Shape 10719" style="position:absolute;width:91;height:91;left:21601;top:0;" coordsize="9144,9144" path="m0,0l9144,0l9144,9144l0,9144l0,0">
                  <v:stroke weight="0pt" endcap="flat" joinstyle="miter" miterlimit="10" on="false" color="#000000" opacity="0"/>
                  <v:fill on="true" color="#001770"/>
                </v:shape>
                <v:shape id="Shape 10720" style="position:absolute;width:21628;height:91;left:21662;top:0;" coordsize="2162810,9144" path="m0,0l2162810,0l2162810,9144l0,9144l0,0">
                  <v:stroke weight="0pt" endcap="flat" joinstyle="miter" miterlimit="10" on="false" color="#000000" opacity="0"/>
                  <v:fill on="true" color="#001770"/>
                </v:shape>
                <v:shape id="Shape 10721" style="position:absolute;width:91;height:91;left:43199;top:0;" coordsize="9144,9144" path="m0,0l9144,0l9144,9144l0,9144l0,0">
                  <v:stroke weight="0pt" endcap="flat" joinstyle="miter" miterlimit="10" on="false" color="#000000" opacity="0"/>
                  <v:fill on="true" color="#001770"/>
                </v:shape>
                <v:shape id="Shape 10722" style="position:absolute;width:21628;height:91;left:43260;top:0;" coordsize="2162810,9144" path="m0,0l2162810,0l2162810,9144l0,9144l0,0">
                  <v:stroke weight="0pt" endcap="flat" joinstyle="miter" miterlimit="10" on="false" color="#000000" opacity="0"/>
                  <v:fill on="true" color="#001770"/>
                </v:shape>
              </v:group>
            </w:pict>
          </mc:Fallback>
        </mc:AlternateContent>
      </w:r>
    </w:p>
    <w:p w14:paraId="0248EAC8" w14:textId="77777777" w:rsidR="00A317F4" w:rsidRDefault="00483A87">
      <w:pPr>
        <w:spacing w:after="34" w:line="259" w:lineRule="auto"/>
        <w:ind w:left="286" w:firstLine="0"/>
      </w:pPr>
      <w:r>
        <w:t xml:space="preserve"> </w:t>
      </w:r>
    </w:p>
    <w:p w14:paraId="4263ADE8" w14:textId="77777777" w:rsidR="00A317F4" w:rsidRDefault="00483A87">
      <w:pPr>
        <w:spacing w:after="0" w:line="259" w:lineRule="auto"/>
        <w:ind w:left="286" w:firstLine="0"/>
      </w:pPr>
      <w:r>
        <w:t xml:space="preserve"> </w:t>
      </w:r>
    </w:p>
    <w:sdt>
      <w:sdtPr>
        <w:id w:val="-1406679408"/>
        <w:docPartObj>
          <w:docPartGallery w:val="Table of Contents"/>
        </w:docPartObj>
      </w:sdtPr>
      <w:sdtEndPr/>
      <w:sdtContent>
        <w:p w14:paraId="0513806B" w14:textId="77777777" w:rsidR="00A317F4" w:rsidRDefault="00483A87">
          <w:pPr>
            <w:spacing w:after="533" w:line="265" w:lineRule="auto"/>
          </w:pPr>
          <w:r>
            <w:rPr>
              <w:b/>
              <w:color w:val="001770"/>
              <w:sz w:val="36"/>
            </w:rPr>
            <w:t xml:space="preserve">Contents </w:t>
          </w:r>
        </w:p>
        <w:p w14:paraId="583238E6" w14:textId="77777777" w:rsidR="00A317F4" w:rsidRDefault="00483A87">
          <w:pPr>
            <w:pStyle w:val="TOC1"/>
            <w:tabs>
              <w:tab w:val="right" w:leader="dot" w:pos="10478"/>
            </w:tabs>
          </w:pPr>
          <w:r>
            <w:fldChar w:fldCharType="begin"/>
          </w:r>
          <w:r>
            <w:instrText xml:space="preserve"> TOC \o "1-2" \h \z \u </w:instrText>
          </w:r>
          <w:r>
            <w:fldChar w:fldCharType="separate"/>
          </w:r>
          <w:hyperlink w:anchor="_Toc10664">
            <w:r>
              <w:t>Acknowledgement of Country</w:t>
            </w:r>
            <w:r>
              <w:tab/>
            </w:r>
            <w:r>
              <w:fldChar w:fldCharType="begin"/>
            </w:r>
            <w:r>
              <w:instrText>PAGEREF _Toc10664 \h</w:instrText>
            </w:r>
            <w:r>
              <w:fldChar w:fldCharType="separate"/>
            </w:r>
            <w:r>
              <w:t xml:space="preserve">ii </w:t>
            </w:r>
            <w:r>
              <w:fldChar w:fldCharType="end"/>
            </w:r>
          </w:hyperlink>
        </w:p>
        <w:p w14:paraId="19BDB9F5" w14:textId="77777777" w:rsidR="00A317F4" w:rsidRDefault="00483A87">
          <w:pPr>
            <w:pStyle w:val="TOC1"/>
            <w:tabs>
              <w:tab w:val="right" w:leader="dot" w:pos="10478"/>
            </w:tabs>
          </w:pPr>
          <w:hyperlink w:anchor="_Toc10665">
            <w:r>
              <w:t>About Anglicare Southern Queensland</w:t>
            </w:r>
            <w:r>
              <w:tab/>
            </w:r>
            <w:r>
              <w:fldChar w:fldCharType="begin"/>
            </w:r>
            <w:r>
              <w:instrText>PAGEREF _Toc10665 \h</w:instrText>
            </w:r>
            <w:r>
              <w:fldChar w:fldCharType="separate"/>
            </w:r>
            <w:r>
              <w:t xml:space="preserve">ii </w:t>
            </w:r>
            <w:r>
              <w:fldChar w:fldCharType="end"/>
            </w:r>
          </w:hyperlink>
        </w:p>
        <w:p w14:paraId="1E939CC9" w14:textId="77777777" w:rsidR="00A317F4" w:rsidRDefault="00483A87">
          <w:pPr>
            <w:pStyle w:val="TOC1"/>
            <w:tabs>
              <w:tab w:val="right" w:leader="dot" w:pos="10478"/>
            </w:tabs>
          </w:pPr>
          <w:hyperlink w:anchor="_Toc10666">
            <w:r>
              <w:t>Introduction</w:t>
            </w:r>
            <w:r>
              <w:tab/>
            </w:r>
            <w:r>
              <w:fldChar w:fldCharType="begin"/>
            </w:r>
            <w:r>
              <w:instrText>PAGEREF _Toc10666 \h</w:instrText>
            </w:r>
            <w:r>
              <w:fldChar w:fldCharType="separate"/>
            </w:r>
            <w:r>
              <w:t xml:space="preserve">1 </w:t>
            </w:r>
            <w:r>
              <w:fldChar w:fldCharType="end"/>
            </w:r>
          </w:hyperlink>
        </w:p>
        <w:p w14:paraId="1FF28803" w14:textId="77777777" w:rsidR="00A317F4" w:rsidRDefault="00483A87">
          <w:pPr>
            <w:pStyle w:val="TOC1"/>
            <w:tabs>
              <w:tab w:val="right" w:leader="dot" w:pos="10478"/>
            </w:tabs>
          </w:pPr>
          <w:hyperlink w:anchor="_Toc10667">
            <w:r>
              <w:t>Vision and outcomes</w:t>
            </w:r>
            <w:r>
              <w:tab/>
            </w:r>
            <w:r>
              <w:fldChar w:fldCharType="begin"/>
            </w:r>
            <w:r>
              <w:instrText>PAGEREF _Toc10667 \h</w:instrText>
            </w:r>
            <w:r>
              <w:fldChar w:fldCharType="separate"/>
            </w:r>
            <w:r>
              <w:t xml:space="preserve">1 </w:t>
            </w:r>
            <w:r>
              <w:fldChar w:fldCharType="end"/>
            </w:r>
          </w:hyperlink>
        </w:p>
        <w:p w14:paraId="3658AF63" w14:textId="77777777" w:rsidR="00A317F4" w:rsidRDefault="00483A87">
          <w:pPr>
            <w:pStyle w:val="TOC1"/>
            <w:tabs>
              <w:tab w:val="right" w:leader="dot" w:pos="10478"/>
            </w:tabs>
          </w:pPr>
          <w:hyperlink w:anchor="_Toc10668">
            <w:r>
              <w:t>Program structure</w:t>
            </w:r>
            <w:r>
              <w:tab/>
            </w:r>
            <w:r>
              <w:fldChar w:fldCharType="begin"/>
            </w:r>
            <w:r>
              <w:instrText>PAGEREF _Toc10668 \h</w:instrText>
            </w:r>
            <w:r>
              <w:fldChar w:fldCharType="separate"/>
            </w:r>
            <w:r>
              <w:t xml:space="preserve">2 </w:t>
            </w:r>
            <w:r>
              <w:fldChar w:fldCharType="end"/>
            </w:r>
          </w:hyperlink>
        </w:p>
        <w:p w14:paraId="034D29B5" w14:textId="77777777" w:rsidR="00A317F4" w:rsidRDefault="00483A87">
          <w:pPr>
            <w:pStyle w:val="TOC1"/>
            <w:tabs>
              <w:tab w:val="right" w:leader="dot" w:pos="10478"/>
            </w:tabs>
          </w:pPr>
          <w:hyperlink w:anchor="_Toc10669">
            <w:r>
              <w:t>Prioritising investment</w:t>
            </w:r>
            <w:r>
              <w:tab/>
            </w:r>
            <w:r>
              <w:fldChar w:fldCharType="begin"/>
            </w:r>
            <w:r>
              <w:instrText>PAGEREF _Toc10669 \h</w:instrText>
            </w:r>
            <w:r>
              <w:fldChar w:fldCharType="separate"/>
            </w:r>
            <w:r>
              <w:t xml:space="preserve">2 </w:t>
            </w:r>
            <w:r>
              <w:fldChar w:fldCharType="end"/>
            </w:r>
          </w:hyperlink>
        </w:p>
        <w:p w14:paraId="4245B5D5" w14:textId="77777777" w:rsidR="00A317F4" w:rsidRDefault="00483A87">
          <w:pPr>
            <w:pStyle w:val="TOC2"/>
            <w:tabs>
              <w:tab w:val="right" w:leader="dot" w:pos="10478"/>
            </w:tabs>
          </w:pPr>
          <w:hyperlink w:anchor="_Toc10670">
            <w:r>
              <w:t>Invest early to improve family wellbeing, break cycles of disadvantage and reduce the need for later interventions, like child protection</w:t>
            </w:r>
            <w:r>
              <w:tab/>
            </w:r>
            <w:r>
              <w:fldChar w:fldCharType="begin"/>
            </w:r>
            <w:r>
              <w:instrText>PAGEREF _Toc10670 \h</w:instrText>
            </w:r>
            <w:r>
              <w:fldChar w:fldCharType="separate"/>
            </w:r>
            <w:r>
              <w:t xml:space="preserve">2 </w:t>
            </w:r>
            <w:r>
              <w:fldChar w:fldCharType="end"/>
            </w:r>
          </w:hyperlink>
        </w:p>
        <w:p w14:paraId="075D8540" w14:textId="77777777" w:rsidR="00A317F4" w:rsidRDefault="00483A87">
          <w:pPr>
            <w:pStyle w:val="TOC2"/>
            <w:tabs>
              <w:tab w:val="right" w:leader="dot" w:pos="10478"/>
            </w:tabs>
          </w:pPr>
          <w:hyperlink w:anchor="_Toc10671">
            <w:r>
              <w:t>Prioritise connected, co-located and integrated services that work together to meet family needs</w:t>
            </w:r>
            <w:r>
              <w:tab/>
            </w:r>
            <w:r>
              <w:fldChar w:fldCharType="begin"/>
            </w:r>
            <w:r>
              <w:instrText>PAGEREF _Toc10671 \h</w:instrText>
            </w:r>
            <w:r>
              <w:fldChar w:fldCharType="separate"/>
            </w:r>
            <w:r>
              <w:t xml:space="preserve">3 </w:t>
            </w:r>
            <w:r>
              <w:fldChar w:fldCharType="end"/>
            </w:r>
          </w:hyperlink>
        </w:p>
        <w:p w14:paraId="29CD9CB4" w14:textId="77777777" w:rsidR="00A317F4" w:rsidRDefault="00483A87">
          <w:pPr>
            <w:pStyle w:val="TOC2"/>
            <w:tabs>
              <w:tab w:val="right" w:leader="dot" w:pos="10478"/>
            </w:tabs>
          </w:pPr>
          <w:hyperlink w:anchor="_Toc10672">
            <w:r>
              <w:t>Ensure services are informed by and respond to community needs</w:t>
            </w:r>
            <w:r>
              <w:tab/>
            </w:r>
            <w:r>
              <w:fldChar w:fldCharType="begin"/>
            </w:r>
            <w:r>
              <w:instrText>PAGEREF _Toc10672 \h</w:instrText>
            </w:r>
            <w:r>
              <w:fldChar w:fldCharType="separate"/>
            </w:r>
            <w:r>
              <w:t xml:space="preserve">3 </w:t>
            </w:r>
            <w:r>
              <w:fldChar w:fldCharType="end"/>
            </w:r>
          </w:hyperlink>
        </w:p>
        <w:p w14:paraId="50015E8F" w14:textId="77777777" w:rsidR="00A317F4" w:rsidRDefault="00483A87">
          <w:pPr>
            <w:pStyle w:val="TOC2"/>
            <w:tabs>
              <w:tab w:val="right" w:leader="dot" w:pos="10478"/>
            </w:tabs>
          </w:pPr>
          <w:hyperlink w:anchor="_Toc10673">
            <w:r>
              <w:t>Improve the outcomes for First Nations children and families by increasing the number of Aboriginal and Torres Strait Islander community-controlled organisations (ACCOs) delivering supports in locations with high First Nations populations</w:t>
            </w:r>
            <w:r>
              <w:tab/>
            </w:r>
            <w:r>
              <w:fldChar w:fldCharType="begin"/>
            </w:r>
            <w:r>
              <w:instrText>PAGEREF _Toc10673 \h</w:instrText>
            </w:r>
            <w:r>
              <w:fldChar w:fldCharType="separate"/>
            </w:r>
            <w:r>
              <w:t xml:space="preserve">4 </w:t>
            </w:r>
            <w:r>
              <w:fldChar w:fldCharType="end"/>
            </w:r>
          </w:hyperlink>
        </w:p>
        <w:p w14:paraId="5F95847D" w14:textId="77777777" w:rsidR="00A317F4" w:rsidRDefault="00483A87">
          <w:pPr>
            <w:pStyle w:val="TOC1"/>
            <w:tabs>
              <w:tab w:val="right" w:leader="dot" w:pos="10478"/>
            </w:tabs>
          </w:pPr>
          <w:hyperlink w:anchor="_Toc10674">
            <w:r>
              <w:t>Measuring outcomes</w:t>
            </w:r>
            <w:r>
              <w:tab/>
            </w:r>
            <w:r>
              <w:fldChar w:fldCharType="begin"/>
            </w:r>
            <w:r>
              <w:instrText>PAGEREF _Toc10674 \h</w:instrText>
            </w:r>
            <w:r>
              <w:fldChar w:fldCharType="separate"/>
            </w:r>
            <w:r>
              <w:t xml:space="preserve">4 </w:t>
            </w:r>
            <w:r>
              <w:fldChar w:fldCharType="end"/>
            </w:r>
          </w:hyperlink>
        </w:p>
        <w:p w14:paraId="0608A8DF" w14:textId="77777777" w:rsidR="00A317F4" w:rsidRDefault="00483A87">
          <w:pPr>
            <w:pStyle w:val="TOC1"/>
            <w:tabs>
              <w:tab w:val="right" w:leader="dot" w:pos="10478"/>
            </w:tabs>
          </w:pPr>
          <w:hyperlink w:anchor="_Toc10675">
            <w:r>
              <w:t>Working together</w:t>
            </w:r>
            <w:r>
              <w:tab/>
            </w:r>
            <w:r>
              <w:fldChar w:fldCharType="begin"/>
            </w:r>
            <w:r>
              <w:instrText>PAGEREF _Toc10675 \h</w:instrText>
            </w:r>
            <w:r>
              <w:fldChar w:fldCharType="separate"/>
            </w:r>
            <w:r>
              <w:t xml:space="preserve">4 </w:t>
            </w:r>
            <w:r>
              <w:fldChar w:fldCharType="end"/>
            </w:r>
          </w:hyperlink>
        </w:p>
        <w:p w14:paraId="15433759" w14:textId="77777777" w:rsidR="00A317F4" w:rsidRDefault="00483A87">
          <w:pPr>
            <w:pStyle w:val="TOC1"/>
            <w:tabs>
              <w:tab w:val="right" w:leader="dot" w:pos="10478"/>
            </w:tabs>
          </w:pPr>
          <w:hyperlink w:anchor="_Toc10676">
            <w:r>
              <w:t>In conclusion</w:t>
            </w:r>
            <w:r>
              <w:tab/>
            </w:r>
            <w:r>
              <w:fldChar w:fldCharType="begin"/>
            </w:r>
            <w:r>
              <w:instrText>PAGEREF _Toc10676 \h</w:instrText>
            </w:r>
            <w:r>
              <w:fldChar w:fldCharType="separate"/>
            </w:r>
            <w:r>
              <w:t xml:space="preserve">5 </w:t>
            </w:r>
            <w:r>
              <w:fldChar w:fldCharType="end"/>
            </w:r>
          </w:hyperlink>
        </w:p>
        <w:p w14:paraId="4EAF1DFC" w14:textId="77777777" w:rsidR="00A317F4" w:rsidRDefault="00483A87">
          <w:r>
            <w:fldChar w:fldCharType="end"/>
          </w:r>
        </w:p>
      </w:sdtContent>
    </w:sdt>
    <w:p w14:paraId="2F1E1F6B" w14:textId="77777777" w:rsidR="00A317F4" w:rsidRDefault="00483A87">
      <w:pPr>
        <w:spacing w:after="3771" w:line="259" w:lineRule="auto"/>
        <w:ind w:left="286" w:firstLine="0"/>
      </w:pPr>
      <w:r>
        <w:t xml:space="preserve"> </w:t>
      </w:r>
    </w:p>
    <w:p w14:paraId="31A821AA" w14:textId="77777777" w:rsidR="00A317F4" w:rsidRDefault="00483A87">
      <w:pPr>
        <w:spacing w:after="182" w:line="259" w:lineRule="auto"/>
        <w:ind w:left="286" w:firstLine="0"/>
      </w:pPr>
      <w:r>
        <w:t xml:space="preserve"> </w:t>
      </w:r>
    </w:p>
    <w:p w14:paraId="1A204FC6" w14:textId="77777777" w:rsidR="00A317F4" w:rsidRDefault="00483A87">
      <w:pPr>
        <w:tabs>
          <w:tab w:val="center" w:pos="5104"/>
          <w:tab w:val="center" w:pos="8534"/>
        </w:tabs>
        <w:spacing w:after="6" w:line="259" w:lineRule="auto"/>
        <w:ind w:left="-15" w:firstLine="0"/>
      </w:pPr>
      <w:r>
        <w:t xml:space="preserve">Effective date: 2/12/2025 </w:t>
      </w:r>
      <w:r>
        <w:tab/>
        <w:t xml:space="preserve">Page iii </w:t>
      </w:r>
      <w:r>
        <w:tab/>
      </w:r>
      <w:r>
        <w:rPr>
          <w:b/>
          <w:color w:val="001770"/>
        </w:rPr>
        <w:t xml:space="preserve">1300 610 </w:t>
      </w:r>
      <w:proofErr w:type="gramStart"/>
      <w:r>
        <w:rPr>
          <w:b/>
          <w:color w:val="001770"/>
        </w:rPr>
        <w:t>610  |</w:t>
      </w:r>
      <w:proofErr w:type="gramEnd"/>
      <w:r>
        <w:rPr>
          <w:b/>
          <w:color w:val="001770"/>
        </w:rPr>
        <w:t xml:space="preserve">  anglicaresq.org.au</w:t>
      </w:r>
      <w:r>
        <w:rPr>
          <w:b/>
        </w:rPr>
        <w:t xml:space="preserve"> </w:t>
      </w:r>
    </w:p>
    <w:p w14:paraId="64A130AD" w14:textId="77777777" w:rsidR="00A317F4" w:rsidRDefault="00483A87">
      <w:pPr>
        <w:spacing w:after="7" w:line="259" w:lineRule="auto"/>
        <w:ind w:left="-12" w:firstLine="0"/>
      </w:pPr>
      <w:r>
        <w:rPr>
          <w:rFonts w:ascii="Calibri" w:eastAsia="Calibri" w:hAnsi="Calibri" w:cs="Calibri"/>
          <w:noProof/>
          <w:sz w:val="22"/>
        </w:rPr>
        <mc:AlternateContent>
          <mc:Choice Requires="wpg">
            <w:drawing>
              <wp:inline distT="0" distB="0" distL="0" distR="0" wp14:anchorId="6DB5CDEE" wp14:editId="72AA1619">
                <wp:extent cx="6488812" cy="6097"/>
                <wp:effectExtent l="0" t="0" r="0" b="0"/>
                <wp:docPr id="9398" name="Group 9398"/>
                <wp:cNvGraphicFramePr/>
                <a:graphic xmlns:a="http://schemas.openxmlformats.org/drawingml/2006/main">
                  <a:graphicData uri="http://schemas.microsoft.com/office/word/2010/wordprocessingGroup">
                    <wpg:wgp>
                      <wpg:cNvGrpSpPr/>
                      <wpg:grpSpPr>
                        <a:xfrm>
                          <a:off x="0" y="0"/>
                          <a:ext cx="6488812" cy="6097"/>
                          <a:chOff x="0" y="0"/>
                          <a:chExt cx="6488812" cy="6097"/>
                        </a:xfrm>
                      </wpg:grpSpPr>
                      <wps:wsp>
                        <wps:cNvPr id="10921" name="Shape 10921"/>
                        <wps:cNvSpPr/>
                        <wps:spPr>
                          <a:xfrm>
                            <a:off x="0" y="0"/>
                            <a:ext cx="2169287" cy="9144"/>
                          </a:xfrm>
                          <a:custGeom>
                            <a:avLst/>
                            <a:gdLst/>
                            <a:ahLst/>
                            <a:cxnLst/>
                            <a:rect l="0" t="0" r="0" b="0"/>
                            <a:pathLst>
                              <a:path w="2169287" h="9144">
                                <a:moveTo>
                                  <a:pt x="0" y="0"/>
                                </a:moveTo>
                                <a:lnTo>
                                  <a:pt x="2169287" y="0"/>
                                </a:lnTo>
                                <a:lnTo>
                                  <a:pt x="2169287"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922" name="Shape 10922"/>
                        <wps:cNvSpPr/>
                        <wps:spPr>
                          <a:xfrm>
                            <a:off x="21601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923" name="Shape 10923"/>
                        <wps:cNvSpPr/>
                        <wps:spPr>
                          <a:xfrm>
                            <a:off x="2166239" y="0"/>
                            <a:ext cx="2162810" cy="9144"/>
                          </a:xfrm>
                          <a:custGeom>
                            <a:avLst/>
                            <a:gdLst/>
                            <a:ahLst/>
                            <a:cxnLst/>
                            <a:rect l="0" t="0" r="0" b="0"/>
                            <a:pathLst>
                              <a:path w="2162810" h="9144">
                                <a:moveTo>
                                  <a:pt x="0" y="0"/>
                                </a:moveTo>
                                <a:lnTo>
                                  <a:pt x="2162810" y="0"/>
                                </a:lnTo>
                                <a:lnTo>
                                  <a:pt x="2162810"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924" name="Shape 10924"/>
                        <wps:cNvSpPr/>
                        <wps:spPr>
                          <a:xfrm>
                            <a:off x="43199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925" name="Shape 10925"/>
                        <wps:cNvSpPr/>
                        <wps:spPr>
                          <a:xfrm>
                            <a:off x="4326001" y="0"/>
                            <a:ext cx="2162810" cy="9144"/>
                          </a:xfrm>
                          <a:custGeom>
                            <a:avLst/>
                            <a:gdLst/>
                            <a:ahLst/>
                            <a:cxnLst/>
                            <a:rect l="0" t="0" r="0" b="0"/>
                            <a:pathLst>
                              <a:path w="2162810" h="9144">
                                <a:moveTo>
                                  <a:pt x="0" y="0"/>
                                </a:moveTo>
                                <a:lnTo>
                                  <a:pt x="2162810" y="0"/>
                                </a:lnTo>
                                <a:lnTo>
                                  <a:pt x="2162810"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g:wgp>
                  </a:graphicData>
                </a:graphic>
              </wp:inline>
            </w:drawing>
          </mc:Choice>
          <mc:Fallback xmlns:a="http://schemas.openxmlformats.org/drawingml/2006/main">
            <w:pict>
              <v:group id="Group 9398" style="width:510.93pt;height:0.480042pt;mso-position-horizontal-relative:char;mso-position-vertical-relative:line" coordsize="64888,60">
                <v:shape id="Shape 10926" style="position:absolute;width:21692;height:91;left:0;top:0;" coordsize="2169287,9144" path="m0,0l2169287,0l2169287,9144l0,9144l0,0">
                  <v:stroke weight="0pt" endcap="flat" joinstyle="miter" miterlimit="10" on="false" color="#000000" opacity="0"/>
                  <v:fill on="true" color="#001770"/>
                </v:shape>
                <v:shape id="Shape 10927" style="position:absolute;width:91;height:91;left:21601;top:0;" coordsize="9144,9144" path="m0,0l9144,0l9144,9144l0,9144l0,0">
                  <v:stroke weight="0pt" endcap="flat" joinstyle="miter" miterlimit="10" on="false" color="#000000" opacity="0"/>
                  <v:fill on="true" color="#001770"/>
                </v:shape>
                <v:shape id="Shape 10928" style="position:absolute;width:21628;height:91;left:21662;top:0;" coordsize="2162810,9144" path="m0,0l2162810,0l2162810,9144l0,9144l0,0">
                  <v:stroke weight="0pt" endcap="flat" joinstyle="miter" miterlimit="10" on="false" color="#000000" opacity="0"/>
                  <v:fill on="true" color="#001770"/>
                </v:shape>
                <v:shape id="Shape 10929" style="position:absolute;width:91;height:91;left:43199;top:0;" coordsize="9144,9144" path="m0,0l9144,0l9144,9144l0,9144l0,0">
                  <v:stroke weight="0pt" endcap="flat" joinstyle="miter" miterlimit="10" on="false" color="#000000" opacity="0"/>
                  <v:fill on="true" color="#001770"/>
                </v:shape>
                <v:shape id="Shape 10930" style="position:absolute;width:21628;height:91;left:43260;top:0;" coordsize="2162810,9144" path="m0,0l2162810,0l2162810,9144l0,9144l0,0">
                  <v:stroke weight="0pt" endcap="flat" joinstyle="miter" miterlimit="10" on="false" color="#000000" opacity="0"/>
                  <v:fill on="true" color="#001770"/>
                </v:shape>
              </v:group>
            </w:pict>
          </mc:Fallback>
        </mc:AlternateContent>
      </w:r>
    </w:p>
    <w:p w14:paraId="16D53D35" w14:textId="77777777" w:rsidR="00A317F4" w:rsidRDefault="00483A87">
      <w:pPr>
        <w:spacing w:after="0" w:line="259" w:lineRule="auto"/>
        <w:ind w:left="286" w:firstLine="0"/>
      </w:pPr>
      <w:r>
        <w:lastRenderedPageBreak/>
        <w:t xml:space="preserve"> </w:t>
      </w:r>
    </w:p>
    <w:p w14:paraId="0D99E45D" w14:textId="77777777" w:rsidR="00A317F4" w:rsidRDefault="00A317F4">
      <w:pPr>
        <w:sectPr w:rsidR="00A317F4">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1772" w:right="862" w:bottom="539" w:left="566" w:header="486" w:footer="720" w:gutter="0"/>
          <w:cols w:space="720"/>
        </w:sectPr>
      </w:pPr>
    </w:p>
    <w:p w14:paraId="63DA698C" w14:textId="77777777" w:rsidR="00A317F4" w:rsidRDefault="00483A87">
      <w:pPr>
        <w:pStyle w:val="Heading1"/>
        <w:ind w:left="-5"/>
      </w:pPr>
      <w:bookmarkStart w:id="2" w:name="_Toc10666"/>
      <w:r>
        <w:lastRenderedPageBreak/>
        <w:t xml:space="preserve">Introduction </w:t>
      </w:r>
      <w:bookmarkEnd w:id="2"/>
    </w:p>
    <w:p w14:paraId="4D100EAE" w14:textId="77777777" w:rsidR="00A317F4" w:rsidRDefault="00483A87">
      <w:pPr>
        <w:spacing w:after="22"/>
        <w:ind w:left="-5"/>
      </w:pPr>
      <w:r>
        <w:t xml:space="preserve">Anglicare Southern Queensland (Anglicare) welcomes the opportunity to make a submission to the Department of </w:t>
      </w:r>
    </w:p>
    <w:p w14:paraId="7C0FF57C" w14:textId="77777777" w:rsidR="00A317F4" w:rsidRDefault="00483A87">
      <w:pPr>
        <w:ind w:left="-5"/>
      </w:pPr>
      <w:r>
        <w:t xml:space="preserve">Social Services (DSS) consultation for the ‘A New Approach to Programs for Families and Children’ Discussion Paper. </w:t>
      </w:r>
    </w:p>
    <w:p w14:paraId="0B4992CE" w14:textId="77777777" w:rsidR="00A317F4" w:rsidRDefault="00483A87">
      <w:pPr>
        <w:spacing w:after="222"/>
        <w:ind w:left="-5"/>
      </w:pPr>
      <w:r>
        <w:t xml:space="preserve">Anglicare provides the following services across multiple regions: </w:t>
      </w:r>
    </w:p>
    <w:p w14:paraId="2091ACF3" w14:textId="77777777" w:rsidR="00A317F4" w:rsidRDefault="00483A87">
      <w:pPr>
        <w:numPr>
          <w:ilvl w:val="0"/>
          <w:numId w:val="1"/>
        </w:numPr>
        <w:spacing w:after="0"/>
        <w:ind w:hanging="283"/>
      </w:pPr>
      <w:r>
        <w:t>Family and Relationship Services (</w:t>
      </w:r>
      <w:proofErr w:type="spellStart"/>
      <w:r>
        <w:t>FaRS</w:t>
      </w:r>
      <w:proofErr w:type="spellEnd"/>
      <w:r>
        <w:t xml:space="preserve">)  </w:t>
      </w:r>
    </w:p>
    <w:p w14:paraId="0FA49E07" w14:textId="77777777" w:rsidR="00A317F4" w:rsidRDefault="00483A87">
      <w:pPr>
        <w:numPr>
          <w:ilvl w:val="0"/>
          <w:numId w:val="1"/>
        </w:numPr>
        <w:spacing w:after="0"/>
        <w:ind w:hanging="283"/>
      </w:pPr>
      <w:r>
        <w:t xml:space="preserve">Specialised Family Violence Services (SFVS) </w:t>
      </w:r>
    </w:p>
    <w:p w14:paraId="394F2B6A" w14:textId="77777777" w:rsidR="00A317F4" w:rsidRDefault="00483A87">
      <w:pPr>
        <w:numPr>
          <w:ilvl w:val="0"/>
          <w:numId w:val="1"/>
        </w:numPr>
        <w:spacing w:after="0"/>
        <w:ind w:hanging="283"/>
      </w:pPr>
      <w:r>
        <w:t xml:space="preserve">Family Mental Health Support Services (FMHSS)  </w:t>
      </w:r>
    </w:p>
    <w:p w14:paraId="2D41562E" w14:textId="77777777" w:rsidR="00A317F4" w:rsidRDefault="00483A87">
      <w:pPr>
        <w:numPr>
          <w:ilvl w:val="0"/>
          <w:numId w:val="1"/>
        </w:numPr>
        <w:ind w:hanging="283"/>
      </w:pPr>
      <w:r>
        <w:t xml:space="preserve">Children and Parenting Support (CAPS) </w:t>
      </w:r>
    </w:p>
    <w:p w14:paraId="3E93DFEE" w14:textId="77777777" w:rsidR="00A317F4" w:rsidRDefault="00483A87">
      <w:pPr>
        <w:ind w:left="-5"/>
      </w:pPr>
      <w:r>
        <w:t xml:space="preserve">These programs have enabled us in the 2023-24 financial year to provide 2,431 parents and children with early intervention support and education; 2,353 family law, family, and relationship counselling sessions; and to support 865 adults and young people with alcohol and drug counselling treatment sessions. We also supported 1,097 adults to cease their use of domestic and family violence; and helped 265 victim–survivors and their children to recover from their experiences of family violence through 1,937 sessions of counselling. </w:t>
      </w:r>
    </w:p>
    <w:p w14:paraId="4A02704C" w14:textId="77777777" w:rsidR="00A317F4" w:rsidRDefault="00483A87">
      <w:pPr>
        <w:ind w:left="-5"/>
      </w:pPr>
      <w:r>
        <w:t xml:space="preserve">Our submission addresses key questions in the DSS Discussion </w:t>
      </w:r>
      <w:proofErr w:type="gramStart"/>
      <w:r>
        <w:t>Paper, and</w:t>
      </w:r>
      <w:proofErr w:type="gramEnd"/>
      <w:r>
        <w:t xml:space="preserve"> draws upon the expertise and experience of senior staff in our Social and Community Services area, which is part of the Children, Youth &amp; Families portfolio.  </w:t>
      </w:r>
    </w:p>
    <w:p w14:paraId="5A9AEE59" w14:textId="77777777" w:rsidR="00A317F4" w:rsidRDefault="00483A87">
      <w:pPr>
        <w:ind w:left="-5"/>
      </w:pPr>
      <w:r>
        <w:t xml:space="preserve">Overall, Anglicare staff are positive about the opportunities that the new program approach provides to more effectively support children, young people, and families of all shapes and sizes, to achieve a better life. The following discussion, however, highlights important considerations in the further development and implementation of the new approach. </w:t>
      </w:r>
    </w:p>
    <w:p w14:paraId="04B6A4E7" w14:textId="77777777" w:rsidR="00A317F4" w:rsidRDefault="00483A87">
      <w:pPr>
        <w:spacing w:after="395" w:line="259" w:lineRule="auto"/>
        <w:ind w:left="0" w:firstLine="0"/>
      </w:pPr>
      <w:r>
        <w:t xml:space="preserve"> </w:t>
      </w:r>
    </w:p>
    <w:p w14:paraId="6DE0D9DA" w14:textId="77777777" w:rsidR="00A317F4" w:rsidRDefault="00483A87">
      <w:pPr>
        <w:pStyle w:val="Heading1"/>
        <w:ind w:left="-5"/>
      </w:pPr>
      <w:bookmarkStart w:id="3" w:name="_Toc10667"/>
      <w:r>
        <w:t xml:space="preserve">Vision and outcomes </w:t>
      </w:r>
      <w:bookmarkEnd w:id="3"/>
    </w:p>
    <w:p w14:paraId="66127947" w14:textId="77777777" w:rsidR="00A317F4" w:rsidRDefault="00483A87">
      <w:pPr>
        <w:ind w:left="-5"/>
      </w:pPr>
      <w:r>
        <w:t xml:space="preserve">Anglicare supports the intent of the new vision and outcomes. </w:t>
      </w:r>
    </w:p>
    <w:p w14:paraId="6DC38703" w14:textId="77777777" w:rsidR="00A317F4" w:rsidRDefault="00483A87">
      <w:pPr>
        <w:spacing w:after="221"/>
        <w:ind w:left="-5"/>
      </w:pPr>
      <w:r>
        <w:t xml:space="preserve">We have, however, </w:t>
      </w:r>
      <w:proofErr w:type="gramStart"/>
      <w:r>
        <w:t>a number of</w:t>
      </w:r>
      <w:proofErr w:type="gramEnd"/>
      <w:r>
        <w:t xml:space="preserve"> comments for consideration. We suggest that: </w:t>
      </w:r>
    </w:p>
    <w:p w14:paraId="011F5F5A" w14:textId="77777777" w:rsidR="00A317F4" w:rsidRDefault="00483A87">
      <w:pPr>
        <w:numPr>
          <w:ilvl w:val="0"/>
          <w:numId w:val="2"/>
        </w:numPr>
        <w:spacing w:after="75"/>
        <w:ind w:hanging="283"/>
      </w:pPr>
      <w:r>
        <w:t xml:space="preserve">the role of </w:t>
      </w:r>
      <w:r>
        <w:rPr>
          <w:b/>
        </w:rPr>
        <w:t>the environment in which children are raised</w:t>
      </w:r>
      <w:r>
        <w:t xml:space="preserve"> should be called out more explicitly. This acknowledges the influence of more systemic issues such as housing and food insecurity, and the role that DSS programs play in addressing the impacts of these issues on individuals and families. </w:t>
      </w:r>
    </w:p>
    <w:p w14:paraId="2B99AA7B" w14:textId="77777777" w:rsidR="00A317F4" w:rsidRDefault="00483A87">
      <w:pPr>
        <w:numPr>
          <w:ilvl w:val="0"/>
          <w:numId w:val="2"/>
        </w:numPr>
        <w:spacing w:after="147"/>
        <w:ind w:hanging="283"/>
      </w:pPr>
      <w:r>
        <w:t xml:space="preserve">the </w:t>
      </w:r>
      <w:r>
        <w:rPr>
          <w:b/>
        </w:rPr>
        <w:t>diversity of what constitutes a family</w:t>
      </w:r>
      <w:r>
        <w:t xml:space="preserve"> in contemporary Australian society is acknowledged more directly. Individuals and households without children, for example, also play a critical role in creating a safe and healthy community for children and young people, and thus early intervention or specialised support for these individuals and groups should also be acknowledged as valuable. </w:t>
      </w:r>
    </w:p>
    <w:p w14:paraId="412DFFA9" w14:textId="77777777" w:rsidR="00A317F4" w:rsidRDefault="00483A87">
      <w:pPr>
        <w:spacing w:after="0" w:line="259" w:lineRule="auto"/>
        <w:ind w:left="0" w:firstLine="0"/>
      </w:pPr>
      <w:r>
        <w:t xml:space="preserve"> </w:t>
      </w:r>
      <w:r>
        <w:tab/>
        <w:t xml:space="preserve"> </w:t>
      </w:r>
    </w:p>
    <w:p w14:paraId="1CB5C69C" w14:textId="77777777" w:rsidR="00A317F4" w:rsidRDefault="00483A87">
      <w:pPr>
        <w:spacing w:after="0"/>
        <w:ind w:left="-5"/>
      </w:pPr>
      <w:r>
        <w:t xml:space="preserve">Given the above considerations, we suggest the changes below: </w:t>
      </w:r>
    </w:p>
    <w:p w14:paraId="04910021" w14:textId="77777777" w:rsidR="00A317F4" w:rsidRDefault="00483A87">
      <w:pPr>
        <w:spacing w:after="215" w:line="259" w:lineRule="auto"/>
        <w:ind w:left="-1" w:firstLine="0"/>
      </w:pPr>
      <w:r>
        <w:rPr>
          <w:rFonts w:ascii="Calibri" w:eastAsia="Calibri" w:hAnsi="Calibri" w:cs="Calibri"/>
          <w:noProof/>
          <w:sz w:val="22"/>
        </w:rPr>
        <w:lastRenderedPageBreak/>
        <mc:AlternateContent>
          <mc:Choice Requires="wpg">
            <w:drawing>
              <wp:inline distT="0" distB="0" distL="0" distR="0" wp14:anchorId="021EB9FE" wp14:editId="6FD1F0F4">
                <wp:extent cx="6361649" cy="1283991"/>
                <wp:effectExtent l="0" t="0" r="0" b="0"/>
                <wp:docPr id="9468" name="Group 9468"/>
                <wp:cNvGraphicFramePr/>
                <a:graphic xmlns:a="http://schemas.openxmlformats.org/drawingml/2006/main">
                  <a:graphicData uri="http://schemas.microsoft.com/office/word/2010/wordprocessingGroup">
                    <wpg:wgp>
                      <wpg:cNvGrpSpPr/>
                      <wpg:grpSpPr>
                        <a:xfrm>
                          <a:off x="0" y="0"/>
                          <a:ext cx="6361649" cy="1283991"/>
                          <a:chOff x="0" y="0"/>
                          <a:chExt cx="6361649" cy="1283991"/>
                        </a:xfrm>
                      </wpg:grpSpPr>
                      <wps:wsp>
                        <wps:cNvPr id="1033" name="Rectangle 1033"/>
                        <wps:cNvSpPr/>
                        <wps:spPr>
                          <a:xfrm>
                            <a:off x="6326506" y="1142952"/>
                            <a:ext cx="46741" cy="187581"/>
                          </a:xfrm>
                          <a:prstGeom prst="rect">
                            <a:avLst/>
                          </a:prstGeom>
                          <a:ln>
                            <a:noFill/>
                          </a:ln>
                        </wps:spPr>
                        <wps:txbx>
                          <w:txbxContent>
                            <w:p w14:paraId="17883B7A" w14:textId="77777777" w:rsidR="00A317F4" w:rsidRDefault="00483A87">
                              <w:pPr>
                                <w:spacing w:after="160" w:line="259" w:lineRule="auto"/>
                                <w:ind w:left="0" w:firstLine="0"/>
                              </w:pPr>
                              <w:r>
                                <w:t xml:space="preserve"> </w:t>
                              </w:r>
                            </w:p>
                          </w:txbxContent>
                        </wps:txbx>
                        <wps:bodyPr horzOverflow="overflow" vert="horz" lIns="0" tIns="0" rIns="0" bIns="0" rtlCol="0">
                          <a:noAutofit/>
                        </wps:bodyPr>
                      </wps:wsp>
                      <wps:wsp>
                        <wps:cNvPr id="1161" name="Shape 1161"/>
                        <wps:cNvSpPr/>
                        <wps:spPr>
                          <a:xfrm>
                            <a:off x="0" y="0"/>
                            <a:ext cx="6315075" cy="1257300"/>
                          </a:xfrm>
                          <a:custGeom>
                            <a:avLst/>
                            <a:gdLst/>
                            <a:ahLst/>
                            <a:cxnLst/>
                            <a:rect l="0" t="0" r="0" b="0"/>
                            <a:pathLst>
                              <a:path w="6315075" h="1257300">
                                <a:moveTo>
                                  <a:pt x="209563" y="0"/>
                                </a:moveTo>
                                <a:lnTo>
                                  <a:pt x="6105525" y="0"/>
                                </a:lnTo>
                                <a:cubicBezTo>
                                  <a:pt x="6221222" y="0"/>
                                  <a:pt x="6315075" y="93853"/>
                                  <a:pt x="6315075" y="209550"/>
                                </a:cubicBezTo>
                                <a:lnTo>
                                  <a:pt x="6315075" y="1047750"/>
                                </a:lnTo>
                                <a:cubicBezTo>
                                  <a:pt x="6315075" y="1163447"/>
                                  <a:pt x="6221222" y="1257300"/>
                                  <a:pt x="6105525" y="1257300"/>
                                </a:cubicBezTo>
                                <a:lnTo>
                                  <a:pt x="209563" y="1257300"/>
                                </a:lnTo>
                                <a:cubicBezTo>
                                  <a:pt x="93828" y="1257300"/>
                                  <a:pt x="0" y="1163447"/>
                                  <a:pt x="0" y="1047750"/>
                                </a:cubicBezTo>
                                <a:lnTo>
                                  <a:pt x="0" y="209550"/>
                                </a:lnTo>
                                <a:cubicBezTo>
                                  <a:pt x="0" y="93853"/>
                                  <a:pt x="93828" y="0"/>
                                  <a:pt x="209563" y="0"/>
                                </a:cubicBezTo>
                                <a:close/>
                              </a:path>
                            </a:pathLst>
                          </a:custGeom>
                          <a:ln w="0" cap="flat">
                            <a:miter lim="127000"/>
                          </a:ln>
                        </wps:spPr>
                        <wps:style>
                          <a:lnRef idx="0">
                            <a:srgbClr val="000000">
                              <a:alpha val="0"/>
                            </a:srgbClr>
                          </a:lnRef>
                          <a:fillRef idx="1">
                            <a:srgbClr val="753BBD"/>
                          </a:fillRef>
                          <a:effectRef idx="0">
                            <a:scrgbClr r="0" g="0" b="0"/>
                          </a:effectRef>
                          <a:fontRef idx="none"/>
                        </wps:style>
                        <wps:bodyPr/>
                      </wps:wsp>
                      <wps:wsp>
                        <wps:cNvPr id="1162" name="Rectangle 1162"/>
                        <wps:cNvSpPr/>
                        <wps:spPr>
                          <a:xfrm>
                            <a:off x="145415" y="154813"/>
                            <a:ext cx="416701" cy="226002"/>
                          </a:xfrm>
                          <a:prstGeom prst="rect">
                            <a:avLst/>
                          </a:prstGeom>
                          <a:ln>
                            <a:noFill/>
                          </a:ln>
                        </wps:spPr>
                        <wps:txbx>
                          <w:txbxContent>
                            <w:p w14:paraId="24AEFDB1" w14:textId="77777777" w:rsidR="00A317F4" w:rsidRDefault="00483A87">
                              <w:pPr>
                                <w:spacing w:after="160" w:line="259" w:lineRule="auto"/>
                                <w:ind w:left="0" w:firstLine="0"/>
                              </w:pPr>
                              <w:r>
                                <w:rPr>
                                  <w:b/>
                                  <w:color w:val="FFFFFF"/>
                                  <w:sz w:val="24"/>
                                </w:rPr>
                                <w:t xml:space="preserve">Our </w:t>
                              </w:r>
                            </w:p>
                          </w:txbxContent>
                        </wps:txbx>
                        <wps:bodyPr horzOverflow="overflow" vert="horz" lIns="0" tIns="0" rIns="0" bIns="0" rtlCol="0">
                          <a:noAutofit/>
                        </wps:bodyPr>
                      </wps:wsp>
                      <wps:wsp>
                        <wps:cNvPr id="1163" name="Rectangle 1163"/>
                        <wps:cNvSpPr/>
                        <wps:spPr>
                          <a:xfrm>
                            <a:off x="459664" y="154813"/>
                            <a:ext cx="1743790" cy="226002"/>
                          </a:xfrm>
                          <a:prstGeom prst="rect">
                            <a:avLst/>
                          </a:prstGeom>
                          <a:ln>
                            <a:noFill/>
                          </a:ln>
                        </wps:spPr>
                        <wps:txbx>
                          <w:txbxContent>
                            <w:p w14:paraId="1001D072" w14:textId="77777777" w:rsidR="00A317F4" w:rsidRDefault="00483A87">
                              <w:pPr>
                                <w:spacing w:after="160" w:line="259" w:lineRule="auto"/>
                                <w:ind w:left="0" w:firstLine="0"/>
                              </w:pPr>
                              <w:r>
                                <w:rPr>
                                  <w:b/>
                                  <w:color w:val="FFFFFF"/>
                                  <w:sz w:val="24"/>
                                </w:rPr>
                                <w:t>recommendations</w:t>
                              </w:r>
                            </w:p>
                          </w:txbxContent>
                        </wps:txbx>
                        <wps:bodyPr horzOverflow="overflow" vert="horz" lIns="0" tIns="0" rIns="0" bIns="0" rtlCol="0">
                          <a:noAutofit/>
                        </wps:bodyPr>
                      </wps:wsp>
                      <wps:wsp>
                        <wps:cNvPr id="1164" name="Rectangle 1164"/>
                        <wps:cNvSpPr/>
                        <wps:spPr>
                          <a:xfrm>
                            <a:off x="1771777" y="154813"/>
                            <a:ext cx="56314" cy="226002"/>
                          </a:xfrm>
                          <a:prstGeom prst="rect">
                            <a:avLst/>
                          </a:prstGeom>
                          <a:ln>
                            <a:noFill/>
                          </a:ln>
                        </wps:spPr>
                        <wps:txbx>
                          <w:txbxContent>
                            <w:p w14:paraId="79AFA8DC" w14:textId="77777777" w:rsidR="00A317F4" w:rsidRDefault="00483A87">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1165" name="Rectangle 1165"/>
                        <wps:cNvSpPr/>
                        <wps:spPr>
                          <a:xfrm>
                            <a:off x="145415" y="503369"/>
                            <a:ext cx="65267" cy="169632"/>
                          </a:xfrm>
                          <a:prstGeom prst="rect">
                            <a:avLst/>
                          </a:prstGeom>
                          <a:ln>
                            <a:noFill/>
                          </a:ln>
                        </wps:spPr>
                        <wps:txbx>
                          <w:txbxContent>
                            <w:p w14:paraId="5B9F4A60" w14:textId="77777777" w:rsidR="00A317F4" w:rsidRDefault="00483A87">
                              <w:pPr>
                                <w:spacing w:after="160" w:line="259" w:lineRule="auto"/>
                                <w:ind w:left="0" w:firstLine="0"/>
                              </w:pPr>
                              <w:r>
                                <w:rPr>
                                  <w:rFonts w:ascii="Times New Roman" w:eastAsia="Times New Roman" w:hAnsi="Times New Roman" w:cs="Times New Roman"/>
                                  <w:color w:val="FFFFFF"/>
                                  <w:sz w:val="22"/>
                                </w:rPr>
                                <w:t>•</w:t>
                              </w:r>
                            </w:p>
                          </w:txbxContent>
                        </wps:txbx>
                        <wps:bodyPr horzOverflow="overflow" vert="horz" lIns="0" tIns="0" rIns="0" bIns="0" rtlCol="0">
                          <a:noAutofit/>
                        </wps:bodyPr>
                      </wps:wsp>
                      <wps:wsp>
                        <wps:cNvPr id="1166" name="Rectangle 1166"/>
                        <wps:cNvSpPr/>
                        <wps:spPr>
                          <a:xfrm>
                            <a:off x="194183" y="473694"/>
                            <a:ext cx="51809" cy="207922"/>
                          </a:xfrm>
                          <a:prstGeom prst="rect">
                            <a:avLst/>
                          </a:prstGeom>
                          <a:ln>
                            <a:noFill/>
                          </a:ln>
                        </wps:spPr>
                        <wps:txbx>
                          <w:txbxContent>
                            <w:p w14:paraId="41D59F8E" w14:textId="77777777" w:rsidR="00A317F4" w:rsidRDefault="00483A87">
                              <w:pPr>
                                <w:spacing w:after="160" w:line="259" w:lineRule="auto"/>
                                <w:ind w:left="0" w:firstLine="0"/>
                              </w:pPr>
                              <w:r>
                                <w:rPr>
                                  <w:color w:val="FFFFFF"/>
                                  <w:sz w:val="22"/>
                                </w:rPr>
                                <w:t xml:space="preserve"> </w:t>
                              </w:r>
                            </w:p>
                          </w:txbxContent>
                        </wps:txbx>
                        <wps:bodyPr horzOverflow="overflow" vert="horz" lIns="0" tIns="0" rIns="0" bIns="0" rtlCol="0">
                          <a:noAutofit/>
                        </wps:bodyPr>
                      </wps:wsp>
                      <wps:wsp>
                        <wps:cNvPr id="1167" name="Rectangle 1167"/>
                        <wps:cNvSpPr/>
                        <wps:spPr>
                          <a:xfrm>
                            <a:off x="325552" y="473694"/>
                            <a:ext cx="7632089" cy="207922"/>
                          </a:xfrm>
                          <a:prstGeom prst="rect">
                            <a:avLst/>
                          </a:prstGeom>
                          <a:ln>
                            <a:noFill/>
                          </a:ln>
                        </wps:spPr>
                        <wps:txbx>
                          <w:txbxContent>
                            <w:p w14:paraId="0D277690" w14:textId="77777777" w:rsidR="00A317F4" w:rsidRDefault="00483A87">
                              <w:pPr>
                                <w:spacing w:after="160" w:line="259" w:lineRule="auto"/>
                                <w:ind w:left="0" w:firstLine="0"/>
                              </w:pPr>
                              <w:r>
                                <w:rPr>
                                  <w:color w:val="FFFFFF"/>
                                  <w:sz w:val="22"/>
                                </w:rPr>
                                <w:t xml:space="preserve">Families of all kinds are empowered to build home environments that are safe, nurturing and </w:t>
                              </w:r>
                            </w:p>
                          </w:txbxContent>
                        </wps:txbx>
                        <wps:bodyPr horzOverflow="overflow" vert="horz" lIns="0" tIns="0" rIns="0" bIns="0" rtlCol="0">
                          <a:noAutofit/>
                        </wps:bodyPr>
                      </wps:wsp>
                      <wps:wsp>
                        <wps:cNvPr id="1168" name="Rectangle 1168"/>
                        <wps:cNvSpPr/>
                        <wps:spPr>
                          <a:xfrm>
                            <a:off x="325552" y="652003"/>
                            <a:ext cx="848811" cy="207922"/>
                          </a:xfrm>
                          <a:prstGeom prst="rect">
                            <a:avLst/>
                          </a:prstGeom>
                          <a:ln>
                            <a:noFill/>
                          </a:ln>
                        </wps:spPr>
                        <wps:txbx>
                          <w:txbxContent>
                            <w:p w14:paraId="0B45BEF3" w14:textId="77777777" w:rsidR="00A317F4" w:rsidRDefault="00483A87">
                              <w:pPr>
                                <w:spacing w:after="160" w:line="259" w:lineRule="auto"/>
                                <w:ind w:left="0" w:firstLine="0"/>
                              </w:pPr>
                              <w:r>
                                <w:rPr>
                                  <w:color w:val="FFFFFF"/>
                                  <w:sz w:val="22"/>
                                </w:rPr>
                                <w:t>accepting.</w:t>
                              </w:r>
                            </w:p>
                          </w:txbxContent>
                        </wps:txbx>
                        <wps:bodyPr horzOverflow="overflow" vert="horz" lIns="0" tIns="0" rIns="0" bIns="0" rtlCol="0">
                          <a:noAutofit/>
                        </wps:bodyPr>
                      </wps:wsp>
                      <wps:wsp>
                        <wps:cNvPr id="1169" name="Rectangle 1169"/>
                        <wps:cNvSpPr/>
                        <wps:spPr>
                          <a:xfrm>
                            <a:off x="962533" y="652003"/>
                            <a:ext cx="51809" cy="207922"/>
                          </a:xfrm>
                          <a:prstGeom prst="rect">
                            <a:avLst/>
                          </a:prstGeom>
                          <a:ln>
                            <a:noFill/>
                          </a:ln>
                        </wps:spPr>
                        <wps:txbx>
                          <w:txbxContent>
                            <w:p w14:paraId="5F5A54A7" w14:textId="77777777" w:rsidR="00A317F4" w:rsidRDefault="00483A87">
                              <w:pPr>
                                <w:spacing w:after="160" w:line="259" w:lineRule="auto"/>
                                <w:ind w:left="0" w:firstLine="0"/>
                              </w:pPr>
                              <w:r>
                                <w:rPr>
                                  <w:color w:val="FFFFFF"/>
                                  <w:sz w:val="22"/>
                                </w:rPr>
                                <w:t xml:space="preserve"> </w:t>
                              </w:r>
                            </w:p>
                          </w:txbxContent>
                        </wps:txbx>
                        <wps:bodyPr horzOverflow="overflow" vert="horz" lIns="0" tIns="0" rIns="0" bIns="0" rtlCol="0">
                          <a:noAutofit/>
                        </wps:bodyPr>
                      </wps:wsp>
                      <wps:wsp>
                        <wps:cNvPr id="1170" name="Rectangle 1170"/>
                        <wps:cNvSpPr/>
                        <wps:spPr>
                          <a:xfrm>
                            <a:off x="145415" y="896561"/>
                            <a:ext cx="65267" cy="169632"/>
                          </a:xfrm>
                          <a:prstGeom prst="rect">
                            <a:avLst/>
                          </a:prstGeom>
                          <a:ln>
                            <a:noFill/>
                          </a:ln>
                        </wps:spPr>
                        <wps:txbx>
                          <w:txbxContent>
                            <w:p w14:paraId="56230692" w14:textId="77777777" w:rsidR="00A317F4" w:rsidRDefault="00483A87">
                              <w:pPr>
                                <w:spacing w:after="160" w:line="259" w:lineRule="auto"/>
                                <w:ind w:left="0" w:firstLine="0"/>
                              </w:pPr>
                              <w:r>
                                <w:rPr>
                                  <w:rFonts w:ascii="Times New Roman" w:eastAsia="Times New Roman" w:hAnsi="Times New Roman" w:cs="Times New Roman"/>
                                  <w:color w:val="FFFFFF"/>
                                  <w:sz w:val="22"/>
                                </w:rPr>
                                <w:t>•</w:t>
                              </w:r>
                            </w:p>
                          </w:txbxContent>
                        </wps:txbx>
                        <wps:bodyPr horzOverflow="overflow" vert="horz" lIns="0" tIns="0" rIns="0" bIns="0" rtlCol="0">
                          <a:noAutofit/>
                        </wps:bodyPr>
                      </wps:wsp>
                      <wps:wsp>
                        <wps:cNvPr id="1171" name="Rectangle 1171"/>
                        <wps:cNvSpPr/>
                        <wps:spPr>
                          <a:xfrm>
                            <a:off x="194183" y="866887"/>
                            <a:ext cx="51809" cy="207922"/>
                          </a:xfrm>
                          <a:prstGeom prst="rect">
                            <a:avLst/>
                          </a:prstGeom>
                          <a:ln>
                            <a:noFill/>
                          </a:ln>
                        </wps:spPr>
                        <wps:txbx>
                          <w:txbxContent>
                            <w:p w14:paraId="18720D97" w14:textId="77777777" w:rsidR="00A317F4" w:rsidRDefault="00483A87">
                              <w:pPr>
                                <w:spacing w:after="160" w:line="259" w:lineRule="auto"/>
                                <w:ind w:left="0" w:firstLine="0"/>
                              </w:pPr>
                              <w:r>
                                <w:rPr>
                                  <w:color w:val="FFFFFF"/>
                                  <w:sz w:val="22"/>
                                </w:rPr>
                                <w:t xml:space="preserve"> </w:t>
                              </w:r>
                            </w:p>
                          </w:txbxContent>
                        </wps:txbx>
                        <wps:bodyPr horzOverflow="overflow" vert="horz" lIns="0" tIns="0" rIns="0" bIns="0" rtlCol="0">
                          <a:noAutofit/>
                        </wps:bodyPr>
                      </wps:wsp>
                      <wps:wsp>
                        <wps:cNvPr id="1172" name="Rectangle 1172"/>
                        <wps:cNvSpPr/>
                        <wps:spPr>
                          <a:xfrm>
                            <a:off x="325552" y="866887"/>
                            <a:ext cx="4896104" cy="207922"/>
                          </a:xfrm>
                          <a:prstGeom prst="rect">
                            <a:avLst/>
                          </a:prstGeom>
                          <a:ln>
                            <a:noFill/>
                          </a:ln>
                        </wps:spPr>
                        <wps:txbx>
                          <w:txbxContent>
                            <w:p w14:paraId="4EE25829" w14:textId="77777777" w:rsidR="00A317F4" w:rsidRDefault="00483A87">
                              <w:pPr>
                                <w:spacing w:after="160" w:line="259" w:lineRule="auto"/>
                                <w:ind w:left="0" w:firstLine="0"/>
                              </w:pPr>
                              <w:r>
                                <w:rPr>
                                  <w:color w:val="FFFFFF"/>
                                  <w:sz w:val="22"/>
                                </w:rPr>
                                <w:t>Children are supported to grow into healthy, resilient adults.</w:t>
                              </w:r>
                            </w:p>
                          </w:txbxContent>
                        </wps:txbx>
                        <wps:bodyPr horzOverflow="overflow" vert="horz" lIns="0" tIns="0" rIns="0" bIns="0" rtlCol="0">
                          <a:noAutofit/>
                        </wps:bodyPr>
                      </wps:wsp>
                      <wps:wsp>
                        <wps:cNvPr id="1173" name="Rectangle 1173"/>
                        <wps:cNvSpPr/>
                        <wps:spPr>
                          <a:xfrm>
                            <a:off x="4008120" y="866887"/>
                            <a:ext cx="51809" cy="207922"/>
                          </a:xfrm>
                          <a:prstGeom prst="rect">
                            <a:avLst/>
                          </a:prstGeom>
                          <a:ln>
                            <a:noFill/>
                          </a:ln>
                        </wps:spPr>
                        <wps:txbx>
                          <w:txbxContent>
                            <w:p w14:paraId="76A02E63" w14:textId="77777777" w:rsidR="00A317F4" w:rsidRDefault="00483A87">
                              <w:pPr>
                                <w:spacing w:after="160" w:line="259" w:lineRule="auto"/>
                                <w:ind w:left="0" w:firstLine="0"/>
                              </w:pPr>
                              <w:r>
                                <w:rPr>
                                  <w:color w:val="FFFFFF"/>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68" style="width:500.917pt;height:101.102pt;mso-position-horizontal-relative:char;mso-position-vertical-relative:line" coordsize="63616,12839">
                <v:rect id="Rectangle 1033" style="position:absolute;width:467;height:1875;left:63265;top:11429;" filled="f" stroked="f">
                  <v:textbox inset="0,0,0,0">
                    <w:txbxContent>
                      <w:p>
                        <w:pPr>
                          <w:spacing w:before="0" w:after="160" w:line="259" w:lineRule="auto"/>
                          <w:ind w:left="0" w:firstLine="0"/>
                        </w:pPr>
                        <w:r>
                          <w:rPr/>
                          <w:t xml:space="preserve"> </w:t>
                        </w:r>
                      </w:p>
                    </w:txbxContent>
                  </v:textbox>
                </v:rect>
                <v:shape id="Shape 1161" style="position:absolute;width:63150;height:12573;left:0;top:0;" coordsize="6315075,1257300" path="m209563,0l6105525,0c6221222,0,6315075,93853,6315075,209550l6315075,1047750c6315075,1163447,6221222,1257300,6105525,1257300l209563,1257300c93828,1257300,0,1163447,0,1047750l0,209550c0,93853,93828,0,209563,0x">
                  <v:stroke weight="0pt" endcap="flat" joinstyle="miter" miterlimit="10" on="false" color="#000000" opacity="0"/>
                  <v:fill on="true" color="#753bbd"/>
                </v:shape>
                <v:rect id="Rectangle 1162" style="position:absolute;width:4167;height:2260;left:1454;top:1548;" filled="f" stroked="f">
                  <v:textbox inset="0,0,0,0">
                    <w:txbxContent>
                      <w:p>
                        <w:pPr>
                          <w:spacing w:before="0" w:after="160" w:line="259" w:lineRule="auto"/>
                          <w:ind w:left="0" w:firstLine="0"/>
                        </w:pPr>
                        <w:r>
                          <w:rPr>
                            <w:rFonts w:cs="Arial" w:hAnsi="Arial" w:eastAsia="Arial" w:ascii="Arial"/>
                            <w:b w:val="1"/>
                            <w:color w:val="ffffff"/>
                            <w:sz w:val="24"/>
                          </w:rPr>
                          <w:t xml:space="preserve">Our </w:t>
                        </w:r>
                      </w:p>
                    </w:txbxContent>
                  </v:textbox>
                </v:rect>
                <v:rect id="Rectangle 1163" style="position:absolute;width:17437;height:2260;left:4596;top:1548;" filled="f" stroked="f">
                  <v:textbox inset="0,0,0,0">
                    <w:txbxContent>
                      <w:p>
                        <w:pPr>
                          <w:spacing w:before="0" w:after="160" w:line="259" w:lineRule="auto"/>
                          <w:ind w:left="0" w:firstLine="0"/>
                        </w:pPr>
                        <w:r>
                          <w:rPr>
                            <w:rFonts w:cs="Arial" w:hAnsi="Arial" w:eastAsia="Arial" w:ascii="Arial"/>
                            <w:b w:val="1"/>
                            <w:color w:val="ffffff"/>
                            <w:sz w:val="24"/>
                          </w:rPr>
                          <w:t xml:space="preserve">recommendations</w:t>
                        </w:r>
                      </w:p>
                    </w:txbxContent>
                  </v:textbox>
                </v:rect>
                <v:rect id="Rectangle 1164" style="position:absolute;width:563;height:2260;left:17717;top:1548;" filled="f" stroked="f">
                  <v:textbox inset="0,0,0,0">
                    <w:txbxContent>
                      <w:p>
                        <w:pPr>
                          <w:spacing w:before="0" w:after="160" w:line="259" w:lineRule="auto"/>
                          <w:ind w:left="0" w:firstLine="0"/>
                        </w:pPr>
                        <w:r>
                          <w:rPr>
                            <w:rFonts w:cs="Arial" w:hAnsi="Arial" w:eastAsia="Arial" w:ascii="Arial"/>
                            <w:b w:val="1"/>
                            <w:color w:val="ffffff"/>
                            <w:sz w:val="24"/>
                          </w:rPr>
                          <w:t xml:space="preserve"> </w:t>
                        </w:r>
                      </w:p>
                    </w:txbxContent>
                  </v:textbox>
                </v:rect>
                <v:rect id="Rectangle 1165" style="position:absolute;width:652;height:1696;left:1454;top:5033;" filled="f" stroked="f">
                  <v:textbox inset="0,0,0,0">
                    <w:txbxContent>
                      <w:p>
                        <w:pPr>
                          <w:spacing w:before="0" w:after="160" w:line="259" w:lineRule="auto"/>
                          <w:ind w:left="0" w:firstLine="0"/>
                        </w:pPr>
                        <w:r>
                          <w:rPr>
                            <w:rFonts w:cs="Times New Roman" w:hAnsi="Times New Roman" w:eastAsia="Times New Roman" w:ascii="Times New Roman"/>
                            <w:color w:val="ffffff"/>
                            <w:sz w:val="22"/>
                          </w:rPr>
                          <w:t xml:space="preserve">•</w:t>
                        </w:r>
                      </w:p>
                    </w:txbxContent>
                  </v:textbox>
                </v:rect>
                <v:rect id="Rectangle 1166" style="position:absolute;width:518;height:2079;left:1941;top:4736;" filled="f" stroked="f">
                  <v:textbox inset="0,0,0,0">
                    <w:txbxContent>
                      <w:p>
                        <w:pPr>
                          <w:spacing w:before="0" w:after="160" w:line="259" w:lineRule="auto"/>
                          <w:ind w:left="0" w:firstLine="0"/>
                        </w:pPr>
                        <w:r>
                          <w:rPr>
                            <w:color w:val="ffffff"/>
                            <w:sz w:val="22"/>
                          </w:rPr>
                          <w:t xml:space="preserve"> </w:t>
                        </w:r>
                      </w:p>
                    </w:txbxContent>
                  </v:textbox>
                </v:rect>
                <v:rect id="Rectangle 1167" style="position:absolute;width:76320;height:2079;left:3255;top:4736;" filled="f" stroked="f">
                  <v:textbox inset="0,0,0,0">
                    <w:txbxContent>
                      <w:p>
                        <w:pPr>
                          <w:spacing w:before="0" w:after="160" w:line="259" w:lineRule="auto"/>
                          <w:ind w:left="0" w:firstLine="0"/>
                        </w:pPr>
                        <w:r>
                          <w:rPr>
                            <w:color w:val="ffffff"/>
                            <w:sz w:val="22"/>
                          </w:rPr>
                          <w:t xml:space="preserve">Families of all kinds are empowered to build home environments that are safe, nurturing and </w:t>
                        </w:r>
                      </w:p>
                    </w:txbxContent>
                  </v:textbox>
                </v:rect>
                <v:rect id="Rectangle 1168" style="position:absolute;width:8488;height:2079;left:3255;top:6520;" filled="f" stroked="f">
                  <v:textbox inset="0,0,0,0">
                    <w:txbxContent>
                      <w:p>
                        <w:pPr>
                          <w:spacing w:before="0" w:after="160" w:line="259" w:lineRule="auto"/>
                          <w:ind w:left="0" w:firstLine="0"/>
                        </w:pPr>
                        <w:r>
                          <w:rPr>
                            <w:color w:val="ffffff"/>
                            <w:sz w:val="22"/>
                          </w:rPr>
                          <w:t xml:space="preserve">accepting.</w:t>
                        </w:r>
                      </w:p>
                    </w:txbxContent>
                  </v:textbox>
                </v:rect>
                <v:rect id="Rectangle 1169" style="position:absolute;width:518;height:2079;left:9625;top:6520;" filled="f" stroked="f">
                  <v:textbox inset="0,0,0,0">
                    <w:txbxContent>
                      <w:p>
                        <w:pPr>
                          <w:spacing w:before="0" w:after="160" w:line="259" w:lineRule="auto"/>
                          <w:ind w:left="0" w:firstLine="0"/>
                        </w:pPr>
                        <w:r>
                          <w:rPr>
                            <w:color w:val="ffffff"/>
                            <w:sz w:val="22"/>
                          </w:rPr>
                          <w:t xml:space="preserve"> </w:t>
                        </w:r>
                      </w:p>
                    </w:txbxContent>
                  </v:textbox>
                </v:rect>
                <v:rect id="Rectangle 1170" style="position:absolute;width:652;height:1696;left:1454;top:8965;" filled="f" stroked="f">
                  <v:textbox inset="0,0,0,0">
                    <w:txbxContent>
                      <w:p>
                        <w:pPr>
                          <w:spacing w:before="0" w:after="160" w:line="259" w:lineRule="auto"/>
                          <w:ind w:left="0" w:firstLine="0"/>
                        </w:pPr>
                        <w:r>
                          <w:rPr>
                            <w:rFonts w:cs="Times New Roman" w:hAnsi="Times New Roman" w:eastAsia="Times New Roman" w:ascii="Times New Roman"/>
                            <w:color w:val="ffffff"/>
                            <w:sz w:val="22"/>
                          </w:rPr>
                          <w:t xml:space="preserve">•</w:t>
                        </w:r>
                      </w:p>
                    </w:txbxContent>
                  </v:textbox>
                </v:rect>
                <v:rect id="Rectangle 1171" style="position:absolute;width:518;height:2079;left:1941;top:8668;" filled="f" stroked="f">
                  <v:textbox inset="0,0,0,0">
                    <w:txbxContent>
                      <w:p>
                        <w:pPr>
                          <w:spacing w:before="0" w:after="160" w:line="259" w:lineRule="auto"/>
                          <w:ind w:left="0" w:firstLine="0"/>
                        </w:pPr>
                        <w:r>
                          <w:rPr>
                            <w:color w:val="ffffff"/>
                            <w:sz w:val="22"/>
                          </w:rPr>
                          <w:t xml:space="preserve"> </w:t>
                        </w:r>
                      </w:p>
                    </w:txbxContent>
                  </v:textbox>
                </v:rect>
                <v:rect id="Rectangle 1172" style="position:absolute;width:48961;height:2079;left:3255;top:8668;" filled="f" stroked="f">
                  <v:textbox inset="0,0,0,0">
                    <w:txbxContent>
                      <w:p>
                        <w:pPr>
                          <w:spacing w:before="0" w:after="160" w:line="259" w:lineRule="auto"/>
                          <w:ind w:left="0" w:firstLine="0"/>
                        </w:pPr>
                        <w:r>
                          <w:rPr>
                            <w:color w:val="ffffff"/>
                            <w:sz w:val="22"/>
                          </w:rPr>
                          <w:t xml:space="preserve">Children are supported to grow into healthy, resilient adults.</w:t>
                        </w:r>
                      </w:p>
                    </w:txbxContent>
                  </v:textbox>
                </v:rect>
                <v:rect id="Rectangle 1173" style="position:absolute;width:518;height:2079;left:40081;top:8668;" filled="f" stroked="f">
                  <v:textbox inset="0,0,0,0">
                    <w:txbxContent>
                      <w:p>
                        <w:pPr>
                          <w:spacing w:before="0" w:after="160" w:line="259" w:lineRule="auto"/>
                          <w:ind w:left="0" w:firstLine="0"/>
                        </w:pPr>
                        <w:r>
                          <w:rPr>
                            <w:color w:val="ffffff"/>
                            <w:sz w:val="22"/>
                          </w:rPr>
                          <w:t xml:space="preserve"> </w:t>
                        </w:r>
                      </w:p>
                    </w:txbxContent>
                  </v:textbox>
                </v:rect>
              </v:group>
            </w:pict>
          </mc:Fallback>
        </mc:AlternateContent>
      </w:r>
    </w:p>
    <w:p w14:paraId="49BEA0F8" w14:textId="77777777" w:rsidR="00A317F4" w:rsidRDefault="00483A87">
      <w:pPr>
        <w:spacing w:after="316" w:line="259" w:lineRule="auto"/>
        <w:ind w:left="0" w:firstLine="0"/>
      </w:pPr>
      <w:r>
        <w:t xml:space="preserve"> </w:t>
      </w:r>
    </w:p>
    <w:p w14:paraId="31321FAA" w14:textId="77777777" w:rsidR="00A317F4" w:rsidRDefault="00483A87">
      <w:pPr>
        <w:pStyle w:val="Heading1"/>
        <w:ind w:left="-5"/>
      </w:pPr>
      <w:bookmarkStart w:id="4" w:name="_Toc10668"/>
      <w:r>
        <w:t xml:space="preserve">Program structure </w:t>
      </w:r>
      <w:bookmarkEnd w:id="4"/>
    </w:p>
    <w:p w14:paraId="6AF580DE" w14:textId="77777777" w:rsidR="00A317F4" w:rsidRDefault="00483A87">
      <w:pPr>
        <w:ind w:left="-5"/>
      </w:pPr>
      <w:r>
        <w:t xml:space="preserve">Anglicare currently offers services under two of the proposed new streams in Southern Queensland, and has a strong commitment to the value of </w:t>
      </w:r>
      <w:proofErr w:type="gramStart"/>
      <w:r>
        <w:t>both of these</w:t>
      </w:r>
      <w:proofErr w:type="gramEnd"/>
      <w:r>
        <w:t xml:space="preserve"> program streams for children, young people and families:  </w:t>
      </w:r>
    </w:p>
    <w:p w14:paraId="675DA2C2" w14:textId="77777777" w:rsidR="00A317F4" w:rsidRDefault="00483A87">
      <w:pPr>
        <w:numPr>
          <w:ilvl w:val="0"/>
          <w:numId w:val="3"/>
        </w:numPr>
        <w:spacing w:after="0"/>
        <w:ind w:hanging="283"/>
      </w:pPr>
      <w:r>
        <w:t xml:space="preserve">Stream 2: Prevention and early intervention </w:t>
      </w:r>
    </w:p>
    <w:p w14:paraId="0E39CBB7" w14:textId="77777777" w:rsidR="00A317F4" w:rsidRDefault="00483A87">
      <w:pPr>
        <w:numPr>
          <w:ilvl w:val="0"/>
          <w:numId w:val="3"/>
        </w:numPr>
        <w:ind w:hanging="283"/>
      </w:pPr>
      <w:r>
        <w:t xml:space="preserve">Stream 3: Intensive family supports </w:t>
      </w:r>
    </w:p>
    <w:p w14:paraId="5A48D9C9" w14:textId="77777777" w:rsidR="00A317F4" w:rsidRDefault="00483A87">
      <w:pPr>
        <w:ind w:left="-5"/>
      </w:pPr>
      <w:r>
        <w:t xml:space="preserve">We support in principle the concept of a single national program. At its best, this structure has the potential to reduce artificial boundaries that can exist between multiple smaller programs, and offer the flexibility for families to be able to move in and out of programs, across streams, as necessary: that is, a ‘no wrong door’ and ‘step-up/stepdown’ approach that is not constrained by inflexible guidelines. </w:t>
      </w:r>
    </w:p>
    <w:p w14:paraId="37D7D79A" w14:textId="77777777" w:rsidR="00A317F4" w:rsidRDefault="00483A87">
      <w:pPr>
        <w:spacing w:after="58"/>
        <w:ind w:left="-5"/>
      </w:pPr>
      <w:r>
        <w:t xml:space="preserve">We note, however, that there is currently insufficient detail available to determine whether the proposed structure will be able to address practical challenges, such as monitoring service availability in different areas and/or for different cohorts, </w:t>
      </w:r>
      <w:proofErr w:type="gramStart"/>
      <w:r>
        <w:t>in order to</w:t>
      </w:r>
      <w:proofErr w:type="gramEnd"/>
      <w:r>
        <w:t xml:space="preserve"> deliver the intended outcomes. </w:t>
      </w:r>
    </w:p>
    <w:p w14:paraId="6E76F1C7" w14:textId="77777777" w:rsidR="00A317F4" w:rsidRDefault="00483A87">
      <w:pPr>
        <w:spacing w:after="316" w:line="259" w:lineRule="auto"/>
        <w:ind w:left="0" w:firstLine="0"/>
      </w:pPr>
      <w:r>
        <w:t xml:space="preserve"> </w:t>
      </w:r>
    </w:p>
    <w:p w14:paraId="64266064" w14:textId="77777777" w:rsidR="00A317F4" w:rsidRDefault="00483A87">
      <w:pPr>
        <w:pStyle w:val="Heading1"/>
        <w:spacing w:after="124"/>
        <w:ind w:left="-5"/>
      </w:pPr>
      <w:bookmarkStart w:id="5" w:name="_Toc10669"/>
      <w:r>
        <w:t xml:space="preserve">Prioritising investment </w:t>
      </w:r>
      <w:bookmarkEnd w:id="5"/>
    </w:p>
    <w:p w14:paraId="2F4CDB55" w14:textId="77777777" w:rsidR="00A317F4" w:rsidRDefault="00483A87">
      <w:pPr>
        <w:spacing w:after="293"/>
        <w:ind w:left="-5"/>
      </w:pPr>
      <w:r>
        <w:t xml:space="preserve">We provide some considerations regarding each of the Australian Government’s priorities below: </w:t>
      </w:r>
    </w:p>
    <w:p w14:paraId="32872126" w14:textId="77777777" w:rsidR="00A317F4" w:rsidRDefault="00483A87">
      <w:pPr>
        <w:pStyle w:val="Heading2"/>
        <w:ind w:left="-5"/>
      </w:pPr>
      <w:bookmarkStart w:id="6" w:name="_Toc10670"/>
      <w:r>
        <w:t xml:space="preserve">Invest early to improve family wellbeing, break cycles of disadvantage and reduce the need for later interventions, like child protection </w:t>
      </w:r>
      <w:bookmarkEnd w:id="6"/>
    </w:p>
    <w:p w14:paraId="050F7D69" w14:textId="77777777" w:rsidR="00A317F4" w:rsidRDefault="00483A87">
      <w:pPr>
        <w:ind w:left="-5"/>
      </w:pPr>
      <w:r>
        <w:t xml:space="preserve">Anglicare has a deep commitment to prevention and early intervention, and our staff strongly support a </w:t>
      </w:r>
      <w:r>
        <w:rPr>
          <w:b/>
        </w:rPr>
        <w:t>child- and young person-centric approach</w:t>
      </w:r>
      <w:r>
        <w:t xml:space="preserve">.  </w:t>
      </w:r>
    </w:p>
    <w:p w14:paraId="3E4AC703" w14:textId="77777777" w:rsidR="00A317F4" w:rsidRDefault="00483A87">
      <w:pPr>
        <w:ind w:left="-5"/>
      </w:pPr>
      <w:r>
        <w:t xml:space="preserve">For a very significant number of Australian children and young people, this needs to include explicit recognition of the myriad ways that trauma impacts their lives, including mental and physical health, family and community relationships and wellbeing, and education opportunities. These effects are pervasive enough that </w:t>
      </w:r>
      <w:r>
        <w:rPr>
          <w:b/>
        </w:rPr>
        <w:t>the right of children and young people to live trauma-free should be a priority</w:t>
      </w:r>
      <w:r>
        <w:t xml:space="preserve">, with easy integration of Streams 2 and 3 that enables personalised service delivery that meets the needs of individual children, young people and families. </w:t>
      </w:r>
    </w:p>
    <w:p w14:paraId="55C19BD3" w14:textId="77777777" w:rsidR="00A317F4" w:rsidRDefault="00483A87">
      <w:pPr>
        <w:pStyle w:val="Heading2"/>
        <w:ind w:left="-5"/>
      </w:pPr>
      <w:bookmarkStart w:id="7" w:name="_Toc10671"/>
      <w:r>
        <w:lastRenderedPageBreak/>
        <w:t xml:space="preserve">Prioritise connected, co-located and integrated services that work together to meet family needs </w:t>
      </w:r>
      <w:bookmarkEnd w:id="7"/>
    </w:p>
    <w:p w14:paraId="7F83D067" w14:textId="77777777" w:rsidR="00A317F4" w:rsidRDefault="00483A87">
      <w:pPr>
        <w:ind w:left="-5"/>
      </w:pPr>
      <w:r>
        <w:t xml:space="preserve">We </w:t>
      </w:r>
      <w:r>
        <w:rPr>
          <w:b/>
        </w:rPr>
        <w:t>strongly support the benefits of program co-location</w:t>
      </w:r>
      <w:r>
        <w:t xml:space="preserve"> where possible. Anglicare has established our own informal ‘hubs’, and these have proven to be very effective in enabling smooth transitions, flexibility, and </w:t>
      </w:r>
      <w:proofErr w:type="spellStart"/>
      <w:r>
        <w:t>costeffective</w:t>
      </w:r>
      <w:proofErr w:type="spellEnd"/>
      <w:r>
        <w:t xml:space="preserve"> activity across our own programs. They are also an effective structure for enabling strong relationships and collaboration with the local community. Physical visibility is particularly advantageous. </w:t>
      </w:r>
    </w:p>
    <w:p w14:paraId="7EDF0F0D" w14:textId="77777777" w:rsidR="00A317F4" w:rsidRDefault="00483A87">
      <w:pPr>
        <w:ind w:left="-5"/>
      </w:pPr>
      <w:r>
        <w:t xml:space="preserve">Co-location within or between organisations however may not always be practical, and </w:t>
      </w:r>
      <w:r>
        <w:rPr>
          <w:b/>
        </w:rPr>
        <w:t>the key criteria should be evidence of strong working relationships</w:t>
      </w:r>
      <w:r>
        <w:t xml:space="preserve">. For example, by working closely with clients, Anglicare staff will identify mental health issues </w:t>
      </w:r>
      <w:proofErr w:type="gramStart"/>
      <w:r>
        <w:t>early, and</w:t>
      </w:r>
      <w:proofErr w:type="gramEnd"/>
      <w:r>
        <w:t xml:space="preserve"> then refer out to other agencies using referral pathways built on local connections and networks.  </w:t>
      </w:r>
    </w:p>
    <w:p w14:paraId="4E516DDE" w14:textId="77777777" w:rsidR="00A317F4" w:rsidRDefault="00483A87">
      <w:pPr>
        <w:spacing w:after="289"/>
        <w:ind w:left="-5"/>
      </w:pPr>
      <w:r>
        <w:rPr>
          <w:b/>
        </w:rPr>
        <w:t xml:space="preserve">Evidence of the extent to which services are enmeshed in local communities is important. </w:t>
      </w:r>
      <w:r>
        <w:t xml:space="preserve">This may include participation in community-based inter-agency meetings, local events, and active connections with organisations in other sectors, such as business, health, education, and community (such as neighbourhood centres); and across different levels of government, including local government. </w:t>
      </w:r>
    </w:p>
    <w:p w14:paraId="24F0B923" w14:textId="77777777" w:rsidR="00A317F4" w:rsidRDefault="00483A87">
      <w:pPr>
        <w:pStyle w:val="Heading2"/>
        <w:ind w:left="-5"/>
      </w:pPr>
      <w:bookmarkStart w:id="8" w:name="_Toc10672"/>
      <w:r>
        <w:t xml:space="preserve">Ensure services are informed by and respond to community needs </w:t>
      </w:r>
      <w:bookmarkEnd w:id="8"/>
    </w:p>
    <w:p w14:paraId="41FB453D" w14:textId="77777777" w:rsidR="00A317F4" w:rsidRDefault="00483A87">
      <w:pPr>
        <w:ind w:left="-5"/>
      </w:pPr>
      <w:r>
        <w:rPr>
          <w:b/>
        </w:rPr>
        <w:t>All services need to be flexible in addressing community needs</w:t>
      </w:r>
      <w:r>
        <w:t xml:space="preserve">. Emerging patterns of mental health issues (including gender dysphoria), drug and alcohol use, and the incidence of domestic and family violence, for example, require services to respond appropriately as need develops. </w:t>
      </w:r>
    </w:p>
    <w:p w14:paraId="5F9C009D" w14:textId="77777777" w:rsidR="00A317F4" w:rsidRDefault="00483A87">
      <w:pPr>
        <w:ind w:left="-5"/>
      </w:pPr>
      <w:r>
        <w:rPr>
          <w:b/>
        </w:rPr>
        <w:t>Funding also needs to reflect this agility</w:t>
      </w:r>
      <w:r>
        <w:t xml:space="preserve">, with easy integration of funding for Streams 2 and 3, as mentioned above, required to enable human services organisations to proactively address emerging community need. </w:t>
      </w:r>
    </w:p>
    <w:p w14:paraId="7ED05D80" w14:textId="77777777" w:rsidR="00A317F4" w:rsidRDefault="00483A87">
      <w:pPr>
        <w:ind w:left="-5"/>
      </w:pPr>
      <w:r>
        <w:t xml:space="preserve">The use of SEIFA and other data to identify communities most in need of services is a valuable strategy. It is important however that </w:t>
      </w:r>
      <w:r>
        <w:rPr>
          <w:b/>
        </w:rPr>
        <w:t xml:space="preserve">such tools </w:t>
      </w:r>
      <w:proofErr w:type="gramStart"/>
      <w:r>
        <w:rPr>
          <w:b/>
        </w:rPr>
        <w:t>not be</w:t>
      </w:r>
      <w:proofErr w:type="gramEnd"/>
      <w:r>
        <w:rPr>
          <w:b/>
        </w:rPr>
        <w:t xml:space="preserve"> used in isolation from consultation and the evidence provided by services</w:t>
      </w:r>
      <w:r>
        <w:t xml:space="preserve"> on the ground. The nature of funding contracts, combined with organisational footprints, can mean that service gaps arise in unexpected locations. Organisations may also be funded for services in areas where they offer outreach but have no physical presence. This is particularly the case in larger SA2 regions, which cover enormous areas and where services may be quite distant from remote populations. </w:t>
      </w:r>
      <w:proofErr w:type="gramStart"/>
      <w:r>
        <w:t>In itself, this</w:t>
      </w:r>
      <w:proofErr w:type="gramEnd"/>
      <w:r>
        <w:t xml:space="preserve"> does not mean that service providers are disconnected from local </w:t>
      </w:r>
      <w:proofErr w:type="gramStart"/>
      <w:r>
        <w:t>need, but</w:t>
      </w:r>
      <w:proofErr w:type="gramEnd"/>
      <w:r>
        <w:t xml:space="preserve"> does suggest that active engagement in regional networks etc with other service providers assumes an even greater importance. </w:t>
      </w:r>
    </w:p>
    <w:p w14:paraId="1A9FE8DE" w14:textId="77777777" w:rsidR="00A317F4" w:rsidRDefault="00483A87">
      <w:pPr>
        <w:spacing w:after="478"/>
        <w:ind w:left="-5"/>
      </w:pPr>
      <w:r>
        <w:t xml:space="preserve">In terms of addressing community need for Culturally and Linguistically Diverse (CALD) individuals and families, Anglicare staff note that </w:t>
      </w:r>
      <w:r>
        <w:rPr>
          <w:b/>
        </w:rPr>
        <w:t>the Departmental definition used for CALD populations can impose limitations on data collection</w:t>
      </w:r>
      <w:r>
        <w:t xml:space="preserve"> relevant to this group. The English-speaking children of CALD migrants, sometimes described in scholarly literature as ‘Generation 1.5’,</w:t>
      </w:r>
      <w:r>
        <w:rPr>
          <w:vertAlign w:val="superscript"/>
        </w:rPr>
        <w:footnoteReference w:id="1"/>
      </w:r>
      <w:r>
        <w:t xml:space="preserve"> are not captured as CALD in the Department’s definition. Anglicare currently provides two sets of reporting data to the Department to better represent our practice, given the heightened cultural and linguistic needs of this group. We recommend that the existing definition be reviewed to better capture the extent of the </w:t>
      </w:r>
      <w:proofErr w:type="gramStart"/>
      <w:r>
        <w:t>often complex</w:t>
      </w:r>
      <w:proofErr w:type="gramEnd"/>
      <w:r>
        <w:t xml:space="preserve"> service needs of ‘Generation 1.5’. </w:t>
      </w:r>
    </w:p>
    <w:p w14:paraId="03B55FBF" w14:textId="77777777" w:rsidR="00A317F4" w:rsidRDefault="00483A87">
      <w:pPr>
        <w:spacing w:after="233" w:line="259" w:lineRule="auto"/>
        <w:ind w:left="0" w:firstLine="0"/>
      </w:pPr>
      <w:r>
        <w:rPr>
          <w:rFonts w:ascii="Calibri" w:eastAsia="Calibri" w:hAnsi="Calibri" w:cs="Calibri"/>
          <w:noProof/>
          <w:sz w:val="22"/>
        </w:rPr>
        <mc:AlternateContent>
          <mc:Choice Requires="wpg">
            <w:drawing>
              <wp:inline distT="0" distB="0" distL="0" distR="0" wp14:anchorId="6415BCDF" wp14:editId="30FBAE13">
                <wp:extent cx="1829054" cy="6096"/>
                <wp:effectExtent l="0" t="0" r="0" b="0"/>
                <wp:docPr id="9704" name="Group 9704"/>
                <wp:cNvGraphicFramePr/>
                <a:graphic xmlns:a="http://schemas.openxmlformats.org/drawingml/2006/main">
                  <a:graphicData uri="http://schemas.microsoft.com/office/word/2010/wordprocessingGroup">
                    <wpg:wgp>
                      <wpg:cNvGrpSpPr/>
                      <wpg:grpSpPr>
                        <a:xfrm>
                          <a:off x="0" y="0"/>
                          <a:ext cx="1829054" cy="6096"/>
                          <a:chOff x="0" y="0"/>
                          <a:chExt cx="1829054" cy="6096"/>
                        </a:xfrm>
                      </wpg:grpSpPr>
                      <wps:wsp>
                        <wps:cNvPr id="10931" name="Shape 1093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704" style="width:144.02pt;height:0.47998pt;mso-position-horizontal-relative:char;mso-position-vertical-relative:line" coordsize="18290,60">
                <v:shape id="Shape 1093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026E6B8" w14:textId="77777777" w:rsidR="00A317F4" w:rsidRDefault="00483A87">
      <w:pPr>
        <w:spacing w:after="0" w:line="259" w:lineRule="auto"/>
        <w:ind w:left="0" w:firstLine="0"/>
      </w:pPr>
      <w:r>
        <w:t xml:space="preserve"> </w:t>
      </w:r>
    </w:p>
    <w:p w14:paraId="4F6E13DC" w14:textId="77777777" w:rsidR="00A317F4" w:rsidRDefault="00483A87">
      <w:pPr>
        <w:pStyle w:val="Heading2"/>
        <w:ind w:left="-5"/>
      </w:pPr>
      <w:bookmarkStart w:id="9" w:name="_Toc10673"/>
      <w:r>
        <w:lastRenderedPageBreak/>
        <w:t xml:space="preserve">Improve the outcomes for First Nations children and families by increasing the number of Aboriginal and Torres Strait Islander community-controlled organisations (ACCOs) delivering supports in locations with high First Nations populations </w:t>
      </w:r>
      <w:bookmarkEnd w:id="9"/>
    </w:p>
    <w:p w14:paraId="4CFCB1CB" w14:textId="77777777" w:rsidR="00A317F4" w:rsidRDefault="00483A87">
      <w:pPr>
        <w:ind w:left="-5"/>
      </w:pPr>
      <w:r>
        <w:t xml:space="preserve">Anglicare is </w:t>
      </w:r>
      <w:r>
        <w:rPr>
          <w:b/>
        </w:rPr>
        <w:t>fully supportive of this priority</w:t>
      </w:r>
      <w:r>
        <w:t xml:space="preserve"> and has strong relationships with </w:t>
      </w:r>
      <w:proofErr w:type="gramStart"/>
      <w:r>
        <w:t>a number of</w:t>
      </w:r>
      <w:proofErr w:type="gramEnd"/>
      <w:r>
        <w:t xml:space="preserve"> ACCOs in Southern Queensland.  </w:t>
      </w:r>
    </w:p>
    <w:p w14:paraId="153D8E8B" w14:textId="77777777" w:rsidR="00A317F4" w:rsidRDefault="00483A87">
      <w:pPr>
        <w:ind w:left="-5"/>
      </w:pPr>
      <w:r>
        <w:t xml:space="preserve">We believe that the priority should be framed however in terms of </w:t>
      </w:r>
      <w:r>
        <w:rPr>
          <w:b/>
        </w:rPr>
        <w:t>empowering and properly resourcing ACCOs to deliver the best outcomes for First Nations children and families</w:t>
      </w:r>
      <w:r>
        <w:t xml:space="preserve">, rather than focusing strictly on increased numbers of ACCOs. This includes assisting organisations to build strong local connections between ACCOs and mainstream organisations. </w:t>
      </w:r>
    </w:p>
    <w:p w14:paraId="75921D25" w14:textId="77777777" w:rsidR="00A317F4" w:rsidRDefault="00483A87">
      <w:pPr>
        <w:ind w:left="-5"/>
      </w:pPr>
      <w:r>
        <w:t xml:space="preserve">We also note </w:t>
      </w:r>
      <w:r>
        <w:rPr>
          <w:b/>
        </w:rPr>
        <w:t>the importance of client choice</w:t>
      </w:r>
      <w:r>
        <w:t xml:space="preserve">. In certain locations, some Aboriginal and Torres Strait Islander clients prefer to establish or maintain a relationship with Anglicare’s Identified staff, rather than seek services from a local ACCO. This can be due to existing strong relationships with Anglicare, and/or local community or family sensitivities attached to the ACCO.   </w:t>
      </w:r>
    </w:p>
    <w:p w14:paraId="01750C8E" w14:textId="77777777" w:rsidR="00A317F4" w:rsidRDefault="00483A87">
      <w:pPr>
        <w:spacing w:after="58"/>
        <w:ind w:left="-5"/>
      </w:pPr>
      <w:r>
        <w:t xml:space="preserve">While reiterating our support, therefore, for the increased resourcing and numbers of ACCOs and the importance of empowering ACCOs to serve their local communities, we also advocate for the primacy of individual client choice.  </w:t>
      </w:r>
    </w:p>
    <w:p w14:paraId="026F5DA9" w14:textId="77777777" w:rsidR="00A317F4" w:rsidRDefault="00483A87">
      <w:pPr>
        <w:spacing w:after="316" w:line="259" w:lineRule="auto"/>
        <w:ind w:left="283" w:firstLine="0"/>
      </w:pPr>
      <w:r>
        <w:t xml:space="preserve"> </w:t>
      </w:r>
    </w:p>
    <w:p w14:paraId="0568C71C" w14:textId="77777777" w:rsidR="00A317F4" w:rsidRDefault="00483A87">
      <w:pPr>
        <w:pStyle w:val="Heading1"/>
        <w:ind w:left="-5"/>
      </w:pPr>
      <w:bookmarkStart w:id="10" w:name="_Toc10674"/>
      <w:r>
        <w:t xml:space="preserve">Measuring outcomes </w:t>
      </w:r>
      <w:bookmarkEnd w:id="10"/>
    </w:p>
    <w:p w14:paraId="1FAB2A51" w14:textId="77777777" w:rsidR="00A317F4" w:rsidRDefault="00483A87">
      <w:pPr>
        <w:spacing w:after="221"/>
        <w:ind w:left="-5"/>
      </w:pPr>
      <w:r>
        <w:t xml:space="preserve">We consider the following points are important inclusions for the new program in terms of measuring outcomes: </w:t>
      </w:r>
    </w:p>
    <w:p w14:paraId="048325EA" w14:textId="77777777" w:rsidR="00A317F4" w:rsidRDefault="00483A87">
      <w:pPr>
        <w:numPr>
          <w:ilvl w:val="0"/>
          <w:numId w:val="4"/>
        </w:numPr>
        <w:spacing w:after="75"/>
        <w:ind w:hanging="283"/>
      </w:pPr>
      <w:r>
        <w:t xml:space="preserve">We support </w:t>
      </w:r>
      <w:r>
        <w:rPr>
          <w:b/>
        </w:rPr>
        <w:t>transparency and simple channels for data sharing</w:t>
      </w:r>
      <w:r>
        <w:t xml:space="preserve"> across service providers to support collective learning. </w:t>
      </w:r>
    </w:p>
    <w:p w14:paraId="36523D21" w14:textId="77777777" w:rsidR="00A317F4" w:rsidRDefault="00483A87">
      <w:pPr>
        <w:numPr>
          <w:ilvl w:val="0"/>
          <w:numId w:val="4"/>
        </w:numPr>
        <w:spacing w:after="3"/>
        <w:ind w:hanging="283"/>
      </w:pPr>
      <w:r>
        <w:t xml:space="preserve">Anglicare sets our own </w:t>
      </w:r>
      <w:r>
        <w:rPr>
          <w:b/>
        </w:rPr>
        <w:t xml:space="preserve">targets for </w:t>
      </w:r>
      <w:proofErr w:type="gramStart"/>
      <w:r>
        <w:rPr>
          <w:b/>
        </w:rPr>
        <w:t>particular cohorts</w:t>
      </w:r>
      <w:proofErr w:type="gramEnd"/>
      <w:r>
        <w:t xml:space="preserve"> based on our knowledge of local need. We find this strategy a helpful and practical way to ensure that we are maintaining a proper focus on specific groups. </w:t>
      </w:r>
    </w:p>
    <w:p w14:paraId="0BFFDA88" w14:textId="77777777" w:rsidR="00A317F4" w:rsidRDefault="00483A87">
      <w:pPr>
        <w:spacing w:after="75"/>
        <w:ind w:left="293"/>
      </w:pPr>
      <w:r>
        <w:t xml:space="preserve">Anglicare’s current data collection processes demonstrate the number of Aboriginal and Torres Strait Islander families we support, for example, in relation to the target set for this group. </w:t>
      </w:r>
    </w:p>
    <w:p w14:paraId="716F4814" w14:textId="77777777" w:rsidR="00A317F4" w:rsidRDefault="00483A87">
      <w:pPr>
        <w:numPr>
          <w:ilvl w:val="0"/>
          <w:numId w:val="4"/>
        </w:numPr>
        <w:spacing w:after="75"/>
        <w:ind w:hanging="283"/>
      </w:pPr>
      <w:r>
        <w:t xml:space="preserve">Funding should recognise and include provision for the </w:t>
      </w:r>
      <w:r>
        <w:rPr>
          <w:b/>
        </w:rPr>
        <w:t>staff time needed to meet reporting obligations</w:t>
      </w:r>
      <w:r>
        <w:t xml:space="preserve">. Qualitative reporting, while very valuable, is particularly time-intensive and can raise ethical issues. Anglicare has been submitting case studies with our Activity Workplan Reports since these were introduced to demonstrate our practice and outcomes. If these were to be introduced more broadly, case study templates and associated guidelines would ensure consistency of qualitative reporting across all </w:t>
      </w:r>
      <w:proofErr w:type="gramStart"/>
      <w:r>
        <w:t>providers, and</w:t>
      </w:r>
      <w:proofErr w:type="gramEnd"/>
      <w:r>
        <w:t xml:space="preserve"> make clear Departmental expectations in this area.  </w:t>
      </w:r>
    </w:p>
    <w:p w14:paraId="552D1BB4" w14:textId="77777777" w:rsidR="00A317F4" w:rsidRDefault="00483A87">
      <w:pPr>
        <w:numPr>
          <w:ilvl w:val="0"/>
          <w:numId w:val="4"/>
        </w:numPr>
        <w:spacing w:after="58"/>
        <w:ind w:hanging="283"/>
      </w:pPr>
      <w:r>
        <w:t xml:space="preserve">Importantly, </w:t>
      </w:r>
      <w:r>
        <w:rPr>
          <w:b/>
        </w:rPr>
        <w:t>timely, ongoing evaluation of the new program approach</w:t>
      </w:r>
      <w:r>
        <w:t xml:space="preserve"> from its earliest implementation is essential to determine whether it is achieving the desired outcomes. </w:t>
      </w:r>
    </w:p>
    <w:p w14:paraId="3E8CACB8" w14:textId="77777777" w:rsidR="00A317F4" w:rsidRDefault="00483A87">
      <w:pPr>
        <w:spacing w:after="313" w:line="259" w:lineRule="auto"/>
        <w:ind w:left="283" w:firstLine="0"/>
      </w:pPr>
      <w:r>
        <w:t xml:space="preserve"> </w:t>
      </w:r>
    </w:p>
    <w:p w14:paraId="35CAF100" w14:textId="77777777" w:rsidR="00A317F4" w:rsidRDefault="00483A87">
      <w:pPr>
        <w:pStyle w:val="Heading1"/>
        <w:ind w:left="-5"/>
      </w:pPr>
      <w:bookmarkStart w:id="11" w:name="_Toc10675"/>
      <w:r>
        <w:t xml:space="preserve">Working together </w:t>
      </w:r>
      <w:bookmarkEnd w:id="11"/>
    </w:p>
    <w:p w14:paraId="458C64E4" w14:textId="77777777" w:rsidR="00A317F4" w:rsidRDefault="00483A87">
      <w:pPr>
        <w:ind w:left="-5"/>
      </w:pPr>
      <w:r>
        <w:t xml:space="preserve">Anglicare requires further information about the nature of the relational contracting arrangement envisaged by the Department as a basis for decision-making on this issue. </w:t>
      </w:r>
    </w:p>
    <w:p w14:paraId="36075B24" w14:textId="77777777" w:rsidR="00A317F4" w:rsidRDefault="00483A87">
      <w:pPr>
        <w:ind w:left="-5"/>
      </w:pPr>
      <w:r>
        <w:t xml:space="preserve">More generally, we wish to make the following points about working collaboratively and effectively: </w:t>
      </w:r>
    </w:p>
    <w:p w14:paraId="53404586" w14:textId="77777777" w:rsidR="00A317F4" w:rsidRDefault="00483A87">
      <w:pPr>
        <w:numPr>
          <w:ilvl w:val="0"/>
          <w:numId w:val="5"/>
        </w:numPr>
        <w:spacing w:after="89"/>
        <w:ind w:hanging="283"/>
      </w:pPr>
      <w:r>
        <w:lastRenderedPageBreak/>
        <w:t xml:space="preserve">Government investment in relationship building is key. This involves both </w:t>
      </w:r>
      <w:r>
        <w:rPr>
          <w:b/>
        </w:rPr>
        <w:t>investment in Departmental staff</w:t>
      </w:r>
      <w:r>
        <w:t xml:space="preserve"> who have a mandate to build and sustain strong relationships with service providers; and in the focused attention required to establish and maintain </w:t>
      </w:r>
      <w:r>
        <w:rPr>
          <w:b/>
        </w:rPr>
        <w:t>clear, transparent communication channels</w:t>
      </w:r>
      <w:r>
        <w:t xml:space="preserve"> between the Department and the sector. </w:t>
      </w:r>
    </w:p>
    <w:p w14:paraId="63B81087" w14:textId="77777777" w:rsidR="00A317F4" w:rsidRDefault="00483A87">
      <w:pPr>
        <w:numPr>
          <w:ilvl w:val="0"/>
          <w:numId w:val="5"/>
        </w:numPr>
        <w:spacing w:after="75"/>
        <w:ind w:hanging="283"/>
      </w:pPr>
      <w:r>
        <w:t xml:space="preserve">Collaboration is more effective in an environment where organisations are not afraid to ‘fail forward’ — that is, to </w:t>
      </w:r>
      <w:r>
        <w:rPr>
          <w:b/>
        </w:rPr>
        <w:t>broach new ideas and try new initiatives</w:t>
      </w:r>
      <w:r>
        <w:t xml:space="preserve"> without fear of Departmental sanctions if they </w:t>
      </w:r>
      <w:proofErr w:type="gramStart"/>
      <w:r>
        <w:t>do not succeed</w:t>
      </w:r>
      <w:proofErr w:type="gramEnd"/>
      <w:r>
        <w:t xml:space="preserve">. This also builds </w:t>
      </w:r>
      <w:r>
        <w:rPr>
          <w:b/>
        </w:rPr>
        <w:t>a culture of continuous improvement</w:t>
      </w:r>
      <w:r>
        <w:t xml:space="preserve"> within organisations and across the sector.  </w:t>
      </w:r>
    </w:p>
    <w:p w14:paraId="275EE5A2" w14:textId="77777777" w:rsidR="00A317F4" w:rsidRDefault="00483A87">
      <w:pPr>
        <w:numPr>
          <w:ilvl w:val="0"/>
          <w:numId w:val="5"/>
        </w:numPr>
        <w:spacing w:after="57"/>
        <w:ind w:hanging="283"/>
      </w:pPr>
      <w:r>
        <w:t>Service providers that can demonstrate a</w:t>
      </w:r>
      <w:r>
        <w:rPr>
          <w:b/>
        </w:rPr>
        <w:t xml:space="preserve"> track record of working collaboratively</w:t>
      </w:r>
      <w:r>
        <w:t xml:space="preserve"> with other organisations already have proven ability to work in partnership.  </w:t>
      </w:r>
    </w:p>
    <w:p w14:paraId="7E9C427A" w14:textId="77777777" w:rsidR="00A317F4" w:rsidRDefault="00483A87">
      <w:pPr>
        <w:spacing w:after="315" w:line="259" w:lineRule="auto"/>
        <w:ind w:left="0" w:firstLine="0"/>
      </w:pPr>
      <w:r>
        <w:t xml:space="preserve"> </w:t>
      </w:r>
    </w:p>
    <w:p w14:paraId="4BAF3F3A" w14:textId="77777777" w:rsidR="00A317F4" w:rsidRDefault="00483A87">
      <w:pPr>
        <w:pStyle w:val="Heading1"/>
        <w:ind w:left="-5"/>
      </w:pPr>
      <w:bookmarkStart w:id="12" w:name="_Toc10676"/>
      <w:r>
        <w:t xml:space="preserve">In conclusion  </w:t>
      </w:r>
      <w:bookmarkEnd w:id="12"/>
    </w:p>
    <w:p w14:paraId="1D19661F" w14:textId="77777777" w:rsidR="00A317F4" w:rsidRDefault="00483A87">
      <w:pPr>
        <w:ind w:left="-5"/>
      </w:pPr>
      <w:r>
        <w:t xml:space="preserve">As noted in the introduction to this submission, Anglicare broadly supports the new, more integrated approach to supporting children and families, with consideration of the issues raised above. </w:t>
      </w:r>
    </w:p>
    <w:p w14:paraId="726F62C3" w14:textId="77777777" w:rsidR="00A317F4" w:rsidRDefault="00483A87">
      <w:pPr>
        <w:ind w:left="-5"/>
      </w:pPr>
      <w:r>
        <w:t xml:space="preserve">We look forward to the release of additional detail and the opportunity to provide further input to the program as the new approach is firmed up. </w:t>
      </w:r>
    </w:p>
    <w:sectPr w:rsidR="00A317F4">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755" w:right="863" w:bottom="1792" w:left="852" w:header="486" w:footer="5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E9A5" w14:textId="77777777" w:rsidR="00483A87" w:rsidRDefault="00483A87">
      <w:pPr>
        <w:spacing w:after="0" w:line="240" w:lineRule="auto"/>
      </w:pPr>
      <w:r>
        <w:separator/>
      </w:r>
    </w:p>
  </w:endnote>
  <w:endnote w:type="continuationSeparator" w:id="0">
    <w:p w14:paraId="611532E1" w14:textId="77777777" w:rsidR="00483A87" w:rsidRDefault="00483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17A7" w14:textId="77777777" w:rsidR="00A317F4" w:rsidRDefault="00A317F4">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917B" w14:textId="77777777" w:rsidR="00A317F4" w:rsidRDefault="00A317F4">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9DD1" w14:textId="77777777" w:rsidR="00A317F4" w:rsidRDefault="00A317F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7FE5" w14:textId="77777777" w:rsidR="00A317F4" w:rsidRDefault="00A317F4">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CE91" w14:textId="77777777" w:rsidR="00A317F4" w:rsidRDefault="00A317F4">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7A4D" w14:textId="77777777" w:rsidR="00A317F4" w:rsidRDefault="00A317F4">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E449" w14:textId="77777777" w:rsidR="00A317F4" w:rsidRDefault="00483A87">
    <w:pPr>
      <w:spacing w:after="182"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AF85F14" wp14:editId="3564536A">
              <wp:simplePos x="0" y="0"/>
              <wp:positionH relativeFrom="page">
                <wp:posOffset>352044</wp:posOffset>
              </wp:positionH>
              <wp:positionV relativeFrom="page">
                <wp:posOffset>10166299</wp:posOffset>
              </wp:positionV>
              <wp:extent cx="6488812" cy="6096"/>
              <wp:effectExtent l="0" t="0" r="0" b="0"/>
              <wp:wrapSquare wrapText="bothSides"/>
              <wp:docPr id="10508" name="Group 10508"/>
              <wp:cNvGraphicFramePr/>
              <a:graphic xmlns:a="http://schemas.openxmlformats.org/drawingml/2006/main">
                <a:graphicData uri="http://schemas.microsoft.com/office/word/2010/wordprocessingGroup">
                  <wpg:wgp>
                    <wpg:cNvGrpSpPr/>
                    <wpg:grpSpPr>
                      <a:xfrm>
                        <a:off x="0" y="0"/>
                        <a:ext cx="6488812" cy="6096"/>
                        <a:chOff x="0" y="0"/>
                        <a:chExt cx="6488812" cy="6096"/>
                      </a:xfrm>
                    </wpg:grpSpPr>
                    <wps:wsp>
                      <wps:cNvPr id="10953" name="Shape 10953"/>
                      <wps:cNvSpPr/>
                      <wps:spPr>
                        <a:xfrm>
                          <a:off x="0" y="0"/>
                          <a:ext cx="2169287" cy="9144"/>
                        </a:xfrm>
                        <a:custGeom>
                          <a:avLst/>
                          <a:gdLst/>
                          <a:ahLst/>
                          <a:cxnLst/>
                          <a:rect l="0" t="0" r="0" b="0"/>
                          <a:pathLst>
                            <a:path w="2169287" h="9144">
                              <a:moveTo>
                                <a:pt x="0" y="0"/>
                              </a:moveTo>
                              <a:lnTo>
                                <a:pt x="2169287" y="0"/>
                              </a:lnTo>
                              <a:lnTo>
                                <a:pt x="2169287"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954" name="Shape 10954"/>
                      <wps:cNvSpPr/>
                      <wps:spPr>
                        <a:xfrm>
                          <a:off x="21601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955" name="Shape 10955"/>
                      <wps:cNvSpPr/>
                      <wps:spPr>
                        <a:xfrm>
                          <a:off x="2166239" y="0"/>
                          <a:ext cx="2162810" cy="9144"/>
                        </a:xfrm>
                        <a:custGeom>
                          <a:avLst/>
                          <a:gdLst/>
                          <a:ahLst/>
                          <a:cxnLst/>
                          <a:rect l="0" t="0" r="0" b="0"/>
                          <a:pathLst>
                            <a:path w="2162810" h="9144">
                              <a:moveTo>
                                <a:pt x="0" y="0"/>
                              </a:moveTo>
                              <a:lnTo>
                                <a:pt x="2162810" y="0"/>
                              </a:lnTo>
                              <a:lnTo>
                                <a:pt x="2162810"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956" name="Shape 10956"/>
                      <wps:cNvSpPr/>
                      <wps:spPr>
                        <a:xfrm>
                          <a:off x="43199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957" name="Shape 10957"/>
                      <wps:cNvSpPr/>
                      <wps:spPr>
                        <a:xfrm>
                          <a:off x="4326001" y="0"/>
                          <a:ext cx="2162810" cy="9144"/>
                        </a:xfrm>
                        <a:custGeom>
                          <a:avLst/>
                          <a:gdLst/>
                          <a:ahLst/>
                          <a:cxnLst/>
                          <a:rect l="0" t="0" r="0" b="0"/>
                          <a:pathLst>
                            <a:path w="2162810" h="9144">
                              <a:moveTo>
                                <a:pt x="0" y="0"/>
                              </a:moveTo>
                              <a:lnTo>
                                <a:pt x="2162810" y="0"/>
                              </a:lnTo>
                              <a:lnTo>
                                <a:pt x="2162810"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g:wgp>
                </a:graphicData>
              </a:graphic>
            </wp:anchor>
          </w:drawing>
        </mc:Choice>
        <mc:Fallback xmlns:a="http://schemas.openxmlformats.org/drawingml/2006/main">
          <w:pict>
            <v:group id="Group 10508" style="width:510.93pt;height:0.47998pt;position:absolute;mso-position-horizontal-relative:page;mso-position-horizontal:absolute;margin-left:27.72pt;mso-position-vertical-relative:page;margin-top:800.496pt;" coordsize="64888,60">
              <v:shape id="Shape 10958" style="position:absolute;width:21692;height:91;left:0;top:0;" coordsize="2169287,9144" path="m0,0l2169287,0l2169287,9144l0,9144l0,0">
                <v:stroke weight="0pt" endcap="flat" joinstyle="miter" miterlimit="10" on="false" color="#000000" opacity="0"/>
                <v:fill on="true" color="#001770"/>
              </v:shape>
              <v:shape id="Shape 10959" style="position:absolute;width:91;height:91;left:21601;top:0;" coordsize="9144,9144" path="m0,0l9144,0l9144,9144l0,9144l0,0">
                <v:stroke weight="0pt" endcap="flat" joinstyle="miter" miterlimit="10" on="false" color="#000000" opacity="0"/>
                <v:fill on="true" color="#001770"/>
              </v:shape>
              <v:shape id="Shape 10960" style="position:absolute;width:21628;height:91;left:21662;top:0;" coordsize="2162810,9144" path="m0,0l2162810,0l2162810,9144l0,9144l0,0">
                <v:stroke weight="0pt" endcap="flat" joinstyle="miter" miterlimit="10" on="false" color="#000000" opacity="0"/>
                <v:fill on="true" color="#001770"/>
              </v:shape>
              <v:shape id="Shape 10961" style="position:absolute;width:91;height:91;left:43199;top:0;" coordsize="9144,9144" path="m0,0l9144,0l9144,9144l0,9144l0,0">
                <v:stroke weight="0pt" endcap="flat" joinstyle="miter" miterlimit="10" on="false" color="#000000" opacity="0"/>
                <v:fill on="true" color="#001770"/>
              </v:shape>
              <v:shape id="Shape 10962" style="position:absolute;width:21628;height:91;left:43260;top:0;" coordsize="2162810,9144" path="m0,0l2162810,0l2162810,9144l0,9144l0,0">
                <v:stroke weight="0pt" endcap="flat" joinstyle="miter" miterlimit="10" on="false" color="#000000" opacity="0"/>
                <v:fill on="true" color="#001770"/>
              </v:shape>
              <w10:wrap type="square"/>
            </v:group>
          </w:pict>
        </mc:Fallback>
      </mc:AlternateContent>
    </w:r>
    <w:r>
      <w:t xml:space="preserve"> </w:t>
    </w:r>
  </w:p>
  <w:p w14:paraId="1CC5C71F" w14:textId="77777777" w:rsidR="00A317F4" w:rsidRDefault="00483A87">
    <w:pPr>
      <w:tabs>
        <w:tab w:val="center" w:pos="4817"/>
        <w:tab w:val="center" w:pos="8249"/>
      </w:tabs>
      <w:spacing w:after="302" w:line="259" w:lineRule="auto"/>
      <w:ind w:left="-286" w:firstLine="0"/>
    </w:pPr>
    <w:r>
      <w:t xml:space="preserve">Effective date: 2/12/2025 </w:t>
    </w:r>
    <w:r>
      <w:tab/>
      <w:t xml:space="preserve">Page </w:t>
    </w:r>
    <w:r>
      <w:fldChar w:fldCharType="begin"/>
    </w:r>
    <w:r>
      <w:instrText xml:space="preserve"> PAGE   \* MERGEFORMAT </w:instrText>
    </w:r>
    <w:r>
      <w:fldChar w:fldCharType="separate"/>
    </w:r>
    <w:r>
      <w:t>1</w:t>
    </w:r>
    <w:r>
      <w:fldChar w:fldCharType="end"/>
    </w:r>
    <w:r>
      <w:t xml:space="preserve"> </w:t>
    </w:r>
    <w:r>
      <w:tab/>
    </w:r>
    <w:r>
      <w:rPr>
        <w:b/>
        <w:color w:val="001770"/>
      </w:rPr>
      <w:t xml:space="preserve">1300 610 </w:t>
    </w:r>
    <w:proofErr w:type="gramStart"/>
    <w:r>
      <w:rPr>
        <w:b/>
        <w:color w:val="001770"/>
      </w:rPr>
      <w:t>610  |</w:t>
    </w:r>
    <w:proofErr w:type="gramEnd"/>
    <w:r>
      <w:rPr>
        <w:b/>
        <w:color w:val="001770"/>
      </w:rPr>
      <w:t xml:space="preserve">  anglicaresq.org.au</w:t>
    </w:r>
    <w:r>
      <w:rPr>
        <w:b/>
      </w:rPr>
      <w:t xml:space="preserve"> </w:t>
    </w:r>
  </w:p>
  <w:p w14:paraId="6A74BAD0" w14:textId="77777777" w:rsidR="00A317F4" w:rsidRDefault="00483A87">
    <w:pPr>
      <w:spacing w:after="0" w:line="259" w:lineRule="auto"/>
      <w:ind w:left="0" w:firstLine="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0B99" w14:textId="77777777" w:rsidR="00A317F4" w:rsidRDefault="00483A87">
    <w:pPr>
      <w:spacing w:after="18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4E0D87B" wp14:editId="20DDD1C2">
              <wp:simplePos x="0" y="0"/>
              <wp:positionH relativeFrom="page">
                <wp:posOffset>352044</wp:posOffset>
              </wp:positionH>
              <wp:positionV relativeFrom="page">
                <wp:posOffset>10166299</wp:posOffset>
              </wp:positionV>
              <wp:extent cx="6488812" cy="6096"/>
              <wp:effectExtent l="0" t="0" r="0" b="0"/>
              <wp:wrapSquare wrapText="bothSides"/>
              <wp:docPr id="10473" name="Group 10473"/>
              <wp:cNvGraphicFramePr/>
              <a:graphic xmlns:a="http://schemas.openxmlformats.org/drawingml/2006/main">
                <a:graphicData uri="http://schemas.microsoft.com/office/word/2010/wordprocessingGroup">
                  <wpg:wgp>
                    <wpg:cNvGrpSpPr/>
                    <wpg:grpSpPr>
                      <a:xfrm>
                        <a:off x="0" y="0"/>
                        <a:ext cx="6488812" cy="6096"/>
                        <a:chOff x="0" y="0"/>
                        <a:chExt cx="6488812" cy="6096"/>
                      </a:xfrm>
                    </wpg:grpSpPr>
                    <wps:wsp>
                      <wps:cNvPr id="10943" name="Shape 10943"/>
                      <wps:cNvSpPr/>
                      <wps:spPr>
                        <a:xfrm>
                          <a:off x="0" y="0"/>
                          <a:ext cx="2169287" cy="9144"/>
                        </a:xfrm>
                        <a:custGeom>
                          <a:avLst/>
                          <a:gdLst/>
                          <a:ahLst/>
                          <a:cxnLst/>
                          <a:rect l="0" t="0" r="0" b="0"/>
                          <a:pathLst>
                            <a:path w="2169287" h="9144">
                              <a:moveTo>
                                <a:pt x="0" y="0"/>
                              </a:moveTo>
                              <a:lnTo>
                                <a:pt x="2169287" y="0"/>
                              </a:lnTo>
                              <a:lnTo>
                                <a:pt x="2169287"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944" name="Shape 10944"/>
                      <wps:cNvSpPr/>
                      <wps:spPr>
                        <a:xfrm>
                          <a:off x="21601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945" name="Shape 10945"/>
                      <wps:cNvSpPr/>
                      <wps:spPr>
                        <a:xfrm>
                          <a:off x="2166239" y="0"/>
                          <a:ext cx="2162810" cy="9144"/>
                        </a:xfrm>
                        <a:custGeom>
                          <a:avLst/>
                          <a:gdLst/>
                          <a:ahLst/>
                          <a:cxnLst/>
                          <a:rect l="0" t="0" r="0" b="0"/>
                          <a:pathLst>
                            <a:path w="2162810" h="9144">
                              <a:moveTo>
                                <a:pt x="0" y="0"/>
                              </a:moveTo>
                              <a:lnTo>
                                <a:pt x="2162810" y="0"/>
                              </a:lnTo>
                              <a:lnTo>
                                <a:pt x="2162810"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946" name="Shape 10946"/>
                      <wps:cNvSpPr/>
                      <wps:spPr>
                        <a:xfrm>
                          <a:off x="43199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947" name="Shape 10947"/>
                      <wps:cNvSpPr/>
                      <wps:spPr>
                        <a:xfrm>
                          <a:off x="4326001" y="0"/>
                          <a:ext cx="2162810" cy="9144"/>
                        </a:xfrm>
                        <a:custGeom>
                          <a:avLst/>
                          <a:gdLst/>
                          <a:ahLst/>
                          <a:cxnLst/>
                          <a:rect l="0" t="0" r="0" b="0"/>
                          <a:pathLst>
                            <a:path w="2162810" h="9144">
                              <a:moveTo>
                                <a:pt x="0" y="0"/>
                              </a:moveTo>
                              <a:lnTo>
                                <a:pt x="2162810" y="0"/>
                              </a:lnTo>
                              <a:lnTo>
                                <a:pt x="2162810"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g:wgp>
                </a:graphicData>
              </a:graphic>
            </wp:anchor>
          </w:drawing>
        </mc:Choice>
        <mc:Fallback xmlns:a="http://schemas.openxmlformats.org/drawingml/2006/main">
          <w:pict>
            <v:group id="Group 10473" style="width:510.93pt;height:0.47998pt;position:absolute;mso-position-horizontal-relative:page;mso-position-horizontal:absolute;margin-left:27.72pt;mso-position-vertical-relative:page;margin-top:800.496pt;" coordsize="64888,60">
              <v:shape id="Shape 10948" style="position:absolute;width:21692;height:91;left:0;top:0;" coordsize="2169287,9144" path="m0,0l2169287,0l2169287,9144l0,9144l0,0">
                <v:stroke weight="0pt" endcap="flat" joinstyle="miter" miterlimit="10" on="false" color="#000000" opacity="0"/>
                <v:fill on="true" color="#001770"/>
              </v:shape>
              <v:shape id="Shape 10949" style="position:absolute;width:91;height:91;left:21601;top:0;" coordsize="9144,9144" path="m0,0l9144,0l9144,9144l0,9144l0,0">
                <v:stroke weight="0pt" endcap="flat" joinstyle="miter" miterlimit="10" on="false" color="#000000" opacity="0"/>
                <v:fill on="true" color="#001770"/>
              </v:shape>
              <v:shape id="Shape 10950" style="position:absolute;width:21628;height:91;left:21662;top:0;" coordsize="2162810,9144" path="m0,0l2162810,0l2162810,9144l0,9144l0,0">
                <v:stroke weight="0pt" endcap="flat" joinstyle="miter" miterlimit="10" on="false" color="#000000" opacity="0"/>
                <v:fill on="true" color="#001770"/>
              </v:shape>
              <v:shape id="Shape 10951" style="position:absolute;width:91;height:91;left:43199;top:0;" coordsize="9144,9144" path="m0,0l9144,0l9144,9144l0,9144l0,0">
                <v:stroke weight="0pt" endcap="flat" joinstyle="miter" miterlimit="10" on="false" color="#000000" opacity="0"/>
                <v:fill on="true" color="#001770"/>
              </v:shape>
              <v:shape id="Shape 10952" style="position:absolute;width:21628;height:91;left:43260;top:0;" coordsize="2162810,9144" path="m0,0l2162810,0l2162810,9144l0,9144l0,0">
                <v:stroke weight="0pt" endcap="flat" joinstyle="miter" miterlimit="10" on="false" color="#000000" opacity="0"/>
                <v:fill on="true" color="#001770"/>
              </v:shape>
              <w10:wrap type="square"/>
            </v:group>
          </w:pict>
        </mc:Fallback>
      </mc:AlternateContent>
    </w:r>
    <w:r>
      <w:t xml:space="preserve"> </w:t>
    </w:r>
  </w:p>
  <w:p w14:paraId="52F794BE" w14:textId="77777777" w:rsidR="00A317F4" w:rsidRDefault="00483A87">
    <w:pPr>
      <w:tabs>
        <w:tab w:val="center" w:pos="4817"/>
        <w:tab w:val="center" w:pos="8249"/>
      </w:tabs>
      <w:spacing w:after="302" w:line="259" w:lineRule="auto"/>
      <w:ind w:left="-286" w:firstLine="0"/>
    </w:pPr>
    <w:r>
      <w:t xml:space="preserve">Effective date: 2/12/2025 </w:t>
    </w:r>
    <w:r>
      <w:tab/>
      <w:t xml:space="preserve">Page </w:t>
    </w:r>
    <w:r>
      <w:fldChar w:fldCharType="begin"/>
    </w:r>
    <w:r>
      <w:instrText xml:space="preserve"> PAGE   \* MERGEFORMAT </w:instrText>
    </w:r>
    <w:r>
      <w:fldChar w:fldCharType="separate"/>
    </w:r>
    <w:r>
      <w:t>1</w:t>
    </w:r>
    <w:r>
      <w:fldChar w:fldCharType="end"/>
    </w:r>
    <w:r>
      <w:t xml:space="preserve"> </w:t>
    </w:r>
    <w:r>
      <w:tab/>
    </w:r>
    <w:r>
      <w:rPr>
        <w:b/>
        <w:color w:val="001770"/>
      </w:rPr>
      <w:t xml:space="preserve">1300 610 </w:t>
    </w:r>
    <w:proofErr w:type="gramStart"/>
    <w:r>
      <w:rPr>
        <w:b/>
        <w:color w:val="001770"/>
      </w:rPr>
      <w:t>610  |</w:t>
    </w:r>
    <w:proofErr w:type="gramEnd"/>
    <w:r>
      <w:rPr>
        <w:b/>
        <w:color w:val="001770"/>
      </w:rPr>
      <w:t xml:space="preserve">  anglicaresq.org.au</w:t>
    </w:r>
    <w:r>
      <w:rPr>
        <w:b/>
      </w:rPr>
      <w:t xml:space="preserve"> </w:t>
    </w:r>
  </w:p>
  <w:p w14:paraId="7F1224A5" w14:textId="77777777" w:rsidR="00A317F4" w:rsidRDefault="00483A87">
    <w:pPr>
      <w:spacing w:after="0" w:line="259" w:lineRule="auto"/>
      <w:ind w:left="0" w:firstLine="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3AC" w14:textId="77777777" w:rsidR="00A317F4" w:rsidRDefault="00483A87">
    <w:pPr>
      <w:spacing w:after="18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5ECBCEE" wp14:editId="0618C4D7">
              <wp:simplePos x="0" y="0"/>
              <wp:positionH relativeFrom="page">
                <wp:posOffset>352044</wp:posOffset>
              </wp:positionH>
              <wp:positionV relativeFrom="page">
                <wp:posOffset>10166299</wp:posOffset>
              </wp:positionV>
              <wp:extent cx="6488812" cy="6096"/>
              <wp:effectExtent l="0" t="0" r="0" b="0"/>
              <wp:wrapSquare wrapText="bothSides"/>
              <wp:docPr id="10438" name="Group 10438"/>
              <wp:cNvGraphicFramePr/>
              <a:graphic xmlns:a="http://schemas.openxmlformats.org/drawingml/2006/main">
                <a:graphicData uri="http://schemas.microsoft.com/office/word/2010/wordprocessingGroup">
                  <wpg:wgp>
                    <wpg:cNvGrpSpPr/>
                    <wpg:grpSpPr>
                      <a:xfrm>
                        <a:off x="0" y="0"/>
                        <a:ext cx="6488812" cy="6096"/>
                        <a:chOff x="0" y="0"/>
                        <a:chExt cx="6488812" cy="6096"/>
                      </a:xfrm>
                    </wpg:grpSpPr>
                    <wps:wsp>
                      <wps:cNvPr id="10933" name="Shape 10933"/>
                      <wps:cNvSpPr/>
                      <wps:spPr>
                        <a:xfrm>
                          <a:off x="0" y="0"/>
                          <a:ext cx="2169287" cy="9144"/>
                        </a:xfrm>
                        <a:custGeom>
                          <a:avLst/>
                          <a:gdLst/>
                          <a:ahLst/>
                          <a:cxnLst/>
                          <a:rect l="0" t="0" r="0" b="0"/>
                          <a:pathLst>
                            <a:path w="2169287" h="9144">
                              <a:moveTo>
                                <a:pt x="0" y="0"/>
                              </a:moveTo>
                              <a:lnTo>
                                <a:pt x="2169287" y="0"/>
                              </a:lnTo>
                              <a:lnTo>
                                <a:pt x="2169287"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934" name="Shape 10934"/>
                      <wps:cNvSpPr/>
                      <wps:spPr>
                        <a:xfrm>
                          <a:off x="21601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935" name="Shape 10935"/>
                      <wps:cNvSpPr/>
                      <wps:spPr>
                        <a:xfrm>
                          <a:off x="2166239" y="0"/>
                          <a:ext cx="2162810" cy="9144"/>
                        </a:xfrm>
                        <a:custGeom>
                          <a:avLst/>
                          <a:gdLst/>
                          <a:ahLst/>
                          <a:cxnLst/>
                          <a:rect l="0" t="0" r="0" b="0"/>
                          <a:pathLst>
                            <a:path w="2162810" h="9144">
                              <a:moveTo>
                                <a:pt x="0" y="0"/>
                              </a:moveTo>
                              <a:lnTo>
                                <a:pt x="2162810" y="0"/>
                              </a:lnTo>
                              <a:lnTo>
                                <a:pt x="2162810"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936" name="Shape 10936"/>
                      <wps:cNvSpPr/>
                      <wps:spPr>
                        <a:xfrm>
                          <a:off x="43199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s:wsp>
                      <wps:cNvPr id="10937" name="Shape 10937"/>
                      <wps:cNvSpPr/>
                      <wps:spPr>
                        <a:xfrm>
                          <a:off x="4326001" y="0"/>
                          <a:ext cx="2162810" cy="9144"/>
                        </a:xfrm>
                        <a:custGeom>
                          <a:avLst/>
                          <a:gdLst/>
                          <a:ahLst/>
                          <a:cxnLst/>
                          <a:rect l="0" t="0" r="0" b="0"/>
                          <a:pathLst>
                            <a:path w="2162810" h="9144">
                              <a:moveTo>
                                <a:pt x="0" y="0"/>
                              </a:moveTo>
                              <a:lnTo>
                                <a:pt x="2162810" y="0"/>
                              </a:lnTo>
                              <a:lnTo>
                                <a:pt x="2162810" y="9144"/>
                              </a:lnTo>
                              <a:lnTo>
                                <a:pt x="0" y="9144"/>
                              </a:lnTo>
                              <a:lnTo>
                                <a:pt x="0" y="0"/>
                              </a:lnTo>
                            </a:path>
                          </a:pathLst>
                        </a:custGeom>
                        <a:ln w="0" cap="flat">
                          <a:miter lim="127000"/>
                        </a:ln>
                      </wps:spPr>
                      <wps:style>
                        <a:lnRef idx="0">
                          <a:srgbClr val="000000">
                            <a:alpha val="0"/>
                          </a:srgbClr>
                        </a:lnRef>
                        <a:fillRef idx="1">
                          <a:srgbClr val="001770"/>
                        </a:fillRef>
                        <a:effectRef idx="0">
                          <a:scrgbClr r="0" g="0" b="0"/>
                        </a:effectRef>
                        <a:fontRef idx="none"/>
                      </wps:style>
                      <wps:bodyPr/>
                    </wps:wsp>
                  </wpg:wgp>
                </a:graphicData>
              </a:graphic>
            </wp:anchor>
          </w:drawing>
        </mc:Choice>
        <mc:Fallback xmlns:a="http://schemas.openxmlformats.org/drawingml/2006/main">
          <w:pict>
            <v:group id="Group 10438" style="width:510.93pt;height:0.47998pt;position:absolute;mso-position-horizontal-relative:page;mso-position-horizontal:absolute;margin-left:27.72pt;mso-position-vertical-relative:page;margin-top:800.496pt;" coordsize="64888,60">
              <v:shape id="Shape 10938" style="position:absolute;width:21692;height:91;left:0;top:0;" coordsize="2169287,9144" path="m0,0l2169287,0l2169287,9144l0,9144l0,0">
                <v:stroke weight="0pt" endcap="flat" joinstyle="miter" miterlimit="10" on="false" color="#000000" opacity="0"/>
                <v:fill on="true" color="#001770"/>
              </v:shape>
              <v:shape id="Shape 10939" style="position:absolute;width:91;height:91;left:21601;top:0;" coordsize="9144,9144" path="m0,0l9144,0l9144,9144l0,9144l0,0">
                <v:stroke weight="0pt" endcap="flat" joinstyle="miter" miterlimit="10" on="false" color="#000000" opacity="0"/>
                <v:fill on="true" color="#001770"/>
              </v:shape>
              <v:shape id="Shape 10940" style="position:absolute;width:21628;height:91;left:21662;top:0;" coordsize="2162810,9144" path="m0,0l2162810,0l2162810,9144l0,9144l0,0">
                <v:stroke weight="0pt" endcap="flat" joinstyle="miter" miterlimit="10" on="false" color="#000000" opacity="0"/>
                <v:fill on="true" color="#001770"/>
              </v:shape>
              <v:shape id="Shape 10941" style="position:absolute;width:91;height:91;left:43199;top:0;" coordsize="9144,9144" path="m0,0l9144,0l9144,9144l0,9144l0,0">
                <v:stroke weight="0pt" endcap="flat" joinstyle="miter" miterlimit="10" on="false" color="#000000" opacity="0"/>
                <v:fill on="true" color="#001770"/>
              </v:shape>
              <v:shape id="Shape 10942" style="position:absolute;width:21628;height:91;left:43260;top:0;" coordsize="2162810,9144" path="m0,0l2162810,0l2162810,9144l0,9144l0,0">
                <v:stroke weight="0pt" endcap="flat" joinstyle="miter" miterlimit="10" on="false" color="#000000" opacity="0"/>
                <v:fill on="true" color="#001770"/>
              </v:shape>
              <w10:wrap type="square"/>
            </v:group>
          </w:pict>
        </mc:Fallback>
      </mc:AlternateContent>
    </w:r>
    <w:r>
      <w:t xml:space="preserve"> </w:t>
    </w:r>
  </w:p>
  <w:p w14:paraId="6F7A8CAE" w14:textId="77777777" w:rsidR="00A317F4" w:rsidRDefault="00483A87">
    <w:pPr>
      <w:tabs>
        <w:tab w:val="center" w:pos="4817"/>
        <w:tab w:val="center" w:pos="8249"/>
      </w:tabs>
      <w:spacing w:after="302" w:line="259" w:lineRule="auto"/>
      <w:ind w:left="-286" w:firstLine="0"/>
    </w:pPr>
    <w:r>
      <w:t xml:space="preserve">Effective date: 2/12/2025 </w:t>
    </w:r>
    <w:r>
      <w:tab/>
      <w:t xml:space="preserve">Page </w:t>
    </w:r>
    <w:r>
      <w:fldChar w:fldCharType="begin"/>
    </w:r>
    <w:r>
      <w:instrText xml:space="preserve"> PAGE   \* MERGEFORMAT </w:instrText>
    </w:r>
    <w:r>
      <w:fldChar w:fldCharType="separate"/>
    </w:r>
    <w:r>
      <w:t>1</w:t>
    </w:r>
    <w:r>
      <w:fldChar w:fldCharType="end"/>
    </w:r>
    <w:r>
      <w:t xml:space="preserve"> </w:t>
    </w:r>
    <w:r>
      <w:tab/>
    </w:r>
    <w:r>
      <w:rPr>
        <w:b/>
        <w:color w:val="001770"/>
      </w:rPr>
      <w:t xml:space="preserve">1300 610 </w:t>
    </w:r>
    <w:proofErr w:type="gramStart"/>
    <w:r>
      <w:rPr>
        <w:b/>
        <w:color w:val="001770"/>
      </w:rPr>
      <w:t>610  |</w:t>
    </w:r>
    <w:proofErr w:type="gramEnd"/>
    <w:r>
      <w:rPr>
        <w:b/>
        <w:color w:val="001770"/>
      </w:rPr>
      <w:t xml:space="preserve">  anglicaresq.org.au</w:t>
    </w:r>
    <w:r>
      <w:rPr>
        <w:b/>
      </w:rPr>
      <w:t xml:space="preserve"> </w:t>
    </w:r>
  </w:p>
  <w:p w14:paraId="4B73EF30" w14:textId="77777777" w:rsidR="00A317F4" w:rsidRDefault="00483A87">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8B65" w14:textId="77777777" w:rsidR="00A317F4" w:rsidRDefault="00483A87">
      <w:pPr>
        <w:spacing w:after="0" w:line="248" w:lineRule="auto"/>
        <w:ind w:left="428" w:hanging="428"/>
        <w:jc w:val="both"/>
      </w:pPr>
      <w:r>
        <w:separator/>
      </w:r>
    </w:p>
  </w:footnote>
  <w:footnote w:type="continuationSeparator" w:id="0">
    <w:p w14:paraId="66456095" w14:textId="77777777" w:rsidR="00A317F4" w:rsidRDefault="00483A87">
      <w:pPr>
        <w:spacing w:after="0" w:line="248" w:lineRule="auto"/>
        <w:ind w:left="428" w:hanging="428"/>
        <w:jc w:val="both"/>
      </w:pPr>
      <w:r>
        <w:continuationSeparator/>
      </w:r>
    </w:p>
  </w:footnote>
  <w:footnote w:id="1">
    <w:p w14:paraId="7F441F6E" w14:textId="77777777" w:rsidR="00A317F4" w:rsidRDefault="00483A87">
      <w:pPr>
        <w:pStyle w:val="footnotedescription"/>
      </w:pPr>
      <w:r>
        <w:rPr>
          <w:rStyle w:val="footnotemark"/>
        </w:rPr>
        <w:footnoteRef/>
      </w:r>
      <w:r>
        <w:t xml:space="preserve"> Williamson, F. (2012). Generation 1.5: the LBOTE blindspot. </w:t>
      </w:r>
      <w:r>
        <w:rPr>
          <w:i/>
        </w:rPr>
        <w:t>Journal of Academic Language and Learning</w:t>
      </w:r>
      <w:r>
        <w:t xml:space="preserve">, </w:t>
      </w:r>
      <w:r>
        <w:rPr>
          <w:i/>
        </w:rPr>
        <w:t>6</w:t>
      </w:r>
      <w:r>
        <w:t>(2), A1A13.</w:t>
      </w:r>
      <w:r>
        <w:rPr>
          <w:color w:val="00000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7D8E" w14:textId="77777777" w:rsidR="00A317F4" w:rsidRDefault="00A317F4">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F224" w14:textId="77777777" w:rsidR="00A317F4" w:rsidRDefault="00A317F4">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7764" w14:textId="77777777" w:rsidR="00A317F4" w:rsidRDefault="00A317F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E210" w14:textId="77777777" w:rsidR="00A317F4" w:rsidRDefault="00483A87">
    <w:pPr>
      <w:spacing w:after="0" w:line="259" w:lineRule="auto"/>
      <w:ind w:left="286" w:firstLine="0"/>
    </w:pPr>
    <w:r>
      <w:rPr>
        <w:noProof/>
      </w:rPr>
      <w:drawing>
        <wp:anchor distT="0" distB="0" distL="114300" distR="114300" simplePos="0" relativeHeight="251658240" behindDoc="0" locked="0" layoutInCell="1" allowOverlap="0" wp14:anchorId="24F4C810" wp14:editId="5DABE421">
          <wp:simplePos x="0" y="0"/>
          <wp:positionH relativeFrom="page">
            <wp:posOffset>5615940</wp:posOffset>
          </wp:positionH>
          <wp:positionV relativeFrom="page">
            <wp:posOffset>308356</wp:posOffset>
          </wp:positionV>
          <wp:extent cx="1402334" cy="535305"/>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402334" cy="535305"/>
                  </a:xfrm>
                  <a:prstGeom prst="rect">
                    <a:avLst/>
                  </a:prstGeom>
                </pic:spPr>
              </pic:pic>
            </a:graphicData>
          </a:graphic>
        </wp:anchor>
      </w:drawing>
    </w:r>
    <w:r>
      <w:rPr>
        <w:color w:val="00177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6ED2" w14:textId="77777777" w:rsidR="00A317F4" w:rsidRDefault="00483A87">
    <w:pPr>
      <w:spacing w:after="0" w:line="259" w:lineRule="auto"/>
      <w:ind w:left="286" w:firstLine="0"/>
    </w:pPr>
    <w:r>
      <w:rPr>
        <w:noProof/>
      </w:rPr>
      <w:drawing>
        <wp:anchor distT="0" distB="0" distL="114300" distR="114300" simplePos="0" relativeHeight="251659264" behindDoc="0" locked="0" layoutInCell="1" allowOverlap="0" wp14:anchorId="265BA96C" wp14:editId="257F4923">
          <wp:simplePos x="0" y="0"/>
          <wp:positionH relativeFrom="page">
            <wp:posOffset>5615940</wp:posOffset>
          </wp:positionH>
          <wp:positionV relativeFrom="page">
            <wp:posOffset>308356</wp:posOffset>
          </wp:positionV>
          <wp:extent cx="1402334" cy="535305"/>
          <wp:effectExtent l="0" t="0" r="0" b="0"/>
          <wp:wrapSquare wrapText="bothSides"/>
          <wp:docPr id="1287959546" name="Picture 1287959546"/>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402334" cy="535305"/>
                  </a:xfrm>
                  <a:prstGeom prst="rect">
                    <a:avLst/>
                  </a:prstGeom>
                </pic:spPr>
              </pic:pic>
            </a:graphicData>
          </a:graphic>
        </wp:anchor>
      </w:drawing>
    </w:r>
    <w:r>
      <w:rPr>
        <w:color w:val="00177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1052" w14:textId="77777777" w:rsidR="00A317F4" w:rsidRDefault="00483A87">
    <w:pPr>
      <w:spacing w:after="0" w:line="259" w:lineRule="auto"/>
      <w:ind w:left="286" w:firstLine="0"/>
    </w:pPr>
    <w:r>
      <w:rPr>
        <w:noProof/>
      </w:rPr>
      <w:drawing>
        <wp:anchor distT="0" distB="0" distL="114300" distR="114300" simplePos="0" relativeHeight="251660288" behindDoc="0" locked="0" layoutInCell="1" allowOverlap="0" wp14:anchorId="1F258056" wp14:editId="7CB914B1">
          <wp:simplePos x="0" y="0"/>
          <wp:positionH relativeFrom="page">
            <wp:posOffset>5615940</wp:posOffset>
          </wp:positionH>
          <wp:positionV relativeFrom="page">
            <wp:posOffset>308356</wp:posOffset>
          </wp:positionV>
          <wp:extent cx="1402334" cy="535305"/>
          <wp:effectExtent l="0" t="0" r="0" b="0"/>
          <wp:wrapSquare wrapText="bothSides"/>
          <wp:docPr id="118046995" name="Picture 118046995"/>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402334" cy="535305"/>
                  </a:xfrm>
                  <a:prstGeom prst="rect">
                    <a:avLst/>
                  </a:prstGeom>
                </pic:spPr>
              </pic:pic>
            </a:graphicData>
          </a:graphic>
        </wp:anchor>
      </w:drawing>
    </w:r>
    <w:r>
      <w:rPr>
        <w:color w:val="00177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C35B" w14:textId="77777777" w:rsidR="00A317F4" w:rsidRDefault="00483A87">
    <w:pPr>
      <w:spacing w:after="0" w:line="259" w:lineRule="auto"/>
      <w:ind w:left="0" w:firstLine="0"/>
    </w:pPr>
    <w:r>
      <w:rPr>
        <w:noProof/>
      </w:rPr>
      <w:drawing>
        <wp:anchor distT="0" distB="0" distL="114300" distR="114300" simplePos="0" relativeHeight="251661312" behindDoc="0" locked="0" layoutInCell="1" allowOverlap="0" wp14:anchorId="635BC601" wp14:editId="52C8105E">
          <wp:simplePos x="0" y="0"/>
          <wp:positionH relativeFrom="page">
            <wp:posOffset>5615940</wp:posOffset>
          </wp:positionH>
          <wp:positionV relativeFrom="page">
            <wp:posOffset>308356</wp:posOffset>
          </wp:positionV>
          <wp:extent cx="1402334" cy="535305"/>
          <wp:effectExtent l="0" t="0" r="0" b="0"/>
          <wp:wrapSquare wrapText="bothSides"/>
          <wp:docPr id="562763352" name="Picture 562763352"/>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402334" cy="535305"/>
                  </a:xfrm>
                  <a:prstGeom prst="rect">
                    <a:avLst/>
                  </a:prstGeom>
                </pic:spPr>
              </pic:pic>
            </a:graphicData>
          </a:graphic>
        </wp:anchor>
      </w:drawing>
    </w:r>
    <w:r>
      <w:rPr>
        <w:color w:val="00177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5E78" w14:textId="77777777" w:rsidR="00A317F4" w:rsidRDefault="00483A87">
    <w:pPr>
      <w:spacing w:after="0" w:line="259" w:lineRule="auto"/>
      <w:ind w:left="0" w:firstLine="0"/>
    </w:pPr>
    <w:r>
      <w:rPr>
        <w:noProof/>
      </w:rPr>
      <w:drawing>
        <wp:anchor distT="0" distB="0" distL="114300" distR="114300" simplePos="0" relativeHeight="251662336" behindDoc="0" locked="0" layoutInCell="1" allowOverlap="0" wp14:anchorId="6028D797" wp14:editId="19E395D9">
          <wp:simplePos x="0" y="0"/>
          <wp:positionH relativeFrom="page">
            <wp:posOffset>5615940</wp:posOffset>
          </wp:positionH>
          <wp:positionV relativeFrom="page">
            <wp:posOffset>308356</wp:posOffset>
          </wp:positionV>
          <wp:extent cx="1402334" cy="535305"/>
          <wp:effectExtent l="0" t="0" r="0" b="0"/>
          <wp:wrapSquare wrapText="bothSides"/>
          <wp:docPr id="966318095" name="Picture 966318095"/>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402334" cy="535305"/>
                  </a:xfrm>
                  <a:prstGeom prst="rect">
                    <a:avLst/>
                  </a:prstGeom>
                </pic:spPr>
              </pic:pic>
            </a:graphicData>
          </a:graphic>
        </wp:anchor>
      </w:drawing>
    </w:r>
    <w:r>
      <w:rPr>
        <w:color w:val="00177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C56E" w14:textId="77777777" w:rsidR="00A317F4" w:rsidRDefault="00483A87">
    <w:pPr>
      <w:spacing w:after="0" w:line="259" w:lineRule="auto"/>
      <w:ind w:left="0" w:firstLine="0"/>
    </w:pPr>
    <w:r>
      <w:rPr>
        <w:noProof/>
      </w:rPr>
      <w:drawing>
        <wp:anchor distT="0" distB="0" distL="114300" distR="114300" simplePos="0" relativeHeight="251663360" behindDoc="0" locked="0" layoutInCell="1" allowOverlap="0" wp14:anchorId="78C4C89A" wp14:editId="3050C6F0">
          <wp:simplePos x="0" y="0"/>
          <wp:positionH relativeFrom="page">
            <wp:posOffset>5615940</wp:posOffset>
          </wp:positionH>
          <wp:positionV relativeFrom="page">
            <wp:posOffset>308356</wp:posOffset>
          </wp:positionV>
          <wp:extent cx="1402334" cy="535305"/>
          <wp:effectExtent l="0" t="0" r="0" b="0"/>
          <wp:wrapSquare wrapText="bothSides"/>
          <wp:docPr id="801567862" name="Picture 801567862"/>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402334" cy="535305"/>
                  </a:xfrm>
                  <a:prstGeom prst="rect">
                    <a:avLst/>
                  </a:prstGeom>
                </pic:spPr>
              </pic:pic>
            </a:graphicData>
          </a:graphic>
        </wp:anchor>
      </w:drawing>
    </w:r>
    <w:r>
      <w:rPr>
        <w:color w:val="00177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F19"/>
    <w:multiLevelType w:val="hybridMultilevel"/>
    <w:tmpl w:val="05E8F92A"/>
    <w:lvl w:ilvl="0" w:tplc="6388C428">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E4698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328D5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986E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6876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78FE6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F8386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60FE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62D6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A04544"/>
    <w:multiLevelType w:val="hybridMultilevel"/>
    <w:tmpl w:val="ED3E05B6"/>
    <w:lvl w:ilvl="0" w:tplc="6B2ABA08">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00548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82322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A0445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90D8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2051B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FA2B3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44BA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BE2A6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0B0816"/>
    <w:multiLevelType w:val="hybridMultilevel"/>
    <w:tmpl w:val="EDF459A4"/>
    <w:lvl w:ilvl="0" w:tplc="50343ABC">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CC7C7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86D84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408D1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FA99F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AC062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8492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8E1B4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82EB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D875E22"/>
    <w:multiLevelType w:val="hybridMultilevel"/>
    <w:tmpl w:val="2FF061B2"/>
    <w:lvl w:ilvl="0" w:tplc="6A20D6E4">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A4A7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AC287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EC5C7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60B3F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5C81A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BA27B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5AB9C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F87F8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1B059E3"/>
    <w:multiLevelType w:val="hybridMultilevel"/>
    <w:tmpl w:val="4BC40A58"/>
    <w:lvl w:ilvl="0" w:tplc="2640BFBC">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94203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EE247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D01C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E807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CCC2B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DC3AB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5AE7B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BE17A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45154306">
    <w:abstractNumId w:val="4"/>
  </w:num>
  <w:num w:numId="2" w16cid:durableId="824277938">
    <w:abstractNumId w:val="0"/>
  </w:num>
  <w:num w:numId="3" w16cid:durableId="1182234866">
    <w:abstractNumId w:val="2"/>
  </w:num>
  <w:num w:numId="4" w16cid:durableId="41442073">
    <w:abstractNumId w:val="3"/>
  </w:num>
  <w:num w:numId="5" w16cid:durableId="1164472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F4"/>
    <w:rsid w:val="00483A87"/>
    <w:rsid w:val="00A317F4"/>
    <w:rsid w:val="00A7026B"/>
    <w:rsid w:val="00BD6BCB"/>
    <w:rsid w:val="00C314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795E2"/>
  <w15:docId w15:val="{98CDEBA3-5EDC-43BF-A2B9-9AF7C43A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8" w:line="296" w:lineRule="auto"/>
      <w:ind w:left="296"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96" w:line="265" w:lineRule="auto"/>
      <w:ind w:left="296" w:hanging="10"/>
      <w:outlineLvl w:val="0"/>
    </w:pPr>
    <w:rPr>
      <w:rFonts w:ascii="Arial" w:eastAsia="Arial" w:hAnsi="Arial" w:cs="Arial"/>
      <w:b/>
      <w:color w:val="001770"/>
      <w:sz w:val="36"/>
    </w:rPr>
  </w:style>
  <w:style w:type="paragraph" w:styleId="Heading2">
    <w:name w:val="heading 2"/>
    <w:next w:val="Normal"/>
    <w:link w:val="Heading2Char"/>
    <w:uiPriority w:val="9"/>
    <w:unhideWhenUsed/>
    <w:qFormat/>
    <w:pPr>
      <w:keepNext/>
      <w:keepLines/>
      <w:spacing w:after="68" w:line="297" w:lineRule="auto"/>
      <w:ind w:left="10" w:hanging="10"/>
      <w:outlineLvl w:val="1"/>
    </w:pPr>
    <w:rPr>
      <w:rFonts w:ascii="Arial" w:eastAsia="Arial" w:hAnsi="Arial" w:cs="Arial"/>
      <w:b/>
      <w:color w:val="0017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1770"/>
      <w:sz w:val="24"/>
    </w:rPr>
  </w:style>
  <w:style w:type="paragraph" w:customStyle="1" w:styleId="footnotedescription">
    <w:name w:val="footnote description"/>
    <w:next w:val="Normal"/>
    <w:link w:val="footnotedescriptionChar"/>
    <w:hidden/>
    <w:pPr>
      <w:spacing w:after="0" w:line="248" w:lineRule="auto"/>
      <w:ind w:left="428" w:hanging="428"/>
      <w:jc w:val="both"/>
    </w:pPr>
    <w:rPr>
      <w:rFonts w:ascii="Arial" w:eastAsia="Arial" w:hAnsi="Arial" w:cs="Arial"/>
      <w:color w:val="222222"/>
      <w:sz w:val="19"/>
    </w:rPr>
  </w:style>
  <w:style w:type="character" w:customStyle="1" w:styleId="footnotedescriptionChar">
    <w:name w:val="footnote description Char"/>
    <w:link w:val="footnotedescription"/>
    <w:rPr>
      <w:rFonts w:ascii="Arial" w:eastAsia="Arial" w:hAnsi="Arial" w:cs="Arial"/>
      <w:color w:val="222222"/>
      <w:sz w:val="19"/>
    </w:rPr>
  </w:style>
  <w:style w:type="character" w:customStyle="1" w:styleId="Heading1Char">
    <w:name w:val="Heading 1 Char"/>
    <w:link w:val="Heading1"/>
    <w:rPr>
      <w:rFonts w:ascii="Arial" w:eastAsia="Arial" w:hAnsi="Arial" w:cs="Arial"/>
      <w:b/>
      <w:color w:val="001770"/>
      <w:sz w:val="36"/>
    </w:rPr>
  </w:style>
  <w:style w:type="paragraph" w:styleId="TOC1">
    <w:name w:val="toc 1"/>
    <w:hidden/>
    <w:pPr>
      <w:spacing w:after="207" w:line="259" w:lineRule="auto"/>
      <w:ind w:left="311" w:right="410" w:hanging="10"/>
    </w:pPr>
    <w:rPr>
      <w:rFonts w:ascii="Arial" w:eastAsia="Arial" w:hAnsi="Arial" w:cs="Arial"/>
      <w:b/>
      <w:color w:val="001770"/>
      <w:sz w:val="22"/>
    </w:rPr>
  </w:style>
  <w:style w:type="paragraph" w:styleId="TOC2">
    <w:name w:val="toc 2"/>
    <w:hidden/>
    <w:pPr>
      <w:spacing w:after="3" w:line="262" w:lineRule="auto"/>
      <w:ind w:left="975" w:right="410" w:hanging="10"/>
    </w:pPr>
    <w:rPr>
      <w:rFonts w:ascii="Arial" w:eastAsia="Arial" w:hAnsi="Arial" w:cs="Arial"/>
      <w:color w:val="001770"/>
      <w:sz w:val="22"/>
    </w:rPr>
  </w:style>
  <w:style w:type="character" w:customStyle="1" w:styleId="footnotemark">
    <w:name w:val="footnote mark"/>
    <w:hidden/>
    <w:rPr>
      <w:rFonts w:ascii="Arial" w:eastAsia="Arial" w:hAnsi="Arial" w:cs="Arial"/>
      <w:color w:val="000000"/>
      <w:sz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2371</Words>
  <Characters>13518</Characters>
  <Application>Microsoft Office Word</Application>
  <DocSecurity>4</DocSecurity>
  <Lines>112</Lines>
  <Paragraphs>31</Paragraphs>
  <ScaleCrop>false</ScaleCrop>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WEBB, Laura</cp:lastModifiedBy>
  <cp:revision>2</cp:revision>
  <dcterms:created xsi:type="dcterms:W3CDTF">2025-12-03T08:21:00Z</dcterms:created>
  <dcterms:modified xsi:type="dcterms:W3CDTF">2025-12-03T08:21:00Z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v=2024.1;a=SHA256;h=4137A347FF5ACB0835A6A519B68B5C51ED741A8E5104DD173CC21DF10C9AA167</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2025-12-03T04:40:34Z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2025-12-03T04:40:34Z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ce7528e57c904598885c401f05794690</vt:lpwstr>
  </property>
  <property fmtid="{D5CDD505-2E9C-101B-9397-08002B2CF9AE}" pid="24" name="PM_Originator_Hash_SHA1">
    <vt:lpwstr>A695838720124A92C2B08AFA5EEDBB07A348141B</vt:lpwstr>
  </property>
  <property fmtid="{D5CDD505-2E9C-101B-9397-08002B2CF9AE}" pid="25" name="PM_Originating_FileId">
    <vt:lpwstr>E304F18896E84ABA89B5743100367B1A</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2E1EE7455817930B9E5F23948631EC74</vt:lpwstr>
  </property>
  <property fmtid="{D5CDD505-2E9C-101B-9397-08002B2CF9AE}" pid="33" name="PM_Hash_Salt">
    <vt:lpwstr>FEDCF55C8474AB307D8D4627653A81D8</vt:lpwstr>
  </property>
  <property fmtid="{D5CDD505-2E9C-101B-9397-08002B2CF9AE}" pid="34" name="PM_Hash_SHA1">
    <vt:lpwstr>D21AD877F4EBA51FC23A06114737BCB3B41578F4</vt:lpwstr>
  </property>
</Properties>
</file>