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8491" w14:textId="77777777" w:rsidR="00F85A65" w:rsidRDefault="0046249D">
      <w:pPr>
        <w:spacing w:after="204"/>
        <w:ind w:left="-5" w:right="67"/>
      </w:pPr>
      <w:r>
        <w:t>Submission to the Department of Social Services</w:t>
      </w:r>
    </w:p>
    <w:p w14:paraId="37E1928E" w14:textId="77777777" w:rsidR="00F85A65" w:rsidRDefault="0046249D">
      <w:pPr>
        <w:ind w:left="-5" w:right="67"/>
      </w:pPr>
      <w:r>
        <w:t>Australian Institute of Play</w:t>
      </w:r>
    </w:p>
    <w:p w14:paraId="63C0304B" w14:textId="77777777" w:rsidR="00F85A65" w:rsidRDefault="0046249D">
      <w:pPr>
        <w:ind w:left="-5" w:right="67"/>
      </w:pPr>
      <w:r>
        <w:t>A New Approach to Children and Family Programs</w:t>
      </w:r>
    </w:p>
    <w:p w14:paraId="5F099DDD" w14:textId="77777777" w:rsidR="00F85A65" w:rsidRDefault="0046249D">
      <w:pPr>
        <w:spacing w:after="5"/>
        <w:ind w:left="-5" w:right="67"/>
      </w:pPr>
      <w:r>
        <w:t>The Australian Institute of Play (AIP) welcomes the opportunity to provide feedback on the</w:t>
      </w:r>
    </w:p>
    <w:p w14:paraId="0EFA015A" w14:textId="77777777" w:rsidR="00F85A65" w:rsidRDefault="0046249D">
      <w:pPr>
        <w:ind w:left="-5" w:right="67"/>
      </w:pPr>
      <w:r>
        <w:t xml:space="preserve">Department of Social Services - A new approach to children and family programs Discussion Paper. The AIP supports the Government’s commitment to prevention, early intervention, and proportionate universalism, and recognise the need for flexible, community-informed, </w:t>
      </w:r>
      <w:proofErr w:type="spellStart"/>
      <w:r>
        <w:t>evidencebased</w:t>
      </w:r>
      <w:proofErr w:type="spellEnd"/>
      <w:r>
        <w:t xml:space="preserve"> services that support children and families at multiple points across the system.</w:t>
      </w:r>
    </w:p>
    <w:p w14:paraId="281299E9" w14:textId="77777777" w:rsidR="00F85A65" w:rsidRDefault="0046249D">
      <w:pPr>
        <w:ind w:left="-5" w:right="67"/>
      </w:pPr>
      <w:r>
        <w:t>This submission highlights the essential role of play — particularly free, child-led, outdoor and nature-based play — as a core component of healthy child development, a recognised human right, and a powerful, cost-effective public health strategy. We raise concerns regarding unintended consequences for communities where effective programs have already lifted wellbeing indicators, potentially jeopardising future funding under a needs-based model.</w:t>
      </w:r>
    </w:p>
    <w:p w14:paraId="6CA74CAB" w14:textId="77777777" w:rsidR="00F85A65" w:rsidRDefault="0046249D">
      <w:pPr>
        <w:ind w:left="-5" w:right="67"/>
      </w:pPr>
      <w:r>
        <w:t>AIP is a registered charity dedicated to promoting, enabling, and protecting children’s right to play (UNCRC Article 31). We provide targeted, place-based, high-quality supervised play opportunities that deliver benevolent relief to children and families including those experiencing stress, disadvantage, trauma, poverty, and social isolation. Play is the mechanism through which we build resilience, wellbeing, capability, and community connection.</w:t>
      </w:r>
    </w:p>
    <w:p w14:paraId="693531D5" w14:textId="77777777" w:rsidR="00F85A65" w:rsidRDefault="0046249D">
      <w:pPr>
        <w:numPr>
          <w:ilvl w:val="0"/>
          <w:numId w:val="1"/>
        </w:numPr>
        <w:ind w:right="67" w:hanging="216"/>
      </w:pPr>
      <w:r>
        <w:t>Endorsing the Public Health and Proportionate Universalism Approach</w:t>
      </w:r>
    </w:p>
    <w:p w14:paraId="38C5A001" w14:textId="77777777" w:rsidR="00F85A65" w:rsidRDefault="0046249D">
      <w:pPr>
        <w:ind w:left="-5" w:right="67"/>
      </w:pPr>
      <w:r>
        <w:t xml:space="preserve">AIP strongly supports the overarching framework proposed by DSS. A public health approach, supported by prevention, early intervention, and targeted intensive support, aligns closely with the evidence base on child development and societal wellbeing. The emphasis </w:t>
      </w:r>
      <w:proofErr w:type="gramStart"/>
      <w:r>
        <w:t>on:</w:t>
      </w:r>
      <w:proofErr w:type="gramEnd"/>
      <w:r>
        <w:t xml:space="preserve"> early investment, connected and place-based services, responses tailored to local need, community voices informing design, increased ACCO-led service delivery is consistent with what research shows improves outcomes for children and families.</w:t>
      </w:r>
    </w:p>
    <w:p w14:paraId="10982839" w14:textId="77777777" w:rsidR="00F85A65" w:rsidRDefault="0046249D">
      <w:pPr>
        <w:ind w:left="-5" w:right="67"/>
      </w:pPr>
      <w:r>
        <w:lastRenderedPageBreak/>
        <w:t>Play fits squarely within this model. Child-led play is one of the most effective, scalable, low-cost universal prevention strategies available. It strengthens physical health, cognitive development, executive function, emotional regulation, resilience, social competence, creativity, and cultural identity. When freely chosen and supported, play reduces stress, builds confidence, and creates protective pathways that buffer children against later adversity, directly reducing long-term demand on high-intensity services.</w:t>
      </w:r>
    </w:p>
    <w:p w14:paraId="384BCEBA" w14:textId="77777777" w:rsidR="00F85A65" w:rsidRDefault="0046249D">
      <w:pPr>
        <w:numPr>
          <w:ilvl w:val="0"/>
          <w:numId w:val="1"/>
        </w:numPr>
        <w:ind w:right="67" w:hanging="216"/>
      </w:pPr>
      <w:r>
        <w:t>Play as a Human Right and Foundational Developmental Need</w:t>
      </w:r>
    </w:p>
    <w:p w14:paraId="4F467C01" w14:textId="77777777" w:rsidR="00F85A65" w:rsidRDefault="0046249D">
      <w:pPr>
        <w:ind w:left="-5" w:right="67"/>
      </w:pPr>
      <w:r>
        <w:t>The UN Convention on the Rights of the Child (Article 31) recognises play as a fundamental human right. AIP emphasises that play is not optional or recreational but biologically necessary for healthy human development. When children have insufficient opportunities for free, self-directed play, the consequences are significant and can include elevated stress and anxiety, reduced independence, weaker executive function, poorer conflict-resolution skills, developmental delays, weaker physical capacity, and diminished social connection.</w:t>
      </w:r>
    </w:p>
    <w:p w14:paraId="5E10024F" w14:textId="77777777" w:rsidR="00F85A65" w:rsidRDefault="0046249D">
      <w:pPr>
        <w:spacing w:after="2236"/>
        <w:ind w:left="-5" w:right="67"/>
      </w:pPr>
      <w:r>
        <w:t xml:space="preserve">The rapid rise in childhood mental health challenges, sedentary behaviour, poor physical literacy, and sensory processing issues underscores the urgency of embedding play-based prevention strategies into national frameworks. Play is one of the most effective early supports for emotional and behavioural self-regulation, relationship building, stress </w:t>
      </w:r>
      <w:proofErr w:type="spellStart"/>
      <w:proofErr w:type="gramStart"/>
      <w:r>
        <w:t>reduction,physical</w:t>
      </w:r>
      <w:proofErr w:type="spellEnd"/>
      <w:proofErr w:type="gramEnd"/>
      <w:r>
        <w:t xml:space="preserve"> activity and motor development, social and community connection, healing from trauma, strengthening cultural identity. These outcomes are profoundly aligned with DSS’ new streams and offer substantial social and economic returns.</w:t>
      </w:r>
    </w:p>
    <w:p w14:paraId="273589A3" w14:textId="77777777" w:rsidR="00F85A65" w:rsidRDefault="0046249D">
      <w:pPr>
        <w:numPr>
          <w:ilvl w:val="0"/>
          <w:numId w:val="1"/>
        </w:numPr>
        <w:ind w:right="67" w:hanging="216"/>
      </w:pPr>
      <w:r>
        <w:t>The Critical Importance of Play for First Nations Children</w:t>
      </w:r>
    </w:p>
    <w:p w14:paraId="4BEDEC22" w14:textId="77777777" w:rsidR="00F85A65" w:rsidRDefault="0046249D">
      <w:pPr>
        <w:ind w:left="-5" w:right="67"/>
      </w:pPr>
      <w:r>
        <w:t>AIP strongly supports the Government’s priority to improve outcomes for First Nations children and families, including increasing ACCO delivery in communities with high First Nations populations.</w:t>
      </w:r>
    </w:p>
    <w:p w14:paraId="0188BDDB" w14:textId="77777777" w:rsidR="00F85A65" w:rsidRDefault="0046249D">
      <w:pPr>
        <w:ind w:left="-5" w:right="67"/>
      </w:pPr>
      <w:r>
        <w:lastRenderedPageBreak/>
        <w:t>Play on Country holds unique cultural, spiritual, and developmental value. For many First Nations children, nature-based play is a primary way of learning about culture, kinship, identity, responsibility, and the rhythms of Country. It builds sensory, physical, emotional, and social capabilities while strengthening cultural continuity and belonging.</w:t>
      </w:r>
    </w:p>
    <w:p w14:paraId="75E82471" w14:textId="77777777" w:rsidR="00F85A65" w:rsidRDefault="0046249D">
      <w:pPr>
        <w:ind w:left="-5" w:right="67"/>
      </w:pPr>
      <w:r>
        <w:t>Supporting First Nations-led, place-based play programs, designed and delivered by local communities, is an evidence-aligned strategy that builds pride and identity and strengthens family and community relationships. It also promotes wellbeing and resilience, supports healing and provides culturally meaningful early intervention pathways.</w:t>
      </w:r>
    </w:p>
    <w:p w14:paraId="65CAF17F" w14:textId="77777777" w:rsidR="00F85A65" w:rsidRDefault="0046249D">
      <w:pPr>
        <w:ind w:left="-5" w:right="67"/>
      </w:pPr>
      <w:r>
        <w:t>AIP recommends explicitly acknowledging the cultural significance of play for First Nations children and encourage ACCOs to embed play-based, on-Country approaches within prevention and early intervention services.</w:t>
      </w:r>
    </w:p>
    <w:p w14:paraId="359F707A" w14:textId="77777777" w:rsidR="00F85A65" w:rsidRDefault="0046249D">
      <w:pPr>
        <w:numPr>
          <w:ilvl w:val="0"/>
          <w:numId w:val="2"/>
        </w:numPr>
        <w:ind w:right="67" w:hanging="216"/>
      </w:pPr>
      <w:r>
        <w:t>Risk Identified: Communities Improving May Lose Funding</w:t>
      </w:r>
    </w:p>
    <w:p w14:paraId="40AABBE8" w14:textId="77777777" w:rsidR="00F85A65" w:rsidRDefault="0046249D">
      <w:pPr>
        <w:ind w:left="-5" w:right="67"/>
      </w:pPr>
      <w:r>
        <w:t>We appreciate the Department’s intention to allocate resources where need is greatest. However, AIP urges caution regarding a potential unintended effect: communities with successful play-based or early intervention programs may see improvements in AEDC, SEIFA indicators, or child protection engagement and appear “less in need.”</w:t>
      </w:r>
    </w:p>
    <w:p w14:paraId="70F786F9" w14:textId="77777777" w:rsidR="00F85A65" w:rsidRDefault="0046249D">
      <w:pPr>
        <w:ind w:left="-5" w:right="67"/>
      </w:pPr>
      <w:r>
        <w:t>If these effective programs subsequently lose funding because data indicators improve, there is a real risk of regression. In vulnerable communities, progress is often slow and fragile. Gains in wellbeing, resilience, and social cohesion require continuity, especially when improvements reflect early prevention and community trust built over several years.</w:t>
      </w:r>
    </w:p>
    <w:p w14:paraId="6301FA89" w14:textId="77777777" w:rsidR="00F85A65" w:rsidRDefault="0046249D">
      <w:pPr>
        <w:ind w:left="-5" w:right="67"/>
      </w:pPr>
      <w:r>
        <w:t>Recommendation: DSS should incorporate a “program effectiveness safeguard” ensuring that:</w:t>
      </w:r>
    </w:p>
    <w:p w14:paraId="5DF5522E" w14:textId="77777777" w:rsidR="00F85A65" w:rsidRDefault="0046249D">
      <w:pPr>
        <w:numPr>
          <w:ilvl w:val="1"/>
          <w:numId w:val="2"/>
        </w:numPr>
        <w:ind w:right="67" w:hanging="360"/>
      </w:pPr>
      <w:r>
        <w:t>communities with demonstrated success in prevention programs are not penalised for improving, and</w:t>
      </w:r>
    </w:p>
    <w:p w14:paraId="275E8495" w14:textId="77777777" w:rsidR="00F85A65" w:rsidRDefault="0046249D">
      <w:pPr>
        <w:numPr>
          <w:ilvl w:val="1"/>
          <w:numId w:val="2"/>
        </w:numPr>
        <w:ind w:right="67" w:hanging="360"/>
      </w:pPr>
      <w:r>
        <w:lastRenderedPageBreak/>
        <w:t>funding decisions consider longitudinal evidence of impact, not only snapshot data.</w:t>
      </w:r>
    </w:p>
    <w:p w14:paraId="701101BF" w14:textId="77777777" w:rsidR="00F85A65" w:rsidRDefault="0046249D">
      <w:pPr>
        <w:ind w:left="-5" w:right="67"/>
      </w:pPr>
      <w:r>
        <w:t>Removing programs that work undermines the very goals of the reform: early investment, prevention, stability, and breaking cycles of disadvantage.</w:t>
      </w:r>
    </w:p>
    <w:p w14:paraId="577CF060" w14:textId="77777777" w:rsidR="00F85A65" w:rsidRDefault="0046249D">
      <w:pPr>
        <w:numPr>
          <w:ilvl w:val="0"/>
          <w:numId w:val="2"/>
        </w:numPr>
        <w:ind w:right="67" w:hanging="216"/>
      </w:pPr>
      <w:r>
        <w:t>The Role of AIP Within the Single National Program</w:t>
      </w:r>
    </w:p>
    <w:p w14:paraId="6F1E739B" w14:textId="77777777" w:rsidR="00F85A65" w:rsidRDefault="0046249D">
      <w:pPr>
        <w:ind w:left="-5" w:right="67"/>
      </w:pPr>
      <w:r>
        <w:t>The Australian Institute of Play’s work aligns strongly with all three program streams:</w:t>
      </w:r>
    </w:p>
    <w:p w14:paraId="7E45EE40" w14:textId="77777777" w:rsidR="00F85A65" w:rsidRDefault="0046249D">
      <w:pPr>
        <w:ind w:left="-5" w:right="67"/>
      </w:pPr>
      <w:r>
        <w:t>Stream 1 – National Programs and Information</w:t>
      </w:r>
    </w:p>
    <w:p w14:paraId="5BD211A6" w14:textId="77777777" w:rsidR="00F85A65" w:rsidRDefault="0046249D">
      <w:pPr>
        <w:ind w:left="-5" w:right="67"/>
      </w:pPr>
      <w:r>
        <w:t>AIP provides expert, evidence-informed guidance on play, advocating for children’s developmental needs and human rights, and educating parents, caregivers, and communities.</w:t>
      </w:r>
    </w:p>
    <w:p w14:paraId="24FBE5A6" w14:textId="77777777" w:rsidR="00F85A65" w:rsidRDefault="0046249D">
      <w:pPr>
        <w:ind w:left="-5" w:right="67"/>
      </w:pPr>
      <w:r>
        <w:t>Stream 2 – Prevention and Early Intervention</w:t>
      </w:r>
    </w:p>
    <w:p w14:paraId="6EA5CAB2" w14:textId="77777777" w:rsidR="00F85A65" w:rsidRDefault="0046249D">
      <w:pPr>
        <w:spacing w:after="1727"/>
        <w:ind w:left="-5"/>
      </w:pPr>
      <w:r>
        <w:t>Our targeted, supervised, high-quality play programs provide early support to children showing signs of stress, anxiety, trauma, developmental challenges, or social isolation — before difficulties escalate.</w:t>
      </w:r>
    </w:p>
    <w:p w14:paraId="695E141C" w14:textId="77777777" w:rsidR="00F85A65" w:rsidRDefault="0046249D">
      <w:pPr>
        <w:ind w:left="-5" w:right="67"/>
      </w:pPr>
      <w:r>
        <w:t>Stream 3 – Intensive Family Supports</w:t>
      </w:r>
    </w:p>
    <w:p w14:paraId="59366357" w14:textId="77777777" w:rsidR="00F85A65" w:rsidRDefault="0046249D">
      <w:pPr>
        <w:ind w:left="-5" w:right="67"/>
      </w:pPr>
      <w:r>
        <w:t>AIP’s play-based models are increasingly used alongside intensive family support providers to relieve distress, rebuild relationships, and create safe, strengths-based engagement pathways for families experiencing significant vulnerability.</w:t>
      </w:r>
    </w:p>
    <w:p w14:paraId="168DF366" w14:textId="77777777" w:rsidR="00F85A65" w:rsidRDefault="0046249D">
      <w:pPr>
        <w:ind w:left="-5" w:right="67"/>
      </w:pPr>
      <w:r>
        <w:lastRenderedPageBreak/>
        <w:t>Our work is deeply local, place-based, relational, flexible, community and culturally responsive, and evidence informed, directly reflecting the qualities stakeholders identified as critical in the DSS consultation summary.</w:t>
      </w:r>
    </w:p>
    <w:p w14:paraId="5EBF4E05" w14:textId="77777777" w:rsidR="00F85A65" w:rsidRDefault="0046249D">
      <w:pPr>
        <w:ind w:left="-5" w:right="67"/>
      </w:pPr>
      <w:r>
        <w:t>6. Recommendations</w:t>
      </w:r>
    </w:p>
    <w:p w14:paraId="6C20F7F8" w14:textId="77777777" w:rsidR="00F85A65" w:rsidRDefault="0046249D">
      <w:pPr>
        <w:ind w:left="-5" w:right="67"/>
      </w:pPr>
      <w:r>
        <w:t>AIP recommends that the Department:</w:t>
      </w:r>
    </w:p>
    <w:p w14:paraId="47D5E359" w14:textId="77777777" w:rsidR="00F85A65" w:rsidRDefault="0046249D">
      <w:pPr>
        <w:numPr>
          <w:ilvl w:val="0"/>
          <w:numId w:val="3"/>
        </w:numPr>
        <w:spacing w:after="1" w:line="256" w:lineRule="auto"/>
        <w:ind w:hanging="360"/>
      </w:pPr>
      <w:r>
        <w:rPr>
          <w:sz w:val="20"/>
        </w:rPr>
        <w:t>Explicitly recognise play as an evidence-based prevention and early intervention strategy within national program guidelines.</w:t>
      </w:r>
    </w:p>
    <w:p w14:paraId="737FA9B7" w14:textId="77777777" w:rsidR="00F85A65" w:rsidRDefault="0046249D">
      <w:pPr>
        <w:numPr>
          <w:ilvl w:val="0"/>
          <w:numId w:val="3"/>
        </w:numPr>
        <w:spacing w:after="1" w:line="256" w:lineRule="auto"/>
        <w:ind w:hanging="360"/>
      </w:pPr>
      <w:r>
        <w:rPr>
          <w:sz w:val="20"/>
        </w:rPr>
        <w:t>Embed children’s right to play (UNCRC Article 31) as a guiding principle across all three streams.</w:t>
      </w:r>
    </w:p>
    <w:p w14:paraId="039ED043" w14:textId="77777777" w:rsidR="00F85A65" w:rsidRDefault="0046249D">
      <w:pPr>
        <w:numPr>
          <w:ilvl w:val="0"/>
          <w:numId w:val="3"/>
        </w:numPr>
        <w:spacing w:after="1" w:line="256" w:lineRule="auto"/>
        <w:ind w:hanging="360"/>
      </w:pPr>
      <w:r>
        <w:rPr>
          <w:sz w:val="20"/>
        </w:rPr>
        <w:t>Ensure communities with successful early intervention programs are not defunded due to improved indicators, by integrating longitudinal impact and program effectiveness safeguards.</w:t>
      </w:r>
    </w:p>
    <w:p w14:paraId="7EA85AB3" w14:textId="77777777" w:rsidR="00F85A65" w:rsidRDefault="0046249D">
      <w:pPr>
        <w:numPr>
          <w:ilvl w:val="0"/>
          <w:numId w:val="3"/>
        </w:numPr>
        <w:spacing w:after="1" w:line="256" w:lineRule="auto"/>
        <w:ind w:hanging="360"/>
      </w:pPr>
      <w:r>
        <w:rPr>
          <w:sz w:val="20"/>
        </w:rPr>
        <w:t>Support First Nations-led, culturally grounded play-based approaches, including play on Country, in both prevention and early intervention service design.</w:t>
      </w:r>
    </w:p>
    <w:p w14:paraId="1BAC865B" w14:textId="77777777" w:rsidR="00F85A65" w:rsidRDefault="0046249D">
      <w:pPr>
        <w:numPr>
          <w:ilvl w:val="0"/>
          <w:numId w:val="3"/>
        </w:numPr>
        <w:spacing w:after="1" w:line="256" w:lineRule="auto"/>
        <w:ind w:hanging="360"/>
      </w:pPr>
      <w:r>
        <w:rPr>
          <w:sz w:val="20"/>
        </w:rPr>
        <w:t>Prioritise place-based, child-led, community-embedded models of support, which consistently demonstrate high trust, accessibility, and cost-effectiveness.</w:t>
      </w:r>
    </w:p>
    <w:p w14:paraId="44AB1851" w14:textId="77777777" w:rsidR="00F85A65" w:rsidRDefault="0046249D">
      <w:pPr>
        <w:numPr>
          <w:ilvl w:val="0"/>
          <w:numId w:val="3"/>
        </w:numPr>
        <w:spacing w:after="1" w:line="256" w:lineRule="auto"/>
        <w:ind w:hanging="360"/>
      </w:pPr>
      <w:r>
        <w:rPr>
          <w:sz w:val="20"/>
        </w:rPr>
        <w:t>Recognise supervised play programs as legitimate forms of benevolent relief for children and families experiencing distress, trauma, or adversity.</w:t>
      </w:r>
    </w:p>
    <w:p w14:paraId="72D0AB4C" w14:textId="77777777" w:rsidR="00F85A65" w:rsidRDefault="0046249D">
      <w:pPr>
        <w:numPr>
          <w:ilvl w:val="0"/>
          <w:numId w:val="3"/>
        </w:numPr>
        <w:spacing w:after="514" w:line="256" w:lineRule="auto"/>
        <w:ind w:hanging="360"/>
      </w:pPr>
      <w:r>
        <w:rPr>
          <w:sz w:val="20"/>
        </w:rPr>
        <w:t>Simplify reporting requirements and include qualitative measures, enabling organisations like AIP to demonstrate relational and developmental outcomes that are not easily captured in quantitative data.</w:t>
      </w:r>
    </w:p>
    <w:p w14:paraId="4A487493" w14:textId="77777777" w:rsidR="00F85A65" w:rsidRDefault="0046249D">
      <w:pPr>
        <w:ind w:left="-5" w:right="67"/>
      </w:pPr>
      <w:r>
        <w:t>Conclusion</w:t>
      </w:r>
    </w:p>
    <w:p w14:paraId="58AD0FE1" w14:textId="77777777" w:rsidR="00F85A65" w:rsidRDefault="0046249D">
      <w:pPr>
        <w:ind w:left="-5" w:right="67"/>
      </w:pPr>
      <w:r>
        <w:t>The DSS reform agenda provides an important opportunity to reimagine child and family services in ways that are preventative, holistic, community-driven, culturally informed, and aligned with global best practice. Play is a critical, evidence-based, rights-based component of healthy childhoods and thriving communities. It is one of the most effective and accessible ways of supporting children’s wellbeing, preparing them for school, strengthening families, and reducing long-term reliance on intensive services.</w:t>
      </w:r>
    </w:p>
    <w:p w14:paraId="02471AD6" w14:textId="77777777" w:rsidR="00F85A65" w:rsidRDefault="0046249D">
      <w:pPr>
        <w:ind w:left="-5" w:right="67"/>
      </w:pPr>
      <w:r>
        <w:t>The Australian Institute of Play welcomes the direction of the proposed reforms and encourages DSS to ensure that play, particularly free, child-led, nature-based play, is recognised and embedded as a core pillar of the new national approach.</w:t>
      </w:r>
    </w:p>
    <w:p w14:paraId="7CDD2D06" w14:textId="77777777" w:rsidR="00F85A65" w:rsidRDefault="0046249D">
      <w:pPr>
        <w:ind w:left="-5" w:right="67"/>
      </w:pPr>
      <w:r>
        <w:lastRenderedPageBreak/>
        <w:t>We thank the Department for the opportunity to contribute to this consultation and are available to provide further information or participate in future discussions.</w:t>
      </w:r>
    </w:p>
    <w:sectPr w:rsidR="00F85A65">
      <w:headerReference w:type="even" r:id="rId7"/>
      <w:headerReference w:type="default" r:id="rId8"/>
      <w:footerReference w:type="even" r:id="rId9"/>
      <w:footerReference w:type="default" r:id="rId10"/>
      <w:headerReference w:type="first" r:id="rId11"/>
      <w:footerReference w:type="first" r:id="rId12"/>
      <w:pgSz w:w="11906" w:h="16838"/>
      <w:pgMar w:top="2648" w:right="1391" w:bottom="1122" w:left="1440" w:header="708" w:footer="705"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D54F" w14:textId="77777777" w:rsidR="0046249D" w:rsidRDefault="0046249D">
      <w:pPr>
        <w:spacing w:after="0" w:line="240" w:lineRule="auto"/>
      </w:pPr>
      <w:r>
        <w:separator/>
      </w:r>
    </w:p>
  </w:endnote>
  <w:endnote w:type="continuationSeparator" w:id="0">
    <w:p w14:paraId="2B6993CF" w14:textId="77777777" w:rsidR="0046249D" w:rsidRDefault="0046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7B16" w14:textId="77777777" w:rsidR="00F85A65" w:rsidRDefault="0046249D">
    <w:pPr>
      <w:spacing w:after="0" w:line="259" w:lineRule="auto"/>
      <w:ind w:left="0" w:right="53" w:firstLine="0"/>
      <w:jc w:val="right"/>
    </w:pPr>
    <w:r>
      <w:fldChar w:fldCharType="begin"/>
    </w:r>
    <w:r>
      <w:instrText xml:space="preserve"> PAGE   \* MERGEFORMAT </w:instrText>
    </w:r>
    <w:r>
      <w:fldChar w:fldCharType="separate"/>
    </w:r>
    <w:r>
      <w:rPr>
        <w:rFonts w:ascii="Arial" w:eastAsia="Arial" w:hAnsi="Arial" w:cs="Arial"/>
      </w:rPr>
      <w:t>5</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83C1" w14:textId="77777777" w:rsidR="00F85A65" w:rsidRDefault="0046249D">
    <w:pPr>
      <w:spacing w:after="0" w:line="259" w:lineRule="auto"/>
      <w:ind w:left="0" w:right="53" w:firstLine="0"/>
      <w:jc w:val="right"/>
    </w:pPr>
    <w:r>
      <w:fldChar w:fldCharType="begin"/>
    </w:r>
    <w:r>
      <w:instrText xml:space="preserve"> PAGE   \* MERGEFORMAT </w:instrText>
    </w:r>
    <w:r>
      <w:fldChar w:fldCharType="separate"/>
    </w:r>
    <w:r>
      <w:rPr>
        <w:rFonts w:ascii="Arial" w:eastAsia="Arial" w:hAnsi="Arial" w:cs="Arial"/>
      </w:rPr>
      <w:t>5</w:t>
    </w:r>
    <w:r>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5EA8" w14:textId="77777777" w:rsidR="00F85A65" w:rsidRDefault="0046249D">
    <w:pPr>
      <w:spacing w:after="0" w:line="259" w:lineRule="auto"/>
      <w:ind w:left="0" w:right="53" w:firstLine="0"/>
      <w:jc w:val="right"/>
    </w:pPr>
    <w:r>
      <w:fldChar w:fldCharType="begin"/>
    </w:r>
    <w:r>
      <w:instrText xml:space="preserve"> PAGE   \* MERGEFORMAT </w:instrText>
    </w:r>
    <w:r>
      <w:fldChar w:fldCharType="separate"/>
    </w:r>
    <w:r>
      <w:rPr>
        <w:rFonts w:ascii="Arial" w:eastAsia="Arial" w:hAnsi="Arial" w:cs="Arial"/>
      </w:rPr>
      <w:t>5</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15CA" w14:textId="77777777" w:rsidR="0046249D" w:rsidRDefault="0046249D">
      <w:pPr>
        <w:spacing w:after="0" w:line="240" w:lineRule="auto"/>
      </w:pPr>
      <w:r>
        <w:separator/>
      </w:r>
    </w:p>
  </w:footnote>
  <w:footnote w:type="continuationSeparator" w:id="0">
    <w:p w14:paraId="7C6AE78E" w14:textId="77777777" w:rsidR="0046249D" w:rsidRDefault="00462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A020" w14:textId="77777777" w:rsidR="00F85A65" w:rsidRDefault="0046249D">
    <w:pPr>
      <w:spacing w:after="0" w:line="259" w:lineRule="auto"/>
      <w:ind w:left="-1440" w:right="51" w:firstLine="0"/>
    </w:pPr>
    <w:r>
      <w:rPr>
        <w:noProof/>
      </w:rPr>
      <w:drawing>
        <wp:anchor distT="0" distB="0" distL="114300" distR="114300" simplePos="0" relativeHeight="251658240" behindDoc="0" locked="0" layoutInCell="1" allowOverlap="0" wp14:anchorId="68C48260" wp14:editId="55CA9E5A">
          <wp:simplePos x="0" y="0"/>
          <wp:positionH relativeFrom="page">
            <wp:posOffset>5289804</wp:posOffset>
          </wp:positionH>
          <wp:positionV relativeFrom="page">
            <wp:posOffset>449580</wp:posOffset>
          </wp:positionV>
          <wp:extent cx="1354836" cy="120396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54836" cy="12039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2541" w14:textId="77777777" w:rsidR="00F85A65" w:rsidRDefault="0046249D">
    <w:pPr>
      <w:spacing w:after="0" w:line="259" w:lineRule="auto"/>
      <w:ind w:left="-1440" w:right="51" w:firstLine="0"/>
    </w:pPr>
    <w:r>
      <w:rPr>
        <w:noProof/>
      </w:rPr>
      <w:drawing>
        <wp:anchor distT="0" distB="0" distL="114300" distR="114300" simplePos="0" relativeHeight="251659264" behindDoc="0" locked="0" layoutInCell="1" allowOverlap="0" wp14:anchorId="5929B7BD" wp14:editId="307AADB8">
          <wp:simplePos x="0" y="0"/>
          <wp:positionH relativeFrom="page">
            <wp:posOffset>5289804</wp:posOffset>
          </wp:positionH>
          <wp:positionV relativeFrom="page">
            <wp:posOffset>449580</wp:posOffset>
          </wp:positionV>
          <wp:extent cx="1354836" cy="1203960"/>
          <wp:effectExtent l="0" t="0" r="0" b="0"/>
          <wp:wrapSquare wrapText="bothSides"/>
          <wp:docPr id="958664713" name="Picture 95866471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54836" cy="12039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AE3D" w14:textId="77777777" w:rsidR="00F85A65" w:rsidRDefault="0046249D">
    <w:pPr>
      <w:spacing w:after="0" w:line="259" w:lineRule="auto"/>
      <w:ind w:left="-1440" w:right="51" w:firstLine="0"/>
    </w:pPr>
    <w:r>
      <w:rPr>
        <w:noProof/>
      </w:rPr>
      <w:drawing>
        <wp:anchor distT="0" distB="0" distL="114300" distR="114300" simplePos="0" relativeHeight="251660288" behindDoc="0" locked="0" layoutInCell="1" allowOverlap="0" wp14:anchorId="6D67406F" wp14:editId="2D1FE54D">
          <wp:simplePos x="0" y="0"/>
          <wp:positionH relativeFrom="page">
            <wp:posOffset>5289804</wp:posOffset>
          </wp:positionH>
          <wp:positionV relativeFrom="page">
            <wp:posOffset>449580</wp:posOffset>
          </wp:positionV>
          <wp:extent cx="1354836" cy="1203960"/>
          <wp:effectExtent l="0" t="0" r="0" b="0"/>
          <wp:wrapSquare wrapText="bothSides"/>
          <wp:docPr id="1210397126" name="Picture 121039712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54836" cy="1203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1EB7"/>
    <w:multiLevelType w:val="hybridMultilevel"/>
    <w:tmpl w:val="173A56E2"/>
    <w:lvl w:ilvl="0" w:tplc="6F823198">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5891F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3E48D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4E083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868BC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B66D3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8CB87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46248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3AC86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65C0B3B"/>
    <w:multiLevelType w:val="hybridMultilevel"/>
    <w:tmpl w:val="FDAC5C80"/>
    <w:lvl w:ilvl="0" w:tplc="38FEE2A6">
      <w:start w:val="4"/>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9AEB46">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2C793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0E7D5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66FEF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56F20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6439B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AAE6F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E8E62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F540C2D"/>
    <w:multiLevelType w:val="hybridMultilevel"/>
    <w:tmpl w:val="5D32D55A"/>
    <w:lvl w:ilvl="0" w:tplc="80E69BD8">
      <w:start w:val="1"/>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5490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0C8D3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EA7C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4046E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221E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2EFB4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B8EF7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54FF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26224010">
    <w:abstractNumId w:val="2"/>
  </w:num>
  <w:num w:numId="2" w16cid:durableId="1667129069">
    <w:abstractNumId w:val="1"/>
  </w:num>
  <w:num w:numId="3" w16cid:durableId="84005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A65"/>
    <w:rsid w:val="0046249D"/>
    <w:rsid w:val="00624219"/>
    <w:rsid w:val="00A7026B"/>
    <w:rsid w:val="00C3140E"/>
    <w:rsid w:val="00F85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61D3"/>
  <w15:docId w15:val="{98CDEBA3-5EDC-43BF-A2B9-9AF7C43A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13" w:line="287"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1383</Words>
  <Characters>7888</Characters>
  <Application>Microsoft Office Word</Application>
  <DocSecurity>4</DocSecurity>
  <Lines>65</Lines>
  <Paragraphs>18</Paragraphs>
  <ScaleCrop>false</ScaleCrop>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approach to programs for families and children</dc:title>
  <dc:subject/>
  <dc:creator>WORMALD, Renae</dc:creator>
  <cp:keywords>[SEC=OFFICIAL]</cp:keywords>
  <cp:lastModifiedBy>WEBB, Laura</cp:lastModifiedBy>
  <cp:revision>2</cp:revision>
  <dcterms:created xsi:type="dcterms:W3CDTF">2025-12-03T08:22:00Z</dcterms:created>
  <dcterms:modified xsi:type="dcterms:W3CDTF">2025-12-03T08:22:00Z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v=2024.1;a=SHA256;h=396AB745101205E40B58B3A01B569BF2A194BDAFA6EC6EB53E4035D862EF7CA6</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2025-12-03T04:37:27Z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2025-12-03T04:37:27Z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a15e2335c0d7466785173c72390ef171</vt:lpwstr>
  </property>
  <property fmtid="{D5CDD505-2E9C-101B-9397-08002B2CF9AE}" pid="24" name="PM_Originator_Hash_SHA1">
    <vt:lpwstr>A695838720124A92C2B08AFA5EEDBB07A348141B</vt:lpwstr>
  </property>
  <property fmtid="{D5CDD505-2E9C-101B-9397-08002B2CF9AE}" pid="25" name="PM_Originating_FileId">
    <vt:lpwstr>33928464919E40EEA54DF5D32E1ECECB</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E70F27F892A0A40183217144D0E1C384</vt:lpwstr>
  </property>
  <property fmtid="{D5CDD505-2E9C-101B-9397-08002B2CF9AE}" pid="33" name="PM_Hash_Salt">
    <vt:lpwstr>A4F9E1EB7BD8DADBFE27E5A0C7E0D5EA</vt:lpwstr>
  </property>
  <property fmtid="{D5CDD505-2E9C-101B-9397-08002B2CF9AE}" pid="34" name="PM_Hash_SHA1">
    <vt:lpwstr>49A680E978593CAFC69F06620FD6F2D1786FE054</vt:lpwstr>
  </property>
</Properties>
</file>