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24636" w14:textId="77777777" w:rsidR="00334B74" w:rsidRDefault="001C07FD">
      <w:pPr>
        <w:spacing w:after="215" w:line="259" w:lineRule="auto"/>
        <w:ind w:left="0" w:firstLine="0"/>
      </w:pPr>
      <w:r>
        <w:rPr>
          <w:b/>
          <w:color w:val="CD545B"/>
        </w:rPr>
        <w:t xml:space="preserve"> </w:t>
      </w:r>
    </w:p>
    <w:p w14:paraId="52BC7C14" w14:textId="77777777" w:rsidR="00334B74" w:rsidRDefault="001C07FD">
      <w:pPr>
        <w:spacing w:after="164" w:line="259" w:lineRule="auto"/>
        <w:ind w:left="0" w:firstLine="0"/>
      </w:pPr>
      <w:r>
        <w:rPr>
          <w:b/>
          <w:color w:val="CD545B"/>
          <w:sz w:val="28"/>
        </w:rPr>
        <w:t xml:space="preserve"> </w:t>
      </w:r>
    </w:p>
    <w:p w14:paraId="23F0EBDA" w14:textId="77777777" w:rsidR="00334B74" w:rsidRDefault="001C07FD">
      <w:pPr>
        <w:spacing w:line="259" w:lineRule="auto"/>
        <w:ind w:left="0" w:firstLine="0"/>
      </w:pPr>
      <w:r>
        <w:rPr>
          <w:b/>
          <w:color w:val="CD545B"/>
          <w:sz w:val="28"/>
        </w:rPr>
        <w:t xml:space="preserve"> </w:t>
      </w:r>
    </w:p>
    <w:p w14:paraId="6C94C2D7" w14:textId="77777777" w:rsidR="00334B74" w:rsidRDefault="001C07FD">
      <w:pPr>
        <w:spacing w:after="98" w:line="259" w:lineRule="auto"/>
        <w:ind w:left="0" w:firstLine="0"/>
      </w:pPr>
      <w:r>
        <w:rPr>
          <w:b/>
          <w:color w:val="CD545B"/>
          <w:sz w:val="28"/>
        </w:rPr>
        <w:t xml:space="preserve"> </w:t>
      </w:r>
    </w:p>
    <w:p w14:paraId="2203983C" w14:textId="77777777" w:rsidR="00334B74" w:rsidRDefault="001C07FD">
      <w:pPr>
        <w:spacing w:after="105" w:line="259" w:lineRule="auto"/>
        <w:ind w:left="0" w:right="1305" w:firstLine="0"/>
        <w:jc w:val="right"/>
      </w:pPr>
      <w:r>
        <w:rPr>
          <w:noProof/>
        </w:rPr>
        <w:drawing>
          <wp:inline distT="0" distB="0" distL="0" distR="0" wp14:anchorId="5C591B14" wp14:editId="6170AB8D">
            <wp:extent cx="4049395" cy="1054646"/>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7"/>
                    <a:stretch>
                      <a:fillRect/>
                    </a:stretch>
                  </pic:blipFill>
                  <pic:spPr>
                    <a:xfrm>
                      <a:off x="0" y="0"/>
                      <a:ext cx="4049395" cy="1054646"/>
                    </a:xfrm>
                    <a:prstGeom prst="rect">
                      <a:avLst/>
                    </a:prstGeom>
                  </pic:spPr>
                </pic:pic>
              </a:graphicData>
            </a:graphic>
          </wp:inline>
        </w:drawing>
      </w:r>
      <w:r>
        <w:rPr>
          <w:b/>
          <w:color w:val="CD545B"/>
          <w:sz w:val="28"/>
        </w:rPr>
        <w:t xml:space="preserve"> </w:t>
      </w:r>
    </w:p>
    <w:p w14:paraId="7EF3FF73" w14:textId="77777777" w:rsidR="00334B74" w:rsidRDefault="001C07FD">
      <w:pPr>
        <w:spacing w:after="164" w:line="259" w:lineRule="auto"/>
        <w:ind w:left="16" w:firstLine="0"/>
        <w:jc w:val="center"/>
      </w:pPr>
      <w:r>
        <w:rPr>
          <w:b/>
          <w:color w:val="CD545B"/>
          <w:sz w:val="28"/>
        </w:rPr>
        <w:t xml:space="preserve"> </w:t>
      </w:r>
    </w:p>
    <w:p w14:paraId="719BCDD2" w14:textId="77777777" w:rsidR="00334B74" w:rsidRDefault="001C07FD">
      <w:pPr>
        <w:spacing w:line="259" w:lineRule="auto"/>
        <w:ind w:left="16" w:firstLine="0"/>
        <w:jc w:val="center"/>
      </w:pPr>
      <w:r>
        <w:rPr>
          <w:b/>
          <w:color w:val="CD545B"/>
          <w:sz w:val="28"/>
        </w:rPr>
        <w:t xml:space="preserve"> </w:t>
      </w:r>
    </w:p>
    <w:p w14:paraId="0133D2A0" w14:textId="77777777" w:rsidR="00334B74" w:rsidRDefault="001C07FD">
      <w:pPr>
        <w:spacing w:after="158" w:line="259" w:lineRule="auto"/>
        <w:ind w:left="16" w:firstLine="0"/>
        <w:jc w:val="center"/>
      </w:pPr>
      <w:r>
        <w:rPr>
          <w:b/>
          <w:color w:val="CD545B"/>
          <w:sz w:val="28"/>
        </w:rPr>
        <w:t xml:space="preserve"> </w:t>
      </w:r>
    </w:p>
    <w:p w14:paraId="3C23F5CE" w14:textId="77777777" w:rsidR="00334B74" w:rsidRDefault="001C07FD">
      <w:pPr>
        <w:spacing w:line="259" w:lineRule="auto"/>
        <w:ind w:left="16" w:firstLine="0"/>
        <w:jc w:val="center"/>
      </w:pPr>
      <w:r>
        <w:rPr>
          <w:b/>
          <w:color w:val="CD545B"/>
          <w:sz w:val="28"/>
        </w:rPr>
        <w:t xml:space="preserve"> </w:t>
      </w:r>
    </w:p>
    <w:p w14:paraId="4A99A3B9" w14:textId="77777777" w:rsidR="00334B74" w:rsidRDefault="001C07FD">
      <w:pPr>
        <w:spacing w:line="259" w:lineRule="auto"/>
        <w:ind w:left="0" w:firstLine="0"/>
      </w:pPr>
      <w:r>
        <w:rPr>
          <w:b/>
          <w:color w:val="CD545B"/>
          <w:sz w:val="28"/>
        </w:rPr>
        <w:t xml:space="preserve"> </w:t>
      </w:r>
    </w:p>
    <w:p w14:paraId="032AC4E1" w14:textId="77777777" w:rsidR="00334B74" w:rsidRDefault="001C07FD">
      <w:pPr>
        <w:spacing w:after="197" w:line="259" w:lineRule="auto"/>
        <w:ind w:left="16" w:firstLine="0"/>
        <w:jc w:val="center"/>
      </w:pPr>
      <w:r>
        <w:rPr>
          <w:b/>
          <w:color w:val="CD545B"/>
          <w:sz w:val="28"/>
        </w:rPr>
        <w:t xml:space="preserve"> </w:t>
      </w:r>
    </w:p>
    <w:p w14:paraId="1ACFA8F5" w14:textId="77777777" w:rsidR="00334B74" w:rsidRDefault="001C07FD">
      <w:pPr>
        <w:spacing w:after="316" w:line="259" w:lineRule="auto"/>
        <w:ind w:right="65"/>
        <w:jc w:val="center"/>
      </w:pPr>
      <w:r>
        <w:rPr>
          <w:b/>
          <w:color w:val="2F5496"/>
          <w:sz w:val="32"/>
        </w:rPr>
        <w:t xml:space="preserve">Carers Tasmania Submission to:  </w:t>
      </w:r>
    </w:p>
    <w:p w14:paraId="2B9181D8" w14:textId="77777777" w:rsidR="00334B74" w:rsidRDefault="001C07FD">
      <w:pPr>
        <w:spacing w:after="311" w:line="259" w:lineRule="auto"/>
        <w:ind w:left="278" w:firstLine="0"/>
      </w:pPr>
      <w:r>
        <w:rPr>
          <w:b/>
          <w:color w:val="2F5496"/>
          <w:sz w:val="32"/>
        </w:rPr>
        <w:t xml:space="preserve">A New Approach to Programs for Families and Children </w:t>
      </w:r>
    </w:p>
    <w:p w14:paraId="082F06DA" w14:textId="77777777" w:rsidR="00334B74" w:rsidRDefault="001C07FD">
      <w:pPr>
        <w:spacing w:after="312" w:line="259" w:lineRule="auto"/>
        <w:ind w:left="28" w:firstLine="0"/>
        <w:jc w:val="center"/>
      </w:pPr>
      <w:r>
        <w:rPr>
          <w:b/>
          <w:color w:val="2F5496"/>
          <w:sz w:val="32"/>
        </w:rPr>
        <w:t xml:space="preserve"> </w:t>
      </w:r>
    </w:p>
    <w:p w14:paraId="0F268256" w14:textId="77777777" w:rsidR="00334B74" w:rsidRDefault="001C07FD">
      <w:pPr>
        <w:spacing w:after="316" w:line="259" w:lineRule="auto"/>
        <w:ind w:left="28" w:firstLine="0"/>
        <w:jc w:val="center"/>
      </w:pPr>
      <w:r>
        <w:rPr>
          <w:b/>
          <w:color w:val="2F5496"/>
          <w:sz w:val="32"/>
        </w:rPr>
        <w:t xml:space="preserve"> </w:t>
      </w:r>
    </w:p>
    <w:p w14:paraId="5362C601" w14:textId="77777777" w:rsidR="00334B74" w:rsidRDefault="001C07FD">
      <w:pPr>
        <w:spacing w:after="273" w:line="259" w:lineRule="auto"/>
        <w:ind w:right="60"/>
        <w:jc w:val="center"/>
      </w:pPr>
      <w:r>
        <w:rPr>
          <w:b/>
          <w:color w:val="2F5496"/>
          <w:sz w:val="32"/>
        </w:rPr>
        <w:t xml:space="preserve">November 2025 </w:t>
      </w:r>
    </w:p>
    <w:p w14:paraId="0F52E703" w14:textId="77777777" w:rsidR="00334B74" w:rsidRDefault="001C07FD">
      <w:pPr>
        <w:spacing w:after="188" w:line="259" w:lineRule="auto"/>
        <w:ind w:left="16" w:firstLine="0"/>
        <w:jc w:val="center"/>
      </w:pPr>
      <w:r>
        <w:rPr>
          <w:b/>
          <w:color w:val="CD545B"/>
          <w:sz w:val="28"/>
        </w:rPr>
        <w:t xml:space="preserve"> </w:t>
      </w:r>
    </w:p>
    <w:p w14:paraId="7A751EF9" w14:textId="77777777" w:rsidR="00334B74" w:rsidRDefault="001C07FD">
      <w:pPr>
        <w:spacing w:after="2657" w:line="259" w:lineRule="auto"/>
        <w:ind w:left="0" w:firstLine="0"/>
      </w:pPr>
      <w:r>
        <w:rPr>
          <w:b/>
          <w:color w:val="CD545B"/>
          <w:sz w:val="28"/>
        </w:rPr>
        <w:t xml:space="preserve"> </w:t>
      </w:r>
      <w:r>
        <w:rPr>
          <w:b/>
          <w:color w:val="CD545B"/>
          <w:sz w:val="28"/>
        </w:rPr>
        <w:tab/>
        <w:t xml:space="preserve"> </w:t>
      </w:r>
    </w:p>
    <w:p w14:paraId="7A324232" w14:textId="77777777" w:rsidR="00334B74" w:rsidRDefault="001C07FD">
      <w:pPr>
        <w:spacing w:after="0" w:line="259" w:lineRule="auto"/>
        <w:ind w:left="0" w:firstLine="0"/>
        <w:jc w:val="right"/>
      </w:pPr>
      <w:r>
        <w:rPr>
          <w:noProof/>
        </w:rPr>
        <w:drawing>
          <wp:inline distT="0" distB="0" distL="0" distR="0" wp14:anchorId="3A721F88" wp14:editId="4730800B">
            <wp:extent cx="2120900" cy="42799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2120900" cy="427990"/>
                    </a:xfrm>
                    <a:prstGeom prst="rect">
                      <a:avLst/>
                    </a:prstGeom>
                  </pic:spPr>
                </pic:pic>
              </a:graphicData>
            </a:graphic>
          </wp:inline>
        </w:drawing>
      </w:r>
      <w:r>
        <w:t xml:space="preserve"> </w:t>
      </w:r>
    </w:p>
    <w:p w14:paraId="75226F39" w14:textId="77777777" w:rsidR="00334B74" w:rsidRDefault="001C07FD">
      <w:pPr>
        <w:spacing w:after="106" w:line="259" w:lineRule="auto"/>
        <w:ind w:left="0" w:firstLine="0"/>
      </w:pPr>
      <w:r>
        <w:rPr>
          <w:b/>
          <w:color w:val="CD545B"/>
          <w:sz w:val="28"/>
        </w:rPr>
        <w:t xml:space="preserve">About Carers Tasmania </w:t>
      </w:r>
      <w:r>
        <w:rPr>
          <w:b/>
          <w:color w:val="CD545B"/>
        </w:rPr>
        <w:t xml:space="preserve"> </w:t>
      </w:r>
    </w:p>
    <w:p w14:paraId="4511CFAC" w14:textId="77777777" w:rsidR="00334B74" w:rsidRDefault="001C07FD">
      <w:pPr>
        <w:ind w:left="-5" w:right="47"/>
      </w:pPr>
      <w:r>
        <w:lastRenderedPageBreak/>
        <w:t xml:space="preserve">Carers Tasmania is the Peak Body representing the more than 87,000 informal carers (hereafter carers) in the state.  </w:t>
      </w:r>
    </w:p>
    <w:p w14:paraId="5758DDF6" w14:textId="77777777" w:rsidR="00334B74" w:rsidRDefault="001C07FD">
      <w:pPr>
        <w:spacing w:after="155" w:line="262" w:lineRule="auto"/>
        <w:ind w:left="0" w:right="43" w:firstLine="0"/>
      </w:pPr>
      <w:r>
        <w:t xml:space="preserve">Carers Tasmania’s vision is for an Australia that values and supports carers.  </w:t>
      </w:r>
    </w:p>
    <w:p w14:paraId="07481677" w14:textId="77777777" w:rsidR="00334B74" w:rsidRDefault="001C07FD">
      <w:pPr>
        <w:ind w:left="-5" w:right="47"/>
      </w:pPr>
      <w:r>
        <w:t xml:space="preserve">Our mission is to work to improve the health, wellbeing, resilience and financial security of carers and to ensure that caring is a shared responsibility of family, community, and government.  </w:t>
      </w:r>
    </w:p>
    <w:p w14:paraId="73927C83" w14:textId="77777777" w:rsidR="00334B74" w:rsidRDefault="001C07FD">
      <w:pPr>
        <w:ind w:left="-5" w:right="47"/>
      </w:pPr>
      <w:r>
        <w:t xml:space="preserve">Our values drive everything we think, say, and do. </w:t>
      </w:r>
    </w:p>
    <w:p w14:paraId="55BFB103" w14:textId="77777777" w:rsidR="00334B74" w:rsidRDefault="001C07FD">
      <w:pPr>
        <w:numPr>
          <w:ilvl w:val="0"/>
          <w:numId w:val="1"/>
        </w:numPr>
        <w:spacing w:after="37"/>
        <w:ind w:left="705" w:right="43" w:hanging="360"/>
      </w:pPr>
      <w:r>
        <w:rPr>
          <w:b/>
        </w:rPr>
        <w:t>Carers first</w:t>
      </w:r>
      <w:r>
        <w:t xml:space="preserve"> – we listen to what carers need, commit to their desired action plan, and deliver results that matter most to carers </w:t>
      </w:r>
    </w:p>
    <w:p w14:paraId="35F6B102" w14:textId="77777777" w:rsidR="00334B74" w:rsidRDefault="001C07FD">
      <w:pPr>
        <w:numPr>
          <w:ilvl w:val="0"/>
          <w:numId w:val="1"/>
        </w:numPr>
        <w:spacing w:after="11" w:line="262" w:lineRule="auto"/>
        <w:ind w:left="705" w:right="43" w:hanging="360"/>
      </w:pPr>
      <w:r>
        <w:rPr>
          <w:b/>
        </w:rPr>
        <w:t>Care in all we do</w:t>
      </w:r>
      <w:r>
        <w:t xml:space="preserve"> – we care for our work, about each other, about Tasmania’s family and friend carers, and the bigger world we all share </w:t>
      </w:r>
    </w:p>
    <w:p w14:paraId="53F1694D" w14:textId="77777777" w:rsidR="00334B74" w:rsidRDefault="001C07FD">
      <w:pPr>
        <w:numPr>
          <w:ilvl w:val="0"/>
          <w:numId w:val="1"/>
        </w:numPr>
        <w:spacing w:after="11" w:line="262" w:lineRule="auto"/>
        <w:ind w:left="705" w:right="43" w:hanging="360"/>
      </w:pPr>
      <w:r>
        <w:rPr>
          <w:b/>
        </w:rPr>
        <w:t xml:space="preserve">Integrity always </w:t>
      </w:r>
      <w:r>
        <w:t xml:space="preserve">– we are transparent, act ethically, own when things don’t go to plan and do what we say we will </w:t>
      </w:r>
    </w:p>
    <w:p w14:paraId="6F618510" w14:textId="77777777" w:rsidR="00334B74" w:rsidRDefault="001C07FD">
      <w:pPr>
        <w:numPr>
          <w:ilvl w:val="0"/>
          <w:numId w:val="1"/>
        </w:numPr>
        <w:spacing w:after="11" w:line="262" w:lineRule="auto"/>
        <w:ind w:left="705" w:right="43" w:hanging="360"/>
      </w:pPr>
      <w:r>
        <w:rPr>
          <w:b/>
        </w:rPr>
        <w:t>Quality every time</w:t>
      </w:r>
      <w:r>
        <w:t xml:space="preserve"> – we don’t accept ‘good enough’ because carers deserve our very best every time </w:t>
      </w:r>
    </w:p>
    <w:p w14:paraId="0B3AABB4" w14:textId="77777777" w:rsidR="00334B74" w:rsidRDefault="001C07FD">
      <w:pPr>
        <w:numPr>
          <w:ilvl w:val="0"/>
          <w:numId w:val="1"/>
        </w:numPr>
        <w:spacing w:after="119" w:line="262" w:lineRule="auto"/>
        <w:ind w:left="705" w:right="43" w:hanging="360"/>
      </w:pPr>
      <w:r>
        <w:rPr>
          <w:b/>
        </w:rPr>
        <w:t>Speed that matters</w:t>
      </w:r>
      <w:r>
        <w:t xml:space="preserve"> – we are agile and don’t put off what can be done today. </w:t>
      </w:r>
    </w:p>
    <w:p w14:paraId="64D9D9A7" w14:textId="77777777" w:rsidR="00334B74" w:rsidRDefault="001C07FD">
      <w:pPr>
        <w:ind w:left="-5" w:right="47"/>
      </w:pPr>
      <w:r>
        <w:t xml:space="preserve">These values represent how we engage with and serve carers, how we work with each other, and our commitment to the broader community. Carers Tasmania encourages partnership with governments and health and community sectors to enhance service provision and improve conditions for family or friend carers through policy development, research and advocacy.  </w:t>
      </w:r>
    </w:p>
    <w:p w14:paraId="147FBD87" w14:textId="77777777" w:rsidR="00334B74" w:rsidRDefault="001C07FD">
      <w:pPr>
        <w:ind w:left="-5" w:right="47"/>
      </w:pPr>
      <w:r>
        <w:t xml:space="preserve">We acknowledge and support people of all genders, sexualities, cultural beliefs, and abilities and understand that carers in Tasmania, whilst sharing the common theme of caring for a family member or friend, are diverse individuals with varying beliefs, experiences, and identities. </w:t>
      </w:r>
      <w:r>
        <w:rPr>
          <w:color w:val="000001"/>
        </w:rPr>
        <w:t>We value and respect the diversity of carers, their lived and living experiences, and recognise that carers are the experts in their own lives.</w:t>
      </w:r>
      <w:r>
        <w:rPr>
          <w:rFonts w:ascii="Calibri" w:eastAsia="Calibri" w:hAnsi="Calibri" w:cs="Calibri"/>
          <w:b/>
          <w:i/>
          <w:color w:val="242424"/>
        </w:rPr>
        <w:t xml:space="preserve"> </w:t>
      </w:r>
    </w:p>
    <w:p w14:paraId="0396A011" w14:textId="77777777" w:rsidR="00334B74" w:rsidRDefault="001C07FD">
      <w:pPr>
        <w:ind w:left="-5" w:right="47"/>
      </w:pPr>
      <w:r>
        <w:t xml:space="preserve">Carers Tasmania has offices in Moonah, Launceston and Burnie.  </w:t>
      </w:r>
    </w:p>
    <w:p w14:paraId="44874C3F" w14:textId="77777777" w:rsidR="00334B74" w:rsidRDefault="001C07FD">
      <w:pPr>
        <w:spacing w:line="259" w:lineRule="auto"/>
        <w:ind w:left="0" w:firstLine="0"/>
      </w:pPr>
      <w:r>
        <w:t xml:space="preserve"> </w:t>
      </w:r>
    </w:p>
    <w:p w14:paraId="1584DCD7" w14:textId="77777777" w:rsidR="00334B74" w:rsidRDefault="001C07FD">
      <w:pPr>
        <w:spacing w:after="158" w:line="259" w:lineRule="auto"/>
        <w:ind w:left="0" w:firstLine="0"/>
      </w:pPr>
      <w:r>
        <w:t xml:space="preserve"> </w:t>
      </w:r>
    </w:p>
    <w:p w14:paraId="2518D051" w14:textId="77777777" w:rsidR="00334B74" w:rsidRDefault="001C07FD">
      <w:pPr>
        <w:spacing w:after="158" w:line="259" w:lineRule="auto"/>
        <w:ind w:left="0" w:firstLine="0"/>
      </w:pPr>
      <w:r>
        <w:t xml:space="preserve"> </w:t>
      </w:r>
    </w:p>
    <w:p w14:paraId="43FC6D58" w14:textId="77777777" w:rsidR="00334B74" w:rsidRDefault="001C07FD">
      <w:pPr>
        <w:spacing w:after="158" w:line="259" w:lineRule="auto"/>
        <w:ind w:left="0" w:firstLine="0"/>
      </w:pPr>
      <w:r>
        <w:t xml:space="preserve"> </w:t>
      </w:r>
    </w:p>
    <w:p w14:paraId="45FBB278" w14:textId="77777777" w:rsidR="00334B74" w:rsidRDefault="001C07FD">
      <w:pPr>
        <w:spacing w:line="259" w:lineRule="auto"/>
        <w:ind w:left="0" w:firstLine="0"/>
      </w:pPr>
      <w:r>
        <w:t xml:space="preserve"> </w:t>
      </w:r>
    </w:p>
    <w:p w14:paraId="63FA75D7" w14:textId="77777777" w:rsidR="00334B74" w:rsidRDefault="001C07FD">
      <w:pPr>
        <w:spacing w:after="4"/>
        <w:ind w:left="-5" w:right="47"/>
      </w:pPr>
      <w:r>
        <w:t xml:space="preserve">Please direct any enquiries about this response to:  </w:t>
      </w:r>
    </w:p>
    <w:p w14:paraId="1A87A78D" w14:textId="77777777" w:rsidR="00334B74" w:rsidRDefault="001C07FD">
      <w:pPr>
        <w:spacing w:after="205" w:line="259" w:lineRule="auto"/>
        <w:ind w:left="-20" w:firstLine="0"/>
      </w:pPr>
      <w:r>
        <w:rPr>
          <w:rFonts w:ascii="Calibri" w:eastAsia="Calibri" w:hAnsi="Calibri" w:cs="Calibri"/>
          <w:noProof/>
        </w:rPr>
        <mc:AlternateContent>
          <mc:Choice Requires="wpg">
            <w:drawing>
              <wp:inline distT="0" distB="0" distL="0" distR="0" wp14:anchorId="2AAD0575" wp14:editId="4AB71CB7">
                <wp:extent cx="2042987" cy="940130"/>
                <wp:effectExtent l="0" t="0" r="0" b="0"/>
                <wp:docPr id="8590" name="Group 8590"/>
                <wp:cNvGraphicFramePr/>
                <a:graphic xmlns:a="http://schemas.openxmlformats.org/drawingml/2006/main">
                  <a:graphicData uri="http://schemas.microsoft.com/office/word/2010/wordprocessingGroup">
                    <wpg:wgp>
                      <wpg:cNvGrpSpPr/>
                      <wpg:grpSpPr>
                        <a:xfrm>
                          <a:off x="0" y="0"/>
                          <a:ext cx="2042987" cy="940130"/>
                          <a:chOff x="0" y="0"/>
                          <a:chExt cx="2042987" cy="940130"/>
                        </a:xfrm>
                      </wpg:grpSpPr>
                      <wps:wsp>
                        <wps:cNvPr id="165" name="Rectangle 165"/>
                        <wps:cNvSpPr/>
                        <wps:spPr>
                          <a:xfrm>
                            <a:off x="12700" y="0"/>
                            <a:ext cx="51841" cy="175277"/>
                          </a:xfrm>
                          <a:prstGeom prst="rect">
                            <a:avLst/>
                          </a:prstGeom>
                          <a:ln>
                            <a:noFill/>
                          </a:ln>
                        </wps:spPr>
                        <wps:txbx>
                          <w:txbxContent>
                            <w:p w14:paraId="721E9CBE" w14:textId="77777777" w:rsidR="00334B74" w:rsidRDefault="001C07FD">
                              <w:pPr>
                                <w:spacing w:after="160" w:line="259" w:lineRule="auto"/>
                                <w:ind w:left="0" w:firstLine="0"/>
                              </w:pPr>
                              <w:r>
                                <w:t xml:space="preserve"> </w:t>
                              </w:r>
                            </w:p>
                          </w:txbxContent>
                        </wps:txbx>
                        <wps:bodyPr horzOverflow="overflow" vert="horz" lIns="0" tIns="0" rIns="0" bIns="0" rtlCol="0">
                          <a:noAutofit/>
                        </wps:bodyPr>
                      </wps:wsp>
                      <wps:wsp>
                        <wps:cNvPr id="171" name="Rectangle 171"/>
                        <wps:cNvSpPr/>
                        <wps:spPr>
                          <a:xfrm>
                            <a:off x="1110564" y="274701"/>
                            <a:ext cx="51841" cy="175277"/>
                          </a:xfrm>
                          <a:prstGeom prst="rect">
                            <a:avLst/>
                          </a:prstGeom>
                          <a:ln>
                            <a:noFill/>
                          </a:ln>
                        </wps:spPr>
                        <wps:txbx>
                          <w:txbxContent>
                            <w:p w14:paraId="365FAA44" w14:textId="77777777" w:rsidR="00334B74" w:rsidRDefault="001C07FD">
                              <w:pPr>
                                <w:spacing w:after="160" w:line="259" w:lineRule="auto"/>
                                <w:ind w:left="0" w:firstLine="0"/>
                              </w:pPr>
                              <w:r>
                                <w:t xml:space="preserve"> </w:t>
                              </w:r>
                            </w:p>
                          </w:txbxContent>
                        </wps:txbx>
                        <wps:bodyPr horzOverflow="overflow" vert="horz" lIns="0" tIns="0" rIns="0" bIns="0" rtlCol="0">
                          <a:noAutofit/>
                        </wps:bodyPr>
                      </wps:wsp>
                      <wps:wsp>
                        <wps:cNvPr id="177" name="Rectangle 177"/>
                        <wps:cNvSpPr/>
                        <wps:spPr>
                          <a:xfrm>
                            <a:off x="1147140" y="274701"/>
                            <a:ext cx="51841" cy="175277"/>
                          </a:xfrm>
                          <a:prstGeom prst="rect">
                            <a:avLst/>
                          </a:prstGeom>
                          <a:ln>
                            <a:noFill/>
                          </a:ln>
                        </wps:spPr>
                        <wps:txbx>
                          <w:txbxContent>
                            <w:p w14:paraId="053BE671" w14:textId="77777777" w:rsidR="00334B74" w:rsidRDefault="001C07FD">
                              <w:pPr>
                                <w:spacing w:after="160" w:line="259" w:lineRule="auto"/>
                                <w:ind w:left="0" w:firstLine="0"/>
                              </w:pPr>
                              <w:r>
                                <w:t xml:space="preserve"> </w:t>
                              </w:r>
                            </w:p>
                          </w:txbxContent>
                        </wps:txbx>
                        <wps:bodyPr horzOverflow="overflow" vert="horz" lIns="0" tIns="0" rIns="0" bIns="0" rtlCol="0">
                          <a:noAutofit/>
                        </wps:bodyPr>
                      </wps:wsp>
                      <wps:wsp>
                        <wps:cNvPr id="183" name="Rectangle 183"/>
                        <wps:cNvSpPr/>
                        <wps:spPr>
                          <a:xfrm>
                            <a:off x="1434262" y="448437"/>
                            <a:ext cx="51841" cy="175277"/>
                          </a:xfrm>
                          <a:prstGeom prst="rect">
                            <a:avLst/>
                          </a:prstGeom>
                          <a:ln>
                            <a:noFill/>
                          </a:ln>
                        </wps:spPr>
                        <wps:txbx>
                          <w:txbxContent>
                            <w:p w14:paraId="47177BA0" w14:textId="77777777" w:rsidR="00334B74" w:rsidRDefault="001C07FD">
                              <w:pPr>
                                <w:spacing w:after="160" w:line="259" w:lineRule="auto"/>
                                <w:ind w:left="0" w:firstLine="0"/>
                              </w:pPr>
                              <w:r>
                                <w:t xml:space="preserve"> </w:t>
                              </w:r>
                            </w:p>
                          </w:txbxContent>
                        </wps:txbx>
                        <wps:bodyPr horzOverflow="overflow" vert="horz" lIns="0" tIns="0" rIns="0" bIns="0" rtlCol="0">
                          <a:noAutofit/>
                        </wps:bodyPr>
                      </wps:wsp>
                      <wps:wsp>
                        <wps:cNvPr id="189" name="Rectangle 189"/>
                        <wps:cNvSpPr/>
                        <wps:spPr>
                          <a:xfrm>
                            <a:off x="1473276" y="448437"/>
                            <a:ext cx="51841" cy="175277"/>
                          </a:xfrm>
                          <a:prstGeom prst="rect">
                            <a:avLst/>
                          </a:prstGeom>
                          <a:ln>
                            <a:noFill/>
                          </a:ln>
                        </wps:spPr>
                        <wps:txbx>
                          <w:txbxContent>
                            <w:p w14:paraId="5931C5C6" w14:textId="77777777" w:rsidR="00334B74" w:rsidRDefault="001C07FD">
                              <w:pPr>
                                <w:spacing w:after="160" w:line="259" w:lineRule="auto"/>
                                <w:ind w:left="0" w:firstLine="0"/>
                              </w:pPr>
                              <w:r>
                                <w:t xml:space="preserve"> </w:t>
                              </w:r>
                            </w:p>
                          </w:txbxContent>
                        </wps:txbx>
                        <wps:bodyPr horzOverflow="overflow" vert="horz" lIns="0" tIns="0" rIns="0" bIns="0" rtlCol="0">
                          <a:noAutofit/>
                        </wps:bodyPr>
                      </wps:wsp>
                      <wps:wsp>
                        <wps:cNvPr id="195" name="Rectangle 195"/>
                        <wps:cNvSpPr/>
                        <wps:spPr>
                          <a:xfrm>
                            <a:off x="1443101" y="622173"/>
                            <a:ext cx="51841" cy="175277"/>
                          </a:xfrm>
                          <a:prstGeom prst="rect">
                            <a:avLst/>
                          </a:prstGeom>
                          <a:ln>
                            <a:noFill/>
                          </a:ln>
                        </wps:spPr>
                        <wps:txbx>
                          <w:txbxContent>
                            <w:p w14:paraId="0E2C6F38" w14:textId="77777777" w:rsidR="00334B74" w:rsidRDefault="001C07FD">
                              <w:pPr>
                                <w:spacing w:after="160" w:line="259" w:lineRule="auto"/>
                                <w:ind w:left="0" w:firstLine="0"/>
                              </w:pPr>
                              <w:r>
                                <w:t xml:space="preserve"> </w:t>
                              </w:r>
                            </w:p>
                          </w:txbxContent>
                        </wps:txbx>
                        <wps:bodyPr horzOverflow="overflow" vert="horz" lIns="0" tIns="0" rIns="0" bIns="0" rtlCol="0">
                          <a:noAutofit/>
                        </wps:bodyPr>
                      </wps:wsp>
                      <wps:wsp>
                        <wps:cNvPr id="201" name="Rectangle 201"/>
                        <wps:cNvSpPr/>
                        <wps:spPr>
                          <a:xfrm>
                            <a:off x="1482420" y="622173"/>
                            <a:ext cx="51841" cy="175277"/>
                          </a:xfrm>
                          <a:prstGeom prst="rect">
                            <a:avLst/>
                          </a:prstGeom>
                          <a:ln>
                            <a:noFill/>
                          </a:ln>
                        </wps:spPr>
                        <wps:txbx>
                          <w:txbxContent>
                            <w:p w14:paraId="556BB10F" w14:textId="77777777" w:rsidR="00334B74" w:rsidRDefault="001C07FD">
                              <w:pPr>
                                <w:spacing w:after="160" w:line="259" w:lineRule="auto"/>
                                <w:ind w:left="0" w:firstLine="0"/>
                              </w:pPr>
                              <w:r>
                                <w:t xml:space="preserve"> </w:t>
                              </w:r>
                            </w:p>
                          </w:txbxContent>
                        </wps:txbx>
                        <wps:bodyPr horzOverflow="overflow" vert="horz" lIns="0" tIns="0" rIns="0" bIns="0" rtlCol="0">
                          <a:noAutofit/>
                        </wps:bodyPr>
                      </wps:wsp>
                      <wps:wsp>
                        <wps:cNvPr id="207" name="Rectangle 207"/>
                        <wps:cNvSpPr/>
                        <wps:spPr>
                          <a:xfrm>
                            <a:off x="2004009" y="795909"/>
                            <a:ext cx="51841" cy="175277"/>
                          </a:xfrm>
                          <a:prstGeom prst="rect">
                            <a:avLst/>
                          </a:prstGeom>
                          <a:ln>
                            <a:noFill/>
                          </a:ln>
                        </wps:spPr>
                        <wps:txbx>
                          <w:txbxContent>
                            <w:p w14:paraId="53398BE0" w14:textId="77777777" w:rsidR="00334B74" w:rsidRDefault="001C07FD">
                              <w:pPr>
                                <w:spacing w:after="160" w:line="259" w:lineRule="auto"/>
                                <w:ind w:left="0" w:firstLine="0"/>
                              </w:pPr>
                              <w:r>
                                <w:t xml:space="preserve"> </w:t>
                              </w:r>
                            </w:p>
                          </w:txbxContent>
                        </wps:txbx>
                        <wps:bodyPr horzOverflow="overflow" vert="horz" lIns="0" tIns="0" rIns="0" bIns="0" rtlCol="0">
                          <a:noAutofit/>
                        </wps:bodyPr>
                      </wps:wsp>
                      <wps:wsp>
                        <wps:cNvPr id="10200" name="Shape 10200"/>
                        <wps:cNvSpPr/>
                        <wps:spPr>
                          <a:xfrm>
                            <a:off x="0" y="287414"/>
                            <a:ext cx="1096162" cy="131508"/>
                          </a:xfrm>
                          <a:custGeom>
                            <a:avLst/>
                            <a:gdLst/>
                            <a:ahLst/>
                            <a:cxnLst/>
                            <a:rect l="0" t="0" r="0" b="0"/>
                            <a:pathLst>
                              <a:path w="1096162" h="131508">
                                <a:moveTo>
                                  <a:pt x="0" y="0"/>
                                </a:moveTo>
                                <a:lnTo>
                                  <a:pt x="1096162" y="0"/>
                                </a:lnTo>
                                <a:lnTo>
                                  <a:pt x="1096162" y="131508"/>
                                </a:lnTo>
                                <a:lnTo>
                                  <a:pt x="0" y="1315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1" name="Shape 10201"/>
                        <wps:cNvSpPr/>
                        <wps:spPr>
                          <a:xfrm>
                            <a:off x="0" y="461150"/>
                            <a:ext cx="1422553" cy="131508"/>
                          </a:xfrm>
                          <a:custGeom>
                            <a:avLst/>
                            <a:gdLst/>
                            <a:ahLst/>
                            <a:cxnLst/>
                            <a:rect l="0" t="0" r="0" b="0"/>
                            <a:pathLst>
                              <a:path w="1422553" h="131508">
                                <a:moveTo>
                                  <a:pt x="0" y="0"/>
                                </a:moveTo>
                                <a:lnTo>
                                  <a:pt x="1422553" y="0"/>
                                </a:lnTo>
                                <a:lnTo>
                                  <a:pt x="1422553" y="131508"/>
                                </a:lnTo>
                                <a:lnTo>
                                  <a:pt x="0" y="1315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2" name="Shape 10202"/>
                        <wps:cNvSpPr/>
                        <wps:spPr>
                          <a:xfrm>
                            <a:off x="0" y="634886"/>
                            <a:ext cx="1429284" cy="131508"/>
                          </a:xfrm>
                          <a:custGeom>
                            <a:avLst/>
                            <a:gdLst/>
                            <a:ahLst/>
                            <a:cxnLst/>
                            <a:rect l="0" t="0" r="0" b="0"/>
                            <a:pathLst>
                              <a:path w="1429284" h="131508">
                                <a:moveTo>
                                  <a:pt x="0" y="0"/>
                                </a:moveTo>
                                <a:lnTo>
                                  <a:pt x="1429284" y="0"/>
                                </a:lnTo>
                                <a:lnTo>
                                  <a:pt x="1429284" y="131508"/>
                                </a:lnTo>
                                <a:lnTo>
                                  <a:pt x="0" y="1315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3" name="Shape 10203"/>
                        <wps:cNvSpPr/>
                        <wps:spPr>
                          <a:xfrm>
                            <a:off x="0" y="808622"/>
                            <a:ext cx="1989823" cy="131508"/>
                          </a:xfrm>
                          <a:custGeom>
                            <a:avLst/>
                            <a:gdLst/>
                            <a:ahLst/>
                            <a:cxnLst/>
                            <a:rect l="0" t="0" r="0" b="0"/>
                            <a:pathLst>
                              <a:path w="1989823" h="131508">
                                <a:moveTo>
                                  <a:pt x="0" y="0"/>
                                </a:moveTo>
                                <a:lnTo>
                                  <a:pt x="1989823" y="0"/>
                                </a:lnTo>
                                <a:lnTo>
                                  <a:pt x="1989823" y="131508"/>
                                </a:lnTo>
                                <a:lnTo>
                                  <a:pt x="0" y="1315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AD0575" id="Group 8590" o:spid="_x0000_s1026" style="width:160.85pt;height:74.05pt;mso-position-horizontal-relative:char;mso-position-vertical-relative:line" coordsize="20429,9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">
                <v:rect id="Rectangle 165" o:spid="_x0000_s1027" style="position:absolute;left:127;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721E9CBE" w14:textId="77777777" w:rsidR="00334B74" w:rsidRDefault="001C07FD">
                        <w:pPr>
                          <w:spacing w:after="160" w:line="259" w:lineRule="auto"/>
                          <w:ind w:left="0" w:firstLine="0"/>
                        </w:pPr>
                        <w:r>
                          <w:t xml:space="preserve"> </w:t>
                        </w:r>
                      </w:p>
                    </w:txbxContent>
                  </v:textbox>
                </v:rect>
                <v:rect id="Rectangle 171" o:spid="_x0000_s1028" style="position:absolute;left:11105;top:2747;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365FAA44" w14:textId="77777777" w:rsidR="00334B74" w:rsidRDefault="001C07FD">
                        <w:pPr>
                          <w:spacing w:after="160" w:line="259" w:lineRule="auto"/>
                          <w:ind w:left="0" w:firstLine="0"/>
                        </w:pPr>
                        <w:r>
                          <w:t xml:space="preserve"> </w:t>
                        </w:r>
                      </w:p>
                    </w:txbxContent>
                  </v:textbox>
                </v:rect>
                <v:rect id="Rectangle 177" o:spid="_x0000_s1029" style="position:absolute;left:11471;top:2747;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053BE671" w14:textId="77777777" w:rsidR="00334B74" w:rsidRDefault="001C07FD">
                        <w:pPr>
                          <w:spacing w:after="160" w:line="259" w:lineRule="auto"/>
                          <w:ind w:left="0" w:firstLine="0"/>
                        </w:pPr>
                        <w:r>
                          <w:t xml:space="preserve"> </w:t>
                        </w:r>
                      </w:p>
                    </w:txbxContent>
                  </v:textbox>
                </v:rect>
                <v:rect id="Rectangle 183" o:spid="_x0000_s1030" style="position:absolute;left:14342;top:4484;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47177BA0" w14:textId="77777777" w:rsidR="00334B74" w:rsidRDefault="001C07FD">
                        <w:pPr>
                          <w:spacing w:after="160" w:line="259" w:lineRule="auto"/>
                          <w:ind w:left="0" w:firstLine="0"/>
                        </w:pPr>
                        <w:r>
                          <w:t xml:space="preserve"> </w:t>
                        </w:r>
                      </w:p>
                    </w:txbxContent>
                  </v:textbox>
                </v:rect>
                <v:rect id="Rectangle 189" o:spid="_x0000_s1031" style="position:absolute;left:14732;top:4484;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5931C5C6" w14:textId="77777777" w:rsidR="00334B74" w:rsidRDefault="001C07FD">
                        <w:pPr>
                          <w:spacing w:after="160" w:line="259" w:lineRule="auto"/>
                          <w:ind w:left="0" w:firstLine="0"/>
                        </w:pPr>
                        <w:r>
                          <w:t xml:space="preserve"> </w:t>
                        </w:r>
                      </w:p>
                    </w:txbxContent>
                  </v:textbox>
                </v:rect>
                <v:rect id="Rectangle 195" o:spid="_x0000_s1032" style="position:absolute;left:14431;top:6221;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0E2C6F38" w14:textId="77777777" w:rsidR="00334B74" w:rsidRDefault="001C07FD">
                        <w:pPr>
                          <w:spacing w:after="160" w:line="259" w:lineRule="auto"/>
                          <w:ind w:left="0" w:firstLine="0"/>
                        </w:pPr>
                        <w:r>
                          <w:t xml:space="preserve"> </w:t>
                        </w:r>
                      </w:p>
                    </w:txbxContent>
                  </v:textbox>
                </v:rect>
                <v:rect id="Rectangle 201" o:spid="_x0000_s1033" style="position:absolute;left:14824;top:6221;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556BB10F" w14:textId="77777777" w:rsidR="00334B74" w:rsidRDefault="001C07FD">
                        <w:pPr>
                          <w:spacing w:after="160" w:line="259" w:lineRule="auto"/>
                          <w:ind w:left="0" w:firstLine="0"/>
                        </w:pPr>
                        <w:r>
                          <w:t xml:space="preserve"> </w:t>
                        </w:r>
                      </w:p>
                    </w:txbxContent>
                  </v:textbox>
                </v:rect>
                <v:rect id="Rectangle 207" o:spid="_x0000_s1034" style="position:absolute;left:20040;top:7959;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filled="f" stroked="f">
                  <v:textbox inset="0,0,0,0">
                    <w:txbxContent>
                      <w:p w14:paraId="53398BE0" w14:textId="77777777" w:rsidR="00334B74" w:rsidRDefault="001C07FD">
                        <w:pPr>
                          <w:spacing w:after="160" w:line="259" w:lineRule="auto"/>
                          <w:ind w:left="0" w:firstLine="0"/>
                        </w:pPr>
                        <w:r>
                          <w:t xml:space="preserve"> </w:t>
                        </w:r>
                      </w:p>
                    </w:txbxContent>
                  </v:textbox>
                </v:rect>
                <v:shape id="Shape 10200" o:spid="_x0000_s1035" style="position:absolute;top:2874;width:10961;height:1315;visibility:visible;mso-wrap-style:square;v-text-anchor:top" coordsize="1096162,1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" path="m,l1096162,r,131508l,131508,,e" fillcolor="black" stroked="f" strokeweight="0">
                  <v:stroke miterlimit="83231f" joinstyle="miter"/>
                  <v:path arrowok="t" textboxrect="0,0,1096162,131508"/>
                </v:shape>
                <v:shape id="Shape 10201" o:spid="_x0000_s1036" style="position:absolute;top:4611;width:14225;height:1315;visibility:visible;mso-wrap-style:square;v-text-anchor:top" coordsize="1422553,1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" path="m,l1422553,r,131508l,131508,,e" fillcolor="black" stroked="f" strokeweight="0">
                  <v:stroke miterlimit="83231f" joinstyle="miter"/>
                  <v:path arrowok="t" textboxrect="0,0,1422553,131508"/>
                </v:shape>
                <v:shape id="Shape 10202" o:spid="_x0000_s1037" style="position:absolute;top:6348;width:14292;height:1315;visibility:visible;mso-wrap-style:square;v-text-anchor:top" coordsize="1429284,1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" path="m,l1429284,r,131508l,131508,,e" fillcolor="black" stroked="f" strokeweight="0">
                  <v:stroke miterlimit="83231f" joinstyle="miter"/>
                  <v:path arrowok="t" textboxrect="0,0,1429284,131508"/>
                </v:shape>
                <v:shape id="Shape 10203" o:spid="_x0000_s1038" style="position:absolute;top:8086;width:19898;height:1315;visibility:visible;mso-wrap-style:square;v-text-anchor:top" coordsize="1989823,13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" path="m,l1989823,r,131508l,131508,,e" fillcolor="black" stroked="f" strokeweight="0">
                  <v:stroke miterlimit="83231f" joinstyle="miter"/>
                  <v:path arrowok="t" textboxrect="0,0,1989823,131508"/>
                </v:shape>
                <w10:anchorlock/>
              </v:group>
            </w:pict>
          </mc:Fallback>
        </mc:AlternateContent>
      </w:r>
    </w:p>
    <w:p w14:paraId="61339C05" w14:textId="77777777" w:rsidR="00334B74" w:rsidRDefault="001C07FD">
      <w:pPr>
        <w:spacing w:after="0" w:line="259" w:lineRule="auto"/>
        <w:ind w:left="0" w:firstLine="0"/>
      </w:pPr>
      <w:r>
        <w:t xml:space="preserve"> </w:t>
      </w:r>
    </w:p>
    <w:p w14:paraId="13F556D1" w14:textId="77777777" w:rsidR="00334B74" w:rsidRDefault="001C07FD">
      <w:pPr>
        <w:spacing w:after="456" w:line="259" w:lineRule="auto"/>
        <w:ind w:left="0" w:firstLine="0"/>
      </w:pPr>
      <w:r>
        <w:t xml:space="preserve"> </w:t>
      </w:r>
    </w:p>
    <w:sdt>
      <w:sdtPr>
        <w:id w:val="-784811875"/>
        <w:docPartObj>
          <w:docPartGallery w:val="Table of Contents"/>
        </w:docPartObj>
      </w:sdtPr>
      <w:sdtEndPr/>
      <w:sdtContent>
        <w:p w14:paraId="46105216" w14:textId="77777777" w:rsidR="00334B74" w:rsidRDefault="001C07FD">
          <w:pPr>
            <w:spacing w:after="178" w:line="259" w:lineRule="auto"/>
            <w:ind w:left="0" w:firstLine="0"/>
          </w:pPr>
          <w:r>
            <w:rPr>
              <w:color w:val="2F5496"/>
              <w:sz w:val="32"/>
            </w:rPr>
            <w:t xml:space="preserve">Contents </w:t>
          </w:r>
        </w:p>
        <w:p w14:paraId="7B29FEBD" w14:textId="77777777" w:rsidR="00334B74" w:rsidRDefault="001C07FD">
          <w:pPr>
            <w:pStyle w:val="TOC1"/>
            <w:tabs>
              <w:tab w:val="right" w:leader="dot" w:pos="9089"/>
            </w:tabs>
          </w:pPr>
          <w:r>
            <w:lastRenderedPageBreak/>
            <w:fldChar w:fldCharType="begin"/>
          </w:r>
          <w:r>
            <w:instrText xml:space="preserve"> TOC \o "1-1" \h \z \u </w:instrText>
          </w:r>
          <w:r>
            <w:fldChar w:fldCharType="separate"/>
          </w:r>
          <w:hyperlink w:anchor="_Toc10159">
            <w:r>
              <w:t>1.</w:t>
            </w:r>
            <w:r>
              <w:rPr>
                <w:rFonts w:ascii="Calibri" w:eastAsia="Calibri" w:hAnsi="Calibri" w:cs="Calibri"/>
                <w:sz w:val="24"/>
              </w:rPr>
              <w:t xml:space="preserve">  </w:t>
            </w:r>
            <w:r>
              <w:t>Background</w:t>
            </w:r>
            <w:r>
              <w:tab/>
            </w:r>
            <w:r>
              <w:fldChar w:fldCharType="begin"/>
            </w:r>
            <w:r>
              <w:instrText>PAGEREF _Toc10159 \h</w:instrText>
            </w:r>
            <w:r>
              <w:fldChar w:fldCharType="separate"/>
            </w:r>
            <w:r>
              <w:t xml:space="preserve">4 </w:t>
            </w:r>
            <w:r>
              <w:fldChar w:fldCharType="end"/>
            </w:r>
          </w:hyperlink>
        </w:p>
        <w:p w14:paraId="151E9651" w14:textId="77777777" w:rsidR="00334B74" w:rsidRDefault="001C07FD">
          <w:pPr>
            <w:pStyle w:val="TOC1"/>
            <w:tabs>
              <w:tab w:val="right" w:leader="dot" w:pos="9089"/>
            </w:tabs>
          </w:pPr>
          <w:hyperlink w:anchor="_Toc10160">
            <w:r>
              <w:t>2.</w:t>
            </w:r>
            <w:r>
              <w:rPr>
                <w:rFonts w:ascii="Calibri" w:eastAsia="Calibri" w:hAnsi="Calibri" w:cs="Calibri"/>
                <w:sz w:val="24"/>
              </w:rPr>
              <w:t xml:space="preserve">  </w:t>
            </w:r>
            <w:r>
              <w:t>Introduction</w:t>
            </w:r>
            <w:r>
              <w:tab/>
            </w:r>
            <w:r>
              <w:fldChar w:fldCharType="begin"/>
            </w:r>
            <w:r>
              <w:instrText>PAGEREF _Toc10160 \h</w:instrText>
            </w:r>
            <w:r>
              <w:fldChar w:fldCharType="separate"/>
            </w:r>
            <w:r>
              <w:t xml:space="preserve">5 </w:t>
            </w:r>
            <w:r>
              <w:fldChar w:fldCharType="end"/>
            </w:r>
          </w:hyperlink>
        </w:p>
        <w:p w14:paraId="51796C6E" w14:textId="77777777" w:rsidR="00334B74" w:rsidRDefault="001C07FD">
          <w:pPr>
            <w:pStyle w:val="TOC1"/>
            <w:tabs>
              <w:tab w:val="right" w:leader="dot" w:pos="9089"/>
            </w:tabs>
          </w:pPr>
          <w:hyperlink w:anchor="_Toc10161">
            <w:r>
              <w:t>3.</w:t>
            </w:r>
            <w:r>
              <w:rPr>
                <w:rFonts w:ascii="Calibri" w:eastAsia="Calibri" w:hAnsi="Calibri" w:cs="Calibri"/>
                <w:sz w:val="24"/>
              </w:rPr>
              <w:t xml:space="preserve">  </w:t>
            </w:r>
            <w:r>
              <w:t>Feedback on the proposed reforms</w:t>
            </w:r>
            <w:r>
              <w:tab/>
            </w:r>
            <w:r>
              <w:fldChar w:fldCharType="begin"/>
            </w:r>
            <w:r>
              <w:instrText>PAGEREF _Toc10161 \h</w:instrText>
            </w:r>
            <w:r>
              <w:fldChar w:fldCharType="separate"/>
            </w:r>
            <w:r>
              <w:t xml:space="preserve">6 </w:t>
            </w:r>
            <w:r>
              <w:fldChar w:fldCharType="end"/>
            </w:r>
          </w:hyperlink>
        </w:p>
        <w:p w14:paraId="3A418AFB" w14:textId="77777777" w:rsidR="00334B74" w:rsidRDefault="001C07FD">
          <w:pPr>
            <w:pStyle w:val="TOC1"/>
            <w:tabs>
              <w:tab w:val="right" w:leader="dot" w:pos="9089"/>
            </w:tabs>
          </w:pPr>
          <w:hyperlink w:anchor="_Toc10162">
            <w:r>
              <w:t>4.</w:t>
            </w:r>
            <w:r>
              <w:rPr>
                <w:rFonts w:ascii="Calibri" w:eastAsia="Calibri" w:hAnsi="Calibri" w:cs="Calibri"/>
                <w:sz w:val="24"/>
              </w:rPr>
              <w:t xml:space="preserve"> </w:t>
            </w:r>
            <w:r>
              <w:t>Conclusion</w:t>
            </w:r>
            <w:r>
              <w:tab/>
            </w:r>
            <w:r>
              <w:fldChar w:fldCharType="begin"/>
            </w:r>
            <w:r>
              <w:instrText>PAGEREF _Toc10162 \h</w:instrText>
            </w:r>
            <w:r>
              <w:fldChar w:fldCharType="separate"/>
            </w:r>
            <w:r>
              <w:t xml:space="preserve">8 </w:t>
            </w:r>
            <w:r>
              <w:fldChar w:fldCharType="end"/>
            </w:r>
          </w:hyperlink>
        </w:p>
        <w:p w14:paraId="7F7DA2E9" w14:textId="77777777" w:rsidR="00334B74" w:rsidRDefault="001C07FD">
          <w:r>
            <w:fldChar w:fldCharType="end"/>
          </w:r>
        </w:p>
      </w:sdtContent>
    </w:sdt>
    <w:p w14:paraId="11DFBBC9" w14:textId="77777777" w:rsidR="00334B74" w:rsidRDefault="001C07FD">
      <w:pPr>
        <w:spacing w:after="189" w:line="366" w:lineRule="auto"/>
        <w:ind w:left="-5" w:right="47"/>
      </w:pPr>
      <w:r>
        <w:t xml:space="preserve"> </w:t>
      </w:r>
    </w:p>
    <w:p w14:paraId="4F33BA4D" w14:textId="77777777" w:rsidR="00334B74" w:rsidRDefault="001C07FD">
      <w:pPr>
        <w:spacing w:after="101" w:line="259" w:lineRule="auto"/>
        <w:ind w:left="716" w:firstLine="0"/>
      </w:pPr>
      <w:r>
        <w:rPr>
          <w:color w:val="CD545B"/>
          <w:sz w:val="28"/>
        </w:rPr>
        <w:t xml:space="preserve"> </w:t>
      </w:r>
    </w:p>
    <w:p w14:paraId="0E7F033A" w14:textId="77777777" w:rsidR="00334B74" w:rsidRDefault="001C07FD">
      <w:pPr>
        <w:spacing w:after="178" w:line="259" w:lineRule="auto"/>
        <w:ind w:left="0" w:firstLine="0"/>
      </w:pPr>
      <w:r>
        <w:t xml:space="preserve"> </w:t>
      </w:r>
    </w:p>
    <w:p w14:paraId="39AB8716" w14:textId="77777777" w:rsidR="00334B74" w:rsidRDefault="001C07FD">
      <w:pPr>
        <w:spacing w:after="0" w:line="259" w:lineRule="auto"/>
        <w:ind w:left="0" w:firstLine="0"/>
      </w:pPr>
      <w:r>
        <w:t xml:space="preserve"> </w:t>
      </w:r>
      <w:r>
        <w:tab/>
        <w:t xml:space="preserve"> </w:t>
      </w:r>
      <w:r>
        <w:br w:type="page"/>
      </w:r>
    </w:p>
    <w:p w14:paraId="046A279E" w14:textId="77777777" w:rsidR="00334B74" w:rsidRDefault="001C07FD">
      <w:pPr>
        <w:pStyle w:val="Heading1"/>
        <w:ind w:left="706" w:hanging="721"/>
      </w:pPr>
      <w:bookmarkStart w:id="0" w:name="_Toc10159"/>
      <w:r>
        <w:lastRenderedPageBreak/>
        <w:t xml:space="preserve">Background </w:t>
      </w:r>
      <w:bookmarkEnd w:id="0"/>
    </w:p>
    <w:p w14:paraId="777E9CF4" w14:textId="77777777" w:rsidR="00334B74" w:rsidRDefault="001C07FD">
      <w:pPr>
        <w:ind w:left="-5" w:right="47"/>
      </w:pPr>
      <w:r>
        <w:t xml:space="preserve">Carers Tasmania is the Peak Body representing the more than 87,000 informal carers within the state.  </w:t>
      </w:r>
    </w:p>
    <w:p w14:paraId="4F58448F" w14:textId="77777777" w:rsidR="00334B74" w:rsidRDefault="001C07FD">
      <w:pPr>
        <w:spacing w:after="4"/>
        <w:ind w:left="-5" w:right="47"/>
      </w:pPr>
      <w:r>
        <w:t xml:space="preserve">A carer is a person who provides unpaid care and support to a family member, or friend, with </w:t>
      </w:r>
    </w:p>
    <w:p w14:paraId="084B0EF9" w14:textId="77777777" w:rsidR="00334B74" w:rsidRDefault="001C07FD">
      <w:pPr>
        <w:ind w:left="-5" w:right="47"/>
      </w:pPr>
      <w:r>
        <w:t xml:space="preserve">disability, mental ill health, a chronic or life-limiting condition, alcohol or other drug dependence, or who is frail or aged. Informal kinship carers who care for a child under the age of 18, because the parent is unable to, are also recognised as carers. Carers are predominantly family members, but may also be friends, neighbours, or colleagues. Informal carers are not to be confused with paid support workers who are often called ‘carers’, with the difference being that support workers are fully employed and remunerated with all the benefits of employment. On the contrary, family and friend carers perform their caring duties without remuneration, other than minimal carer payments and allowances from the Australian Government.  </w:t>
      </w:r>
    </w:p>
    <w:p w14:paraId="428A24F3" w14:textId="77777777" w:rsidR="00334B74" w:rsidRDefault="001C07FD">
      <w:pPr>
        <w:ind w:left="-5" w:right="47"/>
      </w:pPr>
      <w:r>
        <w:t xml:space="preserve">In addition to representing carers through the Peak Body activities, Carers Tasmania provides support to carers living in Tasmania through its service delivery arm, Care2Serve. The Australian Government Carer Gateway program is delivered through Care2Serve in Tasmania, as are other supports and services, such as the Tasmanian Government’s Home and Community Care program.  </w:t>
      </w:r>
    </w:p>
    <w:p w14:paraId="48B8447C" w14:textId="77777777" w:rsidR="00334B74" w:rsidRDefault="001C07FD">
      <w:pPr>
        <w:spacing w:after="188"/>
        <w:ind w:left="-5" w:right="47"/>
      </w:pPr>
      <w:r>
        <w:t>Anyone may become a carer at any time. The likelihood of this occurring in Tasmania is high, with estimates showing that one in six people living in Tasmania is a carer. This proportion is higher than the national average. The Australian Bureau of Statistics Survey of Disability, Ageing and Carers (SDAC) revealed that there were 80,100 carers in Tasmania in 2018.</w:t>
      </w:r>
      <w:r>
        <w:rPr>
          <w:vertAlign w:val="superscript"/>
        </w:rPr>
        <w:footnoteReference w:id="1"/>
      </w:r>
      <w:r>
        <w:t xml:space="preserve"> By 2022, this figure had increased to more than 87,000.</w:t>
      </w:r>
      <w:r>
        <w:rPr>
          <w:vertAlign w:val="superscript"/>
        </w:rPr>
        <w:footnoteReference w:id="2"/>
      </w:r>
      <w:r>
        <w:t xml:space="preserve">  </w:t>
      </w:r>
    </w:p>
    <w:p w14:paraId="60282A74" w14:textId="77777777" w:rsidR="00334B74" w:rsidRDefault="001C07FD">
      <w:pPr>
        <w:ind w:left="-5" w:right="47"/>
      </w:pPr>
      <w:r>
        <w:t xml:space="preserve">The Carer Gateway program provides a range of free services and supports for carers which are designed to build resilience and knowledge, increase wellbeing, improve quality of life, and sustain carers to effectively continue their caring roles. The available supports include the provision of information, advice and referrals, holistic identification of carer strengths and needs through a carer support planning process, professional counselling, peer support, and coaching which aims to support carers in achieving specific goals.  </w:t>
      </w:r>
    </w:p>
    <w:p w14:paraId="7FF18312" w14:textId="77777777" w:rsidR="00334B74" w:rsidRDefault="001C07FD">
      <w:pPr>
        <w:ind w:left="-5" w:right="47"/>
      </w:pPr>
      <w:r>
        <w:t xml:space="preserve">Care2Serve, through the Carer Gateway, has capacity to fund certain instances of planned, practical support services such as in-home respite, personal care, domestic assistance, and meal preparation. Care2Serve may also fund items such as laptops to assist carers who are studying or trying to enter the workforce. Care2Serve also coordinates the provision of emergency support during instances where a carer may be unable to provide the care that they usually do, resulting from unexpected illness or injury of the carer. </w:t>
      </w:r>
    </w:p>
    <w:p w14:paraId="6F3E4F0F" w14:textId="77777777" w:rsidR="00334B74" w:rsidRDefault="001C07FD">
      <w:pPr>
        <w:spacing w:after="158" w:line="259" w:lineRule="auto"/>
        <w:ind w:left="0" w:firstLine="0"/>
      </w:pPr>
      <w:r>
        <w:t xml:space="preserve"> </w:t>
      </w:r>
    </w:p>
    <w:p w14:paraId="446BE6AA" w14:textId="77777777" w:rsidR="00334B74" w:rsidRDefault="001C07FD">
      <w:pPr>
        <w:spacing w:after="158" w:line="259" w:lineRule="auto"/>
        <w:ind w:left="0" w:firstLine="0"/>
      </w:pPr>
      <w:r>
        <w:t xml:space="preserve"> </w:t>
      </w:r>
    </w:p>
    <w:p w14:paraId="7A7CD71B" w14:textId="77777777" w:rsidR="00334B74" w:rsidRDefault="001C07FD">
      <w:pPr>
        <w:spacing w:after="158" w:line="259" w:lineRule="auto"/>
        <w:ind w:left="0" w:firstLine="0"/>
      </w:pPr>
      <w:r>
        <w:t xml:space="preserve"> </w:t>
      </w:r>
    </w:p>
    <w:p w14:paraId="22550E5D" w14:textId="77777777" w:rsidR="00334B74" w:rsidRDefault="001C07FD">
      <w:pPr>
        <w:spacing w:after="551" w:line="259" w:lineRule="auto"/>
        <w:ind w:left="0" w:firstLine="0"/>
      </w:pPr>
      <w:r>
        <w:t xml:space="preserve"> </w:t>
      </w:r>
    </w:p>
    <w:p w14:paraId="3414BA76" w14:textId="77777777" w:rsidR="00334B74" w:rsidRDefault="001C07FD">
      <w:pPr>
        <w:spacing w:after="0" w:line="259" w:lineRule="auto"/>
        <w:ind w:left="0" w:firstLine="0"/>
      </w:pPr>
      <w:r>
        <w:rPr>
          <w:rFonts w:ascii="Calibri" w:eastAsia="Calibri" w:hAnsi="Calibri" w:cs="Calibri"/>
          <w:noProof/>
        </w:rPr>
        <mc:AlternateContent>
          <mc:Choice Requires="wpg">
            <w:drawing>
              <wp:inline distT="0" distB="0" distL="0" distR="0" wp14:anchorId="6DD56FB2" wp14:editId="302AE9FD">
                <wp:extent cx="1829689" cy="6097"/>
                <wp:effectExtent l="0" t="0" r="0" b="0"/>
                <wp:docPr id="8719" name="Group 8719"/>
                <wp:cNvGraphicFramePr/>
                <a:graphic xmlns:a="http://schemas.openxmlformats.org/drawingml/2006/main">
                  <a:graphicData uri="http://schemas.microsoft.com/office/word/2010/wordprocessingGroup">
                    <wpg:wgp>
                      <wpg:cNvGrpSpPr/>
                      <wpg:grpSpPr>
                        <a:xfrm>
                          <a:off x="0" y="0"/>
                          <a:ext cx="1829689" cy="6097"/>
                          <a:chOff x="0" y="0"/>
                          <a:chExt cx="1829689" cy="6097"/>
                        </a:xfrm>
                      </wpg:grpSpPr>
                      <wps:wsp>
                        <wps:cNvPr id="10283" name="Shape 10283"/>
                        <wps:cNvSpPr/>
                        <wps:spPr>
                          <a:xfrm>
                            <a:off x="0" y="0"/>
                            <a:ext cx="1829689" cy="9144"/>
                          </a:xfrm>
                          <a:custGeom>
                            <a:avLst/>
                            <a:gdLst/>
                            <a:ahLst/>
                            <a:cxnLst/>
                            <a:rect l="0" t="0" r="0" b="0"/>
                            <a:pathLst>
                              <a:path w="1829689" h="9144">
                                <a:moveTo>
                                  <a:pt x="0" y="0"/>
                                </a:moveTo>
                                <a:lnTo>
                                  <a:pt x="1829689" y="0"/>
                                </a:lnTo>
                                <a:lnTo>
                                  <a:pt x="1829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719" style="width:144.07pt;height:0.480042pt;mso-position-horizontal-relative:char;mso-position-vertical-relative:line" coordsize="18296,60">
                <v:shape id="Shape 10284" style="position:absolute;width:18296;height:91;left:0;top:0;" coordsize="1829689,9144" path="m0,0l1829689,0l1829689,9144l0,9144l0,0">
                  <v:stroke weight="0pt" endcap="flat" joinstyle="miter" miterlimit="10" on="false" color="#000000" opacity="0"/>
                  <v:fill on="true" color="#000000"/>
                </v:shape>
              </v:group>
            </w:pict>
          </mc:Fallback>
        </mc:AlternateContent>
      </w:r>
      <w:r>
        <w:t xml:space="preserve"> </w:t>
      </w:r>
    </w:p>
    <w:p w14:paraId="1A420EF2" w14:textId="77777777" w:rsidR="00334B74" w:rsidRDefault="001C07FD">
      <w:pPr>
        <w:pStyle w:val="Heading1"/>
        <w:ind w:left="782" w:hanging="797"/>
      </w:pPr>
      <w:bookmarkStart w:id="1" w:name="_Toc10160"/>
      <w:r>
        <w:lastRenderedPageBreak/>
        <w:t xml:space="preserve">Introduction </w:t>
      </w:r>
      <w:bookmarkEnd w:id="1"/>
    </w:p>
    <w:p w14:paraId="734417BA" w14:textId="77777777" w:rsidR="00334B74" w:rsidRDefault="001C07FD">
      <w:pPr>
        <w:spacing w:after="4"/>
        <w:ind w:left="-5" w:right="47"/>
      </w:pPr>
      <w:r>
        <w:t xml:space="preserve">Carers Tasmania appreciates the opportunity to contribute to the Department of Social </w:t>
      </w:r>
    </w:p>
    <w:p w14:paraId="164F3528" w14:textId="77777777" w:rsidR="00334B74" w:rsidRDefault="001C07FD">
      <w:pPr>
        <w:ind w:left="-5" w:right="47"/>
      </w:pPr>
      <w:r>
        <w:t xml:space="preserve">Services’ (DSS) consultation: </w:t>
      </w:r>
      <w:r>
        <w:rPr>
          <w:i/>
        </w:rPr>
        <w:t>A new approach to programs for families and children.</w:t>
      </w:r>
      <w:r>
        <w:t xml:space="preserve"> As the Peak Body for unpaid carers in Tasmania, we represent the more than 87,000 carers who provide essential support to family members and friends who require assistance. Despite their significant contributions, carers often experience challenges with education and employment, financial stress, social isolation, and poor health outcomes, particularly in rural and regional areas where access to services is limited. </w:t>
      </w:r>
    </w:p>
    <w:p w14:paraId="77B6F94C" w14:textId="77777777" w:rsidR="00334B74" w:rsidRDefault="001C07FD">
      <w:pPr>
        <w:spacing w:after="210"/>
        <w:ind w:left="-5" w:right="47"/>
      </w:pPr>
      <w:r>
        <w:t>Feedback from carers repeatedly highlights challenges with service navigation as a major barrier for carers.</w:t>
      </w:r>
      <w:r>
        <w:rPr>
          <w:vertAlign w:val="superscript"/>
        </w:rPr>
        <w:footnoteReference w:id="3"/>
      </w:r>
      <w:r>
        <w:t xml:space="preserve"> Carers describe service systems as fragmented and confusing. These difficulties are amplified in rural and regional Tasmania, where carers report longer travel distances and cost, limited transport options, and poor digital connectivity, leading to delays or inability to access critical supports.</w:t>
      </w:r>
      <w:r>
        <w:rPr>
          <w:vertAlign w:val="superscript"/>
        </w:rPr>
        <w:footnoteReference w:id="4"/>
      </w:r>
      <w:r>
        <w:rPr>
          <w:vertAlign w:val="superscript"/>
        </w:rPr>
        <w:t xml:space="preserve">, </w:t>
      </w:r>
      <w:r>
        <w:rPr>
          <w:vertAlign w:val="superscript"/>
        </w:rPr>
        <w:footnoteReference w:id="5"/>
      </w:r>
      <w:r>
        <w:rPr>
          <w:vertAlign w:val="superscript"/>
        </w:rPr>
        <w:t xml:space="preserve"> </w:t>
      </w:r>
    </w:p>
    <w:p w14:paraId="4186DA89" w14:textId="77777777" w:rsidR="00334B74" w:rsidRDefault="001C07FD">
      <w:pPr>
        <w:spacing w:after="184"/>
        <w:ind w:left="-5" w:right="47"/>
      </w:pPr>
      <w:r>
        <w:t>The existing programs for families and children funded by the Australian Government provide critical supports for vulnerable Tasmanian families. We acknowledge the significant level of ongoing reform relevant to children and families across Tasmania and Australia more broadly. All reforms must complement and improve, not replace, current programs that address issues affecting vulnerable Tasmanians, including housing instability, mental health, and family violence. Carers, especially informal kinship carers, need recognition and targeted support to sustain their caring roles and keep children safe and connected to family, country and culture. The level of support for informal kinship carers currently varies greatly across Australian states and territories, but in Tasmania there are specific challenges in identification and access to adequate support.</w:t>
      </w:r>
      <w:r>
        <w:rPr>
          <w:vertAlign w:val="superscript"/>
        </w:rPr>
        <w:footnoteReference w:id="6"/>
      </w:r>
      <w:r>
        <w:t xml:space="preserve">  </w:t>
      </w:r>
    </w:p>
    <w:p w14:paraId="6D7A9268" w14:textId="77777777" w:rsidR="00334B74" w:rsidRDefault="001C07FD">
      <w:pPr>
        <w:spacing w:after="196"/>
        <w:ind w:left="-5" w:right="47"/>
      </w:pPr>
      <w:r>
        <w:t xml:space="preserve">The Discussion Paper outlines the proposal to combine the following five existing Families and Children Activity programs into a single, national program:  </w:t>
      </w:r>
    </w:p>
    <w:p w14:paraId="124F9B6B" w14:textId="77777777" w:rsidR="00334B74" w:rsidRDefault="001C07FD">
      <w:pPr>
        <w:numPr>
          <w:ilvl w:val="0"/>
          <w:numId w:val="2"/>
        </w:numPr>
        <w:ind w:right="47" w:hanging="361"/>
      </w:pPr>
      <w:r>
        <w:t xml:space="preserve">Children and Parenting Support (CaPS) </w:t>
      </w:r>
    </w:p>
    <w:p w14:paraId="130A0043" w14:textId="77777777" w:rsidR="00334B74" w:rsidRDefault="001C07FD">
      <w:pPr>
        <w:numPr>
          <w:ilvl w:val="0"/>
          <w:numId w:val="2"/>
        </w:numPr>
        <w:ind w:right="47" w:hanging="361"/>
      </w:pPr>
      <w:r>
        <w:t xml:space="preserve">Communities for Children Facilitating Partners (CfC FP) </w:t>
      </w:r>
    </w:p>
    <w:p w14:paraId="01B8BA26" w14:textId="77777777" w:rsidR="00334B74" w:rsidRDefault="001C07FD">
      <w:pPr>
        <w:numPr>
          <w:ilvl w:val="0"/>
          <w:numId w:val="2"/>
        </w:numPr>
        <w:ind w:right="47" w:hanging="361"/>
      </w:pPr>
      <w:r>
        <w:t xml:space="preserve">Family Mental Health Support Services (FMHSS) </w:t>
      </w:r>
    </w:p>
    <w:p w14:paraId="26C9F2F0" w14:textId="77777777" w:rsidR="00334B74" w:rsidRDefault="001C07FD">
      <w:pPr>
        <w:numPr>
          <w:ilvl w:val="0"/>
          <w:numId w:val="2"/>
        </w:numPr>
        <w:ind w:right="47" w:hanging="361"/>
      </w:pPr>
      <w:r>
        <w:t xml:space="preserve">Family and Relationship Services (FaRS) </w:t>
      </w:r>
    </w:p>
    <w:p w14:paraId="2C799E55" w14:textId="77777777" w:rsidR="00334B74" w:rsidRDefault="001C07FD">
      <w:pPr>
        <w:numPr>
          <w:ilvl w:val="0"/>
          <w:numId w:val="2"/>
        </w:numPr>
        <w:ind w:right="47" w:hanging="361"/>
      </w:pPr>
      <w:r>
        <w:t>Specialised Family Violence Services.</w:t>
      </w:r>
      <w:r>
        <w:rPr>
          <w:vertAlign w:val="superscript"/>
        </w:rPr>
        <w:footnoteReference w:id="7"/>
      </w:r>
      <w:r>
        <w:t xml:space="preserve"> </w:t>
      </w:r>
    </w:p>
    <w:p w14:paraId="50BBF5C0" w14:textId="77777777" w:rsidR="00334B74" w:rsidRDefault="001C07FD">
      <w:pPr>
        <w:spacing w:after="256" w:line="258" w:lineRule="auto"/>
        <w:ind w:left="-5" w:right="364"/>
        <w:jc w:val="both"/>
      </w:pPr>
      <w:r>
        <w:t xml:space="preserve">This new structure aims to reduce administrative burden, simplify grant and reporting processes, and provide longer-term funding agreements up to five years in duration. It will focus on three activity streams: </w:t>
      </w:r>
    </w:p>
    <w:p w14:paraId="55CF9C8B" w14:textId="77777777" w:rsidR="00334B74" w:rsidRDefault="001C07FD">
      <w:pPr>
        <w:spacing w:after="0" w:line="259" w:lineRule="auto"/>
        <w:ind w:left="0" w:firstLine="0"/>
      </w:pPr>
      <w:r>
        <w:rPr>
          <w:rFonts w:ascii="Calibri" w:eastAsia="Calibri" w:hAnsi="Calibri" w:cs="Calibri"/>
          <w:noProof/>
        </w:rPr>
        <mc:AlternateContent>
          <mc:Choice Requires="wpg">
            <w:drawing>
              <wp:inline distT="0" distB="0" distL="0" distR="0" wp14:anchorId="795F5F28" wp14:editId="5AD26FF9">
                <wp:extent cx="1829689" cy="6096"/>
                <wp:effectExtent l="0" t="0" r="0" b="0"/>
                <wp:docPr id="9488" name="Group 9488"/>
                <wp:cNvGraphicFramePr/>
                <a:graphic xmlns:a="http://schemas.openxmlformats.org/drawingml/2006/main">
                  <a:graphicData uri="http://schemas.microsoft.com/office/word/2010/wordprocessingGroup">
                    <wpg:wgp>
                      <wpg:cNvGrpSpPr/>
                      <wpg:grpSpPr>
                        <a:xfrm>
                          <a:off x="0" y="0"/>
                          <a:ext cx="1829689" cy="6096"/>
                          <a:chOff x="0" y="0"/>
                          <a:chExt cx="1829689" cy="6096"/>
                        </a:xfrm>
                      </wpg:grpSpPr>
                      <wps:wsp>
                        <wps:cNvPr id="10285" name="Shape 10285"/>
                        <wps:cNvSpPr/>
                        <wps:spPr>
                          <a:xfrm>
                            <a:off x="0" y="0"/>
                            <a:ext cx="1829689" cy="9144"/>
                          </a:xfrm>
                          <a:custGeom>
                            <a:avLst/>
                            <a:gdLst/>
                            <a:ahLst/>
                            <a:cxnLst/>
                            <a:rect l="0" t="0" r="0" b="0"/>
                            <a:pathLst>
                              <a:path w="1829689" h="9144">
                                <a:moveTo>
                                  <a:pt x="0" y="0"/>
                                </a:moveTo>
                                <a:lnTo>
                                  <a:pt x="1829689" y="0"/>
                                </a:lnTo>
                                <a:lnTo>
                                  <a:pt x="1829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488" style="width:144.07pt;height:0.47998pt;mso-position-horizontal-relative:char;mso-position-vertical-relative:line" coordsize="18296,60">
                <v:shape id="Shape 10286" style="position:absolute;width:18296;height:91;left:0;top:0;" coordsize="1829689,9144" path="m0,0l1829689,0l1829689,9144l0,9144l0,0">
                  <v:stroke weight="0pt" endcap="flat" joinstyle="miter" miterlimit="10" on="false" color="#000000" opacity="0"/>
                  <v:fill on="true" color="#000000"/>
                </v:shape>
              </v:group>
            </w:pict>
          </mc:Fallback>
        </mc:AlternateContent>
      </w:r>
      <w:r>
        <w:t xml:space="preserve"> </w:t>
      </w:r>
    </w:p>
    <w:p w14:paraId="18B55983" w14:textId="77777777" w:rsidR="00334B74" w:rsidRDefault="001C07FD">
      <w:pPr>
        <w:numPr>
          <w:ilvl w:val="0"/>
          <w:numId w:val="3"/>
        </w:numPr>
        <w:spacing w:after="4"/>
        <w:ind w:left="720" w:right="47" w:hanging="360"/>
      </w:pPr>
      <w:r>
        <w:lastRenderedPageBreak/>
        <w:t xml:space="preserve">National programs and information services: Ensuring families have access to trusted advice and resources. </w:t>
      </w:r>
    </w:p>
    <w:p w14:paraId="0037C857" w14:textId="77777777" w:rsidR="00334B74" w:rsidRDefault="001C07FD">
      <w:pPr>
        <w:numPr>
          <w:ilvl w:val="0"/>
          <w:numId w:val="3"/>
        </w:numPr>
        <w:spacing w:after="4"/>
        <w:ind w:left="720" w:right="47" w:hanging="360"/>
      </w:pPr>
      <w:r>
        <w:t xml:space="preserve">Prevention and early intervention: Supporting families early to prevent issues from escalating. </w:t>
      </w:r>
    </w:p>
    <w:p w14:paraId="770D6B99" w14:textId="77777777" w:rsidR="00334B74" w:rsidRDefault="001C07FD">
      <w:pPr>
        <w:numPr>
          <w:ilvl w:val="0"/>
          <w:numId w:val="3"/>
        </w:numPr>
        <w:spacing w:after="207"/>
        <w:ind w:left="720" w:right="47" w:hanging="360"/>
      </w:pPr>
      <w:r>
        <w:t>Intensive family supports: Delivering targeted, wraparound assistance for families in crisis.</w:t>
      </w:r>
      <w:r>
        <w:rPr>
          <w:vertAlign w:val="superscript"/>
        </w:rPr>
        <w:footnoteReference w:id="8"/>
      </w:r>
      <w:r>
        <w:t xml:space="preserve"> </w:t>
      </w:r>
    </w:p>
    <w:p w14:paraId="58E5BD0D" w14:textId="77777777" w:rsidR="00334B74" w:rsidRDefault="001C07FD">
      <w:pPr>
        <w:spacing w:after="249"/>
        <w:ind w:left="-5" w:right="47"/>
      </w:pPr>
      <w:r>
        <w:t xml:space="preserve">While this aims to simplify administration and improve flexibility in service delivery, there are important considerations regarding carers and the people they support. These changes must be thoroughly planned and carefully implemented.  </w:t>
      </w:r>
    </w:p>
    <w:p w14:paraId="00927651" w14:textId="77777777" w:rsidR="00334B74" w:rsidRDefault="001C07FD">
      <w:pPr>
        <w:pStyle w:val="Heading1"/>
        <w:spacing w:after="153"/>
        <w:ind w:left="706" w:hanging="721"/>
      </w:pPr>
      <w:bookmarkStart w:id="2" w:name="_Toc10161"/>
      <w:r>
        <w:t xml:space="preserve">Feedback on the proposed reforms  </w:t>
      </w:r>
      <w:bookmarkEnd w:id="2"/>
    </w:p>
    <w:p w14:paraId="0DD1A5B2" w14:textId="77777777" w:rsidR="00334B74" w:rsidRDefault="001C07FD">
      <w:pPr>
        <w:pStyle w:val="Heading2"/>
        <w:ind w:left="-5"/>
      </w:pPr>
      <w:r>
        <w:t>No disadvantage to vulnerable Tasmanians</w:t>
      </w:r>
      <w:r>
        <w:rPr>
          <w:b/>
          <w:color w:val="000000"/>
          <w:sz w:val="22"/>
        </w:rPr>
        <w:t xml:space="preserve"> </w:t>
      </w:r>
    </w:p>
    <w:p w14:paraId="3ECE4DD8" w14:textId="77777777" w:rsidR="00334B74" w:rsidRDefault="001C07FD">
      <w:pPr>
        <w:spacing w:after="4"/>
        <w:ind w:left="-5" w:right="47"/>
      </w:pPr>
      <w:r>
        <w:t xml:space="preserve">These reforms must ensure continuity of care and avoid service gaps for families experiencing disadvantage, children at risk, and carers. Removing or reducing trusted and proven programs risks exacerbating vulnerability and increasing demand on crisis systems. </w:t>
      </w:r>
    </w:p>
    <w:p w14:paraId="0B8D34F2" w14:textId="77777777" w:rsidR="00334B74" w:rsidRDefault="001C07FD">
      <w:pPr>
        <w:spacing w:after="4"/>
        <w:ind w:left="-5" w:right="47"/>
      </w:pPr>
      <w:r>
        <w:t xml:space="preserve">It is also essential that through the transition period, supports remain accessible. </w:t>
      </w:r>
    </w:p>
    <w:p w14:paraId="4334DF10" w14:textId="77777777" w:rsidR="00334B74" w:rsidRDefault="001C07FD">
      <w:pPr>
        <w:spacing w:after="205"/>
        <w:ind w:left="-5" w:right="47"/>
      </w:pPr>
      <w:r>
        <w:t xml:space="preserve">Consideration must also be taken for the intake, assessment and eligibility requirements of transitioning to new services. Carers already report difficulty in navigating various systems and needing to repeatedly provide the same information. A major restructure could create confusion and delays in accessing services, particularly for families in crisis or those living in remote areas. </w:t>
      </w:r>
    </w:p>
    <w:p w14:paraId="5E5E36A9" w14:textId="77777777" w:rsidR="00334B74" w:rsidRDefault="001C07FD">
      <w:pPr>
        <w:pStyle w:val="Heading2"/>
        <w:ind w:left="-5"/>
      </w:pPr>
      <w:r>
        <w:t xml:space="preserve">Carer recognition, identification and referral </w:t>
      </w:r>
    </w:p>
    <w:p w14:paraId="5F63E708" w14:textId="77777777" w:rsidR="00334B74" w:rsidRDefault="001C07FD">
      <w:pPr>
        <w:spacing w:after="205"/>
        <w:ind w:left="-5" w:right="47"/>
      </w:pPr>
      <w:r>
        <w:t>Carer recognition and referral must be embedded into the reformed programs. This would support Action 2.4 of the National Carer Strategy Action Plan: “</w:t>
      </w:r>
      <w:r>
        <w:rPr>
          <w:i/>
        </w:rPr>
        <w:t xml:space="preserve">Explore ways to strengthen recognition of carers within government funded service systems.” </w:t>
      </w:r>
      <w:r>
        <w:rPr>
          <w:i/>
          <w:vertAlign w:val="superscript"/>
        </w:rPr>
        <w:footnoteReference w:id="9"/>
      </w:r>
      <w:r>
        <w:rPr>
          <w:i/>
        </w:rPr>
        <w:t xml:space="preserve"> </w:t>
      </w:r>
      <w:r>
        <w:t xml:space="preserve">The reforms must ensure continuity for programs currently delivering family support, parenting education, and carer wellbeing services, and that carers are also referred to specific carer support organisations such as their local Carer Gateway service provider.  </w:t>
      </w:r>
    </w:p>
    <w:p w14:paraId="16A2FE7E" w14:textId="77777777" w:rsidR="00334B74" w:rsidRDefault="001C07FD">
      <w:pPr>
        <w:pStyle w:val="Heading2"/>
        <w:ind w:left="-5"/>
      </w:pPr>
      <w:r>
        <w:t>Recognition of informal kinship carers</w:t>
      </w:r>
      <w:r>
        <w:rPr>
          <w:color w:val="000000"/>
          <w:sz w:val="22"/>
        </w:rPr>
        <w:t xml:space="preserve"> </w:t>
      </w:r>
    </w:p>
    <w:p w14:paraId="0609E06C" w14:textId="77777777" w:rsidR="00334B74" w:rsidRDefault="001C07FD">
      <w:pPr>
        <w:spacing w:after="270"/>
        <w:ind w:left="-5" w:right="47"/>
      </w:pPr>
      <w:r>
        <w:t>Informal kinship carers, who are often grandparents or extended family, play a critical role in keeping children safe and connected to family and culture. Informal kinship carers require targeted support, financial assistance, and access to respite and wellbeing services. Due to the nature of informal kinship caring circumstances, it is essential that these families are recognised and able to access these specialist services. These carers often need flexible, local programs for respite, parenting support, and financial assistance. The Discussion Paper describes that intensive family supports will assist families at risk of child protection services. It is essential that these supports also focus on supporting those undertaking informal kinship care arrangements.</w:t>
      </w:r>
      <w:r>
        <w:rPr>
          <w:vertAlign w:val="superscript"/>
        </w:rPr>
        <w:footnoteReference w:id="10"/>
      </w:r>
      <w:r>
        <w:t xml:space="preserve"> </w:t>
      </w:r>
    </w:p>
    <w:p w14:paraId="43F34F00" w14:textId="77777777" w:rsidR="00334B74" w:rsidRDefault="001C07FD">
      <w:pPr>
        <w:spacing w:after="0" w:line="259" w:lineRule="auto"/>
        <w:ind w:left="0" w:firstLine="0"/>
      </w:pPr>
      <w:r>
        <w:rPr>
          <w:rFonts w:ascii="Calibri" w:eastAsia="Calibri" w:hAnsi="Calibri" w:cs="Calibri"/>
          <w:noProof/>
        </w:rPr>
        <mc:AlternateContent>
          <mc:Choice Requires="wpg">
            <w:drawing>
              <wp:inline distT="0" distB="0" distL="0" distR="0" wp14:anchorId="561E99C5" wp14:editId="6EFDED23">
                <wp:extent cx="1829689" cy="6097"/>
                <wp:effectExtent l="0" t="0" r="0" b="0"/>
                <wp:docPr id="9223" name="Group 9223"/>
                <wp:cNvGraphicFramePr/>
                <a:graphic xmlns:a="http://schemas.openxmlformats.org/drawingml/2006/main">
                  <a:graphicData uri="http://schemas.microsoft.com/office/word/2010/wordprocessingGroup">
                    <wpg:wgp>
                      <wpg:cNvGrpSpPr/>
                      <wpg:grpSpPr>
                        <a:xfrm>
                          <a:off x="0" y="0"/>
                          <a:ext cx="1829689" cy="6097"/>
                          <a:chOff x="0" y="0"/>
                          <a:chExt cx="1829689" cy="6097"/>
                        </a:xfrm>
                      </wpg:grpSpPr>
                      <wps:wsp>
                        <wps:cNvPr id="10287" name="Shape 10287"/>
                        <wps:cNvSpPr/>
                        <wps:spPr>
                          <a:xfrm>
                            <a:off x="0" y="0"/>
                            <a:ext cx="1829689" cy="9144"/>
                          </a:xfrm>
                          <a:custGeom>
                            <a:avLst/>
                            <a:gdLst/>
                            <a:ahLst/>
                            <a:cxnLst/>
                            <a:rect l="0" t="0" r="0" b="0"/>
                            <a:pathLst>
                              <a:path w="1829689" h="9144">
                                <a:moveTo>
                                  <a:pt x="0" y="0"/>
                                </a:moveTo>
                                <a:lnTo>
                                  <a:pt x="1829689" y="0"/>
                                </a:lnTo>
                                <a:lnTo>
                                  <a:pt x="1829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223" style="width:144.07pt;height:0.480042pt;mso-position-horizontal-relative:char;mso-position-vertical-relative:line" coordsize="18296,60">
                <v:shape id="Shape 10288" style="position:absolute;width:18296;height:91;left:0;top:0;" coordsize="1829689,9144" path="m0,0l1829689,0l1829689,9144l0,9144l0,0">
                  <v:stroke weight="0pt" endcap="flat" joinstyle="miter" miterlimit="10" on="false" color="#000000" opacity="0"/>
                  <v:fill on="true" color="#000000"/>
                </v:shape>
              </v:group>
            </w:pict>
          </mc:Fallback>
        </mc:AlternateContent>
      </w:r>
      <w:r>
        <w:t xml:space="preserve"> </w:t>
      </w:r>
    </w:p>
    <w:p w14:paraId="682A7C94" w14:textId="77777777" w:rsidR="00334B74" w:rsidRDefault="001C07FD">
      <w:pPr>
        <w:pStyle w:val="Heading2"/>
        <w:ind w:left="-5"/>
      </w:pPr>
      <w:r>
        <w:lastRenderedPageBreak/>
        <w:t>Integration, not fragmentation</w:t>
      </w:r>
      <w:r>
        <w:rPr>
          <w:color w:val="000000"/>
          <w:sz w:val="22"/>
        </w:rPr>
        <w:t xml:space="preserve"> </w:t>
      </w:r>
    </w:p>
    <w:p w14:paraId="40FA21D7" w14:textId="77777777" w:rsidR="00334B74" w:rsidRDefault="001C07FD">
      <w:pPr>
        <w:spacing w:after="206"/>
        <w:ind w:left="-5" w:right="47"/>
      </w:pPr>
      <w:r>
        <w:t xml:space="preserve">Many current family and child programs are tailored to Tasmania’s unique needs, including rural and regional service delivery. If these are merged into a national model without safeguards, carers, especially informal kinship carers, may lose access to trusted, community-based supports. Existing programs should be integrated into new frameworks rather than replaced. Local, community-based services already have deep knowledge and trust within communities. Therefore, these reforms should build on these strengths. This must complement, not replace, current programs that address broader family vulnerabilities, including mental health, housing instability, and family violence. </w:t>
      </w:r>
    </w:p>
    <w:p w14:paraId="56F11A68" w14:textId="77777777" w:rsidR="00334B74" w:rsidRDefault="001C07FD">
      <w:pPr>
        <w:pStyle w:val="Heading2"/>
        <w:ind w:left="-5"/>
      </w:pPr>
      <w:r>
        <w:t>Alignment with proposed Thriving Kids Initiative</w:t>
      </w:r>
      <w:r>
        <w:rPr>
          <w:b/>
          <w:color w:val="000000"/>
          <w:sz w:val="22"/>
        </w:rPr>
        <w:t xml:space="preserve"> </w:t>
      </w:r>
    </w:p>
    <w:p w14:paraId="7A8EF7CC" w14:textId="77777777" w:rsidR="00334B74" w:rsidRDefault="001C07FD">
      <w:pPr>
        <w:spacing w:after="232"/>
        <w:ind w:left="-5" w:right="47"/>
      </w:pPr>
      <w:r>
        <w:t>The proposed changes must align and work alongside the proposed Thriving Kids Initiative, to ensure collaboration and early identification for children aged 0–8 who are Autistic or have developmental delay or disability. While the restructure emphasises prevention and early intervention, the Discussion Paper does not address how this may align with the proposed Thriving Kids Initiative.</w:t>
      </w:r>
      <w:r>
        <w:rPr>
          <w:vertAlign w:val="superscript"/>
        </w:rPr>
        <w:footnoteReference w:id="11"/>
      </w:r>
      <w:r>
        <w:t xml:space="preserve">  </w:t>
      </w:r>
    </w:p>
    <w:p w14:paraId="59C53C27" w14:textId="77777777" w:rsidR="00334B74" w:rsidRDefault="001C07FD">
      <w:pPr>
        <w:pStyle w:val="Heading2"/>
        <w:ind w:left="-5"/>
      </w:pPr>
      <w:r>
        <w:t xml:space="preserve">Thorough collaboration with communities  </w:t>
      </w:r>
    </w:p>
    <w:p w14:paraId="7EA1857F" w14:textId="77777777" w:rsidR="00334B74" w:rsidRDefault="001C07FD">
      <w:pPr>
        <w:ind w:left="-5" w:right="47"/>
      </w:pPr>
      <w:r>
        <w:t xml:space="preserve">Carers Tasmania encourages thorough collaboration and engagement with families and carers, as well as the community sector to ensure that lived experience and expertise helps to inform these changes. Engaging in comprehensive collaboration with a wide range of stakeholders and communities is crucial to effectively assess the potential impacts of these changes across diverse groups and varying needs. For example, the Tasmanian results of the 2024 National Carer Survey found the following: </w:t>
      </w:r>
    </w:p>
    <w:p w14:paraId="158B5778" w14:textId="77777777" w:rsidR="00334B74" w:rsidRDefault="001C07FD">
      <w:pPr>
        <w:ind w:left="-5" w:right="47"/>
      </w:pPr>
      <w:r>
        <w:t xml:space="preserve">Question - Is there anything else you would like to tell us about your experiences as a carer? </w:t>
      </w:r>
    </w:p>
    <w:p w14:paraId="1DA753AA" w14:textId="77777777" w:rsidR="00334B74" w:rsidRDefault="001C07FD">
      <w:pPr>
        <w:spacing w:line="256" w:lineRule="auto"/>
        <w:ind w:left="716" w:right="110"/>
        <w:jc w:val="both"/>
      </w:pPr>
      <w:r>
        <w:rPr>
          <w:i/>
          <w:color w:val="2F5496"/>
        </w:rPr>
        <w:t xml:space="preserve">“I’m tired I’m broke, and I’m exhausted and I’m only ten years into a lifetime of keeping my daughter alive.” </w:t>
      </w:r>
    </w:p>
    <w:p w14:paraId="374155A8" w14:textId="77777777" w:rsidR="00334B74" w:rsidRDefault="001C07FD">
      <w:pPr>
        <w:ind w:left="-5" w:right="47"/>
      </w:pPr>
      <w:r>
        <w:t xml:space="preserve">Question - What types of support would be most useful for you as a carer? </w:t>
      </w:r>
    </w:p>
    <w:p w14:paraId="607FF103" w14:textId="77777777" w:rsidR="00334B74" w:rsidRDefault="001C07FD">
      <w:pPr>
        <w:spacing w:line="256" w:lineRule="auto"/>
        <w:ind w:left="716" w:right="110"/>
        <w:jc w:val="both"/>
      </w:pPr>
      <w:r>
        <w:rPr>
          <w:i/>
          <w:color w:val="2F5496"/>
        </w:rPr>
        <w:t xml:space="preserve">“Access to specific parenting courses (not triple p, have done that) but ones aimed at supporting parents caring for children with Autism, ADHD, PDA. These are available, but without it covered in NDIS plan, it is costly.” </w:t>
      </w:r>
    </w:p>
    <w:p w14:paraId="274DD7E8" w14:textId="77777777" w:rsidR="00334B74" w:rsidRDefault="001C07FD">
      <w:pPr>
        <w:ind w:left="-5" w:right="47"/>
      </w:pPr>
      <w:r>
        <w:t xml:space="preserve">Question - As a First Nations carer, what are the most important issues for you?  </w:t>
      </w:r>
    </w:p>
    <w:p w14:paraId="7060B49F" w14:textId="77777777" w:rsidR="00334B74" w:rsidRDefault="001C07FD">
      <w:pPr>
        <w:spacing w:after="225" w:line="259" w:lineRule="auto"/>
        <w:ind w:left="721" w:firstLine="0"/>
      </w:pPr>
      <w:r>
        <w:rPr>
          <w:i/>
          <w:color w:val="2F5496"/>
        </w:rPr>
        <w:t xml:space="preserve">“To ensure care was culturally appropriate. As an Aboriginal woman I have many roles, I work full time, care for my 5y.o son and also have kinship roles with my nephew and nieces. This is not considered in mainstream services other than services provided by Aboriginal health service.” </w:t>
      </w:r>
      <w:r>
        <w:rPr>
          <w:i/>
          <w:vertAlign w:val="superscript"/>
        </w:rPr>
        <w:footnoteReference w:id="12"/>
      </w:r>
      <w:r>
        <w:rPr>
          <w:i/>
        </w:rPr>
        <w:t xml:space="preserve"> </w:t>
      </w:r>
    </w:p>
    <w:p w14:paraId="48FE33B1" w14:textId="77777777" w:rsidR="00334B74" w:rsidRDefault="001C07FD">
      <w:pPr>
        <w:pStyle w:val="Heading2"/>
        <w:ind w:left="-5"/>
      </w:pPr>
      <w:r>
        <w:t xml:space="preserve">Ensure flexible, holistic supports regardless of location </w:t>
      </w:r>
    </w:p>
    <w:p w14:paraId="5B11F7EC" w14:textId="77777777" w:rsidR="00334B74" w:rsidRDefault="001C07FD">
      <w:pPr>
        <w:spacing w:after="18"/>
        <w:ind w:left="-5" w:right="47"/>
      </w:pPr>
      <w:r>
        <w:t xml:space="preserve">The reform must avoid embedding narrow eligibility criteria that exclude families with complex needs. Services should address the whole family system. Carers Tasmania repeatedly hears from carers who require tailored navigation support, often in complex </w:t>
      </w:r>
    </w:p>
    <w:p w14:paraId="5B6104C8" w14:textId="77777777" w:rsidR="00334B74" w:rsidRDefault="001C07FD">
      <w:pPr>
        <w:spacing w:after="0" w:line="259" w:lineRule="auto"/>
        <w:ind w:left="0" w:firstLine="0"/>
      </w:pPr>
      <w:r>
        <w:rPr>
          <w:rFonts w:ascii="Calibri" w:eastAsia="Calibri" w:hAnsi="Calibri" w:cs="Calibri"/>
          <w:noProof/>
        </w:rPr>
        <mc:AlternateContent>
          <mc:Choice Requires="wpg">
            <w:drawing>
              <wp:inline distT="0" distB="0" distL="0" distR="0" wp14:anchorId="1E7F3800" wp14:editId="11941B37">
                <wp:extent cx="1829689" cy="6096"/>
                <wp:effectExtent l="0" t="0" r="0" b="0"/>
                <wp:docPr id="9029" name="Group 9029"/>
                <wp:cNvGraphicFramePr/>
                <a:graphic xmlns:a="http://schemas.openxmlformats.org/drawingml/2006/main">
                  <a:graphicData uri="http://schemas.microsoft.com/office/word/2010/wordprocessingGroup">
                    <wpg:wgp>
                      <wpg:cNvGrpSpPr/>
                      <wpg:grpSpPr>
                        <a:xfrm>
                          <a:off x="0" y="0"/>
                          <a:ext cx="1829689" cy="6096"/>
                          <a:chOff x="0" y="0"/>
                          <a:chExt cx="1829689" cy="6096"/>
                        </a:xfrm>
                      </wpg:grpSpPr>
                      <wps:wsp>
                        <wps:cNvPr id="10289" name="Shape 10289"/>
                        <wps:cNvSpPr/>
                        <wps:spPr>
                          <a:xfrm>
                            <a:off x="0" y="0"/>
                            <a:ext cx="1829689" cy="9144"/>
                          </a:xfrm>
                          <a:custGeom>
                            <a:avLst/>
                            <a:gdLst/>
                            <a:ahLst/>
                            <a:cxnLst/>
                            <a:rect l="0" t="0" r="0" b="0"/>
                            <a:pathLst>
                              <a:path w="1829689" h="9144">
                                <a:moveTo>
                                  <a:pt x="0" y="0"/>
                                </a:moveTo>
                                <a:lnTo>
                                  <a:pt x="1829689" y="0"/>
                                </a:lnTo>
                                <a:lnTo>
                                  <a:pt x="1829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029" style="width:144.07pt;height:0.47998pt;mso-position-horizontal-relative:char;mso-position-vertical-relative:line" coordsize="18296,60">
                <v:shape id="Shape 10290" style="position:absolute;width:18296;height:91;left:0;top:0;" coordsize="1829689,9144" path="m0,0l1829689,0l1829689,9144l0,9144l0,0">
                  <v:stroke weight="0pt" endcap="flat" joinstyle="miter" miterlimit="10" on="false" color="#000000" opacity="0"/>
                  <v:fill on="true" color="#000000"/>
                </v:shape>
              </v:group>
            </w:pict>
          </mc:Fallback>
        </mc:AlternateContent>
      </w:r>
      <w:r>
        <w:t xml:space="preserve"> </w:t>
      </w:r>
    </w:p>
    <w:p w14:paraId="340143A6" w14:textId="77777777" w:rsidR="00334B74" w:rsidRDefault="001C07FD">
      <w:pPr>
        <w:spacing w:after="162" w:line="258" w:lineRule="auto"/>
        <w:ind w:left="-5" w:right="145"/>
        <w:jc w:val="both"/>
      </w:pPr>
      <w:r>
        <w:lastRenderedPageBreak/>
        <w:t xml:space="preserve">circumstances requiring collaboration and connection with multiple services. The reforms must ensure that there is flexibility within the new proposed programs to support this level of need within our communities.  </w:t>
      </w:r>
    </w:p>
    <w:p w14:paraId="2F8D0CB9" w14:textId="77777777" w:rsidR="00334B74" w:rsidRDefault="001C07FD">
      <w:pPr>
        <w:spacing w:after="250"/>
        <w:ind w:left="-5" w:right="47"/>
      </w:pPr>
      <w:r>
        <w:t xml:space="preserve">Carers Tasmania recognises the value of the three proposed programs and their significant roles in supporting families. However, since applicants may choose to deliver across one or more of the three program areas, it is important to consider how all programs will be provided in regions with fewer applicants. This will help ensure that every family can access these essential services, regardless of where they live. </w:t>
      </w:r>
    </w:p>
    <w:p w14:paraId="512DF1BE" w14:textId="77777777" w:rsidR="00334B74" w:rsidRDefault="001C07FD">
      <w:pPr>
        <w:pStyle w:val="Heading1"/>
        <w:ind w:left="706" w:hanging="721"/>
      </w:pPr>
      <w:bookmarkStart w:id="3" w:name="_Toc10162"/>
      <w:r>
        <w:t xml:space="preserve">Conclusion </w:t>
      </w:r>
      <w:bookmarkEnd w:id="3"/>
    </w:p>
    <w:p w14:paraId="6A9FEC60" w14:textId="77777777" w:rsidR="00334B74" w:rsidRDefault="001C07FD">
      <w:pPr>
        <w:ind w:left="-5" w:right="47"/>
      </w:pPr>
      <w:r>
        <w:t xml:space="preserve">Carers Tasmania thanks the Australian Government for the opportunity to provide feedback on the new approach to programs for families and children across Australia. We acknowledge the intent of simplifying administrative processes and improving flexibility in service delivery, whilst highlighting the important work currently being undertaken through these programs in Tasmania. </w:t>
      </w:r>
    </w:p>
    <w:p w14:paraId="143BFD5D" w14:textId="77777777" w:rsidR="00334B74" w:rsidRDefault="001C07FD">
      <w:pPr>
        <w:spacing w:after="162" w:line="258" w:lineRule="auto"/>
        <w:ind w:left="-5" w:right="279"/>
        <w:jc w:val="both"/>
      </w:pPr>
      <w:r>
        <w:t xml:space="preserve">As reforms progress, we urge DSS to adopt a principle of “do no harm” and ensure that changes strengthen, rather than weaken, existing supports for vulnerable children, families and carers. This includes: </w:t>
      </w:r>
    </w:p>
    <w:p w14:paraId="5C738E22" w14:textId="77777777" w:rsidR="00334B74" w:rsidRDefault="001C07FD">
      <w:pPr>
        <w:numPr>
          <w:ilvl w:val="0"/>
          <w:numId w:val="4"/>
        </w:numPr>
        <w:ind w:left="720" w:right="47" w:hanging="360"/>
      </w:pPr>
      <w:r>
        <w:t xml:space="preserve">Maintaining continuity of services during transition to avoid gaps or confusion. </w:t>
      </w:r>
    </w:p>
    <w:p w14:paraId="582094C7" w14:textId="77777777" w:rsidR="00334B74" w:rsidRDefault="001C07FD">
      <w:pPr>
        <w:numPr>
          <w:ilvl w:val="0"/>
          <w:numId w:val="4"/>
        </w:numPr>
        <w:ind w:left="720" w:right="47" w:hanging="360"/>
      </w:pPr>
      <w:r>
        <w:t xml:space="preserve">Embedding carer recognition and referral pathways in all program streams. </w:t>
      </w:r>
    </w:p>
    <w:p w14:paraId="74F87BBE" w14:textId="77777777" w:rsidR="00334B74" w:rsidRDefault="001C07FD">
      <w:pPr>
        <w:numPr>
          <w:ilvl w:val="0"/>
          <w:numId w:val="4"/>
        </w:numPr>
        <w:ind w:left="720" w:right="47" w:hanging="360"/>
      </w:pPr>
      <w:r>
        <w:t xml:space="preserve">Safeguarding access for informal kinship carers and families in rural and regional areas. </w:t>
      </w:r>
    </w:p>
    <w:p w14:paraId="7BB025F9" w14:textId="77777777" w:rsidR="00334B74" w:rsidRDefault="001C07FD">
      <w:pPr>
        <w:numPr>
          <w:ilvl w:val="0"/>
          <w:numId w:val="4"/>
        </w:numPr>
        <w:ind w:left="720" w:right="47" w:hanging="360"/>
      </w:pPr>
      <w:r>
        <w:t xml:space="preserve">Including a strong focus on service navigation, including for complex family scenarios.  </w:t>
      </w:r>
    </w:p>
    <w:p w14:paraId="2FADCEB3" w14:textId="77777777" w:rsidR="00334B74" w:rsidRDefault="001C07FD">
      <w:pPr>
        <w:ind w:left="-5" w:right="47"/>
      </w:pPr>
      <w:r>
        <w:t xml:space="preserve">Carers Tasmania welcomes ongoing collaboration to ensure these reforms deliver better outcomes for children, young people, and the carers who support them every day. We look forward to working with a system that is integrated, flexible, and responsive to the diverse needs of Tasmanian families. </w:t>
      </w:r>
    </w:p>
    <w:p w14:paraId="39DF6BA4" w14:textId="77777777" w:rsidR="00334B74" w:rsidRDefault="001C07FD">
      <w:pPr>
        <w:spacing w:after="158" w:line="259" w:lineRule="auto"/>
        <w:ind w:left="0" w:firstLine="0"/>
      </w:pPr>
      <w:r>
        <w:t xml:space="preserve"> </w:t>
      </w:r>
    </w:p>
    <w:p w14:paraId="4B313869" w14:textId="77777777" w:rsidR="00334B74" w:rsidRDefault="001C07FD">
      <w:pPr>
        <w:spacing w:after="158" w:line="259" w:lineRule="auto"/>
        <w:ind w:left="0" w:firstLine="0"/>
      </w:pPr>
      <w:r>
        <w:t xml:space="preserve"> </w:t>
      </w:r>
    </w:p>
    <w:p w14:paraId="3A4DF913" w14:textId="77777777" w:rsidR="00334B74" w:rsidRDefault="001C07FD">
      <w:pPr>
        <w:spacing w:after="0" w:line="259" w:lineRule="auto"/>
        <w:ind w:left="0" w:firstLine="0"/>
      </w:pPr>
      <w:r>
        <w:t xml:space="preserve"> </w:t>
      </w:r>
    </w:p>
    <w:sectPr w:rsidR="00334B74">
      <w:footerReference w:type="even" r:id="rId9"/>
      <w:footerReference w:type="default" r:id="rId10"/>
      <w:footerReference w:type="first" r:id="rId11"/>
      <w:pgSz w:w="11904" w:h="16838"/>
      <w:pgMar w:top="1486" w:right="1374" w:bottom="65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F37CC" w14:textId="77777777" w:rsidR="001C07FD" w:rsidRDefault="001C07FD">
      <w:pPr>
        <w:spacing w:after="0" w:line="240" w:lineRule="auto"/>
      </w:pPr>
      <w:r>
        <w:separator/>
      </w:r>
    </w:p>
  </w:endnote>
  <w:endnote w:type="continuationSeparator" w:id="0">
    <w:p w14:paraId="6DD9B099" w14:textId="77777777" w:rsidR="001C07FD" w:rsidRDefault="001C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7E2B" w14:textId="77777777" w:rsidR="00334B74" w:rsidRDefault="001C07FD">
    <w:pPr>
      <w:tabs>
        <w:tab w:val="right" w:pos="9089"/>
      </w:tabs>
      <w:spacing w:after="0" w:line="259" w:lineRule="auto"/>
      <w:ind w:left="0" w:firstLine="0"/>
    </w:pPr>
    <w:r>
      <w:rPr>
        <w:sz w:val="18"/>
      </w:rPr>
      <w:t xml:space="preserve">Carers Tasmania’s Submission to: A New Approach to Programs for Families and Children </w:t>
    </w:r>
    <w:r>
      <w:rPr>
        <w:sz w:val="18"/>
      </w:rPr>
      <w:tab/>
      <w:t xml:space="preserve"> </w:t>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5B86" w14:textId="77777777" w:rsidR="00334B74" w:rsidRDefault="001C07FD">
    <w:pPr>
      <w:tabs>
        <w:tab w:val="right" w:pos="9089"/>
      </w:tabs>
      <w:spacing w:after="0" w:line="259" w:lineRule="auto"/>
      <w:ind w:left="0" w:firstLine="0"/>
    </w:pPr>
    <w:r>
      <w:rPr>
        <w:sz w:val="18"/>
      </w:rPr>
      <w:t xml:space="preserve">Carers Tasmania’s Submission to: A New Approach to Programs for Families and Children </w:t>
    </w:r>
    <w:r>
      <w:rPr>
        <w:sz w:val="18"/>
      </w:rPr>
      <w:tab/>
      <w:t xml:space="preserve"> </w:t>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D8A2" w14:textId="77777777" w:rsidR="00334B74" w:rsidRDefault="00334B7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7EB3" w14:textId="77777777" w:rsidR="00334B74" w:rsidRDefault="001C07FD">
      <w:pPr>
        <w:spacing w:after="6" w:line="259" w:lineRule="auto"/>
        <w:ind w:left="0" w:firstLine="0"/>
      </w:pPr>
      <w:r>
        <w:separator/>
      </w:r>
    </w:p>
  </w:footnote>
  <w:footnote w:type="continuationSeparator" w:id="0">
    <w:p w14:paraId="17034EA9" w14:textId="77777777" w:rsidR="00334B74" w:rsidRDefault="001C07FD">
      <w:pPr>
        <w:spacing w:after="6" w:line="259" w:lineRule="auto"/>
        <w:ind w:left="0" w:firstLine="0"/>
      </w:pPr>
      <w:r>
        <w:continuationSeparator/>
      </w:r>
    </w:p>
  </w:footnote>
  <w:footnote w:id="1">
    <w:p w14:paraId="54A9FFA1" w14:textId="77777777" w:rsidR="00334B74" w:rsidRDefault="001C07FD">
      <w:pPr>
        <w:pStyle w:val="footnotedescription"/>
        <w:spacing w:after="6" w:line="259" w:lineRule="auto"/>
      </w:pPr>
      <w:r>
        <w:rPr>
          <w:rStyle w:val="footnotemark"/>
        </w:rPr>
        <w:footnoteRef/>
      </w:r>
      <w:r>
        <w:t xml:space="preserve"> Australian Bureau of Statistics (2021). 44300DO006_2018 Disability, Ageing and Carers, Australia: Tasmania, </w:t>
      </w:r>
    </w:p>
    <w:p w14:paraId="18C0B575" w14:textId="77777777" w:rsidR="00334B74" w:rsidRDefault="001C07FD">
      <w:pPr>
        <w:pStyle w:val="footnotedescription"/>
        <w:spacing w:line="259" w:lineRule="auto"/>
      </w:pPr>
      <w:r>
        <w:t xml:space="preserve">2018. Australian Bureau of Statistics. (abs.gov.au) </w:t>
      </w:r>
    </w:p>
  </w:footnote>
  <w:footnote w:id="2">
    <w:p w14:paraId="33FE078C" w14:textId="77777777" w:rsidR="00334B74" w:rsidRDefault="001C07FD">
      <w:pPr>
        <w:pStyle w:val="footnotedescription"/>
        <w:spacing w:after="15" w:line="259" w:lineRule="auto"/>
      </w:pPr>
      <w:r>
        <w:rPr>
          <w:rStyle w:val="footnotemark"/>
        </w:rPr>
        <w:footnoteRef/>
      </w:r>
      <w:r>
        <w:t xml:space="preserve"> Australian Bureau of Statistics. (2022). Disability, Ageing and Carers, Australia: Summary of Findings, 2022.  </w:t>
      </w:r>
    </w:p>
    <w:p w14:paraId="3374489F" w14:textId="77777777" w:rsidR="00334B74" w:rsidRDefault="001C07FD">
      <w:pPr>
        <w:pStyle w:val="footnotedescription"/>
        <w:spacing w:line="259" w:lineRule="auto"/>
      </w:pPr>
      <w:r>
        <w:t>Australian Bureau of Statistics (abs.gov.au)</w:t>
      </w:r>
      <w:r>
        <w:rPr>
          <w:sz w:val="20"/>
        </w:rPr>
        <w:t xml:space="preserve"> </w:t>
      </w:r>
    </w:p>
  </w:footnote>
  <w:footnote w:id="3">
    <w:p w14:paraId="0F12CF89" w14:textId="77777777" w:rsidR="00334B74" w:rsidRDefault="001C07FD">
      <w:pPr>
        <w:pStyle w:val="footnotedescription"/>
        <w:spacing w:line="261" w:lineRule="auto"/>
        <w:jc w:val="both"/>
      </w:pPr>
      <w:r>
        <w:rPr>
          <w:rStyle w:val="footnotemark"/>
        </w:rPr>
        <w:footnoteRef/>
      </w:r>
      <w:r>
        <w:t xml:space="preserve"> Carers Australia. (2024). Focus groups report: National Carer Strategy consultation. Carers Australia. </w:t>
      </w:r>
      <w:r>
        <w:rPr>
          <w:color w:val="0563C1"/>
          <w:u w:val="single" w:color="0563C1"/>
        </w:rPr>
        <w:t>https://www.carersaustralia.com.au/wp-content/uploads/2024/12/Focus-groups-report NCS Carers-</w:t>
      </w:r>
    </w:p>
    <w:p w14:paraId="5FB07117" w14:textId="77777777" w:rsidR="00334B74" w:rsidRDefault="001C07FD">
      <w:pPr>
        <w:pStyle w:val="footnotedescription"/>
        <w:spacing w:line="259" w:lineRule="auto"/>
      </w:pPr>
      <w:r>
        <w:rPr>
          <w:color w:val="0563C1"/>
          <w:u w:val="single" w:color="0563C1"/>
        </w:rPr>
        <w:t>Australia August-2024-compressed.pdf</w:t>
      </w:r>
      <w:r>
        <w:t xml:space="preserve">  </w:t>
      </w:r>
    </w:p>
  </w:footnote>
  <w:footnote w:id="4">
    <w:p w14:paraId="0EEF73A6" w14:textId="77777777" w:rsidR="00334B74" w:rsidRDefault="001C07FD">
      <w:pPr>
        <w:pStyle w:val="footnotedescription"/>
        <w:spacing w:line="243" w:lineRule="auto"/>
      </w:pPr>
      <w:r>
        <w:rPr>
          <w:rStyle w:val="footnotemark"/>
        </w:rPr>
        <w:footnoteRef/>
      </w:r>
      <w:r>
        <w:t xml:space="preserve"> Carers Tasmania. (2025). Tasmanian results of the 2024 National Carer Survey. </w:t>
      </w:r>
      <w:r>
        <w:rPr>
          <w:color w:val="0563C1"/>
          <w:u w:val="single" w:color="0563C1"/>
        </w:rPr>
        <w:t>2024-National-Carer-SurveyTasmanian-Results-.pdf</w:t>
      </w:r>
      <w:r>
        <w:t xml:space="preserve"> </w:t>
      </w:r>
    </w:p>
  </w:footnote>
  <w:footnote w:id="5">
    <w:p w14:paraId="13345730" w14:textId="77777777" w:rsidR="00334B74" w:rsidRDefault="001C07FD">
      <w:pPr>
        <w:pStyle w:val="footnotedescription"/>
        <w:spacing w:line="261" w:lineRule="auto"/>
        <w:jc w:val="both"/>
      </w:pPr>
      <w:r>
        <w:rPr>
          <w:rStyle w:val="footnotemark"/>
        </w:rPr>
        <w:footnoteRef/>
      </w:r>
      <w:r>
        <w:t xml:space="preserve"> Carers NSW (2025). 2024 National Carer Survey: Summary Report. Carers NSW, North Sydney. Online available from </w:t>
      </w:r>
      <w:r>
        <w:rPr>
          <w:color w:val="0563C1"/>
          <w:u w:val="single" w:color="0563C1"/>
        </w:rPr>
        <w:t>www.nationalcarersurvey.com.au</w:t>
      </w:r>
      <w:r>
        <w:t xml:space="preserve">  </w:t>
      </w:r>
    </w:p>
  </w:footnote>
  <w:footnote w:id="6">
    <w:p w14:paraId="5A018289" w14:textId="77777777" w:rsidR="00334B74" w:rsidRDefault="001C07FD">
      <w:pPr>
        <w:pStyle w:val="footnotedescription"/>
        <w:spacing w:line="242" w:lineRule="auto"/>
      </w:pPr>
      <w:r>
        <w:rPr>
          <w:rStyle w:val="footnotemark"/>
        </w:rPr>
        <w:footnoteRef/>
      </w:r>
      <w:r>
        <w:t xml:space="preserve"> Carers Tasmania. (2023). Understanding the needs of informal kinship carers. </w:t>
      </w:r>
      <w:r>
        <w:rPr>
          <w:color w:val="0563C1"/>
          <w:u w:val="single" w:color="0563C1"/>
        </w:rPr>
        <w:t>https://carerstas.org/wpcontent/uploads/2023/11/Executive-Summary-Understanding-the-Experiences-and-Needs-of-Informal-KinshipCarers-2023.pdf</w:t>
      </w:r>
      <w:r>
        <w:t xml:space="preserve">  </w:t>
      </w:r>
    </w:p>
  </w:footnote>
  <w:footnote w:id="7">
    <w:p w14:paraId="06F9A128" w14:textId="77777777" w:rsidR="00334B74" w:rsidRDefault="001C07FD">
      <w:pPr>
        <w:pStyle w:val="footnotedescription"/>
        <w:spacing w:line="244" w:lineRule="auto"/>
      </w:pPr>
      <w:r>
        <w:rPr>
          <w:rStyle w:val="footnotemark"/>
        </w:rPr>
        <w:footnoteRef/>
      </w:r>
      <w:r>
        <w:t xml:space="preserve"> Department of Social Services. (2025). A new approach to programs for families and children: Discussion paper 1. Australian Government. Retrieved from </w:t>
      </w:r>
      <w:r>
        <w:rPr>
          <w:color w:val="0563C1"/>
          <w:u w:val="single" w:color="0563C1"/>
        </w:rPr>
        <w:t>https://engage.dss.gov.au/wp-content/uploads/2025/11/discussionpaper-1.pdf</w:t>
      </w:r>
      <w:r>
        <w:rPr>
          <w:sz w:val="20"/>
        </w:rPr>
        <w:t xml:space="preserve">  </w:t>
      </w:r>
    </w:p>
  </w:footnote>
  <w:footnote w:id="8">
    <w:p w14:paraId="31A837C6" w14:textId="77777777" w:rsidR="00334B74" w:rsidRDefault="001C07FD">
      <w:pPr>
        <w:pStyle w:val="footnotedescription"/>
      </w:pPr>
      <w:r>
        <w:rPr>
          <w:rStyle w:val="footnotemark"/>
        </w:rPr>
        <w:footnoteRef/>
      </w:r>
      <w:r>
        <w:t xml:space="preserve"> Department of Social Services. (2025). A new approach to programs for families and children: Discussion paper 1. Australian Government. Retrieved from </w:t>
      </w:r>
      <w:r>
        <w:rPr>
          <w:color w:val="0563C1"/>
          <w:u w:val="single" w:color="0563C1"/>
        </w:rPr>
        <w:t>https://engage.dss.gov.au/wp-content/uploads/2025/11/discussionpaper-1.pdf</w:t>
      </w:r>
      <w:r>
        <w:t xml:space="preserve"> </w:t>
      </w:r>
    </w:p>
  </w:footnote>
  <w:footnote w:id="9">
    <w:p w14:paraId="1D708245" w14:textId="77777777" w:rsidR="00334B74" w:rsidRDefault="001C07FD">
      <w:pPr>
        <w:pStyle w:val="footnotedescription"/>
        <w:spacing w:line="248" w:lineRule="auto"/>
        <w:ind w:right="549"/>
        <w:jc w:val="both"/>
      </w:pPr>
      <w:r>
        <w:rPr>
          <w:rStyle w:val="footnotemark"/>
        </w:rPr>
        <w:footnoteRef/>
      </w:r>
      <w:r>
        <w:t xml:space="preserve"> Australian Government Department of Health and Aged Care. (2024). National Carer Strategy Action Plan 2024–2027. </w:t>
      </w:r>
      <w:r>
        <w:rPr>
          <w:color w:val="0563C1"/>
          <w:u w:val="single" w:color="0563C1"/>
        </w:rPr>
        <w:t>https://www.health.gov.au/sites/default/files/2025-07/national-carer-strategy-action-plan-20242027 0.pdf</w:t>
      </w:r>
      <w:r>
        <w:t xml:space="preserve">  </w:t>
      </w:r>
    </w:p>
  </w:footnote>
  <w:footnote w:id="10">
    <w:p w14:paraId="004254A8" w14:textId="77777777" w:rsidR="00334B74" w:rsidRDefault="001C07FD">
      <w:pPr>
        <w:pStyle w:val="footnotedescription"/>
        <w:ind w:right="20"/>
      </w:pPr>
      <w:r>
        <w:rPr>
          <w:rStyle w:val="footnotemark"/>
        </w:rPr>
        <w:footnoteRef/>
      </w:r>
      <w:r>
        <w:t xml:space="preserve"> Department of Social Services. (2025). A new approach to programs for families and children: Discussion paper 1. Australian Government. Retrieved from </w:t>
      </w:r>
      <w:r>
        <w:rPr>
          <w:color w:val="0563C1"/>
          <w:u w:val="single" w:color="0563C1"/>
        </w:rPr>
        <w:t>https://engage.dss.gov.au/wpcontent/uploads/2025/11/discussion-paper-1.pdf</w:t>
      </w:r>
      <w:r>
        <w:t xml:space="preserve"> </w:t>
      </w:r>
    </w:p>
  </w:footnote>
  <w:footnote w:id="11">
    <w:p w14:paraId="0BB65E5E" w14:textId="77777777" w:rsidR="00334B74" w:rsidRDefault="001C07FD">
      <w:pPr>
        <w:pStyle w:val="footnotedescription"/>
        <w:spacing w:line="247" w:lineRule="auto"/>
        <w:ind w:right="20"/>
      </w:pPr>
      <w:r>
        <w:rPr>
          <w:rStyle w:val="footnotemark"/>
        </w:rPr>
        <w:footnoteRef/>
      </w:r>
      <w:r>
        <w:t xml:space="preserve"> Department of Social Services. (2025). A new approach to programs for families and children: Discussion paper 1. Australian Government. Retrieved from </w:t>
      </w:r>
      <w:r>
        <w:rPr>
          <w:color w:val="0563C1"/>
          <w:u w:val="single" w:color="0563C1"/>
        </w:rPr>
        <w:t>https://engage.dss.gov.au/wpcontent/uploads/2025/11/discussion-paper-1.pdf</w:t>
      </w:r>
      <w:r>
        <w:rPr>
          <w:sz w:val="20"/>
        </w:rPr>
        <w:t xml:space="preserve"> </w:t>
      </w:r>
    </w:p>
  </w:footnote>
  <w:footnote w:id="12">
    <w:p w14:paraId="6E4EEB81" w14:textId="77777777" w:rsidR="00334B74" w:rsidRDefault="001C07FD">
      <w:pPr>
        <w:pStyle w:val="footnotedescription"/>
        <w:spacing w:line="245" w:lineRule="auto"/>
      </w:pPr>
      <w:r>
        <w:rPr>
          <w:rStyle w:val="footnotemark"/>
        </w:rPr>
        <w:footnoteRef/>
      </w:r>
      <w:r>
        <w:t xml:space="preserve"> Carers Tasmania. (2025). Tasmanian results of the 2024 National Carer Survey. </w:t>
      </w:r>
      <w:r>
        <w:rPr>
          <w:color w:val="0563C1"/>
          <w:u w:val="single" w:color="0563C1"/>
        </w:rPr>
        <w:t>2024-National-Carer-SurveyTasmanian-Results-.pdf</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3235"/>
    <w:multiLevelType w:val="hybridMultilevel"/>
    <w:tmpl w:val="B0D09F5A"/>
    <w:lvl w:ilvl="0" w:tplc="A9A83D0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08DC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C6E8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8E50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9CAB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12B9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DCA3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8413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96C95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8D4BDC"/>
    <w:multiLevelType w:val="hybridMultilevel"/>
    <w:tmpl w:val="E9C6CE68"/>
    <w:lvl w:ilvl="0" w:tplc="06763BC8">
      <w:start w:val="1"/>
      <w:numFmt w:val="bullet"/>
      <w:lvlText w:val="•"/>
      <w:lvlJc w:val="left"/>
      <w:pPr>
        <w:ind w:left="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3067B0">
      <w:start w:val="1"/>
      <w:numFmt w:val="bullet"/>
      <w:lvlText w:val="o"/>
      <w:lvlJc w:val="left"/>
      <w:pPr>
        <w:ind w:left="1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62E55C">
      <w:start w:val="1"/>
      <w:numFmt w:val="bullet"/>
      <w:lvlText w:val="▪"/>
      <w:lvlJc w:val="left"/>
      <w:pPr>
        <w:ind w:left="2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D2C814">
      <w:start w:val="1"/>
      <w:numFmt w:val="bullet"/>
      <w:lvlText w:val="•"/>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A8920C">
      <w:start w:val="1"/>
      <w:numFmt w:val="bullet"/>
      <w:lvlText w:val="o"/>
      <w:lvlJc w:val="left"/>
      <w:pPr>
        <w:ind w:left="3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E231E6">
      <w:start w:val="1"/>
      <w:numFmt w:val="bullet"/>
      <w:lvlText w:val="▪"/>
      <w:lvlJc w:val="left"/>
      <w:pPr>
        <w:ind w:left="4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B277BE">
      <w:start w:val="1"/>
      <w:numFmt w:val="bullet"/>
      <w:lvlText w:val="•"/>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1C862A">
      <w:start w:val="1"/>
      <w:numFmt w:val="bullet"/>
      <w:lvlText w:val="o"/>
      <w:lvlJc w:val="left"/>
      <w:pPr>
        <w:ind w:left="5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52D732">
      <w:start w:val="1"/>
      <w:numFmt w:val="bullet"/>
      <w:lvlText w:val="▪"/>
      <w:lvlJc w:val="left"/>
      <w:pPr>
        <w:ind w:left="6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7D5BA2"/>
    <w:multiLevelType w:val="hybridMultilevel"/>
    <w:tmpl w:val="56F2E23A"/>
    <w:lvl w:ilvl="0" w:tplc="5E569C80">
      <w:start w:val="1"/>
      <w:numFmt w:val="decimal"/>
      <w:pStyle w:val="Heading1"/>
      <w:lvlText w:val="%1."/>
      <w:lvlJc w:val="left"/>
      <w:pPr>
        <w:ind w:left="0"/>
      </w:pPr>
      <w:rPr>
        <w:rFonts w:ascii="Arial" w:eastAsia="Arial" w:hAnsi="Arial" w:cs="Arial"/>
        <w:b w:val="0"/>
        <w:i w:val="0"/>
        <w:strike w:val="0"/>
        <w:dstrike w:val="0"/>
        <w:color w:val="CD545B"/>
        <w:sz w:val="28"/>
        <w:szCs w:val="28"/>
        <w:u w:val="none" w:color="000000"/>
        <w:bdr w:val="none" w:sz="0" w:space="0" w:color="auto"/>
        <w:shd w:val="clear" w:color="auto" w:fill="auto"/>
        <w:vertAlign w:val="baseline"/>
      </w:rPr>
    </w:lvl>
    <w:lvl w:ilvl="1" w:tplc="557E5C36">
      <w:start w:val="1"/>
      <w:numFmt w:val="lowerLetter"/>
      <w:lvlText w:val="%2"/>
      <w:lvlJc w:val="left"/>
      <w:pPr>
        <w:ind w:left="1080"/>
      </w:pPr>
      <w:rPr>
        <w:rFonts w:ascii="Arial" w:eastAsia="Arial" w:hAnsi="Arial" w:cs="Arial"/>
        <w:b w:val="0"/>
        <w:i w:val="0"/>
        <w:strike w:val="0"/>
        <w:dstrike w:val="0"/>
        <w:color w:val="CD545B"/>
        <w:sz w:val="28"/>
        <w:szCs w:val="28"/>
        <w:u w:val="none" w:color="000000"/>
        <w:bdr w:val="none" w:sz="0" w:space="0" w:color="auto"/>
        <w:shd w:val="clear" w:color="auto" w:fill="auto"/>
        <w:vertAlign w:val="baseline"/>
      </w:rPr>
    </w:lvl>
    <w:lvl w:ilvl="2" w:tplc="13FAAB16">
      <w:start w:val="1"/>
      <w:numFmt w:val="lowerRoman"/>
      <w:lvlText w:val="%3"/>
      <w:lvlJc w:val="left"/>
      <w:pPr>
        <w:ind w:left="1800"/>
      </w:pPr>
      <w:rPr>
        <w:rFonts w:ascii="Arial" w:eastAsia="Arial" w:hAnsi="Arial" w:cs="Arial"/>
        <w:b w:val="0"/>
        <w:i w:val="0"/>
        <w:strike w:val="0"/>
        <w:dstrike w:val="0"/>
        <w:color w:val="CD545B"/>
        <w:sz w:val="28"/>
        <w:szCs w:val="28"/>
        <w:u w:val="none" w:color="000000"/>
        <w:bdr w:val="none" w:sz="0" w:space="0" w:color="auto"/>
        <w:shd w:val="clear" w:color="auto" w:fill="auto"/>
        <w:vertAlign w:val="baseline"/>
      </w:rPr>
    </w:lvl>
    <w:lvl w:ilvl="3" w:tplc="F116945C">
      <w:start w:val="1"/>
      <w:numFmt w:val="decimal"/>
      <w:lvlText w:val="%4"/>
      <w:lvlJc w:val="left"/>
      <w:pPr>
        <w:ind w:left="2520"/>
      </w:pPr>
      <w:rPr>
        <w:rFonts w:ascii="Arial" w:eastAsia="Arial" w:hAnsi="Arial" w:cs="Arial"/>
        <w:b w:val="0"/>
        <w:i w:val="0"/>
        <w:strike w:val="0"/>
        <w:dstrike w:val="0"/>
        <w:color w:val="CD545B"/>
        <w:sz w:val="28"/>
        <w:szCs w:val="28"/>
        <w:u w:val="none" w:color="000000"/>
        <w:bdr w:val="none" w:sz="0" w:space="0" w:color="auto"/>
        <w:shd w:val="clear" w:color="auto" w:fill="auto"/>
        <w:vertAlign w:val="baseline"/>
      </w:rPr>
    </w:lvl>
    <w:lvl w:ilvl="4" w:tplc="25406F30">
      <w:start w:val="1"/>
      <w:numFmt w:val="lowerLetter"/>
      <w:lvlText w:val="%5"/>
      <w:lvlJc w:val="left"/>
      <w:pPr>
        <w:ind w:left="3240"/>
      </w:pPr>
      <w:rPr>
        <w:rFonts w:ascii="Arial" w:eastAsia="Arial" w:hAnsi="Arial" w:cs="Arial"/>
        <w:b w:val="0"/>
        <w:i w:val="0"/>
        <w:strike w:val="0"/>
        <w:dstrike w:val="0"/>
        <w:color w:val="CD545B"/>
        <w:sz w:val="28"/>
        <w:szCs w:val="28"/>
        <w:u w:val="none" w:color="000000"/>
        <w:bdr w:val="none" w:sz="0" w:space="0" w:color="auto"/>
        <w:shd w:val="clear" w:color="auto" w:fill="auto"/>
        <w:vertAlign w:val="baseline"/>
      </w:rPr>
    </w:lvl>
    <w:lvl w:ilvl="5" w:tplc="F70C2B28">
      <w:start w:val="1"/>
      <w:numFmt w:val="lowerRoman"/>
      <w:lvlText w:val="%6"/>
      <w:lvlJc w:val="left"/>
      <w:pPr>
        <w:ind w:left="3960"/>
      </w:pPr>
      <w:rPr>
        <w:rFonts w:ascii="Arial" w:eastAsia="Arial" w:hAnsi="Arial" w:cs="Arial"/>
        <w:b w:val="0"/>
        <w:i w:val="0"/>
        <w:strike w:val="0"/>
        <w:dstrike w:val="0"/>
        <w:color w:val="CD545B"/>
        <w:sz w:val="28"/>
        <w:szCs w:val="28"/>
        <w:u w:val="none" w:color="000000"/>
        <w:bdr w:val="none" w:sz="0" w:space="0" w:color="auto"/>
        <w:shd w:val="clear" w:color="auto" w:fill="auto"/>
        <w:vertAlign w:val="baseline"/>
      </w:rPr>
    </w:lvl>
    <w:lvl w:ilvl="6" w:tplc="11E27222">
      <w:start w:val="1"/>
      <w:numFmt w:val="decimal"/>
      <w:lvlText w:val="%7"/>
      <w:lvlJc w:val="left"/>
      <w:pPr>
        <w:ind w:left="4680"/>
      </w:pPr>
      <w:rPr>
        <w:rFonts w:ascii="Arial" w:eastAsia="Arial" w:hAnsi="Arial" w:cs="Arial"/>
        <w:b w:val="0"/>
        <w:i w:val="0"/>
        <w:strike w:val="0"/>
        <w:dstrike w:val="0"/>
        <w:color w:val="CD545B"/>
        <w:sz w:val="28"/>
        <w:szCs w:val="28"/>
        <w:u w:val="none" w:color="000000"/>
        <w:bdr w:val="none" w:sz="0" w:space="0" w:color="auto"/>
        <w:shd w:val="clear" w:color="auto" w:fill="auto"/>
        <w:vertAlign w:val="baseline"/>
      </w:rPr>
    </w:lvl>
    <w:lvl w:ilvl="7" w:tplc="F4666E62">
      <w:start w:val="1"/>
      <w:numFmt w:val="lowerLetter"/>
      <w:lvlText w:val="%8"/>
      <w:lvlJc w:val="left"/>
      <w:pPr>
        <w:ind w:left="5400"/>
      </w:pPr>
      <w:rPr>
        <w:rFonts w:ascii="Arial" w:eastAsia="Arial" w:hAnsi="Arial" w:cs="Arial"/>
        <w:b w:val="0"/>
        <w:i w:val="0"/>
        <w:strike w:val="0"/>
        <w:dstrike w:val="0"/>
        <w:color w:val="CD545B"/>
        <w:sz w:val="28"/>
        <w:szCs w:val="28"/>
        <w:u w:val="none" w:color="000000"/>
        <w:bdr w:val="none" w:sz="0" w:space="0" w:color="auto"/>
        <w:shd w:val="clear" w:color="auto" w:fill="auto"/>
        <w:vertAlign w:val="baseline"/>
      </w:rPr>
    </w:lvl>
    <w:lvl w:ilvl="8" w:tplc="30BE42DE">
      <w:start w:val="1"/>
      <w:numFmt w:val="lowerRoman"/>
      <w:lvlText w:val="%9"/>
      <w:lvlJc w:val="left"/>
      <w:pPr>
        <w:ind w:left="6120"/>
      </w:pPr>
      <w:rPr>
        <w:rFonts w:ascii="Arial" w:eastAsia="Arial" w:hAnsi="Arial" w:cs="Arial"/>
        <w:b w:val="0"/>
        <w:i w:val="0"/>
        <w:strike w:val="0"/>
        <w:dstrike w:val="0"/>
        <w:color w:val="CD545B"/>
        <w:sz w:val="28"/>
        <w:szCs w:val="28"/>
        <w:u w:val="none" w:color="000000"/>
        <w:bdr w:val="none" w:sz="0" w:space="0" w:color="auto"/>
        <w:shd w:val="clear" w:color="auto" w:fill="auto"/>
        <w:vertAlign w:val="baseline"/>
      </w:rPr>
    </w:lvl>
  </w:abstractNum>
  <w:abstractNum w:abstractNumId="3" w15:restartNumberingAfterBreak="0">
    <w:nsid w:val="20DE2B95"/>
    <w:multiLevelType w:val="hybridMultilevel"/>
    <w:tmpl w:val="4142E8AE"/>
    <w:lvl w:ilvl="0" w:tplc="FA7E4BE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6E364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A9CC9D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9C65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9C46D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6A8E9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72483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44FE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E6A23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5FD3B55"/>
    <w:multiLevelType w:val="hybridMultilevel"/>
    <w:tmpl w:val="C14864C8"/>
    <w:lvl w:ilvl="0" w:tplc="BC7EE66E">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8A292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5CB72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DAF45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280EC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A0264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E2E80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22174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82E0E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855462627">
    <w:abstractNumId w:val="0"/>
  </w:num>
  <w:num w:numId="2" w16cid:durableId="217403062">
    <w:abstractNumId w:val="1"/>
  </w:num>
  <w:num w:numId="3" w16cid:durableId="1348563426">
    <w:abstractNumId w:val="4"/>
  </w:num>
  <w:num w:numId="4" w16cid:durableId="564487866">
    <w:abstractNumId w:val="3"/>
  </w:num>
  <w:num w:numId="5" w16cid:durableId="243760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B74"/>
    <w:rsid w:val="001C07FD"/>
    <w:rsid w:val="00334B74"/>
    <w:rsid w:val="00601C27"/>
    <w:rsid w:val="00F66ECF"/>
    <w:rsid w:val="00FA6F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B3EA4"/>
  <w15:docId w15:val="{32E27490-FBC8-41AA-9DF4-9BDA3025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line="255"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numPr>
        <w:numId w:val="5"/>
      </w:numPr>
      <w:spacing w:after="112" w:line="259" w:lineRule="auto"/>
      <w:ind w:left="10" w:hanging="10"/>
      <w:outlineLvl w:val="0"/>
    </w:pPr>
    <w:rPr>
      <w:rFonts w:ascii="Arial" w:eastAsia="Arial" w:hAnsi="Arial" w:cs="Arial"/>
      <w:color w:val="CD545B"/>
      <w:sz w:val="28"/>
    </w:rPr>
  </w:style>
  <w:style w:type="paragraph" w:styleId="Heading2">
    <w:name w:val="heading 2"/>
    <w:next w:val="Normal"/>
    <w:link w:val="Heading2Char"/>
    <w:uiPriority w:val="9"/>
    <w:unhideWhenUsed/>
    <w:qFormat/>
    <w:pPr>
      <w:keepNext/>
      <w:keepLines/>
      <w:spacing w:after="118" w:line="259" w:lineRule="auto"/>
      <w:ind w:left="10" w:hanging="10"/>
      <w:outlineLvl w:val="1"/>
    </w:pPr>
    <w:rPr>
      <w:rFonts w:ascii="Arial" w:eastAsia="Arial" w:hAnsi="Arial" w:cs="Arial"/>
      <w:color w:val="2F549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2F5496"/>
      <w:sz w:val="26"/>
    </w:rPr>
  </w:style>
  <w:style w:type="character" w:customStyle="1" w:styleId="Heading1Char">
    <w:name w:val="Heading 1 Char"/>
    <w:link w:val="Heading1"/>
    <w:rPr>
      <w:rFonts w:ascii="Arial" w:eastAsia="Arial" w:hAnsi="Arial" w:cs="Arial"/>
      <w:color w:val="CD545B"/>
      <w:sz w:val="28"/>
    </w:rPr>
  </w:style>
  <w:style w:type="paragraph" w:customStyle="1" w:styleId="footnotedescription">
    <w:name w:val="footnote description"/>
    <w:next w:val="Normal"/>
    <w:link w:val="footnotedescriptionChar"/>
    <w:hidden/>
    <w:pPr>
      <w:spacing w:after="0" w:line="249" w:lineRule="auto"/>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paragraph" w:styleId="TOC1">
    <w:name w:val="toc 1"/>
    <w:hidden/>
    <w:pPr>
      <w:spacing w:after="112" w:line="255" w:lineRule="auto"/>
      <w:ind w:left="25" w:right="71" w:hanging="10"/>
    </w:pPr>
    <w:rPr>
      <w:rFonts w:ascii="Arial" w:eastAsia="Arial" w:hAnsi="Arial" w:cs="Arial"/>
      <w:color w:val="000000"/>
      <w:sz w:val="22"/>
    </w:rPr>
  </w:style>
  <w:style w:type="character" w:customStyle="1" w:styleId="footnotemark">
    <w:name w:val="footnote mark"/>
    <w:hidden/>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2275</Words>
  <Characters>12971</Characters>
  <Application>Microsoft Office Word</Application>
  <DocSecurity>4</DocSecurity>
  <Lines>108</Lines>
  <Paragraphs>30</Paragraphs>
  <ScaleCrop>false</ScaleCrop>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cp:lastModifiedBy>WEBB, Laura</cp:lastModifiedBy>
  <cp:revision>2</cp:revision>
  <dcterms:created xsi:type="dcterms:W3CDTF">2025-12-02T06:58:00Z</dcterms:created>
  <dcterms:modified xsi:type="dcterms:W3CDTF">2025-12-02T06:58:00Z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v=2024.1;a=SHA256;h=F299F9CB64FC3A5EAC5901D5644FDC51A377A190F556C3C1D21016BB1735D314</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2025-12-02T00:21:50Z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2025-12-02T00:21:50Z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c0e87db04974494ab2fb84e0d0452bf2</vt:lpwstr>
  </property>
  <property fmtid="{D5CDD505-2E9C-101B-9397-08002B2CF9AE}" pid="24" name="PM_Originator_Hash_SHA1">
    <vt:lpwstr>A695838720124A92C2B08AFA5EEDBB07A348141B</vt:lpwstr>
  </property>
  <property fmtid="{D5CDD505-2E9C-101B-9397-08002B2CF9AE}" pid="25" name="PM_Originating_FileId">
    <vt:lpwstr>A4B2CE85ED47420C9EA5E95053FCE633</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6D5EAEAC1BF775E84299D7797A4CC3ED</vt:lpwstr>
  </property>
  <property fmtid="{D5CDD505-2E9C-101B-9397-08002B2CF9AE}" pid="33" name="PM_Hash_Salt">
    <vt:lpwstr>5ADB1890E4B75FEC93BF740CBA450A1A</vt:lpwstr>
  </property>
  <property fmtid="{D5CDD505-2E9C-101B-9397-08002B2CF9AE}" pid="34" name="PM_Hash_SHA1">
    <vt:lpwstr>927859526C8E774CD5BB4BCD7F966B369696C96F</vt:lpwstr>
  </property>
</Properties>
</file>