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2445" w14:textId="762D7A84" w:rsidR="00663E78" w:rsidRPr="00663E78" w:rsidRDefault="00663E78" w:rsidP="00663E78">
      <w:pPr>
        <w:pStyle w:val="Heading1"/>
        <w:rPr>
          <w:rFonts w:cs="Times New Roman"/>
        </w:rPr>
      </w:pPr>
      <w:r w:rsidRPr="00663E78">
        <w:rPr>
          <w:rFonts w:cs="Times New Roman"/>
        </w:rPr>
        <w:t>NATIONAL REDRESS SCHEME EIGHTH ANNIVERSARY REVIEW</w:t>
      </w:r>
    </w:p>
    <w:p w14:paraId="745F4AE6" w14:textId="49C208C6" w:rsidR="00663E78" w:rsidRPr="00663E78" w:rsidRDefault="00663E78" w:rsidP="00663E78">
      <w:pPr>
        <w:pStyle w:val="Heading1"/>
        <w:rPr>
          <w:rFonts w:cs="Times New Roman"/>
        </w:rPr>
      </w:pPr>
      <w:r w:rsidRPr="00663E78">
        <w:rPr>
          <w:rFonts w:cs="Times New Roman"/>
        </w:rPr>
        <w:t>TERMS OF REFERENCE</w:t>
      </w:r>
    </w:p>
    <w:p w14:paraId="06C93F9C" w14:textId="77777777" w:rsidR="00663E78" w:rsidRPr="00663E78" w:rsidRDefault="00663E78" w:rsidP="00663E78">
      <w:pPr>
        <w:pStyle w:val="Heading2"/>
        <w:rPr>
          <w:rFonts w:cs="Times New Roman"/>
        </w:rPr>
      </w:pPr>
      <w:r w:rsidRPr="00663E78">
        <w:rPr>
          <w:rFonts w:cs="Times New Roman"/>
        </w:rPr>
        <w:t xml:space="preserve">Context </w:t>
      </w:r>
    </w:p>
    <w:p w14:paraId="719A066E" w14:textId="77777777" w:rsidR="00663E78" w:rsidRPr="00663E78" w:rsidRDefault="00663E78" w:rsidP="00663E78">
      <w:pPr>
        <w:rPr>
          <w:rFonts w:cs="Times New Roman"/>
        </w:rPr>
      </w:pPr>
      <w:r w:rsidRPr="00663E78">
        <w:rPr>
          <w:rFonts w:cs="Times New Roman"/>
        </w:rPr>
        <w:t xml:space="preserve">The National Redress Scheme (Scheme) was established in July 2018 in response to the recommendations of the Royal Commission into Institutional Responses to Child Sexual Abuse. The Scheme provides survivors with access to redress through three components: monetary payments, counselling and psychological care, and a direct personal response from responsible institutions. The Scheme is established by the </w:t>
      </w:r>
      <w:r w:rsidRPr="00663E78">
        <w:rPr>
          <w:rFonts w:cs="Times New Roman"/>
          <w:i/>
          <w:iCs/>
        </w:rPr>
        <w:t xml:space="preserve">National Redress Scheme for Institutional Child Sexual Abuse Act 2018 </w:t>
      </w:r>
      <w:r w:rsidRPr="00663E78">
        <w:rPr>
          <w:rFonts w:cs="Times New Roman"/>
        </w:rPr>
        <w:t xml:space="preserve">(the Act). </w:t>
      </w:r>
    </w:p>
    <w:p w14:paraId="3CF5A418" w14:textId="77777777" w:rsidR="00663E78" w:rsidRPr="00663E78" w:rsidRDefault="00663E78" w:rsidP="00663E78">
      <w:pPr>
        <w:rPr>
          <w:rFonts w:cs="Times New Roman"/>
        </w:rPr>
      </w:pPr>
      <w:r w:rsidRPr="00663E78">
        <w:rPr>
          <w:rFonts w:cs="Times New Roman"/>
        </w:rPr>
        <w:t xml:space="preserve">The Scheme is legislated to operate for ten years, concluding on 30 June 2028, and will close to new applications after 30 June 2027. There are two legislated reviews under the Act – one to commence as soon as possible after the second anniversary of Scheme commencement (1 July 2020) and one as soon as possible after the eighth anniversary (1 July 2026). The Second Anniversary Review was conducted between July 2020 and March 2021. </w:t>
      </w:r>
    </w:p>
    <w:p w14:paraId="36A5098E" w14:textId="77777777" w:rsidR="00663E78" w:rsidRPr="00663E78" w:rsidRDefault="00663E78" w:rsidP="00663E78">
      <w:pPr>
        <w:pStyle w:val="Heading2"/>
        <w:rPr>
          <w:rFonts w:cs="Times New Roman"/>
        </w:rPr>
      </w:pPr>
      <w:r w:rsidRPr="00663E78">
        <w:rPr>
          <w:rFonts w:cs="Times New Roman"/>
        </w:rPr>
        <w:t xml:space="preserve">Purpose and Scope </w:t>
      </w:r>
    </w:p>
    <w:p w14:paraId="746C6872" w14:textId="77777777" w:rsidR="00663E78" w:rsidRPr="00663E78" w:rsidRDefault="00663E78" w:rsidP="00663E78">
      <w:pPr>
        <w:rPr>
          <w:rFonts w:cs="Times New Roman"/>
        </w:rPr>
      </w:pPr>
      <w:r w:rsidRPr="00663E78">
        <w:rPr>
          <w:rFonts w:cs="Times New Roman"/>
        </w:rPr>
        <w:t xml:space="preserve">The Eighth Anniversary Review of the Scheme (Review) is an important mechanism to reflect on the Scheme’s operation, opportunities to improve outcomes for survivors, and lessons learned for future policy and system design. The Review will consider matters required under Section 192(2) of the Act, with a focus on assessing performance, survivor experience, and governance arrangements. Under section 192(4)(b) of the Act, the Review will also consider issues raised in previous evaluations and inquiries, including inquiries of the Joint Standing Committee on Implementation of the National Redress Scheme. Given the approaching statutory end date of the Scheme, the Review provides an opportunity to identify matters to guide its timely, safe and orderly conclusion. </w:t>
      </w:r>
    </w:p>
    <w:p w14:paraId="7DEFD1C6" w14:textId="77777777" w:rsidR="00663E78" w:rsidRPr="00663E78" w:rsidRDefault="00663E78" w:rsidP="00663E78">
      <w:pPr>
        <w:pStyle w:val="Heading2"/>
        <w:rPr>
          <w:rFonts w:cs="Times New Roman"/>
        </w:rPr>
      </w:pPr>
      <w:r w:rsidRPr="00663E78">
        <w:rPr>
          <w:rFonts w:cs="Times New Roman"/>
        </w:rPr>
        <w:t xml:space="preserve">Objectives of the Review </w:t>
      </w:r>
    </w:p>
    <w:p w14:paraId="744F9C93" w14:textId="77777777" w:rsidR="00663E78" w:rsidRPr="00663E78" w:rsidRDefault="00663E78" w:rsidP="00663E78">
      <w:pPr>
        <w:rPr>
          <w:rFonts w:cs="Times New Roman"/>
        </w:rPr>
      </w:pPr>
      <w:r w:rsidRPr="00663E78">
        <w:rPr>
          <w:rFonts w:cs="Times New Roman"/>
        </w:rPr>
        <w:t xml:space="preserve">The Review will: </w:t>
      </w:r>
    </w:p>
    <w:p w14:paraId="23A66E86" w14:textId="229B269D" w:rsidR="00663E78" w:rsidRPr="00663E78" w:rsidRDefault="00663E78" w:rsidP="00663E78">
      <w:pPr>
        <w:pStyle w:val="ListParagraph"/>
        <w:numPr>
          <w:ilvl w:val="0"/>
          <w:numId w:val="7"/>
        </w:numPr>
        <w:rPr>
          <w:rFonts w:cs="Times New Roman"/>
        </w:rPr>
      </w:pPr>
      <w:r w:rsidRPr="00663E78">
        <w:rPr>
          <w:rFonts w:cs="Times New Roman"/>
        </w:rPr>
        <w:t xml:space="preserve">assess Scheme performance and effectiveness – evaluate operational, financial, and governance arrangements, including how well the Scheme has met its objectives (including the extent to which it has achieved the objects of the Act) and supported survivors. </w:t>
      </w:r>
    </w:p>
    <w:p w14:paraId="42EADEC0" w14:textId="77777777" w:rsidR="00663E78" w:rsidRPr="00663E78" w:rsidRDefault="00663E78" w:rsidP="00663E78">
      <w:pPr>
        <w:pStyle w:val="ListParagraph"/>
        <w:numPr>
          <w:ilvl w:val="0"/>
          <w:numId w:val="7"/>
        </w:numPr>
        <w:rPr>
          <w:rFonts w:cs="Times New Roman"/>
        </w:rPr>
      </w:pPr>
      <w:r w:rsidRPr="00663E78">
        <w:rPr>
          <w:rFonts w:cs="Times New Roman"/>
        </w:rPr>
        <w:t xml:space="preserve">consider survivor experience and accessibility – examine fairness, accessibility, and outcomes for survivors, and identify lessons to strengthen survivor-informed approaches in future policy and service design. </w:t>
      </w:r>
    </w:p>
    <w:p w14:paraId="47703DF2" w14:textId="77777777" w:rsidR="00663E78" w:rsidRPr="00663E78" w:rsidRDefault="00663E78" w:rsidP="00663E78">
      <w:pPr>
        <w:pStyle w:val="ListParagraph"/>
        <w:numPr>
          <w:ilvl w:val="0"/>
          <w:numId w:val="7"/>
        </w:numPr>
        <w:rPr>
          <w:rFonts w:cs="Times New Roman"/>
        </w:rPr>
      </w:pPr>
      <w:r w:rsidRPr="00663E78">
        <w:rPr>
          <w:rFonts w:cs="Times New Roman"/>
        </w:rPr>
        <w:lastRenderedPageBreak/>
        <w:t xml:space="preserve">review institutional and jurisdictional participation – assess engagement and obligations of participating institutions and </w:t>
      </w:r>
      <w:proofErr w:type="gramStart"/>
      <w:r w:rsidRPr="00663E78">
        <w:rPr>
          <w:rFonts w:cs="Times New Roman"/>
        </w:rPr>
        <w:t>governments, and</w:t>
      </w:r>
      <w:proofErr w:type="gramEnd"/>
      <w:r w:rsidRPr="00663E78">
        <w:rPr>
          <w:rFonts w:cs="Times New Roman"/>
        </w:rPr>
        <w:t xml:space="preserve"> explore implications for broader system design and accountability. </w:t>
      </w:r>
    </w:p>
    <w:p w14:paraId="380550B8" w14:textId="77777777" w:rsidR="00663E78" w:rsidRPr="00663E78" w:rsidRDefault="00663E78" w:rsidP="00663E78">
      <w:pPr>
        <w:pStyle w:val="ListParagraph"/>
        <w:numPr>
          <w:ilvl w:val="0"/>
          <w:numId w:val="7"/>
        </w:numPr>
        <w:rPr>
          <w:rFonts w:cs="Times New Roman"/>
        </w:rPr>
      </w:pPr>
      <w:r w:rsidRPr="00663E78">
        <w:rPr>
          <w:rFonts w:cs="Times New Roman"/>
        </w:rPr>
        <w:t xml:space="preserve">examine legislative, policy, and operational frameworks – identify changes that could improve Scheme operations. </w:t>
      </w:r>
    </w:p>
    <w:p w14:paraId="3EF67A96" w14:textId="77777777" w:rsidR="00663E78" w:rsidRPr="00663E78" w:rsidRDefault="00663E78" w:rsidP="00663E78">
      <w:pPr>
        <w:pStyle w:val="ListParagraph"/>
        <w:numPr>
          <w:ilvl w:val="0"/>
          <w:numId w:val="7"/>
        </w:numPr>
        <w:rPr>
          <w:rFonts w:cs="Times New Roman"/>
        </w:rPr>
      </w:pPr>
      <w:r w:rsidRPr="00663E78">
        <w:rPr>
          <w:rFonts w:cs="Times New Roman"/>
        </w:rPr>
        <w:t xml:space="preserve">provide insights to inform strategic considerations for the effective and efficient closure of the Scheme. </w:t>
      </w:r>
    </w:p>
    <w:p w14:paraId="10C99ADF" w14:textId="77777777" w:rsidR="00663E78" w:rsidRPr="00663E78" w:rsidRDefault="00663E78" w:rsidP="00663E78">
      <w:pPr>
        <w:pStyle w:val="ListParagraph"/>
        <w:numPr>
          <w:ilvl w:val="0"/>
          <w:numId w:val="7"/>
        </w:numPr>
        <w:rPr>
          <w:rFonts w:cs="Times New Roman"/>
        </w:rPr>
      </w:pPr>
      <w:r w:rsidRPr="00663E78">
        <w:rPr>
          <w:rFonts w:cs="Times New Roman"/>
        </w:rPr>
        <w:t xml:space="preserve">be informed by inquiries against the matters in section 192(2) of the Act. </w:t>
      </w:r>
    </w:p>
    <w:p w14:paraId="3E4A9D57" w14:textId="287F3D56" w:rsidR="00663E78" w:rsidRPr="00A07696" w:rsidRDefault="00663E78" w:rsidP="00663E78">
      <w:pPr>
        <w:pStyle w:val="ListParagraph"/>
        <w:numPr>
          <w:ilvl w:val="0"/>
          <w:numId w:val="7"/>
        </w:numPr>
        <w:rPr>
          <w:rFonts w:cs="Times New Roman"/>
        </w:rPr>
      </w:pPr>
      <w:r w:rsidRPr="00663E78">
        <w:rPr>
          <w:rFonts w:cs="Times New Roman"/>
        </w:rPr>
        <w:t xml:space="preserve">under section 192(4) of the Act, also consider ‘the results of any other review or evaluation conducted in relation to the operation of the Scheme’. </w:t>
      </w:r>
    </w:p>
    <w:p w14:paraId="4F82F43D" w14:textId="77777777" w:rsidR="00663E78" w:rsidRPr="00663E78" w:rsidRDefault="00663E78" w:rsidP="00663E78">
      <w:pPr>
        <w:pStyle w:val="Heading2"/>
        <w:rPr>
          <w:rFonts w:cs="Times New Roman"/>
        </w:rPr>
      </w:pPr>
      <w:r w:rsidRPr="00663E78">
        <w:rPr>
          <w:rFonts w:cs="Times New Roman"/>
        </w:rPr>
        <w:t xml:space="preserve">Expected Outcomes </w:t>
      </w:r>
    </w:p>
    <w:p w14:paraId="6DE095A2" w14:textId="77777777" w:rsidR="00663E78" w:rsidRPr="00663E78" w:rsidRDefault="00663E78" w:rsidP="00663E78">
      <w:pPr>
        <w:rPr>
          <w:rFonts w:cs="Times New Roman"/>
        </w:rPr>
      </w:pPr>
      <w:r w:rsidRPr="00663E78">
        <w:rPr>
          <w:rFonts w:cs="Times New Roman"/>
        </w:rPr>
        <w:t xml:space="preserve">The Review will deliver a comprehensive assessment of the Scheme’s performance and identify lessons to strengthen survivor-focused policy and service design. It will provide actionable insights on governance, legislative and operational frameworks, and institutional participation, offering lessons learned from operation of the Scheme that could inform future work and system improvements. </w:t>
      </w:r>
    </w:p>
    <w:p w14:paraId="5BD96102" w14:textId="77777777" w:rsidR="00663E78" w:rsidRPr="00663E78" w:rsidRDefault="00663E78" w:rsidP="00663E78">
      <w:pPr>
        <w:pStyle w:val="Heading2"/>
        <w:rPr>
          <w:rFonts w:cs="Times New Roman"/>
        </w:rPr>
      </w:pPr>
      <w:r w:rsidRPr="00663E78">
        <w:rPr>
          <w:rFonts w:cs="Times New Roman"/>
        </w:rPr>
        <w:t xml:space="preserve">Methodology </w:t>
      </w:r>
    </w:p>
    <w:p w14:paraId="3D6B7EFD" w14:textId="77777777" w:rsidR="00663E78" w:rsidRPr="00663E78" w:rsidRDefault="00663E78" w:rsidP="00663E78">
      <w:pPr>
        <w:rPr>
          <w:rFonts w:cs="Times New Roman"/>
        </w:rPr>
      </w:pPr>
      <w:r w:rsidRPr="00663E78">
        <w:rPr>
          <w:rFonts w:cs="Times New Roman"/>
        </w:rPr>
        <w:t xml:space="preserve">The Review will: </w:t>
      </w:r>
    </w:p>
    <w:p w14:paraId="5FF39403" w14:textId="77777777" w:rsidR="00663E78" w:rsidRPr="00663E78" w:rsidRDefault="00663E78" w:rsidP="00663E78">
      <w:pPr>
        <w:pStyle w:val="ListParagraph"/>
        <w:numPr>
          <w:ilvl w:val="0"/>
          <w:numId w:val="8"/>
        </w:numPr>
        <w:rPr>
          <w:rFonts w:cs="Times New Roman"/>
        </w:rPr>
      </w:pPr>
      <w:r w:rsidRPr="00663E78">
        <w:rPr>
          <w:rFonts w:cs="Times New Roman"/>
        </w:rPr>
        <w:t xml:space="preserve">undertake analysis of existing Scheme data, operations and financial forecasts. </w:t>
      </w:r>
    </w:p>
    <w:p w14:paraId="1E822AB5" w14:textId="77777777" w:rsidR="00663E78" w:rsidRPr="00663E78" w:rsidRDefault="00663E78" w:rsidP="00663E78">
      <w:pPr>
        <w:pStyle w:val="ListParagraph"/>
        <w:numPr>
          <w:ilvl w:val="0"/>
          <w:numId w:val="8"/>
        </w:numPr>
        <w:rPr>
          <w:rFonts w:cs="Times New Roman"/>
        </w:rPr>
      </w:pPr>
      <w:r w:rsidRPr="00663E78">
        <w:rPr>
          <w:rFonts w:cs="Times New Roman"/>
        </w:rPr>
        <w:t xml:space="preserve">consult with survivors and survivor advocacy groups to ensure their perspectives inform design and decision-making. </w:t>
      </w:r>
    </w:p>
    <w:p w14:paraId="02AD1FA6" w14:textId="77777777" w:rsidR="00663E78" w:rsidRPr="00663E78" w:rsidRDefault="00663E78" w:rsidP="00663E78">
      <w:pPr>
        <w:pStyle w:val="ListParagraph"/>
        <w:numPr>
          <w:ilvl w:val="0"/>
          <w:numId w:val="8"/>
        </w:numPr>
        <w:rPr>
          <w:rFonts w:cs="Times New Roman"/>
        </w:rPr>
      </w:pPr>
      <w:r w:rsidRPr="00663E78">
        <w:rPr>
          <w:rFonts w:cs="Times New Roman"/>
        </w:rPr>
        <w:t xml:space="preserve">engage with participating institutions, jurisdictions and delivery partners. </w:t>
      </w:r>
    </w:p>
    <w:p w14:paraId="46A3D821" w14:textId="77777777" w:rsidR="00663E78" w:rsidRPr="00663E78" w:rsidRDefault="00663E78" w:rsidP="00663E78">
      <w:pPr>
        <w:pStyle w:val="ListParagraph"/>
        <w:numPr>
          <w:ilvl w:val="0"/>
          <w:numId w:val="8"/>
        </w:numPr>
        <w:rPr>
          <w:rFonts w:cs="Times New Roman"/>
        </w:rPr>
      </w:pPr>
      <w:r w:rsidRPr="00663E78">
        <w:rPr>
          <w:rFonts w:cs="Times New Roman"/>
        </w:rPr>
        <w:t xml:space="preserve">review relevant legislative, policy and operational documentation. </w:t>
      </w:r>
    </w:p>
    <w:p w14:paraId="2A3560F1" w14:textId="1F1D15C6" w:rsidR="00663E78" w:rsidRPr="00A07696" w:rsidRDefault="00663E78" w:rsidP="00663E78">
      <w:pPr>
        <w:pStyle w:val="ListParagraph"/>
        <w:numPr>
          <w:ilvl w:val="0"/>
          <w:numId w:val="8"/>
        </w:numPr>
        <w:rPr>
          <w:rFonts w:cs="Times New Roman"/>
        </w:rPr>
      </w:pPr>
      <w:r w:rsidRPr="00663E78">
        <w:rPr>
          <w:rFonts w:cs="Times New Roman"/>
        </w:rPr>
        <w:t xml:space="preserve">examine international and domestic examples of trauma-related or redress schemes to identify best practices, challenges, and lessons learned for program design and delivery. </w:t>
      </w:r>
    </w:p>
    <w:p w14:paraId="5CD4C974" w14:textId="77777777" w:rsidR="00663E78" w:rsidRPr="00663E78" w:rsidRDefault="00663E78" w:rsidP="00663E78">
      <w:pPr>
        <w:rPr>
          <w:rFonts w:cs="Times New Roman"/>
        </w:rPr>
      </w:pPr>
      <w:r w:rsidRPr="00663E78">
        <w:rPr>
          <w:rFonts w:cs="Times New Roman"/>
        </w:rPr>
        <w:t xml:space="preserve">To support stakeholder engagement and contribution to the Review, the Department will utilise the following forums and services: </w:t>
      </w:r>
    </w:p>
    <w:p w14:paraId="3A64E8B5" w14:textId="4839DA1B" w:rsidR="00663E78" w:rsidRPr="00663E78" w:rsidRDefault="00663E78" w:rsidP="00663E78">
      <w:pPr>
        <w:numPr>
          <w:ilvl w:val="0"/>
          <w:numId w:val="9"/>
        </w:numPr>
        <w:rPr>
          <w:rFonts w:cs="Times New Roman"/>
        </w:rPr>
      </w:pPr>
      <w:r w:rsidRPr="00663E78">
        <w:rPr>
          <w:rFonts w:cs="Times New Roman"/>
        </w:rPr>
        <w:t xml:space="preserve">Survivor Roundtable </w:t>
      </w:r>
    </w:p>
    <w:p w14:paraId="4C402FFC" w14:textId="77777777" w:rsidR="00663E78" w:rsidRPr="00663E78" w:rsidRDefault="00663E78" w:rsidP="00663E78">
      <w:pPr>
        <w:numPr>
          <w:ilvl w:val="0"/>
          <w:numId w:val="9"/>
        </w:numPr>
        <w:rPr>
          <w:rFonts w:cs="Times New Roman"/>
        </w:rPr>
      </w:pPr>
      <w:r w:rsidRPr="00663E78">
        <w:rPr>
          <w:rFonts w:cs="Times New Roman"/>
        </w:rPr>
        <w:t xml:space="preserve">Redress Scheme Committee </w:t>
      </w:r>
    </w:p>
    <w:p w14:paraId="527A10E9" w14:textId="48368DF5" w:rsidR="00663E78" w:rsidRPr="00A07696" w:rsidRDefault="00663E78" w:rsidP="00663E78">
      <w:pPr>
        <w:numPr>
          <w:ilvl w:val="0"/>
          <w:numId w:val="9"/>
        </w:numPr>
        <w:rPr>
          <w:rFonts w:cs="Times New Roman"/>
        </w:rPr>
      </w:pPr>
      <w:r w:rsidRPr="00663E78">
        <w:rPr>
          <w:rFonts w:cs="Times New Roman"/>
        </w:rPr>
        <w:t xml:space="preserve">Redress Support Services and </w:t>
      </w:r>
      <w:proofErr w:type="spellStart"/>
      <w:r w:rsidRPr="00663E78">
        <w:rPr>
          <w:rFonts w:cs="Times New Roman"/>
        </w:rPr>
        <w:t>Knowmore</w:t>
      </w:r>
      <w:proofErr w:type="spellEnd"/>
      <w:r w:rsidRPr="00663E78">
        <w:rPr>
          <w:rFonts w:cs="Times New Roman"/>
        </w:rPr>
        <w:t xml:space="preserve"> Legal Services </w:t>
      </w:r>
    </w:p>
    <w:p w14:paraId="2FE7A3EC" w14:textId="77777777" w:rsidR="00663E78" w:rsidRPr="00663E78" w:rsidRDefault="00663E78" w:rsidP="00663E78">
      <w:pPr>
        <w:rPr>
          <w:rFonts w:cs="Times New Roman"/>
        </w:rPr>
      </w:pPr>
      <w:r w:rsidRPr="00663E78">
        <w:rPr>
          <w:rFonts w:cs="Times New Roman"/>
        </w:rPr>
        <w:t xml:space="preserve">Engagement through these forums and services will ensure critical stakeholders can provide input to the Review. </w:t>
      </w:r>
    </w:p>
    <w:p w14:paraId="64885013" w14:textId="77777777" w:rsidR="00663E78" w:rsidRPr="00663E78" w:rsidRDefault="00663E78" w:rsidP="00663E78">
      <w:pPr>
        <w:rPr>
          <w:rFonts w:cs="Times New Roman"/>
        </w:rPr>
      </w:pPr>
      <w:r w:rsidRPr="00663E78">
        <w:rPr>
          <w:rFonts w:cs="Times New Roman"/>
        </w:rPr>
        <w:t xml:space="preserve">The Review will also consider mechanisms to provide a platform for survivors, institutions, community and advisory groups to provide their insights, experiences and opinions. This </w:t>
      </w:r>
      <w:r w:rsidRPr="00663E78">
        <w:rPr>
          <w:rFonts w:cs="Times New Roman"/>
        </w:rPr>
        <w:lastRenderedPageBreak/>
        <w:t xml:space="preserve">consultation, combined with a review of complaints and feedback and the results from Survivor Surveys, will inform the Review. </w:t>
      </w:r>
    </w:p>
    <w:p w14:paraId="5C74E3B5" w14:textId="77777777" w:rsidR="00663E78" w:rsidRPr="00663E78" w:rsidRDefault="00663E78" w:rsidP="00663E78">
      <w:pPr>
        <w:pStyle w:val="Heading2"/>
        <w:rPr>
          <w:rFonts w:cs="Times New Roman"/>
        </w:rPr>
      </w:pPr>
      <w:r w:rsidRPr="00663E78">
        <w:rPr>
          <w:rFonts w:cs="Times New Roman"/>
        </w:rPr>
        <w:t xml:space="preserve">Governance and Reporting </w:t>
      </w:r>
    </w:p>
    <w:p w14:paraId="0B508BCC" w14:textId="77777777" w:rsidR="00663E78" w:rsidRPr="00663E78" w:rsidRDefault="00663E78" w:rsidP="00663E78">
      <w:pPr>
        <w:rPr>
          <w:rFonts w:cs="Times New Roman"/>
        </w:rPr>
      </w:pPr>
      <w:r w:rsidRPr="00663E78">
        <w:rPr>
          <w:rFonts w:cs="Times New Roman"/>
        </w:rPr>
        <w:t xml:space="preserve">The Review will be led by a Reviewer supported by a Secretariat within the Department of Social Services. The statutory requirement is that the Review commence on or from 1 July 2026; to progress the work as quickly as possible stakeholder consultations and other preparatory work will commence in the weeks leading up to that date. </w:t>
      </w:r>
    </w:p>
    <w:p w14:paraId="3433C33C" w14:textId="2C0FB9F2" w:rsidR="001D0D26" w:rsidRPr="00663E78" w:rsidRDefault="00663E78" w:rsidP="00663E78">
      <w:pPr>
        <w:rPr>
          <w:rFonts w:cs="Times New Roman"/>
        </w:rPr>
      </w:pPr>
      <w:r w:rsidRPr="00663E78">
        <w:rPr>
          <w:rFonts w:cs="Times New Roman"/>
        </w:rPr>
        <w:t>The Reviewer will deliver a report to the Minister for Social Services and Scheme Operator by November 2026.</w:t>
      </w:r>
    </w:p>
    <w:sectPr w:rsidR="001D0D26" w:rsidRPr="00663E7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1EC9" w14:textId="77777777" w:rsidR="00537B80" w:rsidRDefault="00537B80" w:rsidP="00A07696">
      <w:pPr>
        <w:spacing w:after="0" w:line="240" w:lineRule="auto"/>
      </w:pPr>
      <w:r>
        <w:separator/>
      </w:r>
    </w:p>
  </w:endnote>
  <w:endnote w:type="continuationSeparator" w:id="0">
    <w:p w14:paraId="76C4F75A" w14:textId="77777777" w:rsidR="00537B80" w:rsidRDefault="00537B80" w:rsidP="00A0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147475"/>
      <w:docPartObj>
        <w:docPartGallery w:val="Page Numbers (Bottom of Page)"/>
        <w:docPartUnique/>
      </w:docPartObj>
    </w:sdtPr>
    <w:sdtContent>
      <w:sdt>
        <w:sdtPr>
          <w:id w:val="-1769616900"/>
          <w:docPartObj>
            <w:docPartGallery w:val="Page Numbers (Top of Page)"/>
            <w:docPartUnique/>
          </w:docPartObj>
        </w:sdtPr>
        <w:sdtContent>
          <w:p w14:paraId="086125A8" w14:textId="7695624D" w:rsidR="00A07696" w:rsidRDefault="00A0769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BC8588" w14:textId="77777777" w:rsidR="00A07696" w:rsidRDefault="00A0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1988" w14:textId="77777777" w:rsidR="00537B80" w:rsidRDefault="00537B80" w:rsidP="00A07696">
      <w:pPr>
        <w:spacing w:after="0" w:line="240" w:lineRule="auto"/>
      </w:pPr>
      <w:r>
        <w:separator/>
      </w:r>
    </w:p>
  </w:footnote>
  <w:footnote w:type="continuationSeparator" w:id="0">
    <w:p w14:paraId="52304201" w14:textId="77777777" w:rsidR="00537B80" w:rsidRDefault="00537B80" w:rsidP="00A07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D9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BA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4D19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AA6D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724B38"/>
    <w:multiLevelType w:val="hybridMultilevel"/>
    <w:tmpl w:val="A92A6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330BBC"/>
    <w:multiLevelType w:val="hybridMultilevel"/>
    <w:tmpl w:val="D1C89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E816DE"/>
    <w:multiLevelType w:val="hybridMultilevel"/>
    <w:tmpl w:val="12F23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D95B86"/>
    <w:multiLevelType w:val="hybridMultilevel"/>
    <w:tmpl w:val="E01A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6F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6734071">
    <w:abstractNumId w:val="3"/>
  </w:num>
  <w:num w:numId="2" w16cid:durableId="1390034414">
    <w:abstractNumId w:val="1"/>
  </w:num>
  <w:num w:numId="3" w16cid:durableId="318190985">
    <w:abstractNumId w:val="8"/>
  </w:num>
  <w:num w:numId="4" w16cid:durableId="203375765">
    <w:abstractNumId w:val="2"/>
  </w:num>
  <w:num w:numId="5" w16cid:durableId="1528059610">
    <w:abstractNumId w:val="0"/>
  </w:num>
  <w:num w:numId="6" w16cid:durableId="1361935929">
    <w:abstractNumId w:val="5"/>
  </w:num>
  <w:num w:numId="7" w16cid:durableId="1561941755">
    <w:abstractNumId w:val="4"/>
  </w:num>
  <w:num w:numId="8" w16cid:durableId="1078863723">
    <w:abstractNumId w:val="7"/>
  </w:num>
  <w:num w:numId="9" w16cid:durableId="636763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78"/>
    <w:rsid w:val="0001231E"/>
    <w:rsid w:val="001D0D26"/>
    <w:rsid w:val="00537B80"/>
    <w:rsid w:val="00663E78"/>
    <w:rsid w:val="006D5CD8"/>
    <w:rsid w:val="00A07696"/>
    <w:rsid w:val="00CA7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D445"/>
  <w15:chartTrackingRefBased/>
  <w15:docId w15:val="{FA2B192D-40B7-42F7-9287-266B2845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96"/>
    <w:rPr>
      <w:rFonts w:ascii="Times New Roman" w:hAnsi="Times New Roman"/>
    </w:rPr>
  </w:style>
  <w:style w:type="paragraph" w:styleId="Heading1">
    <w:name w:val="heading 1"/>
    <w:basedOn w:val="Normal"/>
    <w:next w:val="Normal"/>
    <w:link w:val="Heading1Char"/>
    <w:uiPriority w:val="9"/>
    <w:qFormat/>
    <w:rsid w:val="00A07696"/>
    <w:pPr>
      <w:jc w:val="center"/>
      <w:outlineLvl w:val="0"/>
    </w:pPr>
    <w:rPr>
      <w:b/>
      <w:bCs/>
      <w:sz w:val="28"/>
    </w:rPr>
  </w:style>
  <w:style w:type="paragraph" w:styleId="Heading2">
    <w:name w:val="heading 2"/>
    <w:basedOn w:val="Normal"/>
    <w:next w:val="Normal"/>
    <w:link w:val="Heading2Char"/>
    <w:uiPriority w:val="9"/>
    <w:unhideWhenUsed/>
    <w:qFormat/>
    <w:rsid w:val="00A07696"/>
    <w:pPr>
      <w:spacing w:before="480" w:after="240"/>
      <w:outlineLvl w:val="1"/>
    </w:pPr>
    <w:rPr>
      <w:b/>
      <w:bCs/>
    </w:rPr>
  </w:style>
  <w:style w:type="paragraph" w:styleId="Heading3">
    <w:name w:val="heading 3"/>
    <w:basedOn w:val="Normal"/>
    <w:next w:val="Normal"/>
    <w:link w:val="Heading3Char"/>
    <w:uiPriority w:val="9"/>
    <w:semiHidden/>
    <w:unhideWhenUsed/>
    <w:qFormat/>
    <w:rsid w:val="00663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96"/>
    <w:rPr>
      <w:rFonts w:ascii="Times New Roman" w:hAnsi="Times New Roman"/>
      <w:b/>
      <w:bCs/>
      <w:sz w:val="28"/>
    </w:rPr>
  </w:style>
  <w:style w:type="character" w:customStyle="1" w:styleId="Heading2Char">
    <w:name w:val="Heading 2 Char"/>
    <w:basedOn w:val="DefaultParagraphFont"/>
    <w:link w:val="Heading2"/>
    <w:uiPriority w:val="9"/>
    <w:rsid w:val="00A07696"/>
    <w:rPr>
      <w:rFonts w:ascii="Times New Roman" w:hAnsi="Times New Roman"/>
      <w:b/>
      <w:bCs/>
    </w:rPr>
  </w:style>
  <w:style w:type="character" w:customStyle="1" w:styleId="Heading3Char">
    <w:name w:val="Heading 3 Char"/>
    <w:basedOn w:val="DefaultParagraphFont"/>
    <w:link w:val="Heading3"/>
    <w:uiPriority w:val="9"/>
    <w:semiHidden/>
    <w:rsid w:val="00663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78"/>
    <w:rPr>
      <w:rFonts w:eastAsiaTheme="majorEastAsia" w:cstheme="majorBidi"/>
      <w:color w:val="272727" w:themeColor="text1" w:themeTint="D8"/>
    </w:rPr>
  </w:style>
  <w:style w:type="paragraph" w:styleId="Title">
    <w:name w:val="Title"/>
    <w:basedOn w:val="Normal"/>
    <w:next w:val="Normal"/>
    <w:link w:val="TitleChar"/>
    <w:uiPriority w:val="10"/>
    <w:qFormat/>
    <w:rsid w:val="0066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78"/>
    <w:pPr>
      <w:spacing w:before="160"/>
      <w:jc w:val="center"/>
    </w:pPr>
    <w:rPr>
      <w:i/>
      <w:iCs/>
      <w:color w:val="404040" w:themeColor="text1" w:themeTint="BF"/>
    </w:rPr>
  </w:style>
  <w:style w:type="character" w:customStyle="1" w:styleId="QuoteChar">
    <w:name w:val="Quote Char"/>
    <w:basedOn w:val="DefaultParagraphFont"/>
    <w:link w:val="Quote"/>
    <w:uiPriority w:val="29"/>
    <w:rsid w:val="00663E78"/>
    <w:rPr>
      <w:i/>
      <w:iCs/>
      <w:color w:val="404040" w:themeColor="text1" w:themeTint="BF"/>
    </w:rPr>
  </w:style>
  <w:style w:type="paragraph" w:styleId="ListParagraph">
    <w:name w:val="List Paragraph"/>
    <w:basedOn w:val="Normal"/>
    <w:uiPriority w:val="34"/>
    <w:qFormat/>
    <w:rsid w:val="00663E78"/>
    <w:pPr>
      <w:ind w:left="720"/>
      <w:contextualSpacing/>
    </w:pPr>
  </w:style>
  <w:style w:type="character" w:styleId="IntenseEmphasis">
    <w:name w:val="Intense Emphasis"/>
    <w:basedOn w:val="DefaultParagraphFont"/>
    <w:uiPriority w:val="21"/>
    <w:qFormat/>
    <w:rsid w:val="00663E78"/>
    <w:rPr>
      <w:i/>
      <w:iCs/>
      <w:color w:val="0F4761" w:themeColor="accent1" w:themeShade="BF"/>
    </w:rPr>
  </w:style>
  <w:style w:type="paragraph" w:styleId="IntenseQuote">
    <w:name w:val="Intense Quote"/>
    <w:basedOn w:val="Normal"/>
    <w:next w:val="Normal"/>
    <w:link w:val="IntenseQuoteChar"/>
    <w:uiPriority w:val="30"/>
    <w:qFormat/>
    <w:rsid w:val="00663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E78"/>
    <w:rPr>
      <w:i/>
      <w:iCs/>
      <w:color w:val="0F4761" w:themeColor="accent1" w:themeShade="BF"/>
    </w:rPr>
  </w:style>
  <w:style w:type="character" w:styleId="IntenseReference">
    <w:name w:val="Intense Reference"/>
    <w:basedOn w:val="DefaultParagraphFont"/>
    <w:uiPriority w:val="32"/>
    <w:qFormat/>
    <w:rsid w:val="00663E78"/>
    <w:rPr>
      <w:b/>
      <w:bCs/>
      <w:smallCaps/>
      <w:color w:val="0F4761" w:themeColor="accent1" w:themeShade="BF"/>
      <w:spacing w:val="5"/>
    </w:rPr>
  </w:style>
  <w:style w:type="paragraph" w:styleId="Header">
    <w:name w:val="header"/>
    <w:basedOn w:val="Normal"/>
    <w:link w:val="HeaderChar"/>
    <w:uiPriority w:val="99"/>
    <w:unhideWhenUsed/>
    <w:rsid w:val="00A0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696"/>
    <w:rPr>
      <w:rFonts w:ascii="Times New Roman" w:hAnsi="Times New Roman"/>
    </w:rPr>
  </w:style>
  <w:style w:type="paragraph" w:styleId="Footer">
    <w:name w:val="footer"/>
    <w:basedOn w:val="Normal"/>
    <w:link w:val="FooterChar"/>
    <w:uiPriority w:val="99"/>
    <w:unhideWhenUsed/>
    <w:rsid w:val="00A0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69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713</Words>
  <Characters>4310</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Review Terms of Reference</dc:title>
  <dc:subject/>
  <dc:creator>MILLER, Vicky</dc:creator>
  <cp:keywords>[SEC=OFFICIAL]</cp:keywords>
  <dc:description/>
  <cp:lastModifiedBy>MILLER, Vicky</cp:lastModifiedBy>
  <cp:revision>2</cp:revision>
  <dcterms:created xsi:type="dcterms:W3CDTF">2026-06-24T03:04:00Z</dcterms:created>
  <dcterms:modified xsi:type="dcterms:W3CDTF">2026-06-24T03:12:00Z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v=2024.1;a=SHA256;h=3BE2AF79A786B1986ECE1EBF551F4E0585C9337429888B3745CDB5A3A4A9AE65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2026-06-24T03:08:14Z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2026-06-24T03:08:14Z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bfa56259e57a49d29ba04b41c8467a5c</vt:lpwstr>
  </property>
  <property fmtid="{D5CDD505-2E9C-101B-9397-08002B2CF9AE}" pid="24" name="PM_Originator_Hash_SHA1">
    <vt:lpwstr>0DD8ABEF265912D6621FF293CF3D7CFABEC45F40</vt:lpwstr>
  </property>
  <property fmtid="{D5CDD505-2E9C-101B-9397-08002B2CF9AE}" pid="25" name="PM_Originating_FileId">
    <vt:lpwstr>A0CD67B99443489286AB75CF4EDED478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9871F6CFFBF84B5DD096BCB24488EABDE9250CEAA716568F68B24D42DED533FD</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5ED9A273EF30059843D37F3DD94A49FC</vt:lpwstr>
  </property>
  <property fmtid="{D5CDD505-2E9C-101B-9397-08002B2CF9AE}" pid="33" name="PM_Hash_Salt">
    <vt:lpwstr>F0CAE7E9C428067F045BDB46FB8FBD5E</vt:lpwstr>
  </property>
  <property fmtid="{D5CDD505-2E9C-101B-9397-08002B2CF9AE}" pid="34" name="PM_Hash_SHA1">
    <vt:lpwstr>F7AFBE28C6D5E52EA5CE91A132697DC80E8E0280</vt:lpwstr>
  </property>
</Properties>
</file>