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A7BB" w14:textId="77777777" w:rsidR="001D0F6D" w:rsidRDefault="000E29D7" w:rsidP="00B971D1">
      <w:pPr>
        <w:pStyle w:val="Crestwithrule"/>
        <w:pBdr>
          <w:bottom w:val="single" w:sz="24" w:space="0" w:color="00B0B9" w:themeColor="accent2"/>
        </w:pBdr>
      </w:pPr>
      <w:r>
        <w:rPr>
          <w:lang w:eastAsia="en-AU"/>
        </w:rPr>
        <w:drawing>
          <wp:inline distT="0" distB="0" distL="0" distR="0" wp14:anchorId="2E997A6E" wp14:editId="7E78C36C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45"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0E2961" w14:textId="77777777" w:rsidR="00FA7485" w:rsidRDefault="00FA7485" w:rsidP="00B971D1">
      <w:pPr>
        <w:pStyle w:val="Crestwithrule"/>
        <w:ind w:firstLine="0"/>
        <w:sectPr w:rsidR="00FA7485" w:rsidSect="00DC474C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1134" w:left="851" w:header="0" w:footer="0" w:gutter="0"/>
          <w:pgNumType w:start="2"/>
          <w:cols w:space="708"/>
          <w:titlePg/>
          <w:docGrid w:linePitch="360"/>
        </w:sectPr>
      </w:pPr>
    </w:p>
    <w:p w14:paraId="7F8C4FD7" w14:textId="4F66FC43" w:rsidR="00C57001" w:rsidRPr="00C175D2" w:rsidRDefault="00AB6E52" w:rsidP="00C6261F">
      <w:pPr>
        <w:pStyle w:val="Heading1withsubtitle"/>
        <w:rPr>
          <w:i/>
          <w:iCs/>
          <w:smallCaps/>
        </w:rPr>
      </w:pPr>
      <w:r>
        <w:t xml:space="preserve">Relational </w:t>
      </w:r>
      <w:r w:rsidRPr="00B61F5E">
        <w:t>Contracting</w:t>
      </w:r>
    </w:p>
    <w:p w14:paraId="44DFF20D" w14:textId="665CBC87" w:rsidR="00F148C2" w:rsidRPr="00C175D2" w:rsidRDefault="00AB6E52" w:rsidP="00A82F11">
      <w:pPr>
        <w:pStyle w:val="Subtitle"/>
        <w:spacing w:after="240"/>
      </w:pPr>
      <w:r>
        <w:t>Flexibility Policy</w:t>
      </w:r>
      <w:bookmarkStart w:id="0" w:name="_Toc395536189"/>
    </w:p>
    <w:bookmarkEnd w:id="0"/>
    <w:p w14:paraId="45D255FF" w14:textId="77777777" w:rsidR="00152933" w:rsidRDefault="00152933" w:rsidP="006428B7">
      <w:pPr>
        <w:pStyle w:val="Heading2"/>
      </w:pPr>
      <w:r>
        <w:t>Purpose</w:t>
      </w:r>
    </w:p>
    <w:p w14:paraId="1BD3FD93" w14:textId="00C94C78" w:rsidR="00847CEF" w:rsidRDefault="00F06E07" w:rsidP="00BF1E41">
      <w:pPr>
        <w:spacing w:after="120" w:line="274" w:lineRule="auto"/>
      </w:pPr>
      <w:r>
        <w:t>Flexibility in r</w:t>
      </w:r>
      <w:r w:rsidR="00D81FBB" w:rsidRPr="00D81FBB">
        <w:t xml:space="preserve">elational contracting </w:t>
      </w:r>
      <w:r w:rsidR="00A96862">
        <w:t>helps</w:t>
      </w:r>
      <w:r w:rsidR="00A96862" w:rsidRPr="00D81FBB">
        <w:t xml:space="preserve"> </w:t>
      </w:r>
      <w:r w:rsidR="00D81FBB" w:rsidRPr="00D81FBB">
        <w:t>DSS and Providers to chang</w:t>
      </w:r>
      <w:r w:rsidR="00A96862">
        <w:t xml:space="preserve">e </w:t>
      </w:r>
      <w:r w:rsidR="00773CA6">
        <w:t xml:space="preserve">how </w:t>
      </w:r>
      <w:r w:rsidR="00A96862">
        <w:t xml:space="preserve">services </w:t>
      </w:r>
      <w:r w:rsidR="00773CA6">
        <w:t xml:space="preserve">are delivered </w:t>
      </w:r>
      <w:r w:rsidR="00A96862">
        <w:t xml:space="preserve">when </w:t>
      </w:r>
      <w:r w:rsidR="00A95174">
        <w:t>needs change</w:t>
      </w:r>
      <w:r w:rsidR="00773CA6">
        <w:t xml:space="preserve">. </w:t>
      </w:r>
    </w:p>
    <w:p w14:paraId="4047A8CE" w14:textId="143C56F5" w:rsidR="00FA3854" w:rsidRDefault="00773CA6" w:rsidP="009E3038">
      <w:pPr>
        <w:spacing w:after="120" w:line="274" w:lineRule="auto"/>
      </w:pPr>
      <w:r>
        <w:t xml:space="preserve">Providers </w:t>
      </w:r>
      <w:r w:rsidR="00D81FBB" w:rsidRPr="00D81FBB">
        <w:t>us</w:t>
      </w:r>
      <w:r w:rsidR="000B2BE4">
        <w:t>e</w:t>
      </w:r>
      <w:r w:rsidR="00D81FBB" w:rsidRPr="00D81FBB">
        <w:t xml:space="preserve"> </w:t>
      </w:r>
      <w:r w:rsidR="00AA1ADD">
        <w:t>evidence and data</w:t>
      </w:r>
      <w:r w:rsidR="00AA1ADD" w:rsidRPr="00D81FBB">
        <w:t xml:space="preserve"> </w:t>
      </w:r>
      <w:r w:rsidR="00D81FBB" w:rsidRPr="00D81FBB">
        <w:t>to</w:t>
      </w:r>
      <w:r w:rsidR="00002B10">
        <w:t xml:space="preserve"> </w:t>
      </w:r>
      <w:r w:rsidR="00F06E07">
        <w:t xml:space="preserve">show what is changing in the community. </w:t>
      </w:r>
      <w:r w:rsidR="006A0BCE">
        <w:t>This policy gives them a clear way to respond</w:t>
      </w:r>
      <w:r w:rsidR="000B2BE4">
        <w:t>, so services can improve and better support</w:t>
      </w:r>
      <w:r w:rsidR="00367F06">
        <w:t xml:space="preserve"> people and communities</w:t>
      </w:r>
      <w:r w:rsidR="006A0BCE">
        <w:t>.</w:t>
      </w:r>
      <w:r w:rsidR="00F8165B">
        <w:t xml:space="preserve"> </w:t>
      </w:r>
    </w:p>
    <w:p w14:paraId="4240EF91" w14:textId="69E0C3E7" w:rsidR="006A0BCE" w:rsidRDefault="006A0BCE" w:rsidP="009E3038">
      <w:pPr>
        <w:spacing w:after="120" w:line="274" w:lineRule="auto"/>
      </w:pPr>
      <w:r>
        <w:t>Flexibility helps to:</w:t>
      </w:r>
    </w:p>
    <w:p w14:paraId="1FA59E6F" w14:textId="6EC85905" w:rsidR="000B75C0" w:rsidRDefault="000B75C0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>
        <w:t>Respond to changing demands and local needs</w:t>
      </w:r>
    </w:p>
    <w:p w14:paraId="737CECC7" w14:textId="170C086F" w:rsidR="000B75C0" w:rsidRDefault="000B75C0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>
        <w:t>Improve services over time</w:t>
      </w:r>
    </w:p>
    <w:p w14:paraId="77B01FE5" w14:textId="0D265487" w:rsidR="000B75C0" w:rsidRDefault="000B75C0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>
        <w:t>Act quickly when there is disruption (</w:t>
      </w:r>
      <w:r w:rsidR="00367F06">
        <w:t>such as</w:t>
      </w:r>
      <w:r>
        <w:t xml:space="preserve"> </w:t>
      </w:r>
      <w:r w:rsidR="005E0AF1" w:rsidRPr="0061373D">
        <w:t>disasters</w:t>
      </w:r>
      <w:r w:rsidR="008E1C81">
        <w:t xml:space="preserve"> </w:t>
      </w:r>
      <w:r w:rsidR="005E0AF1" w:rsidRPr="0061373D">
        <w:t xml:space="preserve">or </w:t>
      </w:r>
      <w:r w:rsidR="005E0AF1" w:rsidRPr="00E03796">
        <w:t xml:space="preserve">workforce </w:t>
      </w:r>
      <w:r w:rsidR="008E1C81">
        <w:t>shortages</w:t>
      </w:r>
      <w:r>
        <w:t>)</w:t>
      </w:r>
    </w:p>
    <w:p w14:paraId="0A958166" w14:textId="128574FF" w:rsidR="00AA4603" w:rsidRDefault="00760F4C" w:rsidP="00E7241E">
      <w:pPr>
        <w:numPr>
          <w:ilvl w:val="0"/>
          <w:numId w:val="7"/>
        </w:numPr>
        <w:spacing w:after="120" w:line="274" w:lineRule="auto"/>
        <w:ind w:left="714" w:right="-284" w:hanging="357"/>
      </w:pPr>
      <w:r>
        <w:t>Achieve</w:t>
      </w:r>
      <w:r w:rsidR="00AA4603">
        <w:t xml:space="preserve"> better </w:t>
      </w:r>
      <w:r>
        <w:t>outcomes</w:t>
      </w:r>
      <w:r w:rsidR="00AA4603">
        <w:t xml:space="preserve"> for people and communities</w:t>
      </w:r>
    </w:p>
    <w:p w14:paraId="4D21FB0C" w14:textId="27764EB1" w:rsidR="000C0992" w:rsidRPr="00D96C4F" w:rsidRDefault="000C0992" w:rsidP="000C0992">
      <w:pPr>
        <w:spacing w:after="120" w:line="274" w:lineRule="auto"/>
      </w:pPr>
      <w:r>
        <w:t>Flexibility</w:t>
      </w:r>
      <w:r w:rsidRPr="00A96B9E">
        <w:t xml:space="preserve"> </w:t>
      </w:r>
      <w:r w:rsidR="00667487">
        <w:t xml:space="preserve">has clear limits and </w:t>
      </w:r>
      <w:r w:rsidR="000B13FB">
        <w:t xml:space="preserve">must </w:t>
      </w:r>
      <w:r w:rsidRPr="00A96B9E">
        <w:t xml:space="preserve">not change </w:t>
      </w:r>
      <w:r>
        <w:t>government</w:t>
      </w:r>
      <w:r w:rsidRPr="00A96B9E">
        <w:t xml:space="preserve"> policy, l</w:t>
      </w:r>
      <w:r>
        <w:t>aws</w:t>
      </w:r>
      <w:r w:rsidRPr="00A96B9E">
        <w:t xml:space="preserve">, funding, or </w:t>
      </w:r>
      <w:r>
        <w:t>official</w:t>
      </w:r>
      <w:r w:rsidRPr="00A96B9E">
        <w:t xml:space="preserve"> decisions.</w:t>
      </w:r>
    </w:p>
    <w:p w14:paraId="23416EC7" w14:textId="1FE47F1A" w:rsidR="00D96C4F" w:rsidRDefault="000B13FB" w:rsidP="009E3038">
      <w:pPr>
        <w:spacing w:after="120" w:line="274" w:lineRule="auto"/>
      </w:pPr>
      <w:r w:rsidRPr="00D96C4F">
        <w:t>Flexibility is not informal or ad hoc</w:t>
      </w:r>
      <w:r w:rsidR="00E446DA">
        <w:t xml:space="preserve"> – i</w:t>
      </w:r>
      <w:r w:rsidRPr="005F340B">
        <w:t>t follows clear rules and decision processes.</w:t>
      </w:r>
      <w:r>
        <w:t xml:space="preserve"> </w:t>
      </w:r>
      <w:r w:rsidR="00673B8B" w:rsidRPr="00673B8B">
        <w:t xml:space="preserve">Under relational contracting, flexibility is </w:t>
      </w:r>
      <w:r w:rsidR="00301AB8">
        <w:t>built into agreements</w:t>
      </w:r>
      <w:r w:rsidR="00786D5B">
        <w:t xml:space="preserve"> so low risk changes can be made without </w:t>
      </w:r>
      <w:r w:rsidR="00DD47CB">
        <w:t>changing the contract</w:t>
      </w:r>
      <w:r w:rsidR="00AF3E75">
        <w:t xml:space="preserve">, </w:t>
      </w:r>
      <w:r w:rsidR="00E00ABA">
        <w:t xml:space="preserve">but only within agreed limits and </w:t>
      </w:r>
      <w:r w:rsidR="00D96C4F" w:rsidRPr="00D96C4F">
        <w:t xml:space="preserve">processes. This ensures </w:t>
      </w:r>
      <w:r w:rsidR="00720A09">
        <w:t>services can adapt</w:t>
      </w:r>
      <w:r w:rsidR="00752F3D">
        <w:t xml:space="preserve"> and</w:t>
      </w:r>
      <w:r w:rsidR="00D96C4F" w:rsidRPr="00D96C4F">
        <w:t xml:space="preserve"> improve without reducing access or disrupting system balance.</w:t>
      </w:r>
    </w:p>
    <w:p w14:paraId="71F23FE2" w14:textId="6E959B67" w:rsidR="00AB6E52" w:rsidRPr="00432454" w:rsidRDefault="00AB6E52" w:rsidP="006428B7">
      <w:pPr>
        <w:pStyle w:val="Heading2"/>
      </w:pPr>
      <w:r w:rsidRPr="00432454">
        <w:t>What flexibility means in practice</w:t>
      </w:r>
    </w:p>
    <w:p w14:paraId="5666C768" w14:textId="08D56186" w:rsidR="001C64C4" w:rsidRPr="0061373D" w:rsidRDefault="00436FA6" w:rsidP="001C64C4">
      <w:pPr>
        <w:spacing w:after="120" w:line="274" w:lineRule="auto"/>
      </w:pPr>
      <w:r>
        <w:t>F</w:t>
      </w:r>
      <w:r w:rsidR="0061373D" w:rsidRPr="0061373D">
        <w:t xml:space="preserve">lexibility allows Providers to </w:t>
      </w:r>
      <w:r w:rsidR="00223E63">
        <w:t>adjust how services are delivered</w:t>
      </w:r>
      <w:r w:rsidR="00A203A1" w:rsidRPr="00A203A1">
        <w:t>, not what the government has approved.</w:t>
      </w:r>
      <w:r w:rsidR="00FA5C8C">
        <w:t xml:space="preserve"> </w:t>
      </w:r>
      <w:r w:rsidR="003C5C4F" w:rsidRPr="00E7241E">
        <w:t>Flexibility</w:t>
      </w:r>
      <w:r w:rsidR="003C5C4F" w:rsidRPr="003C5C4F">
        <w:t xml:space="preserve"> can apply to the following aspects of a grant agreement</w:t>
      </w:r>
      <w:r w:rsidR="008F7AD0">
        <w:t xml:space="preserve"> and Delivery Plan</w:t>
      </w:r>
      <w:r w:rsidR="003C5C4F" w:rsidRPr="003C5C4F">
        <w:t>:</w:t>
      </w:r>
    </w:p>
    <w:p w14:paraId="3FFCB4C7" w14:textId="7D0B0B25" w:rsidR="001C64C4" w:rsidRPr="0061373D" w:rsidRDefault="001C64C4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61373D">
        <w:t>service delivery</w:t>
      </w:r>
      <w:r>
        <w:t xml:space="preserve"> approaches</w:t>
      </w:r>
      <w:r w:rsidR="005C10A2">
        <w:t xml:space="preserve"> (</w:t>
      </w:r>
      <w:r w:rsidR="00925DFF">
        <w:t xml:space="preserve">e.g. </w:t>
      </w:r>
      <w:r w:rsidR="00A44761">
        <w:t xml:space="preserve">activities, </w:t>
      </w:r>
      <w:r w:rsidR="0028715C">
        <w:t>workforce, delivery methods</w:t>
      </w:r>
      <w:r w:rsidR="005C10A2">
        <w:t>)</w:t>
      </w:r>
    </w:p>
    <w:p w14:paraId="2E0D0007" w14:textId="4549BDB4" w:rsidR="00A17A1B" w:rsidRDefault="00A17A1B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>
        <w:t>outcomes and performance</w:t>
      </w:r>
      <w:r w:rsidR="004E2A6C">
        <w:t xml:space="preserve"> measures or ways to track progress</w:t>
      </w:r>
    </w:p>
    <w:p w14:paraId="5CB00CFC" w14:textId="3D2338AF" w:rsidR="001C64C4" w:rsidRPr="0061373D" w:rsidRDefault="001C64C4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61373D">
        <w:t>implementation approaches (</w:t>
      </w:r>
      <w:r w:rsidR="00925DFF">
        <w:t>e.g.</w:t>
      </w:r>
      <w:r w:rsidRPr="0061373D">
        <w:t xml:space="preserve"> timing, sequencin</w:t>
      </w:r>
      <w:r w:rsidR="00851BCA">
        <w:t>g</w:t>
      </w:r>
      <w:r w:rsidRPr="0061373D">
        <w:t>)</w:t>
      </w:r>
    </w:p>
    <w:p w14:paraId="68EEFF74" w14:textId="77777777" w:rsidR="001C64C4" w:rsidRPr="0061373D" w:rsidRDefault="001C64C4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61373D">
        <w:t xml:space="preserve">partnerships </w:t>
      </w:r>
      <w:r>
        <w:t>or</w:t>
      </w:r>
      <w:r w:rsidRPr="0061373D">
        <w:t xml:space="preserve"> referral pathways</w:t>
      </w:r>
    </w:p>
    <w:p w14:paraId="33CAF22A" w14:textId="094C5D30" w:rsidR="001C64C4" w:rsidRDefault="001C64C4" w:rsidP="005712FA">
      <w:pPr>
        <w:numPr>
          <w:ilvl w:val="0"/>
          <w:numId w:val="7"/>
        </w:numPr>
        <w:spacing w:after="120" w:line="274" w:lineRule="auto"/>
        <w:ind w:left="714" w:right="-284" w:hanging="357"/>
      </w:pPr>
      <w:r>
        <w:t xml:space="preserve">reallocating </w:t>
      </w:r>
      <w:r w:rsidRPr="0061373D">
        <w:t>resources within agreed financial and contract limits</w:t>
      </w:r>
    </w:p>
    <w:p w14:paraId="582807FF" w14:textId="0816A3F6" w:rsidR="00052118" w:rsidRPr="00E7241E" w:rsidRDefault="00052118" w:rsidP="00E7241E">
      <w:pPr>
        <w:spacing w:after="120" w:line="274" w:lineRule="auto"/>
      </w:pPr>
      <w:r w:rsidRPr="00E7241E">
        <w:t>Providers can make low-risk changes quickly using existing data, experience, and client feedback. They should not need complex evidence or approvals for routine decisions, especially when responding to urgent needs.</w:t>
      </w:r>
    </w:p>
    <w:p w14:paraId="02711E1E" w14:textId="77777777" w:rsidR="00362C6C" w:rsidRDefault="00362C6C" w:rsidP="00362C6C">
      <w:pPr>
        <w:spacing w:after="120" w:line="274" w:lineRule="auto"/>
      </w:pPr>
      <w:r w:rsidRPr="002C44E5">
        <w:t>Financial flexibility</w:t>
      </w:r>
      <w:r w:rsidRPr="00672399">
        <w:t xml:space="preserve"> must</w:t>
      </w:r>
      <w:r>
        <w:t>:</w:t>
      </w:r>
    </w:p>
    <w:p w14:paraId="2F631016" w14:textId="77777777" w:rsidR="00641987" w:rsidRDefault="0080550A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672399">
        <w:t xml:space="preserve">support agreed outcomes </w:t>
      </w:r>
    </w:p>
    <w:p w14:paraId="4BE2A1E3" w14:textId="77777777" w:rsidR="00362C6C" w:rsidRDefault="00362C6C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2C44E5">
        <w:t>remain within agreed program purposes</w:t>
      </w:r>
    </w:p>
    <w:p w14:paraId="5069674B" w14:textId="77777777" w:rsidR="00362C6C" w:rsidRDefault="00362C6C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>
        <w:t>comply with</w:t>
      </w:r>
      <w:r w:rsidRPr="002C44E5">
        <w:t xml:space="preserve"> policy and legislative requirements</w:t>
      </w:r>
    </w:p>
    <w:p w14:paraId="76AC7C50" w14:textId="0421815A" w:rsidR="00362C6C" w:rsidRDefault="002B3A09" w:rsidP="00B85E39">
      <w:pPr>
        <w:numPr>
          <w:ilvl w:val="0"/>
          <w:numId w:val="7"/>
        </w:numPr>
        <w:spacing w:after="120" w:line="274" w:lineRule="auto"/>
        <w:ind w:left="714" w:right="-284" w:hanging="357"/>
      </w:pPr>
      <w:r w:rsidRPr="00672399">
        <w:t>demonstrate proper use of public funds</w:t>
      </w:r>
    </w:p>
    <w:p w14:paraId="137725AF" w14:textId="1116D917" w:rsidR="00511E0B" w:rsidRPr="00F502D5" w:rsidRDefault="00511E0B" w:rsidP="00511E0B">
      <w:pPr>
        <w:spacing w:after="120" w:line="274" w:lineRule="auto"/>
      </w:pPr>
      <w:r w:rsidRPr="00F502D5">
        <w:t xml:space="preserve">The following </w:t>
      </w:r>
      <w:r w:rsidRPr="00F11F6D">
        <w:t xml:space="preserve">are </w:t>
      </w:r>
      <w:r w:rsidRPr="00041EF4">
        <w:t>not routine flexibility</w:t>
      </w:r>
      <w:r w:rsidRPr="00F502D5">
        <w:t xml:space="preserve"> and require formal variation:</w:t>
      </w:r>
    </w:p>
    <w:p w14:paraId="5CED54FB" w14:textId="77777777" w:rsidR="00511E0B" w:rsidRPr="00F502D5" w:rsidRDefault="00511E0B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F502D5">
        <w:lastRenderedPageBreak/>
        <w:t>Changes to:</w:t>
      </w:r>
    </w:p>
    <w:p w14:paraId="17E21A0C" w14:textId="77777777" w:rsidR="00511E0B" w:rsidRPr="00F502D5" w:rsidRDefault="00511E0B" w:rsidP="0026367F">
      <w:pPr>
        <w:numPr>
          <w:ilvl w:val="1"/>
          <w:numId w:val="21"/>
        </w:numPr>
        <w:spacing w:after="120" w:line="240" w:lineRule="auto"/>
      </w:pPr>
      <w:r w:rsidRPr="00F502D5">
        <w:t>the purpose of the agreement</w:t>
      </w:r>
    </w:p>
    <w:p w14:paraId="580DF14F" w14:textId="77777777" w:rsidR="00511E0B" w:rsidRPr="00F502D5" w:rsidRDefault="00511E0B" w:rsidP="0026367F">
      <w:pPr>
        <w:numPr>
          <w:ilvl w:val="1"/>
          <w:numId w:val="21"/>
        </w:numPr>
        <w:spacing w:after="120" w:line="240" w:lineRule="auto"/>
      </w:pPr>
      <w:r w:rsidRPr="00F502D5">
        <w:t>agreed outcomes</w:t>
      </w:r>
    </w:p>
    <w:p w14:paraId="29EF5152" w14:textId="77777777" w:rsidR="00511E0B" w:rsidRPr="00F502D5" w:rsidRDefault="00511E0B" w:rsidP="0026367F">
      <w:pPr>
        <w:numPr>
          <w:ilvl w:val="1"/>
          <w:numId w:val="21"/>
        </w:numPr>
        <w:spacing w:after="120" w:line="240" w:lineRule="auto"/>
      </w:pPr>
      <w:r w:rsidRPr="00F502D5">
        <w:t>total funding</w:t>
      </w:r>
    </w:p>
    <w:p w14:paraId="5D0F86A9" w14:textId="77777777" w:rsidR="00511E0B" w:rsidRPr="00F502D5" w:rsidRDefault="00511E0B" w:rsidP="0026367F">
      <w:pPr>
        <w:numPr>
          <w:ilvl w:val="1"/>
          <w:numId w:val="21"/>
        </w:numPr>
        <w:spacing w:after="120" w:line="240" w:lineRule="auto"/>
      </w:pPr>
      <w:r w:rsidRPr="00F502D5">
        <w:t>contract term</w:t>
      </w:r>
    </w:p>
    <w:p w14:paraId="37ADF35C" w14:textId="77777777" w:rsidR="00511E0B" w:rsidRPr="00F502D5" w:rsidRDefault="00511E0B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F502D5">
        <w:t>Any change that:</w:t>
      </w:r>
    </w:p>
    <w:p w14:paraId="275DF4D4" w14:textId="77777777" w:rsidR="00511E0B" w:rsidRPr="00F502D5" w:rsidRDefault="00511E0B" w:rsidP="0026367F">
      <w:pPr>
        <w:numPr>
          <w:ilvl w:val="1"/>
          <w:numId w:val="21"/>
        </w:numPr>
        <w:spacing w:after="120" w:line="240" w:lineRule="auto"/>
      </w:pPr>
      <w:r w:rsidRPr="00F502D5">
        <w:t>conflicts with policy, legislation, or government decisions</w:t>
      </w:r>
    </w:p>
    <w:p w14:paraId="5A862BC7" w14:textId="77777777" w:rsidR="00511E0B" w:rsidRPr="00F502D5" w:rsidRDefault="00511E0B" w:rsidP="0026367F">
      <w:pPr>
        <w:numPr>
          <w:ilvl w:val="1"/>
          <w:numId w:val="21"/>
        </w:numPr>
        <w:spacing w:after="120" w:line="240" w:lineRule="auto"/>
      </w:pPr>
      <w:r w:rsidRPr="00F502D5">
        <w:t>significantly affects service availability or coverage</w:t>
      </w:r>
    </w:p>
    <w:p w14:paraId="441BFD0C" w14:textId="3492FC55" w:rsidR="00E01E2D" w:rsidRPr="00CA29F9" w:rsidRDefault="00A6473A" w:rsidP="00E7241E">
      <w:pPr>
        <w:spacing w:after="120" w:line="274" w:lineRule="auto"/>
      </w:pPr>
      <w:r w:rsidRPr="00C87CDB">
        <w:t>Relational contracting also supports shared learning</w:t>
      </w:r>
      <w:r w:rsidR="00A86314">
        <w:t>, where</w:t>
      </w:r>
      <w:r w:rsidRPr="00C87CDB">
        <w:t xml:space="preserve"> </w:t>
      </w:r>
      <w:r>
        <w:t>P</w:t>
      </w:r>
      <w:r w:rsidRPr="00C87CDB">
        <w:t>roviders shar</w:t>
      </w:r>
      <w:r w:rsidR="009821F6">
        <w:t>e</w:t>
      </w:r>
      <w:r w:rsidRPr="00C87CDB">
        <w:t xml:space="preserve"> insights</w:t>
      </w:r>
      <w:r w:rsidR="00FD3CC0">
        <w:t xml:space="preserve"> and good practice</w:t>
      </w:r>
      <w:r w:rsidRPr="00C87CDB">
        <w:t xml:space="preserve"> to improve outcomes across the system.</w:t>
      </w:r>
    </w:p>
    <w:p w14:paraId="18396BD6" w14:textId="382F7191" w:rsidR="00CA6198" w:rsidRDefault="009845D1" w:rsidP="006428B7">
      <w:pPr>
        <w:pStyle w:val="Heading2"/>
      </w:pPr>
      <w:r>
        <w:t xml:space="preserve">How to use </w:t>
      </w:r>
      <w:r w:rsidRPr="006428B7">
        <w:t>flexibility</w:t>
      </w:r>
    </w:p>
    <w:p w14:paraId="4C700CEF" w14:textId="05B83077" w:rsidR="00CA6198" w:rsidRPr="006428B7" w:rsidRDefault="000B7980" w:rsidP="006428B7">
      <w:pPr>
        <w:pStyle w:val="Heading3"/>
      </w:pPr>
      <w:r w:rsidRPr="006428B7">
        <w:t xml:space="preserve">1. </w:t>
      </w:r>
      <w:r w:rsidR="00E44AD2" w:rsidRPr="006428B7">
        <w:t>Use evidence</w:t>
      </w:r>
    </w:p>
    <w:p w14:paraId="6BB6898E" w14:textId="5714D22D" w:rsidR="006C489B" w:rsidRPr="006C489B" w:rsidRDefault="006C489B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6C489B">
        <w:t xml:space="preserve">Use evidence to show why a change is needed </w:t>
      </w:r>
    </w:p>
    <w:p w14:paraId="54C7F1D0" w14:textId="389BFDB2" w:rsidR="006C489B" w:rsidRPr="006C489B" w:rsidRDefault="006C489B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6C489B">
        <w:t xml:space="preserve">The amount of evidence should match the </w:t>
      </w:r>
      <w:r w:rsidRPr="00E7241E">
        <w:t>level of risk</w:t>
      </w:r>
      <w:r w:rsidRPr="006C489B">
        <w:t xml:space="preserve"> </w:t>
      </w:r>
    </w:p>
    <w:p w14:paraId="1594A1B1" w14:textId="5E49AEDC" w:rsidR="006C489B" w:rsidRPr="006C489B" w:rsidRDefault="006C489B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6C489B">
        <w:t xml:space="preserve">For </w:t>
      </w:r>
      <w:r w:rsidR="00F42D6F">
        <w:t xml:space="preserve">routine, </w:t>
      </w:r>
      <w:r w:rsidRPr="00E7241E">
        <w:t xml:space="preserve">low-risk </w:t>
      </w:r>
      <w:r w:rsidR="00574FB9" w:rsidRPr="00173313">
        <w:t xml:space="preserve">operational </w:t>
      </w:r>
      <w:r w:rsidRPr="00E7241E">
        <w:t>changes</w:t>
      </w:r>
      <w:r w:rsidRPr="006C489B">
        <w:t xml:space="preserve">, use existing information (data, </w:t>
      </w:r>
      <w:r w:rsidR="00ED4E56">
        <w:t xml:space="preserve">service </w:t>
      </w:r>
      <w:r w:rsidRPr="006C489B">
        <w:t>experience, client feedback</w:t>
      </w:r>
      <w:r w:rsidR="00F775D3">
        <w:t>, local knowledge</w:t>
      </w:r>
      <w:r w:rsidRPr="006C489B">
        <w:t xml:space="preserve">) </w:t>
      </w:r>
    </w:p>
    <w:p w14:paraId="331984E3" w14:textId="0BD604EE" w:rsidR="00E44AD2" w:rsidRPr="00173313" w:rsidRDefault="006C489B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6C489B">
        <w:t xml:space="preserve">For </w:t>
      </w:r>
      <w:r w:rsidR="00733BBD">
        <w:t xml:space="preserve">significant, </w:t>
      </w:r>
      <w:r w:rsidRPr="00E7241E">
        <w:t>higher-risk changes</w:t>
      </w:r>
      <w:r w:rsidR="000A6FB7">
        <w:t xml:space="preserve">, </w:t>
      </w:r>
      <w:r w:rsidR="00B43E7D" w:rsidRPr="00173313">
        <w:t>particularly those with broader service, financial, or system impacts</w:t>
      </w:r>
      <w:r w:rsidRPr="006C489B">
        <w:t>, provide more detailed evidence</w:t>
      </w:r>
      <w:r w:rsidR="00C747AA">
        <w:t>:</w:t>
      </w:r>
    </w:p>
    <w:p w14:paraId="5F9302E6" w14:textId="77777777" w:rsidR="00E44AD2" w:rsidRPr="006E1FBD" w:rsidRDefault="00E44AD2" w:rsidP="0026367F">
      <w:pPr>
        <w:numPr>
          <w:ilvl w:val="1"/>
          <w:numId w:val="7"/>
        </w:numPr>
        <w:spacing w:after="60" w:line="240" w:lineRule="auto"/>
        <w:ind w:left="1434" w:right="-284" w:hanging="357"/>
      </w:pPr>
      <w:r w:rsidRPr="006E1FBD">
        <w:t>service demand data</w:t>
      </w:r>
    </w:p>
    <w:p w14:paraId="25E30B8C" w14:textId="77777777" w:rsidR="00E44AD2" w:rsidRPr="006E1FBD" w:rsidRDefault="00E44AD2" w:rsidP="0026367F">
      <w:pPr>
        <w:numPr>
          <w:ilvl w:val="1"/>
          <w:numId w:val="7"/>
        </w:numPr>
        <w:spacing w:after="60" w:line="240" w:lineRule="auto"/>
        <w:ind w:left="1434" w:right="-284" w:hanging="357"/>
      </w:pPr>
      <w:r w:rsidRPr="006E1FBD">
        <w:t>service quality, performance, and outcomes information</w:t>
      </w:r>
    </w:p>
    <w:p w14:paraId="123EB31C" w14:textId="77777777" w:rsidR="00E44AD2" w:rsidRPr="006E1FBD" w:rsidRDefault="00E44AD2" w:rsidP="0026367F">
      <w:pPr>
        <w:numPr>
          <w:ilvl w:val="1"/>
          <w:numId w:val="7"/>
        </w:numPr>
        <w:spacing w:after="60" w:line="240" w:lineRule="auto"/>
        <w:ind w:left="1434" w:right="-284" w:hanging="357"/>
      </w:pPr>
      <w:r w:rsidRPr="006E1FBD">
        <w:t xml:space="preserve">impacts on clients and </w:t>
      </w:r>
      <w:r>
        <w:t>priority groups</w:t>
      </w:r>
    </w:p>
    <w:p w14:paraId="0A69E3F6" w14:textId="77777777" w:rsidR="00E44AD2" w:rsidRPr="009B5EB9" w:rsidRDefault="00E44AD2" w:rsidP="0026367F">
      <w:pPr>
        <w:numPr>
          <w:ilvl w:val="1"/>
          <w:numId w:val="7"/>
        </w:numPr>
        <w:spacing w:after="120" w:line="240" w:lineRule="auto"/>
        <w:ind w:right="-284"/>
      </w:pPr>
      <w:r w:rsidRPr="006E1FBD">
        <w:t>service coverage and accessibility information</w:t>
      </w:r>
    </w:p>
    <w:p w14:paraId="1294313C" w14:textId="23E2F988" w:rsidR="00F70301" w:rsidRPr="00E7241E" w:rsidRDefault="00A10B78" w:rsidP="006428B7">
      <w:pPr>
        <w:pStyle w:val="Heading3"/>
      </w:pPr>
      <w:r>
        <w:t xml:space="preserve">2. </w:t>
      </w:r>
      <w:r w:rsidR="00F70301" w:rsidRPr="00E7241E">
        <w:t>Make or request a change</w:t>
      </w:r>
    </w:p>
    <w:p w14:paraId="63E9A90E" w14:textId="64429A49" w:rsidR="00E502E5" w:rsidRDefault="003B5438" w:rsidP="003B5438">
      <w:pPr>
        <w:spacing w:after="120" w:line="274" w:lineRule="auto"/>
      </w:pPr>
      <w:r w:rsidRPr="00EB002D">
        <w:t xml:space="preserve">Providers may make routine, </w:t>
      </w:r>
      <w:r w:rsidRPr="002E6C8C">
        <w:t>low-risk changes</w:t>
      </w:r>
      <w:r w:rsidRPr="00EB002D">
        <w:t xml:space="preserve"> </w:t>
      </w:r>
      <w:r>
        <w:t xml:space="preserve">without formal DSS approval </w:t>
      </w:r>
      <w:r w:rsidR="00B55741">
        <w:t>where changes:</w:t>
      </w:r>
    </w:p>
    <w:p w14:paraId="0859D65D" w14:textId="77777777" w:rsidR="00B60F7A" w:rsidRPr="00C040E0" w:rsidRDefault="00B60F7A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C040E0">
        <w:t>stay within agreed program settings and funding limits</w:t>
      </w:r>
    </w:p>
    <w:p w14:paraId="79815891" w14:textId="77777777" w:rsidR="00B60F7A" w:rsidRPr="00C040E0" w:rsidRDefault="00B60F7A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C040E0">
        <w:t>do not reduce service access, continuity, or fairness</w:t>
      </w:r>
    </w:p>
    <w:p w14:paraId="722FA803" w14:textId="77777777" w:rsidR="00B60F7A" w:rsidRPr="00C040E0" w:rsidRDefault="00B60F7A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C040E0">
        <w:t>do not create major system impacts</w:t>
      </w:r>
    </w:p>
    <w:p w14:paraId="294D6650" w14:textId="6A25BE14" w:rsidR="00B60F7A" w:rsidRDefault="00B60F7A" w:rsidP="00B60F7A">
      <w:pPr>
        <w:numPr>
          <w:ilvl w:val="0"/>
          <w:numId w:val="17"/>
        </w:numPr>
        <w:spacing w:after="120" w:line="274" w:lineRule="auto"/>
      </w:pPr>
      <w:r w:rsidRPr="00C040E0">
        <w:t>are documented appropriately.</w:t>
      </w:r>
    </w:p>
    <w:p w14:paraId="65D1D502" w14:textId="3C56E906" w:rsidR="003B5438" w:rsidRPr="00FE5CFF" w:rsidRDefault="003B5438" w:rsidP="003B5438">
      <w:pPr>
        <w:spacing w:after="120" w:line="274" w:lineRule="auto"/>
      </w:pPr>
      <w:r w:rsidRPr="00EB002D">
        <w:t>Changes</w:t>
      </w:r>
      <w:r>
        <w:t xml:space="preserve"> that involve</w:t>
      </w:r>
      <w:r w:rsidRPr="00EB002D">
        <w:t xml:space="preserve"> </w:t>
      </w:r>
      <w:r w:rsidRPr="002E6C8C">
        <w:t>higher risk</w:t>
      </w:r>
      <w:r w:rsidRPr="00EB002D">
        <w:t xml:space="preserve">, </w:t>
      </w:r>
      <w:r>
        <w:t xml:space="preserve">larger </w:t>
      </w:r>
      <w:r w:rsidRPr="00EB002D">
        <w:t xml:space="preserve">or broader system impacts should be considered through agreed governance arrangements, </w:t>
      </w:r>
      <w:proofErr w:type="gramStart"/>
      <w:r w:rsidRPr="00EB002D">
        <w:t>taking into account</w:t>
      </w:r>
      <w:proofErr w:type="gramEnd"/>
      <w:r w:rsidRPr="00EB002D">
        <w:t>:</w:t>
      </w:r>
    </w:p>
    <w:p w14:paraId="3DE58DDC" w14:textId="77777777" w:rsidR="003B5438" w:rsidRPr="00FE5CFF" w:rsidRDefault="003B5438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FE5CFF">
        <w:t>progress towards program outcomes</w:t>
      </w:r>
    </w:p>
    <w:p w14:paraId="2A800C7C" w14:textId="77777777" w:rsidR="003B5438" w:rsidRPr="00FE5CFF" w:rsidRDefault="003B5438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FE5CFF">
        <w:t>service coverage across regions and communities</w:t>
      </w:r>
    </w:p>
    <w:p w14:paraId="0D6BC98A" w14:textId="77777777" w:rsidR="003B5438" w:rsidRPr="00FE5CFF" w:rsidRDefault="003B5438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FE5CFF">
        <w:t>ongoing access for clients</w:t>
      </w:r>
    </w:p>
    <w:p w14:paraId="7B1F7A76" w14:textId="77777777" w:rsidR="003B5438" w:rsidRPr="00FE5CFF" w:rsidRDefault="003B5438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FE5CFF">
        <w:t>balance across service types and cohorts</w:t>
      </w:r>
    </w:p>
    <w:p w14:paraId="01A9FE14" w14:textId="77777777" w:rsidR="003B5438" w:rsidRDefault="003B5438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FE5CFF">
        <w:t>fairness, especially for priority and place-based communities</w:t>
      </w:r>
    </w:p>
    <w:p w14:paraId="7184E675" w14:textId="77777777" w:rsidR="003B5438" w:rsidRPr="0061373D" w:rsidRDefault="003B5438" w:rsidP="003B5438">
      <w:pPr>
        <w:numPr>
          <w:ilvl w:val="0"/>
          <w:numId w:val="7"/>
        </w:numPr>
        <w:spacing w:after="120" w:line="274" w:lineRule="auto"/>
        <w:ind w:left="714" w:right="-284" w:hanging="357"/>
      </w:pPr>
      <w:r>
        <w:t>emerging and future service needs across the system</w:t>
      </w:r>
    </w:p>
    <w:p w14:paraId="045D3CE9" w14:textId="74010236" w:rsidR="009579C4" w:rsidRPr="0007014D" w:rsidRDefault="009579C4" w:rsidP="009579C4">
      <w:pPr>
        <w:spacing w:after="120" w:line="274" w:lineRule="auto"/>
      </w:pPr>
      <w:r>
        <w:t>Processes</w:t>
      </w:r>
      <w:r w:rsidRPr="00672488">
        <w:t xml:space="preserve"> </w:t>
      </w:r>
      <w:r w:rsidR="00DA1F42">
        <w:t>should be quick and practical</w:t>
      </w:r>
      <w:r w:rsidRPr="00672488">
        <w:t xml:space="preserve">, </w:t>
      </w:r>
      <w:r w:rsidR="001D3350">
        <w:t>especially</w:t>
      </w:r>
      <w:r w:rsidRPr="00672488">
        <w:t xml:space="preserve"> during disruption</w:t>
      </w:r>
      <w:r>
        <w:t xml:space="preserve"> or emergencies. This</w:t>
      </w:r>
      <w:r w:rsidRPr="0007014D">
        <w:t xml:space="preserve"> may include:</w:t>
      </w:r>
    </w:p>
    <w:p w14:paraId="61CF5BFB" w14:textId="6D3670C8" w:rsidR="00935FF7" w:rsidRPr="0007014D" w:rsidRDefault="00935FF7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07014D">
        <w:t>partnership governance forums</w:t>
      </w:r>
    </w:p>
    <w:p w14:paraId="07F66C86" w14:textId="5CB93ABA" w:rsidR="009579C4" w:rsidRPr="0007014D" w:rsidRDefault="009579C4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07014D">
        <w:t xml:space="preserve">scheduled reviews </w:t>
      </w:r>
      <w:r>
        <w:t xml:space="preserve">or </w:t>
      </w:r>
      <w:r w:rsidRPr="0007014D">
        <w:t>reviews triggered by emerging risks, issues, or opportunities</w:t>
      </w:r>
    </w:p>
    <w:p w14:paraId="1394FEB8" w14:textId="43507F39" w:rsidR="009579C4" w:rsidRPr="000D22D2" w:rsidRDefault="009579C4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07014D">
        <w:lastRenderedPageBreak/>
        <w:t xml:space="preserve">clear decision pathways, </w:t>
      </w:r>
      <w:r w:rsidRPr="000D22D2">
        <w:t>setting out which changes Providers can make directly, and which require governance consideration or formal approval.</w:t>
      </w:r>
    </w:p>
    <w:p w14:paraId="55FC8CB1" w14:textId="77777777" w:rsidR="009579C4" w:rsidRPr="0007014D" w:rsidRDefault="009579C4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07014D">
        <w:t>agreed change provisions within Relational Agreements</w:t>
      </w:r>
    </w:p>
    <w:p w14:paraId="6ABFCCBC" w14:textId="2B938330" w:rsidR="004933C2" w:rsidRDefault="009579C4" w:rsidP="00AB718C">
      <w:pPr>
        <w:numPr>
          <w:ilvl w:val="0"/>
          <w:numId w:val="7"/>
        </w:numPr>
        <w:spacing w:after="120" w:line="274" w:lineRule="auto"/>
        <w:ind w:left="714" w:right="-284" w:hanging="357"/>
      </w:pPr>
      <w:r w:rsidRPr="0007014D">
        <w:t>streamlined processes for low-risk or time-critical decisions</w:t>
      </w:r>
    </w:p>
    <w:p w14:paraId="6612CE48" w14:textId="2A8FE192" w:rsidR="003B5438" w:rsidRDefault="00260AA2" w:rsidP="006428B7">
      <w:pPr>
        <w:pStyle w:val="Heading3"/>
      </w:pPr>
      <w:r>
        <w:t>3. Record decisions</w:t>
      </w:r>
    </w:p>
    <w:p w14:paraId="41E85BA7" w14:textId="16B5C3D2" w:rsidR="00FE0299" w:rsidRDefault="00FE0299" w:rsidP="00FE0299">
      <w:pPr>
        <w:spacing w:after="120" w:line="274" w:lineRule="auto"/>
      </w:pPr>
      <w:r w:rsidRPr="004125D0">
        <w:t>All flexibility decisions must</w:t>
      </w:r>
      <w:r w:rsidR="00695AB4">
        <w:t xml:space="preserve"> be</w:t>
      </w:r>
      <w:r>
        <w:t>:</w:t>
      </w:r>
    </w:p>
    <w:p w14:paraId="1A057E66" w14:textId="77777777" w:rsidR="00BC2788" w:rsidRPr="00E227ED" w:rsidRDefault="00BC2788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E227ED">
        <w:t>documented and transparent</w:t>
      </w:r>
    </w:p>
    <w:p w14:paraId="1FF1B299" w14:textId="551CA20D" w:rsidR="00C50A74" w:rsidRDefault="00C50A74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817FE5">
        <w:t>based on evidence appropriate to the level of risk and potential system impact</w:t>
      </w:r>
      <w:r>
        <w:t xml:space="preserve"> </w:t>
      </w:r>
    </w:p>
    <w:p w14:paraId="68AF8695" w14:textId="77777777" w:rsidR="00CB1F15" w:rsidRPr="00E227ED" w:rsidRDefault="00CB1F15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E227ED">
        <w:t>clearly linked to program outcomes</w:t>
      </w:r>
    </w:p>
    <w:p w14:paraId="4681E2BE" w14:textId="5C89C54D" w:rsidR="00FE0299" w:rsidRDefault="00FE0299" w:rsidP="00FE0299">
      <w:pPr>
        <w:numPr>
          <w:ilvl w:val="0"/>
          <w:numId w:val="7"/>
        </w:numPr>
        <w:spacing w:after="120" w:line="274" w:lineRule="auto"/>
        <w:ind w:left="714" w:right="-284" w:hanging="357"/>
      </w:pPr>
      <w:r w:rsidRPr="00E227ED">
        <w:t>made through agreed governance arrangements</w:t>
      </w:r>
    </w:p>
    <w:p w14:paraId="57956E16" w14:textId="64E3F484" w:rsidR="00390997" w:rsidRPr="00390997" w:rsidRDefault="00390997" w:rsidP="00E7241E">
      <w:pPr>
        <w:spacing w:after="120" w:line="274" w:lineRule="auto"/>
      </w:pPr>
      <w:r w:rsidRPr="00390997">
        <w:t>All flexibility decisions must align with:</w:t>
      </w:r>
    </w:p>
    <w:p w14:paraId="1AAD1A1C" w14:textId="77777777" w:rsidR="00390997" w:rsidRPr="00390997" w:rsidRDefault="00390997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390997">
        <w:t>the agreed purpose and program outcomes</w:t>
      </w:r>
    </w:p>
    <w:p w14:paraId="3A8B137B" w14:textId="77777777" w:rsidR="00E56E42" w:rsidRPr="00D01A83" w:rsidRDefault="00E56E42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D01A83">
        <w:t xml:space="preserve">the </w:t>
      </w:r>
      <w:hyperlink r:id="rId17" w:history="1">
        <w:r w:rsidRPr="00C02417">
          <w:t>Public Governance, Performance and Accountability Act 2013</w:t>
        </w:r>
      </w:hyperlink>
    </w:p>
    <w:p w14:paraId="04772EA1" w14:textId="77777777" w:rsidR="00E56E42" w:rsidRPr="00D01A83" w:rsidRDefault="00E56E42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hyperlink r:id="rId18" w:history="1">
        <w:r w:rsidRPr="00C02417">
          <w:t>Commonwealth Grants Rules and Principles 2024</w:t>
        </w:r>
      </w:hyperlink>
    </w:p>
    <w:p w14:paraId="3A00FA3F" w14:textId="77777777" w:rsidR="00390997" w:rsidRPr="00390997" w:rsidRDefault="00390997" w:rsidP="00390997">
      <w:pPr>
        <w:numPr>
          <w:ilvl w:val="0"/>
          <w:numId w:val="22"/>
        </w:numPr>
        <w:spacing w:after="120" w:line="274" w:lineRule="auto"/>
        <w:ind w:right="-284"/>
      </w:pPr>
      <w:r w:rsidRPr="00390997">
        <w:t>relevant DSS policies, including risk, probity, data governance, assurance and evaluation requirements</w:t>
      </w:r>
    </w:p>
    <w:p w14:paraId="3D4C9D7E" w14:textId="68DBBEAD" w:rsidR="00260AA2" w:rsidRDefault="004639D4" w:rsidP="006428B7">
      <w:pPr>
        <w:pStyle w:val="Heading2"/>
      </w:pPr>
      <w:r>
        <w:t>Considerations</w:t>
      </w:r>
    </w:p>
    <w:p w14:paraId="73FF1C3B" w14:textId="5EFB8F88" w:rsidR="001303E0" w:rsidRPr="00FE5CFF" w:rsidRDefault="001303E0" w:rsidP="001303E0">
      <w:pPr>
        <w:spacing w:after="120" w:line="274" w:lineRule="auto"/>
      </w:pPr>
      <w:r w:rsidRPr="008B6EDF">
        <w:t>Flexibility</w:t>
      </w:r>
      <w:r>
        <w:t xml:space="preserve"> </w:t>
      </w:r>
      <w:r w:rsidRPr="00FE5CFF">
        <w:t xml:space="preserve">decisions </w:t>
      </w:r>
      <w:r w:rsidRPr="007D2C11">
        <w:t xml:space="preserve">should support the </w:t>
      </w:r>
      <w:r w:rsidR="001427BB">
        <w:t>whole</w:t>
      </w:r>
      <w:r w:rsidRPr="007D2C11">
        <w:t xml:space="preserve"> service system, not only individual organisations.</w:t>
      </w:r>
      <w:r w:rsidR="00270C7C">
        <w:t xml:space="preserve"> </w:t>
      </w:r>
      <w:r>
        <w:t>Decisions should consider</w:t>
      </w:r>
      <w:r w:rsidRPr="00FE5CFF">
        <w:t>:</w:t>
      </w:r>
    </w:p>
    <w:p w14:paraId="0918740E" w14:textId="784423F2" w:rsidR="006361ED" w:rsidRPr="006361ED" w:rsidRDefault="006361ED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2948EF">
        <w:rPr>
          <w:b/>
          <w:bCs/>
        </w:rPr>
        <w:t>Outcomes</w:t>
      </w:r>
      <w:r>
        <w:t xml:space="preserve"> – </w:t>
      </w:r>
      <w:r w:rsidRPr="006361ED">
        <w:t xml:space="preserve">Will this </w:t>
      </w:r>
      <w:r w:rsidR="00A74934">
        <w:t>help achieve</w:t>
      </w:r>
      <w:r w:rsidR="001F2B47">
        <w:t xml:space="preserve"> the</w:t>
      </w:r>
      <w:r w:rsidRPr="006361ED">
        <w:t xml:space="preserve"> agreed outcomes?</w:t>
      </w:r>
    </w:p>
    <w:p w14:paraId="47971BFA" w14:textId="2A1C6BE3" w:rsidR="0038476F" w:rsidRPr="0038476F" w:rsidRDefault="0038476F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2948EF">
        <w:rPr>
          <w:b/>
          <w:bCs/>
        </w:rPr>
        <w:t>A</w:t>
      </w:r>
      <w:r w:rsidR="001303E0" w:rsidRPr="002948EF">
        <w:rPr>
          <w:b/>
          <w:bCs/>
        </w:rPr>
        <w:t xml:space="preserve">ccess </w:t>
      </w:r>
      <w:r w:rsidRPr="002948EF">
        <w:rPr>
          <w:b/>
          <w:bCs/>
        </w:rPr>
        <w:t>and coverage</w:t>
      </w:r>
      <w:r>
        <w:t xml:space="preserve"> – </w:t>
      </w:r>
      <w:r w:rsidRPr="0038476F">
        <w:t>Will people still be able to access services across all communities?</w:t>
      </w:r>
    </w:p>
    <w:p w14:paraId="1566E08F" w14:textId="1F63BA9C" w:rsidR="00777D57" w:rsidRPr="00777D57" w:rsidRDefault="0038476F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2948EF">
        <w:rPr>
          <w:b/>
          <w:bCs/>
        </w:rPr>
        <w:t>F</w:t>
      </w:r>
      <w:r w:rsidR="001303E0" w:rsidRPr="002948EF">
        <w:rPr>
          <w:b/>
          <w:bCs/>
        </w:rPr>
        <w:t>airness</w:t>
      </w:r>
      <w:r>
        <w:t xml:space="preserve"> – </w:t>
      </w:r>
      <w:r w:rsidR="00777D57" w:rsidRPr="00777D57">
        <w:t>Are priority groups still supported fairly?</w:t>
      </w:r>
    </w:p>
    <w:p w14:paraId="7FD101DE" w14:textId="5F31E10D" w:rsidR="00CD50F3" w:rsidRDefault="00777D57" w:rsidP="00CD50F3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2948EF">
        <w:rPr>
          <w:b/>
          <w:bCs/>
        </w:rPr>
        <w:t>C</w:t>
      </w:r>
      <w:r w:rsidR="001303E0" w:rsidRPr="002948EF">
        <w:rPr>
          <w:b/>
          <w:bCs/>
        </w:rPr>
        <w:t>ontinuity of services</w:t>
      </w:r>
      <w:r>
        <w:t xml:space="preserve"> – </w:t>
      </w:r>
      <w:r w:rsidRPr="00777D57">
        <w:t>Will services continue without interruption?</w:t>
      </w:r>
    </w:p>
    <w:p w14:paraId="01C5E268" w14:textId="179396D4" w:rsidR="007461E0" w:rsidRPr="007461E0" w:rsidRDefault="00777D57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2948EF">
        <w:rPr>
          <w:b/>
          <w:bCs/>
        </w:rPr>
        <w:t xml:space="preserve">System </w:t>
      </w:r>
      <w:r w:rsidR="0097545D" w:rsidRPr="002948EF">
        <w:rPr>
          <w:b/>
          <w:bCs/>
        </w:rPr>
        <w:t>impact</w:t>
      </w:r>
      <w:r w:rsidR="00602A00" w:rsidRPr="002948EF">
        <w:rPr>
          <w:b/>
          <w:bCs/>
        </w:rPr>
        <w:t xml:space="preserve"> and balance</w:t>
      </w:r>
      <w:r w:rsidR="0097545D">
        <w:t xml:space="preserve"> </w:t>
      </w:r>
      <w:r>
        <w:t xml:space="preserve">– </w:t>
      </w:r>
      <w:r w:rsidR="007461E0" w:rsidRPr="007461E0">
        <w:t xml:space="preserve">Will this affect other services, </w:t>
      </w:r>
      <w:r w:rsidR="00602903" w:rsidRPr="00602903">
        <w:t xml:space="preserve">upset the balance across services, cohorts or regions, </w:t>
      </w:r>
      <w:r w:rsidR="007461E0" w:rsidRPr="007461E0">
        <w:t>or lead to bigger issues when combined with other changes?</w:t>
      </w:r>
    </w:p>
    <w:p w14:paraId="6DF5FCE7" w14:textId="765A1595" w:rsidR="006428B7" w:rsidRPr="006428B7" w:rsidRDefault="006708D1" w:rsidP="006428B7">
      <w:pPr>
        <w:numPr>
          <w:ilvl w:val="0"/>
          <w:numId w:val="7"/>
        </w:numPr>
        <w:spacing w:after="60" w:line="274" w:lineRule="auto"/>
        <w:ind w:left="714" w:right="-284" w:hanging="357"/>
      </w:pPr>
      <w:r w:rsidRPr="006428B7">
        <w:rPr>
          <w:b/>
          <w:bCs/>
        </w:rPr>
        <w:t xml:space="preserve">Future </w:t>
      </w:r>
      <w:r w:rsidR="006428B7" w:rsidRPr="006428B7">
        <w:rPr>
          <w:b/>
          <w:bCs/>
        </w:rPr>
        <w:t>need</w:t>
      </w:r>
      <w:r w:rsidR="006428B7">
        <w:rPr>
          <w:b/>
          <w:bCs/>
        </w:rPr>
        <w:t>s</w:t>
      </w:r>
      <w:r w:rsidR="006428B7">
        <w:t xml:space="preserve"> - </w:t>
      </w:r>
      <w:r w:rsidR="006428B7" w:rsidRPr="006428B7">
        <w:t>Does this respond to future demand or emerging needs</w:t>
      </w:r>
      <w:r w:rsidR="006428B7">
        <w:t>?</w:t>
      </w:r>
    </w:p>
    <w:p w14:paraId="2E163290" w14:textId="49700B58" w:rsidR="006708D1" w:rsidRPr="009B5EB9" w:rsidRDefault="006708D1" w:rsidP="006428B7">
      <w:pPr>
        <w:pStyle w:val="Heading2"/>
      </w:pPr>
      <w:r>
        <w:t>Safeguards</w:t>
      </w:r>
    </w:p>
    <w:p w14:paraId="1BBC6CFD" w14:textId="61BD7C75" w:rsidR="0064369F" w:rsidRPr="00FE5CFF" w:rsidRDefault="0064369F" w:rsidP="0064369F">
      <w:pPr>
        <w:spacing w:after="120" w:line="274" w:lineRule="auto"/>
      </w:pPr>
      <w:r w:rsidRPr="00FE5CFF">
        <w:t>No flexibility decision should create a service gap unless:</w:t>
      </w:r>
    </w:p>
    <w:p w14:paraId="26ADF81C" w14:textId="7EB00B04" w:rsidR="0064369F" w:rsidRPr="00FE5CFF" w:rsidRDefault="0064369F" w:rsidP="00E7241E">
      <w:pPr>
        <w:numPr>
          <w:ilvl w:val="0"/>
          <w:numId w:val="7"/>
        </w:numPr>
        <w:spacing w:after="60" w:line="274" w:lineRule="auto"/>
        <w:ind w:left="714" w:right="-284" w:hanging="357"/>
      </w:pPr>
      <w:r>
        <w:t xml:space="preserve">another </w:t>
      </w:r>
      <w:r w:rsidRPr="00FE5CFF">
        <w:t>suitable service</w:t>
      </w:r>
      <w:r w:rsidR="008C0722">
        <w:t xml:space="preserve"> is</w:t>
      </w:r>
      <w:r w:rsidRPr="00FE5CFF">
        <w:t xml:space="preserve"> available and accessible</w:t>
      </w:r>
      <w:r w:rsidR="008C0722">
        <w:t>, and</w:t>
      </w:r>
    </w:p>
    <w:p w14:paraId="7B14079C" w14:textId="7C0051BA" w:rsidR="0064369F" w:rsidRDefault="008C0722" w:rsidP="0064369F">
      <w:pPr>
        <w:numPr>
          <w:ilvl w:val="0"/>
          <w:numId w:val="7"/>
        </w:numPr>
        <w:spacing w:after="120" w:line="274" w:lineRule="auto"/>
        <w:ind w:left="714" w:right="-284" w:hanging="357"/>
      </w:pPr>
      <w:r>
        <w:t xml:space="preserve">a clear </w:t>
      </w:r>
      <w:r w:rsidR="0064369F" w:rsidRPr="00FE5CFF">
        <w:t xml:space="preserve">transition </w:t>
      </w:r>
      <w:r>
        <w:t>plan is</w:t>
      </w:r>
      <w:r w:rsidR="0064369F" w:rsidRPr="00FE5CFF">
        <w:t xml:space="preserve"> in place</w:t>
      </w:r>
    </w:p>
    <w:p w14:paraId="4938468B" w14:textId="71476095" w:rsidR="003B6EC7" w:rsidRDefault="003B6EC7" w:rsidP="003B6EC7">
      <w:pPr>
        <w:spacing w:after="120" w:line="274" w:lineRule="auto"/>
      </w:pPr>
      <w:r w:rsidRPr="00CE09B1">
        <w:t>Changes that significantly affect service availability, including withdrawal of services, must be formally assessed and approved through appropriate governance processes.</w:t>
      </w:r>
    </w:p>
    <w:p w14:paraId="0DDD850B" w14:textId="148D2376" w:rsidR="008013A0" w:rsidRPr="00C71BBD" w:rsidRDefault="00C71BBD" w:rsidP="00E7241E">
      <w:pPr>
        <w:spacing w:after="120" w:line="27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61CA5" wp14:editId="3A22FC95">
                <wp:simplePos x="0" y="0"/>
                <wp:positionH relativeFrom="column">
                  <wp:posOffset>183515</wp:posOffset>
                </wp:positionH>
                <wp:positionV relativeFrom="paragraph">
                  <wp:posOffset>113030</wp:posOffset>
                </wp:positionV>
                <wp:extent cx="6143625" cy="1590675"/>
                <wp:effectExtent l="0" t="0" r="28575" b="28575"/>
                <wp:wrapNone/>
                <wp:docPr id="1225118781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590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3CDDB" id="Rectangle: Rounded Corners 2" o:spid="_x0000_s1026" alt="&quot;&quot;" style="position:absolute;margin-left:14.45pt;margin-top:8.9pt;width:483.7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" filled="f" strokecolor="#000d10 [484]" strokeweight=".73403mm"/>
            </w:pict>
          </mc:Fallback>
        </mc:AlternateContent>
      </w:r>
    </w:p>
    <w:p w14:paraId="237D2F62" w14:textId="73E13A81" w:rsidR="00C008FC" w:rsidRPr="00C71BBD" w:rsidRDefault="00C71BBD" w:rsidP="000E1373">
      <w:pPr>
        <w:pStyle w:val="Heading3"/>
        <w:spacing w:before="0" w:line="274" w:lineRule="auto"/>
        <w:ind w:left="2880"/>
        <w:rPr>
          <w:b/>
          <w:bCs w:val="0"/>
          <w:color w:val="auto"/>
          <w:sz w:val="28"/>
          <w:szCs w:val="22"/>
        </w:rPr>
      </w:pPr>
      <w:r w:rsidRPr="00C71BBD">
        <w:rPr>
          <w:b/>
          <w:bCs w:val="0"/>
          <w:color w:val="auto"/>
          <w:sz w:val="28"/>
          <w:szCs w:val="22"/>
        </w:rPr>
        <w:t>Rules that always apply:</w:t>
      </w:r>
    </w:p>
    <w:p w14:paraId="1166041A" w14:textId="77777777" w:rsidR="00C71BBD" w:rsidRPr="002D39B6" w:rsidRDefault="00C71BBD" w:rsidP="00F95751">
      <w:pPr>
        <w:numPr>
          <w:ilvl w:val="1"/>
          <w:numId w:val="24"/>
        </w:numPr>
        <w:spacing w:after="60" w:line="240" w:lineRule="auto"/>
        <w:ind w:right="-284"/>
      </w:pPr>
      <w:r w:rsidRPr="002D39B6">
        <w:t xml:space="preserve">Base services must </w:t>
      </w:r>
      <w:r w:rsidRPr="00041EF4">
        <w:t>continue to be delivered</w:t>
      </w:r>
      <w:r w:rsidRPr="002D39B6">
        <w:t xml:space="preserve"> (no service disruption)</w:t>
      </w:r>
    </w:p>
    <w:p w14:paraId="11B80AB7" w14:textId="77777777" w:rsidR="00C71BBD" w:rsidRPr="002D39B6" w:rsidRDefault="00C71BBD" w:rsidP="00F95751">
      <w:pPr>
        <w:numPr>
          <w:ilvl w:val="1"/>
          <w:numId w:val="24"/>
        </w:numPr>
        <w:spacing w:after="60" w:line="240" w:lineRule="auto"/>
        <w:ind w:right="-284"/>
      </w:pPr>
      <w:r w:rsidRPr="002D39B6">
        <w:t xml:space="preserve">Changes must stay within the </w:t>
      </w:r>
      <w:r w:rsidRPr="00041EF4">
        <w:t>agreed scope unless formally varied</w:t>
      </w:r>
    </w:p>
    <w:p w14:paraId="5C7FBF38" w14:textId="77777777" w:rsidR="00C71BBD" w:rsidRPr="002D39B6" w:rsidRDefault="00C71BBD" w:rsidP="00F95751">
      <w:pPr>
        <w:numPr>
          <w:ilvl w:val="1"/>
          <w:numId w:val="24"/>
        </w:numPr>
        <w:spacing w:after="60" w:line="240" w:lineRule="auto"/>
        <w:ind w:right="-284"/>
      </w:pPr>
      <w:r w:rsidRPr="002D39B6">
        <w:t xml:space="preserve">All changes must be </w:t>
      </w:r>
      <w:r w:rsidRPr="00041EF4">
        <w:t>documented</w:t>
      </w:r>
    </w:p>
    <w:p w14:paraId="2BD7BA66" w14:textId="77777777" w:rsidR="00C71BBD" w:rsidRPr="002D39B6" w:rsidRDefault="00C71BBD" w:rsidP="00F95751">
      <w:pPr>
        <w:numPr>
          <w:ilvl w:val="1"/>
          <w:numId w:val="24"/>
        </w:numPr>
        <w:spacing w:after="60" w:line="240" w:lineRule="auto"/>
        <w:ind w:right="-284"/>
      </w:pPr>
      <w:r w:rsidRPr="00041EF4">
        <w:t>Mandatory reporting requirements still apply</w:t>
      </w:r>
    </w:p>
    <w:p w14:paraId="0E169E32" w14:textId="77777777" w:rsidR="00C71BBD" w:rsidRPr="002D39B6" w:rsidRDefault="00C71BBD" w:rsidP="00F95751">
      <w:pPr>
        <w:numPr>
          <w:ilvl w:val="1"/>
          <w:numId w:val="24"/>
        </w:numPr>
        <w:spacing w:after="120" w:line="240" w:lineRule="auto"/>
        <w:ind w:right="-284"/>
      </w:pPr>
      <w:r w:rsidRPr="002D39B6">
        <w:t xml:space="preserve">Flexibility does not change </w:t>
      </w:r>
      <w:r w:rsidRPr="00041EF4">
        <w:t>policy, legislation, or funding authority</w:t>
      </w:r>
    </w:p>
    <w:p w14:paraId="34040F60" w14:textId="1AB3C6E3" w:rsidR="00C71BBD" w:rsidRDefault="00C71BBD" w:rsidP="008E031C">
      <w:pPr>
        <w:spacing w:after="0" w:line="274" w:lineRule="auto"/>
        <w:sectPr w:rsidR="00C71BBD" w:rsidSect="00DC474C">
          <w:type w:val="continuous"/>
          <w:pgSz w:w="11906" w:h="16838"/>
          <w:pgMar w:top="851" w:right="851" w:bottom="851" w:left="851" w:header="0" w:footer="0" w:gutter="0"/>
          <w:pgNumType w:start="2"/>
          <w:cols w:space="708"/>
          <w:titlePg/>
          <w:docGrid w:linePitch="360"/>
        </w:sectPr>
      </w:pPr>
    </w:p>
    <w:p w14:paraId="20AD3875" w14:textId="7175A10A" w:rsidR="006C7762" w:rsidRDefault="006C7762" w:rsidP="000E48F4">
      <w:pPr>
        <w:pStyle w:val="Heading2"/>
      </w:pPr>
      <w:r>
        <w:lastRenderedPageBreak/>
        <w:t xml:space="preserve">Appendix - </w:t>
      </w:r>
      <w:r w:rsidRPr="006C7762">
        <w:t xml:space="preserve">Decision </w:t>
      </w:r>
      <w:r w:rsidRPr="0003748E">
        <w:t>Categories</w:t>
      </w:r>
      <w:r w:rsidRPr="006C7762">
        <w:t xml:space="preserve">, Authority and </w:t>
      </w:r>
      <w:r w:rsidRPr="00B971D1">
        <w:t>Safeguards</w:t>
      </w:r>
      <w:r w:rsidR="00CC1CAE">
        <w:t>*</w:t>
      </w:r>
    </w:p>
    <w:p w14:paraId="349BC1FA" w14:textId="5A15AC87" w:rsidR="00D5045C" w:rsidRPr="00D5045C" w:rsidRDefault="0077360A" w:rsidP="000E48F4">
      <w:r w:rsidRPr="0077360A">
        <w:t xml:space="preserve">The categories below are indicative </w:t>
      </w:r>
      <w:r w:rsidR="00A368A1">
        <w:t>only</w:t>
      </w:r>
      <w:r w:rsidRPr="0077360A">
        <w:t xml:space="preserve">. </w:t>
      </w:r>
      <w:r w:rsidR="009D016F" w:rsidRPr="009D016F">
        <w:t>Governance, evidence and approval requirements should be proportionate</w:t>
      </w:r>
      <w:r w:rsidR="000C6241">
        <w:t xml:space="preserve"> to </w:t>
      </w:r>
      <w:r w:rsidR="009D016F" w:rsidRPr="009D016F">
        <w:t>the scale, risk, urgency, complexity, and potential system impact of the proposed change.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552"/>
        <w:gridCol w:w="3118"/>
        <w:gridCol w:w="4216"/>
      </w:tblGrid>
      <w:tr w:rsidR="00F417FD" w:rsidRPr="00E10939" w14:paraId="602B32F4" w14:textId="77777777" w:rsidTr="00E72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  <w:tblHeader/>
        </w:trPr>
        <w:tc>
          <w:tcPr>
            <w:tcW w:w="1838" w:type="dxa"/>
            <w:hideMark/>
          </w:tcPr>
          <w:p w14:paraId="305BB613" w14:textId="77777777" w:rsidR="006C7762" w:rsidRPr="00E7241E" w:rsidRDefault="006C7762" w:rsidP="00E7241E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E7241E">
              <w:rPr>
                <w:b/>
                <w:bCs/>
                <w:sz w:val="20"/>
                <w:szCs w:val="22"/>
              </w:rPr>
              <w:t>Type of Adjustment</w:t>
            </w:r>
          </w:p>
        </w:tc>
        <w:tc>
          <w:tcPr>
            <w:tcW w:w="3402" w:type="dxa"/>
            <w:hideMark/>
          </w:tcPr>
          <w:p w14:paraId="4964BB03" w14:textId="77777777" w:rsidR="006C7762" w:rsidRPr="00E7241E" w:rsidRDefault="006C7762" w:rsidP="00E7241E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E7241E">
              <w:rPr>
                <w:b/>
                <w:bCs/>
                <w:sz w:val="20"/>
                <w:szCs w:val="22"/>
              </w:rPr>
              <w:t>Examples</w:t>
            </w:r>
          </w:p>
        </w:tc>
        <w:tc>
          <w:tcPr>
            <w:tcW w:w="2552" w:type="dxa"/>
            <w:hideMark/>
          </w:tcPr>
          <w:p w14:paraId="38674033" w14:textId="77777777" w:rsidR="006C7762" w:rsidRPr="00E7241E" w:rsidRDefault="006C7762" w:rsidP="00E7241E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E7241E">
              <w:rPr>
                <w:b/>
                <w:bCs/>
                <w:sz w:val="20"/>
                <w:szCs w:val="22"/>
              </w:rPr>
              <w:t>Primary Governance Authority</w:t>
            </w:r>
          </w:p>
        </w:tc>
        <w:tc>
          <w:tcPr>
            <w:tcW w:w="3118" w:type="dxa"/>
            <w:hideMark/>
          </w:tcPr>
          <w:p w14:paraId="6C16C3C2" w14:textId="77777777" w:rsidR="006C7762" w:rsidRPr="00E7241E" w:rsidRDefault="006C7762" w:rsidP="00E7241E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E7241E">
              <w:rPr>
                <w:b/>
                <w:bCs/>
                <w:sz w:val="20"/>
                <w:szCs w:val="22"/>
              </w:rPr>
              <w:t>Required Evidence / Checks</w:t>
            </w:r>
          </w:p>
        </w:tc>
        <w:tc>
          <w:tcPr>
            <w:tcW w:w="4216" w:type="dxa"/>
            <w:hideMark/>
          </w:tcPr>
          <w:p w14:paraId="4060E482" w14:textId="77777777" w:rsidR="006C7762" w:rsidRPr="00E7241E" w:rsidRDefault="006C7762" w:rsidP="00E7241E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E7241E">
              <w:rPr>
                <w:b/>
                <w:bCs/>
                <w:sz w:val="20"/>
                <w:szCs w:val="22"/>
              </w:rPr>
              <w:t>Key Safeguards</w:t>
            </w:r>
          </w:p>
        </w:tc>
      </w:tr>
      <w:tr w:rsidR="00F417FD" w:rsidRPr="00E10939" w14:paraId="7D3C3F7E" w14:textId="77777777" w:rsidTr="000E48F4">
        <w:trPr>
          <w:trHeight w:val="944"/>
        </w:trPr>
        <w:tc>
          <w:tcPr>
            <w:tcW w:w="1838" w:type="dxa"/>
            <w:hideMark/>
          </w:tcPr>
          <w:p w14:paraId="744EB1C6" w14:textId="77777777" w:rsidR="006C7762" w:rsidRPr="00E7241E" w:rsidRDefault="006C7762" w:rsidP="00E7241E">
            <w:pPr>
              <w:spacing w:before="60" w:after="60"/>
              <w:rPr>
                <w:b/>
                <w:bCs/>
                <w:sz w:val="18"/>
                <w:szCs w:val="20"/>
              </w:rPr>
            </w:pPr>
            <w:r w:rsidRPr="00E7241E">
              <w:rPr>
                <w:b/>
                <w:bCs/>
                <w:sz w:val="18"/>
                <w:szCs w:val="20"/>
              </w:rPr>
              <w:t>Routine service delivery adjustments</w:t>
            </w:r>
          </w:p>
        </w:tc>
        <w:tc>
          <w:tcPr>
            <w:tcW w:w="3402" w:type="dxa"/>
            <w:hideMark/>
          </w:tcPr>
          <w:p w14:paraId="0A06F1CB" w14:textId="77777777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• Tailoring delivery approaches</w:t>
            </w:r>
            <w:r w:rsidRPr="00E7241E">
              <w:rPr>
                <w:sz w:val="18"/>
                <w:szCs w:val="20"/>
              </w:rPr>
              <w:br/>
              <w:t>• Changing activity mix or sequencing within agreed services</w:t>
            </w:r>
            <w:r w:rsidRPr="00E7241E">
              <w:rPr>
                <w:sz w:val="18"/>
                <w:szCs w:val="20"/>
              </w:rPr>
              <w:br/>
              <w:t>• Workforce or delivery method changes</w:t>
            </w:r>
          </w:p>
        </w:tc>
        <w:tc>
          <w:tcPr>
            <w:tcW w:w="2552" w:type="dxa"/>
            <w:hideMark/>
          </w:tcPr>
          <w:p w14:paraId="4776ABC6" w14:textId="2A092B64" w:rsidR="006C7762" w:rsidRPr="00E7241E" w:rsidRDefault="003F5369" w:rsidP="00E7241E">
            <w:pPr>
              <w:spacing w:before="60" w:after="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Grant</w:t>
            </w:r>
            <w:r w:rsidR="0077371D" w:rsidRPr="00E7241E">
              <w:rPr>
                <w:sz w:val="18"/>
                <w:szCs w:val="20"/>
              </w:rPr>
              <w:t xml:space="preserve"> Manager </w:t>
            </w:r>
            <w:r w:rsidR="006C7762" w:rsidRPr="00E7241E">
              <w:rPr>
                <w:sz w:val="18"/>
                <w:szCs w:val="20"/>
              </w:rPr>
              <w:t xml:space="preserve">/ </w:t>
            </w:r>
            <w:r w:rsidR="00AB771A" w:rsidRPr="00E7241E">
              <w:rPr>
                <w:sz w:val="18"/>
                <w:szCs w:val="20"/>
              </w:rPr>
              <w:t>Partnership Governance Forum</w:t>
            </w:r>
          </w:p>
        </w:tc>
        <w:tc>
          <w:tcPr>
            <w:tcW w:w="3118" w:type="dxa"/>
            <w:hideMark/>
          </w:tcPr>
          <w:p w14:paraId="2EA89928" w14:textId="616F42BE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</w:t>
            </w:r>
            <w:r w:rsidR="00FB0134" w:rsidRPr="00E7241E">
              <w:rPr>
                <w:sz w:val="18"/>
                <w:szCs w:val="20"/>
              </w:rPr>
              <w:t>Service d</w:t>
            </w:r>
            <w:r w:rsidRPr="00E7241E">
              <w:rPr>
                <w:sz w:val="18"/>
                <w:szCs w:val="20"/>
              </w:rPr>
              <w:t xml:space="preserve">emand </w:t>
            </w:r>
            <w:r w:rsidR="004D7F76" w:rsidRPr="00E7241E">
              <w:rPr>
                <w:sz w:val="18"/>
                <w:szCs w:val="20"/>
              </w:rPr>
              <w:t>and outcomes data</w:t>
            </w:r>
            <w:r w:rsidRPr="00E7241E">
              <w:rPr>
                <w:sz w:val="18"/>
                <w:szCs w:val="20"/>
              </w:rPr>
              <w:br/>
              <w:t>• Confirmation services remain available as agreed</w:t>
            </w:r>
          </w:p>
        </w:tc>
        <w:tc>
          <w:tcPr>
            <w:tcW w:w="4216" w:type="dxa"/>
            <w:hideMark/>
          </w:tcPr>
          <w:p w14:paraId="6936544E" w14:textId="1E78D22E" w:rsidR="00BD2FF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</w:t>
            </w:r>
            <w:r w:rsidR="00D0350F" w:rsidRPr="00E7241E">
              <w:rPr>
                <w:sz w:val="18"/>
                <w:szCs w:val="20"/>
              </w:rPr>
              <w:t>M</w:t>
            </w:r>
            <w:r w:rsidR="00435CE1" w:rsidRPr="00E7241E">
              <w:rPr>
                <w:sz w:val="18"/>
                <w:szCs w:val="20"/>
              </w:rPr>
              <w:t>ust not reduce</w:t>
            </w:r>
            <w:r w:rsidR="00BD2FF2" w:rsidRPr="00E7241E">
              <w:rPr>
                <w:sz w:val="18"/>
                <w:szCs w:val="20"/>
              </w:rPr>
              <w:t xml:space="preserve"> servi</w:t>
            </w:r>
            <w:r w:rsidRPr="00E7241E">
              <w:rPr>
                <w:sz w:val="18"/>
                <w:szCs w:val="20"/>
              </w:rPr>
              <w:t>ce availability</w:t>
            </w:r>
          </w:p>
          <w:p w14:paraId="15085F49" w14:textId="7C7E0239" w:rsidR="006C7762" w:rsidRPr="00E7241E" w:rsidRDefault="00BD2FF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•</w:t>
            </w:r>
            <w:r w:rsidR="00755221" w:rsidRPr="00E7241E">
              <w:rPr>
                <w:sz w:val="18"/>
                <w:szCs w:val="20"/>
              </w:rPr>
              <w:t xml:space="preserve"> </w:t>
            </w:r>
            <w:r w:rsidR="00D0350F" w:rsidRPr="00E7241E">
              <w:rPr>
                <w:sz w:val="18"/>
                <w:szCs w:val="20"/>
              </w:rPr>
              <w:t>M</w:t>
            </w:r>
            <w:r w:rsidRPr="00E7241E">
              <w:rPr>
                <w:sz w:val="18"/>
                <w:szCs w:val="20"/>
              </w:rPr>
              <w:t xml:space="preserve">ust not reduce </w:t>
            </w:r>
            <w:r w:rsidR="00755221" w:rsidRPr="00E7241E">
              <w:rPr>
                <w:sz w:val="18"/>
                <w:szCs w:val="20"/>
              </w:rPr>
              <w:t xml:space="preserve">progress toward agreed </w:t>
            </w:r>
            <w:r w:rsidRPr="00E7241E">
              <w:rPr>
                <w:sz w:val="18"/>
                <w:szCs w:val="20"/>
              </w:rPr>
              <w:t xml:space="preserve">program </w:t>
            </w:r>
            <w:r w:rsidR="00755221" w:rsidRPr="00E7241E">
              <w:rPr>
                <w:sz w:val="18"/>
                <w:szCs w:val="20"/>
              </w:rPr>
              <w:t>outcomes</w:t>
            </w:r>
            <w:r w:rsidR="006C7762" w:rsidRPr="00E7241E">
              <w:rPr>
                <w:sz w:val="18"/>
                <w:szCs w:val="20"/>
              </w:rPr>
              <w:br/>
              <w:t xml:space="preserve">• </w:t>
            </w:r>
            <w:r w:rsidR="00D0350F" w:rsidRPr="00E7241E">
              <w:rPr>
                <w:sz w:val="18"/>
                <w:szCs w:val="20"/>
              </w:rPr>
              <w:t>M</w:t>
            </w:r>
            <w:r w:rsidRPr="00E7241E">
              <w:rPr>
                <w:sz w:val="18"/>
                <w:szCs w:val="20"/>
              </w:rPr>
              <w:t xml:space="preserve">ust </w:t>
            </w:r>
            <w:r w:rsidR="00F102E3" w:rsidRPr="00E7241E">
              <w:rPr>
                <w:sz w:val="18"/>
                <w:szCs w:val="20"/>
              </w:rPr>
              <w:t>maintain or improve</w:t>
            </w:r>
            <w:r w:rsidR="006C7762" w:rsidRPr="00E7241E">
              <w:rPr>
                <w:sz w:val="18"/>
                <w:szCs w:val="20"/>
              </w:rPr>
              <w:t xml:space="preserve"> service </w:t>
            </w:r>
            <w:r w:rsidR="00C146E1" w:rsidRPr="00E7241E">
              <w:rPr>
                <w:sz w:val="18"/>
                <w:szCs w:val="20"/>
              </w:rPr>
              <w:t>coverage</w:t>
            </w:r>
            <w:r w:rsidR="00755221" w:rsidRPr="00E7241E">
              <w:rPr>
                <w:sz w:val="18"/>
                <w:szCs w:val="20"/>
              </w:rPr>
              <w:t>,</w:t>
            </w:r>
            <w:r w:rsidR="006C7762" w:rsidRPr="00E7241E" w:rsidDel="00755221">
              <w:rPr>
                <w:sz w:val="18"/>
                <w:szCs w:val="20"/>
              </w:rPr>
              <w:t xml:space="preserve"> </w:t>
            </w:r>
            <w:r w:rsidR="006C7762" w:rsidRPr="00E7241E">
              <w:rPr>
                <w:sz w:val="18"/>
                <w:szCs w:val="20"/>
              </w:rPr>
              <w:t>access</w:t>
            </w:r>
            <w:r w:rsidR="00755221" w:rsidRPr="00E7241E">
              <w:rPr>
                <w:sz w:val="18"/>
                <w:szCs w:val="20"/>
              </w:rPr>
              <w:t xml:space="preserve"> </w:t>
            </w:r>
            <w:r w:rsidR="00A4249B" w:rsidRPr="00E7241E">
              <w:rPr>
                <w:sz w:val="18"/>
                <w:szCs w:val="20"/>
              </w:rPr>
              <w:t xml:space="preserve">and </w:t>
            </w:r>
            <w:r w:rsidR="00755221" w:rsidRPr="00E7241E">
              <w:rPr>
                <w:sz w:val="18"/>
                <w:szCs w:val="20"/>
              </w:rPr>
              <w:t>equity</w:t>
            </w:r>
          </w:p>
        </w:tc>
      </w:tr>
      <w:tr w:rsidR="00F417FD" w:rsidRPr="00E10939" w14:paraId="7E71C951" w14:textId="77777777" w:rsidTr="00E7241E">
        <w:trPr>
          <w:trHeight w:val="816"/>
        </w:trPr>
        <w:tc>
          <w:tcPr>
            <w:tcW w:w="1838" w:type="dxa"/>
            <w:hideMark/>
          </w:tcPr>
          <w:p w14:paraId="0B5CCC06" w14:textId="4789AF00" w:rsidR="006C7762" w:rsidRPr="00E7241E" w:rsidRDefault="00CC049D" w:rsidP="00E7241E">
            <w:pPr>
              <w:spacing w:before="60" w:after="60"/>
              <w:rPr>
                <w:b/>
                <w:bCs/>
                <w:sz w:val="18"/>
                <w:szCs w:val="20"/>
              </w:rPr>
            </w:pPr>
            <w:r w:rsidRPr="00E7241E">
              <w:rPr>
                <w:b/>
                <w:bCs/>
                <w:sz w:val="18"/>
                <w:szCs w:val="20"/>
              </w:rPr>
              <w:t>C</w:t>
            </w:r>
            <w:r w:rsidR="006C7762" w:rsidRPr="00E7241E">
              <w:rPr>
                <w:b/>
                <w:bCs/>
                <w:sz w:val="18"/>
                <w:szCs w:val="20"/>
              </w:rPr>
              <w:t>ohort or effort rebalancing</w:t>
            </w:r>
          </w:p>
        </w:tc>
        <w:tc>
          <w:tcPr>
            <w:tcW w:w="3402" w:type="dxa"/>
            <w:hideMark/>
          </w:tcPr>
          <w:p w14:paraId="020BB06A" w14:textId="77777777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• Increasing/decreasing focus on an agreed client cohort</w:t>
            </w:r>
            <w:r w:rsidRPr="00E7241E">
              <w:rPr>
                <w:sz w:val="18"/>
                <w:szCs w:val="20"/>
              </w:rPr>
              <w:br/>
              <w:t>• Shifting effort across cohorts</w:t>
            </w:r>
          </w:p>
        </w:tc>
        <w:tc>
          <w:tcPr>
            <w:tcW w:w="2552" w:type="dxa"/>
            <w:hideMark/>
          </w:tcPr>
          <w:p w14:paraId="157B88C2" w14:textId="6365348A" w:rsidR="006C7762" w:rsidRPr="00E7241E" w:rsidRDefault="008737CB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Partnership Governance Forum</w:t>
            </w:r>
          </w:p>
        </w:tc>
        <w:tc>
          <w:tcPr>
            <w:tcW w:w="3118" w:type="dxa"/>
            <w:hideMark/>
          </w:tcPr>
          <w:p w14:paraId="3F3A4170" w14:textId="68022F8D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</w:t>
            </w:r>
            <w:r w:rsidR="004D7F76" w:rsidRPr="00E7241E">
              <w:rPr>
                <w:sz w:val="18"/>
                <w:szCs w:val="20"/>
              </w:rPr>
              <w:t>Service demand and outcomes data</w:t>
            </w:r>
            <w:r w:rsidR="00896E3B" w:rsidRPr="00E7241E">
              <w:rPr>
                <w:sz w:val="18"/>
                <w:szCs w:val="20"/>
              </w:rPr>
              <w:t xml:space="preserve">, including </w:t>
            </w:r>
            <w:r w:rsidR="004D7F76" w:rsidRPr="00E7241E">
              <w:rPr>
                <w:sz w:val="18"/>
                <w:szCs w:val="20"/>
              </w:rPr>
              <w:t>s</w:t>
            </w:r>
            <w:r w:rsidRPr="00E7241E">
              <w:rPr>
                <w:sz w:val="18"/>
                <w:szCs w:val="20"/>
              </w:rPr>
              <w:t>ervice and cohort coverage</w:t>
            </w:r>
          </w:p>
        </w:tc>
        <w:tc>
          <w:tcPr>
            <w:tcW w:w="4216" w:type="dxa"/>
            <w:hideMark/>
          </w:tcPr>
          <w:p w14:paraId="38ED30B1" w14:textId="4B448C3A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</w:t>
            </w:r>
            <w:r w:rsidR="00D0350F" w:rsidRPr="00E7241E">
              <w:rPr>
                <w:sz w:val="18"/>
                <w:szCs w:val="20"/>
              </w:rPr>
              <w:t>B</w:t>
            </w:r>
            <w:r w:rsidRPr="00E7241E">
              <w:rPr>
                <w:sz w:val="18"/>
                <w:szCs w:val="20"/>
              </w:rPr>
              <w:t>roader client</w:t>
            </w:r>
            <w:r w:rsidR="000819E6" w:rsidRPr="00E7241E">
              <w:rPr>
                <w:sz w:val="18"/>
                <w:szCs w:val="20"/>
              </w:rPr>
              <w:t xml:space="preserve"> needs</w:t>
            </w:r>
            <w:r w:rsidRPr="00E7241E">
              <w:rPr>
                <w:sz w:val="18"/>
                <w:szCs w:val="20"/>
              </w:rPr>
              <w:t xml:space="preserve"> </w:t>
            </w:r>
            <w:r w:rsidR="00896E3B" w:rsidRPr="00E7241E">
              <w:rPr>
                <w:sz w:val="18"/>
                <w:szCs w:val="20"/>
              </w:rPr>
              <w:t xml:space="preserve">must continue to be </w:t>
            </w:r>
            <w:r w:rsidRPr="00E7241E">
              <w:rPr>
                <w:sz w:val="18"/>
                <w:szCs w:val="20"/>
              </w:rPr>
              <w:t>met</w:t>
            </w:r>
            <w:r w:rsidRPr="00E7241E">
              <w:rPr>
                <w:sz w:val="18"/>
                <w:szCs w:val="20"/>
              </w:rPr>
              <w:br/>
              <w:t>• No cohort is unintentionally underserved</w:t>
            </w:r>
          </w:p>
        </w:tc>
      </w:tr>
      <w:tr w:rsidR="00F417FD" w:rsidRPr="00E10939" w14:paraId="0894DF2C" w14:textId="77777777" w:rsidTr="000E48F4">
        <w:trPr>
          <w:trHeight w:val="407"/>
        </w:trPr>
        <w:tc>
          <w:tcPr>
            <w:tcW w:w="1838" w:type="dxa"/>
            <w:hideMark/>
          </w:tcPr>
          <w:p w14:paraId="6E453284" w14:textId="77777777" w:rsidR="006C7762" w:rsidRPr="00E7241E" w:rsidRDefault="006C7762" w:rsidP="00E7241E">
            <w:pPr>
              <w:spacing w:before="60" w:after="60"/>
              <w:rPr>
                <w:b/>
                <w:bCs/>
                <w:sz w:val="18"/>
                <w:szCs w:val="20"/>
              </w:rPr>
            </w:pPr>
            <w:r w:rsidRPr="00E7241E">
              <w:rPr>
                <w:b/>
                <w:bCs/>
                <w:sz w:val="18"/>
                <w:szCs w:val="20"/>
              </w:rPr>
              <w:t>Material service mix changes</w:t>
            </w:r>
          </w:p>
        </w:tc>
        <w:tc>
          <w:tcPr>
            <w:tcW w:w="3402" w:type="dxa"/>
            <w:hideMark/>
          </w:tcPr>
          <w:p w14:paraId="6FAFE929" w14:textId="77777777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• Significant changes to services delivered</w:t>
            </w:r>
            <w:r w:rsidRPr="00E7241E">
              <w:rPr>
                <w:sz w:val="18"/>
                <w:szCs w:val="20"/>
              </w:rPr>
              <w:br/>
              <w:t>• Introduction or reduction of service types</w:t>
            </w:r>
          </w:p>
        </w:tc>
        <w:tc>
          <w:tcPr>
            <w:tcW w:w="2552" w:type="dxa"/>
            <w:hideMark/>
          </w:tcPr>
          <w:p w14:paraId="4A90C9CC" w14:textId="33E41869" w:rsidR="006C7762" w:rsidRPr="00E7241E" w:rsidRDefault="008737CB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Partnership Governance Forum </w:t>
            </w:r>
            <w:r w:rsidR="006C7762" w:rsidRPr="00E7241E">
              <w:rPr>
                <w:sz w:val="18"/>
                <w:szCs w:val="20"/>
              </w:rPr>
              <w:t>(escalate if system impacts</w:t>
            </w:r>
            <w:r w:rsidR="000819E6" w:rsidRPr="00E7241E">
              <w:rPr>
                <w:sz w:val="18"/>
                <w:szCs w:val="20"/>
              </w:rPr>
              <w:t xml:space="preserve"> are</w:t>
            </w:r>
            <w:r w:rsidR="006C7762" w:rsidRPr="00E7241E">
              <w:rPr>
                <w:sz w:val="18"/>
                <w:szCs w:val="20"/>
              </w:rPr>
              <w:t xml:space="preserve"> identified)</w:t>
            </w:r>
          </w:p>
        </w:tc>
        <w:tc>
          <w:tcPr>
            <w:tcW w:w="3118" w:type="dxa"/>
            <w:hideMark/>
          </w:tcPr>
          <w:p w14:paraId="703E99D8" w14:textId="77777777" w:rsidR="004D7F76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</w:t>
            </w:r>
            <w:r w:rsidR="004D7F76" w:rsidRPr="00E7241E">
              <w:rPr>
                <w:sz w:val="18"/>
                <w:szCs w:val="20"/>
              </w:rPr>
              <w:t xml:space="preserve">Service demand and outcomes data </w:t>
            </w:r>
          </w:p>
          <w:p w14:paraId="2F9A7359" w14:textId="0795A174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Analysis of cumulative </w:t>
            </w:r>
            <w:r w:rsidR="004821E4" w:rsidRPr="00E7241E">
              <w:rPr>
                <w:sz w:val="18"/>
                <w:szCs w:val="20"/>
              </w:rPr>
              <w:t>impacts across the system</w:t>
            </w:r>
          </w:p>
        </w:tc>
        <w:tc>
          <w:tcPr>
            <w:tcW w:w="4216" w:type="dxa"/>
            <w:hideMark/>
          </w:tcPr>
          <w:p w14:paraId="5347E7CF" w14:textId="5403C227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</w:t>
            </w:r>
            <w:r w:rsidR="006403E9" w:rsidRPr="00E7241E">
              <w:rPr>
                <w:sz w:val="18"/>
                <w:szCs w:val="20"/>
              </w:rPr>
              <w:t>Must not result in e</w:t>
            </w:r>
            <w:r w:rsidRPr="00E7241E">
              <w:rPr>
                <w:sz w:val="18"/>
                <w:szCs w:val="20"/>
              </w:rPr>
              <w:t>ffective</w:t>
            </w:r>
            <w:r w:rsidR="006403E9" w:rsidRPr="00E7241E">
              <w:rPr>
                <w:sz w:val="18"/>
                <w:szCs w:val="20"/>
              </w:rPr>
              <w:t xml:space="preserve"> service</w:t>
            </w:r>
            <w:r w:rsidRPr="00E7241E">
              <w:rPr>
                <w:sz w:val="18"/>
                <w:szCs w:val="20"/>
              </w:rPr>
              <w:t xml:space="preserve"> withdrawal without approval</w:t>
            </w:r>
            <w:r w:rsidRPr="00E7241E">
              <w:rPr>
                <w:sz w:val="18"/>
                <w:szCs w:val="20"/>
              </w:rPr>
              <w:br/>
              <w:t>• System balance</w:t>
            </w:r>
            <w:r w:rsidR="00AE3820" w:rsidRPr="00E7241E">
              <w:rPr>
                <w:sz w:val="18"/>
                <w:szCs w:val="20"/>
              </w:rPr>
              <w:t xml:space="preserve"> must be</w:t>
            </w:r>
            <w:r w:rsidRPr="00E7241E">
              <w:rPr>
                <w:sz w:val="18"/>
                <w:szCs w:val="20"/>
              </w:rPr>
              <w:t xml:space="preserve"> maintained</w:t>
            </w:r>
          </w:p>
        </w:tc>
      </w:tr>
      <w:tr w:rsidR="00F417FD" w:rsidRPr="00E10939" w14:paraId="6A908EC7" w14:textId="77777777" w:rsidTr="00E7241E">
        <w:trPr>
          <w:trHeight w:val="639"/>
        </w:trPr>
        <w:tc>
          <w:tcPr>
            <w:tcW w:w="1838" w:type="dxa"/>
            <w:hideMark/>
          </w:tcPr>
          <w:p w14:paraId="52424ED5" w14:textId="77777777" w:rsidR="006C7762" w:rsidRPr="00E7241E" w:rsidRDefault="006C7762" w:rsidP="00E7241E">
            <w:pPr>
              <w:spacing w:before="60" w:after="60"/>
              <w:rPr>
                <w:b/>
                <w:bCs/>
                <w:sz w:val="18"/>
                <w:szCs w:val="20"/>
              </w:rPr>
            </w:pPr>
            <w:r w:rsidRPr="00E7241E">
              <w:rPr>
                <w:b/>
                <w:bCs/>
                <w:sz w:val="18"/>
                <w:szCs w:val="20"/>
              </w:rPr>
              <w:t>Location scaling within footprint</w:t>
            </w:r>
          </w:p>
        </w:tc>
        <w:tc>
          <w:tcPr>
            <w:tcW w:w="3402" w:type="dxa"/>
            <w:hideMark/>
          </w:tcPr>
          <w:p w14:paraId="54D735E4" w14:textId="6B0AF86B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• Scaling delivery up</w:t>
            </w:r>
            <w:r w:rsidR="00AE3820" w:rsidRPr="00E7241E">
              <w:rPr>
                <w:sz w:val="18"/>
                <w:szCs w:val="20"/>
              </w:rPr>
              <w:t xml:space="preserve"> or </w:t>
            </w:r>
            <w:r w:rsidRPr="00E7241E">
              <w:rPr>
                <w:sz w:val="18"/>
                <w:szCs w:val="20"/>
              </w:rPr>
              <w:t>down across locations</w:t>
            </w:r>
            <w:r w:rsidRPr="00E7241E">
              <w:rPr>
                <w:sz w:val="18"/>
                <w:szCs w:val="20"/>
              </w:rPr>
              <w:br/>
              <w:t xml:space="preserve">• Adjusting </w:t>
            </w:r>
            <w:r w:rsidR="00AE3820" w:rsidRPr="00E7241E">
              <w:rPr>
                <w:sz w:val="18"/>
                <w:szCs w:val="20"/>
              </w:rPr>
              <w:t xml:space="preserve">service </w:t>
            </w:r>
            <w:r w:rsidRPr="00E7241E">
              <w:rPr>
                <w:sz w:val="18"/>
                <w:szCs w:val="20"/>
              </w:rPr>
              <w:t>intensity by location</w:t>
            </w:r>
          </w:p>
        </w:tc>
        <w:tc>
          <w:tcPr>
            <w:tcW w:w="2552" w:type="dxa"/>
            <w:hideMark/>
          </w:tcPr>
          <w:p w14:paraId="5F3B56F9" w14:textId="6DFA008B" w:rsidR="006C7762" w:rsidRPr="00E7241E" w:rsidRDefault="008737CB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Partnership Governance Forum</w:t>
            </w:r>
          </w:p>
        </w:tc>
        <w:tc>
          <w:tcPr>
            <w:tcW w:w="3118" w:type="dxa"/>
            <w:hideMark/>
          </w:tcPr>
          <w:p w14:paraId="028484EC" w14:textId="53C5D827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Service </w:t>
            </w:r>
            <w:r w:rsidR="00AE3820" w:rsidRPr="00E7241E">
              <w:rPr>
                <w:sz w:val="18"/>
                <w:szCs w:val="20"/>
              </w:rPr>
              <w:t>coverage</w:t>
            </w:r>
            <w:r w:rsidRPr="00E7241E">
              <w:rPr>
                <w:sz w:val="18"/>
                <w:szCs w:val="20"/>
              </w:rPr>
              <w:t xml:space="preserve"> mapping</w:t>
            </w:r>
            <w:r w:rsidRPr="00E7241E">
              <w:rPr>
                <w:sz w:val="18"/>
                <w:szCs w:val="20"/>
              </w:rPr>
              <w:br/>
              <w:t xml:space="preserve">• </w:t>
            </w:r>
            <w:r w:rsidR="00926EA5" w:rsidRPr="00E7241E">
              <w:rPr>
                <w:sz w:val="18"/>
                <w:szCs w:val="20"/>
              </w:rPr>
              <w:t>Service d</w:t>
            </w:r>
            <w:r w:rsidRPr="00E7241E">
              <w:rPr>
                <w:sz w:val="18"/>
                <w:szCs w:val="20"/>
              </w:rPr>
              <w:t>emand and access data</w:t>
            </w:r>
          </w:p>
        </w:tc>
        <w:tc>
          <w:tcPr>
            <w:tcW w:w="4216" w:type="dxa"/>
            <w:hideMark/>
          </w:tcPr>
          <w:p w14:paraId="30EC0BE1" w14:textId="4268CB80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Services continue to be delivered within </w:t>
            </w:r>
            <w:r w:rsidR="001069DD" w:rsidRPr="00E7241E">
              <w:rPr>
                <w:sz w:val="18"/>
                <w:szCs w:val="20"/>
              </w:rPr>
              <w:t xml:space="preserve">the </w:t>
            </w:r>
            <w:r w:rsidRPr="00E7241E">
              <w:rPr>
                <w:sz w:val="18"/>
                <w:szCs w:val="20"/>
              </w:rPr>
              <w:t>approved</w:t>
            </w:r>
            <w:r w:rsidR="001069DD" w:rsidRPr="00E7241E">
              <w:rPr>
                <w:sz w:val="18"/>
                <w:szCs w:val="20"/>
              </w:rPr>
              <w:t xml:space="preserve"> service</w:t>
            </w:r>
            <w:r w:rsidRPr="00E7241E">
              <w:rPr>
                <w:sz w:val="18"/>
                <w:szCs w:val="20"/>
              </w:rPr>
              <w:t xml:space="preserve"> coverage area</w:t>
            </w:r>
          </w:p>
        </w:tc>
      </w:tr>
      <w:tr w:rsidR="00F417FD" w:rsidRPr="00E10939" w14:paraId="36379A9C" w14:textId="77777777" w:rsidTr="000E48F4">
        <w:trPr>
          <w:trHeight w:val="762"/>
        </w:trPr>
        <w:tc>
          <w:tcPr>
            <w:tcW w:w="1838" w:type="dxa"/>
            <w:hideMark/>
          </w:tcPr>
          <w:p w14:paraId="3B8651D6" w14:textId="77777777" w:rsidR="008737CB" w:rsidRPr="00E7241E" w:rsidRDefault="008737CB" w:rsidP="00E7241E">
            <w:pPr>
              <w:spacing w:before="60" w:after="60"/>
              <w:rPr>
                <w:b/>
                <w:bCs/>
                <w:sz w:val="18"/>
                <w:szCs w:val="20"/>
              </w:rPr>
            </w:pPr>
            <w:r w:rsidRPr="00E7241E">
              <w:rPr>
                <w:b/>
                <w:bCs/>
                <w:sz w:val="18"/>
                <w:szCs w:val="20"/>
              </w:rPr>
              <w:t>Financial adjustments within limits</w:t>
            </w:r>
          </w:p>
        </w:tc>
        <w:tc>
          <w:tcPr>
            <w:tcW w:w="3402" w:type="dxa"/>
            <w:hideMark/>
          </w:tcPr>
          <w:p w14:paraId="2AFE40E8" w14:textId="5FFF54F8" w:rsidR="008737CB" w:rsidRPr="00E7241E" w:rsidRDefault="008737CB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</w:t>
            </w:r>
            <w:r w:rsidR="001069DD" w:rsidRPr="00E7241E">
              <w:rPr>
                <w:sz w:val="18"/>
                <w:szCs w:val="20"/>
              </w:rPr>
              <w:t>Reallocating funds across agreed purposes or activity areas</w:t>
            </w:r>
            <w:r w:rsidRPr="00E7241E">
              <w:rPr>
                <w:sz w:val="18"/>
                <w:szCs w:val="20"/>
              </w:rPr>
              <w:br/>
              <w:t xml:space="preserve">• Adjusting </w:t>
            </w:r>
            <w:r w:rsidR="00C17024" w:rsidRPr="00E7241E">
              <w:rPr>
                <w:sz w:val="18"/>
                <w:szCs w:val="20"/>
              </w:rPr>
              <w:t>the timing of</w:t>
            </w:r>
            <w:r w:rsidR="00DA1099" w:rsidRPr="00E7241E">
              <w:rPr>
                <w:sz w:val="18"/>
                <w:szCs w:val="20"/>
              </w:rPr>
              <w:t xml:space="preserve"> </w:t>
            </w:r>
            <w:r w:rsidR="00461659" w:rsidRPr="00E7241E">
              <w:rPr>
                <w:sz w:val="18"/>
                <w:szCs w:val="20"/>
              </w:rPr>
              <w:t>payment</w:t>
            </w:r>
            <w:r w:rsidR="00DA1099" w:rsidRPr="00E7241E">
              <w:rPr>
                <w:sz w:val="18"/>
                <w:szCs w:val="20"/>
              </w:rPr>
              <w:t xml:space="preserve"> arrangements</w:t>
            </w:r>
          </w:p>
        </w:tc>
        <w:tc>
          <w:tcPr>
            <w:tcW w:w="2552" w:type="dxa"/>
            <w:hideMark/>
          </w:tcPr>
          <w:p w14:paraId="770CC6AA" w14:textId="77777777" w:rsidR="008737CB" w:rsidRPr="00E7241E" w:rsidRDefault="008737CB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Partnership Governance Forum (depending on materiality)</w:t>
            </w:r>
          </w:p>
        </w:tc>
        <w:tc>
          <w:tcPr>
            <w:tcW w:w="3118" w:type="dxa"/>
            <w:hideMark/>
          </w:tcPr>
          <w:p w14:paraId="402E656A" w14:textId="380A56CA" w:rsidR="008737CB" w:rsidRPr="00E7241E" w:rsidRDefault="008737CB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• Financial analysis</w:t>
            </w:r>
            <w:r w:rsidRPr="00E7241E">
              <w:rPr>
                <w:sz w:val="18"/>
                <w:szCs w:val="20"/>
              </w:rPr>
              <w:br/>
              <w:t>• Alignment with</w:t>
            </w:r>
            <w:r w:rsidR="006F2037" w:rsidRPr="00E7241E">
              <w:rPr>
                <w:sz w:val="18"/>
                <w:szCs w:val="20"/>
              </w:rPr>
              <w:t xml:space="preserve"> agreed</w:t>
            </w:r>
            <w:r w:rsidRPr="00E7241E">
              <w:rPr>
                <w:sz w:val="18"/>
                <w:szCs w:val="20"/>
              </w:rPr>
              <w:t xml:space="preserve"> outcomes and delivery plans</w:t>
            </w:r>
          </w:p>
        </w:tc>
        <w:tc>
          <w:tcPr>
            <w:tcW w:w="4216" w:type="dxa"/>
            <w:hideMark/>
          </w:tcPr>
          <w:p w14:paraId="6B8BE971" w14:textId="77777777" w:rsidR="009E7BEA" w:rsidRPr="00E7241E" w:rsidRDefault="008737CB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</w:t>
            </w:r>
            <w:r w:rsidR="009E7BEA" w:rsidRPr="00E7241E">
              <w:rPr>
                <w:sz w:val="18"/>
                <w:szCs w:val="20"/>
              </w:rPr>
              <w:t>Must not</w:t>
            </w:r>
            <w:r w:rsidRPr="00E7241E">
              <w:rPr>
                <w:sz w:val="18"/>
                <w:szCs w:val="20"/>
              </w:rPr>
              <w:t xml:space="preserve"> change </w:t>
            </w:r>
            <w:r w:rsidR="009E7BEA" w:rsidRPr="00E7241E">
              <w:rPr>
                <w:sz w:val="18"/>
                <w:szCs w:val="20"/>
              </w:rPr>
              <w:t>the</w:t>
            </w:r>
            <w:r w:rsidR="00691B54" w:rsidRPr="00E7241E">
              <w:rPr>
                <w:sz w:val="18"/>
                <w:szCs w:val="20"/>
              </w:rPr>
              <w:t xml:space="preserve"> total</w:t>
            </w:r>
            <w:r w:rsidRPr="00E7241E">
              <w:rPr>
                <w:sz w:val="18"/>
                <w:szCs w:val="20"/>
              </w:rPr>
              <w:t xml:space="preserve"> funding </w:t>
            </w:r>
            <w:r w:rsidR="00691B54" w:rsidRPr="00E7241E">
              <w:rPr>
                <w:sz w:val="18"/>
                <w:szCs w:val="20"/>
              </w:rPr>
              <w:t>amount</w:t>
            </w:r>
            <w:r w:rsidR="00EC67C5" w:rsidRPr="00E7241E">
              <w:rPr>
                <w:sz w:val="18"/>
                <w:szCs w:val="20"/>
              </w:rPr>
              <w:t xml:space="preserve"> </w:t>
            </w:r>
          </w:p>
          <w:p w14:paraId="4EF55E83" w14:textId="453EB1E2" w:rsidR="008737CB" w:rsidRPr="00E7241E" w:rsidRDefault="009E7BEA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Must not impact </w:t>
            </w:r>
            <w:r w:rsidR="003B57E5" w:rsidRPr="00E7241E">
              <w:rPr>
                <w:sz w:val="18"/>
                <w:szCs w:val="20"/>
              </w:rPr>
              <w:t xml:space="preserve">the </w:t>
            </w:r>
            <w:r w:rsidR="00C74B88" w:rsidRPr="00E7241E">
              <w:rPr>
                <w:sz w:val="18"/>
                <w:szCs w:val="20"/>
              </w:rPr>
              <w:t xml:space="preserve">ability to deliver agreed </w:t>
            </w:r>
            <w:r w:rsidRPr="00E7241E">
              <w:rPr>
                <w:sz w:val="18"/>
                <w:szCs w:val="20"/>
              </w:rPr>
              <w:t xml:space="preserve">program </w:t>
            </w:r>
            <w:r w:rsidR="00C74B88" w:rsidRPr="00E7241E">
              <w:rPr>
                <w:sz w:val="18"/>
                <w:szCs w:val="20"/>
              </w:rPr>
              <w:t>outcomes</w:t>
            </w:r>
          </w:p>
        </w:tc>
      </w:tr>
      <w:tr w:rsidR="00F417FD" w:rsidRPr="00E10939" w14:paraId="5EFD9F44" w14:textId="77777777" w:rsidTr="000E48F4">
        <w:trPr>
          <w:trHeight w:val="1032"/>
        </w:trPr>
        <w:tc>
          <w:tcPr>
            <w:tcW w:w="1838" w:type="dxa"/>
            <w:hideMark/>
          </w:tcPr>
          <w:p w14:paraId="46C2698B" w14:textId="77777777" w:rsidR="006C7762" w:rsidRPr="00E7241E" w:rsidRDefault="006C7762" w:rsidP="00E7241E">
            <w:pPr>
              <w:spacing w:before="60" w:after="60"/>
              <w:rPr>
                <w:b/>
                <w:bCs/>
                <w:sz w:val="18"/>
                <w:szCs w:val="20"/>
              </w:rPr>
            </w:pPr>
            <w:r w:rsidRPr="00E7241E">
              <w:rPr>
                <w:b/>
                <w:bCs/>
                <w:sz w:val="18"/>
                <w:szCs w:val="20"/>
              </w:rPr>
              <w:t>Complete withdrawal from a location or region</w:t>
            </w:r>
          </w:p>
        </w:tc>
        <w:tc>
          <w:tcPr>
            <w:tcW w:w="3402" w:type="dxa"/>
            <w:hideMark/>
          </w:tcPr>
          <w:p w14:paraId="2B57E000" w14:textId="77777777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• Ceasing delivery in a region</w:t>
            </w:r>
            <w:r w:rsidRPr="00E7241E">
              <w:rPr>
                <w:sz w:val="18"/>
                <w:szCs w:val="20"/>
              </w:rPr>
              <w:br/>
              <w:t>• Exiting a service location entirely</w:t>
            </w:r>
          </w:p>
        </w:tc>
        <w:tc>
          <w:tcPr>
            <w:tcW w:w="2552" w:type="dxa"/>
            <w:hideMark/>
          </w:tcPr>
          <w:p w14:paraId="7AF9B25F" w14:textId="77777777" w:rsidR="00904813" w:rsidRPr="00E7241E" w:rsidRDefault="00904813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Senior executive (per Governance Framework) via formal variation</w:t>
            </w:r>
          </w:p>
          <w:p w14:paraId="6539260E" w14:textId="2458BA8E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</w:p>
        </w:tc>
        <w:tc>
          <w:tcPr>
            <w:tcW w:w="3118" w:type="dxa"/>
            <w:hideMark/>
          </w:tcPr>
          <w:p w14:paraId="5C75E0EB" w14:textId="77777777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• Assessment of alternative service availability</w:t>
            </w:r>
            <w:r w:rsidRPr="00E7241E">
              <w:rPr>
                <w:sz w:val="18"/>
                <w:szCs w:val="20"/>
              </w:rPr>
              <w:br/>
              <w:t>• Accessibility analysis</w:t>
            </w:r>
            <w:r w:rsidRPr="00E7241E">
              <w:rPr>
                <w:sz w:val="18"/>
                <w:szCs w:val="20"/>
              </w:rPr>
              <w:br/>
              <w:t>• Client transition and handover plan</w:t>
            </w:r>
          </w:p>
        </w:tc>
        <w:tc>
          <w:tcPr>
            <w:tcW w:w="4216" w:type="dxa"/>
            <w:hideMark/>
          </w:tcPr>
          <w:p w14:paraId="0AD5433A" w14:textId="612C438C" w:rsidR="0095456D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</w:t>
            </w:r>
            <w:r w:rsidR="00C665D6" w:rsidRPr="00E7241E">
              <w:rPr>
                <w:sz w:val="18"/>
                <w:szCs w:val="20"/>
              </w:rPr>
              <w:t>Must not create</w:t>
            </w:r>
            <w:r w:rsidRPr="00E7241E">
              <w:rPr>
                <w:sz w:val="18"/>
                <w:szCs w:val="20"/>
              </w:rPr>
              <w:t xml:space="preserve"> service gaps</w:t>
            </w:r>
            <w:r w:rsidRPr="00E7241E">
              <w:rPr>
                <w:sz w:val="18"/>
                <w:szCs w:val="20"/>
              </w:rPr>
              <w:br/>
              <w:t xml:space="preserve">• </w:t>
            </w:r>
            <w:r w:rsidR="0095456D" w:rsidRPr="00E7241E">
              <w:rPr>
                <w:sz w:val="18"/>
                <w:szCs w:val="20"/>
              </w:rPr>
              <w:t>Continuity of support must be maintained, including warm handovers</w:t>
            </w:r>
          </w:p>
          <w:p w14:paraId="31427E8C" w14:textId="359FFA9E" w:rsidR="002731B1" w:rsidRPr="00E7241E" w:rsidRDefault="002731B1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Formal variation </w:t>
            </w:r>
            <w:r w:rsidR="0095456D" w:rsidRPr="00E7241E">
              <w:rPr>
                <w:sz w:val="18"/>
                <w:szCs w:val="20"/>
              </w:rPr>
              <w:t xml:space="preserve">is </w:t>
            </w:r>
            <w:r w:rsidRPr="00E7241E">
              <w:rPr>
                <w:sz w:val="18"/>
                <w:szCs w:val="20"/>
              </w:rPr>
              <w:t>required</w:t>
            </w:r>
          </w:p>
        </w:tc>
      </w:tr>
      <w:tr w:rsidR="00F417FD" w:rsidRPr="00E10939" w14:paraId="0FD509F1" w14:textId="77777777" w:rsidTr="00E7241E">
        <w:trPr>
          <w:trHeight w:val="595"/>
        </w:trPr>
        <w:tc>
          <w:tcPr>
            <w:tcW w:w="1838" w:type="dxa"/>
            <w:hideMark/>
          </w:tcPr>
          <w:p w14:paraId="506F1B9C" w14:textId="77777777" w:rsidR="006C7762" w:rsidRPr="00E7241E" w:rsidRDefault="006C7762" w:rsidP="00E7241E">
            <w:pPr>
              <w:spacing w:before="60" w:after="60"/>
              <w:rPr>
                <w:b/>
                <w:bCs/>
                <w:sz w:val="18"/>
                <w:szCs w:val="20"/>
              </w:rPr>
            </w:pPr>
            <w:r w:rsidRPr="00E7241E">
              <w:rPr>
                <w:b/>
                <w:bCs/>
                <w:sz w:val="18"/>
                <w:szCs w:val="20"/>
              </w:rPr>
              <w:t>Changes outside routine flexibility</w:t>
            </w:r>
          </w:p>
        </w:tc>
        <w:tc>
          <w:tcPr>
            <w:tcW w:w="3402" w:type="dxa"/>
            <w:hideMark/>
          </w:tcPr>
          <w:p w14:paraId="518321F0" w14:textId="60DF83D7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</w:t>
            </w:r>
            <w:r w:rsidR="0095456D" w:rsidRPr="00E7241E">
              <w:rPr>
                <w:sz w:val="18"/>
                <w:szCs w:val="20"/>
              </w:rPr>
              <w:t>Changes to c</w:t>
            </w:r>
            <w:r w:rsidRPr="00E7241E">
              <w:rPr>
                <w:sz w:val="18"/>
                <w:szCs w:val="20"/>
              </w:rPr>
              <w:t xml:space="preserve">ore purpose, outcomes, funding, </w:t>
            </w:r>
            <w:r w:rsidR="009A57D4" w:rsidRPr="00E7241E">
              <w:rPr>
                <w:sz w:val="18"/>
                <w:szCs w:val="20"/>
              </w:rPr>
              <w:t xml:space="preserve">contract </w:t>
            </w:r>
            <w:r w:rsidRPr="00E7241E">
              <w:rPr>
                <w:sz w:val="18"/>
                <w:szCs w:val="20"/>
              </w:rPr>
              <w:t>term</w:t>
            </w:r>
            <w:r w:rsidR="009A57D4" w:rsidRPr="00E7241E">
              <w:rPr>
                <w:sz w:val="18"/>
                <w:szCs w:val="20"/>
              </w:rPr>
              <w:t xml:space="preserve"> or</w:t>
            </w:r>
            <w:r w:rsidRPr="00E7241E">
              <w:rPr>
                <w:sz w:val="18"/>
                <w:szCs w:val="20"/>
              </w:rPr>
              <w:t xml:space="preserve"> risk profile</w:t>
            </w:r>
          </w:p>
        </w:tc>
        <w:tc>
          <w:tcPr>
            <w:tcW w:w="2552" w:type="dxa"/>
            <w:hideMark/>
          </w:tcPr>
          <w:p w14:paraId="2EB9CE1A" w14:textId="5E812916" w:rsidR="006C7762" w:rsidRPr="00E7241E" w:rsidRDefault="00904813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Senior executive (per Governance Framework) via formal variation</w:t>
            </w:r>
          </w:p>
        </w:tc>
        <w:tc>
          <w:tcPr>
            <w:tcW w:w="3118" w:type="dxa"/>
            <w:hideMark/>
          </w:tcPr>
          <w:p w14:paraId="29249416" w14:textId="307AE64E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</w:t>
            </w:r>
            <w:r w:rsidR="009A73EC" w:rsidRPr="00E7241E">
              <w:rPr>
                <w:sz w:val="18"/>
                <w:szCs w:val="20"/>
              </w:rPr>
              <w:t>Client</w:t>
            </w:r>
            <w:r w:rsidRPr="00E7241E">
              <w:rPr>
                <w:sz w:val="18"/>
                <w:szCs w:val="20"/>
              </w:rPr>
              <w:t xml:space="preserve"> impact assessment</w:t>
            </w:r>
            <w:r w:rsidRPr="00E7241E">
              <w:rPr>
                <w:sz w:val="18"/>
                <w:szCs w:val="20"/>
              </w:rPr>
              <w:br/>
              <w:t>• System</w:t>
            </w:r>
            <w:r w:rsidRPr="00E7241E">
              <w:rPr>
                <w:sz w:val="18"/>
                <w:szCs w:val="20"/>
              </w:rPr>
              <w:noBreakHyphen/>
              <w:t>level analysis</w:t>
            </w:r>
            <w:r w:rsidRPr="00E7241E">
              <w:rPr>
                <w:sz w:val="18"/>
                <w:szCs w:val="20"/>
              </w:rPr>
              <w:br/>
              <w:t>• Executive advice</w:t>
            </w:r>
          </w:p>
        </w:tc>
        <w:tc>
          <w:tcPr>
            <w:tcW w:w="4216" w:type="dxa"/>
            <w:hideMark/>
          </w:tcPr>
          <w:p w14:paraId="336D6D3E" w14:textId="77777777" w:rsidR="00F45732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>• Formal variation</w:t>
            </w:r>
            <w:r w:rsidR="00BF5E59" w:rsidRPr="00E7241E">
              <w:rPr>
                <w:sz w:val="18"/>
                <w:szCs w:val="20"/>
              </w:rPr>
              <w:t xml:space="preserve"> is</w:t>
            </w:r>
            <w:r w:rsidRPr="00E7241E">
              <w:rPr>
                <w:sz w:val="18"/>
                <w:szCs w:val="20"/>
              </w:rPr>
              <w:t xml:space="preserve"> required</w:t>
            </w:r>
            <w:r w:rsidR="00CC559D" w:rsidRPr="00E7241E">
              <w:rPr>
                <w:rFonts w:ascii="Segoe UI" w:eastAsia="Times New Roman" w:hAnsi="Segoe UI" w:cs="Segoe UI"/>
                <w:spacing w:val="0"/>
                <w:sz w:val="18"/>
                <w:szCs w:val="20"/>
                <w:lang w:eastAsia="en-AU"/>
              </w:rPr>
              <w:t xml:space="preserve"> </w:t>
            </w:r>
            <w:r w:rsidR="00CC559D" w:rsidRPr="00E7241E">
              <w:rPr>
                <w:sz w:val="18"/>
                <w:szCs w:val="20"/>
              </w:rPr>
              <w:t>and may include adjustments to funding, delivery obligations, and service coverage arrangements.</w:t>
            </w:r>
          </w:p>
          <w:p w14:paraId="7B51E542" w14:textId="616BA753" w:rsidR="006C7762" w:rsidRPr="00E7241E" w:rsidRDefault="006C7762" w:rsidP="00E7241E">
            <w:pPr>
              <w:spacing w:before="60" w:after="60"/>
              <w:rPr>
                <w:sz w:val="18"/>
                <w:szCs w:val="20"/>
              </w:rPr>
            </w:pPr>
            <w:r w:rsidRPr="00E7241E">
              <w:rPr>
                <w:sz w:val="18"/>
                <w:szCs w:val="20"/>
              </w:rPr>
              <w:t xml:space="preserve">• </w:t>
            </w:r>
            <w:r w:rsidR="00485B53" w:rsidRPr="00E7241E">
              <w:rPr>
                <w:sz w:val="18"/>
                <w:szCs w:val="20"/>
              </w:rPr>
              <w:t>Appropriate assurance processes must be completed</w:t>
            </w:r>
          </w:p>
        </w:tc>
      </w:tr>
    </w:tbl>
    <w:p w14:paraId="5B93E48A" w14:textId="4AE33EF8" w:rsidR="00AB6E52" w:rsidRPr="002A2AA6" w:rsidRDefault="00AB6E52" w:rsidP="002A2AA6">
      <w:pPr>
        <w:spacing w:after="0" w:line="240" w:lineRule="auto"/>
        <w:rPr>
          <w:sz w:val="2"/>
          <w:szCs w:val="2"/>
        </w:rPr>
      </w:pPr>
    </w:p>
    <w:p w14:paraId="1974CAB1" w14:textId="463A22CB" w:rsidR="00CC1CAE" w:rsidRPr="002A2AA6" w:rsidRDefault="00CC1CAE" w:rsidP="002A2AA6">
      <w:pPr>
        <w:spacing w:after="0" w:line="240" w:lineRule="auto"/>
        <w:rPr>
          <w:sz w:val="18"/>
          <w:szCs w:val="18"/>
        </w:rPr>
      </w:pPr>
      <w:r w:rsidRPr="002A2AA6">
        <w:rPr>
          <w:sz w:val="18"/>
          <w:szCs w:val="18"/>
        </w:rPr>
        <w:t>*</w:t>
      </w:r>
      <w:r w:rsidR="005A2032" w:rsidRPr="002A2AA6">
        <w:rPr>
          <w:sz w:val="18"/>
          <w:szCs w:val="18"/>
        </w:rPr>
        <w:t xml:space="preserve"> </w:t>
      </w:r>
      <w:r w:rsidRPr="002A2AA6">
        <w:rPr>
          <w:sz w:val="18"/>
          <w:szCs w:val="18"/>
        </w:rPr>
        <w:t xml:space="preserve">Repeated or </w:t>
      </w:r>
      <w:r w:rsidR="00A74449">
        <w:rPr>
          <w:sz w:val="18"/>
          <w:szCs w:val="18"/>
        </w:rPr>
        <w:t>cumulative</w:t>
      </w:r>
      <w:r w:rsidRPr="002A2AA6">
        <w:rPr>
          <w:sz w:val="18"/>
          <w:szCs w:val="18"/>
        </w:rPr>
        <w:t xml:space="preserve"> adjustments across agreements may </w:t>
      </w:r>
      <w:r w:rsidR="00A74449">
        <w:rPr>
          <w:sz w:val="18"/>
          <w:szCs w:val="18"/>
        </w:rPr>
        <w:t>require</w:t>
      </w:r>
      <w:r w:rsidRPr="002A2AA6">
        <w:rPr>
          <w:sz w:val="18"/>
          <w:szCs w:val="18"/>
        </w:rPr>
        <w:t xml:space="preserve"> escalation where </w:t>
      </w:r>
      <w:r w:rsidR="00A74449">
        <w:rPr>
          <w:sz w:val="18"/>
          <w:szCs w:val="18"/>
        </w:rPr>
        <w:t>combined</w:t>
      </w:r>
      <w:r w:rsidRPr="002A2AA6">
        <w:rPr>
          <w:sz w:val="18"/>
          <w:szCs w:val="18"/>
        </w:rPr>
        <w:t xml:space="preserve"> impacts</w:t>
      </w:r>
      <w:r w:rsidR="00DF27AB">
        <w:rPr>
          <w:sz w:val="18"/>
          <w:szCs w:val="18"/>
        </w:rPr>
        <w:t xml:space="preserve"> affect the broader service system</w:t>
      </w:r>
      <w:r w:rsidRPr="002A2AA6">
        <w:rPr>
          <w:sz w:val="18"/>
          <w:szCs w:val="18"/>
        </w:rPr>
        <w:t xml:space="preserve">, even if individual </w:t>
      </w:r>
      <w:r w:rsidR="00DF27AB">
        <w:rPr>
          <w:sz w:val="18"/>
          <w:szCs w:val="18"/>
        </w:rPr>
        <w:t>changes are</w:t>
      </w:r>
      <w:r w:rsidRPr="002A2AA6">
        <w:rPr>
          <w:sz w:val="18"/>
          <w:szCs w:val="18"/>
        </w:rPr>
        <w:t xml:space="preserve"> low risk.</w:t>
      </w:r>
    </w:p>
    <w:sectPr w:rsidR="00CC1CAE" w:rsidRPr="002A2AA6" w:rsidSect="000E48F4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 w:code="9"/>
      <w:pgMar w:top="466" w:right="851" w:bottom="709" w:left="85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5C29" w14:textId="77777777" w:rsidR="0049120E" w:rsidRDefault="0049120E" w:rsidP="008F3023">
      <w:pPr>
        <w:spacing w:after="0" w:line="240" w:lineRule="auto"/>
      </w:pPr>
      <w:r>
        <w:separator/>
      </w:r>
    </w:p>
  </w:endnote>
  <w:endnote w:type="continuationSeparator" w:id="0">
    <w:p w14:paraId="538F8C62" w14:textId="77777777" w:rsidR="0049120E" w:rsidRDefault="0049120E" w:rsidP="008F3023">
      <w:pPr>
        <w:spacing w:after="0" w:line="240" w:lineRule="auto"/>
      </w:pPr>
      <w:r>
        <w:continuationSeparator/>
      </w:r>
    </w:p>
  </w:endnote>
  <w:endnote w:type="continuationNotice" w:id="1">
    <w:p w14:paraId="16401DCF" w14:textId="77777777" w:rsidR="0049120E" w:rsidRDefault="00491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4E4E" w14:textId="56BC0DF7" w:rsidR="00631651" w:rsidRDefault="00C12DC7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7728" behindDoc="1" locked="0" layoutInCell="1" allowOverlap="1" wp14:anchorId="077095F9" wp14:editId="3E066A6D">
          <wp:simplePos x="0" y="0"/>
          <wp:positionH relativeFrom="page">
            <wp:posOffset>-940</wp:posOffset>
          </wp:positionH>
          <wp:positionV relativeFrom="page">
            <wp:posOffset>9499092</wp:posOffset>
          </wp:positionV>
          <wp:extent cx="7574400" cy="1184400"/>
          <wp:effectExtent l="0" t="0" r="7620" b="0"/>
          <wp:wrapNone/>
          <wp:docPr id="1707762901" name="Picture 1707762901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D3B8" w14:textId="4CCEE28F" w:rsidR="008009CA" w:rsidRDefault="008009CA" w:rsidP="00D86E50">
    <w:pPr>
      <w:tabs>
        <w:tab w:val="left" w:pos="3040"/>
      </w:tabs>
      <w:jc w:val="cen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5680" behindDoc="1" locked="0" layoutInCell="1" allowOverlap="1" wp14:anchorId="6973C610" wp14:editId="33C12DD9">
          <wp:simplePos x="0" y="0"/>
          <wp:positionH relativeFrom="page">
            <wp:posOffset>34945</wp:posOffset>
          </wp:positionH>
          <wp:positionV relativeFrom="page">
            <wp:align>bottom</wp:align>
          </wp:positionV>
          <wp:extent cx="7574400" cy="1184400"/>
          <wp:effectExtent l="0" t="0" r="7620" b="0"/>
          <wp:wrapNone/>
          <wp:docPr id="1196203628" name="Picture 119620362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32332" w14:textId="77777777" w:rsidR="008009CA" w:rsidRDefault="008009CA" w:rsidP="00B10EB1">
    <w:pPr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9F21" w14:textId="2C18739C" w:rsidR="00C12DC7" w:rsidRDefault="00C12DC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7E4" w14:textId="6504C2C0" w:rsidR="00C12DC7" w:rsidRDefault="00C12DC7" w:rsidP="00D86E50">
    <w:pPr>
      <w:tabs>
        <w:tab w:val="left" w:pos="3040"/>
      </w:tabs>
      <w:jc w:val="cen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752" behindDoc="1" locked="0" layoutInCell="1" allowOverlap="1" wp14:anchorId="37109A30" wp14:editId="3E356517">
          <wp:simplePos x="0" y="0"/>
          <wp:positionH relativeFrom="page">
            <wp:posOffset>3099130</wp:posOffset>
          </wp:positionH>
          <wp:positionV relativeFrom="page">
            <wp:posOffset>6376035</wp:posOffset>
          </wp:positionV>
          <wp:extent cx="7574400" cy="1184400"/>
          <wp:effectExtent l="0" t="0" r="7620" b="0"/>
          <wp:wrapNone/>
          <wp:docPr id="1724527469" name="Picture 172452746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B15D0" w14:textId="77777777" w:rsidR="00C12DC7" w:rsidRDefault="00C12DC7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FFA2" w14:textId="77777777" w:rsidR="0049120E" w:rsidRDefault="0049120E" w:rsidP="008F3023">
      <w:pPr>
        <w:spacing w:after="0" w:line="240" w:lineRule="auto"/>
      </w:pPr>
      <w:r>
        <w:separator/>
      </w:r>
    </w:p>
  </w:footnote>
  <w:footnote w:type="continuationSeparator" w:id="0">
    <w:p w14:paraId="53CBFD33" w14:textId="77777777" w:rsidR="0049120E" w:rsidRDefault="0049120E" w:rsidP="008F3023">
      <w:pPr>
        <w:spacing w:after="0" w:line="240" w:lineRule="auto"/>
      </w:pPr>
      <w:r>
        <w:continuationSeparator/>
      </w:r>
    </w:p>
  </w:footnote>
  <w:footnote w:type="continuationNotice" w:id="1">
    <w:p w14:paraId="2313DFC1" w14:textId="77777777" w:rsidR="0049120E" w:rsidRDefault="004912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FAC9" w14:textId="055363A3" w:rsidR="00DC474C" w:rsidRDefault="00000000">
    <w:pPr>
      <w:pStyle w:val="Header"/>
    </w:pPr>
    <w:r>
      <w:rPr>
        <w:noProof/>
      </w:rPr>
      <w:pict w14:anchorId="1388E2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167516" o:spid="_x0000_s1035" type="#_x0000_t136" style="position:absolute;margin-left:0;margin-top:0;width:513.8pt;height:205.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951F" w14:textId="06319C73" w:rsidR="008009CA" w:rsidRDefault="00000000" w:rsidP="000E29D7">
    <w:pPr>
      <w:pStyle w:val="Header"/>
    </w:pPr>
    <w:r>
      <w:rPr>
        <w:noProof/>
      </w:rPr>
      <w:pict w14:anchorId="32DA92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167517" o:spid="_x0000_s1036" type="#_x0000_t136" style="position:absolute;margin-left:0;margin-top:0;width:513.8pt;height:205.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  <w:r w:rsidR="00C12DC7">
      <w:rPr>
        <w:noProof/>
        <w:shd w:val="clear" w:color="auto" w:fill="E6E6E6"/>
        <w:lang w:eastAsia="en-AU"/>
      </w:rPr>
      <w:drawing>
        <wp:anchor distT="0" distB="0" distL="114300" distR="114300" simplePos="0" relativeHeight="251656704" behindDoc="1" locked="0" layoutInCell="1" allowOverlap="1" wp14:anchorId="57033A1A" wp14:editId="6B35CEBC">
          <wp:simplePos x="0" y="0"/>
          <wp:positionH relativeFrom="page">
            <wp:posOffset>3108960</wp:posOffset>
          </wp:positionH>
          <wp:positionV relativeFrom="page">
            <wp:posOffset>6376035</wp:posOffset>
          </wp:positionV>
          <wp:extent cx="7563600" cy="1184400"/>
          <wp:effectExtent l="0" t="0" r="0" b="0"/>
          <wp:wrapNone/>
          <wp:docPr id="1930509336" name="Picture 193050933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A549" w14:textId="17062069" w:rsidR="008009CA" w:rsidRDefault="00000000" w:rsidP="000E29D7">
    <w:pPr>
      <w:pStyle w:val="Header"/>
    </w:pPr>
    <w:r>
      <w:rPr>
        <w:noProof/>
      </w:rPr>
      <w:pict w14:anchorId="0EDCC6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167515" o:spid="_x0000_s1034" type="#_x0000_t136" style="position:absolute;margin-left:0;margin-top:0;width:513.8pt;height:205.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E0E0" w14:textId="2462F43C" w:rsidR="00DC474C" w:rsidRDefault="00000000">
    <w:pPr>
      <w:pStyle w:val="Header"/>
    </w:pPr>
    <w:r>
      <w:rPr>
        <w:noProof/>
      </w:rPr>
      <w:pict w14:anchorId="022A1B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167519" o:spid="_x0000_s1040" type="#_x0000_t136" style="position:absolute;margin-left:0;margin-top:0;width:513.8pt;height:205.5pt;rotation:315;z-index:-25164339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  <w:r>
      <w:rPr>
        <w:noProof/>
      </w:rPr>
      <w:pict w14:anchorId="4F1B13E4">
        <v:shape id="_x0000_s1039" type="#_x0000_t136" style="position:absolute;margin-left:0;margin-top:0;width:513.8pt;height:205.5pt;rotation:315;z-index:-25164544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1E57" w14:textId="7AE09D23" w:rsidR="00DC474C" w:rsidRDefault="00000000" w:rsidP="000E29D7">
    <w:pPr>
      <w:pStyle w:val="Header"/>
    </w:pPr>
    <w:r>
      <w:rPr>
        <w:noProof/>
      </w:rPr>
      <w:pict w14:anchorId="203A62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167520" o:spid="_x0000_s1042" type="#_x0000_t136" style="position:absolute;margin-left:0;margin-top:0;width:513.8pt;height:205.5pt;rotation:315;z-index:-25163827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  <w:r>
      <w:rPr>
        <w:noProof/>
      </w:rPr>
      <w:pict w14:anchorId="18F5D132">
        <v:shape id="_x0000_s1041" type="#_x0000_t136" style="position:absolute;margin-left:0;margin-top:0;width:513.8pt;height:205.5pt;rotation:315;z-index:-2516403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  <w:r w:rsidR="00DC474C">
      <w:rPr>
        <w:noProof/>
        <w:shd w:val="clear" w:color="auto" w:fill="E6E6E6"/>
        <w:lang w:eastAsia="en-AU"/>
      </w:rPr>
      <w:drawing>
        <wp:anchor distT="0" distB="0" distL="114300" distR="114300" simplePos="0" relativeHeight="251675136" behindDoc="1" locked="0" layoutInCell="1" allowOverlap="1" wp14:anchorId="7403CBC4" wp14:editId="50AD0813">
          <wp:simplePos x="0" y="0"/>
          <wp:positionH relativeFrom="page">
            <wp:posOffset>3108960</wp:posOffset>
          </wp:positionH>
          <wp:positionV relativeFrom="page">
            <wp:posOffset>6376035</wp:posOffset>
          </wp:positionV>
          <wp:extent cx="7563600" cy="1184400"/>
          <wp:effectExtent l="0" t="0" r="0" b="0"/>
          <wp:wrapNone/>
          <wp:docPr id="103593594" name="Picture 103593594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E156" w14:textId="7E0A84FB" w:rsidR="00DC474C" w:rsidRDefault="00000000" w:rsidP="000E29D7">
    <w:pPr>
      <w:pStyle w:val="Header"/>
    </w:pPr>
    <w:r>
      <w:rPr>
        <w:noProof/>
      </w:rPr>
      <w:pict w14:anchorId="56906F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167518" o:spid="_x0000_s1038" type="#_x0000_t136" style="position:absolute;margin-left:0;margin-top:0;width:513.8pt;height:205.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  <w:r>
      <w:rPr>
        <w:noProof/>
      </w:rPr>
      <w:pict w14:anchorId="27A14570">
        <v:shape id="_x0000_s1037" type="#_x0000_t136" style="position:absolute;margin-left:0;margin-top:0;width:513.8pt;height:205.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206"/>
    <w:multiLevelType w:val="multilevel"/>
    <w:tmpl w:val="FFE6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B5C92"/>
    <w:multiLevelType w:val="hybridMultilevel"/>
    <w:tmpl w:val="6B086E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4ED3"/>
    <w:multiLevelType w:val="multilevel"/>
    <w:tmpl w:val="7CB2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D474B"/>
    <w:multiLevelType w:val="multilevel"/>
    <w:tmpl w:val="B2A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409F0"/>
    <w:multiLevelType w:val="multilevel"/>
    <w:tmpl w:val="0102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F12AA"/>
    <w:multiLevelType w:val="multilevel"/>
    <w:tmpl w:val="63FA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16F84"/>
    <w:multiLevelType w:val="multilevel"/>
    <w:tmpl w:val="D62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A16A5"/>
    <w:multiLevelType w:val="multilevel"/>
    <w:tmpl w:val="E588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B2B43"/>
    <w:multiLevelType w:val="multilevel"/>
    <w:tmpl w:val="AFBA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470D1"/>
    <w:multiLevelType w:val="multilevel"/>
    <w:tmpl w:val="C6EE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A5868"/>
    <w:multiLevelType w:val="multilevel"/>
    <w:tmpl w:val="B2A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A6402"/>
    <w:multiLevelType w:val="multilevel"/>
    <w:tmpl w:val="F04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56363"/>
    <w:multiLevelType w:val="multilevel"/>
    <w:tmpl w:val="9FDEB948"/>
    <w:styleLink w:val="DSSBulletList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960EA"/>
    <w:multiLevelType w:val="multilevel"/>
    <w:tmpl w:val="52B0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B2774"/>
    <w:multiLevelType w:val="multilevel"/>
    <w:tmpl w:val="B2A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23805"/>
    <w:multiLevelType w:val="multilevel"/>
    <w:tmpl w:val="9FDEB948"/>
    <w:numStyleLink w:val="DSSBulletList"/>
  </w:abstractNum>
  <w:abstractNum w:abstractNumId="16" w15:restartNumberingAfterBreak="0">
    <w:nsid w:val="4B9D7954"/>
    <w:multiLevelType w:val="multilevel"/>
    <w:tmpl w:val="9F1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7053B"/>
    <w:multiLevelType w:val="multilevel"/>
    <w:tmpl w:val="B2A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544687"/>
    <w:multiLevelType w:val="multilevel"/>
    <w:tmpl w:val="880CBA7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7CF5B85"/>
    <w:multiLevelType w:val="multilevel"/>
    <w:tmpl w:val="683E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DC43D1"/>
    <w:multiLevelType w:val="multilevel"/>
    <w:tmpl w:val="FA46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22" w15:restartNumberingAfterBreak="0">
    <w:nsid w:val="750E6B87"/>
    <w:multiLevelType w:val="multilevel"/>
    <w:tmpl w:val="D74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AD00D1"/>
    <w:multiLevelType w:val="multilevel"/>
    <w:tmpl w:val="264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616384">
    <w:abstractNumId w:val="21"/>
  </w:num>
  <w:num w:numId="2" w16cid:durableId="1422482963">
    <w:abstractNumId w:val="18"/>
  </w:num>
  <w:num w:numId="3" w16cid:durableId="1314525174">
    <w:abstractNumId w:val="12"/>
  </w:num>
  <w:num w:numId="4" w16cid:durableId="2046100428">
    <w:abstractNumId w:val="15"/>
  </w:num>
  <w:num w:numId="5" w16cid:durableId="78910633">
    <w:abstractNumId w:val="3"/>
  </w:num>
  <w:num w:numId="6" w16cid:durableId="1413773472">
    <w:abstractNumId w:val="0"/>
  </w:num>
  <w:num w:numId="7" w16cid:durableId="1700739695">
    <w:abstractNumId w:val="13"/>
  </w:num>
  <w:num w:numId="8" w16cid:durableId="448361470">
    <w:abstractNumId w:val="23"/>
  </w:num>
  <w:num w:numId="9" w16cid:durableId="630286880">
    <w:abstractNumId w:val="9"/>
  </w:num>
  <w:num w:numId="10" w16cid:durableId="1495032380">
    <w:abstractNumId w:val="2"/>
  </w:num>
  <w:num w:numId="11" w16cid:durableId="994332276">
    <w:abstractNumId w:val="20"/>
  </w:num>
  <w:num w:numId="12" w16cid:durableId="1904755556">
    <w:abstractNumId w:val="6"/>
  </w:num>
  <w:num w:numId="13" w16cid:durableId="1127040205">
    <w:abstractNumId w:val="14"/>
  </w:num>
  <w:num w:numId="14" w16cid:durableId="1198620567">
    <w:abstractNumId w:val="10"/>
  </w:num>
  <w:num w:numId="15" w16cid:durableId="1500468064">
    <w:abstractNumId w:val="17"/>
  </w:num>
  <w:num w:numId="16" w16cid:durableId="1789739207">
    <w:abstractNumId w:val="16"/>
  </w:num>
  <w:num w:numId="17" w16cid:durableId="1433863829">
    <w:abstractNumId w:val="22"/>
  </w:num>
  <w:num w:numId="18" w16cid:durableId="274557323">
    <w:abstractNumId w:val="1"/>
  </w:num>
  <w:num w:numId="19" w16cid:durableId="140121270">
    <w:abstractNumId w:val="4"/>
  </w:num>
  <w:num w:numId="20" w16cid:durableId="362873667">
    <w:abstractNumId w:val="7"/>
  </w:num>
  <w:num w:numId="21" w16cid:durableId="751780793">
    <w:abstractNumId w:val="8"/>
  </w:num>
  <w:num w:numId="22" w16cid:durableId="130028280">
    <w:abstractNumId w:val="5"/>
  </w:num>
  <w:num w:numId="23" w16cid:durableId="1137646621">
    <w:abstractNumId w:val="19"/>
  </w:num>
  <w:num w:numId="24" w16cid:durableId="196237488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E52"/>
    <w:rsid w:val="000004E9"/>
    <w:rsid w:val="0000239C"/>
    <w:rsid w:val="00002B10"/>
    <w:rsid w:val="00003F94"/>
    <w:rsid w:val="00004ABC"/>
    <w:rsid w:val="0000546E"/>
    <w:rsid w:val="00006FB3"/>
    <w:rsid w:val="000076B7"/>
    <w:rsid w:val="000129C4"/>
    <w:rsid w:val="00012BCE"/>
    <w:rsid w:val="00014090"/>
    <w:rsid w:val="000140B8"/>
    <w:rsid w:val="00014285"/>
    <w:rsid w:val="000161F6"/>
    <w:rsid w:val="00016425"/>
    <w:rsid w:val="00016623"/>
    <w:rsid w:val="0002251C"/>
    <w:rsid w:val="0002588A"/>
    <w:rsid w:val="000262E9"/>
    <w:rsid w:val="000317E3"/>
    <w:rsid w:val="00032579"/>
    <w:rsid w:val="0003330B"/>
    <w:rsid w:val="00033BA2"/>
    <w:rsid w:val="00034063"/>
    <w:rsid w:val="000341C4"/>
    <w:rsid w:val="00034AE9"/>
    <w:rsid w:val="00035290"/>
    <w:rsid w:val="000369E8"/>
    <w:rsid w:val="00036FC3"/>
    <w:rsid w:val="0003748E"/>
    <w:rsid w:val="00041BAC"/>
    <w:rsid w:val="00042448"/>
    <w:rsid w:val="00044684"/>
    <w:rsid w:val="0004624C"/>
    <w:rsid w:val="00046C31"/>
    <w:rsid w:val="00047AEF"/>
    <w:rsid w:val="00050872"/>
    <w:rsid w:val="00050BB9"/>
    <w:rsid w:val="00050EA0"/>
    <w:rsid w:val="00052118"/>
    <w:rsid w:val="00052FD1"/>
    <w:rsid w:val="000544A4"/>
    <w:rsid w:val="00054BB7"/>
    <w:rsid w:val="00054F5F"/>
    <w:rsid w:val="00060B3B"/>
    <w:rsid w:val="00061B4E"/>
    <w:rsid w:val="00061E8F"/>
    <w:rsid w:val="00061EBF"/>
    <w:rsid w:val="000631F9"/>
    <w:rsid w:val="00063C33"/>
    <w:rsid w:val="000640D3"/>
    <w:rsid w:val="00064140"/>
    <w:rsid w:val="00065DCF"/>
    <w:rsid w:val="00066C18"/>
    <w:rsid w:val="00067EC5"/>
    <w:rsid w:val="0007014D"/>
    <w:rsid w:val="00071912"/>
    <w:rsid w:val="000720F5"/>
    <w:rsid w:val="00072674"/>
    <w:rsid w:val="000730ED"/>
    <w:rsid w:val="000750D2"/>
    <w:rsid w:val="000753C5"/>
    <w:rsid w:val="00075649"/>
    <w:rsid w:val="00076261"/>
    <w:rsid w:val="00080823"/>
    <w:rsid w:val="00081610"/>
    <w:rsid w:val="000819E6"/>
    <w:rsid w:val="00082AD9"/>
    <w:rsid w:val="00083F8E"/>
    <w:rsid w:val="00085E99"/>
    <w:rsid w:val="00091ABE"/>
    <w:rsid w:val="00092373"/>
    <w:rsid w:val="000924D0"/>
    <w:rsid w:val="00092A96"/>
    <w:rsid w:val="000949EB"/>
    <w:rsid w:val="00095257"/>
    <w:rsid w:val="00095BDA"/>
    <w:rsid w:val="0009712C"/>
    <w:rsid w:val="0009781F"/>
    <w:rsid w:val="00097F91"/>
    <w:rsid w:val="000A05E1"/>
    <w:rsid w:val="000A442C"/>
    <w:rsid w:val="000A698F"/>
    <w:rsid w:val="000A6E4B"/>
    <w:rsid w:val="000A6FB7"/>
    <w:rsid w:val="000B0D71"/>
    <w:rsid w:val="000B13FB"/>
    <w:rsid w:val="000B23CE"/>
    <w:rsid w:val="000B2904"/>
    <w:rsid w:val="000B2BE4"/>
    <w:rsid w:val="000B523E"/>
    <w:rsid w:val="000B558F"/>
    <w:rsid w:val="000B5EF5"/>
    <w:rsid w:val="000B6887"/>
    <w:rsid w:val="000B6B28"/>
    <w:rsid w:val="000B75C0"/>
    <w:rsid w:val="000B76B6"/>
    <w:rsid w:val="000B7980"/>
    <w:rsid w:val="000B7D80"/>
    <w:rsid w:val="000C0992"/>
    <w:rsid w:val="000C2F87"/>
    <w:rsid w:val="000C350A"/>
    <w:rsid w:val="000C4A0F"/>
    <w:rsid w:val="000C6241"/>
    <w:rsid w:val="000C6B35"/>
    <w:rsid w:val="000C7D25"/>
    <w:rsid w:val="000D0755"/>
    <w:rsid w:val="000D22D2"/>
    <w:rsid w:val="000D5525"/>
    <w:rsid w:val="000D5965"/>
    <w:rsid w:val="000D66DD"/>
    <w:rsid w:val="000E01F9"/>
    <w:rsid w:val="000E0660"/>
    <w:rsid w:val="000E1373"/>
    <w:rsid w:val="000E1BC1"/>
    <w:rsid w:val="000E1ED8"/>
    <w:rsid w:val="000E1F08"/>
    <w:rsid w:val="000E2201"/>
    <w:rsid w:val="000E24B5"/>
    <w:rsid w:val="000E29D7"/>
    <w:rsid w:val="000E48F4"/>
    <w:rsid w:val="000E4A92"/>
    <w:rsid w:val="000E4D6B"/>
    <w:rsid w:val="000E5456"/>
    <w:rsid w:val="000E6227"/>
    <w:rsid w:val="000E6844"/>
    <w:rsid w:val="000E71F4"/>
    <w:rsid w:val="000E78DB"/>
    <w:rsid w:val="000F0C52"/>
    <w:rsid w:val="000F0D36"/>
    <w:rsid w:val="000F2233"/>
    <w:rsid w:val="000F3CA8"/>
    <w:rsid w:val="000F4B78"/>
    <w:rsid w:val="000F5B57"/>
    <w:rsid w:val="000F5D40"/>
    <w:rsid w:val="000F5D68"/>
    <w:rsid w:val="000F608D"/>
    <w:rsid w:val="000F6E4A"/>
    <w:rsid w:val="000F7266"/>
    <w:rsid w:val="000F75FC"/>
    <w:rsid w:val="00100795"/>
    <w:rsid w:val="0010154E"/>
    <w:rsid w:val="00101619"/>
    <w:rsid w:val="00102E3A"/>
    <w:rsid w:val="001031A4"/>
    <w:rsid w:val="001038C9"/>
    <w:rsid w:val="0010487E"/>
    <w:rsid w:val="001065A2"/>
    <w:rsid w:val="001069DD"/>
    <w:rsid w:val="00107AEF"/>
    <w:rsid w:val="001103C2"/>
    <w:rsid w:val="00111599"/>
    <w:rsid w:val="0011226C"/>
    <w:rsid w:val="001122C4"/>
    <w:rsid w:val="00112B22"/>
    <w:rsid w:val="00112E51"/>
    <w:rsid w:val="00113700"/>
    <w:rsid w:val="00115AAC"/>
    <w:rsid w:val="00115AF9"/>
    <w:rsid w:val="00115FF8"/>
    <w:rsid w:val="001165B1"/>
    <w:rsid w:val="00117F8B"/>
    <w:rsid w:val="00123607"/>
    <w:rsid w:val="00124FA1"/>
    <w:rsid w:val="00125A03"/>
    <w:rsid w:val="001269A7"/>
    <w:rsid w:val="001303E0"/>
    <w:rsid w:val="00130A9E"/>
    <w:rsid w:val="00131003"/>
    <w:rsid w:val="00132914"/>
    <w:rsid w:val="0013332A"/>
    <w:rsid w:val="00136B69"/>
    <w:rsid w:val="001370AE"/>
    <w:rsid w:val="00141FA3"/>
    <w:rsid w:val="001427BB"/>
    <w:rsid w:val="0014708F"/>
    <w:rsid w:val="00147AF2"/>
    <w:rsid w:val="00147CC6"/>
    <w:rsid w:val="0015083C"/>
    <w:rsid w:val="001510D7"/>
    <w:rsid w:val="00152933"/>
    <w:rsid w:val="001537A0"/>
    <w:rsid w:val="00153DCD"/>
    <w:rsid w:val="001549A7"/>
    <w:rsid w:val="001552F6"/>
    <w:rsid w:val="001554EB"/>
    <w:rsid w:val="0015786E"/>
    <w:rsid w:val="001579B7"/>
    <w:rsid w:val="00157A93"/>
    <w:rsid w:val="0016019B"/>
    <w:rsid w:val="00160772"/>
    <w:rsid w:val="00161181"/>
    <w:rsid w:val="00161696"/>
    <w:rsid w:val="00162460"/>
    <w:rsid w:val="001628D3"/>
    <w:rsid w:val="001633F6"/>
    <w:rsid w:val="00164072"/>
    <w:rsid w:val="00164D6B"/>
    <w:rsid w:val="00164EA4"/>
    <w:rsid w:val="00165F75"/>
    <w:rsid w:val="0016632E"/>
    <w:rsid w:val="00171730"/>
    <w:rsid w:val="0017202F"/>
    <w:rsid w:val="00173313"/>
    <w:rsid w:val="00173B2A"/>
    <w:rsid w:val="001740C9"/>
    <w:rsid w:val="00174815"/>
    <w:rsid w:val="0017515A"/>
    <w:rsid w:val="001756B1"/>
    <w:rsid w:val="00176145"/>
    <w:rsid w:val="00176A52"/>
    <w:rsid w:val="00177692"/>
    <w:rsid w:val="00181760"/>
    <w:rsid w:val="00181805"/>
    <w:rsid w:val="00182033"/>
    <w:rsid w:val="00182BAE"/>
    <w:rsid w:val="00183784"/>
    <w:rsid w:val="0018508D"/>
    <w:rsid w:val="001854E3"/>
    <w:rsid w:val="001900B2"/>
    <w:rsid w:val="0019018E"/>
    <w:rsid w:val="00190D93"/>
    <w:rsid w:val="00193955"/>
    <w:rsid w:val="001940DE"/>
    <w:rsid w:val="00194E8C"/>
    <w:rsid w:val="00197B10"/>
    <w:rsid w:val="001A06DA"/>
    <w:rsid w:val="001A25B3"/>
    <w:rsid w:val="001A2E5F"/>
    <w:rsid w:val="001A3775"/>
    <w:rsid w:val="001A4E77"/>
    <w:rsid w:val="001A6459"/>
    <w:rsid w:val="001A7461"/>
    <w:rsid w:val="001B077E"/>
    <w:rsid w:val="001B097B"/>
    <w:rsid w:val="001B0CB8"/>
    <w:rsid w:val="001B220B"/>
    <w:rsid w:val="001B2326"/>
    <w:rsid w:val="001B2F68"/>
    <w:rsid w:val="001C04E7"/>
    <w:rsid w:val="001C0CE8"/>
    <w:rsid w:val="001C1FBD"/>
    <w:rsid w:val="001C2015"/>
    <w:rsid w:val="001C4603"/>
    <w:rsid w:val="001C4D0D"/>
    <w:rsid w:val="001C5A72"/>
    <w:rsid w:val="001C64C4"/>
    <w:rsid w:val="001C64F8"/>
    <w:rsid w:val="001C68C6"/>
    <w:rsid w:val="001D0F6D"/>
    <w:rsid w:val="001D3350"/>
    <w:rsid w:val="001D3A42"/>
    <w:rsid w:val="001D5160"/>
    <w:rsid w:val="001D5406"/>
    <w:rsid w:val="001D7A28"/>
    <w:rsid w:val="001E1243"/>
    <w:rsid w:val="001E1B5D"/>
    <w:rsid w:val="001E3392"/>
    <w:rsid w:val="001E39FC"/>
    <w:rsid w:val="001E4793"/>
    <w:rsid w:val="001E5012"/>
    <w:rsid w:val="001E5402"/>
    <w:rsid w:val="001E5649"/>
    <w:rsid w:val="001E5812"/>
    <w:rsid w:val="001E59A9"/>
    <w:rsid w:val="001E630D"/>
    <w:rsid w:val="001E7B1A"/>
    <w:rsid w:val="001F11DB"/>
    <w:rsid w:val="001F1325"/>
    <w:rsid w:val="001F2B47"/>
    <w:rsid w:val="001F3B2B"/>
    <w:rsid w:val="001F4C04"/>
    <w:rsid w:val="001F59FC"/>
    <w:rsid w:val="001F6546"/>
    <w:rsid w:val="001F700A"/>
    <w:rsid w:val="001F734D"/>
    <w:rsid w:val="0020012F"/>
    <w:rsid w:val="0020120B"/>
    <w:rsid w:val="00201C6D"/>
    <w:rsid w:val="00201D5B"/>
    <w:rsid w:val="00202380"/>
    <w:rsid w:val="00202913"/>
    <w:rsid w:val="002030A4"/>
    <w:rsid w:val="00204539"/>
    <w:rsid w:val="00204705"/>
    <w:rsid w:val="002049F2"/>
    <w:rsid w:val="00204F7D"/>
    <w:rsid w:val="002059FF"/>
    <w:rsid w:val="002068FC"/>
    <w:rsid w:val="00206E6D"/>
    <w:rsid w:val="00207067"/>
    <w:rsid w:val="00207704"/>
    <w:rsid w:val="00207A5B"/>
    <w:rsid w:val="00207C8C"/>
    <w:rsid w:val="00211DCB"/>
    <w:rsid w:val="0021233B"/>
    <w:rsid w:val="00214210"/>
    <w:rsid w:val="00215A98"/>
    <w:rsid w:val="00220280"/>
    <w:rsid w:val="0022162B"/>
    <w:rsid w:val="0022252A"/>
    <w:rsid w:val="00223E3A"/>
    <w:rsid w:val="00223E63"/>
    <w:rsid w:val="002247C3"/>
    <w:rsid w:val="002255F3"/>
    <w:rsid w:val="002266D6"/>
    <w:rsid w:val="002306C6"/>
    <w:rsid w:val="0023386B"/>
    <w:rsid w:val="002346B5"/>
    <w:rsid w:val="00235CA2"/>
    <w:rsid w:val="00236508"/>
    <w:rsid w:val="00237138"/>
    <w:rsid w:val="002374B9"/>
    <w:rsid w:val="0023764E"/>
    <w:rsid w:val="002408DC"/>
    <w:rsid w:val="00240A6E"/>
    <w:rsid w:val="00240CAA"/>
    <w:rsid w:val="00240F02"/>
    <w:rsid w:val="00241933"/>
    <w:rsid w:val="00242697"/>
    <w:rsid w:val="00242D59"/>
    <w:rsid w:val="00245E73"/>
    <w:rsid w:val="0024605E"/>
    <w:rsid w:val="00246067"/>
    <w:rsid w:val="00247061"/>
    <w:rsid w:val="002512FA"/>
    <w:rsid w:val="002526C5"/>
    <w:rsid w:val="00252F64"/>
    <w:rsid w:val="002532C0"/>
    <w:rsid w:val="002559CE"/>
    <w:rsid w:val="00256354"/>
    <w:rsid w:val="002575D3"/>
    <w:rsid w:val="0026070B"/>
    <w:rsid w:val="00260AA2"/>
    <w:rsid w:val="00262CDD"/>
    <w:rsid w:val="0026367F"/>
    <w:rsid w:val="002642B1"/>
    <w:rsid w:val="00264F8D"/>
    <w:rsid w:val="00265257"/>
    <w:rsid w:val="0026689E"/>
    <w:rsid w:val="00266B26"/>
    <w:rsid w:val="00267A25"/>
    <w:rsid w:val="002701FE"/>
    <w:rsid w:val="0027075A"/>
    <w:rsid w:val="00270C7C"/>
    <w:rsid w:val="00271283"/>
    <w:rsid w:val="00271A66"/>
    <w:rsid w:val="00271DD8"/>
    <w:rsid w:val="002720A4"/>
    <w:rsid w:val="002731B1"/>
    <w:rsid w:val="002755A4"/>
    <w:rsid w:val="00275EA9"/>
    <w:rsid w:val="00276484"/>
    <w:rsid w:val="00276A7B"/>
    <w:rsid w:val="00277D1E"/>
    <w:rsid w:val="00281DFB"/>
    <w:rsid w:val="002824E5"/>
    <w:rsid w:val="002827BE"/>
    <w:rsid w:val="00282835"/>
    <w:rsid w:val="0028715C"/>
    <w:rsid w:val="0029075B"/>
    <w:rsid w:val="002908F5"/>
    <w:rsid w:val="00290CCA"/>
    <w:rsid w:val="00291973"/>
    <w:rsid w:val="00292994"/>
    <w:rsid w:val="0029468C"/>
    <w:rsid w:val="002948EF"/>
    <w:rsid w:val="00295934"/>
    <w:rsid w:val="00295B3A"/>
    <w:rsid w:val="002A2AA6"/>
    <w:rsid w:val="002A32EE"/>
    <w:rsid w:val="002A3814"/>
    <w:rsid w:val="002A7F6E"/>
    <w:rsid w:val="002B0270"/>
    <w:rsid w:val="002B27D5"/>
    <w:rsid w:val="002B39C7"/>
    <w:rsid w:val="002B3A09"/>
    <w:rsid w:val="002B3CC6"/>
    <w:rsid w:val="002B4FEC"/>
    <w:rsid w:val="002B60A7"/>
    <w:rsid w:val="002B7002"/>
    <w:rsid w:val="002B733F"/>
    <w:rsid w:val="002B7E62"/>
    <w:rsid w:val="002C0985"/>
    <w:rsid w:val="002C2076"/>
    <w:rsid w:val="002C34DD"/>
    <w:rsid w:val="002C44E5"/>
    <w:rsid w:val="002C757B"/>
    <w:rsid w:val="002D0B4E"/>
    <w:rsid w:val="002D341B"/>
    <w:rsid w:val="002D39B6"/>
    <w:rsid w:val="002D5D13"/>
    <w:rsid w:val="002E0DD3"/>
    <w:rsid w:val="002E0FF7"/>
    <w:rsid w:val="002E1195"/>
    <w:rsid w:val="002E3528"/>
    <w:rsid w:val="002E426D"/>
    <w:rsid w:val="002E4F38"/>
    <w:rsid w:val="002E6BC8"/>
    <w:rsid w:val="002E6C8C"/>
    <w:rsid w:val="002E6D3A"/>
    <w:rsid w:val="002E7D2E"/>
    <w:rsid w:val="002F105B"/>
    <w:rsid w:val="002F2AD3"/>
    <w:rsid w:val="002F43BD"/>
    <w:rsid w:val="002F6659"/>
    <w:rsid w:val="002F7AA7"/>
    <w:rsid w:val="00300FC5"/>
    <w:rsid w:val="00301AB8"/>
    <w:rsid w:val="00301F29"/>
    <w:rsid w:val="003021F2"/>
    <w:rsid w:val="0030273B"/>
    <w:rsid w:val="003038CA"/>
    <w:rsid w:val="003042A4"/>
    <w:rsid w:val="00304994"/>
    <w:rsid w:val="00304A30"/>
    <w:rsid w:val="00305040"/>
    <w:rsid w:val="00305D9D"/>
    <w:rsid w:val="003066E3"/>
    <w:rsid w:val="00306FAD"/>
    <w:rsid w:val="00307A17"/>
    <w:rsid w:val="00307EC8"/>
    <w:rsid w:val="00310940"/>
    <w:rsid w:val="00311FC7"/>
    <w:rsid w:val="00312EBA"/>
    <w:rsid w:val="00312F59"/>
    <w:rsid w:val="0031350B"/>
    <w:rsid w:val="00314451"/>
    <w:rsid w:val="00314523"/>
    <w:rsid w:val="00320C32"/>
    <w:rsid w:val="00321863"/>
    <w:rsid w:val="0032218C"/>
    <w:rsid w:val="00323341"/>
    <w:rsid w:val="00323D83"/>
    <w:rsid w:val="00324487"/>
    <w:rsid w:val="00325FD9"/>
    <w:rsid w:val="0032625F"/>
    <w:rsid w:val="0033081A"/>
    <w:rsid w:val="00330FE1"/>
    <w:rsid w:val="00331DEA"/>
    <w:rsid w:val="00331E20"/>
    <w:rsid w:val="00333F87"/>
    <w:rsid w:val="00334474"/>
    <w:rsid w:val="0033524F"/>
    <w:rsid w:val="00335A14"/>
    <w:rsid w:val="00335F0F"/>
    <w:rsid w:val="003366D9"/>
    <w:rsid w:val="00337926"/>
    <w:rsid w:val="00341DD0"/>
    <w:rsid w:val="00342C51"/>
    <w:rsid w:val="003433CB"/>
    <w:rsid w:val="00347439"/>
    <w:rsid w:val="00347650"/>
    <w:rsid w:val="00347FE0"/>
    <w:rsid w:val="00353B80"/>
    <w:rsid w:val="00354C9F"/>
    <w:rsid w:val="00356518"/>
    <w:rsid w:val="00356C1E"/>
    <w:rsid w:val="003574C7"/>
    <w:rsid w:val="00360364"/>
    <w:rsid w:val="00361160"/>
    <w:rsid w:val="00362C6C"/>
    <w:rsid w:val="003637E3"/>
    <w:rsid w:val="00363FD6"/>
    <w:rsid w:val="00366BC2"/>
    <w:rsid w:val="00366D78"/>
    <w:rsid w:val="003670A6"/>
    <w:rsid w:val="00367F06"/>
    <w:rsid w:val="00367F2D"/>
    <w:rsid w:val="00372300"/>
    <w:rsid w:val="00373960"/>
    <w:rsid w:val="00373BF5"/>
    <w:rsid w:val="00373E9F"/>
    <w:rsid w:val="00377232"/>
    <w:rsid w:val="00377CA5"/>
    <w:rsid w:val="0038011B"/>
    <w:rsid w:val="0038044C"/>
    <w:rsid w:val="00382E93"/>
    <w:rsid w:val="00383CCF"/>
    <w:rsid w:val="0038476F"/>
    <w:rsid w:val="00385151"/>
    <w:rsid w:val="00387D36"/>
    <w:rsid w:val="0039055F"/>
    <w:rsid w:val="00390829"/>
    <w:rsid w:val="00390997"/>
    <w:rsid w:val="003911E9"/>
    <w:rsid w:val="0039122F"/>
    <w:rsid w:val="003915AF"/>
    <w:rsid w:val="00391EAD"/>
    <w:rsid w:val="003946D0"/>
    <w:rsid w:val="00394F00"/>
    <w:rsid w:val="00395729"/>
    <w:rsid w:val="0039684E"/>
    <w:rsid w:val="003978F7"/>
    <w:rsid w:val="00397CA2"/>
    <w:rsid w:val="003A25BD"/>
    <w:rsid w:val="003A2F98"/>
    <w:rsid w:val="003A70C3"/>
    <w:rsid w:val="003A7612"/>
    <w:rsid w:val="003B0D19"/>
    <w:rsid w:val="003B18DF"/>
    <w:rsid w:val="003B1A2D"/>
    <w:rsid w:val="003B1D16"/>
    <w:rsid w:val="003B2BB8"/>
    <w:rsid w:val="003B3E9A"/>
    <w:rsid w:val="003B4D40"/>
    <w:rsid w:val="003B5438"/>
    <w:rsid w:val="003B57E5"/>
    <w:rsid w:val="003B677F"/>
    <w:rsid w:val="003B6DC6"/>
    <w:rsid w:val="003B6EC7"/>
    <w:rsid w:val="003B6F90"/>
    <w:rsid w:val="003B7424"/>
    <w:rsid w:val="003C08B6"/>
    <w:rsid w:val="003C0AB3"/>
    <w:rsid w:val="003C12AA"/>
    <w:rsid w:val="003C135D"/>
    <w:rsid w:val="003C1FB1"/>
    <w:rsid w:val="003C28E5"/>
    <w:rsid w:val="003C4999"/>
    <w:rsid w:val="003C4B24"/>
    <w:rsid w:val="003C53F8"/>
    <w:rsid w:val="003C56AC"/>
    <w:rsid w:val="003C5C4F"/>
    <w:rsid w:val="003C70BF"/>
    <w:rsid w:val="003C7303"/>
    <w:rsid w:val="003D010B"/>
    <w:rsid w:val="003D0242"/>
    <w:rsid w:val="003D1DF0"/>
    <w:rsid w:val="003D2182"/>
    <w:rsid w:val="003D34FF"/>
    <w:rsid w:val="003D3759"/>
    <w:rsid w:val="003D3CBC"/>
    <w:rsid w:val="003D49C6"/>
    <w:rsid w:val="003D4A03"/>
    <w:rsid w:val="003D71E5"/>
    <w:rsid w:val="003D725F"/>
    <w:rsid w:val="003D7FB8"/>
    <w:rsid w:val="003E0A57"/>
    <w:rsid w:val="003E10A6"/>
    <w:rsid w:val="003E2B62"/>
    <w:rsid w:val="003E4928"/>
    <w:rsid w:val="003E6155"/>
    <w:rsid w:val="003E7112"/>
    <w:rsid w:val="003F070B"/>
    <w:rsid w:val="003F133E"/>
    <w:rsid w:val="003F3746"/>
    <w:rsid w:val="003F46A2"/>
    <w:rsid w:val="003F4FB9"/>
    <w:rsid w:val="003F5369"/>
    <w:rsid w:val="0040002F"/>
    <w:rsid w:val="004008CC"/>
    <w:rsid w:val="00403055"/>
    <w:rsid w:val="00405B6D"/>
    <w:rsid w:val="00406D52"/>
    <w:rsid w:val="00406FC4"/>
    <w:rsid w:val="00407572"/>
    <w:rsid w:val="00407DCD"/>
    <w:rsid w:val="004106E9"/>
    <w:rsid w:val="00411221"/>
    <w:rsid w:val="0041160C"/>
    <w:rsid w:val="004125D0"/>
    <w:rsid w:val="004139CD"/>
    <w:rsid w:val="00413AD0"/>
    <w:rsid w:val="00415B6C"/>
    <w:rsid w:val="00415C49"/>
    <w:rsid w:val="00416A04"/>
    <w:rsid w:val="0041717D"/>
    <w:rsid w:val="004220FC"/>
    <w:rsid w:val="00422A6B"/>
    <w:rsid w:val="00423042"/>
    <w:rsid w:val="004243F2"/>
    <w:rsid w:val="00426CA8"/>
    <w:rsid w:val="00431278"/>
    <w:rsid w:val="004329D0"/>
    <w:rsid w:val="00432C21"/>
    <w:rsid w:val="004339EE"/>
    <w:rsid w:val="004354E6"/>
    <w:rsid w:val="00435CE1"/>
    <w:rsid w:val="00436C3D"/>
    <w:rsid w:val="00436F44"/>
    <w:rsid w:val="00436FA6"/>
    <w:rsid w:val="00437651"/>
    <w:rsid w:val="004405B8"/>
    <w:rsid w:val="00440643"/>
    <w:rsid w:val="00440CB8"/>
    <w:rsid w:val="00441FD7"/>
    <w:rsid w:val="00442A2E"/>
    <w:rsid w:val="004459F6"/>
    <w:rsid w:val="00446CA3"/>
    <w:rsid w:val="00447224"/>
    <w:rsid w:val="00447802"/>
    <w:rsid w:val="00447B17"/>
    <w:rsid w:val="00450D41"/>
    <w:rsid w:val="00451386"/>
    <w:rsid w:val="0045200B"/>
    <w:rsid w:val="004527FE"/>
    <w:rsid w:val="004529E1"/>
    <w:rsid w:val="0045365D"/>
    <w:rsid w:val="00453F22"/>
    <w:rsid w:val="004544D3"/>
    <w:rsid w:val="00454BA2"/>
    <w:rsid w:val="00455048"/>
    <w:rsid w:val="0045574A"/>
    <w:rsid w:val="00455CAE"/>
    <w:rsid w:val="00456A8A"/>
    <w:rsid w:val="00457493"/>
    <w:rsid w:val="00457706"/>
    <w:rsid w:val="004578DF"/>
    <w:rsid w:val="004607E9"/>
    <w:rsid w:val="00460830"/>
    <w:rsid w:val="00461659"/>
    <w:rsid w:val="00462EE5"/>
    <w:rsid w:val="004639D4"/>
    <w:rsid w:val="004652B5"/>
    <w:rsid w:val="0046568D"/>
    <w:rsid w:val="004677F2"/>
    <w:rsid w:val="0047010E"/>
    <w:rsid w:val="00470BCC"/>
    <w:rsid w:val="00470CF8"/>
    <w:rsid w:val="00471456"/>
    <w:rsid w:val="00471AFD"/>
    <w:rsid w:val="0047261D"/>
    <w:rsid w:val="00472A7A"/>
    <w:rsid w:val="00473328"/>
    <w:rsid w:val="00480BE6"/>
    <w:rsid w:val="00480D3E"/>
    <w:rsid w:val="0048188C"/>
    <w:rsid w:val="004818FF"/>
    <w:rsid w:val="00481EAA"/>
    <w:rsid w:val="004821E4"/>
    <w:rsid w:val="0048367D"/>
    <w:rsid w:val="004837A4"/>
    <w:rsid w:val="00484746"/>
    <w:rsid w:val="00485B53"/>
    <w:rsid w:val="00487B81"/>
    <w:rsid w:val="00490F3B"/>
    <w:rsid w:val="0049120E"/>
    <w:rsid w:val="00491310"/>
    <w:rsid w:val="00491752"/>
    <w:rsid w:val="004920BD"/>
    <w:rsid w:val="004933C2"/>
    <w:rsid w:val="0049568C"/>
    <w:rsid w:val="00497B51"/>
    <w:rsid w:val="004A04D1"/>
    <w:rsid w:val="004A068D"/>
    <w:rsid w:val="004A2151"/>
    <w:rsid w:val="004A2CDF"/>
    <w:rsid w:val="004A319B"/>
    <w:rsid w:val="004A3305"/>
    <w:rsid w:val="004A364E"/>
    <w:rsid w:val="004A401D"/>
    <w:rsid w:val="004A55A2"/>
    <w:rsid w:val="004A6A63"/>
    <w:rsid w:val="004B1F80"/>
    <w:rsid w:val="004B4F5A"/>
    <w:rsid w:val="004B54CA"/>
    <w:rsid w:val="004B653B"/>
    <w:rsid w:val="004B6EB0"/>
    <w:rsid w:val="004B7B27"/>
    <w:rsid w:val="004B7F23"/>
    <w:rsid w:val="004C0DEE"/>
    <w:rsid w:val="004C1614"/>
    <w:rsid w:val="004C209A"/>
    <w:rsid w:val="004C21ED"/>
    <w:rsid w:val="004C64CF"/>
    <w:rsid w:val="004C6F86"/>
    <w:rsid w:val="004D00DB"/>
    <w:rsid w:val="004D077D"/>
    <w:rsid w:val="004D0B4E"/>
    <w:rsid w:val="004D21DC"/>
    <w:rsid w:val="004D2276"/>
    <w:rsid w:val="004D36FF"/>
    <w:rsid w:val="004D592A"/>
    <w:rsid w:val="004D59E0"/>
    <w:rsid w:val="004D6D14"/>
    <w:rsid w:val="004D7310"/>
    <w:rsid w:val="004D7F76"/>
    <w:rsid w:val="004E0257"/>
    <w:rsid w:val="004E09E2"/>
    <w:rsid w:val="004E1424"/>
    <w:rsid w:val="004E238B"/>
    <w:rsid w:val="004E2A6C"/>
    <w:rsid w:val="004E2C55"/>
    <w:rsid w:val="004E2F75"/>
    <w:rsid w:val="004E41A6"/>
    <w:rsid w:val="004E46E6"/>
    <w:rsid w:val="004E583D"/>
    <w:rsid w:val="004E5CBF"/>
    <w:rsid w:val="004F303D"/>
    <w:rsid w:val="004F4A37"/>
    <w:rsid w:val="004F6906"/>
    <w:rsid w:val="004F77F4"/>
    <w:rsid w:val="004F7865"/>
    <w:rsid w:val="0050098E"/>
    <w:rsid w:val="00500A85"/>
    <w:rsid w:val="00500DC7"/>
    <w:rsid w:val="00500EB1"/>
    <w:rsid w:val="0050168B"/>
    <w:rsid w:val="0050281A"/>
    <w:rsid w:val="00502EA9"/>
    <w:rsid w:val="0050531B"/>
    <w:rsid w:val="00505A61"/>
    <w:rsid w:val="0050675F"/>
    <w:rsid w:val="005072B0"/>
    <w:rsid w:val="005116D1"/>
    <w:rsid w:val="00511AC2"/>
    <w:rsid w:val="00511E0B"/>
    <w:rsid w:val="00514D6B"/>
    <w:rsid w:val="005156EC"/>
    <w:rsid w:val="00515ED5"/>
    <w:rsid w:val="00516064"/>
    <w:rsid w:val="0051729F"/>
    <w:rsid w:val="00517AE4"/>
    <w:rsid w:val="00520D7E"/>
    <w:rsid w:val="0052106A"/>
    <w:rsid w:val="00522101"/>
    <w:rsid w:val="00522B48"/>
    <w:rsid w:val="00524754"/>
    <w:rsid w:val="005273C3"/>
    <w:rsid w:val="005312DA"/>
    <w:rsid w:val="005327A0"/>
    <w:rsid w:val="0053315C"/>
    <w:rsid w:val="00533F2B"/>
    <w:rsid w:val="00535611"/>
    <w:rsid w:val="00537A63"/>
    <w:rsid w:val="005404E6"/>
    <w:rsid w:val="0054102D"/>
    <w:rsid w:val="00542E47"/>
    <w:rsid w:val="0054407F"/>
    <w:rsid w:val="00544CDE"/>
    <w:rsid w:val="00544F93"/>
    <w:rsid w:val="0054621C"/>
    <w:rsid w:val="005462B0"/>
    <w:rsid w:val="00546825"/>
    <w:rsid w:val="0054713E"/>
    <w:rsid w:val="0054763B"/>
    <w:rsid w:val="00550152"/>
    <w:rsid w:val="00551011"/>
    <w:rsid w:val="005514B7"/>
    <w:rsid w:val="00551820"/>
    <w:rsid w:val="00551D73"/>
    <w:rsid w:val="00554145"/>
    <w:rsid w:val="005543A8"/>
    <w:rsid w:val="005547AC"/>
    <w:rsid w:val="005553FB"/>
    <w:rsid w:val="0055567C"/>
    <w:rsid w:val="00556552"/>
    <w:rsid w:val="00556F0F"/>
    <w:rsid w:val="00557E0D"/>
    <w:rsid w:val="005618DC"/>
    <w:rsid w:val="00565A95"/>
    <w:rsid w:val="00567053"/>
    <w:rsid w:val="005712FA"/>
    <w:rsid w:val="005736D1"/>
    <w:rsid w:val="0057411E"/>
    <w:rsid w:val="005743A1"/>
    <w:rsid w:val="00574A6D"/>
    <w:rsid w:val="00574FB9"/>
    <w:rsid w:val="0058087D"/>
    <w:rsid w:val="00581687"/>
    <w:rsid w:val="005817ED"/>
    <w:rsid w:val="005825BF"/>
    <w:rsid w:val="00584E51"/>
    <w:rsid w:val="00584FC1"/>
    <w:rsid w:val="00586246"/>
    <w:rsid w:val="0058660D"/>
    <w:rsid w:val="00586F4E"/>
    <w:rsid w:val="005877DC"/>
    <w:rsid w:val="0059023E"/>
    <w:rsid w:val="00590F68"/>
    <w:rsid w:val="00591791"/>
    <w:rsid w:val="00597852"/>
    <w:rsid w:val="005A0FCA"/>
    <w:rsid w:val="005A103B"/>
    <w:rsid w:val="005A1AAE"/>
    <w:rsid w:val="005A2032"/>
    <w:rsid w:val="005A23F8"/>
    <w:rsid w:val="005A5127"/>
    <w:rsid w:val="005A6C3C"/>
    <w:rsid w:val="005A7442"/>
    <w:rsid w:val="005A7503"/>
    <w:rsid w:val="005A7CD2"/>
    <w:rsid w:val="005B06DE"/>
    <w:rsid w:val="005B2440"/>
    <w:rsid w:val="005B2DCB"/>
    <w:rsid w:val="005B4748"/>
    <w:rsid w:val="005B4BD5"/>
    <w:rsid w:val="005B633E"/>
    <w:rsid w:val="005C03AB"/>
    <w:rsid w:val="005C0EAD"/>
    <w:rsid w:val="005C10A2"/>
    <w:rsid w:val="005C2178"/>
    <w:rsid w:val="005C24F4"/>
    <w:rsid w:val="005C3AA9"/>
    <w:rsid w:val="005C5644"/>
    <w:rsid w:val="005C57C7"/>
    <w:rsid w:val="005C64DB"/>
    <w:rsid w:val="005C74F6"/>
    <w:rsid w:val="005C7BD0"/>
    <w:rsid w:val="005D0FAF"/>
    <w:rsid w:val="005D273C"/>
    <w:rsid w:val="005D3487"/>
    <w:rsid w:val="005D3DA4"/>
    <w:rsid w:val="005D4217"/>
    <w:rsid w:val="005D4526"/>
    <w:rsid w:val="005D4927"/>
    <w:rsid w:val="005D6069"/>
    <w:rsid w:val="005D64EF"/>
    <w:rsid w:val="005D67B9"/>
    <w:rsid w:val="005D6F20"/>
    <w:rsid w:val="005D7C88"/>
    <w:rsid w:val="005E037D"/>
    <w:rsid w:val="005E0AF1"/>
    <w:rsid w:val="005E0BFA"/>
    <w:rsid w:val="005E0CAF"/>
    <w:rsid w:val="005E1B2F"/>
    <w:rsid w:val="005E4DAE"/>
    <w:rsid w:val="005E6F55"/>
    <w:rsid w:val="005F1622"/>
    <w:rsid w:val="005F1A13"/>
    <w:rsid w:val="005F2041"/>
    <w:rsid w:val="005F2079"/>
    <w:rsid w:val="005F340B"/>
    <w:rsid w:val="005F5EEF"/>
    <w:rsid w:val="005F603C"/>
    <w:rsid w:val="005F635C"/>
    <w:rsid w:val="005F6DC6"/>
    <w:rsid w:val="00601388"/>
    <w:rsid w:val="00602903"/>
    <w:rsid w:val="00602A00"/>
    <w:rsid w:val="00602D28"/>
    <w:rsid w:val="0060306A"/>
    <w:rsid w:val="006038EF"/>
    <w:rsid w:val="00603C74"/>
    <w:rsid w:val="00606281"/>
    <w:rsid w:val="00606B94"/>
    <w:rsid w:val="00606E72"/>
    <w:rsid w:val="00607D7C"/>
    <w:rsid w:val="0061103C"/>
    <w:rsid w:val="00611A5B"/>
    <w:rsid w:val="00613437"/>
    <w:rsid w:val="0061373D"/>
    <w:rsid w:val="00615476"/>
    <w:rsid w:val="00615CDB"/>
    <w:rsid w:val="006219AA"/>
    <w:rsid w:val="006224B3"/>
    <w:rsid w:val="00622515"/>
    <w:rsid w:val="00622813"/>
    <w:rsid w:val="00623EA6"/>
    <w:rsid w:val="00624276"/>
    <w:rsid w:val="00624729"/>
    <w:rsid w:val="00624B89"/>
    <w:rsid w:val="00625734"/>
    <w:rsid w:val="00626821"/>
    <w:rsid w:val="00626F2C"/>
    <w:rsid w:val="00627FC4"/>
    <w:rsid w:val="00630850"/>
    <w:rsid w:val="00631651"/>
    <w:rsid w:val="006319D3"/>
    <w:rsid w:val="00631A2C"/>
    <w:rsid w:val="00631CE2"/>
    <w:rsid w:val="0063297E"/>
    <w:rsid w:val="0063356C"/>
    <w:rsid w:val="00635915"/>
    <w:rsid w:val="00635AC9"/>
    <w:rsid w:val="00635FAD"/>
    <w:rsid w:val="006361ED"/>
    <w:rsid w:val="006362F7"/>
    <w:rsid w:val="00636A6D"/>
    <w:rsid w:val="0063717B"/>
    <w:rsid w:val="00637375"/>
    <w:rsid w:val="00637AD5"/>
    <w:rsid w:val="006403E9"/>
    <w:rsid w:val="00641129"/>
    <w:rsid w:val="00641987"/>
    <w:rsid w:val="006428B7"/>
    <w:rsid w:val="0064369F"/>
    <w:rsid w:val="00643CDC"/>
    <w:rsid w:val="00645947"/>
    <w:rsid w:val="006504A8"/>
    <w:rsid w:val="00651304"/>
    <w:rsid w:val="00652C4E"/>
    <w:rsid w:val="00652D02"/>
    <w:rsid w:val="00652D2E"/>
    <w:rsid w:val="006534AD"/>
    <w:rsid w:val="006544D0"/>
    <w:rsid w:val="006555B8"/>
    <w:rsid w:val="00655B3F"/>
    <w:rsid w:val="00656A49"/>
    <w:rsid w:val="00657C22"/>
    <w:rsid w:val="006602D9"/>
    <w:rsid w:val="00660EE7"/>
    <w:rsid w:val="006618CC"/>
    <w:rsid w:val="00664CB0"/>
    <w:rsid w:val="00665886"/>
    <w:rsid w:val="00665BE6"/>
    <w:rsid w:val="0066604C"/>
    <w:rsid w:val="0066631C"/>
    <w:rsid w:val="00666F66"/>
    <w:rsid w:val="00667081"/>
    <w:rsid w:val="00667487"/>
    <w:rsid w:val="00667982"/>
    <w:rsid w:val="006708D1"/>
    <w:rsid w:val="00670FD4"/>
    <w:rsid w:val="0067105F"/>
    <w:rsid w:val="006717C9"/>
    <w:rsid w:val="00672268"/>
    <w:rsid w:val="00672399"/>
    <w:rsid w:val="00672488"/>
    <w:rsid w:val="0067262A"/>
    <w:rsid w:val="00673050"/>
    <w:rsid w:val="00673408"/>
    <w:rsid w:val="00673692"/>
    <w:rsid w:val="00673B8B"/>
    <w:rsid w:val="006749AF"/>
    <w:rsid w:val="00676012"/>
    <w:rsid w:val="006803E0"/>
    <w:rsid w:val="006810E0"/>
    <w:rsid w:val="00681300"/>
    <w:rsid w:val="00681680"/>
    <w:rsid w:val="00683471"/>
    <w:rsid w:val="00683BC0"/>
    <w:rsid w:val="0068515A"/>
    <w:rsid w:val="00686151"/>
    <w:rsid w:val="00686716"/>
    <w:rsid w:val="00686CE4"/>
    <w:rsid w:val="00687179"/>
    <w:rsid w:val="006871F9"/>
    <w:rsid w:val="00687403"/>
    <w:rsid w:val="00690827"/>
    <w:rsid w:val="00690E1D"/>
    <w:rsid w:val="00691A37"/>
    <w:rsid w:val="00691A9A"/>
    <w:rsid w:val="00691B54"/>
    <w:rsid w:val="00691CD1"/>
    <w:rsid w:val="0069230F"/>
    <w:rsid w:val="00693D27"/>
    <w:rsid w:val="00694799"/>
    <w:rsid w:val="00695261"/>
    <w:rsid w:val="00695AB4"/>
    <w:rsid w:val="00696321"/>
    <w:rsid w:val="00697A7C"/>
    <w:rsid w:val="006A0A46"/>
    <w:rsid w:val="006A0BCE"/>
    <w:rsid w:val="006A110A"/>
    <w:rsid w:val="006A2C0A"/>
    <w:rsid w:val="006A33FB"/>
    <w:rsid w:val="006A41E7"/>
    <w:rsid w:val="006A449B"/>
    <w:rsid w:val="006A488F"/>
    <w:rsid w:val="006A4CE7"/>
    <w:rsid w:val="006A5350"/>
    <w:rsid w:val="006A7DD3"/>
    <w:rsid w:val="006B1EA4"/>
    <w:rsid w:val="006B2D84"/>
    <w:rsid w:val="006B2E97"/>
    <w:rsid w:val="006B360C"/>
    <w:rsid w:val="006B3AA2"/>
    <w:rsid w:val="006B43BF"/>
    <w:rsid w:val="006B51FF"/>
    <w:rsid w:val="006B6000"/>
    <w:rsid w:val="006C2B7B"/>
    <w:rsid w:val="006C3D8C"/>
    <w:rsid w:val="006C3D8F"/>
    <w:rsid w:val="006C4584"/>
    <w:rsid w:val="006C489B"/>
    <w:rsid w:val="006C4990"/>
    <w:rsid w:val="006C4F85"/>
    <w:rsid w:val="006C574D"/>
    <w:rsid w:val="006C6A85"/>
    <w:rsid w:val="006C73ED"/>
    <w:rsid w:val="006C7762"/>
    <w:rsid w:val="006C780E"/>
    <w:rsid w:val="006D11DC"/>
    <w:rsid w:val="006D161A"/>
    <w:rsid w:val="006D2453"/>
    <w:rsid w:val="006D2468"/>
    <w:rsid w:val="006D2496"/>
    <w:rsid w:val="006D2DA3"/>
    <w:rsid w:val="006D2F0F"/>
    <w:rsid w:val="006D622A"/>
    <w:rsid w:val="006D6DC1"/>
    <w:rsid w:val="006D6DDC"/>
    <w:rsid w:val="006D7BCE"/>
    <w:rsid w:val="006E0FE2"/>
    <w:rsid w:val="006E1030"/>
    <w:rsid w:val="006E1FBD"/>
    <w:rsid w:val="006E398A"/>
    <w:rsid w:val="006E43E8"/>
    <w:rsid w:val="006F02FB"/>
    <w:rsid w:val="006F1AA8"/>
    <w:rsid w:val="006F2037"/>
    <w:rsid w:val="006F359C"/>
    <w:rsid w:val="006F39E7"/>
    <w:rsid w:val="006F3C3F"/>
    <w:rsid w:val="006F3D9C"/>
    <w:rsid w:val="006F404B"/>
    <w:rsid w:val="006F581D"/>
    <w:rsid w:val="006F5885"/>
    <w:rsid w:val="006F7D94"/>
    <w:rsid w:val="006F7ED4"/>
    <w:rsid w:val="007026C1"/>
    <w:rsid w:val="007065F3"/>
    <w:rsid w:val="00706B7C"/>
    <w:rsid w:val="00707E44"/>
    <w:rsid w:val="00711A3A"/>
    <w:rsid w:val="00715409"/>
    <w:rsid w:val="00716D2A"/>
    <w:rsid w:val="007171A3"/>
    <w:rsid w:val="00717560"/>
    <w:rsid w:val="00720265"/>
    <w:rsid w:val="00720A09"/>
    <w:rsid w:val="00720D37"/>
    <w:rsid w:val="007232A3"/>
    <w:rsid w:val="007242EB"/>
    <w:rsid w:val="00725B9A"/>
    <w:rsid w:val="00725C1B"/>
    <w:rsid w:val="00726483"/>
    <w:rsid w:val="00730EE5"/>
    <w:rsid w:val="00732948"/>
    <w:rsid w:val="00732BAB"/>
    <w:rsid w:val="007330EB"/>
    <w:rsid w:val="0073320E"/>
    <w:rsid w:val="0073363A"/>
    <w:rsid w:val="00733BBD"/>
    <w:rsid w:val="007369A4"/>
    <w:rsid w:val="00741899"/>
    <w:rsid w:val="00743FFD"/>
    <w:rsid w:val="007440EF"/>
    <w:rsid w:val="00744683"/>
    <w:rsid w:val="007446F7"/>
    <w:rsid w:val="007454CF"/>
    <w:rsid w:val="007461E0"/>
    <w:rsid w:val="00746215"/>
    <w:rsid w:val="00746D20"/>
    <w:rsid w:val="00751CF1"/>
    <w:rsid w:val="0075253C"/>
    <w:rsid w:val="00752F3D"/>
    <w:rsid w:val="00753F80"/>
    <w:rsid w:val="00754C26"/>
    <w:rsid w:val="00755221"/>
    <w:rsid w:val="00755405"/>
    <w:rsid w:val="00755DDF"/>
    <w:rsid w:val="0075628E"/>
    <w:rsid w:val="007573B9"/>
    <w:rsid w:val="00760F4C"/>
    <w:rsid w:val="0076187B"/>
    <w:rsid w:val="0076363F"/>
    <w:rsid w:val="00763822"/>
    <w:rsid w:val="007641AA"/>
    <w:rsid w:val="00764BB4"/>
    <w:rsid w:val="00765A7C"/>
    <w:rsid w:val="00765C18"/>
    <w:rsid w:val="00766C10"/>
    <w:rsid w:val="007724E7"/>
    <w:rsid w:val="0077360A"/>
    <w:rsid w:val="0077371D"/>
    <w:rsid w:val="00773CA6"/>
    <w:rsid w:val="007772FB"/>
    <w:rsid w:val="00777D57"/>
    <w:rsid w:val="0078054E"/>
    <w:rsid w:val="00780595"/>
    <w:rsid w:val="00783CB4"/>
    <w:rsid w:val="00785261"/>
    <w:rsid w:val="00786D5B"/>
    <w:rsid w:val="007906DB"/>
    <w:rsid w:val="00790A67"/>
    <w:rsid w:val="00791214"/>
    <w:rsid w:val="007921F9"/>
    <w:rsid w:val="007929FE"/>
    <w:rsid w:val="00792C6B"/>
    <w:rsid w:val="00794B4A"/>
    <w:rsid w:val="00795CEA"/>
    <w:rsid w:val="007960F0"/>
    <w:rsid w:val="007A230C"/>
    <w:rsid w:val="007A439A"/>
    <w:rsid w:val="007A44E1"/>
    <w:rsid w:val="007A49C3"/>
    <w:rsid w:val="007B0256"/>
    <w:rsid w:val="007B1189"/>
    <w:rsid w:val="007B14C5"/>
    <w:rsid w:val="007B1696"/>
    <w:rsid w:val="007B2AFE"/>
    <w:rsid w:val="007B2E1B"/>
    <w:rsid w:val="007B2F79"/>
    <w:rsid w:val="007B58DD"/>
    <w:rsid w:val="007B5E88"/>
    <w:rsid w:val="007B675A"/>
    <w:rsid w:val="007C16F3"/>
    <w:rsid w:val="007C1B01"/>
    <w:rsid w:val="007C2662"/>
    <w:rsid w:val="007C3011"/>
    <w:rsid w:val="007C3D2E"/>
    <w:rsid w:val="007C4582"/>
    <w:rsid w:val="007C52A6"/>
    <w:rsid w:val="007C5FC6"/>
    <w:rsid w:val="007C6ACF"/>
    <w:rsid w:val="007C7A1B"/>
    <w:rsid w:val="007D1464"/>
    <w:rsid w:val="007D1C2F"/>
    <w:rsid w:val="007D1C49"/>
    <w:rsid w:val="007D2C11"/>
    <w:rsid w:val="007D2D0E"/>
    <w:rsid w:val="007D302A"/>
    <w:rsid w:val="007D30A2"/>
    <w:rsid w:val="007D3601"/>
    <w:rsid w:val="007D718A"/>
    <w:rsid w:val="007E0053"/>
    <w:rsid w:val="007E007C"/>
    <w:rsid w:val="007E059C"/>
    <w:rsid w:val="007E0BAE"/>
    <w:rsid w:val="007E1BF8"/>
    <w:rsid w:val="007E27D7"/>
    <w:rsid w:val="007E2987"/>
    <w:rsid w:val="007E3959"/>
    <w:rsid w:val="007E3B8B"/>
    <w:rsid w:val="007E4065"/>
    <w:rsid w:val="007E4805"/>
    <w:rsid w:val="007E5748"/>
    <w:rsid w:val="007E59E2"/>
    <w:rsid w:val="007E5E13"/>
    <w:rsid w:val="007E7E53"/>
    <w:rsid w:val="007F20CD"/>
    <w:rsid w:val="007F5082"/>
    <w:rsid w:val="008006FC"/>
    <w:rsid w:val="008009CA"/>
    <w:rsid w:val="00801022"/>
    <w:rsid w:val="008013A0"/>
    <w:rsid w:val="00801C33"/>
    <w:rsid w:val="00801C64"/>
    <w:rsid w:val="00802163"/>
    <w:rsid w:val="008022D5"/>
    <w:rsid w:val="0080363D"/>
    <w:rsid w:val="00804E13"/>
    <w:rsid w:val="00805292"/>
    <w:rsid w:val="0080550A"/>
    <w:rsid w:val="008063AF"/>
    <w:rsid w:val="0080649F"/>
    <w:rsid w:val="008100F4"/>
    <w:rsid w:val="00811E85"/>
    <w:rsid w:val="00812174"/>
    <w:rsid w:val="00812D4A"/>
    <w:rsid w:val="00813D63"/>
    <w:rsid w:val="008154EA"/>
    <w:rsid w:val="00815A31"/>
    <w:rsid w:val="00817FE5"/>
    <w:rsid w:val="0082068B"/>
    <w:rsid w:val="008221A1"/>
    <w:rsid w:val="00822617"/>
    <w:rsid w:val="0082288D"/>
    <w:rsid w:val="00823282"/>
    <w:rsid w:val="00825250"/>
    <w:rsid w:val="00826001"/>
    <w:rsid w:val="00827C41"/>
    <w:rsid w:val="00827DF7"/>
    <w:rsid w:val="00830E69"/>
    <w:rsid w:val="00831029"/>
    <w:rsid w:val="00831D82"/>
    <w:rsid w:val="00831FDD"/>
    <w:rsid w:val="00833732"/>
    <w:rsid w:val="00833F1D"/>
    <w:rsid w:val="0083409C"/>
    <w:rsid w:val="00834A42"/>
    <w:rsid w:val="0083521A"/>
    <w:rsid w:val="0083526F"/>
    <w:rsid w:val="008378BA"/>
    <w:rsid w:val="008379B6"/>
    <w:rsid w:val="00837F4E"/>
    <w:rsid w:val="008404B1"/>
    <w:rsid w:val="00841156"/>
    <w:rsid w:val="00842051"/>
    <w:rsid w:val="0084227C"/>
    <w:rsid w:val="0084343F"/>
    <w:rsid w:val="00843F56"/>
    <w:rsid w:val="008443E6"/>
    <w:rsid w:val="008455CE"/>
    <w:rsid w:val="0084687A"/>
    <w:rsid w:val="00847CEF"/>
    <w:rsid w:val="0085088E"/>
    <w:rsid w:val="00850C04"/>
    <w:rsid w:val="00850F85"/>
    <w:rsid w:val="00851467"/>
    <w:rsid w:val="00851792"/>
    <w:rsid w:val="00851BCA"/>
    <w:rsid w:val="00852EE6"/>
    <w:rsid w:val="00853C70"/>
    <w:rsid w:val="00854BE2"/>
    <w:rsid w:val="008565DF"/>
    <w:rsid w:val="0085710F"/>
    <w:rsid w:val="00857B98"/>
    <w:rsid w:val="008604E1"/>
    <w:rsid w:val="00860A04"/>
    <w:rsid w:val="00861912"/>
    <w:rsid w:val="00862EAA"/>
    <w:rsid w:val="00863634"/>
    <w:rsid w:val="008642B2"/>
    <w:rsid w:val="00864C0F"/>
    <w:rsid w:val="00864DBC"/>
    <w:rsid w:val="00870EBF"/>
    <w:rsid w:val="00871AEF"/>
    <w:rsid w:val="00871FF2"/>
    <w:rsid w:val="008737CB"/>
    <w:rsid w:val="00874643"/>
    <w:rsid w:val="00874740"/>
    <w:rsid w:val="00875AFF"/>
    <w:rsid w:val="0087611D"/>
    <w:rsid w:val="00876CA6"/>
    <w:rsid w:val="00876FB4"/>
    <w:rsid w:val="00877018"/>
    <w:rsid w:val="00880075"/>
    <w:rsid w:val="00885183"/>
    <w:rsid w:val="008854E5"/>
    <w:rsid w:val="00885846"/>
    <w:rsid w:val="008877CA"/>
    <w:rsid w:val="008916D6"/>
    <w:rsid w:val="00891E2F"/>
    <w:rsid w:val="00892B81"/>
    <w:rsid w:val="00894596"/>
    <w:rsid w:val="00895276"/>
    <w:rsid w:val="008953D4"/>
    <w:rsid w:val="008969EF"/>
    <w:rsid w:val="00896E3B"/>
    <w:rsid w:val="00896F08"/>
    <w:rsid w:val="0089725B"/>
    <w:rsid w:val="00897EBC"/>
    <w:rsid w:val="008A0F1F"/>
    <w:rsid w:val="008A12E4"/>
    <w:rsid w:val="008A1CB6"/>
    <w:rsid w:val="008A2956"/>
    <w:rsid w:val="008A2DD7"/>
    <w:rsid w:val="008A2F2B"/>
    <w:rsid w:val="008A3C9A"/>
    <w:rsid w:val="008A5D83"/>
    <w:rsid w:val="008A678F"/>
    <w:rsid w:val="008B10E5"/>
    <w:rsid w:val="008B17D2"/>
    <w:rsid w:val="008B210B"/>
    <w:rsid w:val="008B2162"/>
    <w:rsid w:val="008B29E7"/>
    <w:rsid w:val="008B6EDF"/>
    <w:rsid w:val="008C0722"/>
    <w:rsid w:val="008C147B"/>
    <w:rsid w:val="008C2915"/>
    <w:rsid w:val="008C2F13"/>
    <w:rsid w:val="008C3726"/>
    <w:rsid w:val="008C4B52"/>
    <w:rsid w:val="008D163E"/>
    <w:rsid w:val="008D2B51"/>
    <w:rsid w:val="008D3758"/>
    <w:rsid w:val="008D5A93"/>
    <w:rsid w:val="008D7E8D"/>
    <w:rsid w:val="008D7EE2"/>
    <w:rsid w:val="008E031C"/>
    <w:rsid w:val="008E0C72"/>
    <w:rsid w:val="008E0E9D"/>
    <w:rsid w:val="008E1C81"/>
    <w:rsid w:val="008E479F"/>
    <w:rsid w:val="008E4C05"/>
    <w:rsid w:val="008E6773"/>
    <w:rsid w:val="008E769E"/>
    <w:rsid w:val="008E77E8"/>
    <w:rsid w:val="008E79B1"/>
    <w:rsid w:val="008F1038"/>
    <w:rsid w:val="008F170F"/>
    <w:rsid w:val="008F194A"/>
    <w:rsid w:val="008F3023"/>
    <w:rsid w:val="008F43AA"/>
    <w:rsid w:val="008F4661"/>
    <w:rsid w:val="008F4DE7"/>
    <w:rsid w:val="008F70C8"/>
    <w:rsid w:val="008F7AD0"/>
    <w:rsid w:val="0090092C"/>
    <w:rsid w:val="00903837"/>
    <w:rsid w:val="00904641"/>
    <w:rsid w:val="00904813"/>
    <w:rsid w:val="00904947"/>
    <w:rsid w:val="00906303"/>
    <w:rsid w:val="0090635A"/>
    <w:rsid w:val="00914971"/>
    <w:rsid w:val="0091650E"/>
    <w:rsid w:val="0091721F"/>
    <w:rsid w:val="009175ED"/>
    <w:rsid w:val="0092002C"/>
    <w:rsid w:val="009207F6"/>
    <w:rsid w:val="0092235C"/>
    <w:rsid w:val="009225F0"/>
    <w:rsid w:val="00922A7B"/>
    <w:rsid w:val="00922F81"/>
    <w:rsid w:val="00923AF0"/>
    <w:rsid w:val="0092471B"/>
    <w:rsid w:val="00925DFF"/>
    <w:rsid w:val="00926EA5"/>
    <w:rsid w:val="0093023E"/>
    <w:rsid w:val="00931089"/>
    <w:rsid w:val="0093288D"/>
    <w:rsid w:val="00934624"/>
    <w:rsid w:val="009354BE"/>
    <w:rsid w:val="00935FF7"/>
    <w:rsid w:val="0093648D"/>
    <w:rsid w:val="00940A1D"/>
    <w:rsid w:val="00944797"/>
    <w:rsid w:val="0094563F"/>
    <w:rsid w:val="00946B15"/>
    <w:rsid w:val="0095075A"/>
    <w:rsid w:val="009529EE"/>
    <w:rsid w:val="00952A07"/>
    <w:rsid w:val="00953F06"/>
    <w:rsid w:val="0095456D"/>
    <w:rsid w:val="00955C22"/>
    <w:rsid w:val="00955D47"/>
    <w:rsid w:val="009579C4"/>
    <w:rsid w:val="00957A64"/>
    <w:rsid w:val="0096054B"/>
    <w:rsid w:val="00960EEC"/>
    <w:rsid w:val="0096187A"/>
    <w:rsid w:val="00961B91"/>
    <w:rsid w:val="00961C39"/>
    <w:rsid w:val="009629A5"/>
    <w:rsid w:val="0096663C"/>
    <w:rsid w:val="00967DE1"/>
    <w:rsid w:val="00970969"/>
    <w:rsid w:val="009720F8"/>
    <w:rsid w:val="00973B77"/>
    <w:rsid w:val="009741CF"/>
    <w:rsid w:val="00974D73"/>
    <w:rsid w:val="0097545D"/>
    <w:rsid w:val="00975626"/>
    <w:rsid w:val="00975997"/>
    <w:rsid w:val="009769D6"/>
    <w:rsid w:val="009775E5"/>
    <w:rsid w:val="009804A6"/>
    <w:rsid w:val="009812B6"/>
    <w:rsid w:val="00981F2F"/>
    <w:rsid w:val="00981F4C"/>
    <w:rsid w:val="009821F6"/>
    <w:rsid w:val="00982EF1"/>
    <w:rsid w:val="00983104"/>
    <w:rsid w:val="00983CFC"/>
    <w:rsid w:val="009845A8"/>
    <w:rsid w:val="009845D1"/>
    <w:rsid w:val="009846B5"/>
    <w:rsid w:val="00985257"/>
    <w:rsid w:val="00987714"/>
    <w:rsid w:val="00987BC3"/>
    <w:rsid w:val="009912FC"/>
    <w:rsid w:val="00992755"/>
    <w:rsid w:val="00994439"/>
    <w:rsid w:val="00996415"/>
    <w:rsid w:val="00996F8F"/>
    <w:rsid w:val="009978D9"/>
    <w:rsid w:val="009A0672"/>
    <w:rsid w:val="009A1199"/>
    <w:rsid w:val="009A232A"/>
    <w:rsid w:val="009A3CAA"/>
    <w:rsid w:val="009A3FBC"/>
    <w:rsid w:val="009A488D"/>
    <w:rsid w:val="009A57D4"/>
    <w:rsid w:val="009A73EC"/>
    <w:rsid w:val="009B0121"/>
    <w:rsid w:val="009B26D3"/>
    <w:rsid w:val="009B2B61"/>
    <w:rsid w:val="009B443F"/>
    <w:rsid w:val="009B54AC"/>
    <w:rsid w:val="009B5AB3"/>
    <w:rsid w:val="009B63C6"/>
    <w:rsid w:val="009B64FA"/>
    <w:rsid w:val="009B717B"/>
    <w:rsid w:val="009C0419"/>
    <w:rsid w:val="009C04DA"/>
    <w:rsid w:val="009C1065"/>
    <w:rsid w:val="009C1103"/>
    <w:rsid w:val="009C1EA1"/>
    <w:rsid w:val="009C5CD1"/>
    <w:rsid w:val="009C5F22"/>
    <w:rsid w:val="009C7857"/>
    <w:rsid w:val="009D016F"/>
    <w:rsid w:val="009D267A"/>
    <w:rsid w:val="009D2CF3"/>
    <w:rsid w:val="009D2DF8"/>
    <w:rsid w:val="009D3CCB"/>
    <w:rsid w:val="009D3DD0"/>
    <w:rsid w:val="009D3F75"/>
    <w:rsid w:val="009D46C7"/>
    <w:rsid w:val="009D4727"/>
    <w:rsid w:val="009D4795"/>
    <w:rsid w:val="009D4AC2"/>
    <w:rsid w:val="009D55FF"/>
    <w:rsid w:val="009D5775"/>
    <w:rsid w:val="009E02B7"/>
    <w:rsid w:val="009E1BF0"/>
    <w:rsid w:val="009E2394"/>
    <w:rsid w:val="009E3038"/>
    <w:rsid w:val="009E37E7"/>
    <w:rsid w:val="009E3966"/>
    <w:rsid w:val="009E6411"/>
    <w:rsid w:val="009E7735"/>
    <w:rsid w:val="009E7BEA"/>
    <w:rsid w:val="009F1300"/>
    <w:rsid w:val="009F174B"/>
    <w:rsid w:val="009F3E67"/>
    <w:rsid w:val="009F6D01"/>
    <w:rsid w:val="00A00650"/>
    <w:rsid w:val="00A039A9"/>
    <w:rsid w:val="00A0613D"/>
    <w:rsid w:val="00A0697E"/>
    <w:rsid w:val="00A06C54"/>
    <w:rsid w:val="00A07B87"/>
    <w:rsid w:val="00A10B78"/>
    <w:rsid w:val="00A11EA6"/>
    <w:rsid w:val="00A123F0"/>
    <w:rsid w:val="00A12D3A"/>
    <w:rsid w:val="00A13038"/>
    <w:rsid w:val="00A13549"/>
    <w:rsid w:val="00A136D7"/>
    <w:rsid w:val="00A13D82"/>
    <w:rsid w:val="00A153D2"/>
    <w:rsid w:val="00A15F0C"/>
    <w:rsid w:val="00A1663F"/>
    <w:rsid w:val="00A16E26"/>
    <w:rsid w:val="00A17A1B"/>
    <w:rsid w:val="00A20258"/>
    <w:rsid w:val="00A203A1"/>
    <w:rsid w:val="00A20F4F"/>
    <w:rsid w:val="00A20F80"/>
    <w:rsid w:val="00A21102"/>
    <w:rsid w:val="00A21784"/>
    <w:rsid w:val="00A21EEA"/>
    <w:rsid w:val="00A22DBC"/>
    <w:rsid w:val="00A23867"/>
    <w:rsid w:val="00A24030"/>
    <w:rsid w:val="00A26C32"/>
    <w:rsid w:val="00A26C60"/>
    <w:rsid w:val="00A302AA"/>
    <w:rsid w:val="00A31EAC"/>
    <w:rsid w:val="00A31ED1"/>
    <w:rsid w:val="00A32A19"/>
    <w:rsid w:val="00A341C0"/>
    <w:rsid w:val="00A365D2"/>
    <w:rsid w:val="00A368A1"/>
    <w:rsid w:val="00A41259"/>
    <w:rsid w:val="00A421D2"/>
    <w:rsid w:val="00A4249B"/>
    <w:rsid w:val="00A4372A"/>
    <w:rsid w:val="00A43BE4"/>
    <w:rsid w:val="00A43E66"/>
    <w:rsid w:val="00A44221"/>
    <w:rsid w:val="00A4462B"/>
    <w:rsid w:val="00A44761"/>
    <w:rsid w:val="00A44B33"/>
    <w:rsid w:val="00A453A8"/>
    <w:rsid w:val="00A45E81"/>
    <w:rsid w:val="00A4694B"/>
    <w:rsid w:val="00A470EA"/>
    <w:rsid w:val="00A47E8B"/>
    <w:rsid w:val="00A47F5D"/>
    <w:rsid w:val="00A50BB9"/>
    <w:rsid w:val="00A51123"/>
    <w:rsid w:val="00A53F13"/>
    <w:rsid w:val="00A55427"/>
    <w:rsid w:val="00A55824"/>
    <w:rsid w:val="00A56E38"/>
    <w:rsid w:val="00A618D9"/>
    <w:rsid w:val="00A61E0C"/>
    <w:rsid w:val="00A6317F"/>
    <w:rsid w:val="00A6473A"/>
    <w:rsid w:val="00A65DC5"/>
    <w:rsid w:val="00A65EB2"/>
    <w:rsid w:val="00A669BB"/>
    <w:rsid w:val="00A673BC"/>
    <w:rsid w:val="00A673DE"/>
    <w:rsid w:val="00A67C82"/>
    <w:rsid w:val="00A706AE"/>
    <w:rsid w:val="00A734C6"/>
    <w:rsid w:val="00A74449"/>
    <w:rsid w:val="00A74507"/>
    <w:rsid w:val="00A74769"/>
    <w:rsid w:val="00A74934"/>
    <w:rsid w:val="00A76491"/>
    <w:rsid w:val="00A76F51"/>
    <w:rsid w:val="00A774DF"/>
    <w:rsid w:val="00A77E45"/>
    <w:rsid w:val="00A77F84"/>
    <w:rsid w:val="00A80DE0"/>
    <w:rsid w:val="00A8136D"/>
    <w:rsid w:val="00A815F1"/>
    <w:rsid w:val="00A81759"/>
    <w:rsid w:val="00A81865"/>
    <w:rsid w:val="00A81BB8"/>
    <w:rsid w:val="00A81D39"/>
    <w:rsid w:val="00A82A2E"/>
    <w:rsid w:val="00A82F11"/>
    <w:rsid w:val="00A83ABC"/>
    <w:rsid w:val="00A83CCF"/>
    <w:rsid w:val="00A84DA7"/>
    <w:rsid w:val="00A85365"/>
    <w:rsid w:val="00A86314"/>
    <w:rsid w:val="00A86752"/>
    <w:rsid w:val="00A868B2"/>
    <w:rsid w:val="00A870A4"/>
    <w:rsid w:val="00A9202E"/>
    <w:rsid w:val="00A927EA"/>
    <w:rsid w:val="00A939FE"/>
    <w:rsid w:val="00A93AF9"/>
    <w:rsid w:val="00A95174"/>
    <w:rsid w:val="00A95D9C"/>
    <w:rsid w:val="00A96862"/>
    <w:rsid w:val="00A96B9E"/>
    <w:rsid w:val="00AA1ADD"/>
    <w:rsid w:val="00AA2840"/>
    <w:rsid w:val="00AA42A0"/>
    <w:rsid w:val="00AA4603"/>
    <w:rsid w:val="00AA6032"/>
    <w:rsid w:val="00AA6D32"/>
    <w:rsid w:val="00AA6F62"/>
    <w:rsid w:val="00AA7226"/>
    <w:rsid w:val="00AB16F0"/>
    <w:rsid w:val="00AB1B09"/>
    <w:rsid w:val="00AB263B"/>
    <w:rsid w:val="00AB2FEC"/>
    <w:rsid w:val="00AB3172"/>
    <w:rsid w:val="00AB4E6F"/>
    <w:rsid w:val="00AB62CC"/>
    <w:rsid w:val="00AB6E52"/>
    <w:rsid w:val="00AB6E95"/>
    <w:rsid w:val="00AB6EA2"/>
    <w:rsid w:val="00AB718C"/>
    <w:rsid w:val="00AB74A7"/>
    <w:rsid w:val="00AB771A"/>
    <w:rsid w:val="00AB7870"/>
    <w:rsid w:val="00AB7C19"/>
    <w:rsid w:val="00AC0385"/>
    <w:rsid w:val="00AC115B"/>
    <w:rsid w:val="00AC1FF4"/>
    <w:rsid w:val="00AC31DA"/>
    <w:rsid w:val="00AC404A"/>
    <w:rsid w:val="00AC40D6"/>
    <w:rsid w:val="00AC5BC0"/>
    <w:rsid w:val="00AC5F51"/>
    <w:rsid w:val="00AC63D3"/>
    <w:rsid w:val="00AD01EF"/>
    <w:rsid w:val="00AD06E0"/>
    <w:rsid w:val="00AD194B"/>
    <w:rsid w:val="00AD2C64"/>
    <w:rsid w:val="00AD36E8"/>
    <w:rsid w:val="00AD402D"/>
    <w:rsid w:val="00AD5653"/>
    <w:rsid w:val="00AD5E7D"/>
    <w:rsid w:val="00AD627F"/>
    <w:rsid w:val="00AD6368"/>
    <w:rsid w:val="00AD6700"/>
    <w:rsid w:val="00AE0331"/>
    <w:rsid w:val="00AE1B4F"/>
    <w:rsid w:val="00AE1FA3"/>
    <w:rsid w:val="00AE3014"/>
    <w:rsid w:val="00AE3742"/>
    <w:rsid w:val="00AE3820"/>
    <w:rsid w:val="00AE4243"/>
    <w:rsid w:val="00AE434C"/>
    <w:rsid w:val="00AE517C"/>
    <w:rsid w:val="00AE57F2"/>
    <w:rsid w:val="00AE71D1"/>
    <w:rsid w:val="00AF2C3B"/>
    <w:rsid w:val="00AF3E75"/>
    <w:rsid w:val="00AF46FD"/>
    <w:rsid w:val="00AF68F9"/>
    <w:rsid w:val="00AF701C"/>
    <w:rsid w:val="00AF77F3"/>
    <w:rsid w:val="00B00607"/>
    <w:rsid w:val="00B00DC6"/>
    <w:rsid w:val="00B00F74"/>
    <w:rsid w:val="00B023DA"/>
    <w:rsid w:val="00B026D3"/>
    <w:rsid w:val="00B031C4"/>
    <w:rsid w:val="00B044D8"/>
    <w:rsid w:val="00B04959"/>
    <w:rsid w:val="00B05313"/>
    <w:rsid w:val="00B057D8"/>
    <w:rsid w:val="00B06A9B"/>
    <w:rsid w:val="00B077E0"/>
    <w:rsid w:val="00B0784C"/>
    <w:rsid w:val="00B079FC"/>
    <w:rsid w:val="00B1048B"/>
    <w:rsid w:val="00B10EA9"/>
    <w:rsid w:val="00B10EB1"/>
    <w:rsid w:val="00B10F0D"/>
    <w:rsid w:val="00B13055"/>
    <w:rsid w:val="00B1628E"/>
    <w:rsid w:val="00B162ED"/>
    <w:rsid w:val="00B23FBD"/>
    <w:rsid w:val="00B246E8"/>
    <w:rsid w:val="00B25125"/>
    <w:rsid w:val="00B27B13"/>
    <w:rsid w:val="00B27F9D"/>
    <w:rsid w:val="00B30232"/>
    <w:rsid w:val="00B3102E"/>
    <w:rsid w:val="00B31D33"/>
    <w:rsid w:val="00B32E32"/>
    <w:rsid w:val="00B34601"/>
    <w:rsid w:val="00B34F9D"/>
    <w:rsid w:val="00B355D5"/>
    <w:rsid w:val="00B3613B"/>
    <w:rsid w:val="00B362A1"/>
    <w:rsid w:val="00B36B86"/>
    <w:rsid w:val="00B37290"/>
    <w:rsid w:val="00B37603"/>
    <w:rsid w:val="00B413E1"/>
    <w:rsid w:val="00B4187E"/>
    <w:rsid w:val="00B43142"/>
    <w:rsid w:val="00B43E7D"/>
    <w:rsid w:val="00B44263"/>
    <w:rsid w:val="00B443E7"/>
    <w:rsid w:val="00B44F9B"/>
    <w:rsid w:val="00B4530A"/>
    <w:rsid w:val="00B45D8B"/>
    <w:rsid w:val="00B46BB7"/>
    <w:rsid w:val="00B475D1"/>
    <w:rsid w:val="00B476EE"/>
    <w:rsid w:val="00B47FC1"/>
    <w:rsid w:val="00B51CCF"/>
    <w:rsid w:val="00B52E20"/>
    <w:rsid w:val="00B52FAE"/>
    <w:rsid w:val="00B53138"/>
    <w:rsid w:val="00B53BB5"/>
    <w:rsid w:val="00B545A9"/>
    <w:rsid w:val="00B5559F"/>
    <w:rsid w:val="00B55741"/>
    <w:rsid w:val="00B55C49"/>
    <w:rsid w:val="00B566FE"/>
    <w:rsid w:val="00B57A45"/>
    <w:rsid w:val="00B600FA"/>
    <w:rsid w:val="00B60F7A"/>
    <w:rsid w:val="00B61185"/>
    <w:rsid w:val="00B61A15"/>
    <w:rsid w:val="00B61F5E"/>
    <w:rsid w:val="00B6233F"/>
    <w:rsid w:val="00B62EBD"/>
    <w:rsid w:val="00B62F14"/>
    <w:rsid w:val="00B641DA"/>
    <w:rsid w:val="00B6576E"/>
    <w:rsid w:val="00B66498"/>
    <w:rsid w:val="00B665F9"/>
    <w:rsid w:val="00B66FC8"/>
    <w:rsid w:val="00B67493"/>
    <w:rsid w:val="00B704A9"/>
    <w:rsid w:val="00B707E9"/>
    <w:rsid w:val="00B71CBE"/>
    <w:rsid w:val="00B71E6F"/>
    <w:rsid w:val="00B71EDF"/>
    <w:rsid w:val="00B735A5"/>
    <w:rsid w:val="00B744D0"/>
    <w:rsid w:val="00B74CAB"/>
    <w:rsid w:val="00B750E3"/>
    <w:rsid w:val="00B75EE6"/>
    <w:rsid w:val="00B760FC"/>
    <w:rsid w:val="00B77295"/>
    <w:rsid w:val="00B772ED"/>
    <w:rsid w:val="00B81D51"/>
    <w:rsid w:val="00B820CD"/>
    <w:rsid w:val="00B83794"/>
    <w:rsid w:val="00B84015"/>
    <w:rsid w:val="00B844DC"/>
    <w:rsid w:val="00B85379"/>
    <w:rsid w:val="00B8586C"/>
    <w:rsid w:val="00B85E39"/>
    <w:rsid w:val="00B879A5"/>
    <w:rsid w:val="00B90FCA"/>
    <w:rsid w:val="00B910FA"/>
    <w:rsid w:val="00B92039"/>
    <w:rsid w:val="00B9326D"/>
    <w:rsid w:val="00B94538"/>
    <w:rsid w:val="00B95C50"/>
    <w:rsid w:val="00B96EA9"/>
    <w:rsid w:val="00B971D1"/>
    <w:rsid w:val="00B973C5"/>
    <w:rsid w:val="00B97BB9"/>
    <w:rsid w:val="00BA0535"/>
    <w:rsid w:val="00BA0B1E"/>
    <w:rsid w:val="00BA1C31"/>
    <w:rsid w:val="00BA2DB9"/>
    <w:rsid w:val="00BA4CEA"/>
    <w:rsid w:val="00BA501C"/>
    <w:rsid w:val="00BA5842"/>
    <w:rsid w:val="00BA6A09"/>
    <w:rsid w:val="00BA7BA8"/>
    <w:rsid w:val="00BB03A8"/>
    <w:rsid w:val="00BB03E0"/>
    <w:rsid w:val="00BB14E8"/>
    <w:rsid w:val="00BB1A50"/>
    <w:rsid w:val="00BB2017"/>
    <w:rsid w:val="00BB20C3"/>
    <w:rsid w:val="00BB2D89"/>
    <w:rsid w:val="00BB351B"/>
    <w:rsid w:val="00BB3EFB"/>
    <w:rsid w:val="00BB403B"/>
    <w:rsid w:val="00BB5CE5"/>
    <w:rsid w:val="00BB6296"/>
    <w:rsid w:val="00BB6834"/>
    <w:rsid w:val="00BC044D"/>
    <w:rsid w:val="00BC0460"/>
    <w:rsid w:val="00BC04D2"/>
    <w:rsid w:val="00BC0A30"/>
    <w:rsid w:val="00BC1E19"/>
    <w:rsid w:val="00BC2788"/>
    <w:rsid w:val="00BC3228"/>
    <w:rsid w:val="00BC3851"/>
    <w:rsid w:val="00BC5AB7"/>
    <w:rsid w:val="00BC5D26"/>
    <w:rsid w:val="00BC79CD"/>
    <w:rsid w:val="00BC7A89"/>
    <w:rsid w:val="00BC7F02"/>
    <w:rsid w:val="00BD14EF"/>
    <w:rsid w:val="00BD17CE"/>
    <w:rsid w:val="00BD2FF2"/>
    <w:rsid w:val="00BD3543"/>
    <w:rsid w:val="00BD3CB9"/>
    <w:rsid w:val="00BD474D"/>
    <w:rsid w:val="00BD58D7"/>
    <w:rsid w:val="00BD5953"/>
    <w:rsid w:val="00BD5D3B"/>
    <w:rsid w:val="00BE0849"/>
    <w:rsid w:val="00BE0F6F"/>
    <w:rsid w:val="00BE2746"/>
    <w:rsid w:val="00BE2F15"/>
    <w:rsid w:val="00BE32B9"/>
    <w:rsid w:val="00BE7148"/>
    <w:rsid w:val="00BF1694"/>
    <w:rsid w:val="00BF1E41"/>
    <w:rsid w:val="00BF2F48"/>
    <w:rsid w:val="00BF3516"/>
    <w:rsid w:val="00BF3A32"/>
    <w:rsid w:val="00BF5C96"/>
    <w:rsid w:val="00BF5E59"/>
    <w:rsid w:val="00BF63F1"/>
    <w:rsid w:val="00BF6B45"/>
    <w:rsid w:val="00BF7C0C"/>
    <w:rsid w:val="00BF7E2E"/>
    <w:rsid w:val="00C00195"/>
    <w:rsid w:val="00C008FC"/>
    <w:rsid w:val="00C00B8E"/>
    <w:rsid w:val="00C018A9"/>
    <w:rsid w:val="00C01D59"/>
    <w:rsid w:val="00C02417"/>
    <w:rsid w:val="00C025DE"/>
    <w:rsid w:val="00C02692"/>
    <w:rsid w:val="00C027B8"/>
    <w:rsid w:val="00C040E0"/>
    <w:rsid w:val="00C06292"/>
    <w:rsid w:val="00C06A96"/>
    <w:rsid w:val="00C10F0D"/>
    <w:rsid w:val="00C11F16"/>
    <w:rsid w:val="00C11FE6"/>
    <w:rsid w:val="00C12C03"/>
    <w:rsid w:val="00C12DC7"/>
    <w:rsid w:val="00C1446F"/>
    <w:rsid w:val="00C146E1"/>
    <w:rsid w:val="00C155D9"/>
    <w:rsid w:val="00C157D4"/>
    <w:rsid w:val="00C16BD5"/>
    <w:rsid w:val="00C17024"/>
    <w:rsid w:val="00C175D2"/>
    <w:rsid w:val="00C20024"/>
    <w:rsid w:val="00C2072E"/>
    <w:rsid w:val="00C208DA"/>
    <w:rsid w:val="00C22A39"/>
    <w:rsid w:val="00C26078"/>
    <w:rsid w:val="00C26AF0"/>
    <w:rsid w:val="00C2723C"/>
    <w:rsid w:val="00C27ABB"/>
    <w:rsid w:val="00C306A7"/>
    <w:rsid w:val="00C3078C"/>
    <w:rsid w:val="00C30E93"/>
    <w:rsid w:val="00C33221"/>
    <w:rsid w:val="00C336FF"/>
    <w:rsid w:val="00C34187"/>
    <w:rsid w:val="00C34AA7"/>
    <w:rsid w:val="00C35AE4"/>
    <w:rsid w:val="00C36523"/>
    <w:rsid w:val="00C366E2"/>
    <w:rsid w:val="00C37AAC"/>
    <w:rsid w:val="00C4058D"/>
    <w:rsid w:val="00C40AAC"/>
    <w:rsid w:val="00C42D6E"/>
    <w:rsid w:val="00C438A6"/>
    <w:rsid w:val="00C45530"/>
    <w:rsid w:val="00C45BB5"/>
    <w:rsid w:val="00C45E14"/>
    <w:rsid w:val="00C479A0"/>
    <w:rsid w:val="00C50240"/>
    <w:rsid w:val="00C505D7"/>
    <w:rsid w:val="00C50A74"/>
    <w:rsid w:val="00C51259"/>
    <w:rsid w:val="00C529F3"/>
    <w:rsid w:val="00C52EB2"/>
    <w:rsid w:val="00C53EA0"/>
    <w:rsid w:val="00C541A9"/>
    <w:rsid w:val="00C542A4"/>
    <w:rsid w:val="00C55DE7"/>
    <w:rsid w:val="00C55F2B"/>
    <w:rsid w:val="00C57001"/>
    <w:rsid w:val="00C57347"/>
    <w:rsid w:val="00C6096B"/>
    <w:rsid w:val="00C6210C"/>
    <w:rsid w:val="00C6261F"/>
    <w:rsid w:val="00C6267F"/>
    <w:rsid w:val="00C6392A"/>
    <w:rsid w:val="00C63C85"/>
    <w:rsid w:val="00C647CA"/>
    <w:rsid w:val="00C65169"/>
    <w:rsid w:val="00C665D6"/>
    <w:rsid w:val="00C7125C"/>
    <w:rsid w:val="00C71BBD"/>
    <w:rsid w:val="00C72587"/>
    <w:rsid w:val="00C7347B"/>
    <w:rsid w:val="00C747AA"/>
    <w:rsid w:val="00C74B88"/>
    <w:rsid w:val="00C76466"/>
    <w:rsid w:val="00C76B3D"/>
    <w:rsid w:val="00C848B7"/>
    <w:rsid w:val="00C8528E"/>
    <w:rsid w:val="00C85F3C"/>
    <w:rsid w:val="00C8671A"/>
    <w:rsid w:val="00C870B6"/>
    <w:rsid w:val="00C87CDB"/>
    <w:rsid w:val="00C90BC9"/>
    <w:rsid w:val="00C919CC"/>
    <w:rsid w:val="00C93E6B"/>
    <w:rsid w:val="00C943B5"/>
    <w:rsid w:val="00C9558B"/>
    <w:rsid w:val="00C9787A"/>
    <w:rsid w:val="00CA0671"/>
    <w:rsid w:val="00CA29F9"/>
    <w:rsid w:val="00CA2F8D"/>
    <w:rsid w:val="00CA3AC8"/>
    <w:rsid w:val="00CA48E6"/>
    <w:rsid w:val="00CA5D88"/>
    <w:rsid w:val="00CA6198"/>
    <w:rsid w:val="00CA6854"/>
    <w:rsid w:val="00CA7263"/>
    <w:rsid w:val="00CB1748"/>
    <w:rsid w:val="00CB1F15"/>
    <w:rsid w:val="00CB28C3"/>
    <w:rsid w:val="00CB54EC"/>
    <w:rsid w:val="00CB5DD1"/>
    <w:rsid w:val="00CB65B6"/>
    <w:rsid w:val="00CB718C"/>
    <w:rsid w:val="00CB74B3"/>
    <w:rsid w:val="00CC02DF"/>
    <w:rsid w:val="00CC049D"/>
    <w:rsid w:val="00CC125D"/>
    <w:rsid w:val="00CC1CAE"/>
    <w:rsid w:val="00CC323B"/>
    <w:rsid w:val="00CC3B11"/>
    <w:rsid w:val="00CC3F32"/>
    <w:rsid w:val="00CC5071"/>
    <w:rsid w:val="00CC559D"/>
    <w:rsid w:val="00CC58D6"/>
    <w:rsid w:val="00CC7862"/>
    <w:rsid w:val="00CD12B8"/>
    <w:rsid w:val="00CD199E"/>
    <w:rsid w:val="00CD3E37"/>
    <w:rsid w:val="00CD44DA"/>
    <w:rsid w:val="00CD50F3"/>
    <w:rsid w:val="00CD6062"/>
    <w:rsid w:val="00CD69F9"/>
    <w:rsid w:val="00CE09B1"/>
    <w:rsid w:val="00CE0B04"/>
    <w:rsid w:val="00CE15CB"/>
    <w:rsid w:val="00CE1709"/>
    <w:rsid w:val="00CE1CB4"/>
    <w:rsid w:val="00CE3461"/>
    <w:rsid w:val="00CE381E"/>
    <w:rsid w:val="00CE4435"/>
    <w:rsid w:val="00CE4A1F"/>
    <w:rsid w:val="00CE68A7"/>
    <w:rsid w:val="00CF01E5"/>
    <w:rsid w:val="00CF2687"/>
    <w:rsid w:val="00CF3552"/>
    <w:rsid w:val="00CF3ECC"/>
    <w:rsid w:val="00CF3F6C"/>
    <w:rsid w:val="00CF4D91"/>
    <w:rsid w:val="00CF64D4"/>
    <w:rsid w:val="00CF6594"/>
    <w:rsid w:val="00CF7196"/>
    <w:rsid w:val="00CF77DE"/>
    <w:rsid w:val="00D00710"/>
    <w:rsid w:val="00D00BBB"/>
    <w:rsid w:val="00D0128F"/>
    <w:rsid w:val="00D01A83"/>
    <w:rsid w:val="00D0350F"/>
    <w:rsid w:val="00D04144"/>
    <w:rsid w:val="00D053B0"/>
    <w:rsid w:val="00D066BF"/>
    <w:rsid w:val="00D06AC4"/>
    <w:rsid w:val="00D0708E"/>
    <w:rsid w:val="00D07D03"/>
    <w:rsid w:val="00D173CA"/>
    <w:rsid w:val="00D17721"/>
    <w:rsid w:val="00D20225"/>
    <w:rsid w:val="00D20453"/>
    <w:rsid w:val="00D215B1"/>
    <w:rsid w:val="00D227E2"/>
    <w:rsid w:val="00D22A8A"/>
    <w:rsid w:val="00D2468D"/>
    <w:rsid w:val="00D25178"/>
    <w:rsid w:val="00D2619A"/>
    <w:rsid w:val="00D307E9"/>
    <w:rsid w:val="00D330DF"/>
    <w:rsid w:val="00D35A56"/>
    <w:rsid w:val="00D3611D"/>
    <w:rsid w:val="00D3624D"/>
    <w:rsid w:val="00D40593"/>
    <w:rsid w:val="00D40BFF"/>
    <w:rsid w:val="00D40DCA"/>
    <w:rsid w:val="00D418A5"/>
    <w:rsid w:val="00D426A1"/>
    <w:rsid w:val="00D42848"/>
    <w:rsid w:val="00D46BDA"/>
    <w:rsid w:val="00D5045C"/>
    <w:rsid w:val="00D51F5E"/>
    <w:rsid w:val="00D51FC7"/>
    <w:rsid w:val="00D524BB"/>
    <w:rsid w:val="00D5253B"/>
    <w:rsid w:val="00D548C2"/>
    <w:rsid w:val="00D54FEC"/>
    <w:rsid w:val="00D557E7"/>
    <w:rsid w:val="00D567D1"/>
    <w:rsid w:val="00D60BD3"/>
    <w:rsid w:val="00D60CB0"/>
    <w:rsid w:val="00D6157F"/>
    <w:rsid w:val="00D626F1"/>
    <w:rsid w:val="00D639B2"/>
    <w:rsid w:val="00D63B46"/>
    <w:rsid w:val="00D659A0"/>
    <w:rsid w:val="00D70AAA"/>
    <w:rsid w:val="00D71C54"/>
    <w:rsid w:val="00D72362"/>
    <w:rsid w:val="00D73CA1"/>
    <w:rsid w:val="00D7466B"/>
    <w:rsid w:val="00D7536F"/>
    <w:rsid w:val="00D75819"/>
    <w:rsid w:val="00D75A8E"/>
    <w:rsid w:val="00D76C23"/>
    <w:rsid w:val="00D76D6D"/>
    <w:rsid w:val="00D778AB"/>
    <w:rsid w:val="00D80D32"/>
    <w:rsid w:val="00D81FBB"/>
    <w:rsid w:val="00D82110"/>
    <w:rsid w:val="00D82A8D"/>
    <w:rsid w:val="00D82FE9"/>
    <w:rsid w:val="00D83A7C"/>
    <w:rsid w:val="00D83EA6"/>
    <w:rsid w:val="00D85CC6"/>
    <w:rsid w:val="00D86519"/>
    <w:rsid w:val="00D866E0"/>
    <w:rsid w:val="00D86E50"/>
    <w:rsid w:val="00D870B8"/>
    <w:rsid w:val="00D871CD"/>
    <w:rsid w:val="00D87216"/>
    <w:rsid w:val="00D87EA1"/>
    <w:rsid w:val="00D90D3C"/>
    <w:rsid w:val="00D911F1"/>
    <w:rsid w:val="00D9129E"/>
    <w:rsid w:val="00D91524"/>
    <w:rsid w:val="00D91F38"/>
    <w:rsid w:val="00D924B1"/>
    <w:rsid w:val="00D94ED6"/>
    <w:rsid w:val="00D9643D"/>
    <w:rsid w:val="00D96722"/>
    <w:rsid w:val="00D9673F"/>
    <w:rsid w:val="00D96C4F"/>
    <w:rsid w:val="00DA105A"/>
    <w:rsid w:val="00DA1099"/>
    <w:rsid w:val="00DA1B31"/>
    <w:rsid w:val="00DA1F42"/>
    <w:rsid w:val="00DA31D8"/>
    <w:rsid w:val="00DA33DB"/>
    <w:rsid w:val="00DA4DF0"/>
    <w:rsid w:val="00DA5809"/>
    <w:rsid w:val="00DA66C1"/>
    <w:rsid w:val="00DA7AE7"/>
    <w:rsid w:val="00DA7B4A"/>
    <w:rsid w:val="00DB012A"/>
    <w:rsid w:val="00DB05D6"/>
    <w:rsid w:val="00DB145C"/>
    <w:rsid w:val="00DB1D20"/>
    <w:rsid w:val="00DB33E4"/>
    <w:rsid w:val="00DB34A0"/>
    <w:rsid w:val="00DB40E7"/>
    <w:rsid w:val="00DB4E68"/>
    <w:rsid w:val="00DC2323"/>
    <w:rsid w:val="00DC2DD2"/>
    <w:rsid w:val="00DC2FDA"/>
    <w:rsid w:val="00DC34BB"/>
    <w:rsid w:val="00DC474C"/>
    <w:rsid w:val="00DC493F"/>
    <w:rsid w:val="00DC4AA7"/>
    <w:rsid w:val="00DC55EE"/>
    <w:rsid w:val="00DC61A0"/>
    <w:rsid w:val="00DD03CC"/>
    <w:rsid w:val="00DD1544"/>
    <w:rsid w:val="00DD2C5E"/>
    <w:rsid w:val="00DD47CB"/>
    <w:rsid w:val="00DD4943"/>
    <w:rsid w:val="00DD5DAA"/>
    <w:rsid w:val="00DD6202"/>
    <w:rsid w:val="00DD68AB"/>
    <w:rsid w:val="00DD70FF"/>
    <w:rsid w:val="00DE18CA"/>
    <w:rsid w:val="00DE1C2E"/>
    <w:rsid w:val="00DE337A"/>
    <w:rsid w:val="00DE3A63"/>
    <w:rsid w:val="00DE3FF5"/>
    <w:rsid w:val="00DE7653"/>
    <w:rsid w:val="00DE7B88"/>
    <w:rsid w:val="00DE7F5A"/>
    <w:rsid w:val="00DF0000"/>
    <w:rsid w:val="00DF1255"/>
    <w:rsid w:val="00DF218C"/>
    <w:rsid w:val="00DF27AB"/>
    <w:rsid w:val="00DF2BC4"/>
    <w:rsid w:val="00DF4FA8"/>
    <w:rsid w:val="00DF6274"/>
    <w:rsid w:val="00DF6862"/>
    <w:rsid w:val="00DF6D6A"/>
    <w:rsid w:val="00E00A61"/>
    <w:rsid w:val="00E00ABA"/>
    <w:rsid w:val="00E01E2D"/>
    <w:rsid w:val="00E02977"/>
    <w:rsid w:val="00E03796"/>
    <w:rsid w:val="00E04142"/>
    <w:rsid w:val="00E0638A"/>
    <w:rsid w:val="00E10939"/>
    <w:rsid w:val="00E11023"/>
    <w:rsid w:val="00E11E5A"/>
    <w:rsid w:val="00E15447"/>
    <w:rsid w:val="00E15615"/>
    <w:rsid w:val="00E1734C"/>
    <w:rsid w:val="00E17C57"/>
    <w:rsid w:val="00E21BA0"/>
    <w:rsid w:val="00E21F3A"/>
    <w:rsid w:val="00E227ED"/>
    <w:rsid w:val="00E24384"/>
    <w:rsid w:val="00E24903"/>
    <w:rsid w:val="00E249F1"/>
    <w:rsid w:val="00E24BF9"/>
    <w:rsid w:val="00E30C3C"/>
    <w:rsid w:val="00E312EE"/>
    <w:rsid w:val="00E31D01"/>
    <w:rsid w:val="00E36BAC"/>
    <w:rsid w:val="00E4060A"/>
    <w:rsid w:val="00E42518"/>
    <w:rsid w:val="00E42C7B"/>
    <w:rsid w:val="00E43F4F"/>
    <w:rsid w:val="00E446DA"/>
    <w:rsid w:val="00E4481E"/>
    <w:rsid w:val="00E44AD2"/>
    <w:rsid w:val="00E45CF4"/>
    <w:rsid w:val="00E46395"/>
    <w:rsid w:val="00E46BD4"/>
    <w:rsid w:val="00E502E5"/>
    <w:rsid w:val="00E50440"/>
    <w:rsid w:val="00E509BA"/>
    <w:rsid w:val="00E51BAC"/>
    <w:rsid w:val="00E51EF1"/>
    <w:rsid w:val="00E5261A"/>
    <w:rsid w:val="00E5283F"/>
    <w:rsid w:val="00E52B59"/>
    <w:rsid w:val="00E532A9"/>
    <w:rsid w:val="00E538C5"/>
    <w:rsid w:val="00E53AF2"/>
    <w:rsid w:val="00E550CD"/>
    <w:rsid w:val="00E56188"/>
    <w:rsid w:val="00E562E5"/>
    <w:rsid w:val="00E56E42"/>
    <w:rsid w:val="00E57242"/>
    <w:rsid w:val="00E57F74"/>
    <w:rsid w:val="00E60941"/>
    <w:rsid w:val="00E62463"/>
    <w:rsid w:val="00E62570"/>
    <w:rsid w:val="00E642FA"/>
    <w:rsid w:val="00E643E0"/>
    <w:rsid w:val="00E66A09"/>
    <w:rsid w:val="00E66ADF"/>
    <w:rsid w:val="00E67623"/>
    <w:rsid w:val="00E705EC"/>
    <w:rsid w:val="00E708BB"/>
    <w:rsid w:val="00E714F0"/>
    <w:rsid w:val="00E7241E"/>
    <w:rsid w:val="00E728C4"/>
    <w:rsid w:val="00E72D69"/>
    <w:rsid w:val="00E738D6"/>
    <w:rsid w:val="00E761A2"/>
    <w:rsid w:val="00E82B90"/>
    <w:rsid w:val="00E83461"/>
    <w:rsid w:val="00E8366B"/>
    <w:rsid w:val="00E83DE8"/>
    <w:rsid w:val="00E843B2"/>
    <w:rsid w:val="00E84EEA"/>
    <w:rsid w:val="00E858A7"/>
    <w:rsid w:val="00E86439"/>
    <w:rsid w:val="00E86915"/>
    <w:rsid w:val="00E86D9F"/>
    <w:rsid w:val="00E901B3"/>
    <w:rsid w:val="00E901BB"/>
    <w:rsid w:val="00E9285A"/>
    <w:rsid w:val="00E937ED"/>
    <w:rsid w:val="00E938B3"/>
    <w:rsid w:val="00E93FFE"/>
    <w:rsid w:val="00E943B5"/>
    <w:rsid w:val="00E956B6"/>
    <w:rsid w:val="00E960FE"/>
    <w:rsid w:val="00E975C4"/>
    <w:rsid w:val="00E97623"/>
    <w:rsid w:val="00EA027B"/>
    <w:rsid w:val="00EA1136"/>
    <w:rsid w:val="00EA1EE0"/>
    <w:rsid w:val="00EA2932"/>
    <w:rsid w:val="00EA4615"/>
    <w:rsid w:val="00EA5211"/>
    <w:rsid w:val="00EA550A"/>
    <w:rsid w:val="00EA614A"/>
    <w:rsid w:val="00EA66F0"/>
    <w:rsid w:val="00EA7ECE"/>
    <w:rsid w:val="00EB002D"/>
    <w:rsid w:val="00EB09CE"/>
    <w:rsid w:val="00EB0A17"/>
    <w:rsid w:val="00EB1474"/>
    <w:rsid w:val="00EB1F77"/>
    <w:rsid w:val="00EB268B"/>
    <w:rsid w:val="00EB399A"/>
    <w:rsid w:val="00EB3D45"/>
    <w:rsid w:val="00EB4A89"/>
    <w:rsid w:val="00EB600D"/>
    <w:rsid w:val="00EB7949"/>
    <w:rsid w:val="00EC0ED1"/>
    <w:rsid w:val="00EC31BF"/>
    <w:rsid w:val="00EC3D13"/>
    <w:rsid w:val="00EC3DF3"/>
    <w:rsid w:val="00EC67C5"/>
    <w:rsid w:val="00EC7AD6"/>
    <w:rsid w:val="00ED08F0"/>
    <w:rsid w:val="00ED291D"/>
    <w:rsid w:val="00ED3D42"/>
    <w:rsid w:val="00ED3EA9"/>
    <w:rsid w:val="00ED3F6A"/>
    <w:rsid w:val="00ED4E56"/>
    <w:rsid w:val="00ED5371"/>
    <w:rsid w:val="00ED6061"/>
    <w:rsid w:val="00ED6FF2"/>
    <w:rsid w:val="00EE1864"/>
    <w:rsid w:val="00EE3834"/>
    <w:rsid w:val="00EE38C8"/>
    <w:rsid w:val="00EE508D"/>
    <w:rsid w:val="00EE5380"/>
    <w:rsid w:val="00EE5D6C"/>
    <w:rsid w:val="00EE635A"/>
    <w:rsid w:val="00EE67D9"/>
    <w:rsid w:val="00EE68BA"/>
    <w:rsid w:val="00EE6DAC"/>
    <w:rsid w:val="00EF19AF"/>
    <w:rsid w:val="00EF3823"/>
    <w:rsid w:val="00EF39F9"/>
    <w:rsid w:val="00EF3B01"/>
    <w:rsid w:val="00EF668D"/>
    <w:rsid w:val="00EF67CD"/>
    <w:rsid w:val="00F00217"/>
    <w:rsid w:val="00F00D9A"/>
    <w:rsid w:val="00F047F4"/>
    <w:rsid w:val="00F05825"/>
    <w:rsid w:val="00F05F91"/>
    <w:rsid w:val="00F06511"/>
    <w:rsid w:val="00F06ABC"/>
    <w:rsid w:val="00F06E07"/>
    <w:rsid w:val="00F07922"/>
    <w:rsid w:val="00F07D2D"/>
    <w:rsid w:val="00F10153"/>
    <w:rsid w:val="00F102E3"/>
    <w:rsid w:val="00F104BB"/>
    <w:rsid w:val="00F10F1B"/>
    <w:rsid w:val="00F114AC"/>
    <w:rsid w:val="00F11F6D"/>
    <w:rsid w:val="00F12BA1"/>
    <w:rsid w:val="00F137BE"/>
    <w:rsid w:val="00F1462D"/>
    <w:rsid w:val="00F14632"/>
    <w:rsid w:val="00F148C2"/>
    <w:rsid w:val="00F14B85"/>
    <w:rsid w:val="00F14C44"/>
    <w:rsid w:val="00F15211"/>
    <w:rsid w:val="00F15D4E"/>
    <w:rsid w:val="00F1713F"/>
    <w:rsid w:val="00F171CA"/>
    <w:rsid w:val="00F172D7"/>
    <w:rsid w:val="00F17428"/>
    <w:rsid w:val="00F212CF"/>
    <w:rsid w:val="00F22F12"/>
    <w:rsid w:val="00F24777"/>
    <w:rsid w:val="00F25B58"/>
    <w:rsid w:val="00F264CB"/>
    <w:rsid w:val="00F26519"/>
    <w:rsid w:val="00F27162"/>
    <w:rsid w:val="00F27D41"/>
    <w:rsid w:val="00F30183"/>
    <w:rsid w:val="00F30908"/>
    <w:rsid w:val="00F32072"/>
    <w:rsid w:val="00F32AAD"/>
    <w:rsid w:val="00F34EE7"/>
    <w:rsid w:val="00F362EE"/>
    <w:rsid w:val="00F37C38"/>
    <w:rsid w:val="00F407AE"/>
    <w:rsid w:val="00F417FD"/>
    <w:rsid w:val="00F42938"/>
    <w:rsid w:val="00F42CAA"/>
    <w:rsid w:val="00F42D6F"/>
    <w:rsid w:val="00F43BAE"/>
    <w:rsid w:val="00F44F79"/>
    <w:rsid w:val="00F45572"/>
    <w:rsid w:val="00F45732"/>
    <w:rsid w:val="00F45AF1"/>
    <w:rsid w:val="00F46399"/>
    <w:rsid w:val="00F47F8D"/>
    <w:rsid w:val="00F502D5"/>
    <w:rsid w:val="00F50AED"/>
    <w:rsid w:val="00F51AE5"/>
    <w:rsid w:val="00F521CC"/>
    <w:rsid w:val="00F52A9A"/>
    <w:rsid w:val="00F53735"/>
    <w:rsid w:val="00F548B3"/>
    <w:rsid w:val="00F55B8F"/>
    <w:rsid w:val="00F55F3A"/>
    <w:rsid w:val="00F624E9"/>
    <w:rsid w:val="00F64CE9"/>
    <w:rsid w:val="00F651FC"/>
    <w:rsid w:val="00F6527C"/>
    <w:rsid w:val="00F6662C"/>
    <w:rsid w:val="00F66AA7"/>
    <w:rsid w:val="00F70301"/>
    <w:rsid w:val="00F715C3"/>
    <w:rsid w:val="00F73358"/>
    <w:rsid w:val="00F73569"/>
    <w:rsid w:val="00F740A3"/>
    <w:rsid w:val="00F74180"/>
    <w:rsid w:val="00F74866"/>
    <w:rsid w:val="00F75DA4"/>
    <w:rsid w:val="00F7602D"/>
    <w:rsid w:val="00F760D4"/>
    <w:rsid w:val="00F764AF"/>
    <w:rsid w:val="00F76AC5"/>
    <w:rsid w:val="00F76F06"/>
    <w:rsid w:val="00F775D3"/>
    <w:rsid w:val="00F77E0C"/>
    <w:rsid w:val="00F8165B"/>
    <w:rsid w:val="00F8342F"/>
    <w:rsid w:val="00F85669"/>
    <w:rsid w:val="00F85EB8"/>
    <w:rsid w:val="00F86235"/>
    <w:rsid w:val="00F873B2"/>
    <w:rsid w:val="00F90893"/>
    <w:rsid w:val="00F90B17"/>
    <w:rsid w:val="00F92920"/>
    <w:rsid w:val="00F931C1"/>
    <w:rsid w:val="00F93E2E"/>
    <w:rsid w:val="00F94398"/>
    <w:rsid w:val="00F94B35"/>
    <w:rsid w:val="00F95751"/>
    <w:rsid w:val="00F95B97"/>
    <w:rsid w:val="00F97D56"/>
    <w:rsid w:val="00F97EAB"/>
    <w:rsid w:val="00FA0729"/>
    <w:rsid w:val="00FA1012"/>
    <w:rsid w:val="00FA2257"/>
    <w:rsid w:val="00FA2474"/>
    <w:rsid w:val="00FA3854"/>
    <w:rsid w:val="00FA57D2"/>
    <w:rsid w:val="00FA5C8C"/>
    <w:rsid w:val="00FA60C4"/>
    <w:rsid w:val="00FA7485"/>
    <w:rsid w:val="00FB0134"/>
    <w:rsid w:val="00FB0BAB"/>
    <w:rsid w:val="00FB0EE0"/>
    <w:rsid w:val="00FB216A"/>
    <w:rsid w:val="00FB24E0"/>
    <w:rsid w:val="00FB3F38"/>
    <w:rsid w:val="00FB4A00"/>
    <w:rsid w:val="00FB76A8"/>
    <w:rsid w:val="00FC0110"/>
    <w:rsid w:val="00FC04B7"/>
    <w:rsid w:val="00FC143A"/>
    <w:rsid w:val="00FC1C59"/>
    <w:rsid w:val="00FC3592"/>
    <w:rsid w:val="00FC3918"/>
    <w:rsid w:val="00FC3B67"/>
    <w:rsid w:val="00FC4F91"/>
    <w:rsid w:val="00FC5A5C"/>
    <w:rsid w:val="00FC64A9"/>
    <w:rsid w:val="00FC6E65"/>
    <w:rsid w:val="00FC7592"/>
    <w:rsid w:val="00FC7831"/>
    <w:rsid w:val="00FD1C46"/>
    <w:rsid w:val="00FD2261"/>
    <w:rsid w:val="00FD3200"/>
    <w:rsid w:val="00FD379C"/>
    <w:rsid w:val="00FD3CC0"/>
    <w:rsid w:val="00FD4DA4"/>
    <w:rsid w:val="00FE0299"/>
    <w:rsid w:val="00FE38E1"/>
    <w:rsid w:val="00FE4B1E"/>
    <w:rsid w:val="00FE5C6B"/>
    <w:rsid w:val="00FE5CFF"/>
    <w:rsid w:val="00FF012F"/>
    <w:rsid w:val="00FF0305"/>
    <w:rsid w:val="00FF067F"/>
    <w:rsid w:val="00FF1799"/>
    <w:rsid w:val="00FF28F3"/>
    <w:rsid w:val="00FF3D8D"/>
    <w:rsid w:val="00FF485B"/>
    <w:rsid w:val="00FF4B3A"/>
    <w:rsid w:val="00FF4CFF"/>
    <w:rsid w:val="00FF725E"/>
    <w:rsid w:val="00FF7F4B"/>
    <w:rsid w:val="0105ACE2"/>
    <w:rsid w:val="014FB1F8"/>
    <w:rsid w:val="096DCFB4"/>
    <w:rsid w:val="0B59FB43"/>
    <w:rsid w:val="0BEAB0A7"/>
    <w:rsid w:val="0C1B970A"/>
    <w:rsid w:val="0C1BFFD5"/>
    <w:rsid w:val="0E733FAA"/>
    <w:rsid w:val="10CF72F3"/>
    <w:rsid w:val="11CCDF7C"/>
    <w:rsid w:val="174938E2"/>
    <w:rsid w:val="189879E4"/>
    <w:rsid w:val="21D5E852"/>
    <w:rsid w:val="25CCE2EA"/>
    <w:rsid w:val="279F2675"/>
    <w:rsid w:val="28BD97EE"/>
    <w:rsid w:val="290A7FDC"/>
    <w:rsid w:val="2C6A3497"/>
    <w:rsid w:val="2E98F6AA"/>
    <w:rsid w:val="308B88FA"/>
    <w:rsid w:val="31896D02"/>
    <w:rsid w:val="3219DFA7"/>
    <w:rsid w:val="372F1835"/>
    <w:rsid w:val="3866B465"/>
    <w:rsid w:val="3A7FB428"/>
    <w:rsid w:val="3AA965EB"/>
    <w:rsid w:val="464DBA66"/>
    <w:rsid w:val="476B8657"/>
    <w:rsid w:val="4DBEF9D8"/>
    <w:rsid w:val="515E4CBE"/>
    <w:rsid w:val="54427CFA"/>
    <w:rsid w:val="5648A2B7"/>
    <w:rsid w:val="57043F0C"/>
    <w:rsid w:val="578FF03F"/>
    <w:rsid w:val="58CA459B"/>
    <w:rsid w:val="5A938DCF"/>
    <w:rsid w:val="5B76AA6C"/>
    <w:rsid w:val="5CC604C0"/>
    <w:rsid w:val="5D72E918"/>
    <w:rsid w:val="65A8ED72"/>
    <w:rsid w:val="6E2985F7"/>
    <w:rsid w:val="710EE316"/>
    <w:rsid w:val="7163C15C"/>
    <w:rsid w:val="74D4A23C"/>
    <w:rsid w:val="784D2438"/>
    <w:rsid w:val="7D6F754B"/>
    <w:rsid w:val="7F6232E3"/>
    <w:rsid w:val="7F979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0EEF3"/>
  <w15:docId w15:val="{B815A7CC-6C21-4A69-B991-E0673924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6F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0D2"/>
    <w:pP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6428B7"/>
    <w:pPr>
      <w:spacing w:before="120" w:after="120" w:line="240" w:lineRule="auto"/>
      <w:outlineLvl w:val="1"/>
    </w:pPr>
    <w:rPr>
      <w:rFonts w:asciiTheme="majorHAnsi" w:eastAsiaTheme="majorEastAsia" w:hAnsiTheme="majorHAnsi" w:cstheme="majorBidi"/>
      <w:bCs/>
      <w:color w:val="005A70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6428B7"/>
    <w:pPr>
      <w:spacing w:before="120" w:after="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4536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4536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unhideWhenUsed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unhideWhenUsed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unhideWhenUsed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unhideWhenUsed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0D2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6428B7"/>
    <w:rPr>
      <w:rFonts w:asciiTheme="majorHAnsi" w:eastAsiaTheme="majorEastAsia" w:hAnsiTheme="majorHAnsi" w:cstheme="majorBidi"/>
      <w:bCs/>
      <w:color w:val="005A70" w:themeColor="accent1"/>
      <w:spacing w:val="3"/>
      <w:sz w:val="4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6428B7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45365D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45365D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45365D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45365D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rsid w:val="0045365D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45365D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1"/>
      </w:numPr>
    </w:pPr>
  </w:style>
  <w:style w:type="paragraph" w:styleId="Caption">
    <w:name w:val="caption"/>
    <w:aliases w:val="Caption Table title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next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next w:val="Norm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orange">
    <w:name w:val="Focus - orange"/>
    <w:basedOn w:val="Focus-teal"/>
    <w:next w:val="Norm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000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F6F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0E29D7"/>
  </w:style>
  <w:style w:type="character" w:customStyle="1" w:styleId="HeaderChar">
    <w:name w:val="Header Char"/>
    <w:basedOn w:val="DefaultParagraphFont"/>
    <w:link w:val="Header"/>
    <w:uiPriority w:val="99"/>
    <w:semiHidden/>
    <w:rsid w:val="00BE0F6F"/>
    <w:rPr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9"/>
    <w:qFormat/>
    <w:rsid w:val="00C6261F"/>
    <w:pPr>
      <w:spacing w:before="120"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45365D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99"/>
    <w:unhideWhenUsed/>
    <w:qFormat/>
    <w:rsid w:val="009B26D3"/>
    <w:pPr>
      <w:ind w:left="714" w:hanging="357"/>
    </w:pPr>
  </w:style>
  <w:style w:type="paragraph" w:styleId="ListParagraph">
    <w:name w:val="List Paragraph"/>
    <w:basedOn w:val="Normal"/>
    <w:uiPriority w:val="34"/>
    <w:qFormat/>
    <w:rsid w:val="00996415"/>
    <w:pPr>
      <w:numPr>
        <w:numId w:val="4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0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B36B86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601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B36B86"/>
    <w:rPr>
      <w:rFonts w:asciiTheme="majorHAnsi" w:eastAsia="Times New Roman" w:hAnsiTheme="majorHAnsi" w:cs="Arial"/>
      <w:bCs/>
      <w:iCs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nhideWhenUsed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unhideWhenUsed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unhideWhenUsed/>
    <w:qFormat/>
    <w:rsid w:val="0045365D"/>
  </w:style>
  <w:style w:type="character" w:styleId="CommentReference">
    <w:name w:val="annotation reference"/>
    <w:basedOn w:val="DefaultParagraphFont"/>
    <w:uiPriority w:val="99"/>
    <w:semiHidden/>
    <w:unhideWhenUsed/>
    <w:rsid w:val="0030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2A4"/>
    <w:rPr>
      <w:spacing w:val="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2A4"/>
    <w:rPr>
      <w:b/>
      <w:bCs/>
      <w:spacing w:val="3"/>
      <w:sz w:val="20"/>
      <w:szCs w:val="20"/>
    </w:rPr>
  </w:style>
  <w:style w:type="paragraph" w:styleId="Revision">
    <w:name w:val="Revision"/>
    <w:hidden/>
    <w:uiPriority w:val="99"/>
    <w:semiHidden/>
    <w:rsid w:val="0022162B"/>
    <w:pPr>
      <w:spacing w:after="0" w:line="240" w:lineRule="auto"/>
    </w:pPr>
    <w:rPr>
      <w:spacing w:val="3"/>
      <w:sz w:val="22"/>
    </w:rPr>
  </w:style>
  <w:style w:type="character" w:customStyle="1" w:styleId="Mention1">
    <w:name w:val="Mention1"/>
    <w:basedOn w:val="DefaultParagraphFont"/>
    <w:uiPriority w:val="99"/>
    <w:semiHidden/>
    <w:rsid w:val="00F047F4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rsid w:val="002532C0"/>
    <w:rPr>
      <w:color w:val="2B579A"/>
      <w:shd w:val="clear" w:color="auto" w:fill="E6E6E6"/>
    </w:rPr>
  </w:style>
  <w:style w:type="paragraph" w:styleId="ListNumber">
    <w:name w:val="List Number"/>
    <w:basedOn w:val="Normal"/>
    <w:uiPriority w:val="99"/>
    <w:unhideWhenUsed/>
    <w:qFormat/>
    <w:rsid w:val="00BE0F6F"/>
    <w:pPr>
      <w:numPr>
        <w:numId w:val="2"/>
      </w:numPr>
      <w:contextualSpacing/>
    </w:pPr>
  </w:style>
  <w:style w:type="numbering" w:customStyle="1" w:styleId="DSSBulletList">
    <w:name w:val="DSS Bullet List"/>
    <w:uiPriority w:val="99"/>
    <w:rsid w:val="00065DCF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B6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legislation.gov.au/F2024L00854/asmade/2024-07-05/text/original/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finance.gov.au/government/managing-commonwealth-resources/pgpa-legislation-associated-instruments-and-polici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servicesau.sharepoint.com/sites/OfficeTemplates/Shared%20Documents/DSS%20Templates/DSS%20-%20A4%20Fact%20Sheet%20Template.dotx" TargetMode="External"/></Relationships>
</file>

<file path=word/theme/theme1.xml><?xml version="1.0" encoding="utf-8"?>
<a:theme xmlns:a="http://schemas.openxmlformats.org/drawingml/2006/main" name="DSS Blue">
  <a:themeElements>
    <a:clrScheme name="DSS - Teal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00FF"/>
      </a:hlink>
      <a:folHlink>
        <a:srgbClr val="00000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DEDBA20CA9E41A9C75E64E945169D" ma:contentTypeVersion="10" ma:contentTypeDescription="Create a new document." ma:contentTypeScope="" ma:versionID="a25124a618239f148552fc940f7fb5bc">
  <xsd:schema xmlns:xsd="http://www.w3.org/2001/XMLSchema" xmlns:xs="http://www.w3.org/2001/XMLSchema" xmlns:p="http://schemas.microsoft.com/office/2006/metadata/properties" xmlns:ns2="afa4a102-4236-4467-af66-6c59917be5a8" xmlns:ns3="7bb6b6a2-0043-41f5-ac42-68cd1484677f" targetNamespace="http://schemas.microsoft.com/office/2006/metadata/properties" ma:root="true" ma:fieldsID="6c3f3c3fb016db6a13a022102d59e00c" ns2:_="" ns3:_="">
    <xsd:import namespace="afa4a102-4236-4467-af66-6c59917be5a8"/>
    <xsd:import namespace="7bb6b6a2-0043-41f5-ac42-68cd14846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4a102-4236-4467-af66-6c59917b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6b6a2-0043-41f5-ac42-68cd148467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4029d6-6d16-41fd-a58f-58b4903f155b}" ma:internalName="TaxCatchAll" ma:showField="CatchAllData" ma:web="7bb6b6a2-0043-41f5-ac42-68cd14846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4a102-4236-4467-af66-6c59917be5a8">
      <Terms xmlns="http://schemas.microsoft.com/office/infopath/2007/PartnerControls"/>
    </lcf76f155ced4ddcb4097134ff3c332f>
    <TaxCatchAll xmlns="7bb6b6a2-0043-41f5-ac42-68cd1484677f" xsi:nil="true"/>
  </documentManagement>
</p:properties>
</file>

<file path=customXml/itemProps1.xml><?xml version="1.0" encoding="utf-8"?>
<ds:datastoreItem xmlns:ds="http://schemas.openxmlformats.org/officeDocument/2006/customXml" ds:itemID="{B8CD0FA8-730D-4713-A658-83D457E1C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D5A1DA-3C7D-4BBD-AC38-9268314F5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4a102-4236-4467-af66-6c59917be5a8"/>
    <ds:schemaRef ds:uri="7bb6b6a2-0043-41f5-ac42-68cd14846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53444-966A-467A-B01C-180A1F1F3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DF3293-3212-4711-AD78-69980025FAC2}">
  <ds:schemaRefs>
    <ds:schemaRef ds:uri="http://schemas.microsoft.com/office/2006/metadata/properties"/>
    <ds:schemaRef ds:uri="http://schemas.microsoft.com/office/infopath/2007/PartnerControls"/>
    <ds:schemaRef ds:uri="afa4a102-4236-4467-af66-6c59917be5a8"/>
    <ds:schemaRef ds:uri="7bb6b6a2-0043-41f5-ac42-68cd14846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DSS%20-%20A4%20Fact%20Sheet%20Template.dotx</Template>
  <TotalTime>13</TotalTime>
  <Pages>4</Pages>
  <Words>1251</Words>
  <Characters>7951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Flexibility Policy</vt:lpstr>
    </vt:vector>
  </TitlesOfParts>
  <Company>Department of Social Services</Company>
  <LinksUpToDate>false</LinksUpToDate>
  <CharactersWithSpaces>9172</CharactersWithSpaces>
  <SharedDoc>false</SharedDoc>
  <HLinks>
    <vt:vector size="12" baseType="variant"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https://www.legislation.gov.au/F2024L00854/asmade/2024-07-05/text/original/pdf</vt:lpwstr>
      </vt:variant>
      <vt:variant>
        <vt:lpwstr/>
      </vt:variant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https://www.finance.gov.au/government/managing-commonwealth-resources/pgpa-legislation-associated-instruments-and-policies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Flexibility Policy</dc:title>
  <dc:subject/>
  <dc:creator>MIDDLEBROOK, Nathan</dc:creator>
  <cp:keywords>[SEC=OFFICIAL]</cp:keywords>
  <cp:lastModifiedBy>MILLER, Vicky</cp:lastModifiedBy>
  <cp:revision>9</cp:revision>
  <cp:lastPrinted>2014-10-28T19:51:00Z</cp:lastPrinted>
  <dcterms:created xsi:type="dcterms:W3CDTF">2026-07-02T03:21:00Z</dcterms:created>
  <dcterms:modified xsi:type="dcterms:W3CDTF">2026-07-06T03:35:00Z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B51A5B0BF72647C5B505FD48B6A220E6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0DD8ABEF265912D6621FF293CF3D7CFABEC45F40</vt:lpwstr>
  </property>
  <property fmtid="{D5CDD505-2E9C-101B-9397-08002B2CF9AE}" pid="11" name="PM_OriginationTimeStamp">
    <vt:lpwstr>2024-03-06T03:06:25Z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OriginatorUserAccountName_SHA256">
    <vt:lpwstr>9871F6CFFBF84B5DD096BCB24488EABDE9250CEAA716568F68B24D42DED533FD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0x010100D23DEDBA20CA9E41A9C75E64E945169D</vt:lpwstr>
  </property>
  <property fmtid="{D5CDD505-2E9C-101B-9397-08002B2CF9AE}" pid="25" name="MediaServiceImageTags">
    <vt:lpwstr/>
  </property>
  <property fmtid="{D5CDD505-2E9C-101B-9397-08002B2CF9AE}" pid="26" name="MSIP_Label_eb34d90b-fc41-464d-af60-f74d721d0790_Enabled">
    <vt:lpwstr>true</vt:lpwstr>
  </property>
  <property fmtid="{D5CDD505-2E9C-101B-9397-08002B2CF9AE}" pid="27" name="MSIP_Label_eb34d90b-fc41-464d-af60-f74d721d0790_SetDate">
    <vt:lpwstr>2024-03-06T03:06:25Z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3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Expires">
    <vt:lpwstr/>
  </property>
  <property fmtid="{D5CDD505-2E9C-101B-9397-08002B2CF9AE}" pid="34" name="PM_DowngradeTo">
    <vt:lpwstr/>
  </property>
  <property fmtid="{D5CDD505-2E9C-101B-9397-08002B2CF9AE}" pid="35" name="PM_DownTo">
    <vt:lpwstr/>
  </property>
  <property fmtid="{D5CDD505-2E9C-101B-9397-08002B2CF9AE}" pid="36" name="PM_Hash_Salt_Prev">
    <vt:lpwstr>4E23B6F06038F3D7C0ACF9D3B5B5368F</vt:lpwstr>
  </property>
  <property fmtid="{D5CDD505-2E9C-101B-9397-08002B2CF9AE}" pid="37" name="PM_Hash_Salt">
    <vt:lpwstr>8472891AD6636903815A978A85AAFE11</vt:lpwstr>
  </property>
  <property fmtid="{D5CDD505-2E9C-101B-9397-08002B2CF9AE}" pid="38" name="PM_Hash_SHA1">
    <vt:lpwstr>568E909BBA131FA89D7FF935935ED3F8C31C917A</vt:lpwstr>
  </property>
  <property fmtid="{D5CDD505-2E9C-101B-9397-08002B2CF9AE}" pid="39" name="MSIP_Label_eb34d90b-fc41-464d-af60-f74d721d0790_ActionId">
    <vt:lpwstr>df05acb637a44c76a013d731d9c364ef</vt:lpwstr>
  </property>
  <property fmtid="{D5CDD505-2E9C-101B-9397-08002B2CF9AE}" pid="40" name="PMHMAC">
    <vt:lpwstr>v=2024.1;a=SHA256;h=952B4B8894ADF55F06CBE1264DC66AC59FA7792D96BAF66BF0223DE97BDC8D74</vt:lpwstr>
  </property>
</Properties>
</file>