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4BC5A" w14:textId="619D5998" w:rsidR="0023679E" w:rsidRDefault="005B77DD">
      <w:pPr>
        <w:rPr>
          <w:b/>
          <w:bCs/>
        </w:rPr>
      </w:pPr>
      <w:r w:rsidRPr="005B77DD">
        <w:rPr>
          <w:b/>
          <w:bCs/>
        </w:rPr>
        <w:t>4 Voices Global Limited</w:t>
      </w:r>
    </w:p>
    <w:p w14:paraId="771AEFA3" w14:textId="5D9382FF" w:rsidR="005B77DD" w:rsidRDefault="005B77DD">
      <w:pPr>
        <w:rPr>
          <w:b/>
          <w:bCs/>
        </w:rPr>
      </w:pPr>
      <w:r w:rsidRPr="005B77DD">
        <w:rPr>
          <w:b/>
          <w:bCs/>
        </w:rPr>
        <w:t>Feedback for Priority Area 1: Victim-survivors</w:t>
      </w:r>
    </w:p>
    <w:p w14:paraId="080D9F4E" w14:textId="501A4DAA" w:rsidR="005B77DD" w:rsidRDefault="005B77DD" w:rsidP="005B77DD">
      <w:r>
        <w:t>Australia has invested significantly in crisis response services including specialist domestic and family violence services, police, hospitals, homelessness responses, legal assistance and mental health care. These services are essential and save lives. Yet demand continues to increase while eligibility criteria become increasingly narrow. 4 Voices believes that Australia has an opportunity to complement and reduce demand on crisis response with stronger investment in early intervention and trusted community connection.</w:t>
      </w:r>
    </w:p>
    <w:p w14:paraId="0DA51F3F" w14:textId="77777777" w:rsidR="005B77DD" w:rsidRDefault="005B77DD" w:rsidP="005B77DD">
      <w:r>
        <w:t>Formal systems are essential, but they often operate through eligibility criteria, referral thresholds, waiting lists, office-based appointments and crisis definitions. Many women do not meet those thresholds early enough. Others cannot safely access services, do not know where to go, do not trust formal systems, lack digital access, or are not ready to disclose what is happening. The result is a missing middle: women who are clearly vulnerable but not yet visible to the systems designed to respond once crisis is recognised.</w:t>
      </w:r>
    </w:p>
    <w:p w14:paraId="12AC784D" w14:textId="77777777" w:rsidR="005B77DD" w:rsidRDefault="005B77DD" w:rsidP="005B77DD">
      <w:r>
        <w:t xml:space="preserve"> Many women are not ready for a crisis service; they first need a trusted conversation that helps them understand options, build confidence and navigate support for as long as they need it. Research consistently shows that trusted relationships are the single most powerful predictor of earlier help-seeking, better engagement with support, and stronger recovery outcomes. </w:t>
      </w:r>
    </w:p>
    <w:p w14:paraId="7D8FCF3A" w14:textId="77777777" w:rsidR="005B77DD" w:rsidRDefault="005B77DD" w:rsidP="005B77DD">
      <w:r>
        <w:t>Women are more likely to seek help earlier when support is easy to access, welcoming and integrated into the places they already visit as part of everyday life. Familiar community settings such as shopping centres, supermarkets, libraries, community centres, parks, health clinics, pharmacies, schools, workplaces and public transport hubs reduce many of the barriers associated with seeking help. These environments are accessible, non-stigmatising and require no formal referral or appointment, making it easier for women to start a conversation before their circumstances escalate into crisis.</w:t>
      </w:r>
    </w:p>
    <w:p w14:paraId="5B51B651" w14:textId="1C225969" w:rsidR="005B77DD" w:rsidRDefault="005B77DD" w:rsidP="005B77DD">
      <w:r>
        <w:t>Many women do not seek help until their circumstances have become severe. Barriers such as fear, shame, embarrassment and the belief that their situation is ""not bad enough"" often prevent women from reaching out. Others are socially isolated, lack trusted relationships, or have withdrawn from family and friends, leaving them with no one to confide in.</w:t>
      </w:r>
    </w:p>
    <w:p w14:paraId="68CC1DE3" w14:textId="77777777" w:rsidR="005B77DD" w:rsidRDefault="005B77DD" w:rsidP="005B77DD">
      <w:r>
        <w:t xml:space="preserve">Practical barriers further limit access to support. These include lack of transport, digital exclusion, limited access to technology or the internet, low digital literacy, financial hardship, unemployment, welfare dependency, language barriers and cultural factors. Many women are also unaware of the services available to them or are overwhelmed by </w:t>
      </w:r>
      <w:r>
        <w:lastRenderedPageBreak/>
        <w:t>complex systems, eligibility criteria and referral processes. For some, simply knowing where to start is an insurmountable challenge.</w:t>
      </w:r>
    </w:p>
    <w:p w14:paraId="79A36CD8" w14:textId="77777777" w:rsidR="005B77DD" w:rsidRDefault="005B77DD" w:rsidP="005B77DD">
      <w:r>
        <w:t>Together, these barriers mean that many women remain invisible to support systems until their circumstances have escalated into crisis. Removing these barriers through accessible, proactive and relationship-based early intervention is critical to preventing harm and improving long-term outcomes.</w:t>
      </w:r>
    </w:p>
    <w:p w14:paraId="0D93A371" w14:textId="77777777" w:rsidR="005B77DD" w:rsidRDefault="005B77DD" w:rsidP="005B77DD">
      <w:r>
        <w:t>The Second Action Plan should address the growing complexity of women’s experiences of violence, disadvantage and social isolation, while recognising that many women do not reach out to crisis services until significant harm has already occurred.</w:t>
      </w:r>
    </w:p>
    <w:p w14:paraId="73F1DB06" w14:textId="77777777" w:rsidR="005B77DD" w:rsidRDefault="005B77DD" w:rsidP="005B77DD">
      <w:r>
        <w:t>Coercive control and technology-facilitated abuse are particularly challenging because they are often invisible, cumulative and difficult for women to identify or disclose. A woman may experience increasing surveillance, isolation, financial control, threats, intimidation or restriction of her independence long before she identifies a crisis or that she is in danger of physical violence. The earlier a woman can access safe, trusted support, the greater the opportunity to prevent escalation.</w:t>
      </w:r>
    </w:p>
    <w:p w14:paraId="206C5F21" w14:textId="77777777" w:rsidR="005B77DD" w:rsidRDefault="005B77DD" w:rsidP="005B77DD">
      <w:r>
        <w:t>A key issue is the gap between experiencing harm and seeking formal support. Fear, shame, embarrassment, isolation, lack of knowledge about available services, concerns about consequences and complex service pathways can prevent women from reaching out. Many women do not see themselves as eligible for support or believe their circumstances are not serious enough to warrant help.</w:t>
      </w:r>
    </w:p>
    <w:p w14:paraId="788A48D4" w14:textId="77777777" w:rsidR="005B77DD" w:rsidRDefault="005B77DD" w:rsidP="005B77DD">
      <w:r>
        <w:t>The Second Action Plan should therefore strengthen investment in accessible, relationship-based early intervention approaches that remove barriers to support. This includes models that proactively connect with women, provide consistent trusted relationships, and create safe opportunities for conversations before risk escalates.</w:t>
      </w:r>
    </w:p>
    <w:p w14:paraId="5EA9EBA6" w14:textId="77777777" w:rsidR="005B77DD" w:rsidRDefault="005B77DD" w:rsidP="005B77DD">
      <w:r>
        <w:t xml:space="preserve">Our organisation recognises that significant gaps remain in ensuring all women, including Aboriginal and Torres Strait Islander women and women from diverse communities, can access culturally safe, appropriate and responsive support. We acknowledge that our current service model is not specifically designed as an Aboriginal and Torres Strait Islander service, and that </w:t>
      </w:r>
      <w:proofErr w:type="gramStart"/>
      <w:r>
        <w:t>culturally-led</w:t>
      </w:r>
      <w:proofErr w:type="gramEnd"/>
      <w:r>
        <w:t xml:space="preserve"> responses are essential.</w:t>
      </w:r>
    </w:p>
    <w:p w14:paraId="2F5C2ECF" w14:textId="65404FF6" w:rsidR="005B77DD" w:rsidRPr="005B77DD" w:rsidRDefault="005B77DD" w:rsidP="005B77DD">
      <w:pPr>
        <w:rPr>
          <w:b/>
          <w:bCs/>
        </w:rPr>
      </w:pPr>
      <w:r w:rsidRPr="005B77DD">
        <w:rPr>
          <w:b/>
          <w:bCs/>
        </w:rPr>
        <w:t>Feedback for Priority Area 2: Prevention and early intervention</w:t>
      </w:r>
    </w:p>
    <w:p w14:paraId="6C18F708" w14:textId="37C22D9A" w:rsidR="005B77DD" w:rsidRDefault="005B77DD" w:rsidP="005B77DD">
      <w:r>
        <w:t xml:space="preserve">Australia has invested significantly in crisis response services including specialist domestic and family violence services, police, hospitals, homelessness responses, legal assistance and mental health care. These services are essential and save lives. Yet demand continues to increase while eligibility criteria become increasingly narrow. 4 Voices believes that Australia has an opportunity to complement and reduce demand </w:t>
      </w:r>
      <w:r>
        <w:lastRenderedPageBreak/>
        <w:t>on crisis response with stronger investment in early intervention and trusted community connection.</w:t>
      </w:r>
    </w:p>
    <w:p w14:paraId="14C9DE3A" w14:textId="77777777" w:rsidR="005B77DD" w:rsidRDefault="005B77DD" w:rsidP="005B77DD">
      <w:r>
        <w:t>Formal systems are essential, but they often operate through eligibility criteria, referral thresholds, waiting lists, office-based appointments and crisis definitions. Many women do not meet those thresholds early enough. Others cannot safely access services, do not know where to go, do not trust formal systems, lack digital access, or are not ready to disclose what is happening. The result is a missing middle: women who are clearly vulnerable but not yet visible to the systems designed to respond once crisis is recognised.</w:t>
      </w:r>
    </w:p>
    <w:p w14:paraId="1F5F1557" w14:textId="77777777" w:rsidR="005B77DD" w:rsidRDefault="005B77DD" w:rsidP="005B77DD">
      <w:r>
        <w:t xml:space="preserve"> Many women are not ready for a crisis service; they first need a trusted conversation that helps them understand options, build confidence and navigate support for as long as they need it. Research consistently shows that trusted relationships are the single most powerful predictor of earlier help-seeking, better engagement with support, and stronger recovery outcomes. </w:t>
      </w:r>
    </w:p>
    <w:p w14:paraId="1DC25BE9" w14:textId="77777777" w:rsidR="005B77DD" w:rsidRDefault="005B77DD" w:rsidP="005B77DD">
      <w:r>
        <w:t>Women are more likely to seek help earlier when support is easy to access, welcoming and integrated into the places they already visit as part of everyday life. Familiar community settings such as shopping centres, supermarkets, libraries, community centres, parks, health clinics, pharmacies, schools, workplaces and public transport hubs reduce many of the barriers associated with seeking help. These environments are accessible, non-stigmatising and require no formal referral or appointment, making it easier for women to start a conversation before their circumstances escalate into crisis.</w:t>
      </w:r>
    </w:p>
    <w:p w14:paraId="444CC10D" w14:textId="77777777" w:rsidR="005B77DD" w:rsidRDefault="005B77DD" w:rsidP="005B77DD">
      <w:r>
        <w:t>Many women do not seek help until their circumstances have become severe. Barriers such as fear, shame, embarrassment and the belief that their situation is ""not bad enough"" often prevent women from reaching out. Others are socially isolated, lack trusted relationships, or have withdrawn from family and friends, leaving them with no one to confide in.</w:t>
      </w:r>
    </w:p>
    <w:p w14:paraId="4F96ED88" w14:textId="77777777" w:rsidR="005B77DD" w:rsidRDefault="005B77DD" w:rsidP="005B77DD">
      <w:r>
        <w:t>Practical barriers further limit access to support. These include lack of transport, digital exclusion, limited access to technology or the internet, low digital literacy, financial hardship, unemployment, welfare dependency, language barriers and cultural factors. Many women are also unaware of the services available to them or are overwhelmed by complex systems, eligibility criteria and referral processes. For some, simply knowing where to start is an insurmountable challenge.</w:t>
      </w:r>
    </w:p>
    <w:p w14:paraId="6C236421" w14:textId="77777777" w:rsidR="005B77DD" w:rsidRDefault="005B77DD" w:rsidP="005B77DD">
      <w:r>
        <w:t>Together, these barriers mean that many women remain invisible to support systems until their circumstances have escalated into crisis. Removing these barriers through accessible, proactive and relationship-based early intervention is critical to preventing harm and improving long-term outcomes.</w:t>
      </w:r>
    </w:p>
    <w:p w14:paraId="24C52B25" w14:textId="77777777" w:rsidR="005B77DD" w:rsidRDefault="005B77DD" w:rsidP="005B77DD">
      <w:r>
        <w:lastRenderedPageBreak/>
        <w:t>The Second Action Plan should address the growing complexity of women’s experiences of violence, disadvantage and social isolation, while recognising that many women do not reach out to crisis services until significant harm has already occurred.</w:t>
      </w:r>
    </w:p>
    <w:p w14:paraId="3B14E64F" w14:textId="77777777" w:rsidR="005B77DD" w:rsidRDefault="005B77DD" w:rsidP="005B77DD">
      <w:r>
        <w:t>Coercive control and technology-facilitated abuse are particularly challenging because they are often invisible, cumulative and difficult for women to identify or disclose. A woman may experience increasing surveillance, isolation, financial control, threats, intimidation or restriction of her independence long before she identifies a crisis or that she is in danger of physical violence. The earlier a woman can access safe, trusted support, the greater the opportunity to prevent escalation.</w:t>
      </w:r>
    </w:p>
    <w:p w14:paraId="2BD4438F" w14:textId="77777777" w:rsidR="005B77DD" w:rsidRDefault="005B77DD" w:rsidP="005B77DD">
      <w:r>
        <w:t>A key issue is the gap between experiencing harm and seeking formal support. Fear, shame, embarrassment, isolation, lack of knowledge about available services, concerns about consequences and complex service pathways can prevent women from reaching out. Many women do not see themselves as eligible for support or believe their circumstances are not serious enough to warrant help.</w:t>
      </w:r>
    </w:p>
    <w:p w14:paraId="09309D25" w14:textId="77777777" w:rsidR="005B77DD" w:rsidRDefault="005B77DD" w:rsidP="005B77DD">
      <w:r>
        <w:t>The Second Action Plan should therefore strengthen investment in accessible, relationship-based early intervention approaches that remove barriers to support. This includes models that proactively connect with women, provide consistent trusted relationships, and create safe opportunities for conversations before risk escalates.</w:t>
      </w:r>
    </w:p>
    <w:p w14:paraId="3EA75119" w14:textId="77777777" w:rsidR="005B77DD" w:rsidRDefault="005B77DD" w:rsidP="005B77DD">
      <w:r>
        <w:t xml:space="preserve">Our organisation recognises that significant gaps remain in ensuring all women, including Aboriginal and Torres Strait Islander women and women from diverse communities, can access culturally safe, appropriate and responsive support. We acknowledge that our current service model is not specifically designed as an Aboriginal and Torres Strait Islander service, and that </w:t>
      </w:r>
      <w:proofErr w:type="gramStart"/>
      <w:r>
        <w:t>culturally-led</w:t>
      </w:r>
      <w:proofErr w:type="gramEnd"/>
      <w:r>
        <w:t xml:space="preserve"> responses are essential.</w:t>
      </w:r>
    </w:p>
    <w:p w14:paraId="0D9424AD" w14:textId="302BBE75" w:rsidR="005B77DD" w:rsidRPr="005B77DD" w:rsidRDefault="005B77DD" w:rsidP="005B77DD">
      <w:pPr>
        <w:rPr>
          <w:b/>
          <w:bCs/>
        </w:rPr>
      </w:pPr>
      <w:r w:rsidRPr="005B77DD">
        <w:rPr>
          <w:b/>
          <w:bCs/>
        </w:rPr>
        <w:t>Feedback for Priority Area 3: Children and young people in their own right</w:t>
      </w:r>
    </w:p>
    <w:p w14:paraId="29093FE7" w14:textId="33DF0373" w:rsidR="005B77DD" w:rsidRDefault="005B77DD" w:rsidP="005B77DD">
      <w:r>
        <w:t>Over the past six years, 4 Voices has predominantly supported women experiencing increasing disadvantage, isolation, safety concerns and complex life pressures - many of them mothers trying to protect their children while navigating impossible choices.</w:t>
      </w:r>
    </w:p>
    <w:p w14:paraId="62E541E1" w14:textId="77777777" w:rsidR="005B77DD" w:rsidRDefault="005B77DD" w:rsidP="005B77DD">
      <w:r>
        <w:t>Too often, women are forced to choose between unsafe relationships and options that feel equally unsafe: homelessness, instability, financial insecurity or the risk of losing care of their children. Some women remain with a person using violence because they cannot see a safe alternative. Others avoid seeking help because they fear judgement, system involvement or that asking for support may place their children at greater risk.</w:t>
      </w:r>
    </w:p>
    <w:p w14:paraId="101D4116" w14:textId="77777777" w:rsidR="005B77DD" w:rsidRDefault="005B77DD" w:rsidP="005B77DD">
      <w:r>
        <w:t>This is the reality of why early intervention matters. By the time a family reaches crisis point, the options available are often limited and the harm has already escalated. Children are affected by violence, coercive control, fear and instability long before these experiences become visible to formal systems.</w:t>
      </w:r>
    </w:p>
    <w:p w14:paraId="4D56B57E" w14:textId="77777777" w:rsidR="005B77DD" w:rsidRDefault="005B77DD" w:rsidP="005B77DD">
      <w:r>
        <w:lastRenderedPageBreak/>
        <w:t>A child-centred response cannot begin only when a crisis is reported. It must begin earlier - by supporting mothers, strengthening families and creating safe pathways to help before situations become critical. This requires accessible, trusted services that reduce barriers, build relationships and provide practical options for women making decisions about their safety and their children’s future.</w:t>
      </w:r>
    </w:p>
    <w:p w14:paraId="127D8E13" w14:textId="77777777" w:rsidR="005B77DD" w:rsidRDefault="005B77DD" w:rsidP="005B77DD">
      <w:r>
        <w:t>Responses to children and young people must include age-appropriate, trauma-informed approaches that recognise their experiences, support recovery and address harmful behaviours when they emerge. This requires coordination between families, schools, community organisations and specialist services, with a shared commitment to early identification and intervention.</w:t>
      </w:r>
    </w:p>
    <w:p w14:paraId="75C02692" w14:textId="77777777" w:rsidR="005B77DD" w:rsidRDefault="005B77DD" w:rsidP="005B77DD">
      <w:r>
        <w:t>The Second Action Plan must recognise that protecting children means addressing the conditions that place them at risk. Children and young people may experience violence directly, but they are also deeply impacted by living with fear, coercive control, instability and family distress.</w:t>
      </w:r>
    </w:p>
    <w:p w14:paraId="6794ADAA" w14:textId="77777777" w:rsidR="005B77DD" w:rsidRDefault="005B77DD" w:rsidP="005B77DD">
      <w:r>
        <w:t>Investment is needed in prevention, digital safety, early identification and accessible pathways for both young people and parents seeking support. Reducing barriers for mothers to access help is not separate from protecting children — it is a critical part of creating safer environments for them.</w:t>
      </w:r>
    </w:p>
    <w:p w14:paraId="4DD7520F" w14:textId="77777777" w:rsidR="005B77DD" w:rsidRDefault="005B77DD" w:rsidP="005B77DD">
      <w:r>
        <w:t>Children and young people must have a genuine voice in shaping the services and policies that affect their lives. Their experiences should inform what safety and effective support look like.</w:t>
      </w:r>
    </w:p>
    <w:p w14:paraId="1DFC9548" w14:textId="77777777" w:rsidR="005B77DD" w:rsidRDefault="005B77DD" w:rsidP="005B77DD">
      <w:r>
        <w:t>At the same time, systems must recognise that safe, supported parents and caregivers are one of the strongest protective factors in a child’s life. Families should be able to seek help early, without fear, judgement or unnecessary barriers.</w:t>
      </w:r>
    </w:p>
    <w:p w14:paraId="22CF1905" w14:textId="28CB8FFA" w:rsidR="005B77DD" w:rsidRPr="005B77DD" w:rsidRDefault="005B77DD" w:rsidP="005B77DD">
      <w:pPr>
        <w:rPr>
          <w:b/>
          <w:bCs/>
        </w:rPr>
      </w:pPr>
      <w:r w:rsidRPr="005B77DD">
        <w:rPr>
          <w:b/>
          <w:bCs/>
        </w:rPr>
        <w:t>Feedback for Priority Area 4: People who use violence</w:t>
      </w:r>
    </w:p>
    <w:p w14:paraId="5873FA97" w14:textId="7DF7B45C" w:rsidR="005B77DD" w:rsidRDefault="005B77DD" w:rsidP="005B77DD">
      <w:r>
        <w:t xml:space="preserve">The biggest shift required is moving from a system that responds after violence occurs to one that actively identifies and interrupts risk earlier. Some of our current responses systems have significant weaknesses, if not breakages, but most function and are well-intentioned. Demand has increased, and with the demand increase, the eligibility criteria have also tightened. The knock- on effect is that more women are not getting help, because it is denied to them. We must lower the threshold for </w:t>
      </w:r>
      <w:proofErr w:type="gramStart"/>
      <w:r>
        <w:t>help, and</w:t>
      </w:r>
      <w:proofErr w:type="gramEnd"/>
      <w:r>
        <w:t xml:space="preserve"> importantly interrupt the cycle of violence earlier to reduce the strain on systems that are already overloaded.</w:t>
      </w:r>
    </w:p>
    <w:p w14:paraId="74615755" w14:textId="77777777" w:rsidR="005B77DD" w:rsidRDefault="005B77DD" w:rsidP="005B77DD">
      <w:r>
        <w:t>We need to stop treating violence as an issue that only belongs to specialist services. Everyone has a role in recognising concerning behaviours and responding appropriately.</w:t>
      </w:r>
    </w:p>
    <w:p w14:paraId="556047F8" w14:textId="77777777" w:rsidR="005B77DD" w:rsidRDefault="005B77DD" w:rsidP="005B77DD">
      <w:r>
        <w:t xml:space="preserve">Communities need greater confidence to identify coercive control, intimidation, isolation and other forms of non-physical violence that often precede escalation. </w:t>
      </w:r>
      <w:r>
        <w:lastRenderedPageBreak/>
        <w:t xml:space="preserve">Workplaces, health services, education settings and community organisations should have clearer pathways to respond when concerns emerge. However, recognition must be matched with action. Awareness without safe referral pathways leaves victims and survivors carrying the burden of navigating risk alone. </w:t>
      </w:r>
    </w:p>
    <w:p w14:paraId="69B5EB1B" w14:textId="77777777" w:rsidR="005B77DD" w:rsidRDefault="005B77DD" w:rsidP="005B77DD">
      <w:r>
        <w:t>Effective responses must place accountability at the centre. Violence is a choice, and people who use violence must be supported and expected to take responsibility for changing their behaviour.</w:t>
      </w:r>
    </w:p>
    <w:p w14:paraId="030947E0" w14:textId="77777777" w:rsidR="005B77DD" w:rsidRDefault="005B77DD" w:rsidP="005B77DD">
      <w:r>
        <w:t>The focus must remain clear: supporting people who use violence to change is not about reducing consequences - it is about preventing further harm.</w:t>
      </w:r>
    </w:p>
    <w:p w14:paraId="1617006B" w14:textId="77777777" w:rsidR="005B77DD" w:rsidRDefault="005B77DD" w:rsidP="005B77DD">
      <w:r>
        <w:t>A single service model will not meet the needs of all communities. Responses must be culturally safe, accessible and shaped by the experiences of the people they seek to support.</w:t>
      </w:r>
    </w:p>
    <w:p w14:paraId="32BEA25C" w14:textId="77777777" w:rsidR="005B77DD" w:rsidRDefault="005B77DD" w:rsidP="005B77DD">
      <w:r>
        <w:t>Accessibility must also mean reducing unnecessary complexity. People experiencing risk - and the organisations supporting them - should not have to navigate fragmented systems, restrictive eligibility criteria and complicated pathways to receive help.</w:t>
      </w:r>
    </w:p>
    <w:p w14:paraId="598E1869" w14:textId="470D61F3" w:rsidR="005B77DD" w:rsidRPr="005B77DD" w:rsidRDefault="005B77DD" w:rsidP="005B77DD">
      <w:pPr>
        <w:rPr>
          <w:b/>
          <w:bCs/>
        </w:rPr>
      </w:pPr>
      <w:r w:rsidRPr="005B77DD">
        <w:rPr>
          <w:b/>
          <w:bCs/>
        </w:rPr>
        <w:t>Feedback for Priority Area 5: System Integration and Workforce</w:t>
      </w:r>
    </w:p>
    <w:p w14:paraId="0DA0D291" w14:textId="677372A7" w:rsidR="005B77DD" w:rsidRDefault="005B77DD" w:rsidP="005B77DD">
      <w:r>
        <w:t>A more coordinated response requires services to work as a connected system rather than separate programs operating in isolation. Shared pathways, clear roles, effective referral processes and better information sharing would help ensure people receive the right support at the right time. Funding models should encourage collaboration and shared outcomes across prevention, early intervention, response and recovery services.</w:t>
      </w:r>
    </w:p>
    <w:p w14:paraId="31CCA419" w14:textId="53026688" w:rsidR="005B77DD" w:rsidRDefault="005B77DD" w:rsidP="005B77DD">
      <w:r>
        <w:t>Models that establish shared responsibility, common goals and clear communication pathways are most effective. Collaboration works best when services understand their respective roles, can easily connect people to appropriate support and have systems that enable safe and appropriate information sharing.</w:t>
      </w:r>
    </w:p>
    <w:p w14:paraId="6D665AFF" w14:textId="1E243E88" w:rsidR="005B77DD" w:rsidRDefault="005B77DD" w:rsidP="005B77DD">
      <w:r>
        <w:t>The Second Action Plan needs to prioritise strong evidence collection, evaluation and shared measurement of outcomes across the service system. However highly prescribed, short-term, and focused on activity measurement and acquittal requirements are onerous, taking resources away from delivering the outcomes that organisations are committed to delivering.</w:t>
      </w:r>
    </w:p>
    <w:p w14:paraId="1DFD7C7E" w14:textId="77777777" w:rsidR="005B77DD" w:rsidRDefault="005B77DD" w:rsidP="005B77DD">
      <w:r>
        <w:t>Greater investment is needed in understanding what works, where gaps exist and how early intervention can prevent escalation. Sustainable funding and improved data sharing will be critical to building a more effective and connected response over time.</w:t>
      </w:r>
    </w:p>
    <w:p w14:paraId="05DB13CE" w14:textId="77777777" w:rsidR="005B77DD" w:rsidRDefault="005B77DD" w:rsidP="005B77DD">
      <w:pPr>
        <w:rPr>
          <w:b/>
          <w:bCs/>
        </w:rPr>
      </w:pPr>
    </w:p>
    <w:p w14:paraId="5B84B74F" w14:textId="1425B69B" w:rsidR="005B77DD" w:rsidRPr="005B77DD" w:rsidRDefault="005B77DD" w:rsidP="005B77DD">
      <w:pPr>
        <w:rPr>
          <w:b/>
          <w:bCs/>
        </w:rPr>
      </w:pPr>
      <w:r w:rsidRPr="005B77DD">
        <w:rPr>
          <w:b/>
          <w:bCs/>
        </w:rPr>
        <w:lastRenderedPageBreak/>
        <w:t>Are there any other actions you think should be a priority to stop family, domestic and sexual violence?</w:t>
      </w:r>
    </w:p>
    <w:p w14:paraId="2FD731AB" w14:textId="409381DB" w:rsidR="005B77DD" w:rsidRDefault="005B77DD" w:rsidP="005B77DD">
      <w:r>
        <w:t>If we are asking women to experience fewer barriers when seeking support, we must also consider the barriers faced by the services working to support them.</w:t>
      </w:r>
    </w:p>
    <w:p w14:paraId="6D993773" w14:textId="77777777" w:rsidR="005B77DD" w:rsidRDefault="005B77DD" w:rsidP="005B77DD">
      <w:r>
        <w:t>Many community organisations operate within funding models that are highly prescribed, short-term and focused on activity measurement and acquittal requirements. While accountability and transparency are essential, funding approaches that prioritise narrowly defined outputs and complex reporting obligations can limit the flexibility, responsiveness and relationship-based work required to support people experiencing complex challenges.</w:t>
      </w:r>
    </w:p>
    <w:p w14:paraId="29F117D0" w14:textId="77777777" w:rsidR="005B77DD" w:rsidRDefault="005B77DD" w:rsidP="005B77DD">
      <w:r>
        <w:t>Early intervention relies on trust, consistency and the ability to respond to what is emerging in a person’s life. These are not always easily captured through traditional service measures, yet they are often the very factors that prevent escalation and reduce future demand on crisis systems.</w:t>
      </w:r>
    </w:p>
    <w:p w14:paraId="212B42BB" w14:textId="77777777" w:rsidR="005B77DD" w:rsidRDefault="005B77DD" w:rsidP="005B77DD">
      <w:r>
        <w:t>Funding models should evolve to support longer-term partnerships, shared outcomes and greater trust between funders and organisations. Services should be supported not only to deliver programs, but to build relationships, understand what works and adapt responses based on community need.</w:t>
      </w:r>
    </w:p>
    <w:p w14:paraId="41FC7C0B" w14:textId="75E974FD" w:rsidR="005B77DD" w:rsidRDefault="005B77DD" w:rsidP="005B77DD">
      <w:r>
        <w:t>A more flexible, outcomes-focused approach would enable organisations to focus resources where they create the greatest impact - supporting people earlier, reducing barriers to access and strengthening the systems that prevent crisis.</w:t>
      </w:r>
    </w:p>
    <w:p w14:paraId="710782C5" w14:textId="183A043A" w:rsidR="005B77DD" w:rsidRPr="005B77DD" w:rsidRDefault="005B77DD" w:rsidP="005B77DD">
      <w:r>
        <w:t>A system designed around trust cannot be delivered through a funding model built primarily around control.</w:t>
      </w:r>
    </w:p>
    <w:sectPr w:rsidR="005B77DD" w:rsidRPr="005B77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DD"/>
    <w:rsid w:val="00022A23"/>
    <w:rsid w:val="0023679E"/>
    <w:rsid w:val="005B77DD"/>
    <w:rsid w:val="0096699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379C"/>
  <w15:chartTrackingRefBased/>
  <w15:docId w15:val="{FD5A4C70-2E67-475B-8221-F4A4863C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7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7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7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7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7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7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7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7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7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7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7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7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7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7DD"/>
    <w:rPr>
      <w:rFonts w:eastAsiaTheme="majorEastAsia" w:cstheme="majorBidi"/>
      <w:color w:val="272727" w:themeColor="text1" w:themeTint="D8"/>
    </w:rPr>
  </w:style>
  <w:style w:type="paragraph" w:styleId="Title">
    <w:name w:val="Title"/>
    <w:basedOn w:val="Normal"/>
    <w:next w:val="Normal"/>
    <w:link w:val="TitleChar"/>
    <w:uiPriority w:val="10"/>
    <w:qFormat/>
    <w:rsid w:val="005B7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7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7DD"/>
    <w:pPr>
      <w:spacing w:before="160"/>
      <w:jc w:val="center"/>
    </w:pPr>
    <w:rPr>
      <w:i/>
      <w:iCs/>
      <w:color w:val="404040" w:themeColor="text1" w:themeTint="BF"/>
    </w:rPr>
  </w:style>
  <w:style w:type="character" w:customStyle="1" w:styleId="QuoteChar">
    <w:name w:val="Quote Char"/>
    <w:basedOn w:val="DefaultParagraphFont"/>
    <w:link w:val="Quote"/>
    <w:uiPriority w:val="29"/>
    <w:rsid w:val="005B77DD"/>
    <w:rPr>
      <w:i/>
      <w:iCs/>
      <w:color w:val="404040" w:themeColor="text1" w:themeTint="BF"/>
    </w:rPr>
  </w:style>
  <w:style w:type="paragraph" w:styleId="ListParagraph">
    <w:name w:val="List Paragraph"/>
    <w:basedOn w:val="Normal"/>
    <w:uiPriority w:val="34"/>
    <w:qFormat/>
    <w:rsid w:val="005B77DD"/>
    <w:pPr>
      <w:ind w:left="720"/>
      <w:contextualSpacing/>
    </w:pPr>
  </w:style>
  <w:style w:type="character" w:styleId="IntenseEmphasis">
    <w:name w:val="Intense Emphasis"/>
    <w:basedOn w:val="DefaultParagraphFont"/>
    <w:uiPriority w:val="21"/>
    <w:qFormat/>
    <w:rsid w:val="005B77DD"/>
    <w:rPr>
      <w:i/>
      <w:iCs/>
      <w:color w:val="0F4761" w:themeColor="accent1" w:themeShade="BF"/>
    </w:rPr>
  </w:style>
  <w:style w:type="paragraph" w:styleId="IntenseQuote">
    <w:name w:val="Intense Quote"/>
    <w:basedOn w:val="Normal"/>
    <w:next w:val="Normal"/>
    <w:link w:val="IntenseQuoteChar"/>
    <w:uiPriority w:val="30"/>
    <w:qFormat/>
    <w:rsid w:val="005B7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7DD"/>
    <w:rPr>
      <w:i/>
      <w:iCs/>
      <w:color w:val="0F4761" w:themeColor="accent1" w:themeShade="BF"/>
    </w:rPr>
  </w:style>
  <w:style w:type="character" w:styleId="IntenseReference">
    <w:name w:val="Intense Reference"/>
    <w:basedOn w:val="DefaultParagraphFont"/>
    <w:uiPriority w:val="32"/>
    <w:qFormat/>
    <w:rsid w:val="005B77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E3A7EF-795D-4134-B1BE-9F028EDE4DCC}"/>
</file>

<file path=customXml/itemProps2.xml><?xml version="1.0" encoding="utf-8"?>
<ds:datastoreItem xmlns:ds="http://schemas.openxmlformats.org/officeDocument/2006/customXml" ds:itemID="{A8DEEF92-92C8-4BEC-BA68-0DD2298A23D4}"/>
</file>

<file path=customXml/itemProps3.xml><?xml version="1.0" encoding="utf-8"?>
<ds:datastoreItem xmlns:ds="http://schemas.openxmlformats.org/officeDocument/2006/customXml" ds:itemID="{EE819C42-07B5-4553-A10D-056F64CE15B8}"/>
</file>

<file path=docProps/app.xml><?xml version="1.0" encoding="utf-8"?>
<Properties xmlns="http://schemas.openxmlformats.org/officeDocument/2006/extended-properties" xmlns:vt="http://schemas.openxmlformats.org/officeDocument/2006/docPropsVTypes">
  <Template>Normal.dotm</Template>
  <TotalTime>2</TotalTime>
  <Pages>7</Pages>
  <Words>2712</Words>
  <Characters>15464</Characters>
  <Application>Microsoft Office Word</Application>
  <DocSecurity>0</DocSecurity>
  <Lines>128</Lines>
  <Paragraphs>36</Paragraphs>
  <ScaleCrop>false</ScaleCrop>
  <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2026-09-03T06:44:00Z</dcterms:created>
  <dcterms:modified xsi:type="dcterms:W3CDTF">2026-09-03T06:46:00Z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