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6F9CC" w14:textId="047AD604" w:rsidR="0023679E" w:rsidRDefault="00BC058B">
      <w:pPr>
        <w:rPr>
          <w:b/>
          <w:bCs/>
        </w:rPr>
      </w:pPr>
      <w:r w:rsidRPr="00BC058B">
        <w:rPr>
          <w:b/>
          <w:bCs/>
        </w:rPr>
        <w:t>Accountability Matters Project Pty Ltd</w:t>
      </w:r>
    </w:p>
    <w:p w14:paraId="4832CD52" w14:textId="21C3B52E" w:rsidR="00BC058B" w:rsidRDefault="00BC058B">
      <w:pPr>
        <w:rPr>
          <w:b/>
          <w:bCs/>
        </w:rPr>
      </w:pPr>
      <w:r w:rsidRPr="00BC058B">
        <w:rPr>
          <w:b/>
          <w:bCs/>
        </w:rPr>
        <w:t>Feedback for Priority Area 1: Victim-survivors</w:t>
      </w:r>
    </w:p>
    <w:p w14:paraId="0976898C" w14:textId="23A3FF6B" w:rsidR="00BC058B" w:rsidRDefault="00BC058B" w:rsidP="00BC058B">
      <w:r>
        <w:t xml:space="preserve">These answers must be read in conjunction with the attached submission and PUV Roundtable Responses attached. </w:t>
      </w:r>
    </w:p>
    <w:p w14:paraId="1F633047" w14:textId="658A6244" w:rsidR="00BC058B" w:rsidRDefault="00BC058B" w:rsidP="00BC058B">
      <w:r>
        <w:t xml:space="preserve">Coercive control and technology-facilitated abuse are precisely the forms that incident-based systems miss. Coercive control is a pattern, not an event; technology-facilitated and financial abuse leave their clearest trace not in a police report but in the transaction, account and platform data held by business. The Second Action Plan should build the capability to see the </w:t>
      </w:r>
      <w:proofErr w:type="gramStart"/>
      <w:r>
        <w:t>pattern, and</w:t>
      </w:r>
      <w:proofErr w:type="gramEnd"/>
      <w:r>
        <w:t xml:space="preserve"> turn the institutions that already hold the data into sites of detection.</w:t>
      </w:r>
    </w:p>
    <w:p w14:paraId="1AA3DE88" w14:textId="08E8C5F7" w:rsidR="00BC058B" w:rsidRDefault="00BC058B" w:rsidP="00BC058B">
      <w:r>
        <w:t>Actions the Government can do in the next five years to address current and emerging issues should the Second Action Plan address, including in relation to coercive control and technology-facilitated abuse:</w:t>
      </w:r>
    </w:p>
    <w:p w14:paraId="1B9CC91F" w14:textId="77777777" w:rsidR="00BC058B" w:rsidRDefault="00BC058B" w:rsidP="00BC058B">
      <w:r>
        <w:t>–</w:t>
      </w:r>
      <w:r>
        <w:tab/>
        <w:t>Action 12: pattern-based coercive-control capability across all funded services, replacing incident-based tools.</w:t>
      </w:r>
    </w:p>
    <w:p w14:paraId="68DC6933" w14:textId="77777777" w:rsidR="00BC058B" w:rsidRDefault="00BC058B" w:rsidP="00BC058B">
      <w:r>
        <w:t>–</w:t>
      </w:r>
      <w:r>
        <w:tab/>
        <w:t>Action 4: victim-survivor-led capture of coercive-control evidence in real time.</w:t>
      </w:r>
    </w:p>
    <w:p w14:paraId="6ABCB98B" w14:textId="77777777" w:rsidR="00BC058B" w:rsidRDefault="00BC058B" w:rsidP="00BC058B">
      <w:r>
        <w:t>–</w:t>
      </w:r>
      <w:r>
        <w:tab/>
        <w:t>Action 3: cross-sector information sharing so the pattern is assembled by the system, not the victim-survivor.</w:t>
      </w:r>
    </w:p>
    <w:p w14:paraId="6526F88A" w14:textId="77777777" w:rsidR="00BC058B" w:rsidRDefault="00BC058B" w:rsidP="00BC058B">
      <w:r>
        <w:t>–</w:t>
      </w:r>
      <w:r>
        <w:tab/>
        <w:t>Action 7: a threat assessment centre that targets patterns, not incidents.</w:t>
      </w:r>
    </w:p>
    <w:p w14:paraId="7AB6EF67" w14:textId="77777777" w:rsidR="00BC058B" w:rsidRDefault="00BC058B" w:rsidP="00BC058B">
      <w:r>
        <w:t>–</w:t>
      </w:r>
      <w:r>
        <w:tab/>
        <w:t>Actions 5, 19 and 20: banks, insurers, energy and telco as sites where financial and technology-facilitated abuse are detected, designed out, and reported</w:t>
      </w:r>
      <w:r>
        <w:t>.</w:t>
      </w:r>
    </w:p>
    <w:p w14:paraId="66E215AD" w14:textId="4DE5E4F0" w:rsidR="00BC058B" w:rsidRPr="00BC058B" w:rsidRDefault="00BC058B" w:rsidP="00BC058B">
      <w:pPr>
        <w:rPr>
          <w:b/>
          <w:bCs/>
        </w:rPr>
      </w:pPr>
      <w:r w:rsidRPr="00BC058B">
        <w:rPr>
          <w:b/>
          <w:bCs/>
        </w:rPr>
        <w:t>Feedback for Priority Area 2: Prevention and early intervention</w:t>
      </w:r>
    </w:p>
    <w:p w14:paraId="2319A751" w14:textId="570B4850" w:rsidR="00BC058B" w:rsidRDefault="00BC058B" w:rsidP="00BC058B">
      <w:r>
        <w:t xml:space="preserve">These answers must be read in conjunction with the attached submission and PUV Roundtable Responses attached. </w:t>
      </w:r>
    </w:p>
    <w:p w14:paraId="3EC985AA" w14:textId="64FF407D" w:rsidR="00BC058B" w:rsidRDefault="00BC058B" w:rsidP="00BC058B">
      <w:r>
        <w:t>Prevention and early intervention come down to one thing: stopping violence being perpetrated in the first place. Primary prevention that builds only victim resilience, without reducing the behaviour of the people using violence, treats the symptom and leaves the cause in place. Violence is a problem for victims, but it is not a victim's problem — and it cannot be prevented by asking those it is done to, to prevent it. The biggest difference the Second Action Plan can make is to move upstream of crisis and act on perpetration directly: to see it, to interrupt the trajectories that create it, and to reach the people using violence, and those becoming at risk of using it, while change is still possible.</w:t>
      </w:r>
    </w:p>
    <w:p w14:paraId="74CF8A24" w14:textId="2F59D83F" w:rsidR="00BC058B" w:rsidRDefault="00BC058B" w:rsidP="00BC058B">
      <w:r>
        <w:t xml:space="preserve">Two moves matter most, and everything else depends on them. First, make perpetration visible: you cannot prevent what you do not measure, and you cannot intervene early in </w:t>
      </w:r>
      <w:r>
        <w:lastRenderedPageBreak/>
        <w:t xml:space="preserve">a pattern the system never assembles. Second, fund the upstream and early-intervention pathways that interrupt behaviour before it hardens into a lifelong pattern — at the birth of a child, in the classroom, in the friendship group, and in the moment a person </w:t>
      </w:r>
      <w:proofErr w:type="gramStart"/>
      <w:r>
        <w:t>first worries</w:t>
      </w:r>
      <w:proofErr w:type="gramEnd"/>
      <w:r>
        <w:t xml:space="preserve"> about their own behaviour.</w:t>
      </w:r>
    </w:p>
    <w:p w14:paraId="119C86B4" w14:textId="24C9C4C0" w:rsidR="00BC058B" w:rsidRDefault="00BC058B" w:rsidP="00BC058B">
      <w:r>
        <w:t>None of this is possible while we hold to the ""good men versus bad men"" construct. The people who use violence are, overwhelmingly, people we know, like and love. Prevention begins when we can hold that truth, because it is what lets a father, a mate, a teacher, or a person themselves recognise a harmful pattern early and act on it, rather than wait for the monster who never arrives.</w:t>
      </w:r>
    </w:p>
    <w:p w14:paraId="38437036" w14:textId="6B8DC7BF" w:rsidR="00BC058B" w:rsidRDefault="00BC058B" w:rsidP="00BC058B">
      <w:r>
        <w:t>What would make the biggest difference in preventing and ultimately ending violence; how existing efforts can be strengthened across the individual, community, organisational, institutional and societal levels; how governments, communities, schools, workplaces and online platforms can better support people to recognise and respond to harmful attitudes and behaviours; and what approaches are most promising:</w:t>
      </w:r>
    </w:p>
    <w:p w14:paraId="0E348FDA" w14:textId="77777777" w:rsidR="00BC058B" w:rsidRDefault="00BC058B" w:rsidP="00BC058B">
      <w:r>
        <w:t>Make perpetration visible, so prevention can be targeted</w:t>
      </w:r>
    </w:p>
    <w:p w14:paraId="117F5592" w14:textId="77777777" w:rsidR="00BC058B" w:rsidRDefault="00BC058B" w:rsidP="00BC058B">
      <w:r>
        <w:t>– Action 1: Nationalise the DFSV perpetration prevalence survey (""Who uses violence, how, and why?"") as recurring national data infrastructure alongside the PSS and NCAS — the baseline every prevention investment depends on.</w:t>
      </w:r>
    </w:p>
    <w:p w14:paraId="43B92B3C" w14:textId="3934EDF6" w:rsidR="00BC058B" w:rsidRDefault="00BC058B" w:rsidP="00BC058B">
      <w:r>
        <w:t>– Action 2: Operationalise NOSPI, reported by the AIHW against its 27 indicators, so early intervention can be measured against outcomes.</w:t>
      </w:r>
    </w:p>
    <w:p w14:paraId="31BC7E81" w14:textId="77777777" w:rsidR="00BC058B" w:rsidRDefault="00BC058B" w:rsidP="00BC058B">
      <w:r>
        <w:t>Reach people upstream, before crisis (individual and community)</w:t>
      </w:r>
    </w:p>
    <w:p w14:paraId="274DEF4F" w14:textId="77777777" w:rsidR="00BC058B" w:rsidRDefault="00BC058B" w:rsidP="00BC058B">
      <w:r>
        <w:t>– Action 17: Embed Baby Makes 3-style engagement universally at the birth of every child, through maternal and child health — a known commencement and escalation point for men's violence.</w:t>
      </w:r>
    </w:p>
    <w:p w14:paraId="73E2785F" w14:textId="77777777" w:rsidR="00BC058B" w:rsidRDefault="00BC058B" w:rsidP="00BC058B">
      <w:r>
        <w:t>– Action 16: Expand confidential pre-crisis pathways (Stop It Now! model) for people worried about their own or a loved one's behaviour.</w:t>
      </w:r>
    </w:p>
    <w:p w14:paraId="5230CA13" w14:textId="77777777" w:rsidR="00BC058B" w:rsidRDefault="00BC058B" w:rsidP="00BC058B">
      <w:r>
        <w:t xml:space="preserve">– Action 14: Scale Ask </w:t>
      </w:r>
      <w:proofErr w:type="gramStart"/>
      <w:r>
        <w:t>A</w:t>
      </w:r>
      <w:proofErr w:type="gramEnd"/>
      <w:r>
        <w:t xml:space="preserve"> Mate — trusted-messenger guidance for secondary-school-aged boys and young men at the point trajectories begin.</w:t>
      </w:r>
    </w:p>
    <w:p w14:paraId="07B3CEF5" w14:textId="3E99CEB5" w:rsidR="00BC058B" w:rsidRDefault="00BC058B" w:rsidP="00BC058B">
      <w:r>
        <w:t>– Action 13: Fund the Accountability Mate Program to equip the four in five men who want to help but don't know how to recognise male patterns of abuse and respond safely.</w:t>
      </w:r>
    </w:p>
    <w:p w14:paraId="18174846" w14:textId="77777777" w:rsidR="00BC058B" w:rsidRDefault="00BC058B" w:rsidP="00BC058B">
      <w:r>
        <w:t>Build prevention into schools (schools and young people)</w:t>
      </w:r>
    </w:p>
    <w:p w14:paraId="503C72E8" w14:textId="77777777" w:rsidR="00BC058B" w:rsidRDefault="00BC058B" w:rsidP="00BC058B">
      <w:r>
        <w:t>– Action 15: Scale Love &amp; Learn healthy-relationship education for young people.</w:t>
      </w:r>
    </w:p>
    <w:p w14:paraId="3A110114" w14:textId="77777777" w:rsidR="00BC058B" w:rsidRDefault="00BC058B" w:rsidP="00BC058B">
      <w:r>
        <w:lastRenderedPageBreak/>
        <w:t>– Action 18: Fund a schools-based targeted early-intervention program for students already using harassing, controlling or abusive behaviours, closing the gap between education and therapeutic response.</w:t>
      </w:r>
    </w:p>
    <w:p w14:paraId="39632B17" w14:textId="77777777" w:rsidR="00BC058B" w:rsidRDefault="00BC058B" w:rsidP="00BC058B"/>
    <w:p w14:paraId="2C78EE7E" w14:textId="77777777" w:rsidR="00BC058B" w:rsidRDefault="00BC058B" w:rsidP="00BC058B">
      <w:r>
        <w:t>Turn the institutions that hold the data into sites of prevention (organisational, institutional and online platforms)</w:t>
      </w:r>
    </w:p>
    <w:p w14:paraId="36622925" w14:textId="77777777" w:rsidR="00BC058B" w:rsidRDefault="00BC058B" w:rsidP="00BC058B">
      <w:r>
        <w:t>– Action 19: Make safety-by-design and anti-abuse standards enforceable across banking, insurance, energy and telco, re-centred on identifying, warning, restricting and reporting the perpetrator.</w:t>
      </w:r>
    </w:p>
    <w:p w14:paraId="6ED15451" w14:textId="77777777" w:rsidR="00BC058B" w:rsidRDefault="00BC058B" w:rsidP="00BC058B">
      <w:r>
        <w:t>– Action 5: Partner with banks as holders of behavioural data that can evidence coercive control years before justice contact, starting with CBA Next Chapter and extended via the ABA.</w:t>
      </w:r>
    </w:p>
    <w:p w14:paraId="6F9CAC7F" w14:textId="77777777" w:rsidR="00BC058B" w:rsidRDefault="00BC058B" w:rsidP="00BC058B">
      <w:r>
        <w:t>– Action 20: Match the scams response for financial abuse and close the relationship loophole on identity and credential misuse.</w:t>
      </w:r>
    </w:p>
    <w:p w14:paraId="5595EA40" w14:textId="2D9BD584" w:rsidR="00BC058B" w:rsidRDefault="00BC058B" w:rsidP="00BC058B">
      <w:r>
        <w:t>– Action 12: Require pattern-based coercive-control capability across all government-funded services.</w:t>
      </w:r>
    </w:p>
    <w:p w14:paraId="734886CB" w14:textId="77777777" w:rsidR="00BC058B" w:rsidRDefault="00BC058B" w:rsidP="00BC058B">
      <w:r>
        <w:t>Interrupt intergenerational transmission (the highest-leverage prevention available)</w:t>
      </w:r>
    </w:p>
    <w:p w14:paraId="722EAE40" w14:textId="4E5AE1AC" w:rsidR="00BC058B" w:rsidRDefault="00BC058B" w:rsidP="00BC058B">
      <w:r>
        <w:t>– Action 25: Fund child recovery and specialist youth treatment. Funded child recovery is itself perpetration prevention; Australian evidence shows specialist community-based treatment cuts sexual reoffending by 78–90% and general reoffending by 34–44%.</w:t>
      </w:r>
    </w:p>
    <w:p w14:paraId="03DFB840" w14:textId="77777777" w:rsidR="00BC058B" w:rsidRDefault="00BC058B" w:rsidP="00BC058B">
      <w:r>
        <w:t>Set the societal conditions for prevention</w:t>
      </w:r>
    </w:p>
    <w:p w14:paraId="40F071E5" w14:textId="0F907095" w:rsidR="00BC058B" w:rsidRDefault="00BC058B" w:rsidP="00BC058B">
      <w:r>
        <w:t>– Action 22: Adopt publicly reported national targets, including 80% accountability-focused public discourse and a 50% rebalance of investment toward perpetration-focused prevention and intervention.</w:t>
      </w:r>
    </w:p>
    <w:p w14:paraId="634E357B" w14:textId="77777777" w:rsidR="00BC058B" w:rsidRDefault="00BC058B" w:rsidP="00BC058B">
      <w:r>
        <w:t>What is needed to strengthen and expand these approaches is not more evidence but better funding design. Promising models are lost to ""pilot-and-lapse"" cycles, and to procurement rules that exclude the survivor-led and community-controlled originators of the best models.</w:t>
      </w:r>
    </w:p>
    <w:p w14:paraId="4A66A0FA" w14:textId="77777777" w:rsidR="00BC058B" w:rsidRDefault="00BC058B" w:rsidP="00BC058B">
      <w:r>
        <w:t>– Action 24: Fix grant and tender eligibility so funding follows merit, evidence and outcomes, not corporate structure, so survivor-led and social-enterprise models (like the Accountability Mate Program, stranded for seven years) can be funded.</w:t>
      </w:r>
    </w:p>
    <w:p w14:paraId="00EFECDE" w14:textId="333BC997" w:rsidR="00BC058B" w:rsidRDefault="00BC058B" w:rsidP="00BC058B">
      <w:r>
        <w:t>– Action 21: Provide the Audacity Centre five-year core funding to extend its lived-experience ethical co-design method as national infrastructure, so prevention is designed with the people it is meant to protect.</w:t>
      </w:r>
    </w:p>
    <w:p w14:paraId="0F5EAAB0" w14:textId="77777777" w:rsidR="00BC058B" w:rsidRDefault="00BC058B" w:rsidP="00BC058B">
      <w:r>
        <w:lastRenderedPageBreak/>
        <w:t>What emerging issues should the Second Action Plan address in relation to primary prevention and early intervention?</w:t>
      </w:r>
    </w:p>
    <w:p w14:paraId="3DC6D198" w14:textId="77777777" w:rsidR="00BC058B" w:rsidRDefault="00BC058B" w:rsidP="00BC058B"/>
    <w:p w14:paraId="0F638748" w14:textId="77777777" w:rsidR="00BC058B" w:rsidRDefault="00BC058B" w:rsidP="00BC058B">
      <w:r>
        <w:t>Two emerging issues most threaten prevention if left unaddressed.</w:t>
      </w:r>
    </w:p>
    <w:p w14:paraId="784982DC" w14:textId="77777777" w:rsidR="00BC058B" w:rsidRDefault="00BC058B" w:rsidP="00BC058B"/>
    <w:p w14:paraId="372E2A7B" w14:textId="77777777" w:rsidR="00BC058B" w:rsidRDefault="00BC058B" w:rsidP="00BC058B">
      <w:r>
        <w:t>The first is that the fastest-growing forms of abuse are the ones prevention and early-warning systems are least equipped to see. Coercive control is a pattern, not an event, and technology-facilitated and financial abuse leave their clearest early trace not in a police report but in the transaction, account and platform data held by business. Prevention now depends on building the capability to read that pattern early, and on turning the institutions that already hold the data into sites of detection (Actions 12, 4, 3, 5, 19 and 20).</w:t>
      </w:r>
    </w:p>
    <w:p w14:paraId="01209491" w14:textId="77777777" w:rsidR="00BC058B" w:rsidRDefault="00BC058B" w:rsidP="00BC058B"/>
    <w:p w14:paraId="5A2450CF" w14:textId="77777777" w:rsidR="00BC058B" w:rsidRDefault="00BC058B" w:rsidP="00BC058B">
      <w:r>
        <w:t>The second is the online radicalisation of boys and young men, and the silence that feeds it. Shame, silence and rigid masculine norms keep boys from naming what has been done to them, what they have witnessed, and what they themselves are doing — and that silence is where both harm and manosphere influence take hold. Many boys and young men using violence are themselves victim-survivors, so their recovery and their accountability are the same work. Creating safe ways for boys and men to speak — as people who have experienced violence, survived it, and at times used it — removes the shame that isolates them and is itself prevention (Actions 14, 15, 18 and 25).</w:t>
      </w:r>
    </w:p>
    <w:p w14:paraId="44CA6BDD" w14:textId="3B5BAE50" w:rsidR="00BC058B" w:rsidRPr="00BC058B" w:rsidRDefault="00BC058B" w:rsidP="00BC058B">
      <w:pPr>
        <w:rPr>
          <w:b/>
          <w:bCs/>
        </w:rPr>
      </w:pPr>
      <w:r w:rsidRPr="00BC058B">
        <w:rPr>
          <w:b/>
          <w:bCs/>
        </w:rPr>
        <w:t>Feedback for Priority Area 3: Children and young people in their own right</w:t>
      </w:r>
    </w:p>
    <w:p w14:paraId="6F7BAB6F" w14:textId="473AF3BA" w:rsidR="00BC058B" w:rsidRDefault="00BC058B" w:rsidP="00BC058B">
      <w:r>
        <w:t xml:space="preserve">These answers must be read in conjunction with the attached submission and PUV Roundtable Responses attached. </w:t>
      </w:r>
    </w:p>
    <w:p w14:paraId="4149D7D4" w14:textId="3BA4F70B" w:rsidR="00BC058B" w:rsidRDefault="00BC058B" w:rsidP="00BC058B">
      <w:r>
        <w:t>The most effective approach is specialist, community-based treatment tailored to the underlying drivers of trauma, family dysfunction and developmental disruption, delivered early and without defaulting to exclusion or criminalisation. Many young people using violence are themselves victim-survivors, so their recovery and their accountability for harms are the same work. Australian evidence shows specialist community-based treatment cuts sexual reoffending by 78–90% and general reoffending by 34–44%.</w:t>
      </w:r>
    </w:p>
    <w:p w14:paraId="4BED3CD0" w14:textId="42A63DFB" w:rsidR="00BC058B" w:rsidRDefault="00BC058B" w:rsidP="00BC058B">
      <w:r>
        <w:t xml:space="preserve">It also depends on helping boys and young men share their own experiences of domestic, family and sexual violence. Shame, silence and rigid masculine norms keep boys from naming what has been done to them, what they have experienced and witnessed, and what they themselves are doing. That silence is where both harm and manosphere influence take hold. Creating safe ways for boys and men to speak, as </w:t>
      </w:r>
      <w:r>
        <w:lastRenderedPageBreak/>
        <w:t>people who have experienced violence, survived it, and at times used it, removes the shame that isolates them and is itself part of accountability, recovery and prevention.</w:t>
      </w:r>
    </w:p>
    <w:p w14:paraId="0AA45FDE" w14:textId="7EA4AFFB" w:rsidR="00BC058B" w:rsidRDefault="00BC058B" w:rsidP="00BC058B">
      <w:r>
        <w:t>Actions the Government can do in the next five years to effectively support children and young people who are using violence or displaying harmful sexual behaviours to take accountability, change behaviours, and reduce harm:</w:t>
      </w:r>
    </w:p>
    <w:p w14:paraId="5EFE81B7" w14:textId="77777777" w:rsidR="00BC058B" w:rsidRDefault="00BC058B" w:rsidP="00BC058B">
      <w:r>
        <w:t>–</w:t>
      </w:r>
      <w:r>
        <w:tab/>
        <w:t>Action 18: a schools-based targeted early-intervention program for students already using harassing, controlling or abusive behaviours, closing the gap between education and therapeutic response.</w:t>
      </w:r>
    </w:p>
    <w:p w14:paraId="64C340EA" w14:textId="77777777" w:rsidR="00BC058B" w:rsidRDefault="00BC058B" w:rsidP="00BC058B">
      <w:r>
        <w:t>–</w:t>
      </w:r>
      <w:r>
        <w:tab/>
        <w:t>Action 25 (Stream 2): specialist community-based forensic treatment for children and young people using harmful sexual or violent behaviours.</w:t>
      </w:r>
    </w:p>
    <w:p w14:paraId="0BBE7DD6" w14:textId="77777777" w:rsidR="00BC058B" w:rsidRDefault="00BC058B" w:rsidP="00BC058B">
      <w:r>
        <w:t>–</w:t>
      </w:r>
      <w:r>
        <w:tab/>
        <w:t>Action 25 (Stream 1): trauma recovery for children affected by DFSV, recognising that funded child recovery is itself perpetration prevention.</w:t>
      </w:r>
    </w:p>
    <w:p w14:paraId="40444B6D" w14:textId="6E41C12B" w:rsidR="00BC058B" w:rsidRPr="00BC058B" w:rsidRDefault="00BC058B" w:rsidP="00BC058B">
      <w:pPr>
        <w:rPr>
          <w:b/>
          <w:bCs/>
        </w:rPr>
      </w:pPr>
      <w:r w:rsidRPr="00BC058B">
        <w:rPr>
          <w:b/>
          <w:bCs/>
        </w:rPr>
        <w:t>Feedback for Priority Area 4: People who use violence</w:t>
      </w:r>
    </w:p>
    <w:p w14:paraId="1EF23512" w14:textId="6B9C8C6C" w:rsidR="00BC058B" w:rsidRDefault="00BC058B" w:rsidP="00BC058B">
      <w:r>
        <w:t xml:space="preserve">These answers must be read in conjunction with the attached submission and PUV Roundtable Responses attached. </w:t>
      </w:r>
    </w:p>
    <w:p w14:paraId="4CEABC4B" w14:textId="77777777" w:rsidR="00BC058B" w:rsidRDefault="00BC058B" w:rsidP="00BC058B">
      <w:r>
        <w:t xml:space="preserve">The biggest difference is to make perpetration visible and to invest upstream of crisis. You cannot reduce what you do not count, and you cannot respond early to a pattern the system never sees and assembles. </w:t>
      </w:r>
    </w:p>
    <w:p w14:paraId="64467165" w14:textId="77777777" w:rsidR="00BC058B" w:rsidRDefault="00BC058B" w:rsidP="00BC058B">
      <w:r>
        <w:t xml:space="preserve">To prevent the perpetration of DFSV two moves matter most: </w:t>
      </w:r>
    </w:p>
    <w:p w14:paraId="7D791BF6" w14:textId="77777777" w:rsidR="00BC058B" w:rsidRDefault="00BC058B" w:rsidP="00BC058B">
      <w:r>
        <w:t>1.</w:t>
      </w:r>
      <w:r>
        <w:tab/>
        <w:t xml:space="preserve">Build the perpetration evidence base every other investment depends on, and </w:t>
      </w:r>
    </w:p>
    <w:p w14:paraId="720831C1" w14:textId="6FC40A89" w:rsidR="00BC058B" w:rsidRDefault="00BC058B" w:rsidP="00BC058B">
      <w:r>
        <w:t>2.</w:t>
      </w:r>
      <w:r>
        <w:tab/>
        <w:t>Fund the early-intervention and child-recovery pathways that interrupt trajectories before they become lifelong behaviours.</w:t>
      </w:r>
    </w:p>
    <w:p w14:paraId="5689C3A7" w14:textId="4ED51AFC" w:rsidR="00BC058B" w:rsidRDefault="00BC058B" w:rsidP="00BC058B">
      <w:r>
        <w:t xml:space="preserve">To support effective prevention and earlier identification that breaks through current resistance to change and continues to be a barrier to people seeking help, the Government must adopt the reframing of people who use violence from being seen anomalies, as bad people, monsters and demonising them, to understanding that they are people we “know, like, and love”. </w:t>
      </w:r>
    </w:p>
    <w:p w14:paraId="3A88F04E" w14:textId="60792111" w:rsidR="00BC058B" w:rsidRDefault="00BC058B" w:rsidP="00BC058B">
      <w:r>
        <w:t xml:space="preserve">This foundational framing that it is the people we know, like and love who use controlling, abusive, and violent behaviours recognises the lived experience of victim survivors, the complexities of the relationships where these forms abuse most commonly occur and is what the evidence base shows us time and again. This framing needs to be embedded across DFSV prevention, identification and responses to remove the stigma and structural barriers that too often leaves women with the choice of living in fear with violence or facing relationship/family breakdown and poverty. </w:t>
      </w:r>
    </w:p>
    <w:p w14:paraId="3277B921" w14:textId="77777777" w:rsidR="00BC058B" w:rsidRDefault="00BC058B" w:rsidP="00BC058B">
      <w:r>
        <w:lastRenderedPageBreak/>
        <w:t xml:space="preserve">The current system and policy settings that are geared towards women leaving abusive relationships too often does offer not a pathway to safety but a choice between harms. To leave is, for many, means potential homelessness and the loss of income and assets, an immediate cost measured in the roof over her children's heads. To seek help through police or the justice system is to risk children being removed, where a mother's “failure to protect” is treated as the reportable event and the victim, not the person who chose violence, is punished. And most distressingly, as the evidence and Australian domestic and family violence death reviews consistently shows, it does not end the violence being perpetrated against them but often escalates it. </w:t>
      </w:r>
    </w:p>
    <w:p w14:paraId="1B0228BD" w14:textId="21F67C1E" w:rsidR="00BC058B" w:rsidRDefault="00BC058B" w:rsidP="00BC058B">
      <w:r>
        <w:t>There is another way.</w:t>
      </w:r>
    </w:p>
    <w:p w14:paraId="3CE1A3A4" w14:textId="77777777" w:rsidR="00BC058B" w:rsidRDefault="00BC058B" w:rsidP="00BC058B">
      <w:r>
        <w:t>The 2AP provides a compelling opportunity to make seismic change to end violence against women and children. To make the biggest difference to responding earlier to DFSV, the Government must:</w:t>
      </w:r>
    </w:p>
    <w:p w14:paraId="374FA145" w14:textId="77777777" w:rsidR="00BC058B" w:rsidRDefault="00BC058B" w:rsidP="00BC058B">
      <w:r>
        <w:t>•</w:t>
      </w:r>
      <w:r>
        <w:tab/>
        <w:t xml:space="preserve">reframe the person who uses violence as someone we know, like and love, and </w:t>
      </w:r>
    </w:p>
    <w:p w14:paraId="3B07447A" w14:textId="080456CE" w:rsidR="00BC058B" w:rsidRDefault="00BC058B" w:rsidP="00BC058B">
      <w:r>
        <w:t>•</w:t>
      </w:r>
      <w:r>
        <w:tab/>
        <w:t xml:space="preserve">use support pathways and statutory responses to hold the person who used violence in view and accountable rather than make the victim responsible for creating “safety” when the threat remains unaddressed. </w:t>
      </w:r>
    </w:p>
    <w:p w14:paraId="20DAE12D" w14:textId="77777777" w:rsidR="00BC058B" w:rsidRDefault="00BC058B" w:rsidP="00BC058B">
      <w:r>
        <w:t xml:space="preserve">Until such time as we remove the human defensive response to not want to see our brothers, fathers, mothers, family members, partners, husbands, colleagues, community leaders, teachers, and friends as people who are capable of using abuse and violence, to understand the individual’s reasons why, and then get the correct tailored support to reduce these behaviours we will continue to repeat the mistakes that creates perpetrators and systems that hide its detection effectively enabling perpetration.  </w:t>
      </w:r>
    </w:p>
    <w:p w14:paraId="19C8C5FF" w14:textId="2982D063" w:rsidR="00BC058B" w:rsidRDefault="00BC058B" w:rsidP="00BC058B">
      <w:r>
        <w:t xml:space="preserve">We cannot stop a problem we do not measure and identify. We cannot intervene early in a problem we refuse to see. We cannot reduce the controlling, abusive and violent behaviour of perpetration if we do not work with the individuals using them. </w:t>
      </w:r>
    </w:p>
    <w:p w14:paraId="46608035" w14:textId="77777777" w:rsidR="00BC058B" w:rsidRDefault="00BC058B" w:rsidP="00BC058B">
      <w:r>
        <w:t>Actions the Government can do in the next five years to make the biggest difference in preventing and responding earlier to the use of domestic, family and sexual violence:</w:t>
      </w:r>
    </w:p>
    <w:p w14:paraId="7F235069" w14:textId="77777777" w:rsidR="00BC058B" w:rsidRDefault="00BC058B" w:rsidP="00BC058B">
      <w:r>
        <w:t>Make perpetration visible</w:t>
      </w:r>
    </w:p>
    <w:p w14:paraId="08D0C036" w14:textId="77777777" w:rsidR="00BC058B" w:rsidRDefault="00BC058B" w:rsidP="00BC058B">
      <w:r>
        <w:t>–</w:t>
      </w:r>
      <w:r>
        <w:tab/>
        <w:t>Action 1: Nationalise the DFSV perpetration prevalence survey. Complete and fund “Who uses violence, how, and why?” as recurring national data infrastructure alongside the PSS and NCAS, the baseline the entire perpetration agenda depends on.  (~$2m first wave; ~$4m/wave thereafter)</w:t>
      </w:r>
    </w:p>
    <w:p w14:paraId="4B6A9907" w14:textId="77777777" w:rsidR="00BC058B" w:rsidRDefault="00BC058B" w:rsidP="00BC058B">
      <w:r>
        <w:lastRenderedPageBreak/>
        <w:t>–</w:t>
      </w:r>
      <w:r>
        <w:tab/>
        <w:t>Action 2: Operationalise NOSPI. Fund the national perpetrator-intervention data collection the framework has never had, reported by the AIHW against its 27 indicators.  ($3–5m / 4 yrs)</w:t>
      </w:r>
    </w:p>
    <w:p w14:paraId="537D9156" w14:textId="77777777" w:rsidR="00BC058B" w:rsidRDefault="00BC058B" w:rsidP="00BC058B">
      <w:r>
        <w:t>Respond earlier, before crisis</w:t>
      </w:r>
    </w:p>
    <w:p w14:paraId="133D6A62" w14:textId="77777777" w:rsidR="00BC058B" w:rsidRDefault="00BC058B" w:rsidP="00BC058B">
      <w:r>
        <w:t>–</w:t>
      </w:r>
      <w:r>
        <w:tab/>
        <w:t>Action 16: Expand confidential pre-crisis pathways (Stop It Now! model) for people worried about their own or a loved one's behaviour.  ($2–3m / yr)</w:t>
      </w:r>
    </w:p>
    <w:p w14:paraId="3626F8C9" w14:textId="77777777" w:rsidR="00BC058B" w:rsidRDefault="00BC058B" w:rsidP="00BC058B">
      <w:r>
        <w:t>–</w:t>
      </w:r>
      <w:r>
        <w:tab/>
        <w:t>Action 17: Embed Baby Makes 3-style engagement universally at the birth of every child, through maternal and child health, a known commencement and escalation point for men's violence.  ($20–30m / 3 yrs)</w:t>
      </w:r>
    </w:p>
    <w:p w14:paraId="1022FFEE" w14:textId="77777777" w:rsidR="00BC058B" w:rsidRDefault="00BC058B" w:rsidP="00BC058B">
      <w:r>
        <w:t>–</w:t>
      </w:r>
      <w:r>
        <w:tab/>
        <w:t xml:space="preserve">Action 14: Scale Ask </w:t>
      </w:r>
      <w:proofErr w:type="gramStart"/>
      <w:r>
        <w:t>A</w:t>
      </w:r>
      <w:proofErr w:type="gramEnd"/>
      <w:r>
        <w:t xml:space="preserve"> Mate. Trusted-messenger guidance for secondary-school-aged boys and young men at the point trajectories begin.  ($1–2m / yr)</w:t>
      </w:r>
    </w:p>
    <w:p w14:paraId="29C0F6D3" w14:textId="77777777" w:rsidR="00BC058B" w:rsidRDefault="00BC058B" w:rsidP="00BC058B">
      <w:r>
        <w:t>–</w:t>
      </w:r>
      <w:r>
        <w:tab/>
        <w:t>Action 15: Scale Love &amp; Learn. Healthy-relationship education for young people.  ($0.5–1m / yr)</w:t>
      </w:r>
    </w:p>
    <w:p w14:paraId="6AC9BA51" w14:textId="77777777" w:rsidR="00BC058B" w:rsidRDefault="00BC058B" w:rsidP="00BC058B">
      <w:r>
        <w:t>–</w:t>
      </w:r>
      <w:r>
        <w:tab/>
        <w:t>Action 18: Fund a schools-based targeted early-intervention program for students already using harassing, controlling or abusive behaviours, closing the gap between education and therapeutic response.  ($15–20m / 4 yrs)</w:t>
      </w:r>
    </w:p>
    <w:p w14:paraId="57FDA212" w14:textId="77777777" w:rsidR="00BC058B" w:rsidRDefault="00BC058B" w:rsidP="00BC058B">
      <w:r>
        <w:t>Break the cycle</w:t>
      </w:r>
    </w:p>
    <w:p w14:paraId="757ACF8F" w14:textId="1A813E9C" w:rsidR="00BC058B" w:rsidRDefault="00BC058B" w:rsidP="00BC058B">
      <w:r>
        <w:t>–</w:t>
      </w:r>
      <w:r>
        <w:tab/>
        <w:t>Action 25: Fund child recovery and specialist youth treatment. Trauma recovery for children affected by DFSV, and specialist treatment for young people using harmful behaviours: the highest-leverage intergenerational prevention available.  ($25–40m / 4 yrs)</w:t>
      </w:r>
    </w:p>
    <w:p w14:paraId="03799E9C" w14:textId="77777777" w:rsidR="00BC058B" w:rsidRDefault="00BC058B" w:rsidP="00BC058B">
      <w:r>
        <w:t>Question 2. How can services, families, communities, workplaces, institutions and others better recognise and respond safely to people using violence or at risk of using violence?</w:t>
      </w:r>
    </w:p>
    <w:p w14:paraId="6BC66B4F" w14:textId="77777777" w:rsidR="00BC058B" w:rsidRDefault="00BC058B" w:rsidP="00BC058B">
      <w:r>
        <w:t xml:space="preserve">Recognition begins with a truth we would rather avoid: the people using violence are, overwhelmingly, people we know, like and love. We </w:t>
      </w:r>
      <w:proofErr w:type="gramStart"/>
      <w:r>
        <w:t>have to</w:t>
      </w:r>
      <w:proofErr w:type="gramEnd"/>
      <w:r>
        <w:t xml:space="preserve"> hold that truth, because the “good men versus bad men” construct is precisely what stops us seeing what is happening in front of us. </w:t>
      </w:r>
    </w:p>
    <w:p w14:paraId="360FAF15" w14:textId="77777777" w:rsidR="00BC058B" w:rsidRDefault="00BC058B" w:rsidP="00BC058B">
      <w:r>
        <w:t>The perpetrators the system most needs to see are the ones it currently overlooks: the calm, controlled, high-functioning perpetrator that incident-counting misses; the father whose parenting is assumed protective rather than risk-assessed; the serial perpetrator who stays invisible because each service sees only one fragment. Recognition improves when the system assembles the pattern rather than leaving the victim-survivor to carry it, when the everyday relationships around the person using violence are equipped to respond, and when the institutions that already hold the data are turned into sites of detection.</w:t>
      </w:r>
    </w:p>
    <w:p w14:paraId="12BC9C5D" w14:textId="77777777" w:rsidR="00BC058B" w:rsidRDefault="00BC058B" w:rsidP="00BC058B">
      <w:r>
        <w:lastRenderedPageBreak/>
        <w:t>Actions the Government can do in the next five years to help services, families, communities, workplaces, institutions and others better recognise and respond safely to people using violence or at risk of using violence:</w:t>
      </w:r>
    </w:p>
    <w:p w14:paraId="68C74631" w14:textId="77777777" w:rsidR="00BC058B" w:rsidRDefault="00BC058B" w:rsidP="00BC058B">
      <w:r>
        <w:t>Keep the person using violence in view</w:t>
      </w:r>
    </w:p>
    <w:p w14:paraId="3FDCBEA9" w14:textId="77777777" w:rsidR="00BC058B" w:rsidRDefault="00BC058B" w:rsidP="00BC058B">
      <w:r>
        <w:t>–</w:t>
      </w:r>
      <w:r>
        <w:tab/>
        <w:t>Action 3: Legislate national cross-sector information sharing organised around the person using violence, so patterns are assembled by the system, not carried by the victim-survivor.  ($8–12m / 4 yrs)</w:t>
      </w:r>
    </w:p>
    <w:p w14:paraId="128B32B6" w14:textId="77777777" w:rsidR="00BC058B" w:rsidRDefault="00BC058B" w:rsidP="00BC058B">
      <w:r>
        <w:t>–</w:t>
      </w:r>
      <w:r>
        <w:tab/>
        <w:t>Action 4: Trial victim-survivor-led primary data capture within the focused-deterrence pilots to evidence coercive control in real time.  ($2–4m / 2 yrs)</w:t>
      </w:r>
    </w:p>
    <w:p w14:paraId="01253761" w14:textId="77777777" w:rsidR="00BC058B" w:rsidRDefault="00BC058B" w:rsidP="00BC058B">
      <w:r>
        <w:t>–</w:t>
      </w:r>
      <w:r>
        <w:tab/>
        <w:t>Action 12: Require pattern-based coercive-control capability across all government-funded services, replacing incident-based tools that miss financial abuse and the most dangerous perpetrators.  ($10–15m / 4 yrs)</w:t>
      </w:r>
    </w:p>
    <w:p w14:paraId="0BCA2DC1" w14:textId="77777777" w:rsidR="00BC058B" w:rsidRDefault="00BC058B" w:rsidP="00BC058B">
      <w:r>
        <w:t>Equip the people and institutions around the perpetrator</w:t>
      </w:r>
    </w:p>
    <w:p w14:paraId="6649EA5A" w14:textId="77777777" w:rsidR="00BC058B" w:rsidRDefault="00BC058B" w:rsidP="00BC058B">
      <w:r>
        <w:t>–</w:t>
      </w:r>
      <w:r>
        <w:tab/>
        <w:t>Action 13: Fund the Accountability Mate Program to equip the four in five men who want to help but don't know how to recognise male patterns of abuse and respond safely as trusted peers.  ($1.5–2.5m / 2 yrs; ~$5m to scale)</w:t>
      </w:r>
    </w:p>
    <w:p w14:paraId="3CB06E9A" w14:textId="77777777" w:rsidR="00BC058B" w:rsidRDefault="00BC058B" w:rsidP="00BC058B">
      <w:r>
        <w:t>–</w:t>
      </w:r>
      <w:r>
        <w:tab/>
        <w:t>Action 5: Partner with banks as holders of behavioural data that can evidence coercive control years before justice contact, starting with CBA Next Chapter, extended via the ABA.  ($1–2m)</w:t>
      </w:r>
    </w:p>
    <w:p w14:paraId="578FDB51" w14:textId="77777777" w:rsidR="00BC058B" w:rsidRDefault="00BC058B" w:rsidP="00BC058B">
      <w:r>
        <w:t>–</w:t>
      </w:r>
      <w:r>
        <w:tab/>
        <w:t>Action 19: Make safety-by-design and anti-abuse standards enforceable across banking, insurance, energy and telco, re-centred on identifying, warning, restricting and reporting the perpetrator.  ($3–5m)</w:t>
      </w:r>
    </w:p>
    <w:p w14:paraId="44DD964E" w14:textId="77777777" w:rsidR="00BC058B" w:rsidRDefault="00BC058B" w:rsidP="00BC058B">
      <w:r>
        <w:t>–</w:t>
      </w:r>
      <w:r>
        <w:tab/>
        <w:t>Action 20: Match the scams response for financial abuse and close the relationship loophole on identity and credential misuse.  ($5–8m)</w:t>
      </w:r>
    </w:p>
    <w:p w14:paraId="03DC0D0D" w14:textId="77777777" w:rsidR="00BC058B" w:rsidRDefault="00BC058B" w:rsidP="00BC058B">
      <w:r>
        <w:t>Question 3. What approaches are most effective in supporting people who use violence to take accountability, change behaviours, and reduce the use of violence, while focusing on victim-survivor safety?</w:t>
      </w:r>
    </w:p>
    <w:p w14:paraId="2BED4F9D" w14:textId="77777777" w:rsidR="00BC058B" w:rsidRDefault="00BC058B" w:rsidP="00BC058B">
      <w:r>
        <w:t xml:space="preserve">The most effective approaches keep continuous “eyes on the perpetrator” and resource victim-survivor safety in parallel, not as a trade-off. A system that responds by asking the woman to leave does not stop perpetration; separation increases the likelihood of escalation and </w:t>
      </w:r>
      <w:proofErr w:type="gramStart"/>
      <w:r>
        <w:t>homicide, and</w:t>
      </w:r>
      <w:proofErr w:type="gramEnd"/>
      <w:r>
        <w:t xml:space="preserve"> displaces risk onto the next partner. Accountability means the people using violence and the systems with the power to intervene carry the work of safety, not the victim-survivor.</w:t>
      </w:r>
    </w:p>
    <w:p w14:paraId="4A141419" w14:textId="77777777" w:rsidR="00BC058B" w:rsidRDefault="00BC058B" w:rsidP="00BC058B">
      <w:r>
        <w:lastRenderedPageBreak/>
        <w:t>Actions the Government can do in the next five years to effectively support people who use violence to take accountability, change behaviours, and reduce the use of violence, while focusing on victim-survivor safety:</w:t>
      </w:r>
    </w:p>
    <w:p w14:paraId="7F53E9A8" w14:textId="77777777" w:rsidR="00BC058B" w:rsidRDefault="00BC058B" w:rsidP="00BC058B">
      <w:r>
        <w:t>Interrupt the highest-harm perpetration</w:t>
      </w:r>
    </w:p>
    <w:p w14:paraId="5137C56C" w14:textId="77777777" w:rsidR="00BC058B" w:rsidRDefault="00BC058B" w:rsidP="00BC058B">
      <w:r>
        <w:t>–</w:t>
      </w:r>
      <w:r>
        <w:tab/>
        <w:t>Action 6: Fund the focused-deterrence pilots to full, evaluated scale. Certain, swift, individually communicated consequences paired with genuine support to change, not pilot-and-lapse.  ($20–30m / 4 yrs)</w:t>
      </w:r>
    </w:p>
    <w:p w14:paraId="639D8F95" w14:textId="77777777" w:rsidR="00BC058B" w:rsidRDefault="00BC058B" w:rsidP="00BC058B">
      <w:r>
        <w:t>–</w:t>
      </w:r>
      <w:r>
        <w:tab/>
        <w:t>Action 7: Build the DV Threat Assessment Centre with lived-experience governance from day one, targeting patterns not incidents.  ($2–3m / 4 yrs)</w:t>
      </w:r>
    </w:p>
    <w:p w14:paraId="2E9A2EAE" w14:textId="77777777" w:rsidR="00BC058B" w:rsidRDefault="00BC058B" w:rsidP="00BC058B">
      <w:r>
        <w:t>–</w:t>
      </w:r>
      <w:r>
        <w:tab/>
        <w:t>Action 8: Attach a dedicated PUV case manager to every victim-survivor managed through high-risk panels (RAMP and equivalents), with partner and family safety contact and breach consequences funded as core.  ($30–45m / 3 yrs)</w:t>
      </w:r>
    </w:p>
    <w:p w14:paraId="6BFDA419" w14:textId="77777777" w:rsidR="00BC058B" w:rsidRDefault="00BC058B" w:rsidP="00BC058B">
      <w:r>
        <w:t>–</w:t>
      </w:r>
      <w:r>
        <w:tab/>
        <w:t>Action 9: Pilot a Drive-style multi-agency response to high-harm perpetrators alongside dedicated victim-survivor support.  ($6–10m / 3 yrs)</w:t>
      </w:r>
    </w:p>
    <w:p w14:paraId="7C8D3995" w14:textId="77777777" w:rsidR="00BC058B" w:rsidRDefault="00BC058B" w:rsidP="00BC058B">
      <w:r>
        <w:t>Build the accountability service system</w:t>
      </w:r>
    </w:p>
    <w:p w14:paraId="65C58A1A" w14:textId="77777777" w:rsidR="00BC058B" w:rsidRDefault="00BC058B" w:rsidP="00BC058B">
      <w:r>
        <w:t>–</w:t>
      </w:r>
      <w:r>
        <w:tab/>
        <w:t xml:space="preserve">Action 10: Co-design and build a PUV case-worker workforce across crisis and specialist DFSV services, with cultural appropriateness built in.  ($4–6m / 2 yrs; scale on </w:t>
      </w:r>
      <w:proofErr w:type="spellStart"/>
      <w:r>
        <w:t>evalu</w:t>
      </w:r>
      <w:proofErr w:type="spellEnd"/>
    </w:p>
    <w:p w14:paraId="23E103E8" w14:textId="73870755" w:rsidR="00BC058B" w:rsidRPr="00BC058B" w:rsidRDefault="00BC058B" w:rsidP="00BC058B">
      <w:pPr>
        <w:rPr>
          <w:b/>
          <w:bCs/>
        </w:rPr>
      </w:pPr>
      <w:r w:rsidRPr="00BC058B">
        <w:rPr>
          <w:b/>
          <w:bCs/>
        </w:rPr>
        <w:t>Feedback for Priority Area 5: System Integration and Workforce</w:t>
      </w:r>
    </w:p>
    <w:p w14:paraId="4766F5C4" w14:textId="1E314323" w:rsidR="00BC058B" w:rsidRDefault="00BC058B" w:rsidP="00BC058B">
      <w:r>
        <w:t xml:space="preserve">These answers must be read in conjunction with the attached submission and PUV Roundtable Responses attached. </w:t>
      </w:r>
    </w:p>
    <w:p w14:paraId="1E9D869F" w14:textId="62E967E9" w:rsidR="00BC058B" w:rsidRDefault="00BC058B" w:rsidP="00BC058B">
      <w:r>
        <w:t xml:space="preserve">Coordination fails when each service sees only one fragment of a pattern of perpetration or a single incident and the victim-survivor is left to carry the whole picture from service to service. The fix is to organise information around the person using violence, assemble the pattern from multiple sources, and resource the high-risk panels that already exist to act on it. </w:t>
      </w:r>
    </w:p>
    <w:p w14:paraId="1C4256E2" w14:textId="77777777" w:rsidR="00BC058B" w:rsidRDefault="00BC058B" w:rsidP="00BC058B">
      <w:r>
        <w:t xml:space="preserve">It is critically important that victim-survivors are not forced to be the person responsible for systems accountability. They mut be provided safe tools to collect and build evidence of their experiences that demonstrates the perpetrator’s patterns of behaviour, and that they are in control of choosing and sharing information without having to repeatedly tell their whole history in detail to every services (which is both an administrative and psychological burden that creates barriers to seeking help). </w:t>
      </w:r>
    </w:p>
    <w:p w14:paraId="3A211BAD" w14:textId="2F443973" w:rsidR="00BC058B" w:rsidRDefault="00BC058B" w:rsidP="00BC058B">
      <w:r>
        <w:t>Actions the Government can do in the next five years to improve collaboration, coordination and information sharing across services, systems and programs:</w:t>
      </w:r>
    </w:p>
    <w:p w14:paraId="232F98D6" w14:textId="77777777" w:rsidR="00BC058B" w:rsidRDefault="00BC058B" w:rsidP="00BC058B">
      <w:r>
        <w:lastRenderedPageBreak/>
        <w:t>–</w:t>
      </w:r>
      <w:r>
        <w:tab/>
        <w:t>Action 3: legislate national cross-sector information sharing organised around the person using violence.</w:t>
      </w:r>
    </w:p>
    <w:p w14:paraId="74070D2D" w14:textId="77777777" w:rsidR="00BC058B" w:rsidRDefault="00BC058B" w:rsidP="00BC058B">
      <w:r>
        <w:t>–</w:t>
      </w:r>
      <w:r>
        <w:tab/>
        <w:t xml:space="preserve">Action 4: roll out victim-survivor-led data capture that lets survivors share once (see </w:t>
      </w:r>
      <w:proofErr w:type="spellStart"/>
      <w:r>
        <w:t>STARvibe</w:t>
      </w:r>
      <w:proofErr w:type="spellEnd"/>
      <w:r>
        <w:t xml:space="preserve"> Technology), rather than retell to every service.</w:t>
      </w:r>
    </w:p>
    <w:p w14:paraId="4D916378" w14:textId="77777777" w:rsidR="00BC058B" w:rsidRDefault="00BC058B" w:rsidP="00BC058B">
      <w:r>
        <w:t>–</w:t>
      </w:r>
      <w:r>
        <w:tab/>
        <w:t>Action 8: dedicated PUV case managers within high-risk panels (RAMP and equivalents) to coordinate the response to the perpetrator.</w:t>
      </w:r>
    </w:p>
    <w:p w14:paraId="5DA1D0A1" w14:textId="77777777" w:rsidR="00BC058B" w:rsidRDefault="00BC058B" w:rsidP="00BC058B">
      <w:r>
        <w:t>–</w:t>
      </w:r>
      <w:r>
        <w:tab/>
        <w:t>Action 12: pattern-based capability so services are reading the same signals.</w:t>
      </w:r>
    </w:p>
    <w:p w14:paraId="23CD88C1" w14:textId="77777777" w:rsidR="00BC058B" w:rsidRDefault="00BC058B" w:rsidP="00BC058B">
      <w:r>
        <w:t>What workforce capabilities, supports, or conditions are most needed to strengthen prevention, early intervention, response and recovery?</w:t>
      </w:r>
    </w:p>
    <w:p w14:paraId="1F042CE8" w14:textId="77777777" w:rsidR="00BC058B" w:rsidRDefault="00BC058B" w:rsidP="00BC058B">
      <w:r>
        <w:t xml:space="preserve">The system needs a standing workforce whose job is to keep the person using violence in view, the capability to identify and read patterns rather than </w:t>
      </w:r>
      <w:proofErr w:type="gramStart"/>
      <w:r>
        <w:t>incidents, and</w:t>
      </w:r>
      <w:proofErr w:type="gramEnd"/>
      <w:r>
        <w:t xml:space="preserve"> lived-experience expertise workforce that is properly paid, valued, and supported (this is also important for individuals’ recovery and healing).</w:t>
      </w:r>
    </w:p>
    <w:p w14:paraId="4B3BFAFB" w14:textId="675CC884" w:rsidR="00BC058B" w:rsidRDefault="00BC058B" w:rsidP="00BC058B">
      <w:r>
        <w:t>Actions the Government can do in the next five years to support workforce capabilities, supports, or conditions are most needed to strengthen prevention, early intervention, response and recovery:</w:t>
      </w:r>
    </w:p>
    <w:p w14:paraId="57185E9A" w14:textId="77777777" w:rsidR="00BC058B" w:rsidRDefault="00BC058B" w:rsidP="00BC058B">
      <w:r>
        <w:t>–</w:t>
      </w:r>
      <w:r>
        <w:tab/>
        <w:t>Action 10: a co-designed PUV case-worker workforce across crisis and specialist DFSV services.</w:t>
      </w:r>
    </w:p>
    <w:p w14:paraId="5CF2179B" w14:textId="77777777" w:rsidR="00BC058B" w:rsidRDefault="00BC058B" w:rsidP="00BC058B">
      <w:r>
        <w:t>–</w:t>
      </w:r>
      <w:r>
        <w:tab/>
        <w:t>Action 11: MBCP capacity scaled to demand, with partner and family safety contact and risk monitoring funded as core.</w:t>
      </w:r>
    </w:p>
    <w:p w14:paraId="4E807118" w14:textId="77777777" w:rsidR="00BC058B" w:rsidRDefault="00BC058B" w:rsidP="00BC058B">
      <w:r>
        <w:t>–</w:t>
      </w:r>
      <w:r>
        <w:tab/>
        <w:t>Action 12: pattern-based coercive-control capability across the whole funded workforce.</w:t>
      </w:r>
    </w:p>
    <w:p w14:paraId="61A07D8D" w14:textId="77777777" w:rsidR="00BC058B" w:rsidRDefault="00BC058B" w:rsidP="00BC058B">
      <w:r>
        <w:t>–</w:t>
      </w:r>
      <w:r>
        <w:tab/>
        <w:t>Action 21: lived-experience remuneration and trauma-informed support funded as core workforce conditions.</w:t>
      </w:r>
    </w:p>
    <w:p w14:paraId="6B86A25B" w14:textId="7B4F64CC" w:rsidR="00BC058B" w:rsidRPr="00BC058B" w:rsidRDefault="00BC058B" w:rsidP="00BC058B">
      <w:pPr>
        <w:rPr>
          <w:b/>
          <w:bCs/>
        </w:rPr>
      </w:pPr>
      <w:r w:rsidRPr="00BC058B">
        <w:rPr>
          <w:b/>
          <w:bCs/>
        </w:rPr>
        <w:t>Are there any other actions you think should be a priority to stop family, domestic and sexual violence?</w:t>
      </w:r>
    </w:p>
    <w:p w14:paraId="293BA0DE" w14:textId="64FD7BE3" w:rsidR="00BC058B" w:rsidRDefault="00BC058B" w:rsidP="00BC058B">
      <w:r>
        <w:t>Two further actions make the whole envelope measurable against outcomes:</w:t>
      </w:r>
    </w:p>
    <w:p w14:paraId="6F973C9D" w14:textId="77777777" w:rsidR="00BC058B" w:rsidRDefault="00BC058B" w:rsidP="00BC058B">
      <w:r>
        <w:t>–</w:t>
      </w:r>
      <w:r>
        <w:tab/>
        <w:t>Action 22: Adopt publicly reported national targets against the use of violence (the 2018 A Man's Problem measures): a 25% reduction in men's use of violence, a 50% rebalance of investment toward perpetration-focused prevention and intervention, and 80% accountability-focused public discourse.  (negligible)</w:t>
      </w:r>
    </w:p>
    <w:p w14:paraId="63DB7A4E" w14:textId="68198ED3" w:rsidR="00BC058B" w:rsidRPr="00BC058B" w:rsidRDefault="00BC058B" w:rsidP="00BC058B">
      <w:r>
        <w:t>–</w:t>
      </w:r>
      <w:r>
        <w:tab/>
        <w:t>Action 23: Report the crisis-versus-perpetration investment split annually through the DFSV Commission's National Funding Mapping Framework.  (&lt;$0.5m / yr)</w:t>
      </w:r>
    </w:p>
    <w:sectPr w:rsidR="00BC058B" w:rsidRPr="00BC05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58B"/>
    <w:rsid w:val="00022A23"/>
    <w:rsid w:val="0023679E"/>
    <w:rsid w:val="00BC058B"/>
    <w:rsid w:val="00D807DD"/>
    <w:rsid w:val="00E1572A"/>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9D3DF"/>
  <w15:chartTrackingRefBased/>
  <w15:docId w15:val="{AD2EEAA0-33C4-4B58-8956-F9363DB5D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05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05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05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05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05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05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05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05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05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5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05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05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05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05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05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05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05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058B"/>
    <w:rPr>
      <w:rFonts w:eastAsiaTheme="majorEastAsia" w:cstheme="majorBidi"/>
      <w:color w:val="272727" w:themeColor="text1" w:themeTint="D8"/>
    </w:rPr>
  </w:style>
  <w:style w:type="paragraph" w:styleId="Title">
    <w:name w:val="Title"/>
    <w:basedOn w:val="Normal"/>
    <w:next w:val="Normal"/>
    <w:link w:val="TitleChar"/>
    <w:uiPriority w:val="10"/>
    <w:qFormat/>
    <w:rsid w:val="00BC05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05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05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05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058B"/>
    <w:pPr>
      <w:spacing w:before="160"/>
      <w:jc w:val="center"/>
    </w:pPr>
    <w:rPr>
      <w:i/>
      <w:iCs/>
      <w:color w:val="404040" w:themeColor="text1" w:themeTint="BF"/>
    </w:rPr>
  </w:style>
  <w:style w:type="character" w:customStyle="1" w:styleId="QuoteChar">
    <w:name w:val="Quote Char"/>
    <w:basedOn w:val="DefaultParagraphFont"/>
    <w:link w:val="Quote"/>
    <w:uiPriority w:val="29"/>
    <w:rsid w:val="00BC058B"/>
    <w:rPr>
      <w:i/>
      <w:iCs/>
      <w:color w:val="404040" w:themeColor="text1" w:themeTint="BF"/>
    </w:rPr>
  </w:style>
  <w:style w:type="paragraph" w:styleId="ListParagraph">
    <w:name w:val="List Paragraph"/>
    <w:basedOn w:val="Normal"/>
    <w:uiPriority w:val="34"/>
    <w:qFormat/>
    <w:rsid w:val="00BC058B"/>
    <w:pPr>
      <w:ind w:left="720"/>
      <w:contextualSpacing/>
    </w:pPr>
  </w:style>
  <w:style w:type="character" w:styleId="IntenseEmphasis">
    <w:name w:val="Intense Emphasis"/>
    <w:basedOn w:val="DefaultParagraphFont"/>
    <w:uiPriority w:val="21"/>
    <w:qFormat/>
    <w:rsid w:val="00BC058B"/>
    <w:rPr>
      <w:i/>
      <w:iCs/>
      <w:color w:val="0F4761" w:themeColor="accent1" w:themeShade="BF"/>
    </w:rPr>
  </w:style>
  <w:style w:type="paragraph" w:styleId="IntenseQuote">
    <w:name w:val="Intense Quote"/>
    <w:basedOn w:val="Normal"/>
    <w:next w:val="Normal"/>
    <w:link w:val="IntenseQuoteChar"/>
    <w:uiPriority w:val="30"/>
    <w:qFormat/>
    <w:rsid w:val="00BC05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058B"/>
    <w:rPr>
      <w:i/>
      <w:iCs/>
      <w:color w:val="0F4761" w:themeColor="accent1" w:themeShade="BF"/>
    </w:rPr>
  </w:style>
  <w:style w:type="character" w:styleId="IntenseReference">
    <w:name w:val="Intense Reference"/>
    <w:basedOn w:val="DefaultParagraphFont"/>
    <w:uiPriority w:val="32"/>
    <w:qFormat/>
    <w:rsid w:val="00BC058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FF76846-59AF-4DEE-AE54-7BDFC932D90B}"/>
</file>

<file path=customXml/itemProps2.xml><?xml version="1.0" encoding="utf-8"?>
<ds:datastoreItem xmlns:ds="http://schemas.openxmlformats.org/officeDocument/2006/customXml" ds:itemID="{4608502C-F07C-422E-A2A4-AEA76ED06201}"/>
</file>

<file path=customXml/itemProps3.xml><?xml version="1.0" encoding="utf-8"?>
<ds:datastoreItem xmlns:ds="http://schemas.openxmlformats.org/officeDocument/2006/customXml" ds:itemID="{BC9FC15E-1565-431B-8C14-2F45ECD83D5E}"/>
</file>

<file path=docProps/app.xml><?xml version="1.0" encoding="utf-8"?>
<Properties xmlns="http://schemas.openxmlformats.org/officeDocument/2006/extended-properties" xmlns:vt="http://schemas.openxmlformats.org/officeDocument/2006/docPropsVTypes">
  <Template>Normal.dotm</Template>
  <TotalTime>3</TotalTime>
  <Pages>10</Pages>
  <Words>3557</Words>
  <Characters>20278</Characters>
  <Application>Microsoft Office Word</Application>
  <DocSecurity>0</DocSecurity>
  <Lines>168</Lines>
  <Paragraphs>47</Paragraphs>
  <ScaleCrop>false</ScaleCrop>
  <Company/>
  <LinksUpToDate>false</LinksUpToDate>
  <CharactersWithSpaces>23788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2026-09-04T06:27:00Z</dcterms:created>
  <dcterms:modified xsi:type="dcterms:W3CDTF">2026-09-04T06:30:00Z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