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567ED" w14:textId="539AF188" w:rsidR="0023679E" w:rsidRDefault="00B234DD">
      <w:pPr>
        <w:rPr>
          <w:b/>
          <w:bCs/>
        </w:rPr>
      </w:pPr>
      <w:r w:rsidRPr="00B234DD">
        <w:rPr>
          <w:b/>
          <w:bCs/>
        </w:rPr>
        <w:t>Aequitas Nexus</w:t>
      </w:r>
    </w:p>
    <w:p w14:paraId="400E2190" w14:textId="2542CFA9" w:rsidR="00B234DD" w:rsidRDefault="00B234DD">
      <w:pPr>
        <w:rPr>
          <w:b/>
          <w:bCs/>
        </w:rPr>
      </w:pPr>
      <w:r w:rsidRPr="00B234DD">
        <w:rPr>
          <w:b/>
          <w:bCs/>
        </w:rPr>
        <w:t>Feedback for Priority Area 1: Victim-survivors</w:t>
      </w:r>
    </w:p>
    <w:p w14:paraId="19122628" w14:textId="40925F0B" w:rsidR="00B234DD" w:rsidRDefault="00B234DD" w:rsidP="00B234DD">
      <w:r>
        <w:t>The most significant opportunity for improving outcomes lies in creating genuinely integrated responses centred on the needs of victim-survivors rather than organisational boundaries.</w:t>
      </w:r>
    </w:p>
    <w:p w14:paraId="283B0B43" w14:textId="4A550F46" w:rsidR="00B234DD" w:rsidRDefault="00B234DD" w:rsidP="00B234DD">
      <w:r>
        <w:t>People experiencing violence often navigate multiple systems simultaneously. Every additional referral, assessment or transfer between agencies creates opportunities for information to be lost, trauma to be compounded and trust to diminish.</w:t>
      </w:r>
    </w:p>
    <w:p w14:paraId="357BA9A6" w14:textId="3C37C7F2" w:rsidR="00B234DD" w:rsidRDefault="00B234DD" w:rsidP="00B234DD">
      <w:r>
        <w:t>Future investment should therefore prioritise:</w:t>
      </w:r>
    </w:p>
    <w:p w14:paraId="642820F1" w14:textId="77777777" w:rsidR="00B234DD" w:rsidRDefault="00B234DD" w:rsidP="00B234DD">
      <w:r>
        <w:t>- integrated case coordination;</w:t>
      </w:r>
    </w:p>
    <w:p w14:paraId="72849D02" w14:textId="77777777" w:rsidR="00B234DD" w:rsidRDefault="00B234DD" w:rsidP="00B234DD">
      <w:r>
        <w:t>- shared governance across agencies;</w:t>
      </w:r>
    </w:p>
    <w:p w14:paraId="64883F4C" w14:textId="77777777" w:rsidR="00B234DD" w:rsidRDefault="00B234DD" w:rsidP="00B234DD">
      <w:r>
        <w:t>- common information standards;</w:t>
      </w:r>
    </w:p>
    <w:p w14:paraId="59F14443" w14:textId="77777777" w:rsidR="00B234DD" w:rsidRDefault="00B234DD" w:rsidP="00B234DD">
      <w:r>
        <w:t>- outcome-focused commissioning; and</w:t>
      </w:r>
    </w:p>
    <w:p w14:paraId="5562A5E7" w14:textId="0F2556A5" w:rsidR="00B234DD" w:rsidRDefault="00B234DD" w:rsidP="00B234DD">
      <w:r>
        <w:t>- seamless referral pathways.</w:t>
      </w:r>
    </w:p>
    <w:p w14:paraId="027033F8" w14:textId="2679C006" w:rsidR="00B234DD" w:rsidRDefault="00B234DD" w:rsidP="00B234DD">
      <w:r>
        <w:t>Trust is central to early help-seeking.</w:t>
      </w:r>
    </w:p>
    <w:p w14:paraId="2F3A6D4F" w14:textId="27C875FB" w:rsidR="00B234DD" w:rsidRDefault="00B234DD" w:rsidP="00B234DD">
      <w:r>
        <w:t>People are more likely to engage with services when they believe disclosures will lead to meaningful action, decisions are transparent, and systems work collaboratively. Conversely, fragmented experiences frequently discourage further engagement.</w:t>
      </w:r>
    </w:p>
    <w:p w14:paraId="27F3C069" w14:textId="5062E2D1" w:rsidR="00B234DD" w:rsidRDefault="00B234DD" w:rsidP="00B234DD">
      <w:r>
        <w:t>Technology-facilitated abuse requires ongoing attention. However, emerging technologies also provide opportunities to improve support through better evidence management, coordinated information sharing, practitioner decision support and earlier identification of risk patterns.</w:t>
      </w:r>
    </w:p>
    <w:p w14:paraId="42032231" w14:textId="7CA45473" w:rsidR="00B234DD" w:rsidRDefault="00B234DD" w:rsidP="00B234DD">
      <w:r>
        <w:t>Technology should strengthen accountability while preserving professional judgement.</w:t>
      </w:r>
    </w:p>
    <w:p w14:paraId="08C85588" w14:textId="77777777" w:rsidR="00B234DD" w:rsidRDefault="00B234DD" w:rsidP="00B234DD">
      <w:r>
        <w:t>For Aboriginal and Torres Strait Islander communities and other diverse populations, locally designed and culturally safe responses remain essential. National consistency should establish minimum standards for accountability while enabling communities to determine how those standards are achieved locally.</w:t>
      </w:r>
    </w:p>
    <w:p w14:paraId="13BE4D3A" w14:textId="754E4CD5" w:rsidR="00B234DD" w:rsidRPr="00B234DD" w:rsidRDefault="00B234DD" w:rsidP="00B234DD">
      <w:pPr>
        <w:rPr>
          <w:b/>
          <w:bCs/>
        </w:rPr>
      </w:pPr>
      <w:r w:rsidRPr="00B234DD">
        <w:rPr>
          <w:b/>
          <w:bCs/>
        </w:rPr>
        <w:t>Feedback for Priority Area 2: Prevention and early intervention</w:t>
      </w:r>
    </w:p>
    <w:p w14:paraId="70824494" w14:textId="57E680B0" w:rsidR="00B234DD" w:rsidRDefault="00B234DD" w:rsidP="00B234DD">
      <w:r>
        <w:t>Violence prevention should increasingly be understood as both a social and institutional responsibility.</w:t>
      </w:r>
    </w:p>
    <w:p w14:paraId="508DDBF9" w14:textId="77777777" w:rsidR="00B234DD" w:rsidRDefault="00B234DD" w:rsidP="00B234DD">
      <w:r>
        <w:t>Changing attitudes remains essential, but prevention also depends upon creating systems capable of recognising emerging risks before harm escalates.</w:t>
      </w:r>
    </w:p>
    <w:p w14:paraId="0751BF44" w14:textId="40E3BCC6" w:rsidR="00B234DD" w:rsidRDefault="00B234DD" w:rsidP="00B234DD">
      <w:r>
        <w:lastRenderedPageBreak/>
        <w:t>Universal services—including schools, primary healthcare, workplaces, sporting organisations and community groups—often observe early indicators well before specialist services become involved.</w:t>
      </w:r>
    </w:p>
    <w:p w14:paraId="74710A3B" w14:textId="7BCDD3CA" w:rsidR="00B234DD" w:rsidRDefault="00B234DD" w:rsidP="00B234DD">
      <w:r>
        <w:t>Governments should strengthen prevention through:</w:t>
      </w:r>
    </w:p>
    <w:p w14:paraId="2FA2706C" w14:textId="77777777" w:rsidR="00B234DD" w:rsidRDefault="00B234DD" w:rsidP="00B234DD">
      <w:r>
        <w:t>- community-based commissioning;</w:t>
      </w:r>
    </w:p>
    <w:p w14:paraId="05BFA3CC" w14:textId="77777777" w:rsidR="00B234DD" w:rsidRDefault="00B234DD" w:rsidP="00B234DD">
      <w:r>
        <w:t>- earlier multidisciplinary collaboration;</w:t>
      </w:r>
    </w:p>
    <w:p w14:paraId="23FB844E" w14:textId="77777777" w:rsidR="00B234DD" w:rsidRDefault="00B234DD" w:rsidP="00B234DD">
      <w:r>
        <w:t>- shared risk identification;</w:t>
      </w:r>
    </w:p>
    <w:p w14:paraId="030F6AD9" w14:textId="77777777" w:rsidR="00B234DD" w:rsidRDefault="00B234DD" w:rsidP="00B234DD">
      <w:r>
        <w:t>- local prevention partnerships; and</w:t>
      </w:r>
    </w:p>
    <w:p w14:paraId="0EC21F6C" w14:textId="2242E0C0" w:rsidR="00B234DD" w:rsidRDefault="00B234DD" w:rsidP="00B234DD">
      <w:r>
        <w:t>- continuous evaluation.</w:t>
      </w:r>
    </w:p>
    <w:p w14:paraId="45379E0B" w14:textId="7AB4DCAB" w:rsidR="00B234DD" w:rsidRDefault="00B234DD" w:rsidP="00B234DD">
      <w:r>
        <w:t>Emerging technologies should support prevention by identifying population-level trends, evaluating interventions and informing policy decisions while maintaining appropriate safeguards for privacy, transparency and human oversight.</w:t>
      </w:r>
    </w:p>
    <w:p w14:paraId="281BAD66" w14:textId="77777777" w:rsidR="00B234DD" w:rsidRDefault="00B234DD" w:rsidP="00B234DD">
      <w:r>
        <w:t>Success should increasingly be measured through improved community trust, earlier engagement and sustained reductions in violence rather than solely through program activity.</w:t>
      </w:r>
    </w:p>
    <w:p w14:paraId="1D9FF7A1" w14:textId="113322E1" w:rsidR="00B234DD" w:rsidRPr="00B234DD" w:rsidRDefault="00B234DD" w:rsidP="00B234DD">
      <w:pPr>
        <w:rPr>
          <w:b/>
          <w:bCs/>
        </w:rPr>
      </w:pPr>
      <w:r w:rsidRPr="00B234DD">
        <w:rPr>
          <w:b/>
          <w:bCs/>
        </w:rPr>
        <w:t>Feedback for Priority Area 3: Children and young people in their own right</w:t>
      </w:r>
    </w:p>
    <w:p w14:paraId="614E4C65" w14:textId="71CDCCEE" w:rsidR="00B234DD" w:rsidRDefault="00B234DD" w:rsidP="00B234DD">
      <w:r>
        <w:t xml:space="preserve">Children should be recognised as </w:t>
      </w:r>
      <w:proofErr w:type="gramStart"/>
      <w:r>
        <w:t>rights holders in their own right</w:t>
      </w:r>
      <w:proofErr w:type="gramEnd"/>
      <w:r>
        <w:t>.</w:t>
      </w:r>
    </w:p>
    <w:p w14:paraId="062C6C5C" w14:textId="7F3BB354" w:rsidR="00B234DD" w:rsidRDefault="00B234DD" w:rsidP="00B234DD">
      <w:r>
        <w:t>Responses should be trauma-informed, developmentally appropriate and coordinated across education, health, child protection, justice and community services.</w:t>
      </w:r>
    </w:p>
    <w:p w14:paraId="192114C2" w14:textId="305B9ADF" w:rsidR="00B234DD" w:rsidRDefault="00B234DD" w:rsidP="00B234DD">
      <w:r>
        <w:t>Children frequently experience violence indirectly, directly or through ongoing exposure to unsafe environments. Recovery therefore depends upon coordinated support extending well beyond crisis intervention.</w:t>
      </w:r>
    </w:p>
    <w:p w14:paraId="408F1958" w14:textId="45513281" w:rsidR="00B234DD" w:rsidRDefault="00B234DD" w:rsidP="00B234DD">
      <w:r>
        <w:t>Young people should also be genuine partners in policy development. Their lived understanding of digital environments, relationships and help-seeking behaviours provides valuable insight into emerging risks.</w:t>
      </w:r>
    </w:p>
    <w:p w14:paraId="4FFFE344" w14:textId="570B625E" w:rsidR="00B234DD" w:rsidRDefault="00B234DD" w:rsidP="00B234DD">
      <w:r>
        <w:t>Technology-facilitated abuse presents increasing challenges, requiring education systems to strengthen respectful relationships education, digital citizenship and critical thinking alongside online safety initiatives.</w:t>
      </w:r>
    </w:p>
    <w:p w14:paraId="1E6DCE5C" w14:textId="77777777" w:rsidR="00B234DD" w:rsidRDefault="00B234DD" w:rsidP="00B234DD">
      <w:r>
        <w:t>Where children and young people display harmful behaviours, interventions should emphasise accountability, behavioural change and therapeutic support while maintaining victim safety as the overriding priority.</w:t>
      </w:r>
    </w:p>
    <w:p w14:paraId="0C65D1FE" w14:textId="013034BF" w:rsidR="00B234DD" w:rsidRPr="00B234DD" w:rsidRDefault="00B234DD" w:rsidP="00B234DD">
      <w:pPr>
        <w:rPr>
          <w:b/>
          <w:bCs/>
        </w:rPr>
      </w:pPr>
      <w:r w:rsidRPr="00B234DD">
        <w:rPr>
          <w:b/>
          <w:bCs/>
        </w:rPr>
        <w:t>Feedback for Priority Area 4: People who use violence</w:t>
      </w:r>
    </w:p>
    <w:p w14:paraId="73DE95CA" w14:textId="31643837" w:rsidR="00B234DD" w:rsidRDefault="00B234DD" w:rsidP="00B234DD">
      <w:r>
        <w:lastRenderedPageBreak/>
        <w:t>Reducing violence requires earlier intervention with individuals displaying concerning behaviours before patterns become entrenched.</w:t>
      </w:r>
    </w:p>
    <w:p w14:paraId="5BBE3E31" w14:textId="6CCD5720" w:rsidR="00B234DD" w:rsidRDefault="00B234DD" w:rsidP="00B234DD">
      <w:r>
        <w:t>Effective responses combine:</w:t>
      </w:r>
    </w:p>
    <w:p w14:paraId="2C64B8EA" w14:textId="77777777" w:rsidR="00B234DD" w:rsidRDefault="00B234DD" w:rsidP="00B234DD">
      <w:r>
        <w:t>- accountability;</w:t>
      </w:r>
    </w:p>
    <w:p w14:paraId="2F16BE0E" w14:textId="77777777" w:rsidR="00B234DD" w:rsidRDefault="00B234DD" w:rsidP="00B234DD">
      <w:r>
        <w:t>- evidence-based behavioural interventions;</w:t>
      </w:r>
    </w:p>
    <w:p w14:paraId="1685D8C9" w14:textId="77777777" w:rsidR="00B234DD" w:rsidRDefault="00B234DD" w:rsidP="00B234DD">
      <w:r>
        <w:t>- ongoing evaluation; and</w:t>
      </w:r>
    </w:p>
    <w:p w14:paraId="7B9F84DC" w14:textId="1C946093" w:rsidR="00B234DD" w:rsidRDefault="00B234DD" w:rsidP="00B234DD">
      <w:r>
        <w:t>- coordinated case management.</w:t>
      </w:r>
    </w:p>
    <w:p w14:paraId="1B72F9F7" w14:textId="03499F87" w:rsidR="00B234DD" w:rsidRDefault="00B234DD" w:rsidP="00B234DD">
      <w:r>
        <w:t>Governments should continue strengthening perpetrator intervention programs while ensuring rigorous evaluation of long-term behavioural outcomes rather than short-term program participation.</w:t>
      </w:r>
    </w:p>
    <w:p w14:paraId="14CA4F06" w14:textId="3A79B365" w:rsidR="00B234DD" w:rsidRDefault="00B234DD" w:rsidP="00B234DD">
      <w:r>
        <w:t>Universal services—including workplaces, schools, primary healthcare and community organisations—have important roles in recognising escalating risks and facilitating earlier support.</w:t>
      </w:r>
    </w:p>
    <w:p w14:paraId="5249B01E" w14:textId="77777777" w:rsidR="00B234DD" w:rsidRDefault="00B234DD" w:rsidP="00B234DD">
      <w:r>
        <w:t>Technology should assist practitioners through improved information management and evidence-informed risk assessment while avoiding automated decision-making in matters requiring complex human judgement.</w:t>
      </w:r>
    </w:p>
    <w:p w14:paraId="58A4518F" w14:textId="30CE2F31" w:rsidR="00B234DD" w:rsidRPr="00B234DD" w:rsidRDefault="00B234DD" w:rsidP="00B234DD">
      <w:pPr>
        <w:rPr>
          <w:b/>
          <w:bCs/>
        </w:rPr>
      </w:pPr>
      <w:r w:rsidRPr="00B234DD">
        <w:rPr>
          <w:b/>
          <w:bCs/>
        </w:rPr>
        <w:t>Feedback for Priority Area 5: System Integration and Workforce</w:t>
      </w:r>
    </w:p>
    <w:p w14:paraId="12AD0994" w14:textId="70F52DDC" w:rsidR="00B234DD" w:rsidRDefault="00B234DD" w:rsidP="00B234DD">
      <w:r>
        <w:t>System integration represents the greatest opportunity for transformational reform.</w:t>
      </w:r>
    </w:p>
    <w:p w14:paraId="469FF390" w14:textId="08ED4092" w:rsidR="00B234DD" w:rsidRDefault="00B234DD" w:rsidP="00B234DD">
      <w:r>
        <w:t>Violence crosses institutional boundaries; however, funding, governance and accountability remain largely organised within agency boundaries.</w:t>
      </w:r>
    </w:p>
    <w:p w14:paraId="6AFC3E4B" w14:textId="10D2C708" w:rsidR="00B234DD" w:rsidRDefault="00B234DD" w:rsidP="00B234DD">
      <w:r>
        <w:t>Future commissioning should increasingly reward collaboration rather than isolated organisational outputs.</w:t>
      </w:r>
    </w:p>
    <w:p w14:paraId="0551AC93" w14:textId="012A34E8" w:rsidR="00B234DD" w:rsidRDefault="00B234DD" w:rsidP="00B234DD">
      <w:r>
        <w:t>Governments should establish nationally consistent principles supporting:</w:t>
      </w:r>
    </w:p>
    <w:p w14:paraId="29562B6A" w14:textId="77777777" w:rsidR="00B234DD" w:rsidRDefault="00B234DD" w:rsidP="00B234DD">
      <w:r>
        <w:t>- evidence integrity;</w:t>
      </w:r>
    </w:p>
    <w:p w14:paraId="69CC5B32" w14:textId="77777777" w:rsidR="00B234DD" w:rsidRDefault="00B234DD" w:rsidP="00B234DD">
      <w:r>
        <w:t>- transparent decision-making;</w:t>
      </w:r>
    </w:p>
    <w:p w14:paraId="5FD37743" w14:textId="77777777" w:rsidR="00B234DD" w:rsidRDefault="00B234DD" w:rsidP="00B234DD">
      <w:r>
        <w:t>- ethical AI governance;</w:t>
      </w:r>
    </w:p>
    <w:p w14:paraId="4E9326F9" w14:textId="77777777" w:rsidR="00B234DD" w:rsidRDefault="00B234DD" w:rsidP="00B234DD">
      <w:r>
        <w:t>- interoperable information systems;</w:t>
      </w:r>
    </w:p>
    <w:p w14:paraId="7E4AEBEE" w14:textId="77777777" w:rsidR="00B234DD" w:rsidRDefault="00B234DD" w:rsidP="00B234DD">
      <w:r>
        <w:t>- continuous improvement; and</w:t>
      </w:r>
    </w:p>
    <w:p w14:paraId="01535CAA" w14:textId="4B3C6832" w:rsidR="00B234DD" w:rsidRDefault="00B234DD" w:rsidP="00B234DD">
      <w:r>
        <w:t>- shared accountability.</w:t>
      </w:r>
    </w:p>
    <w:p w14:paraId="5D8B32C0" w14:textId="67761DAE" w:rsidR="00B234DD" w:rsidRDefault="00B234DD" w:rsidP="00B234DD">
      <w:r>
        <w:t>Workforce capability should extend beyond specialist expertise to include:</w:t>
      </w:r>
    </w:p>
    <w:p w14:paraId="4026DF9E" w14:textId="77777777" w:rsidR="00B234DD" w:rsidRDefault="00B234DD" w:rsidP="00B234DD">
      <w:r>
        <w:t>- systems thinking;</w:t>
      </w:r>
    </w:p>
    <w:p w14:paraId="2E5D9182" w14:textId="77777777" w:rsidR="00B234DD" w:rsidRDefault="00B234DD" w:rsidP="00B234DD">
      <w:r>
        <w:lastRenderedPageBreak/>
        <w:t>- collaborative practice;</w:t>
      </w:r>
    </w:p>
    <w:p w14:paraId="56A3EB49" w14:textId="77777777" w:rsidR="00B234DD" w:rsidRDefault="00B234DD" w:rsidP="00B234DD">
      <w:r>
        <w:t>- trauma-informed leadership;</w:t>
      </w:r>
    </w:p>
    <w:p w14:paraId="69863F29" w14:textId="77777777" w:rsidR="00B234DD" w:rsidRDefault="00B234DD" w:rsidP="00B234DD">
      <w:r>
        <w:t>- digital capability;</w:t>
      </w:r>
    </w:p>
    <w:p w14:paraId="5E31FA75" w14:textId="77777777" w:rsidR="00B234DD" w:rsidRDefault="00B234DD" w:rsidP="00B234DD">
      <w:r>
        <w:t>- ethical technology governance; and</w:t>
      </w:r>
    </w:p>
    <w:p w14:paraId="5CAF1567" w14:textId="395D8782" w:rsidR="00B234DD" w:rsidRDefault="00B234DD" w:rsidP="00B234DD">
      <w:r>
        <w:t>- adaptive commissioning.</w:t>
      </w:r>
    </w:p>
    <w:p w14:paraId="59B5DCF3" w14:textId="54246443" w:rsidR="00B234DD" w:rsidRDefault="00B234DD" w:rsidP="00B234DD">
      <w:r>
        <w:t>Building stronger institutional capability will improve prevention, response and recovery simultaneously.</w:t>
      </w:r>
    </w:p>
    <w:p w14:paraId="6C820380" w14:textId="77777777" w:rsidR="00B234DD" w:rsidRDefault="00B234DD" w:rsidP="00B234DD">
      <w:r>
        <w:t>Success should ultimately be measured through improvements in safety, trust, recovery, collaboration and community confidence.</w:t>
      </w:r>
    </w:p>
    <w:p w14:paraId="277F2192" w14:textId="0D669E03" w:rsidR="00B234DD" w:rsidRPr="00B234DD" w:rsidRDefault="00B234DD" w:rsidP="00B234DD">
      <w:pPr>
        <w:rPr>
          <w:b/>
          <w:bCs/>
        </w:rPr>
      </w:pPr>
      <w:r w:rsidRPr="00B234DD">
        <w:rPr>
          <w:b/>
          <w:bCs/>
        </w:rPr>
        <w:t>Are there any other actions you think should be a priority to stop family, domestic and sexual violence?</w:t>
      </w:r>
    </w:p>
    <w:p w14:paraId="25868694" w14:textId="34C89389" w:rsidR="00B234DD" w:rsidRDefault="00B234DD" w:rsidP="00B234DD">
      <w:r>
        <w:t>Establish a National System Integrity Framework for Human Services</w:t>
      </w:r>
    </w:p>
    <w:p w14:paraId="67FC94F1" w14:textId="0DD0BC53" w:rsidR="00B234DD" w:rsidRDefault="00B234DD" w:rsidP="00B234DD">
      <w:r>
        <w:t>Australia has developed sophisticated policy frameworks for violence prevention. The next stage should focus on strengthening the governance architecture supporting implementation.</w:t>
      </w:r>
    </w:p>
    <w:p w14:paraId="4C2F10F9" w14:textId="1BD56F8E" w:rsidR="00B234DD" w:rsidRDefault="00B234DD" w:rsidP="00B234DD">
      <w:r>
        <w:t>A National System Integrity Framework would establish common principles across participating agencies covering:</w:t>
      </w:r>
    </w:p>
    <w:p w14:paraId="44AAFA39" w14:textId="77777777" w:rsidR="00B234DD" w:rsidRDefault="00B234DD" w:rsidP="00B234DD">
      <w:r>
        <w:t>- transparent decision-making;</w:t>
      </w:r>
    </w:p>
    <w:p w14:paraId="6E4E2768" w14:textId="77777777" w:rsidR="00B234DD" w:rsidRDefault="00B234DD" w:rsidP="00B234DD">
      <w:r>
        <w:t>- evidence integrity;</w:t>
      </w:r>
    </w:p>
    <w:p w14:paraId="474AC4A8" w14:textId="77777777" w:rsidR="00B234DD" w:rsidRDefault="00B234DD" w:rsidP="00B234DD">
      <w:r>
        <w:t>- auditability;</w:t>
      </w:r>
    </w:p>
    <w:p w14:paraId="1A672EE2" w14:textId="77777777" w:rsidR="00B234DD" w:rsidRDefault="00B234DD" w:rsidP="00B234DD">
      <w:r>
        <w:t>- ethical use of artificial intelligence;</w:t>
      </w:r>
    </w:p>
    <w:p w14:paraId="037E6361" w14:textId="77777777" w:rsidR="00B234DD" w:rsidRDefault="00B234DD" w:rsidP="00B234DD">
      <w:r>
        <w:t>- secure information governance;</w:t>
      </w:r>
    </w:p>
    <w:p w14:paraId="22B73A76" w14:textId="77777777" w:rsidR="00B234DD" w:rsidRDefault="00B234DD" w:rsidP="00B234DD">
      <w:r>
        <w:t>- continuous organisational learning;</w:t>
      </w:r>
    </w:p>
    <w:p w14:paraId="6A4A7983" w14:textId="77777777" w:rsidR="00B234DD" w:rsidRDefault="00B234DD" w:rsidP="00B234DD">
      <w:r>
        <w:t>- community participation;</w:t>
      </w:r>
    </w:p>
    <w:p w14:paraId="46247CB8" w14:textId="77777777" w:rsidR="00B234DD" w:rsidRDefault="00B234DD" w:rsidP="00B234DD">
      <w:r>
        <w:t>- cross-sector accountability; and</w:t>
      </w:r>
    </w:p>
    <w:p w14:paraId="7C9FDF4E" w14:textId="6625654A" w:rsidR="00B234DD" w:rsidRDefault="00B234DD" w:rsidP="00B234DD">
      <w:r>
        <w:t>- outcome-focused commissioning.</w:t>
      </w:r>
    </w:p>
    <w:p w14:paraId="611A5E8E" w14:textId="43ABA565" w:rsidR="00B234DD" w:rsidRDefault="00B234DD" w:rsidP="00B234DD">
      <w:r>
        <w:t>Importantly, this proposal is not intended to create additional bureaucracy.</w:t>
      </w:r>
    </w:p>
    <w:p w14:paraId="6B018CFA" w14:textId="2AF4E18B" w:rsidR="00B234DD" w:rsidRPr="00B234DD" w:rsidRDefault="00B234DD" w:rsidP="00B234DD">
      <w:r>
        <w:t>Rather, it provides a shared governance framework supporting more consistent collaboration across jurisdictions and sectors while reducing fragmentation and improving public confidence.</w:t>
      </w:r>
    </w:p>
    <w:sectPr w:rsidR="00B234DD" w:rsidRPr="00B234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DD"/>
    <w:rsid w:val="00022A23"/>
    <w:rsid w:val="0023679E"/>
    <w:rsid w:val="00B234DD"/>
    <w:rsid w:val="00C71F24"/>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6C16A"/>
  <w15:chartTrackingRefBased/>
  <w15:docId w15:val="{B56A574B-5545-4EF3-A51C-D157211C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3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3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3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3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3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4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3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3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3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3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3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4DD"/>
    <w:rPr>
      <w:rFonts w:eastAsiaTheme="majorEastAsia" w:cstheme="majorBidi"/>
      <w:color w:val="272727" w:themeColor="text1" w:themeTint="D8"/>
    </w:rPr>
  </w:style>
  <w:style w:type="paragraph" w:styleId="Title">
    <w:name w:val="Title"/>
    <w:basedOn w:val="Normal"/>
    <w:next w:val="Normal"/>
    <w:link w:val="TitleChar"/>
    <w:uiPriority w:val="10"/>
    <w:qFormat/>
    <w:rsid w:val="00B23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4DD"/>
    <w:pPr>
      <w:spacing w:before="160"/>
      <w:jc w:val="center"/>
    </w:pPr>
    <w:rPr>
      <w:i/>
      <w:iCs/>
      <w:color w:val="404040" w:themeColor="text1" w:themeTint="BF"/>
    </w:rPr>
  </w:style>
  <w:style w:type="character" w:customStyle="1" w:styleId="QuoteChar">
    <w:name w:val="Quote Char"/>
    <w:basedOn w:val="DefaultParagraphFont"/>
    <w:link w:val="Quote"/>
    <w:uiPriority w:val="29"/>
    <w:rsid w:val="00B234DD"/>
    <w:rPr>
      <w:i/>
      <w:iCs/>
      <w:color w:val="404040" w:themeColor="text1" w:themeTint="BF"/>
    </w:rPr>
  </w:style>
  <w:style w:type="paragraph" w:styleId="ListParagraph">
    <w:name w:val="List Paragraph"/>
    <w:basedOn w:val="Normal"/>
    <w:uiPriority w:val="34"/>
    <w:qFormat/>
    <w:rsid w:val="00B234DD"/>
    <w:pPr>
      <w:ind w:left="720"/>
      <w:contextualSpacing/>
    </w:pPr>
  </w:style>
  <w:style w:type="character" w:styleId="IntenseEmphasis">
    <w:name w:val="Intense Emphasis"/>
    <w:basedOn w:val="DefaultParagraphFont"/>
    <w:uiPriority w:val="21"/>
    <w:qFormat/>
    <w:rsid w:val="00B234DD"/>
    <w:rPr>
      <w:i/>
      <w:iCs/>
      <w:color w:val="0F4761" w:themeColor="accent1" w:themeShade="BF"/>
    </w:rPr>
  </w:style>
  <w:style w:type="paragraph" w:styleId="IntenseQuote">
    <w:name w:val="Intense Quote"/>
    <w:basedOn w:val="Normal"/>
    <w:next w:val="Normal"/>
    <w:link w:val="IntenseQuoteChar"/>
    <w:uiPriority w:val="30"/>
    <w:qFormat/>
    <w:rsid w:val="00B23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34DD"/>
    <w:rPr>
      <w:i/>
      <w:iCs/>
      <w:color w:val="0F4761" w:themeColor="accent1" w:themeShade="BF"/>
    </w:rPr>
  </w:style>
  <w:style w:type="character" w:styleId="IntenseReference">
    <w:name w:val="Intense Reference"/>
    <w:basedOn w:val="DefaultParagraphFont"/>
    <w:uiPriority w:val="32"/>
    <w:qFormat/>
    <w:rsid w:val="00B234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A943CA-7B11-4C7F-8DFC-A60D8FCB9E61}"/>
</file>

<file path=customXml/itemProps2.xml><?xml version="1.0" encoding="utf-8"?>
<ds:datastoreItem xmlns:ds="http://schemas.openxmlformats.org/officeDocument/2006/customXml" ds:itemID="{4BE3885E-F2CF-4F1C-8826-18A2E110F2A6}"/>
</file>

<file path=customXml/itemProps3.xml><?xml version="1.0" encoding="utf-8"?>
<ds:datastoreItem xmlns:ds="http://schemas.openxmlformats.org/officeDocument/2006/customXml" ds:itemID="{5BC2C30F-FFF2-4E47-9416-CD12BD05D5B6}"/>
</file>

<file path=docProps/app.xml><?xml version="1.0" encoding="utf-8"?>
<Properties xmlns="http://schemas.openxmlformats.org/officeDocument/2006/extended-properties" xmlns:vt="http://schemas.openxmlformats.org/officeDocument/2006/docPropsVTypes">
  <Template>Normal.dotm</Template>
  <TotalTime>2</TotalTime>
  <Pages>4</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2026-09-02T06:52:00Z</dcterms:created>
  <dcterms:modified xsi:type="dcterms:W3CDTF">2026-09-02T06:54:00Z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