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2E35F" w14:textId="61CEB0F0" w:rsidR="0023679E" w:rsidRDefault="00C11481">
      <w:pPr>
        <w:rPr>
          <w:b/>
          <w:bCs/>
        </w:rPr>
      </w:pPr>
      <w:proofErr w:type="spellStart"/>
      <w:r w:rsidRPr="00C11481">
        <w:rPr>
          <w:b/>
          <w:bCs/>
        </w:rPr>
        <w:t>AustralAsian</w:t>
      </w:r>
      <w:proofErr w:type="spellEnd"/>
      <w:r w:rsidRPr="00C11481">
        <w:rPr>
          <w:b/>
          <w:bCs/>
        </w:rPr>
        <w:t xml:space="preserve"> Centre for Human Rights and Health</w:t>
      </w:r>
    </w:p>
    <w:p w14:paraId="7118B7E8" w14:textId="763AAE34" w:rsidR="00C11481" w:rsidRDefault="00C11481">
      <w:pPr>
        <w:rPr>
          <w:b/>
          <w:bCs/>
        </w:rPr>
      </w:pPr>
      <w:r w:rsidRPr="00C11481">
        <w:rPr>
          <w:b/>
          <w:bCs/>
        </w:rPr>
        <w:t>Feedback for Priority Area 5: System Integration and Workforce</w:t>
      </w:r>
    </w:p>
    <w:p w14:paraId="7089609B" w14:textId="42F96D82" w:rsidR="00C11481" w:rsidRDefault="00C11481" w:rsidP="00C11481">
      <w:r>
        <w:t>Submission to the Consultation on the Second Action Plan</w:t>
      </w:r>
    </w:p>
    <w:p w14:paraId="614C0741" w14:textId="77777777" w:rsidR="00C11481" w:rsidRDefault="00C11481" w:rsidP="00C11481">
      <w:r>
        <w:t>National Plan to End Violence against Women and Children 2022–2032</w:t>
      </w:r>
    </w:p>
    <w:p w14:paraId="3CBF26A6" w14:textId="77777777" w:rsidR="00C11481" w:rsidRDefault="00C11481" w:rsidP="00C11481">
      <w:r>
        <w:t xml:space="preserve">Consultation </w:t>
      </w:r>
      <w:proofErr w:type="gramStart"/>
      <w:r>
        <w:t>focus</w:t>
      </w:r>
      <w:proofErr w:type="gramEnd"/>
      <w:r>
        <w:tab/>
      </w:r>
      <w:proofErr w:type="gramStart"/>
      <w:r>
        <w:t>Area  5</w:t>
      </w:r>
      <w:proofErr w:type="gramEnd"/>
      <w:r>
        <w:t xml:space="preserve"> — System integration and workforce</w:t>
      </w:r>
    </w:p>
    <w:p w14:paraId="0C3A8693" w14:textId="77777777" w:rsidR="00C11481" w:rsidRDefault="00C11481" w:rsidP="00C11481">
      <w:r>
        <w:t>Submission focus</w:t>
      </w:r>
      <w:r>
        <w:tab/>
        <w:t xml:space="preserve">                                                      Closing policing and justice gaps experienced by migrant and refugee women</w:t>
      </w:r>
    </w:p>
    <w:p w14:paraId="3C4967D4" w14:textId="77777777" w:rsidR="00C11481" w:rsidRDefault="00C11481" w:rsidP="00C11481">
      <w:r>
        <w:t>Submitted by Australasian Centre for Human Rights and Health (ACHRH)</w:t>
      </w:r>
    </w:p>
    <w:p w14:paraId="67211338" w14:textId="77777777" w:rsidR="00C11481" w:rsidRDefault="00C11481" w:rsidP="00C11481">
      <w:r>
        <w:t>Date</w:t>
      </w:r>
      <w:r>
        <w:tab/>
        <w:t>24 July 2026</w:t>
      </w:r>
    </w:p>
    <w:p w14:paraId="7AEB3810" w14:textId="77777777" w:rsidR="00C11481" w:rsidRDefault="00C11481" w:rsidP="00C11481"/>
    <w:p w14:paraId="2CD2AD28" w14:textId="77777777" w:rsidR="00C11481" w:rsidRDefault="00C11481" w:rsidP="00C11481">
      <w:r>
        <w:t>Central recommendation</w:t>
      </w:r>
    </w:p>
    <w:p w14:paraId="2949AE60" w14:textId="77777777" w:rsidR="00C11481" w:rsidRDefault="00C11481" w:rsidP="00C11481">
      <w:r>
        <w:t>The Second Action Plan should establish enforceable national minimum standards for policing, family-violence proceedings, family-law case management, legal assistance and expert evidence. These standards must recognise systems abuse as a continuation of coercive control and must be designed and measured through an intersectional, culturally safe and trauma- and violence-informed lens.</w:t>
      </w:r>
    </w:p>
    <w:p w14:paraId="0AB3605C" w14:textId="77777777" w:rsidR="00C11481" w:rsidRDefault="00C11481" w:rsidP="00C11481"/>
    <w:p w14:paraId="1E8467D7" w14:textId="77777777" w:rsidR="00C11481" w:rsidRDefault="00C11481" w:rsidP="00C11481"/>
    <w:p w14:paraId="58906258" w14:textId="77777777" w:rsidR="00C11481" w:rsidRDefault="00C11481" w:rsidP="00C11481">
      <w:r>
        <w:t>ACHRH consents to publication of this submission. The individual case materials informing its clinical observations are confidential and are not attached for publication.</w:t>
      </w:r>
    </w:p>
    <w:p w14:paraId="3619AF7F" w14:textId="77777777" w:rsidR="00C11481" w:rsidRDefault="00C11481" w:rsidP="00C11481">
      <w:r>
        <w:t xml:space="preserve"> Executive summary</w:t>
      </w:r>
    </w:p>
    <w:p w14:paraId="126E79B3" w14:textId="77777777" w:rsidR="00C11481" w:rsidRDefault="00C11481" w:rsidP="00C11481">
      <w:r>
        <w:t>Migrant and refugee women experiencing family violence often enter policing and justice systems with multiple, compounding disadvantages: limited English or unfamiliarity with legal processes; insecure visa status or threats about sponsorship; economic dependence and lower earnings; limited local family support; racism and cultural stereotyping; disability or trauma symptoms; and fear of community stigma. These are not peripheral “diversity” issues. They affect whether violence is recognised, whose account is believed, who is identified as the perpetrator, whether evidence is preserved, whether a woman can secure representation, and whether she can maintain safety and a relationship with her children.</w:t>
      </w:r>
    </w:p>
    <w:p w14:paraId="333F8459" w14:textId="77777777" w:rsidR="00C11481" w:rsidRDefault="00C11481" w:rsidP="00C11481">
      <w:r>
        <w:t xml:space="preserve">ACHRH’s clinical, community and advocacy experience indicates a recurring pathway of secondary harm. A victim-survivor may not have her police account fully or accurately recorded, may not receive a copy or reference number, and may be </w:t>
      </w:r>
      <w:r>
        <w:lastRenderedPageBreak/>
        <w:t>misidentified as the predominant aggressor when she is distressed or has used defensive or resistive force. A better-resourced perpetrator may then use intervention-order and family-law proceedings strategically, repeatedly contest expert reports, delay disclosure or property settlement, and exploit the gap between state family-violence systems and the federal family-law jurisdiction. Under sustained pressure, trauma reactions may be reframed as evidence of instability or a personality disorder, while the pattern of coercive control and systems abuse is discounted.</w:t>
      </w:r>
    </w:p>
    <w:p w14:paraId="26C50647" w14:textId="77777777" w:rsidR="00C11481" w:rsidRDefault="00C11481" w:rsidP="00C11481">
      <w:r>
        <w:t>These failures are mutually reinforcing. Poor police documentation weakens later court evidence. Weak legal representation leaves errors uncorrected. Delay intensifies financial dependence and mental distress. Separation from children may then be treated as evidence of dysregulation, rather than as a foreseeable consequence of coercive control and litigation. Item 5 of the consultation paper is the appropriate place for a coordinated national response because the problem is not confined to one profession or jurisdiction.</w:t>
      </w:r>
    </w:p>
    <w:p w14:paraId="6F8E9141" w14:textId="77777777" w:rsidR="00C11481" w:rsidRDefault="00C11481" w:rsidP="00C11481">
      <w:r>
        <w:t xml:space="preserve">Priority actions </w:t>
      </w:r>
      <w:proofErr w:type="gramStart"/>
      <w:r>
        <w:t>at a glance</w:t>
      </w:r>
      <w:proofErr w:type="gramEnd"/>
    </w:p>
    <w:p w14:paraId="4B67650C" w14:textId="77777777" w:rsidR="00C11481" w:rsidRDefault="00C11481" w:rsidP="00C11481">
      <w:r>
        <w:t>No.</w:t>
      </w:r>
      <w:r>
        <w:tab/>
        <w:t>National action</w:t>
      </w:r>
      <w:r>
        <w:tab/>
        <w:t>What it must deliver</w:t>
      </w:r>
    </w:p>
    <w:p w14:paraId="589C4FB4" w14:textId="77777777" w:rsidR="00C11481" w:rsidRDefault="00C11481" w:rsidP="00C11481">
      <w:r>
        <w:t>1</w:t>
      </w:r>
      <w:r>
        <w:tab/>
        <w:t>Police evidence standards: Record complete, interpreter-supported accounts and give victim-survivors a copy, receipt and correction pathway.</w:t>
      </w:r>
    </w:p>
    <w:p w14:paraId="7FAA9E21" w14:textId="77777777" w:rsidR="00C11481" w:rsidRDefault="00C11481" w:rsidP="00C11481">
      <w:r>
        <w:t>2</w:t>
      </w:r>
      <w:r>
        <w:tab/>
        <w:t>Predominant-aggressor safeguards: Mandate pattern-based assessment, specialist review and rapid correction of misidentification.</w:t>
      </w:r>
    </w:p>
    <w:p w14:paraId="4F814DDA" w14:textId="77777777" w:rsidR="00C11481" w:rsidRDefault="00C11481" w:rsidP="00C11481">
      <w:r>
        <w:t>3</w:t>
      </w:r>
      <w:r>
        <w:tab/>
        <w:t xml:space="preserve">Independent </w:t>
      </w:r>
      <w:proofErr w:type="gramStart"/>
      <w:r>
        <w:t>oversight</w:t>
      </w:r>
      <w:proofErr w:type="gramEnd"/>
      <w:r>
        <w:t>:</w:t>
      </w:r>
      <w:r>
        <w:tab/>
        <w:t>Publish police-performance data and establish independent, victim-centred complaints and audit mechanisms.</w:t>
      </w:r>
    </w:p>
    <w:p w14:paraId="2E947365" w14:textId="77777777" w:rsidR="00C11481" w:rsidRDefault="00C11481" w:rsidP="00C11481">
      <w:r>
        <w:t>4</w:t>
      </w:r>
      <w:r>
        <w:tab/>
        <w:t>Equal access to representation</w:t>
      </w:r>
      <w:r>
        <w:tab/>
        <w:t>Fund culturally safe legal assistance at a level that permits preparation and continuity, not only brief duty-lawyer contact.</w:t>
      </w:r>
    </w:p>
    <w:p w14:paraId="101BC34F" w14:textId="77777777" w:rsidR="00C11481" w:rsidRDefault="00C11481" w:rsidP="00C11481">
      <w:r>
        <w:t>5</w:t>
      </w:r>
      <w:r>
        <w:tab/>
        <w:t>Stop systems and litigation abuse:</w:t>
      </w:r>
      <w:r>
        <w:tab/>
        <w:t>Give courts explicit powers, screening tools and case-management duties to identify and restrain abusive proceedings.</w:t>
      </w:r>
    </w:p>
    <w:p w14:paraId="14206A78" w14:textId="77777777" w:rsidR="00C11481" w:rsidRDefault="00C11481" w:rsidP="00C11481">
      <w:r>
        <w:t>6</w:t>
      </w:r>
      <w:r>
        <w:tab/>
        <w:t xml:space="preserve">Prevent economic abuse through </w:t>
      </w:r>
      <w:proofErr w:type="spellStart"/>
      <w:proofErr w:type="gramStart"/>
      <w:r>
        <w:t>delay:Impose</w:t>
      </w:r>
      <w:proofErr w:type="spellEnd"/>
      <w:proofErr w:type="gramEnd"/>
      <w:r>
        <w:t xml:space="preserve"> early disclosure, interim-property and timetable safeguards where family violence or financial control is alleged.                                                                  Require courts to identify, disclose and trace gifts and property transferred in connection with a marriage, namely dowry intended for the wife</w:t>
      </w:r>
    </w:p>
    <w:p w14:paraId="3AA13CFC" w14:textId="77777777" w:rsidR="00C11481" w:rsidRDefault="00C11481" w:rsidP="00C11481">
      <w:r>
        <w:t>7</w:t>
      </w:r>
      <w:r>
        <w:tab/>
        <w:t>Protect children and maternal relationships:</w:t>
      </w:r>
      <w:r>
        <w:tab/>
        <w:t>Assess coercive control and child manipulation without relying on unvalidated labels or rewarding unilateral disruption of care.</w:t>
      </w:r>
    </w:p>
    <w:p w14:paraId="56AD5CA6" w14:textId="77777777" w:rsidR="00C11481" w:rsidRDefault="00C11481" w:rsidP="00C11481">
      <w:r>
        <w:t>8</w:t>
      </w:r>
      <w:r>
        <w:tab/>
        <w:t xml:space="preserve">Improve expert evidence: </w:t>
      </w:r>
      <w:r>
        <w:tab/>
        <w:t xml:space="preserve">Create accreditation, cultural-safety and trauma-informed standards for family report writers and mental health experts, labels of personality disorder be viewed cautiously in the context of trauma such as FV. </w:t>
      </w:r>
    </w:p>
    <w:p w14:paraId="53C8229F" w14:textId="77777777" w:rsidR="00C11481" w:rsidRDefault="00C11481" w:rsidP="00C11481">
      <w:r>
        <w:lastRenderedPageBreak/>
        <w:t>9</w:t>
      </w:r>
      <w:r>
        <w:tab/>
        <w:t>Integrate systems safely: Enable consent-based information sharing, warm referrals and continuity across police, courts, health and specialist services.</w:t>
      </w:r>
    </w:p>
    <w:p w14:paraId="3FE51131" w14:textId="77777777" w:rsidR="00C11481" w:rsidRDefault="00C11481" w:rsidP="00C11481">
      <w:r>
        <w:t>10</w:t>
      </w:r>
      <w:r>
        <w:tab/>
        <w:t xml:space="preserve">Measure equity and </w:t>
      </w:r>
      <w:proofErr w:type="spellStart"/>
      <w:proofErr w:type="gramStart"/>
      <w:r>
        <w:t>outcomes:Report</w:t>
      </w:r>
      <w:proofErr w:type="spellEnd"/>
      <w:proofErr w:type="gramEnd"/>
      <w:r>
        <w:t xml:space="preserve"> disaggregated outcomes, including misidentification, statement quality, legal representation, delay and child-contact disruption.</w:t>
      </w:r>
    </w:p>
    <w:p w14:paraId="51D16010" w14:textId="77777777" w:rsidR="00C11481" w:rsidRDefault="00C11481" w:rsidP="00C11481">
      <w:r>
        <w:t>1. Why intersectionality must shape Item 5</w:t>
      </w:r>
    </w:p>
    <w:p w14:paraId="685F28CA" w14:textId="77777777" w:rsidR="00C11481" w:rsidRDefault="00C11481" w:rsidP="00C11481">
      <w:r>
        <w:t>An intersectional approach examines how gender inequality combines with migration status, race, language, class, disability, age, religion and caregiving responsibility. It does not assume that all migrant women have the same experience. It asks how institutions distribute credibility, protection, time and resources—and how seemingly neutral rules can produce unequal outcomes.</w:t>
      </w:r>
    </w:p>
    <w:p w14:paraId="25ACCB90" w14:textId="77777777" w:rsidR="00C11481" w:rsidRDefault="00C11481" w:rsidP="00C11481">
      <w:r>
        <w:t>For example, a woman who communicates in a second language may appear hesitant or inconsistent during a crisis interview; a highly educated perpetrator may appear calm and credible; a woman without independent funds may attend court unrepresented; and trauma-related anger, panic or fragmented recall may be treated as unreliability. Visa threats, transnational financial arrangements, dowry-related abuse and pressure from extended family may be missed by systems designed around an incident-based, two-party model of violence.</w:t>
      </w:r>
    </w:p>
    <w:p w14:paraId="710A28A7" w14:textId="77777777" w:rsidR="00C11481" w:rsidRDefault="00C11481" w:rsidP="00C11481">
      <w:r>
        <w:t>The Second Action Plan should therefore treat cultural safety and intersectional competence as core justice capabilities, not optional awareness training. The test of Item 5 should be whether a victim-survivor receives an accurate, timely and coordinated response regardless of language, income, visa status or cultural background.</w:t>
      </w:r>
    </w:p>
    <w:p w14:paraId="2DC68A9A" w14:textId="77777777" w:rsidR="00C11481" w:rsidRDefault="00C11481" w:rsidP="00C11481">
      <w:r>
        <w:t>2. Gaps in policing and intervention-order responses</w:t>
      </w:r>
    </w:p>
    <w:p w14:paraId="34BFFA35" w14:textId="77777777" w:rsidR="00C11481" w:rsidRDefault="00C11481" w:rsidP="00C11481">
      <w:r>
        <w:t>Incomplete statements and loss of evidence</w:t>
      </w:r>
    </w:p>
    <w:p w14:paraId="43EE88F0" w14:textId="77777777" w:rsidR="00C11481" w:rsidRDefault="00C11481" w:rsidP="00C11481">
      <w:r>
        <w:t>Where an initial police account is abbreviated, taken without a qualified interpreter, framed around a single incident, or not provided back to the victim-survivor, later systems inherit an incomplete record. The woman may be unable to check errors, obtain advice or demonstrate a pattern of coercive control. Statements should record the history, context, fear, threats, financial and technology-facilitated abuse, harm to children, strangulation and separation-related escalation—not merely the most recent visible incident.</w:t>
      </w:r>
    </w:p>
    <w:p w14:paraId="3108362E" w14:textId="77777777" w:rsidR="00C11481" w:rsidRDefault="00C11481" w:rsidP="00C11481">
      <w:r>
        <w:t>Misidentification of the victim-survivor</w:t>
      </w:r>
    </w:p>
    <w:p w14:paraId="23135822" w14:textId="77777777" w:rsidR="00C11481" w:rsidRDefault="00C11481" w:rsidP="00C11481">
      <w:r>
        <w:t xml:space="preserve">Misidentification can occur when police focus on the incident rather than the course of conduct; equate visible distress with aggression; fail to distinguish self-defence or violent resistance; or give greater credibility to the calmer, more fluent or socially </w:t>
      </w:r>
      <w:r>
        <w:lastRenderedPageBreak/>
        <w:t>powerful party. ANROWS has recommended tools that identify the person most in need of protection and co-responder models capable of distinguishing the predominant aggressor from a person using resistive violence.[1] Misidentification can trigger an IVO against the victim-survivor, weaken her position in parenting proceedings and deter future help-seeking.</w:t>
      </w:r>
    </w:p>
    <w:p w14:paraId="3828C687" w14:textId="77777777" w:rsidR="00C11481" w:rsidRDefault="00C11481" w:rsidP="00C11481">
      <w:r>
        <w:t>Accountability and transparency</w:t>
      </w:r>
    </w:p>
    <w:p w14:paraId="0F54E909" w14:textId="77777777" w:rsidR="00C11481" w:rsidRDefault="00C11481" w:rsidP="00C11481">
      <w:r>
        <w:t>Recent Queensland developments illustrate why independent scrutiny matters. In July 2026, public reporting stated that a victim-survivor advisory report critical of police responses had not been released; the Queensland Government denied that it had blocked the report.[2] Separately, the Queensland Information Commissioner found that police systems and practices disclosed victim-survivors’ addresses to perpetrators and that further harm occurred in some cases.[3] Whatever the political account of non-publication, national policy should require publication of systemic-review findings, implementation response. 3. Inequality in court and legal representation</w:t>
      </w:r>
    </w:p>
    <w:p w14:paraId="477CB664" w14:textId="77777777" w:rsidR="00C11481" w:rsidRDefault="00C11481" w:rsidP="00C11481">
      <w:r>
        <w:t>The formal availability of a court does not create equal access to justice. In family-violence and parenting proceedings, the perpetrator may retain senior counsel while the victim-survivor relies on an overstretched community legal centre, a duty lawyer with limited preparation time, or self-representation. Migrant women may also need advice across family law, migration law, criminal law, child protection and overseas property or dowry issues. Fragmented funding forces women to repeat traumatic histories and leaves no professional responsible for the whole legal strategy.</w:t>
      </w:r>
    </w:p>
    <w:p w14:paraId="166DF60B" w14:textId="77777777" w:rsidR="00C11481" w:rsidRDefault="00C11481" w:rsidP="00C11481">
      <w:r>
        <w:t>Intervention-order proceedings may be gamed through cross-applications, tactical adjournments, selective presentation of messages, pressure to consent without admissions, and use of procedural complexity to exhaust the other party. The Australian Government’s 2025 response to the parliamentary Inquiry into Family Violence Orders acknowledged the need for reforms to eliminate opportunities for systems abuse across the family-law and state/territory family-violence-order systems.[4] The Second Action Plan should turn that acknowledgement into funded, time-bound implementation.</w:t>
      </w:r>
    </w:p>
    <w:p w14:paraId="1384C410" w14:textId="77777777" w:rsidR="00C11481" w:rsidRDefault="00C11481" w:rsidP="00C11481">
      <w:r>
        <w:t>4. Family-law delay as post-separation coercive control</w:t>
      </w:r>
    </w:p>
    <w:p w14:paraId="7C9FB19F" w14:textId="75EAFB06" w:rsidR="00C11481" w:rsidRDefault="00C11481" w:rsidP="00C11481">
      <w:r>
        <w:t xml:space="preserve">Post-separation abuse often moves into legal, administrative, financial and parenting systems. Delay in disclosure or property settlement can deny a woman housing, legal representation and the capacity to rebuild. Repeated applications, subpoenas, complaints and demands for new assessments can impose cost and psychological strain even when each step appears procedurally available. Court processes should examine cumulative purpose and effect, not only whether an individual filing is technically </w:t>
      </w:r>
      <w:proofErr w:type="spellStart"/>
      <w:r>
        <w:t>permi</w:t>
      </w:r>
      <w:proofErr w:type="spellEnd"/>
    </w:p>
    <w:p w14:paraId="56509461" w14:textId="77777777" w:rsidR="00C11481" w:rsidRDefault="00C11481" w:rsidP="00C11481"/>
    <w:p w14:paraId="3681764E" w14:textId="6CDBEC10" w:rsidR="00C11481" w:rsidRDefault="00C11481" w:rsidP="00C11481">
      <w:pPr>
        <w:rPr>
          <w:b/>
          <w:bCs/>
        </w:rPr>
      </w:pPr>
      <w:r w:rsidRPr="00C11481">
        <w:rPr>
          <w:b/>
          <w:bCs/>
        </w:rPr>
        <w:lastRenderedPageBreak/>
        <w:t>Are there any other actions you think should be a priority to stop family, domestic and sexual violence?</w:t>
      </w:r>
    </w:p>
    <w:p w14:paraId="111B52C8" w14:textId="2F136C27" w:rsidR="00C11481" w:rsidRDefault="00C11481" w:rsidP="00C11481">
      <w:r>
        <w:t>Trauma, coercive control and misapplied mental-health labels</w:t>
      </w:r>
    </w:p>
    <w:p w14:paraId="60437E13" w14:textId="77777777" w:rsidR="00C11481" w:rsidRDefault="00C11481" w:rsidP="00C11481">
      <w:r>
        <w:t xml:space="preserve">ACHRH’s de-identified clinical experience includes women whose marked distress, anger, suicidal thinking, rapid shifts in affect or desperate communications occurred during prolonged coercive control, financial pressure, repeated litigation and separation from children. In some cases, these state-dependent trauma responses were framed as </w:t>
      </w:r>
      <w:proofErr w:type="gramStart"/>
      <w:r>
        <w:t>Borderline Personality Disorder</w:t>
      </w:r>
      <w:proofErr w:type="gramEnd"/>
      <w:r>
        <w:t xml:space="preserve"> or enduring personality pathology without adequate longitudinal, developmental or cross-situational evidence.</w:t>
      </w:r>
    </w:p>
    <w:p w14:paraId="18487A51" w14:textId="77777777" w:rsidR="00C11481" w:rsidRDefault="00C11481" w:rsidP="00C11481">
      <w:r>
        <w:t>A diagnosis should never be accepted or rejected merely because it helps one party’s legal case. The safeguard is rigorous clinical method. Courts and report writers should require a differential diagnosis that considers PTSD and complex trauma; the timing and context of symptoms; functioning outside the abusive relationship; cultural and language factors; collateral evidence; structured assessment where appropriate; and the possibility that litigation and child separation are maintaining distress. Emotional dysregulation during coercive control is not, by itself, proof of a personality disorder.</w:t>
      </w:r>
    </w:p>
    <w:p w14:paraId="2F893FFB" w14:textId="77777777" w:rsidR="00C11481" w:rsidRDefault="00C11481" w:rsidP="00C11481">
      <w:r>
        <w:t>Mental-health evidence must also avoid a circular logic in which a mother’s distress at losing contact is used to justify further loss of contact. Any restriction on a child’s relationship with a parent should be necessary, proportionate, regularly reviewed and based on demonstrated risk. Treatment recommendations should support recovery and parenting capacity, not operate as indefinite gateways controlled by an opposing party.4. Guarantee culturally safe and adequately resourced legal assistance</w:t>
      </w:r>
    </w:p>
    <w:p w14:paraId="3F684FC2" w14:textId="77777777" w:rsidR="00C11481" w:rsidRDefault="00C11481" w:rsidP="00C11481">
      <w:r>
        <w:t>Required outcome: A woman’s safety and parenting outcomes do not depend on her ability to fund senior private counsel.</w:t>
      </w:r>
    </w:p>
    <w:p w14:paraId="1FC89B92" w14:textId="77777777" w:rsidR="00C11481" w:rsidRDefault="00C11481" w:rsidP="00C11481">
      <w:r>
        <w:t>•</w:t>
      </w:r>
      <w:r>
        <w:tab/>
        <w:t>Provide sustainable funding for specialist women’s legal services, migrant and refugee women’s services and community legal centres, indexed to demand and case complexity.</w:t>
      </w:r>
    </w:p>
    <w:p w14:paraId="6E04FE90" w14:textId="77777777" w:rsidR="00C11481" w:rsidRDefault="00C11481" w:rsidP="00C11481">
      <w:r>
        <w:t>•</w:t>
      </w:r>
      <w:r>
        <w:tab/>
        <w:t>Fund continuity of representation, interpreter time, evidence preparation, cross-jurisdictional advice and representation at contested IVO and urgent family-law hearings.</w:t>
      </w:r>
    </w:p>
    <w:p w14:paraId="50A6C1F0" w14:textId="77777777" w:rsidR="00C11481" w:rsidRDefault="00C11481" w:rsidP="00C11481">
      <w:r>
        <w:t>•</w:t>
      </w:r>
      <w:r>
        <w:tab/>
        <w:t>Develop a national warm-referral pathway across family violence, family law, migration, criminal, child-protection, housing and financial counselling services.</w:t>
      </w:r>
    </w:p>
    <w:p w14:paraId="286AF61F" w14:textId="77777777" w:rsidR="00C11481" w:rsidRDefault="00C11481" w:rsidP="00C11481">
      <w:r>
        <w:t>•</w:t>
      </w:r>
      <w:r>
        <w:tab/>
        <w:t>Create an exceptional-complexity fund where the opposing party’s resources or litigation conduct creates substantial inequality of finances</w:t>
      </w:r>
    </w:p>
    <w:p w14:paraId="2A70C640" w14:textId="77777777" w:rsidR="00C11481" w:rsidRDefault="00C11481" w:rsidP="00C11481">
      <w:r>
        <w:t>5. Recognise and restrain systems abuse and litigation abuse</w:t>
      </w:r>
    </w:p>
    <w:p w14:paraId="43724790" w14:textId="77777777" w:rsidR="00C11481" w:rsidRDefault="00C11481" w:rsidP="00C11481">
      <w:r>
        <w:lastRenderedPageBreak/>
        <w:t>Required outcome: Courts identify when legal and administrative processes are being used to continue coercive control.</w:t>
      </w:r>
    </w:p>
    <w:p w14:paraId="12302FA4" w14:textId="77777777" w:rsidR="00C11481" w:rsidRDefault="00C11481" w:rsidP="00C11481">
      <w:r>
        <w:t>•</w:t>
      </w:r>
      <w:r>
        <w:tab/>
        <w:t>Introduce a nationally consistent definition and screening framework for systems abuse, including repeated or strategic applications, cross-applications, subpoenas, complaints, adjournments and non-compliance intended to intimidate, impoverish or maintain contact.</w:t>
      </w:r>
    </w:p>
    <w:p w14:paraId="5DA04F43" w14:textId="77777777" w:rsidR="00C11481" w:rsidRDefault="00C11481" w:rsidP="00C11481">
      <w:r>
        <w:t>•</w:t>
      </w:r>
      <w:r>
        <w:tab/>
        <w:t>Require early judicial case management, consolidation of related proceedings where lawful, proportionate limits on repetitive filings, and written reasons when leave is granted for further substantially similar applications.</w:t>
      </w:r>
    </w:p>
    <w:p w14:paraId="6A0DAF61" w14:textId="77777777" w:rsidR="00C11481" w:rsidRDefault="00C11481" w:rsidP="00C11481">
      <w:r>
        <w:t>•</w:t>
      </w:r>
      <w:r>
        <w:tab/>
        <w:t>Use costs, security-for-costs, conduct orders and referral powers carefully against proven abusive conduct, while preserving genuine access to protection and appeal.</w:t>
      </w:r>
    </w:p>
    <w:p w14:paraId="2A0E079D" w14:textId="77777777" w:rsidR="00C11481" w:rsidRDefault="00C11481" w:rsidP="00C11481">
      <w:r>
        <w:t>•</w:t>
      </w:r>
      <w:r>
        <w:tab/>
        <w:t>Train judicial officers, registrars, police, lawyers and report writers to distinguish persistent help-seeking from coercive litigation.</w:t>
      </w:r>
    </w:p>
    <w:p w14:paraId="7746D0AC" w14:textId="77777777" w:rsidR="00C11481" w:rsidRDefault="00C11481" w:rsidP="00C11481">
      <w:r>
        <w:t>6. Prevent property and financial delay from becoming economic abuse</w:t>
      </w:r>
    </w:p>
    <w:p w14:paraId="72C050FD" w14:textId="77777777" w:rsidR="00C11481" w:rsidRDefault="00C11481" w:rsidP="00C11481">
      <w:r>
        <w:t>Required outcome: Victim-survivors have timely access to resources needed for safety, housing, representation and recovery.</w:t>
      </w:r>
    </w:p>
    <w:p w14:paraId="56EFF983" w14:textId="77777777" w:rsidR="00C11481" w:rsidRDefault="00C11481" w:rsidP="00C11481">
      <w:r>
        <w:t>•</w:t>
      </w:r>
      <w:r>
        <w:tab/>
        <w:t>Set early mandatory disclosure and compliance timetables, supported by meaningful consequences for concealment or delay.</w:t>
      </w:r>
    </w:p>
    <w:p w14:paraId="4F43FD51" w14:textId="77777777" w:rsidR="00C11481" w:rsidRDefault="00C11481" w:rsidP="00C11481">
      <w:r>
        <w:t>•</w:t>
      </w:r>
      <w:r>
        <w:tab/>
        <w:t>Expand access to urgent interim property, litigation-funding and occupancy orders where violence or financial control creates hardship.</w:t>
      </w:r>
    </w:p>
    <w:p w14:paraId="7E59E763" w14:textId="77777777" w:rsidR="00C11481" w:rsidRDefault="00C11481" w:rsidP="00C11481">
      <w:r>
        <w:t>•</w:t>
      </w:r>
      <w:r>
        <w:tab/>
        <w:t xml:space="preserve">Require courts to identify, disclose and trace gifts and property transferred in connection with a marriage—including dowry gifts given to the </w:t>
      </w:r>
      <w:proofErr w:type="gramStart"/>
      <w:r>
        <w:t>groom ,</w:t>
      </w:r>
      <w:proofErr w:type="gramEnd"/>
      <w:r>
        <w:t xml:space="preserve"> in-laws plus those intended for the wife—and, where the property is legally hers or was intended for her beneficial ownership, order its prompt return or restoration after separation. This would give practical effect to the 2025 family-law reforms recognising dowry abuse as economic or financial abuse and its relevance to property settlement.</w:t>
      </w:r>
    </w:p>
    <w:p w14:paraId="5A0EAE6F" w14:textId="77777777" w:rsidR="00C11481" w:rsidRDefault="00C11481" w:rsidP="00C11481">
      <w:r>
        <w:t>•</w:t>
      </w:r>
      <w:r>
        <w:tab/>
        <w:t xml:space="preserve">Screen property matters for family </w:t>
      </w:r>
      <w:proofErr w:type="gramStart"/>
      <w:r>
        <w:t>violence</w:t>
      </w:r>
      <w:proofErr w:type="gramEnd"/>
      <w:r>
        <w:t xml:space="preserve"> and systems abuse at commencement and at key case-management points.</w:t>
      </w:r>
    </w:p>
    <w:p w14:paraId="0046C0B4" w14:textId="77777777" w:rsidR="00C11481" w:rsidRDefault="00C11481" w:rsidP="00C11481">
      <w:r>
        <w:t>•</w:t>
      </w:r>
      <w:r>
        <w:tab/>
        <w:t>Measure time to disclosure, interim relief and resolution in matters involving family violence, and report disparity by representation status.</w:t>
      </w:r>
    </w:p>
    <w:p w14:paraId="355B6DD7" w14:textId="77777777" w:rsidR="00C11481" w:rsidRDefault="00C11481" w:rsidP="00C11481">
      <w:r>
        <w:t>7. Protect children from coercive control and relationship sabotage</w:t>
      </w:r>
    </w:p>
    <w:p w14:paraId="0F91B0A5" w14:textId="77777777" w:rsidR="00C11481" w:rsidRDefault="00C11481" w:rsidP="00C11481">
      <w:r>
        <w:t>Required outcome: Parenting decisions examine the child’s safety and relationships in the context of the full pattern of family violence.</w:t>
      </w:r>
    </w:p>
    <w:p w14:paraId="63325C24" w14:textId="77777777" w:rsidR="00C11481" w:rsidRDefault="00C11481" w:rsidP="00C11481">
      <w:r>
        <w:lastRenderedPageBreak/>
        <w:t>•</w:t>
      </w:r>
      <w:r>
        <w:tab/>
        <w:t>Require assessment of coercive control, post-separation abuse, undermining of a parent-child relationship, exposure to extended-family pressure and the child’s own experience.</w:t>
      </w:r>
    </w:p>
    <w:p w14:paraId="1E05C5BE" w14:textId="77777777" w:rsidR="00C11481" w:rsidRDefault="00C11481" w:rsidP="00C11481">
      <w:r>
        <w:t>•</w:t>
      </w:r>
      <w:r>
        <w:tab/>
        <w:t>Do not rely on contested or unvalidated “parental alienation” concepts as a substitute for evidence about violence, toxic parenting behaviour and child safety.</w:t>
      </w:r>
    </w:p>
    <w:p w14:paraId="5E7FDCBE" w14:textId="77777777" w:rsidR="00C11481" w:rsidRDefault="00C11481" w:rsidP="00C11481">
      <w:r>
        <w:t>•</w:t>
      </w:r>
      <w:r>
        <w:tab/>
        <w:t>Pilot and evaluate independent child-advocate or specialist child-development support consistent with the 2024 parliamentary inquiry recommendation.</w:t>
      </w:r>
    </w:p>
    <w:p w14:paraId="6A44533E" w14:textId="77777777" w:rsidR="00C11481" w:rsidRDefault="00C11481" w:rsidP="00C11481">
      <w:r>
        <w:t>8. Regulate family-report and mental-health expert evidence</w:t>
      </w:r>
    </w:p>
    <w:p w14:paraId="5A3A52C7" w14:textId="77777777" w:rsidR="00C11481" w:rsidRDefault="00C11481" w:rsidP="00C11481">
      <w:r>
        <w:t>Required outcome: Expert evidence is trauma-informed, culturally safe, methodologically transparent and genuinely independent.</w:t>
      </w:r>
    </w:p>
    <w:p w14:paraId="0A8693A8" w14:textId="77777777" w:rsidR="00C11481" w:rsidRDefault="00C11481" w:rsidP="00C11481">
      <w:r>
        <w:t>•</w:t>
      </w:r>
      <w:r>
        <w:tab/>
        <w:t xml:space="preserve">Establish national accreditation and continuing professional development for family report writers and relevant mental-health experts in coercive control, cultural safety, migration-related abuse, trauma and systems abuse. In particular, the use of labels such as personality disorders in context of family violence be viewed cautiously. </w:t>
      </w:r>
    </w:p>
    <w:p w14:paraId="67DB5511" w14:textId="77777777" w:rsidR="00C11481" w:rsidRDefault="00C11481" w:rsidP="00C11481">
      <w:r>
        <w:t>•</w:t>
      </w:r>
      <w:r>
        <w:tab/>
        <w:t>Require reports to state materials reviewed, time spent with each person, interpreter arrangements, limitations, competing hypotheses and the reasoning linking evidence to conclusions.</w:t>
      </w:r>
    </w:p>
    <w:p w14:paraId="645B607D" w14:textId="77777777" w:rsidR="00C11481" w:rsidRDefault="00C11481" w:rsidP="00C11481">
      <w:r>
        <w:t>•</w:t>
      </w:r>
      <w:r>
        <w:tab/>
        <w:t>Require robust differential diagnosis before personality-disorder labels influence parenting or credibility assessments.</w:t>
      </w:r>
    </w:p>
    <w:p w14:paraId="20918A28" w14:textId="77777777" w:rsidR="00C11481" w:rsidRDefault="00C11481" w:rsidP="00C11481">
      <w:r>
        <w:t>•</w:t>
      </w:r>
      <w:r>
        <w:tab/>
        <w:t>Permit a further expert report only where it addresses a material gap or changed circumstance, with active judicial control of duplication, delay and cost.</w:t>
      </w:r>
    </w:p>
    <w:p w14:paraId="0A6DE5D8" w14:textId="77777777" w:rsidR="00C11481" w:rsidRDefault="00C11481" w:rsidP="00C11481">
      <w:r>
        <w:t>Conclusion</w:t>
      </w:r>
    </w:p>
    <w:p w14:paraId="3517439F" w14:textId="77777777" w:rsidR="00C11481" w:rsidRDefault="00C11481" w:rsidP="00C11481">
      <w:r>
        <w:t>The Second Action Plan should not ask migrant and refugee women to become more resilient to fragmented systems. It should require systems to become accurate, accessible, culturally safe and accountable. Police documentation, intervention-order practice, legal assistance, family-law case management, expert evidence, child-safety decision-making and mental-health responses must operate as one protective system rather than as separate sites in which coercive control can be reproduced.</w:t>
      </w:r>
    </w:p>
    <w:p w14:paraId="20F15960" w14:textId="3E8C7FE6" w:rsidR="00C11481" w:rsidRPr="00C11481" w:rsidRDefault="00C11481" w:rsidP="00C11481">
      <w:r>
        <w:t>ACHRH recommends that Item 5 include the ten actions above as funded, measurable national commitments. The central test is practical.  It asks - after seeking help, is a woman safer, accurately heard, fairly represented in family law cases and able to recover from the trauma and protected from systems abuse by perpetrators —or has the system provided new tools through which abuse can continue?</w:t>
      </w:r>
    </w:p>
    <w:sectPr w:rsidR="00C11481" w:rsidRPr="00C11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81"/>
    <w:rsid w:val="00022A23"/>
    <w:rsid w:val="0023679E"/>
    <w:rsid w:val="005C42B5"/>
    <w:rsid w:val="00C11481"/>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1BAED"/>
  <w15:chartTrackingRefBased/>
  <w15:docId w15:val="{361FD797-5CE7-45F4-BA8F-BDD29853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481"/>
    <w:rPr>
      <w:rFonts w:eastAsiaTheme="majorEastAsia" w:cstheme="majorBidi"/>
      <w:color w:val="272727" w:themeColor="text1" w:themeTint="D8"/>
    </w:rPr>
  </w:style>
  <w:style w:type="paragraph" w:styleId="Title">
    <w:name w:val="Title"/>
    <w:basedOn w:val="Normal"/>
    <w:next w:val="Normal"/>
    <w:link w:val="TitleChar"/>
    <w:uiPriority w:val="10"/>
    <w:qFormat/>
    <w:rsid w:val="00C11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481"/>
    <w:pPr>
      <w:spacing w:before="160"/>
      <w:jc w:val="center"/>
    </w:pPr>
    <w:rPr>
      <w:i/>
      <w:iCs/>
      <w:color w:val="404040" w:themeColor="text1" w:themeTint="BF"/>
    </w:rPr>
  </w:style>
  <w:style w:type="character" w:customStyle="1" w:styleId="QuoteChar">
    <w:name w:val="Quote Char"/>
    <w:basedOn w:val="DefaultParagraphFont"/>
    <w:link w:val="Quote"/>
    <w:uiPriority w:val="29"/>
    <w:rsid w:val="00C11481"/>
    <w:rPr>
      <w:i/>
      <w:iCs/>
      <w:color w:val="404040" w:themeColor="text1" w:themeTint="BF"/>
    </w:rPr>
  </w:style>
  <w:style w:type="paragraph" w:styleId="ListParagraph">
    <w:name w:val="List Paragraph"/>
    <w:basedOn w:val="Normal"/>
    <w:uiPriority w:val="34"/>
    <w:qFormat/>
    <w:rsid w:val="00C11481"/>
    <w:pPr>
      <w:ind w:left="720"/>
      <w:contextualSpacing/>
    </w:pPr>
  </w:style>
  <w:style w:type="character" w:styleId="IntenseEmphasis">
    <w:name w:val="Intense Emphasis"/>
    <w:basedOn w:val="DefaultParagraphFont"/>
    <w:uiPriority w:val="21"/>
    <w:qFormat/>
    <w:rsid w:val="00C11481"/>
    <w:rPr>
      <w:i/>
      <w:iCs/>
      <w:color w:val="0F4761" w:themeColor="accent1" w:themeShade="BF"/>
    </w:rPr>
  </w:style>
  <w:style w:type="paragraph" w:styleId="IntenseQuote">
    <w:name w:val="Intense Quote"/>
    <w:basedOn w:val="Normal"/>
    <w:next w:val="Normal"/>
    <w:link w:val="IntenseQuoteChar"/>
    <w:uiPriority w:val="30"/>
    <w:qFormat/>
    <w:rsid w:val="00C11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481"/>
    <w:rPr>
      <w:i/>
      <w:iCs/>
      <w:color w:val="0F4761" w:themeColor="accent1" w:themeShade="BF"/>
    </w:rPr>
  </w:style>
  <w:style w:type="character" w:styleId="IntenseReference">
    <w:name w:val="Intense Reference"/>
    <w:basedOn w:val="DefaultParagraphFont"/>
    <w:uiPriority w:val="32"/>
    <w:qFormat/>
    <w:rsid w:val="00C114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F14EFE-8D6B-4BC3-B6B1-C51F3D266F18}"/>
</file>

<file path=customXml/itemProps2.xml><?xml version="1.0" encoding="utf-8"?>
<ds:datastoreItem xmlns:ds="http://schemas.openxmlformats.org/officeDocument/2006/customXml" ds:itemID="{A4236D9C-2873-4C87-99A4-DD485D9C324B}"/>
</file>

<file path=customXml/itemProps3.xml><?xml version="1.0" encoding="utf-8"?>
<ds:datastoreItem xmlns:ds="http://schemas.openxmlformats.org/officeDocument/2006/customXml" ds:itemID="{E8150155-2E82-4023-9D5B-ED9E76E94DD8}"/>
</file>

<file path=docProps/app.xml><?xml version="1.0" encoding="utf-8"?>
<Properties xmlns="http://schemas.openxmlformats.org/officeDocument/2006/extended-properties" xmlns:vt="http://schemas.openxmlformats.org/officeDocument/2006/docPropsVTypes">
  <Template>Normal.dotm</Template>
  <TotalTime>1</TotalTime>
  <Pages>7</Pages>
  <Words>2592</Words>
  <Characters>14778</Characters>
  <Application>Microsoft Office Word</Application>
  <DocSecurity>0</DocSecurity>
  <Lines>123</Lines>
  <Paragraphs>34</Paragraphs>
  <ScaleCrop>false</ScaleCrop>
  <Company/>
  <LinksUpToDate>false</LinksUpToDate>
  <CharactersWithSpaces>17336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2026-09-03T06:16:00Z</dcterms:created>
  <dcterms:modified xsi:type="dcterms:W3CDTF">2026-09-03T06:17:00Z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