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5F427" w14:textId="2219D4BC" w:rsidR="000E6A3F" w:rsidRDefault="00C57F4C">
      <w:pPr>
        <w:rPr>
          <w:b/>
          <w:bCs/>
        </w:rPr>
      </w:pPr>
      <w:r w:rsidRPr="000E180F">
        <w:rPr>
          <w:noProof/>
          <w:sz w:val="22"/>
          <w:szCs w:val="22"/>
        </w:rPr>
        <w:drawing>
          <wp:anchor distT="0" distB="0" distL="114300" distR="114300" simplePos="0" relativeHeight="251659264" behindDoc="0" locked="0" layoutInCell="1" allowOverlap="1" wp14:anchorId="5B03C5FB" wp14:editId="13F41FB2">
            <wp:simplePos x="0" y="0"/>
            <wp:positionH relativeFrom="margin">
              <wp:posOffset>4222750</wp:posOffset>
            </wp:positionH>
            <wp:positionV relativeFrom="margin">
              <wp:posOffset>247650</wp:posOffset>
            </wp:positionV>
            <wp:extent cx="1986844" cy="859809"/>
            <wp:effectExtent l="0" t="0" r="0" b="0"/>
            <wp:wrapSquare wrapText="bothSides"/>
            <wp:docPr id="351396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6844" cy="859809"/>
                    </a:xfrm>
                    <a:prstGeom prst="rect">
                      <a:avLst/>
                    </a:prstGeom>
                    <a:noFill/>
                    <a:ln>
                      <a:noFill/>
                    </a:ln>
                  </pic:spPr>
                </pic:pic>
              </a:graphicData>
            </a:graphic>
          </wp:anchor>
        </w:drawing>
      </w:r>
    </w:p>
    <w:p w14:paraId="191058CB" w14:textId="59D02B4B" w:rsidR="000D2329" w:rsidRDefault="000D2329">
      <w:pPr>
        <w:rPr>
          <w:b/>
          <w:bCs/>
        </w:rPr>
      </w:pPr>
    </w:p>
    <w:p w14:paraId="4612C3CB" w14:textId="77777777" w:rsidR="000D2329" w:rsidRDefault="000D2329">
      <w:pPr>
        <w:rPr>
          <w:b/>
          <w:bCs/>
        </w:rPr>
      </w:pPr>
    </w:p>
    <w:p w14:paraId="4386243F" w14:textId="77777777" w:rsidR="000D2329" w:rsidRDefault="000D2329">
      <w:pPr>
        <w:rPr>
          <w:b/>
          <w:bCs/>
        </w:rPr>
      </w:pPr>
    </w:p>
    <w:p w14:paraId="58BEB41F" w14:textId="77777777" w:rsidR="00C57F4C" w:rsidRDefault="000E6A3F" w:rsidP="00C57F4C">
      <w:pPr>
        <w:jc w:val="center"/>
        <w:rPr>
          <w:b/>
          <w:bCs/>
        </w:rPr>
      </w:pPr>
      <w:r>
        <w:rPr>
          <w:b/>
          <w:bCs/>
        </w:rPr>
        <w:t xml:space="preserve">Submission to the Second National Action Plan for Violence against </w:t>
      </w:r>
    </w:p>
    <w:p w14:paraId="657BFAAD" w14:textId="4150EDC7" w:rsidR="000E6A3F" w:rsidRDefault="000E6A3F" w:rsidP="00C57F4C">
      <w:pPr>
        <w:jc w:val="center"/>
        <w:rPr>
          <w:b/>
          <w:bCs/>
        </w:rPr>
      </w:pPr>
      <w:r>
        <w:rPr>
          <w:b/>
          <w:bCs/>
        </w:rPr>
        <w:t>Women and Children</w:t>
      </w:r>
    </w:p>
    <w:p w14:paraId="58A786FF" w14:textId="33C0B02E" w:rsidR="00091E40" w:rsidRDefault="00091E40">
      <w:pPr>
        <w:rPr>
          <w:b/>
          <w:bCs/>
        </w:rPr>
      </w:pPr>
      <w:r>
        <w:rPr>
          <w:b/>
          <w:bCs/>
        </w:rPr>
        <w:t>Children as victim-survivors in their own rights</w:t>
      </w:r>
    </w:p>
    <w:p w14:paraId="4FA0EF4E" w14:textId="09434233" w:rsidR="008B19B6" w:rsidRDefault="008B19B6" w:rsidP="008B19B6">
      <w:pPr>
        <w:pStyle w:val="paragraph"/>
        <w:spacing w:before="0" w:beforeAutospacing="0" w:after="0" w:afterAutospacing="0"/>
        <w:ind w:left="-570" w:right="-645"/>
        <w:textAlignment w:val="baseline"/>
        <w:rPr>
          <w:rFonts w:ascii="Segoe UI" w:hAnsi="Segoe UI" w:cs="Segoe UI"/>
          <w:sz w:val="18"/>
          <w:szCs w:val="18"/>
        </w:rPr>
      </w:pPr>
      <w:r>
        <w:rPr>
          <w:rStyle w:val="normaltextrun"/>
          <w:rFonts w:ascii="Arial" w:hAnsi="Arial" w:cs="Arial"/>
          <w:sz w:val="22"/>
          <w:szCs w:val="22"/>
        </w:rPr>
        <w:t>The Australian Child Maltreatment Study estimates 61% of young Australians aged 16-24 years have experienced one or more forms of abuse or neglect, 24.7% have experienced 3 to 5 types, 25.7% had experienced child sexual abuse, and 43.8% of Young Australians had experienced exposure to intimate partner violence (a narrow definition of children’s experience of FDV); in addition to being the most prevalent form of abuse or neglect, the ACMS found exposure to domestic violence was also the abuse type that</w:t>
      </w:r>
      <w:r w:rsidR="00DD3712">
        <w:rPr>
          <w:rStyle w:val="normaltextrun"/>
          <w:rFonts w:ascii="Arial" w:hAnsi="Arial" w:cs="Arial"/>
          <w:sz w:val="22"/>
          <w:szCs w:val="22"/>
        </w:rPr>
        <w:t xml:space="preserve"> was</w:t>
      </w:r>
      <w:r>
        <w:rPr>
          <w:rStyle w:val="normaltextrun"/>
          <w:rFonts w:ascii="Arial" w:hAnsi="Arial" w:cs="Arial"/>
          <w:sz w:val="22"/>
          <w:szCs w:val="22"/>
        </w:rPr>
        <w:t xml:space="preserve"> most likely to co-occur with other types of abuse or neglect (</w:t>
      </w:r>
      <w:hyperlink r:id="rId8" w:tgtFrame="_blank" w:history="1">
        <w:r>
          <w:rPr>
            <w:rStyle w:val="normaltextrun"/>
            <w:rFonts w:ascii="Arial" w:hAnsi="Arial" w:cs="Arial"/>
            <w:color w:val="0563C1"/>
            <w:sz w:val="22"/>
            <w:szCs w:val="22"/>
            <w:u w:val="single"/>
          </w:rPr>
          <w:t>www.acms.au</w:t>
        </w:r>
      </w:hyperlink>
      <w:r>
        <w:rPr>
          <w:rStyle w:val="normaltextrun"/>
          <w:rFonts w:ascii="Arial" w:hAnsi="Arial" w:cs="Arial"/>
          <w:sz w:val="22"/>
          <w:szCs w:val="22"/>
        </w:rPr>
        <w:t>).</w:t>
      </w:r>
      <w:r>
        <w:rPr>
          <w:rStyle w:val="eop"/>
          <w:rFonts w:ascii="Arial" w:hAnsi="Arial" w:cs="Arial"/>
          <w:sz w:val="22"/>
          <w:szCs w:val="22"/>
          <w:bdr w:val="none" w:sz="0" w:space="0" w:color="auto" w:frame="1"/>
          <w:shd w:val="clear" w:color="auto" w:fill="C6C6C6"/>
        </w:rPr>
        <w:t> </w:t>
      </w:r>
    </w:p>
    <w:p w14:paraId="6C096A6F" w14:textId="77777777" w:rsidR="008B19B6" w:rsidRDefault="008B19B6" w:rsidP="008B19B6">
      <w:pPr>
        <w:pStyle w:val="paragraph"/>
        <w:spacing w:before="0" w:beforeAutospacing="0" w:after="0" w:afterAutospacing="0"/>
        <w:ind w:left="-570" w:right="-645"/>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40452221" w14:textId="77777777" w:rsidR="008B19B6" w:rsidRDefault="008B19B6" w:rsidP="008B19B6">
      <w:pPr>
        <w:pStyle w:val="paragraph"/>
        <w:spacing w:before="0" w:beforeAutospacing="0" w:after="0" w:afterAutospacing="0"/>
        <w:ind w:left="-570" w:right="-645"/>
        <w:textAlignment w:val="baseline"/>
        <w:rPr>
          <w:rFonts w:ascii="Segoe UI" w:hAnsi="Segoe UI" w:cs="Segoe UI"/>
          <w:sz w:val="18"/>
          <w:szCs w:val="18"/>
        </w:rPr>
      </w:pPr>
      <w:r>
        <w:rPr>
          <w:rStyle w:val="normaltextrun"/>
          <w:rFonts w:ascii="Arial" w:hAnsi="Arial" w:cs="Arial"/>
          <w:sz w:val="22"/>
          <w:szCs w:val="22"/>
        </w:rPr>
        <w:t>The ACCP understands children’s experience of family and domestic violence to be broad and complex. In addition to witnessing family and domestic violence, evidence shows children are too often involved in the violence – examples include children experiencing physical harm and coercive control directly, being harmed trying to intervene to protect others, and being manipulated and weaponised. Children can experience removal from a loving parent when systems fail or needs such as housing are unmet; and can be forced to spend time with their abuser in court ordered contact. </w:t>
      </w:r>
      <w:r>
        <w:rPr>
          <w:rStyle w:val="eop"/>
          <w:rFonts w:ascii="Arial" w:hAnsi="Arial" w:cs="Arial"/>
          <w:sz w:val="22"/>
          <w:szCs w:val="22"/>
          <w:bdr w:val="none" w:sz="0" w:space="0" w:color="auto" w:frame="1"/>
          <w:shd w:val="clear" w:color="auto" w:fill="C6C6C6"/>
        </w:rPr>
        <w:t> </w:t>
      </w:r>
    </w:p>
    <w:p w14:paraId="373B24EE" w14:textId="77777777" w:rsidR="008B19B6" w:rsidRDefault="008B19B6" w:rsidP="008B19B6">
      <w:pPr>
        <w:pStyle w:val="paragraph"/>
        <w:spacing w:before="0" w:beforeAutospacing="0" w:after="0" w:afterAutospacing="0"/>
        <w:ind w:left="-570" w:right="-645"/>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7304893D" w14:textId="77777777" w:rsidR="008B19B6" w:rsidRDefault="008B19B6" w:rsidP="008B19B6">
      <w:pPr>
        <w:pStyle w:val="paragraph"/>
        <w:spacing w:before="0" w:beforeAutospacing="0" w:after="0" w:afterAutospacing="0"/>
        <w:ind w:left="-570" w:right="-645"/>
        <w:textAlignment w:val="baseline"/>
        <w:rPr>
          <w:rFonts w:ascii="Segoe UI" w:hAnsi="Segoe UI" w:cs="Segoe UI"/>
          <w:sz w:val="18"/>
          <w:szCs w:val="18"/>
        </w:rPr>
      </w:pPr>
      <w:r>
        <w:rPr>
          <w:rStyle w:val="normaltextrun"/>
          <w:rFonts w:ascii="Arial" w:hAnsi="Arial" w:cs="Arial"/>
          <w:sz w:val="22"/>
          <w:szCs w:val="22"/>
        </w:rPr>
        <w:t>Research also shows the impacts of domestic and family violence on children are profound and for many long lasting. Children who experience family and domestic violence are also disproportionately more likely to experience and/or use violence in their own intimate relationships across their lifespan, including adolescent relationships. </w:t>
      </w:r>
      <w:r>
        <w:rPr>
          <w:rStyle w:val="eop"/>
          <w:rFonts w:ascii="Arial" w:hAnsi="Arial" w:cs="Arial"/>
          <w:sz w:val="22"/>
          <w:szCs w:val="22"/>
          <w:bdr w:val="none" w:sz="0" w:space="0" w:color="auto" w:frame="1"/>
          <w:shd w:val="clear" w:color="auto" w:fill="C6C6C6"/>
        </w:rPr>
        <w:t> </w:t>
      </w:r>
    </w:p>
    <w:p w14:paraId="1011CDA4" w14:textId="77777777" w:rsidR="008B19B6" w:rsidRDefault="008B19B6" w:rsidP="008B19B6">
      <w:pPr>
        <w:pStyle w:val="paragraph"/>
        <w:spacing w:before="0" w:beforeAutospacing="0" w:after="0" w:afterAutospacing="0"/>
        <w:ind w:left="-570" w:right="-645"/>
        <w:textAlignment w:val="baseline"/>
        <w:rPr>
          <w:rStyle w:val="eop"/>
          <w:rFonts w:ascii="Arial" w:hAnsi="Arial" w:cs="Arial"/>
          <w:sz w:val="22"/>
          <w:szCs w:val="22"/>
          <w:bdr w:val="none" w:sz="0" w:space="0" w:color="auto" w:frame="1"/>
          <w:shd w:val="clear" w:color="auto" w:fill="C6C6C6"/>
        </w:rPr>
      </w:pPr>
      <w:r>
        <w:rPr>
          <w:rStyle w:val="eop"/>
          <w:rFonts w:ascii="Arial" w:hAnsi="Arial" w:cs="Arial"/>
          <w:sz w:val="22"/>
          <w:szCs w:val="22"/>
          <w:bdr w:val="none" w:sz="0" w:space="0" w:color="auto" w:frame="1"/>
          <w:shd w:val="clear" w:color="auto" w:fill="C6C6C6"/>
        </w:rPr>
        <w:t> </w:t>
      </w:r>
    </w:p>
    <w:p w14:paraId="09AC0650"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b/>
          <w:bCs/>
          <w:sz w:val="22"/>
          <w:szCs w:val="22"/>
          <w:bdr w:val="none" w:sz="0" w:space="0" w:color="auto" w:frame="1"/>
          <w:shd w:val="clear" w:color="auto" w:fill="C6C6C6"/>
        </w:rPr>
      </w:pPr>
      <w:r w:rsidRPr="002347E6">
        <w:rPr>
          <w:rStyle w:val="eop"/>
          <w:rFonts w:ascii="Arial" w:hAnsi="Arial" w:cs="Arial"/>
          <w:b/>
          <w:bCs/>
          <w:sz w:val="22"/>
          <w:szCs w:val="22"/>
          <w:bdr w:val="none" w:sz="0" w:space="0" w:color="auto" w:frame="1"/>
          <w:shd w:val="clear" w:color="auto" w:fill="C6C6C6"/>
        </w:rPr>
        <w:t>Chlidren are not passive witnesses to domestic violence</w:t>
      </w:r>
    </w:p>
    <w:p w14:paraId="30D1D922" w14:textId="3E41C8C9"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We must be cautious not to dismiss or to frame children as passive witnesses. Children experiencing FDV can be involved in violence in multiple ways including being the target of violence, being hurt trying to protect a parent; being threatened or told they are to blame for violence; being forced to watch or engage in violence towards a family member or pet; living in fear of coming home to violence; or conversely living in fear when they leave the house and are not present to protect their non-offending family members</w:t>
      </w:r>
      <w:r w:rsidR="00DE0AA2">
        <w:rPr>
          <w:rStyle w:val="eop"/>
          <w:rFonts w:ascii="Arial" w:hAnsi="Arial" w:cs="Arial"/>
          <w:sz w:val="22"/>
          <w:szCs w:val="22"/>
          <w:bdr w:val="none" w:sz="0" w:space="0" w:color="auto" w:frame="1"/>
          <w:shd w:val="clear" w:color="auto" w:fill="C6C6C6"/>
        </w:rPr>
        <w:t>. While</w:t>
      </w:r>
      <w:r w:rsidRPr="002347E6">
        <w:rPr>
          <w:rStyle w:val="eop"/>
          <w:rFonts w:ascii="Arial" w:hAnsi="Arial" w:cs="Arial"/>
          <w:sz w:val="22"/>
          <w:szCs w:val="22"/>
          <w:bdr w:val="none" w:sz="0" w:space="0" w:color="auto" w:frame="1"/>
          <w:shd w:val="clear" w:color="auto" w:fill="C6C6C6"/>
        </w:rPr>
        <w:t xml:space="preserve"> children can demonstrate astounding resilience the impacts of experiencing FDV—particularly FDV combined with other types of CAN—can be profound and includes </w:t>
      </w:r>
    </w:p>
    <w:p w14:paraId="7D83B282"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 xml:space="preserve">Physical harm </w:t>
      </w:r>
    </w:p>
    <w:p w14:paraId="4064182B"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 xml:space="preserve">Psychological harm with a range of mental health impacts </w:t>
      </w:r>
    </w:p>
    <w:p w14:paraId="5AFFF5AC"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 xml:space="preserve">Neurological impacts on the developing brain  </w:t>
      </w:r>
    </w:p>
    <w:p w14:paraId="2880AF56"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 xml:space="preserve">Hypervigilance affecting children’s ability to regulate </w:t>
      </w:r>
    </w:p>
    <w:p w14:paraId="6BD346A3" w14:textId="77777777" w:rsidR="002347E6" w:rsidRP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 xml:space="preserve">Attachment and relational difficulties </w:t>
      </w:r>
    </w:p>
    <w:p w14:paraId="46449F6B" w14:textId="2349D799" w:rsidR="002347E6" w:rsidRDefault="002347E6" w:rsidP="00DE0AA2">
      <w:pPr>
        <w:pStyle w:val="paragraph"/>
        <w:spacing w:before="0" w:beforeAutospacing="0" w:after="0" w:afterAutospacing="0"/>
        <w:ind w:left="-567"/>
        <w:textAlignment w:val="baseline"/>
        <w:rPr>
          <w:rStyle w:val="eop"/>
          <w:rFonts w:ascii="Arial" w:hAnsi="Arial" w:cs="Arial"/>
          <w:sz w:val="22"/>
          <w:szCs w:val="22"/>
          <w:bdr w:val="none" w:sz="0" w:space="0" w:color="auto" w:frame="1"/>
          <w:shd w:val="clear" w:color="auto" w:fill="C6C6C6"/>
        </w:rPr>
      </w:pPr>
      <w:r w:rsidRPr="002347E6">
        <w:rPr>
          <w:rStyle w:val="eop"/>
          <w:rFonts w:ascii="Arial" w:hAnsi="Arial" w:cs="Arial"/>
          <w:sz w:val="22"/>
          <w:szCs w:val="22"/>
          <w:bdr w:val="none" w:sz="0" w:space="0" w:color="auto" w:frame="1"/>
          <w:shd w:val="clear" w:color="auto" w:fill="C6C6C6"/>
        </w:rPr>
        <w:t>o</w:t>
      </w:r>
      <w:r w:rsidRPr="002347E6">
        <w:rPr>
          <w:rStyle w:val="eop"/>
          <w:rFonts w:ascii="Arial" w:hAnsi="Arial" w:cs="Arial"/>
          <w:sz w:val="22"/>
          <w:szCs w:val="22"/>
          <w:bdr w:val="none" w:sz="0" w:space="0" w:color="auto" w:frame="1"/>
          <w:shd w:val="clear" w:color="auto" w:fill="C6C6C6"/>
        </w:rPr>
        <w:tab/>
        <w:t>Adverse impacts on school attendance and educational outcomes</w:t>
      </w:r>
    </w:p>
    <w:p w14:paraId="346A894F" w14:textId="77777777" w:rsidR="002347E6" w:rsidRDefault="002347E6" w:rsidP="008B19B6">
      <w:pPr>
        <w:pStyle w:val="paragraph"/>
        <w:spacing w:before="0" w:beforeAutospacing="0" w:after="0" w:afterAutospacing="0"/>
        <w:ind w:left="-570" w:right="-645"/>
        <w:textAlignment w:val="baseline"/>
        <w:rPr>
          <w:rStyle w:val="eop"/>
          <w:rFonts w:ascii="Arial" w:hAnsi="Arial" w:cs="Arial"/>
          <w:sz w:val="22"/>
          <w:szCs w:val="22"/>
          <w:bdr w:val="none" w:sz="0" w:space="0" w:color="auto" w:frame="1"/>
          <w:shd w:val="clear" w:color="auto" w:fill="C6C6C6"/>
        </w:rPr>
      </w:pPr>
    </w:p>
    <w:p w14:paraId="73488CD3" w14:textId="77777777" w:rsidR="00AB717C" w:rsidRDefault="008B19B6" w:rsidP="00AB717C">
      <w:pPr>
        <w:pStyle w:val="paragraph"/>
        <w:spacing w:before="0" w:beforeAutospacing="0" w:after="0" w:afterAutospacing="0"/>
        <w:ind w:left="-570" w:right="-645"/>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 xml:space="preserve">It is the position of the ACCP that a significant and sustained reduction in the incidence of domestic and family violence is essential to reduce the parallel and inter-related epidemic of child abuse and neglect; which can be both a cause and effect of violence. Further, that prevention, early intervention, response and recovery, and healing of children’s experience of family and domestic violence needs to be a critical priority in its own right. Finally, that preventing and responding to domestic violence needs to </w:t>
      </w:r>
      <w:r>
        <w:rPr>
          <w:rStyle w:val="normaltextrun"/>
          <w:rFonts w:ascii="Arial" w:hAnsi="Arial" w:cs="Arial"/>
          <w:sz w:val="22"/>
          <w:szCs w:val="22"/>
        </w:rPr>
        <w:lastRenderedPageBreak/>
        <w:t xml:space="preserve">incorporate a focus on the experience and impacts of childhood trauma and intergenerational prevention, </w:t>
      </w:r>
      <w:r w:rsidRPr="00121217">
        <w:rPr>
          <w:rStyle w:val="normaltextrun"/>
          <w:rFonts w:ascii="Arial" w:hAnsi="Arial" w:cs="Arial"/>
          <w:sz w:val="22"/>
          <w:szCs w:val="22"/>
        </w:rPr>
        <w:t>in addition to gender-based conceptualisations of family and domestic violence. </w:t>
      </w:r>
      <w:r w:rsidRPr="00121217">
        <w:rPr>
          <w:rStyle w:val="eop"/>
          <w:rFonts w:ascii="Arial" w:hAnsi="Arial" w:cs="Arial"/>
          <w:sz w:val="22"/>
          <w:szCs w:val="22"/>
          <w:bdr w:val="none" w:sz="0" w:space="0" w:color="auto" w:frame="1"/>
          <w:shd w:val="clear" w:color="auto" w:fill="C6C6C6"/>
        </w:rPr>
        <w:t> </w:t>
      </w:r>
    </w:p>
    <w:p w14:paraId="202EE07C" w14:textId="77777777" w:rsidR="00AB717C" w:rsidRDefault="00AB717C" w:rsidP="00AB717C">
      <w:pPr>
        <w:pStyle w:val="paragraph"/>
        <w:spacing w:before="0" w:beforeAutospacing="0" w:after="0" w:afterAutospacing="0"/>
        <w:ind w:left="-570" w:right="-645"/>
        <w:textAlignment w:val="baseline"/>
        <w:rPr>
          <w:rStyle w:val="eop"/>
          <w:rFonts w:ascii="Arial" w:hAnsi="Arial" w:cs="Arial"/>
          <w:sz w:val="22"/>
          <w:szCs w:val="22"/>
          <w:bdr w:val="none" w:sz="0" w:space="0" w:color="auto" w:frame="1"/>
          <w:shd w:val="clear" w:color="auto" w:fill="C6C6C6"/>
        </w:rPr>
      </w:pPr>
    </w:p>
    <w:p w14:paraId="6E6843E8" w14:textId="77777777" w:rsidR="00C57F4C" w:rsidRDefault="00DE0AA2" w:rsidP="00E54992">
      <w:pPr>
        <w:pStyle w:val="paragraph"/>
        <w:spacing w:before="0" w:beforeAutospacing="0" w:after="0" w:afterAutospacing="0"/>
        <w:ind w:left="-570" w:right="-645"/>
        <w:textAlignment w:val="baseline"/>
        <w:rPr>
          <w:rFonts w:ascii="Arial" w:hAnsi="Arial" w:cs="Arial"/>
          <w:sz w:val="22"/>
          <w:szCs w:val="22"/>
        </w:rPr>
      </w:pPr>
      <w:r>
        <w:rPr>
          <w:rFonts w:ascii="Arial" w:hAnsi="Arial" w:cs="Arial"/>
          <w:sz w:val="22"/>
          <w:szCs w:val="22"/>
        </w:rPr>
        <w:t>A</w:t>
      </w:r>
      <w:r w:rsidR="002B25DC" w:rsidRPr="00121217">
        <w:rPr>
          <w:rFonts w:ascii="Arial" w:hAnsi="Arial" w:cs="Arial"/>
          <w:sz w:val="22"/>
          <w:szCs w:val="22"/>
        </w:rPr>
        <w:t>CCP</w:t>
      </w:r>
      <w:r w:rsidR="00B413C6" w:rsidRPr="00121217">
        <w:rPr>
          <w:rFonts w:ascii="Arial" w:hAnsi="Arial" w:cs="Arial"/>
          <w:sz w:val="22"/>
          <w:szCs w:val="22"/>
        </w:rPr>
        <w:t xml:space="preserve"> have produced </w:t>
      </w:r>
      <w:r w:rsidR="00421F6C" w:rsidRPr="00121217">
        <w:rPr>
          <w:rFonts w:ascii="Arial" w:hAnsi="Arial" w:cs="Arial"/>
          <w:sz w:val="22"/>
          <w:szCs w:val="22"/>
        </w:rPr>
        <w:t>evidence of these</w:t>
      </w:r>
      <w:r w:rsidR="00B413C6" w:rsidRPr="00121217">
        <w:rPr>
          <w:rFonts w:ascii="Arial" w:hAnsi="Arial" w:cs="Arial"/>
          <w:sz w:val="22"/>
          <w:szCs w:val="22"/>
        </w:rPr>
        <w:t xml:space="preserve"> priority </w:t>
      </w:r>
      <w:r w:rsidR="00F23635" w:rsidRPr="00121217">
        <w:rPr>
          <w:rFonts w:ascii="Arial" w:hAnsi="Arial" w:cs="Arial"/>
          <w:sz w:val="22"/>
          <w:szCs w:val="22"/>
        </w:rPr>
        <w:t>issues that</w:t>
      </w:r>
      <w:r w:rsidR="009C4945" w:rsidRPr="00121217">
        <w:rPr>
          <w:rFonts w:ascii="Arial" w:hAnsi="Arial" w:cs="Arial"/>
          <w:sz w:val="22"/>
          <w:szCs w:val="22"/>
        </w:rPr>
        <w:t xml:space="preserve"> </w:t>
      </w:r>
      <w:r w:rsidR="00F63308" w:rsidRPr="00121217">
        <w:rPr>
          <w:rFonts w:ascii="Arial" w:hAnsi="Arial" w:cs="Arial"/>
          <w:sz w:val="22"/>
          <w:szCs w:val="22"/>
        </w:rPr>
        <w:t xml:space="preserve">need to be addressed </w:t>
      </w:r>
      <w:r w:rsidR="00B16FBA" w:rsidRPr="00121217">
        <w:rPr>
          <w:rFonts w:ascii="Arial" w:hAnsi="Arial" w:cs="Arial"/>
          <w:sz w:val="22"/>
          <w:szCs w:val="22"/>
        </w:rPr>
        <w:t>in the second national action plan and across the related strategies.</w:t>
      </w:r>
      <w:r w:rsidR="00C57F4C">
        <w:rPr>
          <w:rFonts w:ascii="Arial" w:hAnsi="Arial" w:cs="Arial"/>
          <w:sz w:val="22"/>
          <w:szCs w:val="22"/>
        </w:rPr>
        <w:t xml:space="preserve"> </w:t>
      </w:r>
    </w:p>
    <w:p w14:paraId="377271F1" w14:textId="77777777" w:rsidR="00C57F4C" w:rsidRDefault="00C57F4C" w:rsidP="00E54992">
      <w:pPr>
        <w:pStyle w:val="paragraph"/>
        <w:spacing w:before="0" w:beforeAutospacing="0" w:after="0" w:afterAutospacing="0"/>
        <w:ind w:left="-570" w:right="-645"/>
        <w:textAlignment w:val="baseline"/>
        <w:rPr>
          <w:rFonts w:ascii="Arial" w:hAnsi="Arial" w:cs="Arial"/>
          <w:sz w:val="22"/>
          <w:szCs w:val="22"/>
        </w:rPr>
      </w:pPr>
    </w:p>
    <w:p w14:paraId="41A3E4A0" w14:textId="310211D2" w:rsidR="008B19B6" w:rsidRPr="00B16FBA" w:rsidRDefault="008B19B6" w:rsidP="00E54992">
      <w:pPr>
        <w:pStyle w:val="paragraph"/>
        <w:spacing w:before="0" w:beforeAutospacing="0" w:after="0" w:afterAutospacing="0"/>
        <w:ind w:left="-570" w:right="-645"/>
        <w:textAlignment w:val="baseline"/>
        <w:rPr>
          <w:rFonts w:ascii="Segoe UI" w:hAnsi="Segoe UI" w:cs="Segoe UI"/>
          <w:sz w:val="18"/>
          <w:szCs w:val="18"/>
        </w:rPr>
      </w:pPr>
      <w:r>
        <w:rPr>
          <w:rStyle w:val="normaltextrun"/>
          <w:rFonts w:ascii="Arial" w:hAnsi="Arial" w:cs="Arial"/>
          <w:b/>
          <w:bCs/>
          <w:sz w:val="22"/>
          <w:szCs w:val="22"/>
        </w:rPr>
        <w:t>ANROWS report: Investigating the mental health of children exposed to domestic and family violence through the use of linked police data and health records. </w:t>
      </w:r>
      <w:r>
        <w:rPr>
          <w:rStyle w:val="eop"/>
          <w:rFonts w:ascii="Arial" w:hAnsi="Arial" w:cs="Arial"/>
          <w:sz w:val="22"/>
          <w:szCs w:val="22"/>
          <w:bdr w:val="none" w:sz="0" w:space="0" w:color="auto" w:frame="1"/>
          <w:shd w:val="clear" w:color="auto" w:fill="C6C6C6"/>
        </w:rPr>
        <w:t> </w:t>
      </w:r>
    </w:p>
    <w:p w14:paraId="0E838B85" w14:textId="77777777" w:rsidR="000F2118" w:rsidRDefault="008B19B6" w:rsidP="000F2118">
      <w:pPr>
        <w:pStyle w:val="paragraph"/>
        <w:spacing w:before="0" w:beforeAutospacing="0" w:after="0" w:afterAutospacing="0"/>
        <w:ind w:left="-210" w:right="-646"/>
        <w:textAlignment w:val="baseline"/>
        <w:rPr>
          <w:rStyle w:val="eop"/>
          <w:rFonts w:ascii="Arial" w:hAnsi="Arial" w:cs="Arial"/>
          <w:sz w:val="22"/>
          <w:szCs w:val="22"/>
          <w:bdr w:val="none" w:sz="0" w:space="0" w:color="auto" w:frame="1"/>
          <w:shd w:val="clear" w:color="auto" w:fill="C6C6C6"/>
        </w:rPr>
      </w:pPr>
      <w:hyperlink r:id="rId9" w:tgtFrame="_blank" w:history="1">
        <w:r>
          <w:rPr>
            <w:rStyle w:val="normaltextrun"/>
            <w:rFonts w:ascii="Arial" w:hAnsi="Arial" w:cs="Arial"/>
            <w:color w:val="0563C1"/>
            <w:sz w:val="22"/>
            <w:szCs w:val="22"/>
            <w:u w:val="single"/>
          </w:rPr>
          <w:t>https://www.anrows.org.au/publication/investigating-the-mental-health-of-children-exposed-to-domestic-and-family-violence-through-the-use-of-linked-police-data-and-health-records/</w:t>
        </w:r>
      </w:hyperlink>
      <w:r>
        <w:rPr>
          <w:rStyle w:val="normaltextrun"/>
          <w:rFonts w:ascii="Arial" w:hAnsi="Arial" w:cs="Arial"/>
          <w:sz w:val="22"/>
          <w:szCs w:val="22"/>
        </w:rPr>
        <w:t> </w:t>
      </w:r>
    </w:p>
    <w:p w14:paraId="06B8D313" w14:textId="77777777" w:rsidR="000F2118" w:rsidRDefault="000F2118" w:rsidP="000F2118">
      <w:pPr>
        <w:pStyle w:val="paragraph"/>
        <w:spacing w:before="0" w:beforeAutospacing="0" w:after="0" w:afterAutospacing="0"/>
        <w:ind w:left="-210" w:right="-646"/>
        <w:textAlignment w:val="baseline"/>
        <w:rPr>
          <w:rStyle w:val="eop"/>
          <w:rFonts w:ascii="Arial" w:hAnsi="Arial" w:cs="Arial"/>
          <w:sz w:val="22"/>
          <w:szCs w:val="22"/>
          <w:bdr w:val="none" w:sz="0" w:space="0" w:color="auto" w:frame="1"/>
          <w:shd w:val="clear" w:color="auto" w:fill="C6C6C6"/>
        </w:rPr>
      </w:pPr>
    </w:p>
    <w:p w14:paraId="6D9FB4F5" w14:textId="22EDFB83" w:rsidR="001E0923" w:rsidRDefault="008B19B6" w:rsidP="001E0923">
      <w:pPr>
        <w:pStyle w:val="paragraph"/>
        <w:spacing w:before="0" w:beforeAutospacing="0" w:after="0" w:afterAutospacing="0"/>
        <w:ind w:left="-210" w:right="-646"/>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The study found that children who had been exposed to DFV were almost five times more likely to use a mental health service by the time they turned 18 than children who had not experienced DFV. On average, children were aged 6 when police or health recorded there was DFV in their home, but they only received a health service around the age of 12. Researchers were also able to identify an increased risk in 8 out of 10 mental health disorder diagnoses for children who had been exposed to DFV, including double the likelihood of substance use disorder compared to children who had not been exposed to DFV.</w:t>
      </w:r>
      <w:r w:rsidRPr="00E0685C">
        <w:rPr>
          <w:rStyle w:val="eop"/>
          <w:rFonts w:ascii="Arial" w:hAnsi="Arial" w:cs="Arial"/>
          <w:sz w:val="22"/>
          <w:szCs w:val="22"/>
          <w:bdr w:val="none" w:sz="0" w:space="0" w:color="auto" w:frame="1"/>
          <w:shd w:val="clear" w:color="auto" w:fill="C6C6C6"/>
        </w:rPr>
        <w:t> </w:t>
      </w:r>
    </w:p>
    <w:p w14:paraId="2C1012BD" w14:textId="77777777" w:rsidR="001E0923" w:rsidRDefault="001E0923" w:rsidP="001E0923">
      <w:pPr>
        <w:pStyle w:val="paragraph"/>
        <w:spacing w:before="0" w:beforeAutospacing="0" w:after="0" w:afterAutospacing="0"/>
        <w:ind w:left="-210" w:right="-646"/>
        <w:textAlignment w:val="baseline"/>
        <w:rPr>
          <w:rStyle w:val="eop"/>
          <w:rFonts w:ascii="Arial" w:hAnsi="Arial" w:cs="Arial"/>
          <w:sz w:val="22"/>
          <w:szCs w:val="22"/>
          <w:bdr w:val="none" w:sz="0" w:space="0" w:color="auto" w:frame="1"/>
          <w:shd w:val="clear" w:color="auto" w:fill="C6C6C6"/>
        </w:rPr>
      </w:pPr>
    </w:p>
    <w:p w14:paraId="0F583B77" w14:textId="343E6482" w:rsidR="00091E40" w:rsidRDefault="002A4AF6" w:rsidP="001E0923">
      <w:pPr>
        <w:pStyle w:val="paragraph"/>
        <w:spacing w:before="0" w:beforeAutospacing="0" w:after="0" w:afterAutospacing="0"/>
        <w:ind w:left="-210" w:right="-646"/>
        <w:textAlignment w:val="baseline"/>
      </w:pPr>
      <w:r w:rsidRPr="007C62B2">
        <w:rPr>
          <w:rFonts w:ascii="Arial" w:hAnsi="Arial" w:cs="Arial"/>
          <w:sz w:val="22"/>
          <w:szCs w:val="22"/>
        </w:rPr>
        <w:t xml:space="preserve">Australia’s mental health service is </w:t>
      </w:r>
      <w:r w:rsidR="008A4279">
        <w:rPr>
          <w:rFonts w:ascii="Arial" w:hAnsi="Arial" w:cs="Arial"/>
          <w:sz w:val="22"/>
          <w:szCs w:val="22"/>
        </w:rPr>
        <w:t>orientated</w:t>
      </w:r>
      <w:r w:rsidRPr="007C62B2">
        <w:rPr>
          <w:rFonts w:ascii="Arial" w:hAnsi="Arial" w:cs="Arial"/>
          <w:sz w:val="22"/>
          <w:szCs w:val="22"/>
        </w:rPr>
        <w:t xml:space="preserve"> on specialist intervention </w:t>
      </w:r>
      <w:r w:rsidR="00AC7A3D">
        <w:rPr>
          <w:rFonts w:ascii="Arial" w:hAnsi="Arial" w:cs="Arial"/>
          <w:sz w:val="22"/>
          <w:szCs w:val="22"/>
        </w:rPr>
        <w:t>with a lack of focus on</w:t>
      </w:r>
      <w:r w:rsidRPr="007C62B2">
        <w:rPr>
          <w:rFonts w:ascii="Arial" w:hAnsi="Arial" w:cs="Arial"/>
          <w:sz w:val="22"/>
          <w:szCs w:val="22"/>
        </w:rPr>
        <w:t xml:space="preserve"> prevention and early intervention (Australian Government, 2021). </w:t>
      </w:r>
      <w:r w:rsidR="00FF203A">
        <w:rPr>
          <w:rFonts w:ascii="Arial" w:hAnsi="Arial" w:cs="Arial"/>
          <w:sz w:val="22"/>
          <w:szCs w:val="22"/>
        </w:rPr>
        <w:t>T</w:t>
      </w:r>
      <w:r w:rsidRPr="007C62B2">
        <w:rPr>
          <w:rFonts w:ascii="Arial" w:hAnsi="Arial" w:cs="Arial"/>
          <w:sz w:val="22"/>
          <w:szCs w:val="22"/>
        </w:rPr>
        <w:t xml:space="preserve">he National Children’s Mental Health and Wellbeing Strategy (Australian Government, 2021) </w:t>
      </w:r>
      <w:r w:rsidR="00FF203A">
        <w:rPr>
          <w:rFonts w:ascii="Arial" w:hAnsi="Arial" w:cs="Arial"/>
          <w:sz w:val="22"/>
          <w:szCs w:val="22"/>
        </w:rPr>
        <w:t>have highlighted the</w:t>
      </w:r>
      <w:r w:rsidRPr="007C62B2">
        <w:rPr>
          <w:rFonts w:ascii="Arial" w:hAnsi="Arial" w:cs="Arial"/>
          <w:sz w:val="22"/>
          <w:szCs w:val="22"/>
        </w:rPr>
        <w:t xml:space="preserve"> priority </w:t>
      </w:r>
      <w:r w:rsidR="00FF203A">
        <w:rPr>
          <w:rFonts w:ascii="Arial" w:hAnsi="Arial" w:cs="Arial"/>
          <w:sz w:val="22"/>
          <w:szCs w:val="22"/>
        </w:rPr>
        <w:t>group</w:t>
      </w:r>
      <w:r w:rsidRPr="007C62B2">
        <w:rPr>
          <w:rFonts w:ascii="Arial" w:hAnsi="Arial" w:cs="Arial"/>
          <w:sz w:val="22"/>
          <w:szCs w:val="22"/>
        </w:rPr>
        <w:t xml:space="preserve"> </w:t>
      </w:r>
      <w:r w:rsidR="00CA63AD">
        <w:rPr>
          <w:rFonts w:ascii="Arial" w:hAnsi="Arial" w:cs="Arial"/>
          <w:sz w:val="22"/>
          <w:szCs w:val="22"/>
        </w:rPr>
        <w:t xml:space="preserve">of </w:t>
      </w:r>
      <w:r w:rsidRPr="007C62B2">
        <w:rPr>
          <w:rFonts w:ascii="Arial" w:hAnsi="Arial" w:cs="Arial"/>
          <w:sz w:val="22"/>
          <w:szCs w:val="22"/>
        </w:rPr>
        <w:t xml:space="preserve">children </w:t>
      </w:r>
      <w:r w:rsidR="00CA63AD">
        <w:rPr>
          <w:rFonts w:ascii="Arial" w:hAnsi="Arial" w:cs="Arial"/>
          <w:sz w:val="22"/>
          <w:szCs w:val="22"/>
        </w:rPr>
        <w:t xml:space="preserve">aged </w:t>
      </w:r>
      <w:r w:rsidRPr="007C62B2">
        <w:rPr>
          <w:rFonts w:ascii="Arial" w:hAnsi="Arial" w:cs="Arial"/>
          <w:sz w:val="22"/>
          <w:szCs w:val="22"/>
        </w:rPr>
        <w:t xml:space="preserve">0 to 12 years. Investment is needed in primary prevention, that is, to prevent exposure before it occurs and hence eliminate subsequent negative outcomes. However, dual investment is needed in secondary and tertiary response and prevention measures to support the mental health of children exposed to DFV (National Mental Health Commission, 2020b). Early intervention for children’s mental health should address the impact of DFV exposure (Australian Government, 2021). This aligns with the National Children’s Mental Health and Wellbeing Strategy (Australian Government, 2021), which acknowledges the need to address the impact of trauma and social determinants on children’s mental health and wellbeing. Without early intervention the child may potentially live with trauma and mental illness for many years </w:t>
      </w:r>
      <w:r w:rsidR="00CC5B15">
        <w:rPr>
          <w:rFonts w:ascii="Arial" w:hAnsi="Arial" w:cs="Arial"/>
          <w:sz w:val="22"/>
          <w:szCs w:val="22"/>
        </w:rPr>
        <w:t xml:space="preserve">following experiencing DFV </w:t>
      </w:r>
      <w:r w:rsidRPr="007C62B2">
        <w:rPr>
          <w:rFonts w:ascii="Arial" w:hAnsi="Arial" w:cs="Arial"/>
          <w:sz w:val="22"/>
          <w:szCs w:val="22"/>
        </w:rPr>
        <w:t>impacting their ability to meet their full potential in education, relationships, employment and earning potential in adulthood (Altszuler et al., 2016; Australian Government, 2021; Clark et al., 2017; Colman et al., 2009; Erskine et al., 2016; McLeod &amp; Kaiser, 2004). Additionally, it costs significantly more to treat mental illness in adolescence and adulthood than it does to intervene in early childhood (Teager et al., 2019). A further complexity is that the utilisation of health services for children exposed to DFV is multifaceted (Olaya et al., 2010; Onyskiw, 2002). Parents may not engage their child in mental health services for various reasons including fear of DFV being divulged by the child that may result in negative repercussions for mother and child from the perpetrator (Alaggia et al., 2011; Evans &amp; Feder, 2016): mothers may be fearful of child removal if child protection services become involved (Alaggia et al., 2011; O’Donnell et al., 2015)</w:t>
      </w:r>
      <w:r w:rsidR="009A7A01">
        <w:rPr>
          <w:rFonts w:ascii="Arial" w:hAnsi="Arial" w:cs="Arial"/>
          <w:sz w:val="22"/>
          <w:szCs w:val="22"/>
        </w:rPr>
        <w:t xml:space="preserve">. </w:t>
      </w:r>
    </w:p>
    <w:p w14:paraId="37DE98E2" w14:textId="20EB93B8" w:rsidR="29E427B6" w:rsidRDefault="29E427B6" w:rsidP="29E427B6">
      <w:pPr>
        <w:pStyle w:val="paragraph"/>
        <w:spacing w:before="0" w:beforeAutospacing="0" w:after="0" w:afterAutospacing="0"/>
        <w:ind w:left="-210" w:right="-646"/>
        <w:rPr>
          <w:rFonts w:ascii="Arial" w:hAnsi="Arial" w:cs="Arial"/>
          <w:sz w:val="22"/>
          <w:szCs w:val="22"/>
        </w:rPr>
      </w:pPr>
    </w:p>
    <w:p w14:paraId="7D7A7711" w14:textId="23471B02" w:rsidR="009A7A01" w:rsidRDefault="67BFE538" w:rsidP="009F24F8">
      <w:pPr>
        <w:pStyle w:val="paragraph"/>
        <w:spacing w:before="0" w:beforeAutospacing="0" w:after="0" w:afterAutospacing="0"/>
        <w:ind w:left="-426" w:right="-646"/>
        <w:textAlignment w:val="baseline"/>
      </w:pPr>
      <w:r w:rsidRPr="04B64D14">
        <w:rPr>
          <w:rFonts w:ascii="Arial" w:hAnsi="Arial" w:cs="Arial"/>
          <w:sz w:val="22"/>
          <w:szCs w:val="22"/>
        </w:rPr>
        <w:t>Children exposed to DFV often live with complex issues such as maternal mental illness and disability. Services to support children exposed to DFV must be well resourced and holistically focused with collaborative, multidisciplinary teams and cross-agency collaboration that provides continuity of care for children and their families with multiple and complex issues.</w:t>
      </w:r>
    </w:p>
    <w:p w14:paraId="7740BDE9" w14:textId="77777777" w:rsidR="009A7A01" w:rsidRPr="007C62B2" w:rsidRDefault="009A7A01" w:rsidP="001E0923">
      <w:pPr>
        <w:pStyle w:val="paragraph"/>
        <w:spacing w:before="0" w:beforeAutospacing="0" w:after="0" w:afterAutospacing="0"/>
        <w:ind w:left="-210" w:right="-646"/>
        <w:textAlignment w:val="baseline"/>
        <w:rPr>
          <w:rFonts w:ascii="Arial" w:hAnsi="Arial" w:cs="Arial"/>
          <w:sz w:val="22"/>
          <w:szCs w:val="22"/>
        </w:rPr>
      </w:pPr>
    </w:p>
    <w:p w14:paraId="22567FC2" w14:textId="57AF46A8" w:rsidR="00901C1A" w:rsidRDefault="00182062" w:rsidP="50D2269A">
      <w:pPr>
        <w:spacing w:after="0"/>
        <w:textAlignment w:val="baseline"/>
      </w:pPr>
      <w:r>
        <w:rPr>
          <w:b/>
          <w:bCs/>
        </w:rPr>
        <w:t xml:space="preserve">Family and Domestic Violence and Child Protection </w:t>
      </w:r>
      <w:r w:rsidRPr="50D2269A">
        <w:rPr>
          <w:b/>
          <w:bCs/>
        </w:rPr>
        <w:t>intersection</w:t>
      </w:r>
    </w:p>
    <w:p w14:paraId="6D359907" w14:textId="77777777" w:rsidR="00121217" w:rsidRDefault="00121217" w:rsidP="00BB208B">
      <w:pPr>
        <w:pStyle w:val="paragraph"/>
        <w:spacing w:before="0" w:beforeAutospacing="0" w:after="0" w:afterAutospacing="0"/>
        <w:ind w:right="-646"/>
        <w:textAlignment w:val="baseline"/>
        <w:rPr>
          <w:rFonts w:ascii="Arial" w:hAnsi="Arial" w:cs="Arial"/>
          <w:sz w:val="22"/>
          <w:szCs w:val="22"/>
        </w:rPr>
      </w:pPr>
    </w:p>
    <w:p w14:paraId="092074A5" w14:textId="21486620" w:rsidR="00901C1A" w:rsidRPr="008143FF" w:rsidRDefault="59C7CF59" w:rsidP="009F24F8">
      <w:pPr>
        <w:pStyle w:val="paragraph"/>
        <w:spacing w:before="0" w:beforeAutospacing="0" w:after="0" w:afterAutospacing="0"/>
        <w:ind w:left="-426"/>
        <w:textAlignment w:val="baseline"/>
        <w:rPr>
          <w:rFonts w:ascii="Arial" w:hAnsi="Arial" w:cs="Arial"/>
          <w:sz w:val="22"/>
          <w:szCs w:val="22"/>
        </w:rPr>
      </w:pPr>
      <w:r w:rsidRPr="00121217">
        <w:rPr>
          <w:rFonts w:ascii="Arial" w:hAnsi="Arial" w:cs="Arial"/>
          <w:sz w:val="22"/>
          <w:szCs w:val="22"/>
        </w:rPr>
        <w:t xml:space="preserve">ACCP have been involved in numerous consultations </w:t>
      </w:r>
      <w:r w:rsidR="7E9E75A1" w:rsidRPr="00121217">
        <w:rPr>
          <w:rFonts w:ascii="Arial" w:hAnsi="Arial" w:cs="Arial"/>
          <w:sz w:val="22"/>
          <w:szCs w:val="22"/>
        </w:rPr>
        <w:t>with</w:t>
      </w:r>
      <w:r w:rsidRPr="00121217">
        <w:rPr>
          <w:rFonts w:ascii="Arial" w:hAnsi="Arial" w:cs="Arial"/>
          <w:sz w:val="22"/>
          <w:szCs w:val="22"/>
        </w:rPr>
        <w:t xml:space="preserve"> mothers with lived experience and </w:t>
      </w:r>
      <w:r w:rsidR="00121217">
        <w:rPr>
          <w:rFonts w:ascii="Arial" w:hAnsi="Arial" w:cs="Arial"/>
          <w:sz w:val="22"/>
          <w:szCs w:val="22"/>
        </w:rPr>
        <w:t xml:space="preserve">services who provide support to mothers experiencing family and domestic violence. A major concern for mothers is the intersection between </w:t>
      </w:r>
      <w:r w:rsidR="008143FF">
        <w:rPr>
          <w:rFonts w:ascii="Arial" w:hAnsi="Arial" w:cs="Arial"/>
          <w:sz w:val="22"/>
          <w:szCs w:val="22"/>
        </w:rPr>
        <w:t xml:space="preserve">family and domestic violence responses and child protection interventions. </w:t>
      </w:r>
      <w:r w:rsidR="00273600">
        <w:rPr>
          <w:rFonts w:ascii="Arial" w:hAnsi="Arial" w:cs="Arial"/>
          <w:sz w:val="22"/>
          <w:szCs w:val="22"/>
        </w:rPr>
        <w:t xml:space="preserve">Child safety in the </w:t>
      </w:r>
      <w:r w:rsidR="008143FF">
        <w:rPr>
          <w:rFonts w:ascii="Arial" w:hAnsi="Arial" w:cs="Arial"/>
          <w:sz w:val="22"/>
          <w:szCs w:val="22"/>
        </w:rPr>
        <w:t xml:space="preserve">context of family and domestic violence </w:t>
      </w:r>
      <w:r w:rsidR="00273600">
        <w:rPr>
          <w:rFonts w:ascii="Arial" w:hAnsi="Arial" w:cs="Arial"/>
          <w:sz w:val="22"/>
          <w:szCs w:val="22"/>
        </w:rPr>
        <w:t xml:space="preserve">is complicated however the Safe and Together Model offers a valuable framework for partnering </w:t>
      </w:r>
      <w:r w:rsidR="00273600">
        <w:rPr>
          <w:rFonts w:ascii="Arial" w:hAnsi="Arial" w:cs="Arial"/>
          <w:sz w:val="22"/>
          <w:szCs w:val="22"/>
        </w:rPr>
        <w:lastRenderedPageBreak/>
        <w:t xml:space="preserve">with victim-survivors and ensuring perpetrator accountability. </w:t>
      </w:r>
      <w:r w:rsidR="00DE43D3">
        <w:rPr>
          <w:rFonts w:ascii="Arial" w:hAnsi="Arial" w:cs="Arial"/>
          <w:sz w:val="22"/>
          <w:szCs w:val="22"/>
        </w:rPr>
        <w:t xml:space="preserve">The evidence below provides valuable insights to how mothers experience the complicated intersection of family and domestic violence and child protection issues. </w:t>
      </w:r>
    </w:p>
    <w:p w14:paraId="446150C9" w14:textId="56BB7CC5" w:rsidR="00901C1A" w:rsidRDefault="00901C1A" w:rsidP="3E7121EE">
      <w:pPr>
        <w:spacing w:after="0" w:line="240" w:lineRule="auto"/>
        <w:textAlignment w:val="baseline"/>
        <w:rPr>
          <w:rFonts w:ascii="Aptos" w:eastAsia="Aptos" w:hAnsi="Aptos" w:cs="Aptos"/>
          <w:sz w:val="22"/>
          <w:szCs w:val="22"/>
        </w:rPr>
      </w:pPr>
    </w:p>
    <w:p w14:paraId="527866E3" w14:textId="77777777" w:rsidR="00901C1A" w:rsidRDefault="0F5DE4C1" w:rsidP="78D1A2A8">
      <w:pPr>
        <w:spacing w:after="0" w:line="240" w:lineRule="auto"/>
        <w:textAlignment w:val="baseline"/>
        <w:rPr>
          <w:rFonts w:ascii="Aptos" w:eastAsia="Aptos" w:hAnsi="Aptos" w:cs="Aptos"/>
          <w:b/>
          <w:bCs/>
          <w:sz w:val="22"/>
          <w:szCs w:val="22"/>
        </w:rPr>
      </w:pPr>
      <w:r w:rsidRPr="78D1A2A8">
        <w:rPr>
          <w:rFonts w:ascii="Aptos" w:eastAsia="Aptos" w:hAnsi="Aptos" w:cs="Aptos"/>
          <w:b/>
          <w:bCs/>
          <w:sz w:val="22"/>
          <w:szCs w:val="22"/>
        </w:rPr>
        <w:t xml:space="preserve">Parents' experiences with child protection during pregnancy and post-birth (Trew, Taplin, O’Donnell, Marriott, Broadhurst, 2022. Child Abuse and Neglect, </w:t>
      </w:r>
      <w:hyperlink r:id="rId10" w:history="1">
        <w:r w:rsidRPr="78D1A2A8">
          <w:rPr>
            <w:rFonts w:ascii="Aptos" w:eastAsia="Aptos" w:hAnsi="Aptos" w:cs="Aptos"/>
            <w:b/>
            <w:bCs/>
            <w:color w:val="467886"/>
            <w:sz w:val="22"/>
            <w:szCs w:val="22"/>
            <w:u w:val="single"/>
          </w:rPr>
          <w:t>https://doi.org/10.1111/cfs.12984</w:t>
        </w:r>
      </w:hyperlink>
      <w:r w:rsidRPr="78D1A2A8">
        <w:rPr>
          <w:rFonts w:ascii="Aptos" w:eastAsia="Aptos" w:hAnsi="Aptos" w:cs="Aptos"/>
          <w:b/>
          <w:bCs/>
          <w:sz w:val="22"/>
          <w:szCs w:val="22"/>
        </w:rPr>
        <w:t xml:space="preserve"> </w:t>
      </w:r>
    </w:p>
    <w:p w14:paraId="0E63FDBF" w14:textId="77777777" w:rsidR="00901C1A" w:rsidRPr="00C67E14" w:rsidRDefault="0F5DE4C1" w:rsidP="78D1A2A8">
      <w:pPr>
        <w:spacing w:after="0" w:line="240" w:lineRule="auto"/>
        <w:textAlignment w:val="baseline"/>
        <w:rPr>
          <w:rFonts w:ascii="Arial" w:eastAsia="Aptos" w:hAnsi="Arial" w:cs="Arial"/>
          <w:sz w:val="22"/>
          <w:szCs w:val="22"/>
        </w:rPr>
      </w:pPr>
      <w:r w:rsidRPr="00C67E14">
        <w:rPr>
          <w:rFonts w:ascii="Arial" w:eastAsia="Aptos" w:hAnsi="Arial" w:cs="Arial"/>
          <w:sz w:val="22"/>
          <w:szCs w:val="22"/>
        </w:rPr>
        <w:t>Some parents emphasized the minimal support they received from their child protection caseworker including the lack of consultation and negotiation at pre-birth planning meetings, as illustrated by quotes from mothers below:</w:t>
      </w:r>
    </w:p>
    <w:p w14:paraId="6A3E46A2" w14:textId="77777777" w:rsidR="00901C1A" w:rsidRPr="00C67E14" w:rsidRDefault="0F5DE4C1" w:rsidP="78D1A2A8">
      <w:pPr>
        <w:spacing w:after="0" w:line="240" w:lineRule="auto"/>
        <w:textAlignment w:val="baseline"/>
        <w:rPr>
          <w:rFonts w:ascii="Arial" w:eastAsia="Aptos" w:hAnsi="Arial" w:cs="Arial"/>
          <w:sz w:val="22"/>
          <w:szCs w:val="22"/>
        </w:rPr>
      </w:pPr>
      <w:r w:rsidRPr="00C67E14">
        <w:rPr>
          <w:rFonts w:ascii="Arial" w:eastAsia="Aptos" w:hAnsi="Arial" w:cs="Arial"/>
          <w:sz w:val="22"/>
          <w:szCs w:val="22"/>
        </w:rPr>
        <w:t>“You have to do what they want; they control everything … who you hang out with, what you do … If they say get a VRO [Violence Restraining Order] you have to get a VRO. There is no fixing the family … What they say goes or they take your kids. (Stacey)”</w:t>
      </w:r>
    </w:p>
    <w:p w14:paraId="452F50AA" w14:textId="77777777" w:rsidR="00901C1A" w:rsidRPr="00C67E14" w:rsidRDefault="00901C1A" w:rsidP="78D1A2A8">
      <w:pPr>
        <w:spacing w:after="0" w:line="240" w:lineRule="auto"/>
        <w:textAlignment w:val="baseline"/>
        <w:rPr>
          <w:rFonts w:ascii="Arial" w:eastAsia="Aptos" w:hAnsi="Arial" w:cs="Arial"/>
          <w:color w:val="000000" w:themeColor="text1"/>
          <w:sz w:val="22"/>
          <w:szCs w:val="22"/>
          <w:lang w:eastAsia="en-AU"/>
        </w:rPr>
      </w:pPr>
    </w:p>
    <w:p w14:paraId="28D5133A" w14:textId="77777777" w:rsidR="00901C1A" w:rsidRPr="00C67E14" w:rsidRDefault="0F5DE4C1" w:rsidP="78D1A2A8">
      <w:pPr>
        <w:spacing w:after="0" w:line="240" w:lineRule="auto"/>
        <w:textAlignment w:val="baseline"/>
        <w:rPr>
          <w:rFonts w:ascii="Arial" w:eastAsia="Aptos" w:hAnsi="Arial" w:cs="Arial"/>
          <w:color w:val="000000" w:themeColor="text1"/>
          <w:sz w:val="22"/>
          <w:szCs w:val="22"/>
          <w:lang w:eastAsia="en-AU"/>
        </w:rPr>
      </w:pPr>
      <w:r w:rsidRPr="00C67E14">
        <w:rPr>
          <w:rFonts w:ascii="Arial" w:eastAsia="Aptos" w:hAnsi="Arial" w:cs="Arial"/>
          <w:color w:val="000000" w:themeColor="text1"/>
          <w:sz w:val="22"/>
          <w:szCs w:val="22"/>
          <w:lang w:eastAsia="en-AU"/>
        </w:rPr>
        <w:t>“… but now he is incarcerated, and I am free of him and his manipulative, controlling manner. I have been doing the things needed to be done to get my children back from DCP … I lost all of my children to DCP because of the DV …. “(Sharon)</w:t>
      </w:r>
    </w:p>
    <w:p w14:paraId="10E9E429" w14:textId="77777777" w:rsidR="00901C1A" w:rsidRPr="00C67E14" w:rsidRDefault="00901C1A" w:rsidP="78D1A2A8">
      <w:pPr>
        <w:spacing w:after="0" w:line="240" w:lineRule="auto"/>
        <w:textAlignment w:val="baseline"/>
        <w:rPr>
          <w:rFonts w:ascii="Arial" w:eastAsia="Aptos" w:hAnsi="Arial" w:cs="Arial"/>
          <w:b/>
          <w:bCs/>
          <w:sz w:val="22"/>
          <w:szCs w:val="22"/>
          <w:lang w:eastAsia="en-AU"/>
        </w:rPr>
      </w:pPr>
    </w:p>
    <w:p w14:paraId="29C56359"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sz w:val="22"/>
          <w:szCs w:val="22"/>
          <w:lang w:eastAsia="en-AU"/>
        </w:rPr>
        <w:t>Parents reported difficulties in finding and accessing homelessness and crisis accommodation services, especially parents who, at the time of experiencing a domestic violence crisis, still had their children in their care. A mother explained:</w:t>
      </w:r>
    </w:p>
    <w:p w14:paraId="3D2A6526"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sz w:val="22"/>
          <w:szCs w:val="22"/>
          <w:lang w:eastAsia="en-AU"/>
        </w:rPr>
        <w:t>“… we went to [women's refuge] … and they don't help people with children. That's a huge problem because women aren't going to leave their children … you're not going to leave them so there is a huge, huge barrier.” (Alana)</w:t>
      </w:r>
    </w:p>
    <w:p w14:paraId="0AD2039F" w14:textId="77777777" w:rsidR="00901C1A" w:rsidRPr="00C67E14" w:rsidRDefault="00901C1A" w:rsidP="78D1A2A8">
      <w:pPr>
        <w:spacing w:after="0" w:line="240" w:lineRule="auto"/>
        <w:textAlignment w:val="baseline"/>
        <w:rPr>
          <w:rFonts w:ascii="Arial" w:eastAsia="Aptos" w:hAnsi="Arial" w:cs="Arial"/>
          <w:b/>
          <w:bCs/>
          <w:sz w:val="22"/>
          <w:szCs w:val="22"/>
          <w:lang w:eastAsia="en-AU"/>
        </w:rPr>
      </w:pPr>
    </w:p>
    <w:p w14:paraId="51D55998"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sz w:val="22"/>
          <w:szCs w:val="22"/>
          <w:lang w:eastAsia="en-AU"/>
        </w:rPr>
        <w:t>Parents described the psychological impact of having their infant removed and the lack of care the Department workers had for their welfare. As described by a mother it was ‘… too much for me … I can't bear this … I was torn apart’ (Belinda, mother). Another mother, Jenny, compared her experience of having her child removed with her past intimate partner violence relationship:</w:t>
      </w:r>
    </w:p>
    <w:p w14:paraId="4BD8B63C"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sz w:val="22"/>
          <w:szCs w:val="22"/>
          <w:lang w:eastAsia="en-AU"/>
        </w:rPr>
        <w:t>“… the psychological harm and the mental stress they [the Department] put you through is just as mentally effective on you as the abuse from your ex.” (Jenny)</w:t>
      </w:r>
    </w:p>
    <w:p w14:paraId="47897C05" w14:textId="77777777" w:rsidR="00901C1A" w:rsidRPr="00C67E14" w:rsidRDefault="00901C1A" w:rsidP="78D1A2A8">
      <w:pPr>
        <w:spacing w:after="0" w:line="240" w:lineRule="auto"/>
        <w:textAlignment w:val="baseline"/>
        <w:rPr>
          <w:rFonts w:ascii="Arial" w:eastAsia="Aptos" w:hAnsi="Arial" w:cs="Arial"/>
          <w:b/>
          <w:bCs/>
          <w:sz w:val="22"/>
          <w:szCs w:val="22"/>
          <w:lang w:eastAsia="en-AU"/>
        </w:rPr>
      </w:pPr>
    </w:p>
    <w:p w14:paraId="5C4FF331"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color w:val="000000" w:themeColor="text1"/>
          <w:sz w:val="22"/>
          <w:szCs w:val="22"/>
          <w:lang w:eastAsia="en-AU"/>
        </w:rPr>
        <w:t>Mothers with partners or ex-partners who used violence in the relationship (also the fathers of their children) commented on how their situations were handled by the Department. Some expressed anger and frustration about the unfairness of decisions that allowed these fathers—who were perpetrators of family violence—to have contact visits with their infants. One mother explained that through a pre-birth planning process, the Department decided to take out a protection order to ensure that the father had no contact visits with their infant. However, less than 4 weeks later, the Department reversed their decision on the grounds that the biological father has a right to see their infant and that contact would commence, as illustrated by Stacey, the mother, below:</w:t>
      </w:r>
    </w:p>
    <w:p w14:paraId="0C80CD58" w14:textId="77777777" w:rsidR="00901C1A" w:rsidRPr="00C67E14" w:rsidRDefault="0F5DE4C1" w:rsidP="78D1A2A8">
      <w:pPr>
        <w:spacing w:after="0" w:line="240" w:lineRule="auto"/>
        <w:textAlignment w:val="baseline"/>
        <w:rPr>
          <w:rFonts w:ascii="Arial" w:eastAsia="Aptos" w:hAnsi="Arial" w:cs="Arial"/>
          <w:color w:val="000000" w:themeColor="text1"/>
          <w:sz w:val="22"/>
          <w:szCs w:val="22"/>
          <w:lang w:eastAsia="en-AU"/>
        </w:rPr>
      </w:pPr>
      <w:r w:rsidRPr="00C67E14">
        <w:rPr>
          <w:rFonts w:ascii="Arial" w:eastAsia="Aptos" w:hAnsi="Arial" w:cs="Arial"/>
          <w:color w:val="000000" w:themeColor="text1"/>
          <w:sz w:val="22"/>
          <w:szCs w:val="22"/>
          <w:lang w:eastAsia="en-AU"/>
        </w:rPr>
        <w:t>”… he made threats last week that he would walk out with her (our baby) … and made threats to our lives. … It just seems stupid of them to let him see her … the caseworker's going to come and pick my baby up and take it to the person that's done all this shit to me and threatened my life. It doesn't make any sense, how are you going to guarantee she's safe? You can't. They [The Department] said he is so unpredictable that's why I'm here [in a women's refuge] because they can't guarantee I'm safe … it is a helpless baby, it just didn't sit right with me.” (Stacey)</w:t>
      </w:r>
    </w:p>
    <w:p w14:paraId="6C042604" w14:textId="6419D9D0" w:rsidR="00901C1A" w:rsidRPr="00C67E14" w:rsidRDefault="00901C1A" w:rsidP="6D9637FE">
      <w:pPr>
        <w:spacing w:after="0" w:line="240" w:lineRule="auto"/>
        <w:textAlignment w:val="baseline"/>
        <w:rPr>
          <w:rFonts w:ascii="Arial" w:eastAsia="Aptos" w:hAnsi="Arial" w:cs="Arial"/>
          <w:color w:val="000000" w:themeColor="text1"/>
          <w:sz w:val="22"/>
          <w:szCs w:val="22"/>
          <w:lang w:eastAsia="en-AU"/>
        </w:rPr>
      </w:pPr>
    </w:p>
    <w:p w14:paraId="5842C538" w14:textId="77777777" w:rsidR="00901C1A" w:rsidRPr="00C67E14" w:rsidRDefault="0F5DE4C1" w:rsidP="78D1A2A8">
      <w:pPr>
        <w:spacing w:after="0" w:line="240" w:lineRule="auto"/>
        <w:textAlignment w:val="baseline"/>
        <w:rPr>
          <w:rFonts w:ascii="Arial" w:eastAsia="Aptos" w:hAnsi="Arial" w:cs="Arial"/>
          <w:sz w:val="22"/>
          <w:szCs w:val="22"/>
          <w:lang w:eastAsia="en-AU"/>
        </w:rPr>
      </w:pPr>
      <w:r w:rsidRPr="00C67E14">
        <w:rPr>
          <w:rFonts w:ascii="Arial" w:eastAsia="Aptos" w:hAnsi="Arial" w:cs="Arial"/>
          <w:color w:val="000000" w:themeColor="text1"/>
          <w:sz w:val="22"/>
          <w:szCs w:val="22"/>
          <w:lang w:eastAsia="en-AU"/>
        </w:rPr>
        <w:t>Another mother, Jenny, expressed dissatisfaction about contact visitation decisions, including fewer requirements being imposed on the father:</w:t>
      </w:r>
    </w:p>
    <w:p w14:paraId="2FFCF807" w14:textId="77777777" w:rsidR="00901C1A" w:rsidRPr="00C67E14" w:rsidRDefault="0F5DE4C1" w:rsidP="78D1A2A8">
      <w:pPr>
        <w:spacing w:after="0" w:line="240" w:lineRule="auto"/>
        <w:textAlignment w:val="baseline"/>
        <w:rPr>
          <w:rFonts w:ascii="Arial" w:eastAsia="Aptos" w:hAnsi="Arial" w:cs="Arial"/>
          <w:color w:val="000000" w:themeColor="text1"/>
          <w:sz w:val="22"/>
          <w:szCs w:val="22"/>
          <w:lang w:eastAsia="en-AU"/>
        </w:rPr>
      </w:pPr>
      <w:r w:rsidRPr="00C67E14">
        <w:rPr>
          <w:rFonts w:ascii="Arial" w:eastAsia="Aptos" w:hAnsi="Arial" w:cs="Arial"/>
          <w:color w:val="000000" w:themeColor="text1"/>
          <w:sz w:val="22"/>
          <w:szCs w:val="22"/>
          <w:lang w:eastAsia="en-AU"/>
        </w:rPr>
        <w:t xml:space="preserve">“… there is something wrong that he seems to have more rights than I have … he's not having to do drug tests, they said ‘yeah, but he's in jail’ [for the domestic violence he </w:t>
      </w:r>
      <w:r w:rsidRPr="00C67E14">
        <w:rPr>
          <w:rFonts w:ascii="Arial" w:eastAsia="Aptos" w:hAnsi="Arial" w:cs="Arial"/>
          <w:color w:val="000000" w:themeColor="text1"/>
          <w:sz w:val="22"/>
          <w:szCs w:val="22"/>
          <w:lang w:eastAsia="en-AU"/>
        </w:rPr>
        <w:lastRenderedPageBreak/>
        <w:t>perpetrated] … He didn't think about my baby at that time, he didn't care whether that baby lived or died at that time. So why does he think he's got rights now? He has no rights as far as I'm concerned. If he's trying to kill me while I'm pregnant with baby.” (Jenny)</w:t>
      </w:r>
    </w:p>
    <w:p w14:paraId="701D9271" w14:textId="77777777" w:rsidR="00901C1A" w:rsidRPr="00C67E14" w:rsidRDefault="00901C1A" w:rsidP="78D1A2A8">
      <w:pPr>
        <w:spacing w:after="0" w:line="240" w:lineRule="auto"/>
        <w:textAlignment w:val="baseline"/>
        <w:rPr>
          <w:rFonts w:ascii="Arial" w:eastAsia="Aptos" w:hAnsi="Arial" w:cs="Arial"/>
          <w:b/>
          <w:bCs/>
          <w:sz w:val="22"/>
          <w:szCs w:val="22"/>
          <w:lang w:eastAsia="en-AU"/>
        </w:rPr>
      </w:pPr>
    </w:p>
    <w:p w14:paraId="1DA69E24" w14:textId="717227F1" w:rsidR="00182062" w:rsidRDefault="00BC049B" w:rsidP="00BC049B">
      <w:pPr>
        <w:spacing w:after="0"/>
        <w:rPr>
          <w:b/>
          <w:bCs/>
        </w:rPr>
      </w:pPr>
      <w:r>
        <w:rPr>
          <w:b/>
          <w:bCs/>
        </w:rPr>
        <w:t>H</w:t>
      </w:r>
      <w:r w:rsidR="00182062">
        <w:rPr>
          <w:b/>
          <w:bCs/>
        </w:rPr>
        <w:t>ousing</w:t>
      </w:r>
    </w:p>
    <w:p w14:paraId="5B6A369C" w14:textId="4EDA4C56" w:rsidR="00FD6E26" w:rsidRPr="00C44CEE" w:rsidRDefault="00FD6E26" w:rsidP="00BC049B">
      <w:pPr>
        <w:spacing w:after="0" w:line="240" w:lineRule="auto"/>
        <w:rPr>
          <w:rFonts w:ascii="Aptos" w:eastAsia="Aptos" w:hAnsi="Aptos" w:cs="Aptos"/>
          <w:b/>
          <w:bCs/>
          <w:kern w:val="0"/>
          <w:sz w:val="22"/>
          <w:szCs w:val="22"/>
          <w:lang w:eastAsia="en-AU"/>
          <w14:ligatures w14:val="none"/>
        </w:rPr>
      </w:pPr>
      <w:r w:rsidRPr="00C44CEE">
        <w:rPr>
          <w:rFonts w:ascii="Aptos" w:eastAsia="Aptos" w:hAnsi="Aptos" w:cs="Aptos"/>
          <w:b/>
          <w:bCs/>
          <w:kern w:val="0"/>
          <w:sz w:val="22"/>
          <w:szCs w:val="22"/>
          <w:lang w:eastAsia="en-AU"/>
          <w14:ligatures w14:val="none"/>
        </w:rPr>
        <w:t>Family and Youth Homelessness in relation to FDV:</w:t>
      </w:r>
    </w:p>
    <w:p w14:paraId="1035270F" w14:textId="5BDB9FB5" w:rsidR="00A5005A" w:rsidRDefault="00A5005A" w:rsidP="00FD6E26">
      <w:pPr>
        <w:spacing w:after="0" w:line="240" w:lineRule="auto"/>
        <w:rPr>
          <w:rFonts w:ascii="Aptos" w:eastAsia="Aptos" w:hAnsi="Aptos" w:cs="Aptos"/>
          <w:kern w:val="0"/>
          <w:sz w:val="22"/>
          <w:szCs w:val="22"/>
          <w:lang w:eastAsia="en-AU"/>
          <w14:ligatures w14:val="none"/>
        </w:rPr>
      </w:pPr>
      <w:r>
        <w:rPr>
          <w:rFonts w:ascii="Aptos" w:eastAsia="Aptos" w:hAnsi="Aptos" w:cs="Aptos"/>
          <w:kern w:val="0"/>
          <w:sz w:val="22"/>
          <w:szCs w:val="22"/>
          <w:lang w:eastAsia="en-AU"/>
          <w14:ligatures w14:val="none"/>
        </w:rPr>
        <w:t xml:space="preserve">There is enough evidence to </w:t>
      </w:r>
      <w:r w:rsidR="00451066">
        <w:rPr>
          <w:rFonts w:ascii="Aptos" w:eastAsia="Aptos" w:hAnsi="Aptos" w:cs="Aptos"/>
          <w:kern w:val="0"/>
          <w:sz w:val="22"/>
          <w:szCs w:val="22"/>
          <w:lang w:eastAsia="en-AU"/>
          <w14:ligatures w14:val="none"/>
        </w:rPr>
        <w:t xml:space="preserve">indicate that the lack of available and affordable housing is a major issue for families experiencing family and domestic violence. It is </w:t>
      </w:r>
      <w:r w:rsidR="00333064">
        <w:rPr>
          <w:rFonts w:ascii="Aptos" w:eastAsia="Aptos" w:hAnsi="Aptos" w:cs="Aptos"/>
          <w:kern w:val="0"/>
          <w:sz w:val="22"/>
          <w:szCs w:val="22"/>
          <w:lang w:eastAsia="en-AU"/>
          <w14:ligatures w14:val="none"/>
        </w:rPr>
        <w:t xml:space="preserve">resulting in </w:t>
      </w:r>
      <w:r w:rsidR="00DA5586">
        <w:rPr>
          <w:rFonts w:ascii="Aptos" w:eastAsia="Aptos" w:hAnsi="Aptos" w:cs="Aptos"/>
          <w:kern w:val="0"/>
          <w:sz w:val="22"/>
          <w:szCs w:val="22"/>
          <w:lang w:eastAsia="en-AU"/>
          <w14:ligatures w14:val="none"/>
        </w:rPr>
        <w:t xml:space="preserve">mothers </w:t>
      </w:r>
      <w:r w:rsidR="00D83EE9">
        <w:rPr>
          <w:rFonts w:ascii="Aptos" w:eastAsia="Aptos" w:hAnsi="Aptos" w:cs="Aptos"/>
          <w:kern w:val="0"/>
          <w:sz w:val="22"/>
          <w:szCs w:val="22"/>
          <w:lang w:eastAsia="en-AU"/>
          <w14:ligatures w14:val="none"/>
        </w:rPr>
        <w:t xml:space="preserve">having </w:t>
      </w:r>
      <w:r w:rsidR="00D2062F">
        <w:rPr>
          <w:rFonts w:ascii="Aptos" w:eastAsia="Aptos" w:hAnsi="Aptos" w:cs="Aptos"/>
          <w:kern w:val="0"/>
          <w:sz w:val="22"/>
          <w:szCs w:val="22"/>
          <w:lang w:eastAsia="en-AU"/>
          <w14:ligatures w14:val="none"/>
        </w:rPr>
        <w:t xml:space="preserve">to make difficult decisions to </w:t>
      </w:r>
      <w:r w:rsidR="004F3D0E">
        <w:rPr>
          <w:rFonts w:ascii="Aptos" w:eastAsia="Aptos" w:hAnsi="Aptos" w:cs="Aptos"/>
          <w:kern w:val="0"/>
          <w:sz w:val="22"/>
          <w:szCs w:val="22"/>
          <w:lang w:eastAsia="en-AU"/>
          <w14:ligatures w14:val="none"/>
        </w:rPr>
        <w:t xml:space="preserve">try and leave </w:t>
      </w:r>
      <w:r w:rsidR="00DA5586">
        <w:rPr>
          <w:rFonts w:ascii="Aptos" w:eastAsia="Aptos" w:hAnsi="Aptos" w:cs="Aptos"/>
          <w:kern w:val="0"/>
          <w:sz w:val="22"/>
          <w:szCs w:val="22"/>
          <w:lang w:eastAsia="en-AU"/>
          <w14:ligatures w14:val="none"/>
        </w:rPr>
        <w:t xml:space="preserve">domestic violence </w:t>
      </w:r>
      <w:r w:rsidR="004F3D0E">
        <w:rPr>
          <w:rFonts w:ascii="Aptos" w:eastAsia="Aptos" w:hAnsi="Aptos" w:cs="Aptos"/>
          <w:kern w:val="0"/>
          <w:sz w:val="22"/>
          <w:szCs w:val="22"/>
          <w:lang w:eastAsia="en-AU"/>
          <w14:ligatures w14:val="none"/>
        </w:rPr>
        <w:t xml:space="preserve">situations and be homeless with their children or stay in </w:t>
      </w:r>
      <w:r w:rsidR="003378F0">
        <w:rPr>
          <w:rFonts w:ascii="Aptos" w:eastAsia="Aptos" w:hAnsi="Aptos" w:cs="Aptos"/>
          <w:kern w:val="0"/>
          <w:sz w:val="22"/>
          <w:szCs w:val="22"/>
          <w:lang w:eastAsia="en-AU"/>
          <w14:ligatures w14:val="none"/>
        </w:rPr>
        <w:t xml:space="preserve">unsafe situations but having a roof over their families heads. </w:t>
      </w:r>
      <w:r w:rsidR="001B4BE7">
        <w:rPr>
          <w:rFonts w:ascii="Aptos" w:eastAsia="Aptos" w:hAnsi="Aptos" w:cs="Aptos"/>
          <w:kern w:val="0"/>
          <w:sz w:val="22"/>
          <w:szCs w:val="22"/>
          <w:lang w:eastAsia="en-AU"/>
          <w14:ligatures w14:val="none"/>
        </w:rPr>
        <w:t>C</w:t>
      </w:r>
      <w:r w:rsidR="003D4485">
        <w:rPr>
          <w:rFonts w:ascii="Aptos" w:eastAsia="Aptos" w:hAnsi="Aptos" w:cs="Aptos"/>
          <w:kern w:val="0"/>
          <w:sz w:val="22"/>
          <w:szCs w:val="22"/>
          <w:lang w:eastAsia="en-AU"/>
          <w14:ligatures w14:val="none"/>
        </w:rPr>
        <w:t xml:space="preserve">reative </w:t>
      </w:r>
      <w:r w:rsidR="00F31AE4">
        <w:rPr>
          <w:rFonts w:ascii="Aptos" w:eastAsia="Aptos" w:hAnsi="Aptos" w:cs="Aptos"/>
          <w:kern w:val="0"/>
          <w:sz w:val="22"/>
          <w:szCs w:val="22"/>
          <w:lang w:eastAsia="en-AU"/>
          <w14:ligatures w14:val="none"/>
        </w:rPr>
        <w:t xml:space="preserve">strategies are </w:t>
      </w:r>
      <w:r w:rsidR="006A053A">
        <w:rPr>
          <w:rFonts w:ascii="Aptos" w:eastAsia="Aptos" w:hAnsi="Aptos" w:cs="Aptos"/>
          <w:kern w:val="0"/>
          <w:sz w:val="22"/>
          <w:szCs w:val="22"/>
          <w:lang w:eastAsia="en-AU"/>
          <w14:ligatures w14:val="none"/>
        </w:rPr>
        <w:t xml:space="preserve">required to </w:t>
      </w:r>
      <w:r w:rsidR="00AA2A43">
        <w:rPr>
          <w:rFonts w:ascii="Aptos" w:eastAsia="Aptos" w:hAnsi="Aptos" w:cs="Aptos"/>
          <w:kern w:val="0"/>
          <w:sz w:val="22"/>
          <w:szCs w:val="22"/>
          <w:lang w:eastAsia="en-AU"/>
          <w14:ligatures w14:val="none"/>
        </w:rPr>
        <w:t>provide mothers with options</w:t>
      </w:r>
      <w:r w:rsidR="00CA0EB8">
        <w:rPr>
          <w:rFonts w:ascii="Aptos" w:eastAsia="Aptos" w:hAnsi="Aptos" w:cs="Aptos"/>
          <w:kern w:val="0"/>
          <w:sz w:val="22"/>
          <w:szCs w:val="22"/>
          <w:lang w:eastAsia="en-AU"/>
          <w14:ligatures w14:val="none"/>
        </w:rPr>
        <w:t xml:space="preserve"> while we work on increasing public housing supply</w:t>
      </w:r>
      <w:r w:rsidR="0055615D">
        <w:rPr>
          <w:rFonts w:ascii="Aptos" w:eastAsia="Aptos" w:hAnsi="Aptos" w:cs="Aptos"/>
          <w:kern w:val="0"/>
          <w:sz w:val="22"/>
          <w:szCs w:val="22"/>
          <w:lang w:eastAsia="en-AU"/>
          <w14:ligatures w14:val="none"/>
        </w:rPr>
        <w:t xml:space="preserve">, </w:t>
      </w:r>
      <w:r w:rsidR="00C0588C">
        <w:rPr>
          <w:rFonts w:ascii="Aptos" w:eastAsia="Aptos" w:hAnsi="Aptos" w:cs="Aptos"/>
          <w:kern w:val="0"/>
          <w:sz w:val="22"/>
          <w:szCs w:val="22"/>
          <w:lang w:eastAsia="en-AU"/>
          <w14:ligatures w14:val="none"/>
        </w:rPr>
        <w:t xml:space="preserve">for example </w:t>
      </w:r>
      <w:r w:rsidR="005F0902">
        <w:rPr>
          <w:rFonts w:ascii="Aptos" w:eastAsia="Aptos" w:hAnsi="Aptos" w:cs="Aptos"/>
          <w:kern w:val="0"/>
          <w:sz w:val="22"/>
          <w:szCs w:val="22"/>
          <w:lang w:eastAsia="en-AU"/>
          <w14:ligatures w14:val="none"/>
        </w:rPr>
        <w:t>removing perpetrators from the family home</w:t>
      </w:r>
      <w:r w:rsidR="0055615D">
        <w:rPr>
          <w:rFonts w:ascii="Aptos" w:eastAsia="Aptos" w:hAnsi="Aptos" w:cs="Aptos"/>
          <w:kern w:val="0"/>
          <w:sz w:val="22"/>
          <w:szCs w:val="22"/>
          <w:lang w:eastAsia="en-AU"/>
          <w14:ligatures w14:val="none"/>
        </w:rPr>
        <w:t>,</w:t>
      </w:r>
      <w:r w:rsidR="00C0588C">
        <w:rPr>
          <w:rFonts w:ascii="Aptos" w:eastAsia="Aptos" w:hAnsi="Aptos" w:cs="Aptos"/>
          <w:kern w:val="0"/>
          <w:sz w:val="22"/>
          <w:szCs w:val="22"/>
          <w:lang w:eastAsia="en-AU"/>
          <w14:ligatures w14:val="none"/>
        </w:rPr>
        <w:t xml:space="preserve"> </w:t>
      </w:r>
      <w:r w:rsidR="009F6452">
        <w:rPr>
          <w:rFonts w:ascii="Aptos" w:eastAsia="Aptos" w:hAnsi="Aptos" w:cs="Aptos"/>
          <w:kern w:val="0"/>
          <w:sz w:val="22"/>
          <w:szCs w:val="22"/>
          <w:lang w:eastAsia="en-AU"/>
          <w14:ligatures w14:val="none"/>
        </w:rPr>
        <w:t>tiny homes, shared home</w:t>
      </w:r>
      <w:r w:rsidR="00491743">
        <w:rPr>
          <w:rFonts w:ascii="Aptos" w:eastAsia="Aptos" w:hAnsi="Aptos" w:cs="Aptos"/>
          <w:kern w:val="0"/>
          <w:sz w:val="22"/>
          <w:szCs w:val="22"/>
          <w:lang w:eastAsia="en-AU"/>
          <w14:ligatures w14:val="none"/>
        </w:rPr>
        <w:t>s, foster</w:t>
      </w:r>
      <w:r w:rsidR="0060457F">
        <w:rPr>
          <w:rFonts w:ascii="Aptos" w:eastAsia="Aptos" w:hAnsi="Aptos" w:cs="Aptos"/>
          <w:kern w:val="0"/>
          <w:sz w:val="22"/>
          <w:szCs w:val="22"/>
          <w:lang w:eastAsia="en-AU"/>
          <w14:ligatures w14:val="none"/>
        </w:rPr>
        <w:t>/kinship</w:t>
      </w:r>
      <w:r w:rsidR="00491743">
        <w:rPr>
          <w:rFonts w:ascii="Aptos" w:eastAsia="Aptos" w:hAnsi="Aptos" w:cs="Aptos"/>
          <w:kern w:val="0"/>
          <w:sz w:val="22"/>
          <w:szCs w:val="22"/>
          <w:lang w:eastAsia="en-AU"/>
          <w14:ligatures w14:val="none"/>
        </w:rPr>
        <w:t xml:space="preserve"> grandparents for young single mothers</w:t>
      </w:r>
      <w:r w:rsidR="0060457F">
        <w:rPr>
          <w:rFonts w:ascii="Aptos" w:eastAsia="Aptos" w:hAnsi="Aptos" w:cs="Aptos"/>
          <w:kern w:val="0"/>
          <w:sz w:val="22"/>
          <w:szCs w:val="22"/>
          <w:lang w:eastAsia="en-AU"/>
          <w14:ligatures w14:val="none"/>
        </w:rPr>
        <w:t xml:space="preserve"> to provide housing options and child care support</w:t>
      </w:r>
      <w:r w:rsidR="000E4F74">
        <w:rPr>
          <w:rFonts w:ascii="Aptos" w:eastAsia="Aptos" w:hAnsi="Aptos" w:cs="Aptos"/>
          <w:kern w:val="0"/>
          <w:sz w:val="22"/>
          <w:szCs w:val="22"/>
          <w:lang w:eastAsia="en-AU"/>
          <w14:ligatures w14:val="none"/>
        </w:rPr>
        <w:t>, and supported rent to buy options</w:t>
      </w:r>
      <w:r w:rsidR="0060457F">
        <w:rPr>
          <w:rFonts w:ascii="Aptos" w:eastAsia="Aptos" w:hAnsi="Aptos" w:cs="Aptos"/>
          <w:kern w:val="0"/>
          <w:sz w:val="22"/>
          <w:szCs w:val="22"/>
          <w:lang w:eastAsia="en-AU"/>
          <w14:ligatures w14:val="none"/>
        </w:rPr>
        <w:t>.</w:t>
      </w:r>
    </w:p>
    <w:p w14:paraId="385B9B68" w14:textId="77777777" w:rsidR="00A5005A" w:rsidRDefault="00A5005A" w:rsidP="00FD6E26">
      <w:pPr>
        <w:spacing w:after="0" w:line="240" w:lineRule="auto"/>
        <w:rPr>
          <w:rFonts w:ascii="Aptos" w:eastAsia="Aptos" w:hAnsi="Aptos" w:cs="Aptos"/>
          <w:kern w:val="0"/>
          <w:sz w:val="22"/>
          <w:szCs w:val="22"/>
          <w:lang w:eastAsia="en-AU"/>
          <w14:ligatures w14:val="none"/>
        </w:rPr>
      </w:pPr>
    </w:p>
    <w:p w14:paraId="346E1E81" w14:textId="0D2A52C0" w:rsidR="00A5005A" w:rsidRDefault="006641CA" w:rsidP="00FD6E26">
      <w:pPr>
        <w:spacing w:after="0" w:line="240" w:lineRule="auto"/>
        <w:rPr>
          <w:rFonts w:ascii="Aptos" w:eastAsia="Aptos" w:hAnsi="Aptos" w:cs="Aptos"/>
          <w:kern w:val="0"/>
          <w:sz w:val="22"/>
          <w:szCs w:val="22"/>
          <w:lang w:eastAsia="en-AU"/>
          <w14:ligatures w14:val="none"/>
        </w:rPr>
      </w:pPr>
      <w:r>
        <w:rPr>
          <w:rFonts w:ascii="Aptos" w:eastAsia="Aptos" w:hAnsi="Aptos" w:cs="Aptos"/>
          <w:kern w:val="0"/>
          <w:sz w:val="22"/>
          <w:szCs w:val="22"/>
          <w:lang w:eastAsia="en-AU"/>
          <w14:ligatures w14:val="none"/>
        </w:rPr>
        <w:t xml:space="preserve">Another group </w:t>
      </w:r>
      <w:r w:rsidR="0087149D">
        <w:rPr>
          <w:rFonts w:ascii="Aptos" w:eastAsia="Aptos" w:hAnsi="Aptos" w:cs="Aptos"/>
          <w:kern w:val="0"/>
          <w:sz w:val="22"/>
          <w:szCs w:val="22"/>
          <w:lang w:eastAsia="en-AU"/>
          <w14:ligatures w14:val="none"/>
        </w:rPr>
        <w:t xml:space="preserve">which we have limited evidence on is the number of young people who are fleeing domestic violence, </w:t>
      </w:r>
      <w:r w:rsidR="00C13A3B">
        <w:rPr>
          <w:rFonts w:ascii="Aptos" w:eastAsia="Aptos" w:hAnsi="Aptos" w:cs="Aptos"/>
          <w:kern w:val="0"/>
          <w:sz w:val="22"/>
          <w:szCs w:val="22"/>
          <w:lang w:eastAsia="en-AU"/>
          <w14:ligatures w14:val="none"/>
        </w:rPr>
        <w:t xml:space="preserve">abuse or neglect at home and have become homeless. This group are not captured </w:t>
      </w:r>
      <w:r w:rsidR="0066205B">
        <w:rPr>
          <w:rFonts w:ascii="Aptos" w:eastAsia="Aptos" w:hAnsi="Aptos" w:cs="Aptos"/>
          <w:kern w:val="0"/>
          <w:sz w:val="22"/>
          <w:szCs w:val="22"/>
          <w:lang w:eastAsia="en-AU"/>
          <w14:ligatures w14:val="none"/>
        </w:rPr>
        <w:t xml:space="preserve">in data, </w:t>
      </w:r>
      <w:r w:rsidR="008466C2">
        <w:rPr>
          <w:rFonts w:ascii="Aptos" w:eastAsia="Aptos" w:hAnsi="Aptos" w:cs="Aptos"/>
          <w:kern w:val="0"/>
          <w:sz w:val="22"/>
          <w:szCs w:val="22"/>
          <w:lang w:eastAsia="en-AU"/>
          <w14:ligatures w14:val="none"/>
        </w:rPr>
        <w:t xml:space="preserve">as they don’t fit neatly within services as they </w:t>
      </w:r>
      <w:r w:rsidR="00E46307">
        <w:rPr>
          <w:rFonts w:ascii="Aptos" w:eastAsia="Aptos" w:hAnsi="Aptos" w:cs="Aptos"/>
          <w:kern w:val="0"/>
          <w:sz w:val="22"/>
          <w:szCs w:val="22"/>
          <w:lang w:eastAsia="en-AU"/>
          <w14:ligatures w14:val="none"/>
        </w:rPr>
        <w:t xml:space="preserve">don’t meet </w:t>
      </w:r>
      <w:r w:rsidR="000C2455">
        <w:rPr>
          <w:rFonts w:ascii="Aptos" w:eastAsia="Aptos" w:hAnsi="Aptos" w:cs="Aptos"/>
          <w:kern w:val="0"/>
          <w:sz w:val="22"/>
          <w:szCs w:val="22"/>
          <w:lang w:eastAsia="en-AU"/>
          <w14:ligatures w14:val="none"/>
        </w:rPr>
        <w:t xml:space="preserve">the </w:t>
      </w:r>
      <w:r w:rsidR="00E46307">
        <w:rPr>
          <w:rFonts w:ascii="Aptos" w:eastAsia="Aptos" w:hAnsi="Aptos" w:cs="Aptos"/>
          <w:kern w:val="0"/>
          <w:sz w:val="22"/>
          <w:szCs w:val="22"/>
          <w:lang w:eastAsia="en-AU"/>
          <w14:ligatures w14:val="none"/>
        </w:rPr>
        <w:t xml:space="preserve">criteria </w:t>
      </w:r>
      <w:r w:rsidR="008466C2">
        <w:rPr>
          <w:rFonts w:ascii="Aptos" w:eastAsia="Aptos" w:hAnsi="Aptos" w:cs="Aptos"/>
          <w:kern w:val="0"/>
          <w:sz w:val="22"/>
          <w:szCs w:val="22"/>
          <w:lang w:eastAsia="en-AU"/>
          <w14:ligatures w14:val="none"/>
        </w:rPr>
        <w:t xml:space="preserve">for </w:t>
      </w:r>
      <w:r w:rsidR="00E46307">
        <w:rPr>
          <w:rFonts w:ascii="Aptos" w:eastAsia="Aptos" w:hAnsi="Aptos" w:cs="Aptos"/>
          <w:kern w:val="0"/>
          <w:sz w:val="22"/>
          <w:szCs w:val="22"/>
          <w:lang w:eastAsia="en-AU"/>
          <w14:ligatures w14:val="none"/>
        </w:rPr>
        <w:t>child protection interventions</w:t>
      </w:r>
      <w:r w:rsidR="000C2455">
        <w:rPr>
          <w:rFonts w:ascii="Aptos" w:eastAsia="Aptos" w:hAnsi="Aptos" w:cs="Aptos"/>
          <w:kern w:val="0"/>
          <w:sz w:val="22"/>
          <w:szCs w:val="22"/>
          <w:lang w:eastAsia="en-AU"/>
          <w14:ligatures w14:val="none"/>
        </w:rPr>
        <w:t xml:space="preserve"> and unaccompanied and so </w:t>
      </w:r>
      <w:r w:rsidR="00D82906">
        <w:rPr>
          <w:rFonts w:ascii="Aptos" w:eastAsia="Aptos" w:hAnsi="Aptos" w:cs="Aptos"/>
          <w:kern w:val="0"/>
          <w:sz w:val="22"/>
          <w:szCs w:val="22"/>
          <w:lang w:eastAsia="en-AU"/>
          <w14:ligatures w14:val="none"/>
        </w:rPr>
        <w:t xml:space="preserve">don’t meet criteria for family and domestic violence services who predominantly </w:t>
      </w:r>
      <w:r w:rsidR="007858D4">
        <w:rPr>
          <w:rFonts w:ascii="Aptos" w:eastAsia="Aptos" w:hAnsi="Aptos" w:cs="Aptos"/>
          <w:kern w:val="0"/>
          <w:sz w:val="22"/>
          <w:szCs w:val="22"/>
          <w:lang w:eastAsia="en-AU"/>
          <w14:ligatures w14:val="none"/>
        </w:rPr>
        <w:t xml:space="preserve">support women and mothers. </w:t>
      </w:r>
      <w:r w:rsidR="00E46307">
        <w:rPr>
          <w:rFonts w:ascii="Aptos" w:eastAsia="Aptos" w:hAnsi="Aptos" w:cs="Aptos"/>
          <w:kern w:val="0"/>
          <w:sz w:val="22"/>
          <w:szCs w:val="22"/>
          <w:lang w:eastAsia="en-AU"/>
          <w14:ligatures w14:val="none"/>
        </w:rPr>
        <w:t xml:space="preserve"> </w:t>
      </w:r>
    </w:p>
    <w:p w14:paraId="179578CC" w14:textId="77777777" w:rsidR="00C13A3B" w:rsidRDefault="00C13A3B" w:rsidP="00FD6E26">
      <w:pPr>
        <w:spacing w:after="0" w:line="240" w:lineRule="auto"/>
        <w:rPr>
          <w:rFonts w:ascii="Aptos" w:eastAsia="Aptos" w:hAnsi="Aptos" w:cs="Aptos"/>
          <w:kern w:val="0"/>
          <w:sz w:val="22"/>
          <w:szCs w:val="22"/>
          <w:lang w:eastAsia="en-AU"/>
          <w14:ligatures w14:val="none"/>
        </w:rPr>
      </w:pPr>
    </w:p>
    <w:p w14:paraId="63CCBAA5" w14:textId="162AA6E2" w:rsidR="007858D4" w:rsidRDefault="007858D4" w:rsidP="00FD6E26">
      <w:pPr>
        <w:spacing w:after="0" w:line="240" w:lineRule="auto"/>
        <w:rPr>
          <w:rFonts w:ascii="Aptos" w:eastAsia="Aptos" w:hAnsi="Aptos" w:cs="Aptos"/>
          <w:kern w:val="0"/>
          <w:sz w:val="22"/>
          <w:szCs w:val="22"/>
          <w:lang w:eastAsia="en-AU"/>
          <w14:ligatures w14:val="none"/>
        </w:rPr>
      </w:pPr>
      <w:r>
        <w:rPr>
          <w:rFonts w:ascii="Aptos" w:eastAsia="Aptos" w:hAnsi="Aptos" w:cs="Aptos"/>
          <w:kern w:val="0"/>
          <w:sz w:val="22"/>
          <w:szCs w:val="22"/>
          <w:lang w:eastAsia="en-AU"/>
          <w14:ligatures w14:val="none"/>
        </w:rPr>
        <w:t xml:space="preserve">There is some limited evidence available for this group: </w:t>
      </w:r>
    </w:p>
    <w:p w14:paraId="14BDE062" w14:textId="2D65C61D" w:rsidR="00FD6E26" w:rsidRPr="00EB4E0D" w:rsidRDefault="00FD6E26" w:rsidP="007858D4">
      <w:pPr>
        <w:spacing w:after="0" w:line="240" w:lineRule="auto"/>
        <w:ind w:left="720"/>
        <w:rPr>
          <w:rFonts w:ascii="Aptos" w:eastAsia="Aptos" w:hAnsi="Aptos" w:cs="Aptos"/>
          <w:kern w:val="0"/>
          <w:sz w:val="22"/>
          <w:szCs w:val="22"/>
          <w:lang w:eastAsia="en-AU"/>
          <w14:ligatures w14:val="none"/>
        </w:rPr>
      </w:pPr>
      <w:r w:rsidRPr="00EB4E0D">
        <w:rPr>
          <w:rFonts w:ascii="Aptos" w:eastAsia="Aptos" w:hAnsi="Aptos" w:cs="Aptos"/>
          <w:kern w:val="0"/>
          <w:sz w:val="22"/>
          <w:szCs w:val="22"/>
          <w:lang w:eastAsia="en-AU"/>
          <w14:ligatures w14:val="none"/>
        </w:rPr>
        <w:t>The Homelessness Australia </w:t>
      </w:r>
      <w:hyperlink r:id="rId11" w:history="1">
        <w:r w:rsidRPr="00EB4E0D">
          <w:rPr>
            <w:rFonts w:ascii="Aptos" w:eastAsia="Aptos" w:hAnsi="Aptos" w:cs="Aptos"/>
            <w:color w:val="467886"/>
            <w:kern w:val="0"/>
            <w:sz w:val="22"/>
            <w:szCs w:val="22"/>
            <w:u w:val="single"/>
            <w:lang w:eastAsia="en-AU"/>
            <w14:ligatures w14:val="none"/>
          </w:rPr>
          <w:t>2024 Child Homelessness Snapshot</w:t>
        </w:r>
      </w:hyperlink>
      <w:r w:rsidRPr="00EB4E0D">
        <w:rPr>
          <w:rFonts w:ascii="Aptos" w:eastAsia="Aptos" w:hAnsi="Aptos" w:cs="Aptos"/>
          <w:kern w:val="0"/>
          <w:sz w:val="22"/>
          <w:szCs w:val="22"/>
          <w:lang w:eastAsia="en-AU"/>
          <w14:ligatures w14:val="none"/>
        </w:rPr>
        <w:t> released this week has revealed the harsh reality of the homelessness crisis hitting Aussie families, with more than a third of the 88,696 family members who sought support still homeless during their last contact with homelessness support services. The disturbing family homelessness figures are compounded by the report, which shows more than 76,000 children under the age of 18 sought help from homelessness support services across the nation annually. Almost 16,000 of these children were alone—unaccompanied by a parent or caregiver—and many were fleeing domestic violence, abuse or neglect at home.</w:t>
      </w:r>
    </w:p>
    <w:p w14:paraId="16E156F3" w14:textId="77777777" w:rsidR="00E5765C" w:rsidRDefault="00E5765C" w:rsidP="00FD6E26">
      <w:pPr>
        <w:spacing w:after="0" w:line="240" w:lineRule="auto"/>
        <w:rPr>
          <w:rFonts w:ascii="Aptos" w:eastAsia="Aptos" w:hAnsi="Aptos" w:cs="Aptos"/>
          <w:kern w:val="0"/>
          <w:sz w:val="22"/>
          <w:szCs w:val="22"/>
          <w:lang w:eastAsia="en-AU"/>
          <w14:ligatures w14:val="none"/>
        </w:rPr>
      </w:pPr>
    </w:p>
    <w:p w14:paraId="5355BDAE" w14:textId="59D02A4C" w:rsidR="00FD6E26" w:rsidRPr="00C44CEE" w:rsidRDefault="00FD6E26" w:rsidP="00FD6E26">
      <w:pPr>
        <w:spacing w:after="0" w:line="240" w:lineRule="auto"/>
        <w:rPr>
          <w:rFonts w:ascii="Aptos" w:eastAsia="Aptos" w:hAnsi="Aptos" w:cs="Aptos"/>
          <w:kern w:val="0"/>
          <w:sz w:val="22"/>
          <w:szCs w:val="22"/>
          <w:lang w:eastAsia="en-AU"/>
          <w14:ligatures w14:val="none"/>
        </w:rPr>
      </w:pPr>
      <w:r w:rsidRPr="00C44CEE">
        <w:rPr>
          <w:rFonts w:ascii="Aptos" w:eastAsia="Aptos" w:hAnsi="Aptos" w:cs="Aptos"/>
          <w:kern w:val="0"/>
          <w:sz w:val="22"/>
          <w:szCs w:val="22"/>
          <w:lang w:eastAsia="en-AU"/>
          <w14:ligatures w14:val="none"/>
        </w:rPr>
        <w:t>It is difficult to get real estimates of this number and so we are currently reliant on Homelessness services capturing data on this sub-group of unaccompanied children and young people</w:t>
      </w:r>
      <w:r w:rsidR="00B6436A">
        <w:rPr>
          <w:rFonts w:ascii="Aptos" w:eastAsia="Aptos" w:hAnsi="Aptos" w:cs="Aptos"/>
          <w:kern w:val="0"/>
          <w:sz w:val="22"/>
          <w:szCs w:val="22"/>
          <w:lang w:eastAsia="en-AU"/>
          <w14:ligatures w14:val="none"/>
        </w:rPr>
        <w:t>. In the action plan</w:t>
      </w:r>
      <w:r w:rsidR="007858D4">
        <w:rPr>
          <w:rFonts w:ascii="Aptos" w:eastAsia="Aptos" w:hAnsi="Aptos" w:cs="Aptos"/>
          <w:kern w:val="0"/>
          <w:sz w:val="22"/>
          <w:szCs w:val="22"/>
          <w:lang w:eastAsia="en-AU"/>
          <w14:ligatures w14:val="none"/>
        </w:rPr>
        <w:t xml:space="preserve"> this </w:t>
      </w:r>
      <w:r w:rsidR="00B6436A">
        <w:rPr>
          <w:rFonts w:ascii="Aptos" w:eastAsia="Aptos" w:hAnsi="Aptos" w:cs="Aptos"/>
          <w:kern w:val="0"/>
          <w:sz w:val="22"/>
          <w:szCs w:val="22"/>
          <w:lang w:eastAsia="en-AU"/>
          <w14:ligatures w14:val="none"/>
        </w:rPr>
        <w:t xml:space="preserve">group </w:t>
      </w:r>
      <w:r w:rsidR="007858D4">
        <w:rPr>
          <w:rFonts w:ascii="Aptos" w:eastAsia="Aptos" w:hAnsi="Aptos" w:cs="Aptos"/>
          <w:kern w:val="0"/>
          <w:sz w:val="22"/>
          <w:szCs w:val="22"/>
          <w:lang w:eastAsia="en-AU"/>
          <w14:ligatures w14:val="none"/>
        </w:rPr>
        <w:t>needs to be investigated further and strategic responses developed</w:t>
      </w:r>
      <w:r w:rsidRPr="00C44CEE">
        <w:rPr>
          <w:rFonts w:ascii="Aptos" w:eastAsia="Aptos" w:hAnsi="Aptos" w:cs="Aptos"/>
          <w:kern w:val="0"/>
          <w:sz w:val="22"/>
          <w:szCs w:val="22"/>
          <w:lang w:eastAsia="en-AU"/>
          <w14:ligatures w14:val="none"/>
        </w:rPr>
        <w:t xml:space="preserve">. </w:t>
      </w:r>
      <w:r w:rsidR="00126448">
        <w:rPr>
          <w:rFonts w:ascii="Aptos" w:eastAsia="Aptos" w:hAnsi="Aptos" w:cs="Aptos"/>
          <w:kern w:val="0"/>
          <w:sz w:val="22"/>
          <w:szCs w:val="22"/>
          <w:lang w:eastAsia="en-AU"/>
          <w14:ligatures w14:val="none"/>
        </w:rPr>
        <w:t xml:space="preserve">This includes </w:t>
      </w:r>
      <w:r w:rsidR="00B6436A">
        <w:rPr>
          <w:rFonts w:ascii="Aptos" w:eastAsia="Aptos" w:hAnsi="Aptos" w:cs="Aptos"/>
          <w:kern w:val="0"/>
          <w:sz w:val="22"/>
          <w:szCs w:val="22"/>
          <w:lang w:eastAsia="en-AU"/>
          <w14:ligatures w14:val="none"/>
        </w:rPr>
        <w:t xml:space="preserve">talking to young people about </w:t>
      </w:r>
      <w:r w:rsidR="00126448">
        <w:rPr>
          <w:rFonts w:ascii="Aptos" w:eastAsia="Aptos" w:hAnsi="Aptos" w:cs="Aptos"/>
          <w:kern w:val="0"/>
          <w:sz w:val="22"/>
          <w:szCs w:val="22"/>
          <w:lang w:eastAsia="en-AU"/>
          <w14:ligatures w14:val="none"/>
        </w:rPr>
        <w:t xml:space="preserve">their specific needs and </w:t>
      </w:r>
      <w:r w:rsidR="00B6436A">
        <w:rPr>
          <w:rFonts w:ascii="Aptos" w:eastAsia="Aptos" w:hAnsi="Aptos" w:cs="Aptos"/>
          <w:kern w:val="0"/>
          <w:sz w:val="22"/>
          <w:szCs w:val="22"/>
          <w:lang w:eastAsia="en-AU"/>
          <w14:ligatures w14:val="none"/>
        </w:rPr>
        <w:t>co-devel</w:t>
      </w:r>
      <w:r w:rsidR="00952D3C">
        <w:rPr>
          <w:rFonts w:ascii="Aptos" w:eastAsia="Aptos" w:hAnsi="Aptos" w:cs="Aptos"/>
          <w:kern w:val="0"/>
          <w:sz w:val="22"/>
          <w:szCs w:val="22"/>
          <w:lang w:eastAsia="en-AU"/>
          <w14:ligatures w14:val="none"/>
        </w:rPr>
        <w:t>o</w:t>
      </w:r>
      <w:r w:rsidR="00B6436A">
        <w:rPr>
          <w:rFonts w:ascii="Aptos" w:eastAsia="Aptos" w:hAnsi="Aptos" w:cs="Aptos"/>
          <w:kern w:val="0"/>
          <w:sz w:val="22"/>
          <w:szCs w:val="22"/>
          <w:lang w:eastAsia="en-AU"/>
          <w14:ligatures w14:val="none"/>
        </w:rPr>
        <w:t xml:space="preserve">ping </w:t>
      </w:r>
      <w:r w:rsidR="00126448">
        <w:rPr>
          <w:rFonts w:ascii="Aptos" w:eastAsia="Aptos" w:hAnsi="Aptos" w:cs="Aptos"/>
          <w:kern w:val="0"/>
          <w:sz w:val="22"/>
          <w:szCs w:val="22"/>
          <w:lang w:eastAsia="en-AU"/>
          <w14:ligatures w14:val="none"/>
        </w:rPr>
        <w:t>responses required to support them.</w:t>
      </w:r>
    </w:p>
    <w:p w14:paraId="1B5AB140" w14:textId="77777777" w:rsidR="00FD6E26" w:rsidRDefault="00FD6E26" w:rsidP="00FD6E26">
      <w:pPr>
        <w:pStyle w:val="paragraph"/>
        <w:spacing w:before="0" w:beforeAutospacing="0" w:after="0" w:afterAutospacing="0"/>
        <w:ind w:left="-570" w:right="-645"/>
        <w:textAlignment w:val="baseline"/>
        <w:rPr>
          <w:rFonts w:ascii="Segoe UI" w:hAnsi="Segoe UI" w:cs="Segoe UI"/>
          <w:sz w:val="18"/>
          <w:szCs w:val="18"/>
        </w:rPr>
      </w:pPr>
    </w:p>
    <w:p w14:paraId="4F72BA76" w14:textId="77777777" w:rsidR="0010157C" w:rsidRPr="00C8301D" w:rsidRDefault="0010157C" w:rsidP="0010157C">
      <w:pPr>
        <w:rPr>
          <w:b/>
          <w:bCs/>
        </w:rPr>
      </w:pPr>
      <w:r w:rsidRPr="00C8301D">
        <w:rPr>
          <w:b/>
          <w:bCs/>
        </w:rPr>
        <w:t>Multidisciplinary Responses</w:t>
      </w:r>
    </w:p>
    <w:p w14:paraId="7F682977" w14:textId="77777777" w:rsidR="0010157C" w:rsidRPr="00C8301D" w:rsidRDefault="0010157C" w:rsidP="0010157C">
      <w:pPr>
        <w:rPr>
          <w:sz w:val="22"/>
          <w:szCs w:val="22"/>
        </w:rPr>
      </w:pPr>
      <w:r w:rsidRPr="00C8301D">
        <w:rPr>
          <w:sz w:val="22"/>
          <w:szCs w:val="22"/>
        </w:rPr>
        <w:t>While primary prevention rightly remains a priority across plans, the high prevalence of multi-type and repeated victimisation among children highlights that the prevention of re-victimisation is a critical intervention strategy. Because these children and young people are already known to authorities, improving the systemic response they receive is an actionable objective within the direct control of state and territory governments.</w:t>
      </w:r>
    </w:p>
    <w:p w14:paraId="5A0BA9F3" w14:textId="77777777" w:rsidR="0010157C" w:rsidRPr="00C8301D" w:rsidRDefault="0010157C" w:rsidP="0010157C">
      <w:pPr>
        <w:rPr>
          <w:sz w:val="22"/>
          <w:szCs w:val="22"/>
        </w:rPr>
      </w:pPr>
      <w:r w:rsidRPr="00C8301D">
        <w:rPr>
          <w:sz w:val="22"/>
          <w:szCs w:val="22"/>
        </w:rPr>
        <w:lastRenderedPageBreak/>
        <w:t>Currently, the majority of children with suspected sexual abuse do not receive a formal police or child protection intervention</w:t>
      </w:r>
      <w:r>
        <w:rPr>
          <w:sz w:val="22"/>
          <w:szCs w:val="22"/>
        </w:rPr>
        <w:t xml:space="preserve"> </w:t>
      </w:r>
      <w:r>
        <w:rPr>
          <w:rStyle w:val="FootnoteReference"/>
          <w:sz w:val="22"/>
          <w:szCs w:val="22"/>
        </w:rPr>
        <w:footnoteReference w:id="1"/>
      </w:r>
      <w:r>
        <w:rPr>
          <w:sz w:val="22"/>
          <w:szCs w:val="22"/>
        </w:rPr>
        <w:t xml:space="preserve"> </w:t>
      </w:r>
      <w:r>
        <w:rPr>
          <w:rStyle w:val="FootnoteReference"/>
          <w:sz w:val="22"/>
          <w:szCs w:val="22"/>
        </w:rPr>
        <w:footnoteReference w:id="2"/>
      </w:r>
      <w:r w:rsidRPr="00C8301D">
        <w:rPr>
          <w:sz w:val="22"/>
          <w:szCs w:val="22"/>
        </w:rPr>
        <w:t>. For the most part, existing framework operations assume that abuse has not occurred unless specific thresholds or evidentiary conditions are met. To mitigate system-induced trauma, formal responses must prioriti</w:t>
      </w:r>
      <w:r>
        <w:rPr>
          <w:sz w:val="22"/>
          <w:szCs w:val="22"/>
        </w:rPr>
        <w:t>s</w:t>
      </w:r>
      <w:r w:rsidRPr="00C8301D">
        <w:rPr>
          <w:sz w:val="22"/>
          <w:szCs w:val="22"/>
        </w:rPr>
        <w:t>e immediate recovery from the effects of abuse alongside the safety and wellbeing of the family, rather than privileging the mandates of the criminal justice system</w:t>
      </w:r>
      <w:r>
        <w:rPr>
          <w:sz w:val="22"/>
          <w:szCs w:val="22"/>
        </w:rPr>
        <w:t xml:space="preserve"> - </w:t>
      </w:r>
      <w:r w:rsidRPr="00C8301D">
        <w:rPr>
          <w:sz w:val="22"/>
          <w:szCs w:val="22"/>
        </w:rPr>
        <w:t>unless the child and family explicitly identify legal proceedings as their primary priority.</w:t>
      </w:r>
    </w:p>
    <w:p w14:paraId="0C83A287" w14:textId="77777777" w:rsidR="0010157C" w:rsidRPr="00C8301D" w:rsidRDefault="0010157C" w:rsidP="0010157C">
      <w:pPr>
        <w:rPr>
          <w:sz w:val="22"/>
          <w:szCs w:val="22"/>
        </w:rPr>
      </w:pPr>
      <w:r w:rsidRPr="00C8301D">
        <w:rPr>
          <w:sz w:val="22"/>
          <w:szCs w:val="22"/>
        </w:rPr>
        <w:t xml:space="preserve">In Australia, responses to abuse typically rely on fragmented, individual </w:t>
      </w:r>
      <w:r>
        <w:rPr>
          <w:sz w:val="22"/>
          <w:szCs w:val="22"/>
        </w:rPr>
        <w:t xml:space="preserve">or inter-agency </w:t>
      </w:r>
      <w:r w:rsidRPr="00C8301D">
        <w:rPr>
          <w:sz w:val="22"/>
          <w:szCs w:val="22"/>
        </w:rPr>
        <w:t>communication between statutory agencies and expect families to navigate and access support services independently</w:t>
      </w:r>
      <w:r>
        <w:rPr>
          <w:rStyle w:val="FootnoteReference"/>
          <w:sz w:val="22"/>
          <w:szCs w:val="22"/>
        </w:rPr>
        <w:footnoteReference w:id="3"/>
      </w:r>
      <w:r w:rsidRPr="00C8301D">
        <w:rPr>
          <w:sz w:val="22"/>
          <w:szCs w:val="22"/>
        </w:rPr>
        <w:t>. This fragmentation introduces significant barriers to</w:t>
      </w:r>
      <w:r>
        <w:rPr>
          <w:sz w:val="22"/>
          <w:szCs w:val="22"/>
        </w:rPr>
        <w:t xml:space="preserve"> receiving appropriate</w:t>
      </w:r>
      <w:r w:rsidRPr="00C8301D">
        <w:rPr>
          <w:sz w:val="22"/>
          <w:szCs w:val="22"/>
        </w:rPr>
        <w:t xml:space="preserve"> care, causing additional distress and uncertainty</w:t>
      </w:r>
      <w:r>
        <w:rPr>
          <w:rStyle w:val="FootnoteReference"/>
          <w:sz w:val="22"/>
          <w:szCs w:val="22"/>
        </w:rPr>
        <w:footnoteReference w:id="4"/>
      </w:r>
      <w:r w:rsidRPr="00C8301D">
        <w:rPr>
          <w:sz w:val="22"/>
          <w:szCs w:val="22"/>
        </w:rPr>
        <w:t>. Consequently, it creates an environment where children perceive that formal structures are indifferent or incapable of protecting them—a dynamic that directly disincentivises disclosure and leaves children in vulnerable, prolonged situations of abuse</w:t>
      </w:r>
      <w:r>
        <w:rPr>
          <w:rStyle w:val="FootnoteReference"/>
          <w:sz w:val="22"/>
          <w:szCs w:val="22"/>
        </w:rPr>
        <w:footnoteReference w:id="5"/>
      </w:r>
      <w:r w:rsidRPr="00C8301D">
        <w:rPr>
          <w:sz w:val="22"/>
          <w:szCs w:val="22"/>
        </w:rPr>
        <w:t>. Conversely, building community confidence in the quality and safety of institutional responses serves as a structural protective factor against the isolation and grooming of children</w:t>
      </w:r>
      <w:r>
        <w:rPr>
          <w:rStyle w:val="FootnoteReference"/>
          <w:sz w:val="22"/>
          <w:szCs w:val="22"/>
        </w:rPr>
        <w:footnoteReference w:id="6"/>
      </w:r>
      <w:r w:rsidRPr="00C8301D">
        <w:rPr>
          <w:sz w:val="22"/>
          <w:szCs w:val="22"/>
        </w:rPr>
        <w:t>.</w:t>
      </w:r>
    </w:p>
    <w:p w14:paraId="30FEC0F4" w14:textId="77777777" w:rsidR="0010157C" w:rsidRPr="00C8301D" w:rsidRDefault="0010157C" w:rsidP="0010157C">
      <w:pPr>
        <w:rPr>
          <w:sz w:val="22"/>
          <w:szCs w:val="22"/>
        </w:rPr>
      </w:pPr>
      <w:r w:rsidRPr="00C8301D">
        <w:rPr>
          <w:sz w:val="22"/>
          <w:szCs w:val="22"/>
        </w:rPr>
        <w:t>Improving response quality requires resolving institutional siloing that characterises current frameworks across Australian jurisdictions. Historically, criminal justice, child protection, medical health, mental health, and family domestic violence services have operated in geographical and operational isolation. The consequences of fragmentation are profound: investigations take longer, critical forensic evidence can be lost, children remain at direct risk, and families are left without immediate support to navigate the heightened risks associated with disclosure</w:t>
      </w:r>
      <w:r>
        <w:rPr>
          <w:sz w:val="22"/>
          <w:szCs w:val="22"/>
        </w:rPr>
        <w:t xml:space="preserve"> </w:t>
      </w:r>
      <w:r>
        <w:rPr>
          <w:rStyle w:val="FootnoteReference"/>
          <w:sz w:val="22"/>
          <w:szCs w:val="22"/>
        </w:rPr>
        <w:footnoteReference w:id="7"/>
      </w:r>
      <w:r w:rsidRPr="00C8301D">
        <w:rPr>
          <w:sz w:val="22"/>
          <w:szCs w:val="22"/>
        </w:rPr>
        <w:t>. While the difficulty of transitioning from an agency-centric model to a truly child-centred response cannot be understated, mitigating this fragmentation remains entirely within the purview of government leadership.</w:t>
      </w:r>
    </w:p>
    <w:p w14:paraId="383D150D" w14:textId="77777777" w:rsidR="0010157C" w:rsidRPr="00C8301D" w:rsidRDefault="0010157C" w:rsidP="0010157C">
      <w:pPr>
        <w:rPr>
          <w:sz w:val="22"/>
          <w:szCs w:val="22"/>
        </w:rPr>
      </w:pPr>
      <w:r w:rsidRPr="00C8301D">
        <w:rPr>
          <w:sz w:val="22"/>
          <w:szCs w:val="22"/>
        </w:rPr>
        <w:lastRenderedPageBreak/>
        <w:t>A commitment to implementing integrated multi-agency models, such as the internationally recognised Barnahus (Children’s House) framework</w:t>
      </w:r>
      <w:r>
        <w:rPr>
          <w:rStyle w:val="FootnoteReference"/>
          <w:sz w:val="22"/>
          <w:szCs w:val="22"/>
        </w:rPr>
        <w:footnoteReference w:id="8"/>
      </w:r>
      <w:r w:rsidRPr="00C8301D">
        <w:rPr>
          <w:sz w:val="22"/>
          <w:szCs w:val="22"/>
        </w:rPr>
        <w:t>, provides a clear path forward. Grounded in a child-rights approach, the Barnahus model establishes formalised multi-disciplinary teams, timely information exchange, and the co-location of core operational pillars. These functions are traditionally categorised into the "four rooms," encompassing criminal justice investigations, child protection, physical health examinations, and therapeutic recovery. The framework prioritises strict adherence to child-rights principles rather than prescriptive operational structures. This flexibility is demonstrated across Europe, where the majority of nations have adapted and interpreted the Barnahus Quality Standards to reflect the specific legislative and cultural needs of their respective jurisdictions</w:t>
      </w:r>
      <w:r>
        <w:rPr>
          <w:rStyle w:val="FootnoteReference"/>
          <w:sz w:val="22"/>
          <w:szCs w:val="22"/>
        </w:rPr>
        <w:footnoteReference w:id="9"/>
      </w:r>
      <w:r w:rsidRPr="00C8301D">
        <w:rPr>
          <w:sz w:val="22"/>
          <w:szCs w:val="22"/>
        </w:rPr>
        <w:t>.</w:t>
      </w:r>
    </w:p>
    <w:p w14:paraId="1A5D6758" w14:textId="77777777" w:rsidR="0010157C" w:rsidRPr="00C8301D" w:rsidRDefault="0010157C" w:rsidP="0010157C">
      <w:pPr>
        <w:rPr>
          <w:sz w:val="22"/>
          <w:szCs w:val="22"/>
        </w:rPr>
      </w:pPr>
      <w:r w:rsidRPr="00C8301D">
        <w:rPr>
          <w:sz w:val="22"/>
          <w:szCs w:val="22"/>
        </w:rPr>
        <w:t xml:space="preserve">The Barnahus framework is uniquely suited to the Australian context because its adaptable, multi-agency foundation aligns cleanly with our state and territory statutory structures. At a minimum, Barnahus operationalises a formal relationship between key agencies, mandates the timely exchange of information, and </w:t>
      </w:r>
      <w:r>
        <w:rPr>
          <w:sz w:val="22"/>
          <w:szCs w:val="22"/>
        </w:rPr>
        <w:t>ensures</w:t>
      </w:r>
      <w:r w:rsidRPr="00C8301D">
        <w:rPr>
          <w:sz w:val="22"/>
          <w:szCs w:val="22"/>
        </w:rPr>
        <w:t xml:space="preserve"> services</w:t>
      </w:r>
      <w:r>
        <w:rPr>
          <w:sz w:val="22"/>
          <w:szCs w:val="22"/>
        </w:rPr>
        <w:t xml:space="preserve"> are accessible from</w:t>
      </w:r>
      <w:r w:rsidRPr="00C8301D">
        <w:rPr>
          <w:sz w:val="22"/>
          <w:szCs w:val="22"/>
        </w:rPr>
        <w:t xml:space="preserve"> a single site. Crucially, it embeds a cross-agency commitment to child rights and establishes mutual accountability for child outcomes.</w:t>
      </w:r>
    </w:p>
    <w:p w14:paraId="0C5269B9" w14:textId="77777777" w:rsidR="0010157C" w:rsidRPr="00C8301D" w:rsidRDefault="0010157C" w:rsidP="0010157C">
      <w:pPr>
        <w:rPr>
          <w:sz w:val="22"/>
          <w:szCs w:val="22"/>
        </w:rPr>
      </w:pPr>
      <w:r w:rsidRPr="00C8301D">
        <w:rPr>
          <w:sz w:val="22"/>
          <w:szCs w:val="22"/>
        </w:rPr>
        <w:t>While the majority of OECD countries have committed to Barnahus or Children's Advocacy Centre (CAC) models, few jurisdictions claim to have fully realised these benchmarks; instead, they are proactively working toward implementing locali</w:t>
      </w:r>
      <w:r>
        <w:rPr>
          <w:sz w:val="22"/>
          <w:szCs w:val="22"/>
        </w:rPr>
        <w:t>s</w:t>
      </w:r>
      <w:r w:rsidRPr="00C8301D">
        <w:rPr>
          <w:sz w:val="22"/>
          <w:szCs w:val="22"/>
        </w:rPr>
        <w:t>ed iterations of the standards. Crucially, recogni</w:t>
      </w:r>
      <w:r>
        <w:rPr>
          <w:sz w:val="22"/>
          <w:szCs w:val="22"/>
        </w:rPr>
        <w:t>s</w:t>
      </w:r>
      <w:r w:rsidRPr="00C8301D">
        <w:rPr>
          <w:sz w:val="22"/>
          <w:szCs w:val="22"/>
        </w:rPr>
        <w:t>ing the systemic complexity of child sexual abuse allegations within custody disputes, several nations have successfully integrated Barnahus elements with family and civil court frameworks:</w:t>
      </w:r>
    </w:p>
    <w:p w14:paraId="50AE8E03" w14:textId="77777777" w:rsidR="0010157C" w:rsidRPr="00C8301D" w:rsidRDefault="0010157C" w:rsidP="0010157C">
      <w:pPr>
        <w:numPr>
          <w:ilvl w:val="0"/>
          <w:numId w:val="18"/>
        </w:numPr>
        <w:rPr>
          <w:sz w:val="22"/>
          <w:szCs w:val="22"/>
        </w:rPr>
      </w:pPr>
      <w:r w:rsidRPr="00C8301D">
        <w:rPr>
          <w:sz w:val="22"/>
          <w:szCs w:val="22"/>
        </w:rPr>
        <w:t>Finland operates an independent, hospital-based investigation response in conjunction with police and prosecutors, producing expert determinations that are admissible in civil courts.</w:t>
      </w:r>
    </w:p>
    <w:p w14:paraId="538ADE95" w14:textId="77777777" w:rsidR="0010157C" w:rsidRPr="00C8301D" w:rsidRDefault="0010157C" w:rsidP="0010157C">
      <w:pPr>
        <w:numPr>
          <w:ilvl w:val="0"/>
          <w:numId w:val="18"/>
        </w:numPr>
        <w:rPr>
          <w:sz w:val="22"/>
          <w:szCs w:val="22"/>
        </w:rPr>
      </w:pPr>
      <w:r w:rsidRPr="00C8301D">
        <w:rPr>
          <w:sz w:val="22"/>
          <w:szCs w:val="22"/>
        </w:rPr>
        <w:t>Czechia utilizes the child-friendly environment of the Barnahus to allow children to provide evidence directly to the family court.</w:t>
      </w:r>
    </w:p>
    <w:p w14:paraId="1189DDA3" w14:textId="77777777" w:rsidR="0010157C" w:rsidRPr="00C8301D" w:rsidRDefault="0010157C" w:rsidP="0010157C">
      <w:pPr>
        <w:numPr>
          <w:ilvl w:val="0"/>
          <w:numId w:val="18"/>
        </w:numPr>
        <w:rPr>
          <w:sz w:val="22"/>
          <w:szCs w:val="22"/>
        </w:rPr>
      </w:pPr>
      <w:r w:rsidRPr="00C8301D">
        <w:rPr>
          <w:sz w:val="22"/>
          <w:szCs w:val="22"/>
        </w:rPr>
        <w:t>Slovenia is currently developing a dedicated institution within its Barnahus infrastructure specifically designed to respond to high-conflict divorce settings, drawing on a bilateral partnership with Iceland to define the role of the Barnahus in custody disputes.</w:t>
      </w:r>
    </w:p>
    <w:p w14:paraId="574B6456" w14:textId="3C89FD6C" w:rsidR="00182062" w:rsidRDefault="00C57F4C">
      <w:pPr>
        <w:rPr>
          <w:b/>
          <w:bCs/>
        </w:rPr>
      </w:pPr>
      <w:r>
        <w:rPr>
          <w:b/>
          <w:bCs/>
        </w:rPr>
        <w:br w:type="column"/>
      </w:r>
      <w:r w:rsidR="00182062">
        <w:rPr>
          <w:b/>
          <w:bCs/>
        </w:rPr>
        <w:lastRenderedPageBreak/>
        <w:t>Young males</w:t>
      </w:r>
    </w:p>
    <w:p w14:paraId="46F0EE3A" w14:textId="30B56346" w:rsidR="009B4BD9" w:rsidRDefault="009B4BD9" w:rsidP="00BC049B">
      <w:r>
        <w:t xml:space="preserve">Young males are another group who require considered strategic responses given the current influences on young men through social media and </w:t>
      </w:r>
      <w:r w:rsidR="00E71FE3">
        <w:t xml:space="preserve">the manosphere. </w:t>
      </w:r>
      <w:r w:rsidR="00D9517D">
        <w:t xml:space="preserve">It is clear from </w:t>
      </w:r>
      <w:r w:rsidR="00E71FE3">
        <w:t xml:space="preserve">evidence that young men require </w:t>
      </w:r>
      <w:r w:rsidR="00D9517D">
        <w:t xml:space="preserve">tailored </w:t>
      </w:r>
      <w:r w:rsidR="00E71FE3">
        <w:t xml:space="preserve">prevention and early intervention which </w:t>
      </w:r>
      <w:r w:rsidR="00D9517D">
        <w:t xml:space="preserve">engages and supports them in </w:t>
      </w:r>
      <w:r w:rsidR="006B3B95">
        <w:t>improving their understanding of safe, respectful relationships, coercive control and the</w:t>
      </w:r>
      <w:r w:rsidR="000B07AD">
        <w:t>ir</w:t>
      </w:r>
      <w:r w:rsidR="006B3B95">
        <w:t xml:space="preserve"> use of </w:t>
      </w:r>
      <w:r w:rsidR="000B07AD">
        <w:t xml:space="preserve">digital technology to reduce the incidence of </w:t>
      </w:r>
      <w:r w:rsidR="00073519">
        <w:t xml:space="preserve">them being targeted as victims and also the use of digital technology in perpetration. </w:t>
      </w:r>
    </w:p>
    <w:p w14:paraId="00512F37" w14:textId="09665350" w:rsidR="00BC049B" w:rsidRPr="00BC049B" w:rsidRDefault="00BC049B" w:rsidP="00BC049B">
      <w:pPr>
        <w:rPr>
          <w:b/>
          <w:bCs/>
        </w:rPr>
      </w:pPr>
      <w:r w:rsidRPr="00BC049B">
        <w:t xml:space="preserve">Australia's E-Safety commissioner says sexual extortion in young men "has reach catastrophic proportions", </w:t>
      </w:r>
      <w:r w:rsidR="00073519">
        <w:t xml:space="preserve">with </w:t>
      </w:r>
      <w:r w:rsidRPr="00BC049B">
        <w:t xml:space="preserve">experts </w:t>
      </w:r>
      <w:r w:rsidR="00073519">
        <w:t xml:space="preserve">concerned </w:t>
      </w:r>
      <w:r w:rsidRPr="00BC049B">
        <w:t>the problem could be under-reported.</w:t>
      </w:r>
      <w:r w:rsidR="00073519">
        <w:t xml:space="preserve"> </w:t>
      </w:r>
      <w:r w:rsidRPr="00BC049B">
        <w:t>Sextortion is when sexual images are shared through messages on social media, and the threats of sharing the photos are made unless a sum of money paid.</w:t>
      </w:r>
      <w:r w:rsidR="00073519">
        <w:t xml:space="preserve"> </w:t>
      </w:r>
      <w:r w:rsidRPr="00BC049B">
        <w:t xml:space="preserve">The latest E-Safety Commission's transparency report has found persistent gaps in social media platforms in detecting and preventing sextortion. </w:t>
      </w:r>
      <w:r w:rsidR="00073519">
        <w:t xml:space="preserve"> </w:t>
      </w:r>
      <w:r w:rsidRPr="00BC049B">
        <w:t>A seemingly harmless flirtation on a dating or social media app could be a deepfake mistake – the first step in a sextortion scam designed to elicit nudes before demanding payment.</w:t>
      </w:r>
      <w:r w:rsidR="00073519">
        <w:t xml:space="preserve"> </w:t>
      </w:r>
      <w:r w:rsidRPr="00BC049B">
        <w:t>In 2025, eSafety received more than 3,300 reports of sexual extortion through its image-based abuse scheme. Eighty-six per cent of these reports were from males of all ages and 42 per cent of all sextortion reports from males aged 18 to 24 years.</w:t>
      </w:r>
    </w:p>
    <w:p w14:paraId="363370A7" w14:textId="46398BAA" w:rsidR="00391547" w:rsidRDefault="000A10F2" w:rsidP="000E12D9">
      <w:pPr>
        <w:rPr>
          <w:b/>
          <w:bCs/>
        </w:rPr>
      </w:pPr>
      <w:r>
        <w:rPr>
          <w:b/>
          <w:bCs/>
        </w:rPr>
        <w:t>Pri</w:t>
      </w:r>
      <w:r w:rsidR="00A86C14">
        <w:rPr>
          <w:b/>
          <w:bCs/>
        </w:rPr>
        <w:t>o</w:t>
      </w:r>
      <w:r>
        <w:rPr>
          <w:b/>
          <w:bCs/>
        </w:rPr>
        <w:t>r</w:t>
      </w:r>
      <w:r w:rsidR="00A86C14">
        <w:rPr>
          <w:b/>
          <w:bCs/>
        </w:rPr>
        <w:t>i</w:t>
      </w:r>
      <w:r>
        <w:rPr>
          <w:b/>
          <w:bCs/>
        </w:rPr>
        <w:t>ty population:</w:t>
      </w:r>
      <w:r w:rsidR="00ED55FA">
        <w:rPr>
          <w:b/>
          <w:bCs/>
        </w:rPr>
        <w:t xml:space="preserve"> </w:t>
      </w:r>
      <w:r>
        <w:rPr>
          <w:b/>
          <w:bCs/>
        </w:rPr>
        <w:t>Disability</w:t>
      </w:r>
    </w:p>
    <w:p w14:paraId="2C6F5EE9" w14:textId="0CD036FB" w:rsidR="009C14C5" w:rsidRPr="008B243E" w:rsidRDefault="009C14C5" w:rsidP="00E950A7">
      <w:pPr>
        <w:ind w:left="-567"/>
      </w:pPr>
      <w:r w:rsidRPr="008B243E">
        <w:t xml:space="preserve">The need for </w:t>
      </w:r>
      <w:r w:rsidR="00F87BDD">
        <w:t xml:space="preserve">disability informed family and domestic violence services is required given the high prevalence of children with disabilities who are exposed to family and domestic violence. </w:t>
      </w:r>
      <w:r w:rsidR="00952D3C">
        <w:t xml:space="preserve">The ACCP has produced specific evidence on this group of children and young people: </w:t>
      </w:r>
    </w:p>
    <w:p w14:paraId="0ED28006" w14:textId="5DFFB79A" w:rsidR="0051237B" w:rsidRPr="000E12D9" w:rsidRDefault="0051237B" w:rsidP="009C14C5">
      <w:pPr>
        <w:rPr>
          <w:b/>
          <w:bCs/>
        </w:rPr>
      </w:pPr>
      <w:r>
        <w:rPr>
          <w:rStyle w:val="normaltextrun"/>
          <w:rFonts w:ascii="Arial" w:hAnsi="Arial" w:cs="Arial"/>
          <w:b/>
          <w:bCs/>
          <w:sz w:val="22"/>
          <w:szCs w:val="22"/>
        </w:rPr>
        <w:t>ANROWS reports: The nature and extent of domestic and family violence exposure for children and young people with disability (Phase1). </w:t>
      </w:r>
      <w:r>
        <w:rPr>
          <w:rStyle w:val="eop"/>
          <w:rFonts w:ascii="Arial" w:hAnsi="Arial" w:cs="Arial"/>
          <w:sz w:val="22"/>
          <w:szCs w:val="22"/>
          <w:bdr w:val="none" w:sz="0" w:space="0" w:color="auto" w:frame="1"/>
          <w:shd w:val="clear" w:color="auto" w:fill="C6C6C6"/>
        </w:rPr>
        <w:t> </w:t>
      </w:r>
    </w:p>
    <w:p w14:paraId="7494335B"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hyperlink r:id="rId12" w:tgtFrame="_blank" w:history="1">
        <w:r>
          <w:rPr>
            <w:rStyle w:val="normaltextrun"/>
            <w:rFonts w:ascii="Arial" w:hAnsi="Arial" w:cs="Arial"/>
            <w:color w:val="0563C1"/>
            <w:sz w:val="22"/>
            <w:szCs w:val="22"/>
            <w:u w:val="single"/>
          </w:rPr>
          <w:t>https://www.anrows.org.au/publication/the-nature-and-extent-of-domestic-and-family-violence-exposure-for-children-and-young-people-with-disability/</w:t>
        </w:r>
      </w:hyperlink>
      <w:r>
        <w:rPr>
          <w:rStyle w:val="eop"/>
          <w:rFonts w:ascii="Arial" w:hAnsi="Arial" w:cs="Arial"/>
          <w:sz w:val="22"/>
          <w:szCs w:val="22"/>
          <w:bdr w:val="none" w:sz="0" w:space="0" w:color="auto" w:frame="1"/>
          <w:shd w:val="clear" w:color="auto" w:fill="C6C6C6"/>
        </w:rPr>
        <w:t> </w:t>
      </w:r>
    </w:p>
    <w:p w14:paraId="7483216B" w14:textId="77777777" w:rsidR="00FD4804" w:rsidRDefault="00FD4804" w:rsidP="00FD4804">
      <w:pPr>
        <w:pStyle w:val="paragraph"/>
        <w:spacing w:before="0" w:after="0"/>
        <w:ind w:left="-210" w:right="-645"/>
        <w:textAlignment w:val="baseline"/>
        <w:rPr>
          <w:rFonts w:ascii="Segoe UI" w:hAnsi="Segoe UI" w:cs="Segoe UI"/>
          <w:sz w:val="18"/>
          <w:szCs w:val="18"/>
        </w:rPr>
      </w:pPr>
      <w:r>
        <w:rPr>
          <w:rStyle w:val="normaltextrun"/>
          <w:rFonts w:ascii="Arial" w:hAnsi="Arial" w:cs="Arial"/>
          <w:sz w:val="22"/>
          <w:szCs w:val="22"/>
        </w:rPr>
        <w:t>This Phase 1 report found that children with disability are twice as likely to have a mother hospitalised due to a DFV assault (8% compared to 4%) and that, according to police and hospital data, children with disability made up approximately 30 per cent of children who had experienced DFV. Children with disability were also far more likely than children without disability to have child protection involvement and enter out-of-home care.</w:t>
      </w:r>
      <w:r>
        <w:rPr>
          <w:rStyle w:val="eop"/>
          <w:rFonts w:ascii="Arial" w:hAnsi="Arial" w:cs="Arial"/>
          <w:sz w:val="22"/>
          <w:szCs w:val="22"/>
          <w:bdr w:val="none" w:sz="0" w:space="0" w:color="auto" w:frame="1"/>
          <w:shd w:val="clear" w:color="auto" w:fill="C6C6C6"/>
        </w:rPr>
        <w:t> </w:t>
      </w:r>
    </w:p>
    <w:p w14:paraId="65A5ED58"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r>
        <w:rPr>
          <w:rStyle w:val="normaltextrun"/>
          <w:rFonts w:ascii="Arial" w:hAnsi="Arial" w:cs="Arial"/>
          <w:sz w:val="22"/>
          <w:szCs w:val="22"/>
        </w:rPr>
        <w:t>Child protection case file analysis revealed more about children and young people’s experiences. Researchers found that the perpetrator of DFV often directed violence towards children as well as mothers. They also found violence negatively impacted children’s and families’ access to services and that mothers may feel unable to leave violence due to a lack of viable housing options that meet their child’s needs.</w:t>
      </w:r>
      <w:r>
        <w:rPr>
          <w:rStyle w:val="eop"/>
          <w:rFonts w:ascii="Arial" w:hAnsi="Arial" w:cs="Arial"/>
          <w:sz w:val="22"/>
          <w:szCs w:val="22"/>
          <w:bdr w:val="none" w:sz="0" w:space="0" w:color="auto" w:frame="1"/>
          <w:shd w:val="clear" w:color="auto" w:fill="C6C6C6"/>
        </w:rPr>
        <w:t> </w:t>
      </w:r>
    </w:p>
    <w:p w14:paraId="298F4354"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7816B8BE"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r>
        <w:rPr>
          <w:rStyle w:val="normaltextrun"/>
          <w:rFonts w:ascii="Arial" w:hAnsi="Arial" w:cs="Arial"/>
          <w:b/>
          <w:bCs/>
          <w:sz w:val="22"/>
          <w:szCs w:val="22"/>
        </w:rPr>
        <w:lastRenderedPageBreak/>
        <w:t>Understanding the domestic and family violence experiences of children and young people within and across sectors (Phase 2)</w:t>
      </w:r>
      <w:r>
        <w:rPr>
          <w:rStyle w:val="eop"/>
          <w:rFonts w:ascii="Arial" w:hAnsi="Arial" w:cs="Arial"/>
          <w:sz w:val="22"/>
          <w:szCs w:val="22"/>
          <w:bdr w:val="none" w:sz="0" w:space="0" w:color="auto" w:frame="1"/>
          <w:shd w:val="clear" w:color="auto" w:fill="C6C6C6"/>
        </w:rPr>
        <w:t> </w:t>
      </w:r>
    </w:p>
    <w:p w14:paraId="1ABA38F4"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hyperlink r:id="rId13" w:tgtFrame="_blank" w:history="1">
        <w:r>
          <w:rPr>
            <w:rStyle w:val="normaltextrun"/>
            <w:rFonts w:ascii="Arial" w:hAnsi="Arial" w:cs="Arial"/>
            <w:color w:val="0563C1"/>
            <w:sz w:val="22"/>
            <w:szCs w:val="22"/>
            <w:u w:val="single"/>
          </w:rPr>
          <w:t>https://www.anrows.org.au/publication/connecting-the-dots-understanding-the-domestic-and-family-violence-experiences-of-children-and-young-people-with-disability-within-and-across-sectors-final-report/</w:t>
        </w:r>
      </w:hyperlink>
      <w:r>
        <w:rPr>
          <w:rStyle w:val="normaltextrun"/>
          <w:rFonts w:ascii="Arial" w:hAnsi="Arial" w:cs="Arial"/>
          <w:sz w:val="22"/>
          <w:szCs w:val="22"/>
        </w:rPr>
        <w:t> </w:t>
      </w:r>
      <w:r>
        <w:rPr>
          <w:rStyle w:val="eop"/>
          <w:rFonts w:ascii="Arial" w:hAnsi="Arial" w:cs="Arial"/>
          <w:sz w:val="22"/>
          <w:szCs w:val="22"/>
          <w:bdr w:val="none" w:sz="0" w:space="0" w:color="auto" w:frame="1"/>
          <w:shd w:val="clear" w:color="auto" w:fill="C6C6C6"/>
        </w:rPr>
        <w:t> </w:t>
      </w:r>
    </w:p>
    <w:p w14:paraId="752799B7"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r>
        <w:rPr>
          <w:rStyle w:val="eop"/>
          <w:rFonts w:ascii="Arial" w:hAnsi="Arial" w:cs="Arial"/>
          <w:sz w:val="22"/>
          <w:szCs w:val="22"/>
          <w:bdr w:val="none" w:sz="0" w:space="0" w:color="auto" w:frame="1"/>
          <w:shd w:val="clear" w:color="auto" w:fill="C6C6C6"/>
        </w:rPr>
        <w:t> </w:t>
      </w:r>
    </w:p>
    <w:p w14:paraId="0B4100B6" w14:textId="77777777" w:rsidR="00FD4804" w:rsidRDefault="00FD4804" w:rsidP="00FD4804">
      <w:pPr>
        <w:pStyle w:val="paragraph"/>
        <w:spacing w:before="0" w:beforeAutospacing="0" w:after="0" w:afterAutospacing="0"/>
        <w:ind w:left="-210" w:right="-645"/>
        <w:textAlignment w:val="baseline"/>
        <w:rPr>
          <w:rFonts w:ascii="Segoe UI" w:hAnsi="Segoe UI" w:cs="Segoe UI"/>
          <w:sz w:val="18"/>
          <w:szCs w:val="18"/>
        </w:rPr>
      </w:pPr>
      <w:r>
        <w:rPr>
          <w:rStyle w:val="normaltextrun"/>
          <w:rFonts w:ascii="Arial" w:hAnsi="Arial" w:cs="Arial"/>
          <w:sz w:val="22"/>
          <w:szCs w:val="22"/>
        </w:rPr>
        <w:t>This Phase 2 report extends on the prevalence data captured in Phase 1 to develop a richer picture of the lives and needs of young victims and survivors, their families and the practitioners working with them across services. The research team found that children and young people with disability: are first and foremost children with interests, humour, contributions and relationships; often know more about violence and safety than adults assume; can be destabilised, isolated and traumatised by violence.</w:t>
      </w:r>
      <w:r>
        <w:rPr>
          <w:rStyle w:val="eop"/>
          <w:rFonts w:ascii="Arial" w:hAnsi="Arial" w:cs="Arial"/>
          <w:sz w:val="22"/>
          <w:szCs w:val="22"/>
          <w:bdr w:val="none" w:sz="0" w:space="0" w:color="auto" w:frame="1"/>
          <w:shd w:val="clear" w:color="auto" w:fill="C6C6C6"/>
        </w:rPr>
        <w:t> </w:t>
      </w:r>
    </w:p>
    <w:p w14:paraId="230A730D" w14:textId="36F78742" w:rsidR="00BE10B9" w:rsidRDefault="00FD4804" w:rsidP="002B5611">
      <w:pPr>
        <w:pStyle w:val="paragraph"/>
        <w:spacing w:before="0" w:after="0"/>
        <w:ind w:left="-210" w:right="-645"/>
        <w:textAlignment w:val="baseline"/>
        <w:rPr>
          <w:rStyle w:val="eop"/>
          <w:rFonts w:ascii="Arial" w:hAnsi="Arial" w:cs="Arial"/>
          <w:sz w:val="22"/>
          <w:szCs w:val="22"/>
        </w:rPr>
      </w:pPr>
      <w:r>
        <w:rPr>
          <w:rStyle w:val="normaltextrun"/>
          <w:rFonts w:ascii="Arial" w:hAnsi="Arial" w:cs="Arial"/>
          <w:sz w:val="22"/>
          <w:szCs w:val="22"/>
        </w:rPr>
        <w:t>Participants also identified what effective service delivery could look like, naming a number of attributes such as practitioner consistency, flexible use of supports and disability-informed practice. Largely children, young people and families expressed that these characteristics were not replicated in the services they were receiving. Overarchingly, the research found support seemed to be in place because of the initiative taken by key people in their lives (mothers, mainly). A significant amount of advocacy and persistence was needed, often over years, for most of the children and young people in this study to receive a reasonable level of support.</w:t>
      </w:r>
      <w:r>
        <w:rPr>
          <w:rStyle w:val="eop"/>
          <w:rFonts w:ascii="Arial" w:hAnsi="Arial" w:cs="Arial"/>
          <w:sz w:val="22"/>
          <w:szCs w:val="22"/>
        </w:rPr>
        <w:t> </w:t>
      </w:r>
    </w:p>
    <w:p w14:paraId="3E111675" w14:textId="77777777" w:rsidR="00D93CFD" w:rsidRDefault="00D93CFD" w:rsidP="002B5611">
      <w:pPr>
        <w:pStyle w:val="paragraph"/>
        <w:spacing w:before="0" w:after="0"/>
        <w:ind w:left="-210" w:right="-645"/>
        <w:textAlignment w:val="baseline"/>
        <w:rPr>
          <w:rStyle w:val="eop"/>
          <w:rFonts w:ascii="Arial" w:hAnsi="Arial" w:cs="Arial"/>
          <w:sz w:val="22"/>
          <w:szCs w:val="22"/>
        </w:rPr>
      </w:pPr>
    </w:p>
    <w:p w14:paraId="58B01759" w14:textId="4560D027" w:rsidR="00467AC2" w:rsidRDefault="00467AC2" w:rsidP="002B5611">
      <w:pPr>
        <w:pStyle w:val="paragraph"/>
        <w:spacing w:before="0" w:after="0"/>
        <w:ind w:left="-210" w:right="-645"/>
        <w:textAlignment w:val="baseline"/>
        <w:rPr>
          <w:rStyle w:val="eop"/>
          <w:rFonts w:ascii="Arial" w:hAnsi="Arial" w:cs="Arial"/>
          <w:sz w:val="22"/>
          <w:szCs w:val="22"/>
        </w:rPr>
      </w:pPr>
      <w:r>
        <w:rPr>
          <w:rStyle w:val="eop"/>
          <w:rFonts w:ascii="Arial" w:hAnsi="Arial" w:cs="Arial"/>
          <w:sz w:val="22"/>
          <w:szCs w:val="22"/>
        </w:rPr>
        <w:t>Thankyou for the opportunity to provide our submission to the Second National Plan.</w:t>
      </w:r>
    </w:p>
    <w:p w14:paraId="2740D720" w14:textId="77777777" w:rsidR="00467AC2" w:rsidRDefault="00467AC2" w:rsidP="002B5611">
      <w:pPr>
        <w:pStyle w:val="paragraph"/>
        <w:spacing w:before="0" w:after="0"/>
        <w:ind w:left="-210" w:right="-645"/>
        <w:textAlignment w:val="baseline"/>
        <w:rPr>
          <w:rStyle w:val="eop"/>
          <w:rFonts w:ascii="Arial" w:hAnsi="Arial" w:cs="Arial"/>
          <w:sz w:val="22"/>
          <w:szCs w:val="22"/>
        </w:rPr>
      </w:pPr>
    </w:p>
    <w:p w14:paraId="0C5F590F" w14:textId="3A9BC950" w:rsidR="00D93CFD" w:rsidRDefault="005E46CC" w:rsidP="00D93CFD">
      <w:pPr>
        <w:spacing w:after="0" w:line="240" w:lineRule="auto"/>
        <w:ind w:left="-567" w:right="-632"/>
        <w:rPr>
          <w:sz w:val="22"/>
          <w:szCs w:val="22"/>
        </w:rPr>
      </w:pPr>
      <w:r>
        <w:rPr>
          <w:sz w:val="22"/>
          <w:szCs w:val="22"/>
        </w:rPr>
        <w:t>[redacted]</w:t>
      </w:r>
    </w:p>
    <w:p w14:paraId="39DC4734" w14:textId="77777777" w:rsidR="00D93CFD" w:rsidRDefault="00D93CFD" w:rsidP="002B5611">
      <w:pPr>
        <w:pStyle w:val="paragraph"/>
        <w:spacing w:before="0" w:after="0"/>
        <w:ind w:left="-210" w:right="-645"/>
        <w:textAlignment w:val="baseline"/>
      </w:pPr>
    </w:p>
    <w:p w14:paraId="25148FF6" w14:textId="77777777" w:rsidR="00BE10B9" w:rsidRDefault="00BE10B9" w:rsidP="00BE10B9"/>
    <w:p w14:paraId="185B9CDE" w14:textId="5730073A" w:rsidR="00C240E1" w:rsidRDefault="00BE10B9" w:rsidP="00C57F4C">
      <w:r>
        <w:br w:type="column"/>
      </w:r>
    </w:p>
    <w:sectPr w:rsidR="00C240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808C" w14:textId="77777777" w:rsidR="002E1956" w:rsidRDefault="002E1956" w:rsidP="0010157C">
      <w:pPr>
        <w:spacing w:after="0" w:line="240" w:lineRule="auto"/>
      </w:pPr>
      <w:r>
        <w:separator/>
      </w:r>
    </w:p>
  </w:endnote>
  <w:endnote w:type="continuationSeparator" w:id="0">
    <w:p w14:paraId="143D0AB3" w14:textId="77777777" w:rsidR="002E1956" w:rsidRDefault="002E1956" w:rsidP="00101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D672A" w14:textId="77777777" w:rsidR="002E1956" w:rsidRDefault="002E1956" w:rsidP="0010157C">
      <w:pPr>
        <w:spacing w:after="0" w:line="240" w:lineRule="auto"/>
      </w:pPr>
      <w:r>
        <w:separator/>
      </w:r>
    </w:p>
  </w:footnote>
  <w:footnote w:type="continuationSeparator" w:id="0">
    <w:p w14:paraId="57F39609" w14:textId="77777777" w:rsidR="002E1956" w:rsidRDefault="002E1956" w:rsidP="0010157C">
      <w:pPr>
        <w:spacing w:after="0" w:line="240" w:lineRule="auto"/>
      </w:pPr>
      <w:r>
        <w:continuationSeparator/>
      </w:r>
    </w:p>
  </w:footnote>
  <w:footnote w:id="1">
    <w:p w14:paraId="71087214" w14:textId="77777777" w:rsidR="0010157C" w:rsidRDefault="0010157C" w:rsidP="0010157C">
      <w:pPr>
        <w:pStyle w:val="FootnoteText"/>
      </w:pPr>
      <w:r>
        <w:rPr>
          <w:rStyle w:val="FootnoteReference"/>
        </w:rPr>
        <w:footnoteRef/>
      </w:r>
      <w:r>
        <w:t xml:space="preserve"> </w:t>
      </w:r>
      <w:r w:rsidRPr="00596AAB">
        <w:t>Christensen, L. S., Sharman, S. J., &amp; Powell, M. B. (2016). Identifying the characteristics of child sexual abuse cases associated with the child or child's parents withdrawing the complaint. Child Abuse &amp; Neglect, 57, 53-60.</w:t>
      </w:r>
    </w:p>
  </w:footnote>
  <w:footnote w:id="2">
    <w:p w14:paraId="6C0D6E7C" w14:textId="77777777" w:rsidR="0010157C" w:rsidRDefault="0010157C" w:rsidP="0010157C">
      <w:pPr>
        <w:pStyle w:val="FootnoteText"/>
      </w:pPr>
      <w:r>
        <w:rPr>
          <w:rStyle w:val="FootnoteReference"/>
        </w:rPr>
        <w:footnoteRef/>
      </w:r>
      <w:r>
        <w:t xml:space="preserve"> </w:t>
      </w:r>
      <w:r w:rsidRPr="00B31F91">
        <w:t>Cashmore, J., Taylor, A., &amp; Parkinson, P. (2020). Fourteen-year trends in the criminal justice response to child sexual abuse reports in New South Wales. Child maltreatment, 25(1), 85-95.</w:t>
      </w:r>
    </w:p>
  </w:footnote>
  <w:footnote w:id="3">
    <w:p w14:paraId="5A5489C0" w14:textId="77777777" w:rsidR="0010157C" w:rsidRDefault="0010157C" w:rsidP="0010157C">
      <w:pPr>
        <w:pStyle w:val="FootnoteText"/>
      </w:pPr>
      <w:r>
        <w:rPr>
          <w:rStyle w:val="FootnoteReference"/>
        </w:rPr>
        <w:footnoteRef/>
      </w:r>
      <w:r>
        <w:t xml:space="preserve"> </w:t>
      </w:r>
      <w:r w:rsidRPr="008400A0">
        <w:t>Herbert, J., &amp; Bromfield, L. (2017). National Comparison of Cross-agency Practice in Investigating and Responding to Severe Child Abuse-A Report for the NSW Ombudsman's Office. NSW Ombudsman's Office.</w:t>
      </w:r>
    </w:p>
  </w:footnote>
  <w:footnote w:id="4">
    <w:p w14:paraId="78356A95" w14:textId="77777777" w:rsidR="0010157C" w:rsidRDefault="0010157C" w:rsidP="0010157C">
      <w:pPr>
        <w:pStyle w:val="FootnoteText"/>
      </w:pPr>
      <w:r>
        <w:rPr>
          <w:rStyle w:val="FootnoteReference"/>
        </w:rPr>
        <w:footnoteRef/>
      </w:r>
      <w:r>
        <w:t xml:space="preserve"> </w:t>
      </w:r>
      <w:r w:rsidRPr="000056A6">
        <w:t>Herbert, J. L. (2021). Rates of therapy use following a disclosure of child sexual abuse. Australian Institute of Family Studies.</w:t>
      </w:r>
    </w:p>
  </w:footnote>
  <w:footnote w:id="5">
    <w:p w14:paraId="3446BC2F" w14:textId="77777777" w:rsidR="0010157C" w:rsidRDefault="0010157C" w:rsidP="0010157C">
      <w:pPr>
        <w:pStyle w:val="FootnoteText"/>
      </w:pPr>
      <w:r>
        <w:rPr>
          <w:rStyle w:val="FootnoteReference"/>
        </w:rPr>
        <w:footnoteRef/>
      </w:r>
      <w:r>
        <w:t xml:space="preserve"> </w:t>
      </w:r>
      <w:r w:rsidRPr="00015657">
        <w:t>Usher, R., Herbert, J., Thain, E., Bromfield, L., &amp; O'Leary, P. (2026). Child sexual abuse victim-survivor experiences of disclosure over time: Perspectives from an Australian qualitative study. Child Abuse &amp; Neglect, 179, 108186.</w:t>
      </w:r>
    </w:p>
  </w:footnote>
  <w:footnote w:id="6">
    <w:p w14:paraId="18AE19D7" w14:textId="77777777" w:rsidR="0010157C" w:rsidRDefault="0010157C" w:rsidP="0010157C">
      <w:pPr>
        <w:pStyle w:val="FootnoteText"/>
      </w:pPr>
      <w:r>
        <w:rPr>
          <w:rStyle w:val="FootnoteReference"/>
        </w:rPr>
        <w:footnoteRef/>
      </w:r>
      <w:r>
        <w:t xml:space="preserve"> </w:t>
      </w:r>
      <w:r w:rsidRPr="00531564">
        <w:t xml:space="preserve">Lefevre, M., Hickle, K., </w:t>
      </w:r>
      <w:r w:rsidRPr="00531564">
        <w:t>Luckock, B., &amp; Ruch, G. (2017). Building trust with children and young people at risk of child sexual exploitation: The professional challenge. British Journal of Social Work, 47(8), 2456-2473.</w:t>
      </w:r>
    </w:p>
  </w:footnote>
  <w:footnote w:id="7">
    <w:p w14:paraId="6A21FA83" w14:textId="77777777" w:rsidR="0010157C" w:rsidRDefault="0010157C" w:rsidP="0010157C">
      <w:pPr>
        <w:pStyle w:val="FootnoteText"/>
      </w:pPr>
      <w:r>
        <w:rPr>
          <w:rStyle w:val="FootnoteReference"/>
        </w:rPr>
        <w:footnoteRef/>
      </w:r>
      <w:r>
        <w:t xml:space="preserve"> </w:t>
      </w:r>
      <w:r w:rsidRPr="002A3BDE">
        <w:t>Herbert, J. L., &amp; Bromfield, L. (2019). Better together? A review of evidence for multi-disciplinary teams responding to physical and sexual child abuse. Trauma, Violence, &amp; Abuse, 20(2), 214-228.</w:t>
      </w:r>
    </w:p>
  </w:footnote>
  <w:footnote w:id="8">
    <w:p w14:paraId="34945047" w14:textId="77777777" w:rsidR="0010157C" w:rsidRDefault="0010157C" w:rsidP="0010157C">
      <w:pPr>
        <w:pStyle w:val="FootnoteText"/>
      </w:pPr>
      <w:r>
        <w:rPr>
          <w:rStyle w:val="FootnoteReference"/>
        </w:rPr>
        <w:footnoteRef/>
      </w:r>
      <w:r>
        <w:t xml:space="preserve"> </w:t>
      </w:r>
      <w:r w:rsidRPr="00442A99">
        <w:t>Haldorsson, O. L. (2017). Barnahus quality standards summary: Guidance for multidisciplinary and interagency response to child victims and witnesses of violence.</w:t>
      </w:r>
    </w:p>
  </w:footnote>
  <w:footnote w:id="9">
    <w:p w14:paraId="38D881B8" w14:textId="77777777" w:rsidR="0010157C" w:rsidRDefault="0010157C" w:rsidP="0010157C">
      <w:pPr>
        <w:pStyle w:val="FootnoteText"/>
      </w:pPr>
      <w:r>
        <w:rPr>
          <w:rStyle w:val="FootnoteReference"/>
        </w:rPr>
        <w:footnoteRef/>
      </w:r>
      <w:r>
        <w:t xml:space="preserve"> </w:t>
      </w:r>
      <w:r w:rsidRPr="0017763E">
        <w:t>Herbert, J., Nelsson, A., Korbe, M., Wojtkowska, B., Flis-</w:t>
      </w:r>
      <w:r w:rsidRPr="0017763E">
        <w:t xml:space="preserve">Świeczkowska, M., Järvilehto, L., Suikki, E., Tindal, R., Mitchell, M., Warrington, C., &amp; Bovarnick, S. (2026). Barnahus in Northern and Central Europe: A Comparative Review of Models and Outcomes. Adelaide University. </w:t>
      </w:r>
      <w:hyperlink r:id="rId1" w:history="1">
        <w:r w:rsidRPr="00DD4898">
          <w:rPr>
            <w:rStyle w:val="Hyperlink"/>
          </w:rPr>
          <w:t>https://doi.org/10.25909/32723895</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12A0"/>
    <w:multiLevelType w:val="multilevel"/>
    <w:tmpl w:val="4984E5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2237EB0"/>
    <w:multiLevelType w:val="hybridMultilevel"/>
    <w:tmpl w:val="136EA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C54031"/>
    <w:multiLevelType w:val="multilevel"/>
    <w:tmpl w:val="D10EC4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C7DDF"/>
    <w:multiLevelType w:val="multilevel"/>
    <w:tmpl w:val="7030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3115A0"/>
    <w:multiLevelType w:val="multilevel"/>
    <w:tmpl w:val="C5F04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40078"/>
    <w:multiLevelType w:val="multilevel"/>
    <w:tmpl w:val="4F38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C025DB"/>
    <w:multiLevelType w:val="multilevel"/>
    <w:tmpl w:val="052E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16F5A"/>
    <w:multiLevelType w:val="multilevel"/>
    <w:tmpl w:val="3B0C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37B80"/>
    <w:multiLevelType w:val="multilevel"/>
    <w:tmpl w:val="6C08E7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1965CEE"/>
    <w:multiLevelType w:val="multilevel"/>
    <w:tmpl w:val="C0B0BE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45BE429F"/>
    <w:multiLevelType w:val="multilevel"/>
    <w:tmpl w:val="13FE75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0477A92"/>
    <w:multiLevelType w:val="multilevel"/>
    <w:tmpl w:val="F8A2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CA10E1"/>
    <w:multiLevelType w:val="multilevel"/>
    <w:tmpl w:val="8D0ED5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2B81BA7"/>
    <w:multiLevelType w:val="multilevel"/>
    <w:tmpl w:val="089470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9D6E8B"/>
    <w:multiLevelType w:val="multilevel"/>
    <w:tmpl w:val="45D8D9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442844"/>
    <w:multiLevelType w:val="multilevel"/>
    <w:tmpl w:val="0BE0FC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3073F3F"/>
    <w:multiLevelType w:val="multilevel"/>
    <w:tmpl w:val="39FE57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204BB8"/>
    <w:multiLevelType w:val="multilevel"/>
    <w:tmpl w:val="0CBC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2511608">
    <w:abstractNumId w:val="14"/>
  </w:num>
  <w:num w:numId="2" w16cid:durableId="1295258487">
    <w:abstractNumId w:val="4"/>
  </w:num>
  <w:num w:numId="3" w16cid:durableId="1512798213">
    <w:abstractNumId w:val="13"/>
  </w:num>
  <w:num w:numId="4" w16cid:durableId="164828673">
    <w:abstractNumId w:val="16"/>
  </w:num>
  <w:num w:numId="5" w16cid:durableId="978412771">
    <w:abstractNumId w:val="2"/>
  </w:num>
  <w:num w:numId="6" w16cid:durableId="1604220408">
    <w:abstractNumId w:val="5"/>
  </w:num>
  <w:num w:numId="7" w16cid:durableId="1250506979">
    <w:abstractNumId w:val="17"/>
  </w:num>
  <w:num w:numId="8" w16cid:durableId="1338771437">
    <w:abstractNumId w:val="6"/>
  </w:num>
  <w:num w:numId="9" w16cid:durableId="570233787">
    <w:abstractNumId w:val="11"/>
  </w:num>
  <w:num w:numId="10" w16cid:durableId="338697060">
    <w:abstractNumId w:val="3"/>
  </w:num>
  <w:num w:numId="11" w16cid:durableId="2030254575">
    <w:abstractNumId w:val="0"/>
  </w:num>
  <w:num w:numId="12" w16cid:durableId="1616909465">
    <w:abstractNumId w:val="9"/>
  </w:num>
  <w:num w:numId="13" w16cid:durableId="1263798719">
    <w:abstractNumId w:val="15"/>
  </w:num>
  <w:num w:numId="14" w16cid:durableId="1877888950">
    <w:abstractNumId w:val="8"/>
  </w:num>
  <w:num w:numId="15" w16cid:durableId="1616323087">
    <w:abstractNumId w:val="12"/>
  </w:num>
  <w:num w:numId="16" w16cid:durableId="759109503">
    <w:abstractNumId w:val="10"/>
  </w:num>
  <w:num w:numId="17" w16cid:durableId="345055817">
    <w:abstractNumId w:val="1"/>
  </w:num>
  <w:num w:numId="18" w16cid:durableId="1433939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041"/>
    <w:rsid w:val="0000675C"/>
    <w:rsid w:val="00073519"/>
    <w:rsid w:val="00086B21"/>
    <w:rsid w:val="00091E40"/>
    <w:rsid w:val="000A10F2"/>
    <w:rsid w:val="000B07AD"/>
    <w:rsid w:val="000C2455"/>
    <w:rsid w:val="000C2C89"/>
    <w:rsid w:val="000D2329"/>
    <w:rsid w:val="000D3982"/>
    <w:rsid w:val="000E12D9"/>
    <w:rsid w:val="000E4F74"/>
    <w:rsid w:val="000E6A3F"/>
    <w:rsid w:val="000E7F8A"/>
    <w:rsid w:val="000F2118"/>
    <w:rsid w:val="0010157C"/>
    <w:rsid w:val="0011675F"/>
    <w:rsid w:val="00121217"/>
    <w:rsid w:val="00126448"/>
    <w:rsid w:val="0013404A"/>
    <w:rsid w:val="00182062"/>
    <w:rsid w:val="0018677D"/>
    <w:rsid w:val="001A25F0"/>
    <w:rsid w:val="001B31C2"/>
    <w:rsid w:val="001B4BE7"/>
    <w:rsid w:val="001C2817"/>
    <w:rsid w:val="001E0923"/>
    <w:rsid w:val="001E59A3"/>
    <w:rsid w:val="001E63D2"/>
    <w:rsid w:val="002136E7"/>
    <w:rsid w:val="002347E6"/>
    <w:rsid w:val="0024274A"/>
    <w:rsid w:val="00271F72"/>
    <w:rsid w:val="00273600"/>
    <w:rsid w:val="002A4AF6"/>
    <w:rsid w:val="002B25DC"/>
    <w:rsid w:val="002B5611"/>
    <w:rsid w:val="002C71C2"/>
    <w:rsid w:val="002E1956"/>
    <w:rsid w:val="00301C4D"/>
    <w:rsid w:val="003027BC"/>
    <w:rsid w:val="00333064"/>
    <w:rsid w:val="003378F0"/>
    <w:rsid w:val="00391547"/>
    <w:rsid w:val="00392B47"/>
    <w:rsid w:val="003A78D9"/>
    <w:rsid w:val="003B4704"/>
    <w:rsid w:val="003B5347"/>
    <w:rsid w:val="003D4485"/>
    <w:rsid w:val="003E5D5D"/>
    <w:rsid w:val="003E7AA8"/>
    <w:rsid w:val="00410115"/>
    <w:rsid w:val="00416CA5"/>
    <w:rsid w:val="00417420"/>
    <w:rsid w:val="00421F6C"/>
    <w:rsid w:val="00451066"/>
    <w:rsid w:val="00456114"/>
    <w:rsid w:val="00467AC2"/>
    <w:rsid w:val="00491743"/>
    <w:rsid w:val="00493D2E"/>
    <w:rsid w:val="004A1037"/>
    <w:rsid w:val="004B41AF"/>
    <w:rsid w:val="004F3D0E"/>
    <w:rsid w:val="0051237B"/>
    <w:rsid w:val="00536263"/>
    <w:rsid w:val="005503D0"/>
    <w:rsid w:val="0055615D"/>
    <w:rsid w:val="00572285"/>
    <w:rsid w:val="005732A6"/>
    <w:rsid w:val="005A7F78"/>
    <w:rsid w:val="005B5415"/>
    <w:rsid w:val="005E46CC"/>
    <w:rsid w:val="005F0902"/>
    <w:rsid w:val="0060457F"/>
    <w:rsid w:val="00620554"/>
    <w:rsid w:val="00632A47"/>
    <w:rsid w:val="00644791"/>
    <w:rsid w:val="006468B8"/>
    <w:rsid w:val="0066205B"/>
    <w:rsid w:val="006641CA"/>
    <w:rsid w:val="006A053A"/>
    <w:rsid w:val="006B103E"/>
    <w:rsid w:val="006B3B95"/>
    <w:rsid w:val="006C5A56"/>
    <w:rsid w:val="00716A14"/>
    <w:rsid w:val="00727EB4"/>
    <w:rsid w:val="00727FCA"/>
    <w:rsid w:val="00752EEB"/>
    <w:rsid w:val="007648E9"/>
    <w:rsid w:val="007858D4"/>
    <w:rsid w:val="007C05E7"/>
    <w:rsid w:val="007C62B2"/>
    <w:rsid w:val="007E746A"/>
    <w:rsid w:val="00803762"/>
    <w:rsid w:val="008143FF"/>
    <w:rsid w:val="008466C2"/>
    <w:rsid w:val="00847A78"/>
    <w:rsid w:val="0085563C"/>
    <w:rsid w:val="0087149D"/>
    <w:rsid w:val="008A4279"/>
    <w:rsid w:val="008B03A2"/>
    <w:rsid w:val="008B19B6"/>
    <w:rsid w:val="008B243E"/>
    <w:rsid w:val="008C4258"/>
    <w:rsid w:val="008D72FA"/>
    <w:rsid w:val="008F56B4"/>
    <w:rsid w:val="00901C1A"/>
    <w:rsid w:val="009303FE"/>
    <w:rsid w:val="00950BFC"/>
    <w:rsid w:val="00952D3C"/>
    <w:rsid w:val="009A7A01"/>
    <w:rsid w:val="009B10A2"/>
    <w:rsid w:val="009B4BD9"/>
    <w:rsid w:val="009C14C5"/>
    <w:rsid w:val="009C4945"/>
    <w:rsid w:val="009D74E7"/>
    <w:rsid w:val="009F24F8"/>
    <w:rsid w:val="009F6452"/>
    <w:rsid w:val="00A11A39"/>
    <w:rsid w:val="00A46D7E"/>
    <w:rsid w:val="00A5005A"/>
    <w:rsid w:val="00A86C14"/>
    <w:rsid w:val="00A92614"/>
    <w:rsid w:val="00A92EA8"/>
    <w:rsid w:val="00A97B3C"/>
    <w:rsid w:val="00AA2A43"/>
    <w:rsid w:val="00AB717C"/>
    <w:rsid w:val="00AC55DC"/>
    <w:rsid w:val="00AC7A3D"/>
    <w:rsid w:val="00AD5503"/>
    <w:rsid w:val="00AE7AA4"/>
    <w:rsid w:val="00AF0041"/>
    <w:rsid w:val="00AF67A4"/>
    <w:rsid w:val="00B16FBA"/>
    <w:rsid w:val="00B413C6"/>
    <w:rsid w:val="00B624E5"/>
    <w:rsid w:val="00B6436A"/>
    <w:rsid w:val="00B66BEE"/>
    <w:rsid w:val="00B80245"/>
    <w:rsid w:val="00BB208B"/>
    <w:rsid w:val="00BC049B"/>
    <w:rsid w:val="00BE10B9"/>
    <w:rsid w:val="00C02F29"/>
    <w:rsid w:val="00C0588C"/>
    <w:rsid w:val="00C06BA8"/>
    <w:rsid w:val="00C13A3B"/>
    <w:rsid w:val="00C240E1"/>
    <w:rsid w:val="00C24BC1"/>
    <w:rsid w:val="00C44CEE"/>
    <w:rsid w:val="00C45DAC"/>
    <w:rsid w:val="00C57F4C"/>
    <w:rsid w:val="00C67E14"/>
    <w:rsid w:val="00C94246"/>
    <w:rsid w:val="00CA0EB8"/>
    <w:rsid w:val="00CA63AD"/>
    <w:rsid w:val="00CC5B15"/>
    <w:rsid w:val="00D019E9"/>
    <w:rsid w:val="00D10961"/>
    <w:rsid w:val="00D2062F"/>
    <w:rsid w:val="00D31F0C"/>
    <w:rsid w:val="00D3445A"/>
    <w:rsid w:val="00D82906"/>
    <w:rsid w:val="00D83EE9"/>
    <w:rsid w:val="00D92F5F"/>
    <w:rsid w:val="00D93CFD"/>
    <w:rsid w:val="00D9517D"/>
    <w:rsid w:val="00D96215"/>
    <w:rsid w:val="00D97DAA"/>
    <w:rsid w:val="00DA5586"/>
    <w:rsid w:val="00DD3712"/>
    <w:rsid w:val="00DD610C"/>
    <w:rsid w:val="00DE0AA2"/>
    <w:rsid w:val="00DE0EB9"/>
    <w:rsid w:val="00DE43D3"/>
    <w:rsid w:val="00E043E6"/>
    <w:rsid w:val="00E0685C"/>
    <w:rsid w:val="00E201E1"/>
    <w:rsid w:val="00E42E67"/>
    <w:rsid w:val="00E46307"/>
    <w:rsid w:val="00E54992"/>
    <w:rsid w:val="00E5765C"/>
    <w:rsid w:val="00E71FE3"/>
    <w:rsid w:val="00E84D91"/>
    <w:rsid w:val="00E950A7"/>
    <w:rsid w:val="00EB4E0D"/>
    <w:rsid w:val="00ED55FA"/>
    <w:rsid w:val="00F03F1F"/>
    <w:rsid w:val="00F10002"/>
    <w:rsid w:val="00F23635"/>
    <w:rsid w:val="00F31AE4"/>
    <w:rsid w:val="00F33962"/>
    <w:rsid w:val="00F63308"/>
    <w:rsid w:val="00F65FD0"/>
    <w:rsid w:val="00F87BDD"/>
    <w:rsid w:val="00FD4804"/>
    <w:rsid w:val="00FD6E26"/>
    <w:rsid w:val="00FF203A"/>
    <w:rsid w:val="04B64D14"/>
    <w:rsid w:val="079F5A28"/>
    <w:rsid w:val="0C4705F1"/>
    <w:rsid w:val="0D42CCE1"/>
    <w:rsid w:val="0F5DE4C1"/>
    <w:rsid w:val="16AC465E"/>
    <w:rsid w:val="16DE3965"/>
    <w:rsid w:val="1C3DF09B"/>
    <w:rsid w:val="1E1A854F"/>
    <w:rsid w:val="1E720A50"/>
    <w:rsid w:val="23E1F630"/>
    <w:rsid w:val="2664B03C"/>
    <w:rsid w:val="27AABA20"/>
    <w:rsid w:val="285A7EF4"/>
    <w:rsid w:val="29E427B6"/>
    <w:rsid w:val="2C2FF042"/>
    <w:rsid w:val="31FD1791"/>
    <w:rsid w:val="33C107AA"/>
    <w:rsid w:val="3474C509"/>
    <w:rsid w:val="34ACEC7E"/>
    <w:rsid w:val="352F6781"/>
    <w:rsid w:val="37444E76"/>
    <w:rsid w:val="3786DDA4"/>
    <w:rsid w:val="38EDDC8D"/>
    <w:rsid w:val="39192D89"/>
    <w:rsid w:val="3963E83F"/>
    <w:rsid w:val="3A2A3246"/>
    <w:rsid w:val="3B67D18E"/>
    <w:rsid w:val="3E7121EE"/>
    <w:rsid w:val="3FCECBA9"/>
    <w:rsid w:val="4109E7DB"/>
    <w:rsid w:val="45065128"/>
    <w:rsid w:val="46B5EEFC"/>
    <w:rsid w:val="490E4C1F"/>
    <w:rsid w:val="50D2269A"/>
    <w:rsid w:val="5193A41D"/>
    <w:rsid w:val="52806160"/>
    <w:rsid w:val="53B2A9DE"/>
    <w:rsid w:val="569AD9B4"/>
    <w:rsid w:val="59C7CF59"/>
    <w:rsid w:val="647E6D99"/>
    <w:rsid w:val="67BFE538"/>
    <w:rsid w:val="6D9637FE"/>
    <w:rsid w:val="72377164"/>
    <w:rsid w:val="78684C74"/>
    <w:rsid w:val="78D1A2A8"/>
    <w:rsid w:val="7C8A4DD7"/>
    <w:rsid w:val="7E9E75A1"/>
    <w:rsid w:val="7F42E5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60EE"/>
  <w15:chartTrackingRefBased/>
  <w15:docId w15:val="{011EA504-5CD3-42F1-96C8-BA712D68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0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0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0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0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0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0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0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0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0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0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0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0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0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0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0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041"/>
    <w:rPr>
      <w:rFonts w:eastAsiaTheme="majorEastAsia" w:cstheme="majorBidi"/>
      <w:color w:val="272727" w:themeColor="text1" w:themeTint="D8"/>
    </w:rPr>
  </w:style>
  <w:style w:type="paragraph" w:styleId="Title">
    <w:name w:val="Title"/>
    <w:basedOn w:val="Normal"/>
    <w:next w:val="Normal"/>
    <w:link w:val="TitleChar"/>
    <w:uiPriority w:val="10"/>
    <w:qFormat/>
    <w:rsid w:val="00AF0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0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0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041"/>
    <w:pPr>
      <w:spacing w:before="160"/>
      <w:jc w:val="center"/>
    </w:pPr>
    <w:rPr>
      <w:i/>
      <w:iCs/>
      <w:color w:val="404040" w:themeColor="text1" w:themeTint="BF"/>
    </w:rPr>
  </w:style>
  <w:style w:type="character" w:customStyle="1" w:styleId="QuoteChar">
    <w:name w:val="Quote Char"/>
    <w:basedOn w:val="DefaultParagraphFont"/>
    <w:link w:val="Quote"/>
    <w:uiPriority w:val="29"/>
    <w:rsid w:val="00AF0041"/>
    <w:rPr>
      <w:i/>
      <w:iCs/>
      <w:color w:val="404040" w:themeColor="text1" w:themeTint="BF"/>
    </w:rPr>
  </w:style>
  <w:style w:type="paragraph" w:styleId="ListParagraph">
    <w:name w:val="List Paragraph"/>
    <w:basedOn w:val="Normal"/>
    <w:uiPriority w:val="34"/>
    <w:qFormat/>
    <w:rsid w:val="00AF0041"/>
    <w:pPr>
      <w:ind w:left="720"/>
      <w:contextualSpacing/>
    </w:pPr>
  </w:style>
  <w:style w:type="character" w:styleId="IntenseEmphasis">
    <w:name w:val="Intense Emphasis"/>
    <w:basedOn w:val="DefaultParagraphFont"/>
    <w:uiPriority w:val="21"/>
    <w:qFormat/>
    <w:rsid w:val="00AF0041"/>
    <w:rPr>
      <w:i/>
      <w:iCs/>
      <w:color w:val="0F4761" w:themeColor="accent1" w:themeShade="BF"/>
    </w:rPr>
  </w:style>
  <w:style w:type="paragraph" w:styleId="IntenseQuote">
    <w:name w:val="Intense Quote"/>
    <w:basedOn w:val="Normal"/>
    <w:next w:val="Normal"/>
    <w:link w:val="IntenseQuoteChar"/>
    <w:uiPriority w:val="30"/>
    <w:qFormat/>
    <w:rsid w:val="00AF0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041"/>
    <w:rPr>
      <w:i/>
      <w:iCs/>
      <w:color w:val="0F4761" w:themeColor="accent1" w:themeShade="BF"/>
    </w:rPr>
  </w:style>
  <w:style w:type="character" w:styleId="IntenseReference">
    <w:name w:val="Intense Reference"/>
    <w:basedOn w:val="DefaultParagraphFont"/>
    <w:uiPriority w:val="32"/>
    <w:qFormat/>
    <w:rsid w:val="00AF0041"/>
    <w:rPr>
      <w:b/>
      <w:bCs/>
      <w:smallCaps/>
      <w:color w:val="0F4761" w:themeColor="accent1" w:themeShade="BF"/>
      <w:spacing w:val="5"/>
    </w:rPr>
  </w:style>
  <w:style w:type="paragraph" w:customStyle="1" w:styleId="paragraph">
    <w:name w:val="paragraph"/>
    <w:basedOn w:val="Normal"/>
    <w:rsid w:val="0051237B"/>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51237B"/>
  </w:style>
  <w:style w:type="character" w:customStyle="1" w:styleId="eop">
    <w:name w:val="eop"/>
    <w:basedOn w:val="DefaultParagraphFont"/>
    <w:rsid w:val="0051237B"/>
  </w:style>
  <w:style w:type="paragraph" w:styleId="FootnoteText">
    <w:name w:val="footnote text"/>
    <w:basedOn w:val="Normal"/>
    <w:link w:val="FootnoteTextChar"/>
    <w:uiPriority w:val="99"/>
    <w:semiHidden/>
    <w:unhideWhenUsed/>
    <w:rsid w:val="001015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157C"/>
    <w:rPr>
      <w:sz w:val="20"/>
      <w:szCs w:val="20"/>
    </w:rPr>
  </w:style>
  <w:style w:type="character" w:styleId="FootnoteReference">
    <w:name w:val="footnote reference"/>
    <w:basedOn w:val="DefaultParagraphFont"/>
    <w:uiPriority w:val="99"/>
    <w:semiHidden/>
    <w:unhideWhenUsed/>
    <w:rsid w:val="0010157C"/>
    <w:rPr>
      <w:vertAlign w:val="superscript"/>
    </w:rPr>
  </w:style>
  <w:style w:type="character" w:styleId="Hyperlink">
    <w:name w:val="Hyperlink"/>
    <w:basedOn w:val="DefaultParagraphFont"/>
    <w:uiPriority w:val="99"/>
    <w:unhideWhenUsed/>
    <w:rsid w:val="0010157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ms.au/" TargetMode="External"/><Relationship Id="rId13" Type="http://schemas.openxmlformats.org/officeDocument/2006/relationships/hyperlink" Target="https://www.anrows.org.au/publication/connecting-the-dots-understanding-the-domestic-and-family-violence-experiences-of-children-and-young-people-with-disability-within-and-across-sectors-final-report/"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rows.org.au/publication/the-nature-and-extent-of-domestic-and-family-violence-exposure-for-children-and-young-people-with-disability/"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melessnessaustralia.org.au/wp-content/uploads/2024/08/HA-2024-Child-Homelessness-Snapshot-v02.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111/cfs.12984" TargetMode="External"/><Relationship Id="rId4" Type="http://schemas.openxmlformats.org/officeDocument/2006/relationships/webSettings" Target="webSettings.xml"/><Relationship Id="rId9" Type="http://schemas.openxmlformats.org/officeDocument/2006/relationships/hyperlink" Target="https://www.anrows.org.au/publication/investigating-the-mental-health-of-children-exposed-to-domestic-and-family-violence-through-the-use-of-linked-police-data-and-health-record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25909/327238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FFD86F-916A-45D4-868F-3BCC3B7B4B65}"/>
</file>

<file path=customXml/itemProps2.xml><?xml version="1.0" encoding="utf-8"?>
<ds:datastoreItem xmlns:ds="http://schemas.openxmlformats.org/officeDocument/2006/customXml" ds:itemID="{27D634E4-D085-4B09-A26F-1B0DC870ADFB}"/>
</file>

<file path=customXml/itemProps3.xml><?xml version="1.0" encoding="utf-8"?>
<ds:datastoreItem xmlns:ds="http://schemas.openxmlformats.org/officeDocument/2006/customXml" ds:itemID="{3232A033-4C67-4F81-9138-03898D0B3134}"/>
</file>

<file path=docProps/app.xml><?xml version="1.0" encoding="utf-8"?>
<Properties xmlns="http://schemas.openxmlformats.org/officeDocument/2006/extended-properties" xmlns:vt="http://schemas.openxmlformats.org/officeDocument/2006/docPropsVTypes">
  <Template>Normal.dotm</Template>
  <TotalTime>0</TotalTime>
  <Pages>9</Pages>
  <Words>3628</Words>
  <Characters>20682</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O'Donnell</dc:creator>
  <cp:keywords/>
  <dc:description/>
  <cp:lastModifiedBy>BROOME, Lily</cp:lastModifiedBy>
  <cp:revision>2</cp:revision>
  <dcterms:created xsi:type="dcterms:W3CDTF">2026-09-07T06:29:00Z</dcterms:created>
  <dcterms:modified xsi:type="dcterms:W3CDTF">2026-09-07T06:29:00Z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