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AF1C" w14:textId="6482993F" w:rsidR="0023679E" w:rsidRDefault="007D2A80">
      <w:pPr>
        <w:rPr>
          <w:b/>
          <w:bCs/>
        </w:rPr>
      </w:pPr>
      <w:r w:rsidRPr="007D2A80">
        <w:rPr>
          <w:b/>
          <w:bCs/>
        </w:rPr>
        <w:t>Australian Clinical Forensic Medicine Alliance</w:t>
      </w:r>
    </w:p>
    <w:p w14:paraId="3E356ED0" w14:textId="193D0E85" w:rsidR="007D2A80" w:rsidRDefault="007D2A80">
      <w:pPr>
        <w:rPr>
          <w:b/>
          <w:bCs/>
        </w:rPr>
      </w:pPr>
      <w:r w:rsidRPr="007D2A80">
        <w:rPr>
          <w:b/>
          <w:bCs/>
        </w:rPr>
        <w:t>Feedback for Priority Area 1: Victim-survivors</w:t>
      </w:r>
    </w:p>
    <w:p w14:paraId="1E0698F2" w14:textId="527B97D9" w:rsidR="007D2A80" w:rsidRDefault="007D2A80" w:rsidP="007D2A80">
      <w:r>
        <w:t>The Australian Clinical Forensic Medicine Alliance (ACFMA) submits that one of the largest unaddressed barriers facing victim-survivors outside metropolitan centres is the inability to access a specialist forensic medical response, and the medico-legal expert opinion that follows from it, within a forensically relevant timeframe.</w:t>
      </w:r>
    </w:p>
    <w:p w14:paraId="1DA0D6B6" w14:textId="6A7D371F" w:rsidR="007D2A80" w:rsidRDefault="007D2A80" w:rsidP="007D2A80">
      <w:r>
        <w:t>THE ACCESS GAP</w:t>
      </w:r>
    </w:p>
    <w:p w14:paraId="17DB9ABB" w14:textId="60B8918D" w:rsidR="007D2A80" w:rsidRDefault="007D2A80" w:rsidP="007D2A80">
      <w:r>
        <w:t>Clinical forensic medicine is among the smallest medical disciplines in Australia. The specialist workforce is concentrated in capital-city services and service arrangements vary markedly by jurisdiction. There is no nationally consistent framework for minimum standards of clinical forensic practice, practitioner credentialling, evidence documentation, forensic photography and storage, specialist oversight or medico-legal reporting. A person disclosing sexual violence in regional or remote Australia may face a choice between travelling hundreds of kilometres within the forensic sampling window, often unaccompanied, without showering or changing clothes, immediately after an assault, or forgoing forensic examination altogether. Many forgo it. The consultation paper identifies rural and remote populations as a group for whom monitoring is inadequate and access barriers persistent. The forensic examination gap is among the most concrete of those barriers and one of the least discussed.</w:t>
      </w:r>
    </w:p>
    <w:p w14:paraId="49670B31" w14:textId="23B4C0A4" w:rsidR="007D2A80" w:rsidRDefault="007D2A80" w:rsidP="007D2A80">
      <w:r>
        <w:t>ACCESS IS THE ENTRY POINT, NOT THE OUTCOME MEASURE</w:t>
      </w:r>
    </w:p>
    <w:p w14:paraId="5B1E115E" w14:textId="684F1510" w:rsidR="007D2A80" w:rsidRDefault="007D2A80" w:rsidP="007D2A80">
      <w:r>
        <w:t>The central problem is not simply access to an examination. It is access to the right forensic response: clinically safe, forensically sound, trauma-informed, proportionate and capable of withstanding later justice scrutiny. A full forensic medical examination is not indicated in every presentation. Undertaking one without specialist triage may expose a victim-survivor to avoidable distress, create unrealistic expectations about evidentiary outcomes and risk further traumatisation. Conversely, a specimen collected without trained oversight, that is not processed, or for which no expert opinion is available downstream, is worse than no specimen: it consumes resources, raises false hope, and on the criminal standard of proof can be turned against the case it was meant to support. Examination counts are therefore not a useful outcome measure, and ACFMA asks that the Second Action Plan avoid adopting one. The meaningful outcome is the right response, at the right time, with defensible forensic practice and the expert capacity to carry the case through the justice system.</w:t>
      </w:r>
    </w:p>
    <w:p w14:paraId="6404B4E2" w14:textId="3CE7FD93" w:rsidR="007D2A80" w:rsidRDefault="007D2A80" w:rsidP="007D2A80">
      <w:r>
        <w:t xml:space="preserve">A further problem is rarely stated. Where examination does occur locally it is frequently performed by a clinician not qualified or credentialled to provide expert opinion evidence downstream. The case is then transferred to a second clinician, asked to </w:t>
      </w:r>
      <w:r>
        <w:lastRenderedPageBreak/>
        <w:t>interpret an examination they did not conduct on a patient they never met. The victim-survivor is rarely aware of this at the time of consent.</w:t>
      </w:r>
    </w:p>
    <w:p w14:paraId="3BF64407" w14:textId="2AF7C66C" w:rsidR="007D2A80" w:rsidRDefault="007D2A80" w:rsidP="007D2A80">
      <w:r>
        <w:t>THE PROPOSED RESPONSE</w:t>
      </w:r>
    </w:p>
    <w:p w14:paraId="1DD60A8E" w14:textId="7E83E4CA" w:rsidR="007D2A80" w:rsidRDefault="007D2A80" w:rsidP="007D2A80">
      <w:r>
        <w:t>ACFMA proposes hybrid synchronous clinical oversight, developed as the SAFE-CHOICE platform by forensic physicians. A trained local practitioner conducts the face-to-face encounter while a specialist clinical forensic physician participates in real time by secure video: triaging whether an examination is indicated, discussing risk, benefit and expected forensic yield with the patient directly, guiding history-taking and examination where one proceeds, assuring the quality of specimen collection, injury documentation and clinical photography as it occurs, and then assuming carriage of the medico-legal report, the expert opinion and any evidence in court. This is not standard telehealth. The remote expert is effectively in the room: the local practitioner provides the hands, guided by the specialist's eyes and expertise.</w:t>
      </w:r>
    </w:p>
    <w:p w14:paraId="6BFC2AC1" w14:textId="24ED0522" w:rsidR="007D2A80" w:rsidRDefault="007D2A80" w:rsidP="007D2A80">
      <w:r>
        <w:t>The supervisory architecture is established Australian practice, not an untested innovation. It is the working model of the Newborn and Paediatric Emergency Transport Service (NSW), the Paediatric Infant Perinatal Emergency Retrieval service (Victoria) and Adult Retrieval Victoria, in which a senior specialist available around the clock holds real-time clinical control of care delivered by frontline teams at the most remote sites in the country.</w:t>
      </w:r>
    </w:p>
    <w:p w14:paraId="7C046F0D" w14:textId="33EAA49F" w:rsidR="007D2A80" w:rsidRDefault="007D2A80" w:rsidP="007D2A80">
      <w:r>
        <w:t>WHAT THIS CHANGES FOR VICTIM-SURVIVORS</w:t>
      </w:r>
    </w:p>
    <w:p w14:paraId="1A7A6EFE" w14:textId="4BBA353D" w:rsidR="007D2A80" w:rsidRDefault="007D2A80" w:rsidP="007D2A80">
      <w:r>
        <w:t>The model widens choice materially for victim-survivors whose barriers are cultural or personal rather than geographic: examination by a known local practitioner, of a preferred gender, in a familiar setting, close to home or on Country, with a remote specialist rather than a second stranger in the room; medical care and stored evidence without any police involvement, preserving the victim-survivor's choice over if and when the justice system is engaged; and continuity of one counsellor across the entire episode of care through telehealth, wherever the patient moves, removing the retelling of the account to a succession of strangers. Each is repeatedly identified in the victim-survivor literature as determinative of whether help is sought at all. None requires the patient to compromise on forensic quality, and the triage function protects against the opposite failure: the low-yield examination undertaken because nobody present had the expertise to advise against it.</w:t>
      </w:r>
    </w:p>
    <w:p w14:paraId="472A522B" w14:textId="419937F5" w:rsidR="007D2A80" w:rsidRDefault="007D2A80" w:rsidP="007D2A80">
      <w:r>
        <w:t>COERCIVE CONTROL AND EMERGING HARMS</w:t>
      </w:r>
    </w:p>
    <w:p w14:paraId="1C127584" w14:textId="2E0480D4" w:rsidR="007D2A80" w:rsidRDefault="007D2A80" w:rsidP="007D2A80">
      <w:r>
        <w:t xml:space="preserve">On coercive control, the contribution of forensic medicine is evidentiary. Coercive control is prosecuted, where it is prosecuted, on patterns, and patterns are built from structured, dated, well-documented clinical encounters. A standardised national examination record capturing strangulation, injury morphology, weapon involvement </w:t>
      </w:r>
      <w:r>
        <w:lastRenderedPageBreak/>
        <w:t>and the clinical features of controlling behaviour at every presentation, wherever it occurs, is infrastructure for the recognition of coercive control in the sense the consultation paper calls for. It does not presently exist.</w:t>
      </w:r>
    </w:p>
    <w:p w14:paraId="3E07F9C3" w14:textId="7DCF2226" w:rsidR="007D2A80" w:rsidRDefault="007D2A80" w:rsidP="007D2A80">
      <w:r>
        <w:t>Contemporaneous, specialist-supervised documentation is also the practical protection for an individual complainant against the community attitudes the consultation paper documents: up to one third of Australians mistrust women's reports of sexual violence, and between a quarter and a third believe allegations arise from regret or retaliation. Objective clinical evidence is the mechanism by which an account is corroborated rather than tested against those attitudes.</w:t>
      </w:r>
    </w:p>
    <w:p w14:paraId="16BFC98C" w14:textId="0E5E038B" w:rsidR="007D2A80" w:rsidRDefault="007D2A80" w:rsidP="007D2A80">
      <w:r>
        <w:t>DIVERSE COMMUNITIES AND FIRST NATIONS ACCESS</w:t>
      </w:r>
    </w:p>
    <w:p w14:paraId="654E2BEF" w14:textId="47BAA929" w:rsidR="007D2A80" w:rsidRDefault="007D2A80" w:rsidP="007D2A80">
      <w:r>
        <w:t>Aboriginal and Torres Strait Islander women are hospitalised for assault-related injury at thirty-two times the rate of non-Indigenous women, comprise around 16 per cent of adult female homicide victims against roughly 3 per cent of the adult female population, and account for 28 per cent of family violence-related hospital stays against a 3.3 per cent population share. The consultation paper documents both the inadequacy of policing responses and the rational reluctance of many Aboriginal women to engage systems associated with child removal and victim misidentification.</w:t>
      </w:r>
    </w:p>
    <w:p w14:paraId="0AF52782" w14:textId="5EF8768A" w:rsidR="007D2A80" w:rsidRDefault="007D2A80" w:rsidP="007D2A80">
      <w:r>
        <w:t>A forensic pathway delivered on Country, through the health service and practitioners a community already knows, with the explicit option of medical care and stored evidence without police involvement, is responsive to precisely those failures. It must not, however, be designed for communities and delivered to them. ACFMA submits that any First Nations implementation should be a separately resourced co-design workstream under Our Ways - Strong Ways - Our Voices, led through Aboriginal Community Controlled Health Organisations, with community-controlled decisions on participation and data governance consistent with Indigenous data sovereignty principles. It should be funded as such, not absorbed as an implementation detail of a mainstream pilot.</w:t>
      </w:r>
    </w:p>
    <w:p w14:paraId="714330E7" w14:textId="7CE87481" w:rsidR="007D2A80" w:rsidRDefault="007D2A80" w:rsidP="007D2A80">
      <w:r>
        <w:t>The same access logic applies to other cohorts identified in the consultation paper: people for whom gender-concordant examination is a precondition of consent, people requiring interpreters, people in insecure housing, and people with disability for whom transfer to a distant service is impracticable.</w:t>
      </w:r>
    </w:p>
    <w:p w14:paraId="6319E2FE" w14:textId="7CCA7A09" w:rsidR="007D2A80" w:rsidRDefault="007D2A80" w:rsidP="007D2A80">
      <w:r>
        <w:t>A NECESSARY CONDITION</w:t>
      </w:r>
    </w:p>
    <w:p w14:paraId="4F08A59F" w14:textId="77777777" w:rsidR="007D2A80" w:rsidRDefault="007D2A80" w:rsidP="007D2A80">
      <w:r>
        <w:t>The model must extend existing specialist services, not divert patients from them. Where an in-person specialist service is available within a forensically relevant timeframe, that service remains the default pathway. ACFMA asks that non-diversion be an explicit design condition of any national action. Full detail is in the uploaded submission.</w:t>
      </w:r>
    </w:p>
    <w:p w14:paraId="333D694A" w14:textId="77777777" w:rsidR="007D2A80" w:rsidRDefault="007D2A80" w:rsidP="007D2A80">
      <w:pPr>
        <w:rPr>
          <w:b/>
          <w:bCs/>
        </w:rPr>
      </w:pPr>
    </w:p>
    <w:p w14:paraId="723E1CF2" w14:textId="3B688184" w:rsidR="007D2A80" w:rsidRPr="007D2A80" w:rsidRDefault="007D2A80" w:rsidP="007D2A80">
      <w:pPr>
        <w:rPr>
          <w:b/>
          <w:bCs/>
        </w:rPr>
      </w:pPr>
      <w:r w:rsidRPr="007D2A80">
        <w:rPr>
          <w:b/>
          <w:bCs/>
        </w:rPr>
        <w:lastRenderedPageBreak/>
        <w:t>Feedback for Priority Area 2: Prevention and early intervention</w:t>
      </w:r>
    </w:p>
    <w:p w14:paraId="16F3E1A1" w14:textId="55FD0889" w:rsidR="007D2A80" w:rsidRDefault="007D2A80" w:rsidP="007D2A80">
      <w:r>
        <w:t>A forensic response model is not a primary prevention measure, and ACFMA does not present it as one. The contribution of clinical forensic medicine to this priority area is narrower, and real.</w:t>
      </w:r>
    </w:p>
    <w:p w14:paraId="61ED14D9" w14:textId="673D42A3" w:rsidR="007D2A80" w:rsidRDefault="007D2A80" w:rsidP="007D2A80">
      <w:r>
        <w:t>THE HEALTH SYSTEM AS THE EARLIEST FORMAL IDENTIFICATION SURFACE</w:t>
      </w:r>
    </w:p>
    <w:p w14:paraId="0EDD2262" w14:textId="3432635F" w:rsidR="007D2A80" w:rsidRDefault="007D2A80" w:rsidP="007D2A80">
      <w:r>
        <w:t>More victim-survivors disclose to a health professional than to police or to a counselling line. This makes the universal health workforce the earliest formal point at which domestic, family and sexual violence becomes visible to any system. The consultation paper calls for investment in early intervention pathways outside the justice system, including consistent capability across health, and identifies limited access to trusted entry points as a barrier. Health is already the trusted entry point; what it lacks is anything to escalate to.</w:t>
      </w:r>
    </w:p>
    <w:p w14:paraId="4FC201B2" w14:textId="0C1B0C88" w:rsidR="007D2A80" w:rsidRDefault="007D2A80" w:rsidP="007D2A80">
      <w:r>
        <w:t xml:space="preserve">A model that gives the frontline health workforce an immediate, twenty-four-hour connection to specialist forensic and family-violence expertise </w:t>
      </w:r>
      <w:proofErr w:type="gramStart"/>
      <w:r>
        <w:t>at the moment</w:t>
      </w:r>
      <w:proofErr w:type="gramEnd"/>
      <w:r>
        <w:t xml:space="preserve"> of disclosure strengthens early intervention at the point where the evidence says disclosure is most likely to occur. It also relieves the frontline clinician of the choice between acting beyond their competence and not acting at all, which is the choice that currently suppresses engagement. Rural generalists, remote area nurses, midwives and Aboriginal health practitioners are not reluctant to help. They are reluctant to act alone in a domain where an error is </w:t>
      </w:r>
      <w:proofErr w:type="gramStart"/>
      <w:r>
        <w:t>irreversible</w:t>
      </w:r>
      <w:proofErr w:type="gramEnd"/>
      <w:r>
        <w:t xml:space="preserve"> and the consequences arrive years later in a courtroom.</w:t>
      </w:r>
    </w:p>
    <w:p w14:paraId="71EDC0D2" w14:textId="04BC68CB" w:rsidR="007D2A80" w:rsidRDefault="007D2A80" w:rsidP="007D2A80">
      <w:r>
        <w:t>SPECIALIST-SUPPORTED RISK RECOGNITION</w:t>
      </w:r>
    </w:p>
    <w:p w14:paraId="4F520235" w14:textId="4B0CEDBE" w:rsidR="007D2A80" w:rsidRDefault="007D2A80" w:rsidP="007D2A80">
      <w:r>
        <w:t>Real-time specialist involvement changes what is asked and what is found. Non-fatal strangulation is the clearest example. In the largest Australian clinical series, external physical signs were absent in 49 per cent of strangulation cases, and strangulation was strongly associated with intimate partner violence, present in 22.5 per cent of intimate-partner assaults against under 6 per cent for other alleged perpetrator types. Strangulation is a recognised marker of elevated risk of subsequent serious harm and homicide. Patients rarely volunteer it. Generalist clinicians rarely ask about it directly, and when they do, frequently do not know what to do with the answer.</w:t>
      </w:r>
    </w:p>
    <w:p w14:paraId="5B1EBE8D" w14:textId="4A095C21" w:rsidR="007D2A80" w:rsidRDefault="007D2A80" w:rsidP="007D2A80">
      <w:r>
        <w:t>A specialist participating in the encounter asks the question, explains to the patient why it matters, and directs assessment, safety information and escalation. This is early intervention in the most literal sense available to the health system: identification of an individual at demonstrably elevated risk of being killed, at a moment when she is already in a clinical room. The same applies to structured family violence risk assessment, pregnancy status, and the recognition of patterns across repeated presentations.</w:t>
      </w:r>
    </w:p>
    <w:p w14:paraId="0143724A" w14:textId="64202A1D" w:rsidR="007D2A80" w:rsidRDefault="007D2A80" w:rsidP="007D2A80">
      <w:r>
        <w:lastRenderedPageBreak/>
        <w:t>URGENT CARE CLINICS AS AN EARLY-IDENTIFICATION SETTING</w:t>
      </w:r>
    </w:p>
    <w:p w14:paraId="52C8145C" w14:textId="40FC895B" w:rsidR="007D2A80" w:rsidRDefault="007D2A80" w:rsidP="007D2A80">
      <w:r>
        <w:t>Commonwealth-supported Urgent Care Clinics warrant particular attention. They operate extended hours, accept walk-in presentations, and see precisely the acute, unscheduled injuries through which domestic, family and sexual violence first surfaces in the health system, frequently before any contact with police or a specialist service. They are a key setting in which presentations that would otherwise pass unrecognised and unrecorded could be captured.</w:t>
      </w:r>
    </w:p>
    <w:p w14:paraId="0BF55E57" w14:textId="332E3456" w:rsidR="007D2A80" w:rsidRDefault="007D2A80" w:rsidP="007D2A80">
      <w:r>
        <w:t>Their episodic, time-constrained model of care will not accommodate a full forensic medical examination in every case, and it need not. Under specialist triage, Urgent Care Clinic sites could be developed to deliver a modified, targeted forensic examination: injury documentation, secure forensic photography and time-critical early evidence collection, with escalation or warm referral to a full examination pathway where indicated. This is the proportionate-response principle applied to the setting where acute presentations already arrive, and it uses infrastructure the Commonwealth has already funded.</w:t>
      </w:r>
    </w:p>
    <w:p w14:paraId="74029196" w14:textId="0E9A9DA3" w:rsidR="007D2A80" w:rsidRDefault="007D2A80" w:rsidP="007D2A80">
      <w:r>
        <w:t>PRIMARY CARE AND COMMUNITY SETTINGS</w:t>
      </w:r>
    </w:p>
    <w:p w14:paraId="6606A019" w14:textId="5C9E3A40" w:rsidR="007D2A80" w:rsidRDefault="007D2A80" w:rsidP="007D2A80">
      <w:r>
        <w:t>The same logic extends to general practice and Primary Health Network-supported sites, where disclosure often occurs in the context of an established therapeutic relationship rather than in crisis. Early disclosure in a trusted local setting is the scenario in which a non-police-dependent pathway matters most, because the patient is weighing whether to engage any system at all. A specialist-supported conversation about options, risk and expected forensic yield, held before any decision is required, is early intervention that preserves rather than forecloses choice.</w:t>
      </w:r>
    </w:p>
    <w:p w14:paraId="489C0A91" w14:textId="3D2D8064" w:rsidR="007D2A80" w:rsidRDefault="007D2A80" w:rsidP="007D2A80">
      <w:r>
        <w:t>PREVENTING THE HARM CAUSED BY THE RESPONSE ITSELF</w:t>
      </w:r>
    </w:p>
    <w:p w14:paraId="44BF156D" w14:textId="15A35FB0" w:rsidR="007D2A80" w:rsidRDefault="007D2A80" w:rsidP="007D2A80">
      <w:r>
        <w:t>One form of prevention deserves explicit mention because it is routinely overlooked. Poorly conducted forensic examinations cause harm. They subject a patient to an intrusive procedure of no evidentiary value, generate expectations that later collapse, and can damage the case they were intended to support. Several jurisdictions have sought to close the access gap by training larger numbers of non-specialist clinicians through short courses. This may increase nominal access, but short-course training alone cannot create sustainable forensic capability in low-volume settings where a clinician may perform one examination a year. Preventing that harm requires specialist triage at the point of care, not more isolated training.</w:t>
      </w:r>
    </w:p>
    <w:p w14:paraId="0228BFA1" w14:textId="379A90DF" w:rsidR="007D2A80" w:rsidRDefault="007D2A80" w:rsidP="007D2A80">
      <w:r>
        <w:t>WHAT ACFMA ASKS OF THE SECOND ACTION PLAN</w:t>
      </w:r>
    </w:p>
    <w:p w14:paraId="166BB610" w14:textId="77777777" w:rsidR="007D2A80" w:rsidRDefault="007D2A80" w:rsidP="007D2A80">
      <w:r>
        <w:t xml:space="preserve">That early intervention capability in the universal health workforce be understood to require an escalation pathway, not only training; that Urgent Care Clinics be recognised and developed as a DFSV identification and modified forensic response setting; and </w:t>
      </w:r>
      <w:r>
        <w:lastRenderedPageBreak/>
        <w:t>that specialist-supported risk recognition, particularly for non-fatal strangulation, be treated as a national capability gap. Full detail is in the uploaded submission.</w:t>
      </w:r>
    </w:p>
    <w:p w14:paraId="1A813DCB" w14:textId="28FA3C8B" w:rsidR="007D2A80" w:rsidRPr="007D2A80" w:rsidRDefault="007D2A80" w:rsidP="007D2A80">
      <w:pPr>
        <w:rPr>
          <w:b/>
          <w:bCs/>
        </w:rPr>
      </w:pPr>
      <w:r w:rsidRPr="007D2A80">
        <w:rPr>
          <w:b/>
          <w:bCs/>
        </w:rPr>
        <w:t>Feedback for Priority Area 3: Children and young people in their own right</w:t>
      </w:r>
    </w:p>
    <w:p w14:paraId="3752AE7E" w14:textId="22F16AAD" w:rsidR="007D2A80" w:rsidRDefault="007D2A80" w:rsidP="007D2A80">
      <w:r>
        <w:t xml:space="preserve">ACFMA submits on this priority area with a stated limit on its own </w:t>
      </w:r>
      <w:proofErr w:type="gramStart"/>
      <w:r>
        <w:t>scope, and</w:t>
      </w:r>
      <w:proofErr w:type="gramEnd"/>
      <w:r>
        <w:t xml:space="preserve"> asks that the limit be read as a marker of where specialist expertise ends rather than as disinterest.</w:t>
      </w:r>
    </w:p>
    <w:p w14:paraId="74F9864B" w14:textId="229641F2" w:rsidR="007D2A80" w:rsidRDefault="007D2A80" w:rsidP="007D2A80">
      <w:r>
        <w:t>SCOPE AND HONESTY ABOUT IT</w:t>
      </w:r>
    </w:p>
    <w:p w14:paraId="162E6863" w14:textId="796CA53F" w:rsidR="007D2A80" w:rsidRDefault="007D2A80" w:rsidP="007D2A80">
      <w:r>
        <w:t>Paediatric forensic medicine is a distinct sub-specialty with its own examination standards, consent and capacity complexities, developmental considerations and workforce. An initial deployment of hybrid synchronous forensic oversight should be scoped to adults and older adolescents under existing jurisdictional protocols, with paediatric extension considered separately and under paediatric specialist governance. ACFMA does not propose that a model developed for adult forensic practice be applied to children on the strength of its adult results.</w:t>
      </w:r>
    </w:p>
    <w:p w14:paraId="53E21D39" w14:textId="580C54E7" w:rsidR="007D2A80" w:rsidRDefault="007D2A80" w:rsidP="007D2A80">
      <w:r>
        <w:t>CHILDREN MADE VISIBLE THROUGH THE ADULT ENCOUNTER</w:t>
      </w:r>
    </w:p>
    <w:p w14:paraId="11BE96D9" w14:textId="6C21F4DC" w:rsidR="007D2A80" w:rsidRDefault="007D2A80" w:rsidP="007D2A80">
      <w:r>
        <w:t>The consultation paper reports that 377,000 adults experiencing intimate partner or cohabiting partner violence had children living in the household, and that three-quarters of filicide cases followed a known history of domestic and family violence, meaning that in most cases opportunities for service system intervention already existed. The paper is right that these are missed opportunities. They are missed in part because the adult encounter does not systematically record the children.</w:t>
      </w:r>
    </w:p>
    <w:p w14:paraId="3F6B5889" w14:textId="6DBB9F0B" w:rsidR="007D2A80" w:rsidRDefault="007D2A80" w:rsidP="007D2A80">
      <w:r>
        <w:t xml:space="preserve">A structured forensic examination record that routinely captures the presence, ages and circumstances of children in the household converts every adult presentation into an identification opportunity for children experiencing </w:t>
      </w:r>
      <w:proofErr w:type="gramStart"/>
      <w:r>
        <w:t>violence in their own right</w:t>
      </w:r>
      <w:proofErr w:type="gramEnd"/>
      <w:r>
        <w:t>. This is a data architecture question as much as a practice question. Where the record has a field, the question gets asked; where it does not, the children remain invisible to every system downstream. ACFMA's information model captures household composition and child presence as structured fields for exactly this reason, and we submit that any national standardisation of forensic examination data should require it.</w:t>
      </w:r>
    </w:p>
    <w:p w14:paraId="1B0208D7" w14:textId="51D16467" w:rsidR="007D2A80" w:rsidRDefault="007D2A80" w:rsidP="007D2A80">
      <w:r>
        <w:t>The same record supports the consultation paper's call for better recognition of the co-occurrence of exposure to domestic violence with other forms of maltreatment, since it documents, at the point of clinical contact, the environment in which children are living.</w:t>
      </w:r>
    </w:p>
    <w:p w14:paraId="567FB721" w14:textId="6905A38C" w:rsidR="007D2A80" w:rsidRDefault="007D2A80" w:rsidP="007D2A80">
      <w:r>
        <w:t>ADOLESCENTS AND THE FORENSIC TIMEFRAME</w:t>
      </w:r>
    </w:p>
    <w:p w14:paraId="547FC9A8" w14:textId="186033CA" w:rsidR="007D2A80" w:rsidRDefault="007D2A80" w:rsidP="007D2A80">
      <w:r>
        <w:t xml:space="preserve">Older adolescents present a particular access problem that the Second Action Plan should name. A sixteen or seventeen-year-old in a regional or remote community who discloses sexual violence faces the same geographic barrier as an adult, compounded </w:t>
      </w:r>
      <w:r>
        <w:lastRenderedPageBreak/>
        <w:t xml:space="preserve">by dependence on an adult to travel, limited capacity to explain an absence, and heightened concern about confidentiality. The forensic sampling window does not extend for their convenience. Where jurisdictional protocols already permit examination of older adolescents by adult services, hybrid oversight extends that capability to the places where those young people </w:t>
      </w:r>
      <w:proofErr w:type="gramStart"/>
      <w:r>
        <w:t>actually live</w:t>
      </w:r>
      <w:proofErr w:type="gramEnd"/>
      <w:r>
        <w:t>.</w:t>
      </w:r>
    </w:p>
    <w:p w14:paraId="46B597FD" w14:textId="3DAF7E83" w:rsidR="007D2A80" w:rsidRDefault="007D2A80" w:rsidP="007D2A80">
      <w:r>
        <w:t>EMERGING FORMS OF HARM</w:t>
      </w:r>
    </w:p>
    <w:p w14:paraId="458F26EB" w14:textId="10952EED" w:rsidR="007D2A80" w:rsidRDefault="007D2A80" w:rsidP="007D2A80">
      <w:r>
        <w:t>The consultation paper identifies non-fatal strangulation, harmful sexual behaviours, dating-app-facilitated harm and technology-facilitated abuse among young people as emerging concerns. Clinical forensic medicine is one of the few points in the system where these harms become physically and evidentially documented rather than only reported. Non-fatal strangulation among adolescents in intimate partner relationships is materially under-recognised, and the finding that external signs are absent in approximately half of strangulation cases applies with equal force to young people. Structured capture of these presentations, under specialist oversight, would improve both the individual response and the national evidence base, which the paper correctly identifies as thin.</w:t>
      </w:r>
    </w:p>
    <w:p w14:paraId="4638D8A2" w14:textId="4635EA94" w:rsidR="007D2A80" w:rsidRDefault="007D2A80" w:rsidP="007D2A80">
      <w:r>
        <w:t>PAEDIATRIC EXTENSION AS A FUTURE QUESTION</w:t>
      </w:r>
    </w:p>
    <w:p w14:paraId="3A89667A" w14:textId="1D74F740" w:rsidR="007D2A80" w:rsidRDefault="007D2A80" w:rsidP="007D2A80">
      <w:r>
        <w:t>The supervisory architecture itself, in which a remote specialist supports a local clinician in real time, is in principle extensible to paediatric forensic services facing the same geographic maldistribution of expertise. Paediatric forensic capability is at least as thinly distributed as adult capability, and the consequences of an inexpert paediatric examination are more serious. ACFMA submits that an adult implementation should be evaluated with paediatric extension expressly in view, so that the evidence generated is usable by paediatric services, and that any such extension be led by paediatric forensic specialists and children's services rather than adapted by analogy.</w:t>
      </w:r>
    </w:p>
    <w:p w14:paraId="12C5FBC7" w14:textId="2B3E10AB" w:rsidR="007D2A80" w:rsidRDefault="007D2A80" w:rsidP="007D2A80">
      <w:r>
        <w:t>CHILDREN'S INVOLVEMENT IN DESIGN</w:t>
      </w:r>
    </w:p>
    <w:p w14:paraId="135F2A53" w14:textId="77777777" w:rsidR="007D2A80" w:rsidRDefault="007D2A80" w:rsidP="007D2A80">
      <w:r>
        <w:t>Where young people are within scope of any pilot, their experience of the model should be evaluated directly and by trauma-informed, developmentally appropriate methods, not inferred from adult results or reported only by accompanying adults. Full detail is in the uploaded submission.</w:t>
      </w:r>
    </w:p>
    <w:p w14:paraId="7AA5F501" w14:textId="744D725A" w:rsidR="007D2A80" w:rsidRPr="007D2A80" w:rsidRDefault="007D2A80" w:rsidP="007D2A80">
      <w:pPr>
        <w:rPr>
          <w:b/>
          <w:bCs/>
        </w:rPr>
      </w:pPr>
      <w:r w:rsidRPr="007D2A80">
        <w:rPr>
          <w:b/>
          <w:bCs/>
        </w:rPr>
        <w:t>Feedback for Priority Area 4: People who use violence</w:t>
      </w:r>
    </w:p>
    <w:p w14:paraId="7996D325" w14:textId="44E75B4A" w:rsidR="007D2A80" w:rsidRDefault="007D2A80" w:rsidP="007D2A80">
      <w:r>
        <w:t>Accountability for people who use violence rests, in the justice system, on the quality of evidence. ACFMA submits that in regional and remote Australia the binding constraint on accountability is increasingly evidentiary rather than attitudinal, and that this has received insufficient policy attention.</w:t>
      </w:r>
    </w:p>
    <w:p w14:paraId="6DEACA61" w14:textId="5FAFC1F3" w:rsidR="007D2A80" w:rsidRDefault="007D2A80" w:rsidP="007D2A80">
      <w:r>
        <w:t>THE EVIDENTIARY CONSTRAINT</w:t>
      </w:r>
    </w:p>
    <w:p w14:paraId="613D6A6B" w14:textId="74B065D5" w:rsidR="007D2A80" w:rsidRDefault="007D2A80" w:rsidP="007D2A80">
      <w:r>
        <w:lastRenderedPageBreak/>
        <w:t xml:space="preserve">The consultation paper reports more proactive policing and rising prosecution of domestic and family violence </w:t>
      </w:r>
      <w:proofErr w:type="gramStart"/>
      <w:r>
        <w:t>offences, and</w:t>
      </w:r>
      <w:proofErr w:type="gramEnd"/>
      <w:r>
        <w:t xml:space="preserve"> treats this as a positive trend. It is. But a prosecution is only as strong as the evidence available to it, and outside metropolitan centres the forensic evidence is frequently absent, incomplete or of contested quality. Where no examination occurred, evidentiary opportunities were lost at the only moment they existed. Where an examination occurred without specialist oversight, injuries may be undocumented or unphotographed, sampling may be inappropriate to the alleged act, chain of custody may be imperfectly maintained, and the significance of findings such as patterned bruising or the absence of external strangulation signs may go unrecognised.</w:t>
      </w:r>
    </w:p>
    <w:p w14:paraId="08A8DDE2" w14:textId="2E3FA56D" w:rsidR="007D2A80" w:rsidRDefault="007D2A80" w:rsidP="007D2A80">
      <w:r>
        <w:t>Specialist-supervised examination raises the floor of evidence quality wherever the complainant presents. It reduces the extent to which a prosecution depends on the complainant's testimony alone, which matters particularly given the community attitudes the consultation paper documents: up to one third of Australians mistrust women's reports of sexual violence, and between a quarter and a third believe allegations arise from regret or retaliation. Those attitudes reach juries. Objective, contemporaneous, specialist-quality clinical documentation is the practical counterweight available to an individual complainant.</w:t>
      </w:r>
    </w:p>
    <w:p w14:paraId="3E7A9B23" w14:textId="5ABA029D" w:rsidR="007D2A80" w:rsidRDefault="007D2A80" w:rsidP="007D2A80">
      <w:r>
        <w:t>THE EXPERT WITNESS PROBLEM</w:t>
      </w:r>
    </w:p>
    <w:p w14:paraId="5839A148" w14:textId="2D032DD5" w:rsidR="007D2A80" w:rsidRDefault="007D2A80" w:rsidP="007D2A80">
      <w:r>
        <w:t>The present arrangement in much of regional Australia is that the clinician who conducts the examination is not qualified or credentialled to give expert opinion evidence. The case is transferred to a second clinician, asked to interpret an examination they did not conduct on a patient they never met and could not assess. The evidentiary weaknesses of that arrangement are apparent, and defence counsel are alert to them.</w:t>
      </w:r>
    </w:p>
    <w:p w14:paraId="68117180" w14:textId="6E021453" w:rsidR="007D2A80" w:rsidRDefault="007D2A80" w:rsidP="007D2A80">
      <w:r>
        <w:t xml:space="preserve">Under hybrid synchronous oversight, the specialist who will later give evidence has participated in the examination in real time, has seen the injuries, has directed the sampling, and has assured the documentation as it was created. The expert </w:t>
      </w:r>
      <w:proofErr w:type="gramStart"/>
      <w:r>
        <w:t>witness</w:t>
      </w:r>
      <w:proofErr w:type="gramEnd"/>
      <w:r>
        <w:t xml:space="preserve"> the matter will eventually require is present from the outset rather than reconstructed afterwards. This is the single largest evidentiary improvement the model offers, and it is available immediately.</w:t>
      </w:r>
    </w:p>
    <w:p w14:paraId="1DD76796" w14:textId="60D2AD16" w:rsidR="007D2A80" w:rsidRDefault="007D2A80" w:rsidP="007D2A80">
      <w:r>
        <w:t>ADMISSIBILITY MUST BE SETTLED IN ADVANCE</w:t>
      </w:r>
    </w:p>
    <w:p w14:paraId="026CCD22" w14:textId="0D47056E" w:rsidR="007D2A80" w:rsidRDefault="007D2A80" w:rsidP="007D2A80">
      <w:r>
        <w:t xml:space="preserve">ACFMA submits, as a condition on its own proposal, that the medico-legal admissibility architecture be settled in writing with the relevant Director of Public Prosecutions before any first patient contact. This means the respective evidentiary roles of the frontline and supervising practitioners, chain of custody for specimens and digital images, authentication of the electronic record, and the qualification of the remote specialist as the expert witness. ACFMA's scoping review of the international </w:t>
      </w:r>
      <w:proofErr w:type="spellStart"/>
      <w:r>
        <w:lastRenderedPageBreak/>
        <w:t>teleforensic</w:t>
      </w:r>
      <w:proofErr w:type="spellEnd"/>
      <w:r>
        <w:t xml:space="preserve"> literature, covering 183 peer-reviewed publications from 2005 to 2026, identifies the absence of legal-outcome data as the field's most serious gap: two decades of </w:t>
      </w:r>
      <w:proofErr w:type="spellStart"/>
      <w:r>
        <w:t>teleSANE</w:t>
      </w:r>
      <w:proofErr w:type="spellEnd"/>
      <w:r>
        <w:t xml:space="preserve"> programmes internationally have generated almost no evidence on admissibility, prosecution or conviction outcomes. An Australian implementation that resolves admissibility prospectively, then measures those outcomes, would close a gap of international significance while protecting the first patients from bearing that uncertainty. This should be a precondition of deployment, not a matter for post-hoc evaluation.</w:t>
      </w:r>
    </w:p>
    <w:p w14:paraId="4182D697" w14:textId="78A7F7AB" w:rsidR="007D2A80" w:rsidRDefault="007D2A80" w:rsidP="007D2A80">
      <w:r>
        <w:t>EXAMINATION OF ALLEGED OFFENDERS</w:t>
      </w:r>
    </w:p>
    <w:p w14:paraId="69D3D962" w14:textId="5ED5497D" w:rsidR="007D2A80" w:rsidRDefault="007D2A80" w:rsidP="007D2A80">
      <w:r>
        <w:t>Clinical forensic medicine also carries responsibility for the examination of alleged offenders in custody, including injury documentation, sampling, and assessment of fitness for interview. The same workforce shortage constrains that function, with the same geographic distribution, and the same supervisory architecture is applicable to it. Where an alleged offender in a regional watch-house cannot be examined by a forensic physician within a useful timeframe, evidence relevant to both the case against him and any defence he may raise is lost. This is a matter of procedural fairness as well as prosecutorial capability, and it is presently unaddressed in national policy.</w:t>
      </w:r>
    </w:p>
    <w:p w14:paraId="70918020" w14:textId="37712FAE" w:rsidR="007D2A80" w:rsidRDefault="007D2A80" w:rsidP="007D2A80">
      <w:r>
        <w:t>EARLIER RECOGNITION</w:t>
      </w:r>
    </w:p>
    <w:p w14:paraId="3A17017F" w14:textId="77777777" w:rsidR="007D2A80" w:rsidRDefault="007D2A80" w:rsidP="007D2A80">
      <w:r>
        <w:t>The consultation paper asks how services and institutions might better recognise people using violence earlier. Structured, standardised documentation of injury presentations across the health system, contributed to national datasets under defined governance, supports identification of repeat patterns that no single service currently sees. A person who presents to four different emergency departments across two jurisdictions is at present four unrelated records. This is an evidence-base problem the Second Action Plan is well placed to address. Full detail is in the uploaded submission.</w:t>
      </w:r>
    </w:p>
    <w:p w14:paraId="3EF86632" w14:textId="77777777" w:rsidR="007D2A80" w:rsidRDefault="007D2A80" w:rsidP="007D2A80">
      <w:pPr>
        <w:rPr>
          <w:b/>
          <w:bCs/>
        </w:rPr>
      </w:pPr>
      <w:r w:rsidRPr="007D2A80">
        <w:rPr>
          <w:b/>
          <w:bCs/>
        </w:rPr>
        <w:t>Feedback for Priority Area 5: System Integration and Workforce</w:t>
      </w:r>
    </w:p>
    <w:p w14:paraId="5FB43618" w14:textId="1C59E023" w:rsidR="007D2A80" w:rsidRDefault="007D2A80" w:rsidP="007D2A80">
      <w:r>
        <w:t>This is the priority area to which ACFMA's submission is principally addressed, and the consultation questions posed here describe the problem almost exactly.</w:t>
      </w:r>
    </w:p>
    <w:p w14:paraId="5B896DF0" w14:textId="13170214" w:rsidR="007D2A80" w:rsidRDefault="007D2A80" w:rsidP="007D2A80">
      <w:r>
        <w:t>THE WORKFORCE ARITHMETIC</w:t>
      </w:r>
    </w:p>
    <w:p w14:paraId="65965907" w14:textId="74B770A2" w:rsidR="007D2A80" w:rsidRDefault="007D2A80" w:rsidP="007D2A80">
      <w:r>
        <w:t>The specialist clinical forensic workforce cannot be scaled to national geographic coverage within any realistic planning horizon. The training pipeline is long, the discipline is small, and the work is unattractive on conventional terms: irregular hours, high emotional load, and an obligation to appear in court years later. No amount of national workforce planning will place a forensic physician within a forensically relevant travel time of every Australian community. This should be stated plainly in the Second Action Plan rather than implied as an aspiration.</w:t>
      </w:r>
    </w:p>
    <w:p w14:paraId="2B93B32D" w14:textId="3C68FFF9" w:rsidR="007D2A80" w:rsidRDefault="007D2A80" w:rsidP="007D2A80">
      <w:r>
        <w:lastRenderedPageBreak/>
        <w:t>What can be scaled is the reach of each specialist. Under hybrid synchronous oversight, one specialist on a roster supports encounters across an entire jurisdiction in a single shift, while the face-to-face work is performed by a much larger latent workforce already distributed where people live: general practitioners, remote area nurses, midwives, Aboriginal health practitioners, sexual health nurses and emergency clinicians. Many of these clinicians are willing to undertake forensic work if, and only if, they are trained, credentialled, supervised, remunerated, and not left holding the medico-legal consequences alone.</w:t>
      </w:r>
    </w:p>
    <w:p w14:paraId="27D57223" w14:textId="2330B685" w:rsidR="007D2A80" w:rsidRDefault="007D2A80" w:rsidP="007D2A80">
      <w:r>
        <w:t>The transfer of downstream medico-legal carriage to the supervising specialist is the single design feature that unlocks that workforce. The frontline clinician's reluctance to engage in forensic work is rational under current arrangements: the prospect of being subpoenaed years later as an unsupported expert witness for an encounter they were barely equipped to conduct is a genuine deterrent. It will not be resolved by exhortation or by more short-course training. It requires a structural answer to the question of who carries the case, and the answer must be the specialist.</w:t>
      </w:r>
    </w:p>
    <w:p w14:paraId="09E5B4AF" w14:textId="1ED6D599" w:rsidR="007D2A80" w:rsidRDefault="007D2A80" w:rsidP="007D2A80">
      <w:r>
        <w:t>A PROVEN AUSTRALIAN ARCHITECTURE</w:t>
      </w:r>
    </w:p>
    <w:p w14:paraId="67994624" w14:textId="32CD1AC9" w:rsidR="007D2A80" w:rsidRDefault="007D2A80" w:rsidP="007D2A80">
      <w:r>
        <w:t>Hybrid clinical oversight is not novel in Australian healthcare. It is the working model of the Newborn and Paediatric Emergency Transport Service in New South Wales, the Paediatric Infant Perinatal Emergency Retrieval service in Victoria, and Adult Retrieval Victoria. Each places a senior specialist, available around the clock, in real-time clinical control of care delivered by frontline teams at the most remote sites in the country. Each is mature, government-funded and jurisdictionally embedded. Each demonstrates that responsibility for the specialist components of care can be held remotely without degrading the face-to-face encounter.</w:t>
      </w:r>
    </w:p>
    <w:p w14:paraId="63BC3A7E" w14:textId="01896073" w:rsidR="007D2A80" w:rsidRDefault="007D2A80" w:rsidP="007D2A80">
      <w:r>
        <w:t>Clinical forensic medicine presents the same underlying conditions: a thin specialist workforce, a continental geography, and a population that should not be disadvantaged by where it lives. It admits the same solution. The Second Action Plan does not need to prove a new model; it needs to apply an accepted one to a discipline that has not yet received it.</w:t>
      </w:r>
    </w:p>
    <w:p w14:paraId="3AC326C5" w14:textId="0E45BD93" w:rsidR="007D2A80" w:rsidRDefault="007D2A80" w:rsidP="007D2A80">
      <w:r>
        <w:t>NATIONAL STANDARDS AND CREDENTIALLING</w:t>
      </w:r>
    </w:p>
    <w:p w14:paraId="55BEEAFC" w14:textId="248660CF" w:rsidR="007D2A80" w:rsidRDefault="007D2A80" w:rsidP="007D2A80">
      <w:r>
        <w:t>There is presently no nationally consistent framework for minimum standards of clinical forensic practice, practitioner credentialling, evidence documentation, forensic photography and image storage, specialist oversight or medico-legal reporting. Arrangements differ by jurisdiction and, within jurisdictions, by site. A victim-survivor's access to a defensible forensic response is therefore determined by postcode, and no national body is accountable for that variation.</w:t>
      </w:r>
    </w:p>
    <w:p w14:paraId="5C5A604A" w14:textId="01479CDD" w:rsidR="007D2A80" w:rsidRDefault="007D2A80" w:rsidP="007D2A80">
      <w:r>
        <w:lastRenderedPageBreak/>
        <w:t>ACFMA submits that developing such a framework, with the specialty colleges and jurisdictions, on the model of existing college quality and accreditation programmes, is a discrete and achievable Second Action Plan deliverable. It would give the latent frontline workforce a recognised pathway and give governments a common quality floor against which to fund and evaluate services. Credentialling is a forward-looking ambition rather than a pilot deliverable, but the Plan is the right instrument to commit to it</w:t>
      </w:r>
      <w:r>
        <w:t>.</w:t>
      </w:r>
    </w:p>
    <w:p w14:paraId="5E94C0C1" w14:textId="33598973" w:rsidR="007D2A80" w:rsidRDefault="007D2A80" w:rsidP="007D2A80">
      <w:r>
        <w:t>WORKFORCE SUSTAINABILITY AND VICARIOUS TRAUMA</w:t>
      </w:r>
    </w:p>
    <w:p w14:paraId="02D0202D" w14:textId="3370780C" w:rsidR="007D2A80" w:rsidRDefault="007D2A80" w:rsidP="007D2A80">
      <w:r>
        <w:t>The consultation paper is right to name vicarious trauma as a workforce risk. Ad-hoc arrangements are the worst case: an isolated clinician, unsupported, conducting a traumatic examination beyond their competence, with no debrief and no peer review. A structured model creates the occasion for what ad-hoc arrangements omit. Routine post-encounter debriefing of the frontline practitioner by the supervising specialist. Peer review of documentation and medico-legal reports. A supervisory relationship in which the frontline clinician is never the most senior person responsible for a traumatic case. These are retention measures as much as quality measures, and they should be funded as part of the model rather than left to individual services.</w:t>
      </w:r>
    </w:p>
    <w:p w14:paraId="118FD761" w14:textId="7CBA350E" w:rsidR="007D2A80" w:rsidRDefault="007D2A80" w:rsidP="007D2A80">
      <w:r>
        <w:t>SYSTEM INTEGRATION AND CONTINUITY</w:t>
      </w:r>
    </w:p>
    <w:p w14:paraId="6756F25E" w14:textId="0E924BFB" w:rsidR="007D2A80" w:rsidRDefault="007D2A80" w:rsidP="007D2A80">
      <w:r>
        <w:t>Victim-survivors currently navigate health, police, specialist DFSV services, counselling and justice as separate encounters, retelling the account each time. Within the proposed model, the forensic encounter, specialist DFSV counselling and warm referral occur within a single episode of care, and the counsellor who joins the encounter remains the patient's counsellor through telehealth thereafter, wherever the patient moves. That continuity is a direct answer to the consultation question about coordination and continuity of care, and it is achievable now.</w:t>
      </w:r>
    </w:p>
    <w:p w14:paraId="5AF27090" w14:textId="1D799342" w:rsidR="007D2A80" w:rsidRDefault="007D2A80" w:rsidP="007D2A80">
      <w:r>
        <w:t>The model is also designed to extend existing services rather than compete with them. Existing state and territory forensic and sexual assault services can themselves operate the platform to support their own regional clinicians and emergency departments, under their own clinical governance. ACFMA asks that non-diversion be an explicit condition: where an in-person specialist service is available within a forensically relevant timeframe, it remains the default pathway.</w:t>
      </w:r>
    </w:p>
    <w:p w14:paraId="0CA139EA" w14:textId="5C1311DB" w:rsidR="007D2A80" w:rsidRDefault="007D2A80" w:rsidP="007D2A80">
      <w:r>
        <w:t>DATA, EVIDENCE AND SENTINEL SURVEILLANCE</w:t>
      </w:r>
    </w:p>
    <w:p w14:paraId="0C58EEEB" w14:textId="62A0F851" w:rsidR="007D2A80" w:rsidRDefault="007D2A80" w:rsidP="007D2A80">
      <w:r>
        <w:t>The consultation paper devotes sustained attention to the weakness of national measurement: inconsistent capture of strangulation and coercive control, poor visibility of repeat victimisation, administrative data that cannot be integrated, and reliance on prevalence snapshots rather than patterns of harm. ACFMA submits that this is soluble at the point of origin rather than by later reconciliation.</w:t>
      </w:r>
    </w:p>
    <w:p w14:paraId="05E27F1A" w14:textId="54631BA2" w:rsidR="007D2A80" w:rsidRDefault="007D2A80" w:rsidP="007D2A80">
      <w:r>
        <w:lastRenderedPageBreak/>
        <w:t>Every encounter under the proposed model produces a structured, standardised, audit-locked clinical record: the same fields, the same definitions, the same quality assurance, whether the encounter occurs in a capital-city service or a remote clinic. ACFMA's information model comprises 264 structured fields across 41 sections with a 15-component consent architecture, developed as the direct successor to a Western Australian forensic examination dataset that has supported clinician-entered structured data collection for fifteen years and produced an internationally cited body of original research, including the Australian strangulation and genital injury studies now standard references in the international literature. The feasibility and the research yield of this approach are demonstrated, not hypothetical.</w:t>
      </w:r>
    </w:p>
    <w:p w14:paraId="7BC25C89" w14:textId="7927F861" w:rsidR="007D2A80" w:rsidRDefault="007D2A80" w:rsidP="007D2A80">
      <w:r>
        <w:t>Contributed under defined governance and explicit patient consent to the AIHW Family, Domestic and Sexual Violence Integrated Data System, a standardised national forensic examination record would permit, for the first time, characterisation of clinically presenting violence by what is observed across all doors at once rather than what is brought through one door. That is a sentinel surveillance capability for emerging patterns, for targeted resourcing of communities at greatest risk, and for evaluation of the National Plan itself. It does not presently exist in any jurisdiction.</w:t>
      </w:r>
    </w:p>
    <w:p w14:paraId="3E0A47F7" w14:textId="0D709BF9" w:rsidR="007D2A80" w:rsidRDefault="007D2A80" w:rsidP="007D2A80">
      <w:r>
        <w:t>WHAT ACFMA ASKS OF THE SECOND ACTION PLAN</w:t>
      </w:r>
    </w:p>
    <w:p w14:paraId="5917012F" w14:textId="77777777" w:rsidR="007D2A80" w:rsidRDefault="007D2A80" w:rsidP="007D2A80">
      <w:r>
        <w:t>A national action on equitable access to specialist clinical forensic medicine, measured by availability of the right forensic response and downstream medico-legal expert opinion rather than examination counts. A nationally consistent framework for minimum standards, credentialling, documentation, photography and storage, oversight and reporting. Recognition and investment in the latent frontline forensic workforce, including training, remuneration, vicarious trauma support and routine debriefing. An explicit non-diversion condition. Preservation of reporting pathways that do not require police involvement. And national standardisation of forensic examination data aligned with the AIHW integrated data system. Full detail, including a staged pilot proposal and a worked illustration of the model against current-state pathways, is in the uploaded submission.</w:t>
      </w:r>
    </w:p>
    <w:p w14:paraId="1B8D2D0E" w14:textId="77777777" w:rsidR="007D2A80" w:rsidRDefault="007D2A80" w:rsidP="007D2A80">
      <w:pPr>
        <w:rPr>
          <w:b/>
          <w:bCs/>
        </w:rPr>
      </w:pPr>
      <w:r w:rsidRPr="007D2A80">
        <w:rPr>
          <w:b/>
          <w:bCs/>
        </w:rPr>
        <w:t>Are there any other actions you think should be a priority to stop family, domestic and sexual violence?</w:t>
      </w:r>
    </w:p>
    <w:p w14:paraId="28AA594A" w14:textId="62C430B3" w:rsidR="007D2A80" w:rsidRDefault="007D2A80" w:rsidP="007D2A80">
      <w:r>
        <w:t>ACFMA proposes one further priority action and sets out the conditions that should attach to it.</w:t>
      </w:r>
    </w:p>
    <w:p w14:paraId="17D308AF" w14:textId="5D3070B0" w:rsidR="007D2A80" w:rsidRDefault="007D2A80" w:rsidP="007D2A80">
      <w:r>
        <w:t>A STAGED PILOT OF HYBRID SYNCHRONOUS FORENSIC OVERSIGHT</w:t>
      </w:r>
    </w:p>
    <w:p w14:paraId="3C8F1C24" w14:textId="2660061A" w:rsidR="007D2A80" w:rsidRDefault="007D2A80" w:rsidP="007D2A80">
      <w:r>
        <w:t xml:space="preserve">The Second Action Plan should approve and co-fund a Stage 1 pilot to finalise the service model, governance, technology, workforce and justice pathways required for safe implementation. Stage 1 covers software customisation, security and usability </w:t>
      </w:r>
      <w:r>
        <w:lastRenderedPageBreak/>
        <w:t>testing, clinical governance and standards development, documentation and reporting templates, stakeholder co-design and pilot readiness. Costings should be settled during the design phase, once the pathway and site cohort are agreed, rather than fixed in advance of scope.</w:t>
      </w:r>
    </w:p>
    <w:p w14:paraId="3C727D89" w14:textId="4CD6D814" w:rsidR="007D2A80" w:rsidRDefault="007D2A80" w:rsidP="007D2A80">
      <w:r>
        <w:t>Five delivery pathways are open, singly or in combination. A state-based pilot across defined regional and remote sites under the governance of an existing state forensic and sexual assault service, which tests jurisdiction-wide integration across a large geography with clear clinical governance. Commonwealth-supported Urgent Care Clinics in priority regions, which suit acute unscheduled presentations and build on investment the Commonwealth has already made. Selected general practices or Primary Health Network-supported sites, which suit early disclosure in trusted local settings and support non-police-dependent access. Enhancement of existing state and territory forensic services, in which those services operate the platform to support their own regional clinicians and emergency departments, avoiding duplication and supporting low-volume providers. Or a mixed priority-area cohort targeting areas of highest unmet need under a common evaluation framework.</w:t>
      </w:r>
    </w:p>
    <w:p w14:paraId="2BDA1D32" w14:textId="692C5FCA" w:rsidR="007D2A80" w:rsidRDefault="007D2A80" w:rsidP="007D2A80">
      <w:r>
        <w:t>Western Australia presents the strongest first-mover case for a state-based pathway: the largest geographic maldistribution burden in the country, an established state-wide specialist sexual assault service, a mature emergency telehealth service into which the model can integrate, and a fifteen-year academic record in structured forensic examination data. The argument does not depend on that choice.</w:t>
      </w:r>
    </w:p>
    <w:p w14:paraId="0DC924F2" w14:textId="6663B121" w:rsidR="007D2A80" w:rsidRDefault="007D2A80" w:rsidP="007D2A80">
      <w:r>
        <w:t>FIRST CONDITION: MEDICO-LEGAL ADMISSIBILITY SETTLED BEFORE FIRST PATIENT CONTACT</w:t>
      </w:r>
    </w:p>
    <w:p w14:paraId="7038DFAD" w14:textId="198F3CA5" w:rsidR="007D2A80" w:rsidRDefault="007D2A80" w:rsidP="007D2A80">
      <w:r>
        <w:t>The admissibility architecture must be settled in writing with the relevant Director of Public Prosecutions before any patient is examined. This means the respective evidentiary roles of the frontline and supervising practitioners, chain of custody for specimens and digital images, authentication of the electronic record, and the qualification of the remote specialist as the expert witness.</w:t>
      </w:r>
    </w:p>
    <w:p w14:paraId="393DB962" w14:textId="271650DF" w:rsidR="007D2A80" w:rsidRDefault="007D2A80" w:rsidP="007D2A80">
      <w:r>
        <w:t xml:space="preserve">ACFMA's scoping review of the international </w:t>
      </w:r>
      <w:proofErr w:type="spellStart"/>
      <w:r>
        <w:t>teleforensic</w:t>
      </w:r>
      <w:proofErr w:type="spellEnd"/>
      <w:r>
        <w:t xml:space="preserve"> literature, covering 183 peer-reviewed publications from 2005 to 2026, identifies the absence of legal-outcome data as the field's most serious gap. Two decades of </w:t>
      </w:r>
      <w:proofErr w:type="spellStart"/>
      <w:r>
        <w:t>teleSANE</w:t>
      </w:r>
      <w:proofErr w:type="spellEnd"/>
      <w:r>
        <w:t xml:space="preserve"> programmes internationally have produced almost no evidence on admissibility, prosecution or conviction outcomes, and virtually no empirical research on </w:t>
      </w:r>
      <w:proofErr w:type="spellStart"/>
      <w:r>
        <w:t>teleforensic</w:t>
      </w:r>
      <w:proofErr w:type="spellEnd"/>
      <w:r>
        <w:t xml:space="preserve"> applications for domestic and family violence as distinct from sexual assault. An Australian implementation that resolves admissibility prospectively, then measures prosecution and court outcomes, would close a gap of international significance while protecting the first patients from bearing that uncertainty.</w:t>
      </w:r>
    </w:p>
    <w:p w14:paraId="15F2960B" w14:textId="1E294711" w:rsidR="007D2A80" w:rsidRDefault="007D2A80" w:rsidP="007D2A80">
      <w:r>
        <w:lastRenderedPageBreak/>
        <w:t>This is easily deferred and ruinous if deferred. It should be a precondition of deployment, not a matter for post-hoc evaluation.</w:t>
      </w:r>
    </w:p>
    <w:p w14:paraId="4F81A5F7" w14:textId="309818AA" w:rsidR="007D2A80" w:rsidRDefault="007D2A80" w:rsidP="007D2A80">
      <w:r>
        <w:t>SECOND CONDITION: FIRST NATIONS CO-DESIGN AS A SEPARATELY RESOURCED WORKSTREAM</w:t>
      </w:r>
    </w:p>
    <w:p w14:paraId="2075F68D" w14:textId="55F70228" w:rsidR="007D2A80" w:rsidRDefault="007D2A80" w:rsidP="007D2A80">
      <w:r>
        <w:t xml:space="preserve">Any First Nations implementation should be a separately resourced co-design workstream under Our Ways - Strong Ways - Our Voices, led through Aboriginal Community Controlled Health Organisations, with community-controlled decisions on participation and data governance consistent with Indigenous data sovereignty principles including the </w:t>
      </w:r>
      <w:proofErr w:type="spellStart"/>
      <w:r>
        <w:t>Maiam</w:t>
      </w:r>
      <w:proofErr w:type="spellEnd"/>
      <w:r>
        <w:t xml:space="preserve"> </w:t>
      </w:r>
      <w:proofErr w:type="spellStart"/>
      <w:r>
        <w:t>nayri</w:t>
      </w:r>
      <w:proofErr w:type="spellEnd"/>
      <w:r>
        <w:t xml:space="preserve"> </w:t>
      </w:r>
      <w:proofErr w:type="spellStart"/>
      <w:r>
        <w:t>Wingara</w:t>
      </w:r>
      <w:proofErr w:type="spellEnd"/>
      <w:r>
        <w:t xml:space="preserve"> principles. It should be funded as such, not absorbed as an implementation detail of a mainstream pilot. Delivering a forensic pathway on Country, through practitioners a community already knows, with the option of medical care and stored evidence without police involvement, is responsive to the failures the consultation paper documents. Designing it without community leadership would reproduce them.</w:t>
      </w:r>
    </w:p>
    <w:p w14:paraId="1BEBCEC2" w14:textId="001A8E8E" w:rsidR="007D2A80" w:rsidRDefault="007D2A80" w:rsidP="007D2A80">
      <w:r>
        <w:t>THIRD CONDITION: NON-DIVERSION</w:t>
      </w:r>
    </w:p>
    <w:p w14:paraId="6474732D" w14:textId="15DB7EC8" w:rsidR="007D2A80" w:rsidRDefault="007D2A80" w:rsidP="007D2A80">
      <w:r>
        <w:t>The model must extend existing specialist services under their clinical governance rather than compete with them. Where an in-person specialist service is available within a forensically relevant timeframe, that service remains the default pathway. The hybrid model operates where the alternative is not an in-person specialist examination but no specialist examination at all.</w:t>
      </w:r>
    </w:p>
    <w:p w14:paraId="049AE69D" w14:textId="209B840B" w:rsidR="007D2A80" w:rsidRDefault="007D2A80" w:rsidP="007D2A80">
      <w:r>
        <w:t>FOURTH CONDITION: EVALUATION THAT MEASURES THE RIGHT THING</w:t>
      </w:r>
    </w:p>
    <w:p w14:paraId="6CB96B18" w14:textId="0925637C" w:rsidR="007D2A80" w:rsidRDefault="007D2A80" w:rsidP="007D2A80">
      <w:r>
        <w:t>Success must not be measured by examination numbers. The pilot should test whether victim-survivors receive the right response, at the right time, with safe care and defensible forensic practice, across: access and equity, including time to specialist advice, travel avoided, regional and cultural reach, and police and non-police entry pathways; appropriateness, including the distribution of full examinations, targeted responses, early evidence collection, referral and decisions not to examine, with reasons recorded; clinical safety, including strangulation identification, escalation, adverse events and completeness of safety referrals; forensic quality, including documentation completeness, photography quality, sampling appropriateness, chain-of-custody compliance and specialist review outcomes; victim-survivor experience, assessed by trauma-informed methods, covering informed choice, cultural safety, perceived control, timeliness and burden of travel; workforce outcomes, including clinician confidence, case exposure, supervision, vicarious trauma and retention; system integration, including referral completion and continuity of care; and justice readiness, meaning the timeliness and quality of medico-legal reporting and expert carriage, not conviction rates alone.</w:t>
      </w:r>
    </w:p>
    <w:p w14:paraId="7AD4A7A7" w14:textId="7A664EA8" w:rsidR="007D2A80" w:rsidRDefault="007D2A80" w:rsidP="007D2A80">
      <w:r>
        <w:lastRenderedPageBreak/>
        <w:t>COMMONWEALTH ROLE</w:t>
      </w:r>
    </w:p>
    <w:p w14:paraId="23644985" w14:textId="41E46F3A" w:rsidR="007D2A80" w:rsidRDefault="007D2A80" w:rsidP="007D2A80">
      <w:r>
        <w:t>The Commonwealth's role is the one it already occupies: national entry-point infrastructure, with 1800RESPECT the natural front door through which a frontline clinician anywhere in the country reaches the service; co-funding of the Stage 1 pilot alongside the lead jurisdiction; support for integration with Primary Health Networks, Urgent Care Clinics, state and territory forensic and sexual assault services, and police and justice stakeholders; custodianship of the national data standard in partnership with the AIHW; and evaluation. The states hold clinical governance and service delivery, as they should. The five-year horizon of the Second Action Plan is sufficient to take the model from Stage 1 pilot to an evaluated national capability.</w:t>
      </w:r>
    </w:p>
    <w:p w14:paraId="1C67FF10" w14:textId="738BE8FF" w:rsidR="007D2A80" w:rsidRDefault="007D2A80" w:rsidP="007D2A80">
      <w:r>
        <w:t>AUTHORSHIP AND SECTOR SUPPORT</w:t>
      </w:r>
    </w:p>
    <w:p w14:paraId="24F80F7F" w14:textId="04060B1E" w:rsidR="007D2A80" w:rsidRPr="007D2A80" w:rsidRDefault="007D2A80" w:rsidP="007D2A80">
      <w:r>
        <w:t xml:space="preserve">The full submission uploaded with this response is authored by [redacted]. The SAFE-CHOICE platform is supported by the Faculty of Clinical Forensic Medicine of the Royal College of Pathologists of Australasia, Forensic and Medical Sexual Assault Clinicians Australia, and the Department of Forensic Medicine at Monash University. ACFMA would welcome the opportunity to brief the Department on any aspect of this submission, including a live demonstration of the platform and the supporting evidence review of the international </w:t>
      </w:r>
      <w:proofErr w:type="spellStart"/>
      <w:r>
        <w:t>teleforensic</w:t>
      </w:r>
      <w:proofErr w:type="spellEnd"/>
      <w:r>
        <w:t xml:space="preserve"> literature.</w:t>
      </w:r>
    </w:p>
    <w:sectPr w:rsidR="007D2A80" w:rsidRPr="007D2A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80"/>
    <w:rsid w:val="00022A23"/>
    <w:rsid w:val="0023679E"/>
    <w:rsid w:val="007D2A80"/>
    <w:rsid w:val="00D807DD"/>
    <w:rsid w:val="00E5156F"/>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46304"/>
  <w15:chartTrackingRefBased/>
  <w15:docId w15:val="{A8F2CDB0-A2C7-4588-BE9D-7F4E66A3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A80"/>
    <w:rPr>
      <w:rFonts w:eastAsiaTheme="majorEastAsia" w:cstheme="majorBidi"/>
      <w:color w:val="272727" w:themeColor="text1" w:themeTint="D8"/>
    </w:rPr>
  </w:style>
  <w:style w:type="paragraph" w:styleId="Title">
    <w:name w:val="Title"/>
    <w:basedOn w:val="Normal"/>
    <w:next w:val="Normal"/>
    <w:link w:val="TitleChar"/>
    <w:uiPriority w:val="10"/>
    <w:qFormat/>
    <w:rsid w:val="007D2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A80"/>
    <w:pPr>
      <w:spacing w:before="160"/>
      <w:jc w:val="center"/>
    </w:pPr>
    <w:rPr>
      <w:i/>
      <w:iCs/>
      <w:color w:val="404040" w:themeColor="text1" w:themeTint="BF"/>
    </w:rPr>
  </w:style>
  <w:style w:type="character" w:customStyle="1" w:styleId="QuoteChar">
    <w:name w:val="Quote Char"/>
    <w:basedOn w:val="DefaultParagraphFont"/>
    <w:link w:val="Quote"/>
    <w:uiPriority w:val="29"/>
    <w:rsid w:val="007D2A80"/>
    <w:rPr>
      <w:i/>
      <w:iCs/>
      <w:color w:val="404040" w:themeColor="text1" w:themeTint="BF"/>
    </w:rPr>
  </w:style>
  <w:style w:type="paragraph" w:styleId="ListParagraph">
    <w:name w:val="List Paragraph"/>
    <w:basedOn w:val="Normal"/>
    <w:uiPriority w:val="34"/>
    <w:qFormat/>
    <w:rsid w:val="007D2A80"/>
    <w:pPr>
      <w:ind w:left="720"/>
      <w:contextualSpacing/>
    </w:pPr>
  </w:style>
  <w:style w:type="character" w:styleId="IntenseEmphasis">
    <w:name w:val="Intense Emphasis"/>
    <w:basedOn w:val="DefaultParagraphFont"/>
    <w:uiPriority w:val="21"/>
    <w:qFormat/>
    <w:rsid w:val="007D2A80"/>
    <w:rPr>
      <w:i/>
      <w:iCs/>
      <w:color w:val="0F4761" w:themeColor="accent1" w:themeShade="BF"/>
    </w:rPr>
  </w:style>
  <w:style w:type="paragraph" w:styleId="IntenseQuote">
    <w:name w:val="Intense Quote"/>
    <w:basedOn w:val="Normal"/>
    <w:next w:val="Normal"/>
    <w:link w:val="IntenseQuoteChar"/>
    <w:uiPriority w:val="30"/>
    <w:qFormat/>
    <w:rsid w:val="007D2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A80"/>
    <w:rPr>
      <w:i/>
      <w:iCs/>
      <w:color w:val="0F4761" w:themeColor="accent1" w:themeShade="BF"/>
    </w:rPr>
  </w:style>
  <w:style w:type="character" w:styleId="IntenseReference">
    <w:name w:val="Intense Reference"/>
    <w:basedOn w:val="DefaultParagraphFont"/>
    <w:uiPriority w:val="32"/>
    <w:qFormat/>
    <w:rsid w:val="007D2A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729B0C-57DE-4F72-BC44-F824ED3B7871}"/>
</file>

<file path=customXml/itemProps2.xml><?xml version="1.0" encoding="utf-8"?>
<ds:datastoreItem xmlns:ds="http://schemas.openxmlformats.org/officeDocument/2006/customXml" ds:itemID="{2D081D3A-EE53-4DC4-A7AA-C60B8F37FABB}"/>
</file>

<file path=customXml/itemProps3.xml><?xml version="1.0" encoding="utf-8"?>
<ds:datastoreItem xmlns:ds="http://schemas.openxmlformats.org/officeDocument/2006/customXml" ds:itemID="{F8D61A18-734D-49F9-8FA9-726B1ADD0226}"/>
</file>

<file path=docProps/app.xml><?xml version="1.0" encoding="utf-8"?>
<Properties xmlns="http://schemas.openxmlformats.org/officeDocument/2006/extended-properties" xmlns:vt="http://schemas.openxmlformats.org/officeDocument/2006/docPropsVTypes">
  <Template>Normal.dotm</Template>
  <TotalTime>5</TotalTime>
  <Pages>15</Pages>
  <Words>6017</Words>
  <Characters>34302</Characters>
  <Application>Microsoft Office Word</Application>
  <DocSecurity>0</DocSecurity>
  <Lines>285</Lines>
  <Paragraphs>80</Paragraphs>
  <ScaleCrop>false</ScaleCrop>
  <Company/>
  <LinksUpToDate>false</LinksUpToDate>
  <CharactersWithSpaces>40239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2026-09-04T06:39:00Z</dcterms:created>
  <dcterms:modified xsi:type="dcterms:W3CDTF">2026-09-04T06:44:00Z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