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0D480" w14:textId="0DBC0B4F" w:rsidR="0023679E" w:rsidRDefault="00057F49">
      <w:pPr>
        <w:rPr>
          <w:b/>
          <w:bCs/>
        </w:rPr>
      </w:pPr>
      <w:r w:rsidRPr="00057F49">
        <w:rPr>
          <w:b/>
          <w:bCs/>
        </w:rPr>
        <w:t>Australian Multicultural Action Network Inc</w:t>
      </w:r>
    </w:p>
    <w:p w14:paraId="6862DED9" w14:textId="311B9954" w:rsidR="00057F49" w:rsidRDefault="00057F49">
      <w:pPr>
        <w:rPr>
          <w:b/>
          <w:bCs/>
        </w:rPr>
      </w:pPr>
      <w:r w:rsidRPr="00057F49">
        <w:rPr>
          <w:b/>
          <w:bCs/>
        </w:rPr>
        <w:t>Feedback for Priority Area 1: Victim-survivors</w:t>
      </w:r>
    </w:p>
    <w:p w14:paraId="2FB55109" w14:textId="0AD601D6" w:rsidR="00057F49" w:rsidRDefault="00057F49" w:rsidP="00057F49">
      <w:r>
        <w:t>Family, domestic and sexual violence affects people from all backgrounds, but victim-survivors from culturally and linguistically diverse (CALD) communities often face additional barriers that make it harder to seek help, remain safe, and recover from violence.</w:t>
      </w:r>
    </w:p>
    <w:p w14:paraId="498DFF85" w14:textId="4F112BCF" w:rsidR="00057F49" w:rsidRDefault="00057F49" w:rsidP="00057F49">
      <w:r>
        <w:t>The biggest difference to victim-survivors’ safety, wellbeing, healing and recovery would come from creating a more integrated, culturally responsive and trauma-informed service system. Many victim-survivors currently navigate multiple agencies, repeat their stories numerous times, and struggle to understand complex systems. A coordinated ""no wrong door"" approach, where services work together and provide warm referrals, would significantly improve outcomes.</w:t>
      </w:r>
    </w:p>
    <w:p w14:paraId="2A4930C2" w14:textId="60CA7F76" w:rsidR="00057F49" w:rsidRDefault="00057F49" w:rsidP="00057F49">
      <w:r>
        <w:t>Earlier access to support can be strengthened through trusted community pathways. Many people first seek help from family members, faith leaders, multicultural organisations, community elders or community groups before approaching formal services. These informal pathways should be recognised, supported and connected to specialist services. Greater investment in multilingual information, community education, peer support programs and culturally safe outreach would help people seek assistance earlier.</w:t>
      </w:r>
    </w:p>
    <w:p w14:paraId="3A1AD0F3" w14:textId="5388B4D9" w:rsidR="00057F49" w:rsidRDefault="00057F49" w:rsidP="00057F49">
      <w:r>
        <w:t>Barriers to help-seeking include language difficulties, stigma, fear of bringing shame on the family, lack of knowledge about available services, concerns about visa status, financial dependence, fear of child removal, distrust of authorities and previous experiences of discrimination. These barriers can prevent victim-survivors from engaging with services even when significant risks are present.</w:t>
      </w:r>
    </w:p>
    <w:p w14:paraId="65256628" w14:textId="3E8EC0A6" w:rsidR="00057F49" w:rsidRDefault="00057F49" w:rsidP="00057F49">
      <w:r>
        <w:t>The Second Action Plan should give greater attention to emerging forms of abuse, particularly coercive control and technology-facilitated abuse. Many victim-survivors now experience monitoring through mobile phones, social media, GPS tracking, financial technologies and online platforms. Community awareness, workforce capability and legal responses need to keep pace with these evolving forms of harm.</w:t>
      </w:r>
    </w:p>
    <w:p w14:paraId="611E349C" w14:textId="058175A7" w:rsidR="00057F49" w:rsidRDefault="00057F49" w:rsidP="00057F49">
      <w:r>
        <w:t>Significant gaps remain in addressing the needs of diverse communities, including Aboriginal and Torres Strait Islander peoples, migrant and refugee communities, people with disability, older women, LGBTQIA+ individuals and people living in regional and remote areas. Solutions should be co-designed with communities, support community-led organisations, and ensure services are culturally safe, accessible and responsive to different lived experiences.</w:t>
      </w:r>
    </w:p>
    <w:p w14:paraId="7E1B86DE" w14:textId="77777777" w:rsidR="00057F49" w:rsidRDefault="00057F49" w:rsidP="00057F49">
      <w:r>
        <w:t xml:space="preserve">The Second Action Plan should invest in long-term community partnerships, culturally responsive prevention and recovery programs, and stronger support for multicultural </w:t>
      </w:r>
      <w:r>
        <w:lastRenderedPageBreak/>
        <w:t>and Aboriginal community-controlled organisations that are often the first point of contact for victim-survivors seeking help. This will help ensure that all victim-survivors, regardless of background, can access support, safety, healing and justice.</w:t>
      </w:r>
    </w:p>
    <w:p w14:paraId="2A19D5DF" w14:textId="6DF5FDA9" w:rsidR="00057F49" w:rsidRPr="00057F49" w:rsidRDefault="00057F49" w:rsidP="00057F49">
      <w:pPr>
        <w:rPr>
          <w:b/>
          <w:bCs/>
        </w:rPr>
      </w:pPr>
      <w:r w:rsidRPr="00057F49">
        <w:rPr>
          <w:b/>
          <w:bCs/>
        </w:rPr>
        <w:t>Feedback for Priority Area 2: Prevention and early intervention</w:t>
      </w:r>
    </w:p>
    <w:p w14:paraId="31ACD181" w14:textId="1111309D" w:rsidR="00057F49" w:rsidRDefault="00057F49" w:rsidP="00057F49">
      <w:r>
        <w:t>The biggest difference in preventing and ultimately ending violence would come from long-term, community-led prevention that reaches people where they live, learn, work, worship, socialise and connect online. For multicultural and CALD communities, prevention must go beyond translated materials. It must be culturally informed, delivered through trusted community organisations, and address family expectations, gender norms, intergenerational pressures, migration stress, financial dependence, stigma and fear of shame.</w:t>
      </w:r>
    </w:p>
    <w:p w14:paraId="4008F853" w14:textId="5B82AB8F" w:rsidR="00057F49" w:rsidRDefault="00057F49" w:rsidP="00057F49">
      <w:r>
        <w:t>Existing efforts can be strengthened by investing in community education, respectful relationships programs, culturally appropriate parenting support, men and boys’ engagement, digital safety education, and early intervention pathways before violence escalates. Schools, workplaces, faith groups, multicultural organisations, online platforms, sporting groups and community leaders all have a role in challenging harmful attitudes and supporting people to recognise warning signs early.</w:t>
      </w:r>
    </w:p>
    <w:p w14:paraId="231316AC" w14:textId="3EFC7374" w:rsidR="00057F49" w:rsidRDefault="00057F49" w:rsidP="00057F49">
      <w:r>
        <w:t>The most promising approaches are those that combine whole-of-community education with practical referral pathways. Community leaders, bilingual workers, youth leaders and multicultural organisations should be trained to recognise coercive control, technology-facilitated abuse, financial abuse, sexual violence, stalking and early signs of harmful behaviour. This would help people seek support earlier and reduce isolation.</w:t>
      </w:r>
    </w:p>
    <w:p w14:paraId="57DE74FB" w14:textId="77777777" w:rsidR="00057F49" w:rsidRDefault="00057F49" w:rsidP="00057F49">
      <w:r>
        <w:t>The Second Action Plan should address emerging risks such as online misogyny, harmful pornography, manosphere influence, technology-facilitated abuse, gambling-related harms, alcohol and substance misuse, and adverse childhood experiences. It should also support long-term evaluation of prevention programs in diverse communities so that funding is directed to what works. This aligns with the paper’s focus on prevention where people “live, work, learn and connect”, and on strengthening whole-of-community capability.</w:t>
      </w:r>
    </w:p>
    <w:p w14:paraId="41F7C8B8" w14:textId="74BD020D" w:rsidR="00057F49" w:rsidRPr="00057F49" w:rsidRDefault="00057F49" w:rsidP="00057F49">
      <w:pPr>
        <w:rPr>
          <w:b/>
          <w:bCs/>
        </w:rPr>
      </w:pPr>
      <w:r w:rsidRPr="00057F49">
        <w:rPr>
          <w:b/>
          <w:bCs/>
        </w:rPr>
        <w:t>Feedback for Priority Area 3: Children and young people in their own right</w:t>
      </w:r>
    </w:p>
    <w:p w14:paraId="3A02A28A" w14:textId="120498D9" w:rsidR="00057F49" w:rsidRDefault="00057F49" w:rsidP="00057F49">
      <w:r>
        <w:t xml:space="preserve">Children and young people must be recognised not only as witnesses to violence, but as </w:t>
      </w:r>
      <w:proofErr w:type="gramStart"/>
      <w:r>
        <w:t>victim-survivors in their own right</w:t>
      </w:r>
      <w:proofErr w:type="gramEnd"/>
      <w:r>
        <w:t>. The biggest difference would come from earlier recognition, age-appropriate support, culturally safe counselling, school-based responses, family support, and recovery pathways that do not depend only on the protective parent being able to access services.</w:t>
      </w:r>
    </w:p>
    <w:p w14:paraId="4AB0EF2A" w14:textId="55687481" w:rsidR="00057F49" w:rsidRDefault="00057F49" w:rsidP="00057F49">
      <w:r>
        <w:lastRenderedPageBreak/>
        <w:t>Governments, schools, services and communities should be better equipped to identify children affected by domestic, family and sexual violence, including those showing anxiety, withdrawal, aggression, poor school attendance, trauma responses, or harmful behaviours. Teachers, youth workers, health workers, multicultural organisations and community leaders need practical training to respond safely and refer early.</w:t>
      </w:r>
    </w:p>
    <w:p w14:paraId="60A7D452" w14:textId="234A5122" w:rsidR="00057F49" w:rsidRDefault="00057F49" w:rsidP="00057F49">
      <w:r>
        <w:t>For CALD children and young people, responses must consider culture, language, racism, migration history, family honour, fear of authorities and intergenerational conflict. Young people may also be exposed to online harms, dating violence, image-based abuse, coercion, violent pornography, online misogyny and peer pressure. The Second Action Plan should invest in culturally appropriate youth education, digital safety, respectful relationships education, and confidential support pathways.</w:t>
      </w:r>
    </w:p>
    <w:p w14:paraId="17DB38C3" w14:textId="77777777" w:rsidR="00057F49" w:rsidRDefault="00057F49" w:rsidP="00057F49">
      <w:r>
        <w:t>Children and young people should also be involved in shaping policies and programs through safe, supported youth advisory groups, school consultations, multicultural youth forums and lived-experience informed design. Their voices must be heard without placing the burden of solving adult violence on them. This reflects the consultation paper’s emphasis on children and young people as victim-survivors with distinct rights, needs and insights.</w:t>
      </w:r>
    </w:p>
    <w:p w14:paraId="10D22692" w14:textId="2E3FB8DE" w:rsidR="00057F49" w:rsidRPr="00057F49" w:rsidRDefault="00057F49" w:rsidP="00057F49">
      <w:pPr>
        <w:rPr>
          <w:b/>
          <w:bCs/>
        </w:rPr>
      </w:pPr>
      <w:r w:rsidRPr="00057F49">
        <w:rPr>
          <w:b/>
          <w:bCs/>
        </w:rPr>
        <w:t>Feedback for Priority Area 4: People who use violence</w:t>
      </w:r>
    </w:p>
    <w:p w14:paraId="25D92797" w14:textId="5DA3F6EF" w:rsidR="00057F49" w:rsidRDefault="00057F49" w:rsidP="00057F49">
      <w:r>
        <w:t>The biggest difference would come from identifying harmful behaviour earlier and creating more accessible pathways for people using violence to take responsibility before serious harm occurs. Accountability must remain centred on victim-survivor safety, but systems should also provide earlier intervention for people showing controlling, threatening, abusive or sexually harmful behaviour.</w:t>
      </w:r>
    </w:p>
    <w:p w14:paraId="5CFB94A3" w14:textId="76452A4E" w:rsidR="00057F49" w:rsidRDefault="00057F49" w:rsidP="00057F49">
      <w:r>
        <w:t xml:space="preserve">Families, communities, workplaces, faith groups, schools and services need better tools to recognise warning signs, including coercive control, intimidation, financial control, monitoring phones, isolation from family or community, threats related to visa status, and online abuse. Community members often see warning signs before formal services </w:t>
      </w:r>
      <w:proofErr w:type="gramStart"/>
      <w:r>
        <w:t>do, but</w:t>
      </w:r>
      <w:proofErr w:type="gramEnd"/>
      <w:r>
        <w:t xml:space="preserve"> may not know how to respond safely.</w:t>
      </w:r>
    </w:p>
    <w:p w14:paraId="2C30AFC4" w14:textId="5674D95C" w:rsidR="00057F49" w:rsidRDefault="00057F49" w:rsidP="00057F49">
      <w:r>
        <w:t>Behaviour change programs should be culturally safe, evidence-informed, accessible and available earlier, not only after police or court involvement. For multicultural communities, programs should include bilingual support, cultural understanding, strong accountability, and clear messages that culture, religion, migration stress, alcohol, gambling or financial pressure must never be used to excuse violence.</w:t>
      </w:r>
    </w:p>
    <w:p w14:paraId="2DF5BD71" w14:textId="77777777" w:rsidR="00057F49" w:rsidRDefault="00057F49" w:rsidP="00057F49">
      <w:r>
        <w:t xml:space="preserve">The Second Action Plan should expand culturally appropriate men’s behaviour change programs, early intervention counselling, fatherhood programs, workplace referral pathways, online behaviour interventions and community education for men and boys. It should also strengthen responses to technology-facilitated abuse and harmful sexual </w:t>
      </w:r>
      <w:r>
        <w:lastRenderedPageBreak/>
        <w:t>behaviours. The paper specifically identifies early support, accountability, culturally appropriate responses and stronger behaviour change interventions as key opportunities.</w:t>
      </w:r>
    </w:p>
    <w:p w14:paraId="612EC2EB" w14:textId="199BC72E" w:rsidR="00057F49" w:rsidRPr="00057F49" w:rsidRDefault="00057F49" w:rsidP="00057F49">
      <w:pPr>
        <w:rPr>
          <w:b/>
          <w:bCs/>
        </w:rPr>
      </w:pPr>
      <w:r w:rsidRPr="00057F49">
        <w:rPr>
          <w:b/>
          <w:bCs/>
        </w:rPr>
        <w:t>Feedback for Priority Area 5: System Integration and Workforce</w:t>
      </w:r>
    </w:p>
    <w:p w14:paraId="6ECF5BA1" w14:textId="0834FC5E" w:rsidR="00057F49" w:rsidRDefault="00057F49" w:rsidP="00057F49">
      <w:r>
        <w:t>The biggest difference would be a more connected, “no wrong door” system where victim-survivors do not have to repeat their story multiple times or navigate complex services alone. Health, housing, police, courts, schools, child protection, migration services, legal services, financial counselling, specialist services and multicultural organisations must work together with clear referral pathways and safe information sharing.</w:t>
      </w:r>
    </w:p>
    <w:p w14:paraId="71AD0128" w14:textId="73C24EA7" w:rsidR="00057F49" w:rsidRDefault="00057F49" w:rsidP="00057F49">
      <w:r>
        <w:t>Workforce capability must be strengthened across both specialist and universal services. Many victim-survivors first disclose violence to a GP, teacher, community worker, faith leader, settlement worker, friend or multicultural organisation. These first contact points need training in trauma-informed practice, cultural safety, coercive control, sexual violence, technology-facilitated abuse, disability inclusion, child safety and safe referrals.</w:t>
      </w:r>
    </w:p>
    <w:p w14:paraId="7C532D3F" w14:textId="005058D4" w:rsidR="00057F49" w:rsidRDefault="00057F49" w:rsidP="00057F49">
      <w:r>
        <w:t>Multicultural and Aboriginal community-controlled organisations should be recognised as essential parts of the service system, not just as optional consultation partners. They need sustainable funding, training, partnership mechanisms and formal referral pathways with specialist services.</w:t>
      </w:r>
    </w:p>
    <w:p w14:paraId="6065D8E1" w14:textId="77777777" w:rsidR="00057F49" w:rsidRDefault="00057F49" w:rsidP="00057F49">
      <w:r>
        <w:t>The Second Action Plan should prioritise workforce diversity, bilingual workers, interpreter access, culturally safe practice, consistent national training standards, vicarious trauma support, better data sharing, and stronger collaboration between prevention, early intervention, response and recovery workforces. This aligns strongly with the paper’s focus on coordination, continuity of care, workforce capability and culturally safe services.</w:t>
      </w:r>
    </w:p>
    <w:p w14:paraId="721869DA" w14:textId="108792ED" w:rsidR="00057F49" w:rsidRPr="00057F49" w:rsidRDefault="00057F49" w:rsidP="00057F49">
      <w:pPr>
        <w:rPr>
          <w:b/>
          <w:bCs/>
        </w:rPr>
      </w:pPr>
      <w:r w:rsidRPr="00057F49">
        <w:rPr>
          <w:b/>
          <w:bCs/>
        </w:rPr>
        <w:t>Are there any other actions you think should be a priority to stop family, domestic and sexual violence?</w:t>
      </w:r>
    </w:p>
    <w:p w14:paraId="5C686A00" w14:textId="3C1C447F" w:rsidR="00057F49" w:rsidRDefault="00057F49" w:rsidP="00057F49">
      <w:r>
        <w:t>The Second Action Plan should also prioritise stronger investment in multicultural community-led prevention, early intervention and recovery programs. Many CALD victim-survivors seek help informally first, so trusted community organisations must be supported as early access points.</w:t>
      </w:r>
    </w:p>
    <w:p w14:paraId="4CFC5912" w14:textId="11E931AB" w:rsidR="00057F49" w:rsidRPr="00057F49" w:rsidRDefault="00057F49" w:rsidP="00057F49">
      <w:r>
        <w:t>More action is also needed on technology-facilitated abuse, coercive control, financial abuse, visa-related abuse, gambling-related family harm, online misogyny, and culturally safe recovery after violence. Funding should support long-term programs, not only short-term projects, so communities can build trust, measure impact and create sustained change.</w:t>
      </w:r>
    </w:p>
    <w:sectPr w:rsidR="00057F49" w:rsidRPr="00057F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49"/>
    <w:rsid w:val="00022A23"/>
    <w:rsid w:val="00057F49"/>
    <w:rsid w:val="0023679E"/>
    <w:rsid w:val="00A66E0C"/>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464C"/>
  <w15:chartTrackingRefBased/>
  <w15:docId w15:val="{A136481F-BBBD-4E08-B487-B30CB9D5C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7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7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7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7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7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7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F49"/>
    <w:rPr>
      <w:rFonts w:eastAsiaTheme="majorEastAsia" w:cstheme="majorBidi"/>
      <w:color w:val="272727" w:themeColor="text1" w:themeTint="D8"/>
    </w:rPr>
  </w:style>
  <w:style w:type="paragraph" w:styleId="Title">
    <w:name w:val="Title"/>
    <w:basedOn w:val="Normal"/>
    <w:next w:val="Normal"/>
    <w:link w:val="TitleChar"/>
    <w:uiPriority w:val="10"/>
    <w:qFormat/>
    <w:rsid w:val="00057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F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F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F49"/>
    <w:pPr>
      <w:spacing w:before="160"/>
      <w:jc w:val="center"/>
    </w:pPr>
    <w:rPr>
      <w:i/>
      <w:iCs/>
      <w:color w:val="404040" w:themeColor="text1" w:themeTint="BF"/>
    </w:rPr>
  </w:style>
  <w:style w:type="character" w:customStyle="1" w:styleId="QuoteChar">
    <w:name w:val="Quote Char"/>
    <w:basedOn w:val="DefaultParagraphFont"/>
    <w:link w:val="Quote"/>
    <w:uiPriority w:val="29"/>
    <w:rsid w:val="00057F49"/>
    <w:rPr>
      <w:i/>
      <w:iCs/>
      <w:color w:val="404040" w:themeColor="text1" w:themeTint="BF"/>
    </w:rPr>
  </w:style>
  <w:style w:type="paragraph" w:styleId="ListParagraph">
    <w:name w:val="List Paragraph"/>
    <w:basedOn w:val="Normal"/>
    <w:uiPriority w:val="34"/>
    <w:qFormat/>
    <w:rsid w:val="00057F49"/>
    <w:pPr>
      <w:ind w:left="720"/>
      <w:contextualSpacing/>
    </w:pPr>
  </w:style>
  <w:style w:type="character" w:styleId="IntenseEmphasis">
    <w:name w:val="Intense Emphasis"/>
    <w:basedOn w:val="DefaultParagraphFont"/>
    <w:uiPriority w:val="21"/>
    <w:qFormat/>
    <w:rsid w:val="00057F49"/>
    <w:rPr>
      <w:i/>
      <w:iCs/>
      <w:color w:val="0F4761" w:themeColor="accent1" w:themeShade="BF"/>
    </w:rPr>
  </w:style>
  <w:style w:type="paragraph" w:styleId="IntenseQuote">
    <w:name w:val="Intense Quote"/>
    <w:basedOn w:val="Normal"/>
    <w:next w:val="Normal"/>
    <w:link w:val="IntenseQuoteChar"/>
    <w:uiPriority w:val="30"/>
    <w:qFormat/>
    <w:rsid w:val="00057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F49"/>
    <w:rPr>
      <w:i/>
      <w:iCs/>
      <w:color w:val="0F4761" w:themeColor="accent1" w:themeShade="BF"/>
    </w:rPr>
  </w:style>
  <w:style w:type="character" w:styleId="IntenseReference">
    <w:name w:val="Intense Reference"/>
    <w:basedOn w:val="DefaultParagraphFont"/>
    <w:uiPriority w:val="32"/>
    <w:qFormat/>
    <w:rsid w:val="00057F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BA7C38-B1E1-4942-BF08-D6AE4AF40CBF}"/>
</file>

<file path=customXml/itemProps2.xml><?xml version="1.0" encoding="utf-8"?>
<ds:datastoreItem xmlns:ds="http://schemas.openxmlformats.org/officeDocument/2006/customXml" ds:itemID="{A0F7BA3F-CB91-4404-A545-D034AE0AFCA9}"/>
</file>

<file path=customXml/itemProps3.xml><?xml version="1.0" encoding="utf-8"?>
<ds:datastoreItem xmlns:ds="http://schemas.openxmlformats.org/officeDocument/2006/customXml" ds:itemID="{6D028D24-CDE4-467E-AC85-9F76212B41E5}"/>
</file>

<file path=docProps/app.xml><?xml version="1.0" encoding="utf-8"?>
<Properties xmlns="http://schemas.openxmlformats.org/officeDocument/2006/extended-properties" xmlns:vt="http://schemas.openxmlformats.org/officeDocument/2006/docPropsVTypes">
  <Template>Normal.dotm</Template>
  <TotalTime>2</TotalTime>
  <Pages>4</Pages>
  <Words>1642</Words>
  <Characters>9366</Characters>
  <Application>Microsoft Office Word</Application>
  <DocSecurity>0</DocSecurity>
  <Lines>78</Lines>
  <Paragraphs>21</Paragraphs>
  <ScaleCrop>false</ScaleCrop>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2026-09-02T06:19:00Z</dcterms:created>
  <dcterms:modified xsi:type="dcterms:W3CDTF">2026-09-02T06:21:00Z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