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E08D" w14:textId="3E9654A3" w:rsidR="0023679E" w:rsidRDefault="00CF244A">
      <w:pPr>
        <w:rPr>
          <w:b/>
          <w:bCs/>
        </w:rPr>
      </w:pPr>
      <w:r w:rsidRPr="00CF244A">
        <w:rPr>
          <w:b/>
          <w:bCs/>
        </w:rPr>
        <w:t>Australian Multicultural Action Network Inc</w:t>
      </w:r>
    </w:p>
    <w:p w14:paraId="493E8BA4" w14:textId="0DF377E8" w:rsidR="00CF244A" w:rsidRPr="00CF244A" w:rsidRDefault="00CF244A">
      <w:pPr>
        <w:rPr>
          <w:b/>
          <w:bCs/>
        </w:rPr>
      </w:pPr>
      <w:r w:rsidRPr="00CF244A">
        <w:rPr>
          <w:b/>
          <w:bCs/>
        </w:rPr>
        <w:t>Feedback for Priority Area 1: Victim-survivors</w:t>
      </w:r>
    </w:p>
    <w:p w14:paraId="73C8361B" w14:textId="504BAE30" w:rsidR="00CF244A" w:rsidRDefault="00CF244A" w:rsidP="00CF244A">
      <w:r>
        <w:t>The Australian Multicultural Action Network (AMAN) believes that the Second Action Plan should place victim-survivors at the centre of all policies, services and system responses. Every person experiencing family, domestic or sexual violence should be able to access support that is safe, timely, trauma-informed, culturally responsive and free from discrimination.</w:t>
      </w:r>
    </w:p>
    <w:p w14:paraId="77D820B3" w14:textId="0266360B" w:rsidR="00CF244A" w:rsidRDefault="00CF244A" w:rsidP="00CF244A">
      <w:r>
        <w:t>To improve safety, wellbeing, healing and recovery, we recommend:</w:t>
      </w:r>
    </w:p>
    <w:p w14:paraId="396B65F8" w14:textId="77777777" w:rsidR="00CF244A" w:rsidRDefault="00CF244A" w:rsidP="00CF244A">
      <w:r>
        <w:t>Expand culturally safe and trauma-informed services, ensuring that victim-survivors from culturally and linguistically diverse (CALD) communities, Aboriginal and Torres Strait Islander communities, people with disability, LGBTQIA+ people and other priority groups can access support that respects their language, culture, identity and lived experience.</w:t>
      </w:r>
    </w:p>
    <w:p w14:paraId="6833A725" w14:textId="77777777" w:rsidR="00CF244A" w:rsidRDefault="00CF244A" w:rsidP="00CF244A">
      <w:r>
        <w:t>Strengthen early intervention and community awareness, recognising that many victim-survivors do not seek help because of stigma, fear, shame, financial dependence, migration-related concerns, visa uncertainty, language barriers, distrust of authorities or limited knowledge of available services. Community education delivered through trusted multicultural organisations is essential to overcoming these barriers.</w:t>
      </w:r>
    </w:p>
    <w:p w14:paraId="20A01E4B" w14:textId="77777777" w:rsidR="00CF244A" w:rsidRDefault="00CF244A" w:rsidP="00CF244A">
      <w:r>
        <w:t>Improve coordination across health, justice, housing, education, police and community services, so victim-survivors experience a seamless, person-centred response rather than navigating multiple disconnected systems.</w:t>
      </w:r>
    </w:p>
    <w:p w14:paraId="39B6F3A5" w14:textId="77777777" w:rsidR="00CF244A" w:rsidRDefault="00CF244A" w:rsidP="00CF244A">
      <w:r>
        <w:t>Invest in community-based navigation and advocacy services, particularly for CALD communities, to help victim-survivors understand their rights, access services and remain engaged throughout their recovery.</w:t>
      </w:r>
    </w:p>
    <w:p w14:paraId="3AADD6F6" w14:textId="77777777" w:rsidR="00CF244A" w:rsidRDefault="00CF244A" w:rsidP="00CF244A">
      <w:r>
        <w:t>Address the growing threat of coercive control and technology-facilitated abuse, including online harassment, image-based abuse, digital surveillance, financial abuse through technology and AI-enabled harms. Greater public education, digital safety initiatives and workforce capability are required to respond to these emerging risks.</w:t>
      </w:r>
    </w:p>
    <w:p w14:paraId="3A1C62ED" w14:textId="77777777" w:rsidR="00CF244A" w:rsidRDefault="00CF244A" w:rsidP="00CF244A">
      <w:r>
        <w:t>Increase the availability of interpreters, bilingual workers and culturally appropriate resources, recognising that effective communication is fundamental to safety, informed decision-making and equitable access to services.</w:t>
      </w:r>
    </w:p>
    <w:p w14:paraId="6E0BE37B" w14:textId="77777777" w:rsidR="00CF244A" w:rsidRDefault="00CF244A" w:rsidP="00CF244A">
      <w:r>
        <w:t>Strengthen long-term recovery supports, including secure housing, employment pathways, financial capability, mental health support and social connection. Recovery extends well beyond the immediate crisis and requires sustained investment.</w:t>
      </w:r>
    </w:p>
    <w:p w14:paraId="263F7C3D" w14:textId="2633E5DE" w:rsidR="00CF244A" w:rsidRDefault="00CF244A" w:rsidP="00CF244A">
      <w:r>
        <w:t xml:space="preserve">Recognise trusted community organisations as key partners in prevention, early intervention and recovery. Community organisations often have established </w:t>
      </w:r>
      <w:r>
        <w:lastRenderedPageBreak/>
        <w:t>relationships with families and can help reduce stigma, build trust and connect victim-survivors with specialist services in culturally safe ways.</w:t>
      </w:r>
    </w:p>
    <w:p w14:paraId="1B9C07CB" w14:textId="30062D06" w:rsidR="00CF244A" w:rsidRDefault="00CF244A" w:rsidP="00CF244A">
      <w:r>
        <w:t>The Second Action Plan should also acknowledge that violence does not occur in isolation. Many victim-survivors experience multiple and intersecting challenges, including mental health issues, disability, settlement pressures, racism, social isolation and economic disadvantage. Responses should therefore be holistic, coordinated and tailored to individual circumstances rather than adopting a one-size-fits-all approach.</w:t>
      </w:r>
    </w:p>
    <w:p w14:paraId="14AB650D" w14:textId="77777777" w:rsidR="00CF244A" w:rsidRDefault="00CF244A" w:rsidP="00CF244A">
      <w:r>
        <w:t>Ultimately, success should be measured not only by increased service availability but by improved outcomes—earlier help-seeking, greater safety, reduced barriers to support, stronger recovery, and increased trust in the systems designed to protect victim-survivors. By investing in prevention, cultural inclusion and genuine partnerships with community organisations, Australia can build a more accessible, equitable and effective response that leaves no victim-survivor behind.</w:t>
      </w:r>
    </w:p>
    <w:p w14:paraId="3A33FC74" w14:textId="6F486E37" w:rsidR="00CF244A" w:rsidRPr="00CF244A" w:rsidRDefault="00CF244A" w:rsidP="00CF244A">
      <w:pPr>
        <w:rPr>
          <w:b/>
          <w:bCs/>
        </w:rPr>
      </w:pPr>
      <w:r w:rsidRPr="00CF244A">
        <w:rPr>
          <w:b/>
          <w:bCs/>
        </w:rPr>
        <w:t>Feedback for Priority Area 2: Prevention and early intervention</w:t>
      </w:r>
    </w:p>
    <w:p w14:paraId="79A40BC1" w14:textId="48B93588" w:rsidR="00CF244A" w:rsidRDefault="00CF244A" w:rsidP="00CF244A">
      <w:r>
        <w:t>The Australian Multicultural Action Network (AMAN) believes that preventing family, domestic and sexual violence requires a long-term, whole-of-society approach that addresses the underlying drivers of violence while strengthening protective factors within individuals, families, communities and institutions. Prevention is not solely the responsibility of specialist services—it requires coordinated action across government, education, health, workplaces, community organisations and the broader public.</w:t>
      </w:r>
    </w:p>
    <w:p w14:paraId="028433FE" w14:textId="04477E7F" w:rsidR="00CF244A" w:rsidRDefault="00CF244A" w:rsidP="00CF244A">
      <w:r>
        <w:t>To strengthen prevention and early intervention, we recommend:</w:t>
      </w:r>
    </w:p>
    <w:p w14:paraId="24CB3B3E" w14:textId="77777777" w:rsidR="00CF244A" w:rsidRDefault="00CF244A" w:rsidP="00CF244A">
      <w:r>
        <w:t>Invest in sustained community education and awareness, promoting respectful relationships, gender equality, healthy communication, consent, bystander action and non-violent conflict resolution from an early age. Prevention messages should be culturally appropriate, multilingual and co-designed with communities.</w:t>
      </w:r>
    </w:p>
    <w:p w14:paraId="23AC7432" w14:textId="77777777" w:rsidR="00CF244A" w:rsidRDefault="00CF244A" w:rsidP="00CF244A">
      <w:r>
        <w:t>Strengthen the role of trusted community organisations, particularly multicultural, Aboriginal Community Controlled and faith-based organisations, in delivering prevention initiatives. These organisations are often best placed to engage communities, reduce stigma and encourage early help-seeking.</w:t>
      </w:r>
    </w:p>
    <w:p w14:paraId="29F27543" w14:textId="77777777" w:rsidR="00CF244A" w:rsidRDefault="00CF244A" w:rsidP="00CF244A">
      <w:r>
        <w:t>Expand respectful relationships education across schools, community settings and youth programs, while equipping parents and carers with practical resources to support healthy relationships and positive attitudes at home.</w:t>
      </w:r>
    </w:p>
    <w:p w14:paraId="55894FAC" w14:textId="77777777" w:rsidR="00CF244A" w:rsidRDefault="00CF244A" w:rsidP="00CF244A">
      <w:r>
        <w:t>Address harmful social norms and gender inequality, while recognising that prevention strategies must be culturally responsive and developed through genuine community engagement rather than imposed externally.</w:t>
      </w:r>
    </w:p>
    <w:p w14:paraId="0FC26C81" w14:textId="77777777" w:rsidR="00CF244A" w:rsidRDefault="00CF244A" w:rsidP="00CF244A">
      <w:r>
        <w:lastRenderedPageBreak/>
        <w:t>Increase workforce capability across education, health, sport, workplaces and community services so professionals and volunteers can recognise early warning signs, respond safely and confidently, and connect individuals with appropriate support.</w:t>
      </w:r>
    </w:p>
    <w:p w14:paraId="30C93D5F" w14:textId="77777777" w:rsidR="00CF244A" w:rsidRDefault="00CF244A" w:rsidP="00CF244A">
      <w:r>
        <w:t>Strengthen digital safety and online prevention, recognising the rapid growth of technology-facilitated abuse, coercive control, image-based abuse, online grooming and AI-enabled harms. Digital literacy should become a core component of prevention strategies for children, young people, parents and educators.</w:t>
      </w:r>
    </w:p>
    <w:p w14:paraId="33443B4E" w14:textId="77777777" w:rsidR="00CF244A" w:rsidRDefault="00CF244A" w:rsidP="00CF244A">
      <w:r>
        <w:t>Support men and boys as part of the solution, promoting positive masculinities, respectful behaviours and healthy relationships while providing early intervention programs for individuals displaying concerning behaviours before violence escalates.</w:t>
      </w:r>
    </w:p>
    <w:p w14:paraId="5BA3F859" w14:textId="77777777" w:rsidR="00CF244A" w:rsidRDefault="00CF244A" w:rsidP="00CF244A">
      <w:r>
        <w:t>Invest in evidence-based early intervention programs for children, young people and families experiencing adversity, recognising that timely support can interrupt cycles of violence and improve long-term outcomes.</w:t>
      </w:r>
    </w:p>
    <w:p w14:paraId="6515DD68" w14:textId="45CC8AAE" w:rsidR="00CF244A" w:rsidRDefault="00CF244A" w:rsidP="00CF244A">
      <w:r>
        <w:t>Improve collaboration across sectors, ensuring prevention is integrated into health, education, housing, settlement, employment and community services rather than operating as a standalone initiative.</w:t>
      </w:r>
    </w:p>
    <w:p w14:paraId="15AA9661" w14:textId="52F1060F" w:rsidR="00CF244A" w:rsidRDefault="00CF244A" w:rsidP="00CF244A">
      <w:r>
        <w:t>The Second Action Plan should also recognise the unique barriers experienced by culturally and linguistically diverse (CALD) communities, including language barriers, migration and settlement pressures, visa-related concerns, social isolation and limited awareness of Australian laws and support services. Prevention initiatives must be culturally safe, delivered in partnership with trusted community leaders and available in multiple languages to ensure they reach those who need them most.</w:t>
      </w:r>
    </w:p>
    <w:p w14:paraId="5FC7ABF0" w14:textId="038246EB" w:rsidR="00CF244A" w:rsidRDefault="00CF244A" w:rsidP="00CF244A">
      <w:r>
        <w:t>Finally, prevention should be viewed as a long-term investment rather than a short-term project. Governments should provide sustainable funding, support innovation, strengthen community leadership and measure success through changes in attitudes, behaviours and community wellbeing—not simply the number of activities delivered.</w:t>
      </w:r>
    </w:p>
    <w:p w14:paraId="1D9EFDFC" w14:textId="77777777" w:rsidR="00CF244A" w:rsidRDefault="00CF244A" w:rsidP="00CF244A">
      <w:r>
        <w:t>Ending violence requires changing cultures, strengthening communities and empowering individuals before violence occurs. By investing in prevention, early intervention and genuine partnerships with community organisations, Australia can build safer families, stronger communities and a future where every person can live free from violence.</w:t>
      </w:r>
    </w:p>
    <w:p w14:paraId="5F517BDC" w14:textId="00B38377" w:rsidR="00CF244A" w:rsidRPr="00CF244A" w:rsidRDefault="00CF244A" w:rsidP="00CF244A">
      <w:pPr>
        <w:rPr>
          <w:b/>
          <w:bCs/>
        </w:rPr>
      </w:pPr>
      <w:r w:rsidRPr="00CF244A">
        <w:rPr>
          <w:b/>
          <w:bCs/>
        </w:rPr>
        <w:t>Feedback for Priority Area 3: Children and young people in their own right</w:t>
      </w:r>
    </w:p>
    <w:p w14:paraId="720F91F2" w14:textId="01C729D3" w:rsidR="00CF244A" w:rsidRDefault="00CF244A" w:rsidP="00CF244A">
      <w:r>
        <w:t>The Australian Multicultural Action Network (AMAN) believes that children and young people should be recognised not only as members of families affected by violence, but as individual rights holders whose safety, wellbeing, voices and future opportunities must be central to the Second Action Plan.</w:t>
      </w:r>
    </w:p>
    <w:p w14:paraId="06ED624E" w14:textId="509C42F8" w:rsidR="00CF244A" w:rsidRDefault="00CF244A" w:rsidP="00CF244A">
      <w:r>
        <w:lastRenderedPageBreak/>
        <w:t>To improve outcomes for children and young people, we recommend:</w:t>
      </w:r>
    </w:p>
    <w:p w14:paraId="5BE0FF3C" w14:textId="77777777" w:rsidR="00CF244A" w:rsidRDefault="00CF244A" w:rsidP="00CF244A">
      <w:r>
        <w:t>Adopt a child-centred and trauma-informed approach across all systems, ensuring children's voices are heard, believed and considered in decisions that affect them, while prioritising their safety, recovery and long-term wellbeing.</w:t>
      </w:r>
    </w:p>
    <w:p w14:paraId="61AC83C7" w14:textId="77777777" w:rsidR="00CF244A" w:rsidRDefault="00CF244A" w:rsidP="00CF244A">
      <w:r>
        <w:t>Strengthen early identification and intervention by equipping educators, healthcare professionals, community organisations, sporting clubs and youth services to recognise signs of abuse, family violence and trauma, and to respond through coordinated referral pathways.</w:t>
      </w:r>
    </w:p>
    <w:p w14:paraId="3248411C" w14:textId="77777777" w:rsidR="00CF244A" w:rsidRDefault="00CF244A" w:rsidP="00CF244A">
      <w:r>
        <w:t>Expand access to culturally safe and developmentally appropriate support services, recognising that children from culturally and linguistically diverse (CALD) communities, Aboriginal and Torres Strait Islander communities, children with disability and LGBTQIA+ young people may face additional barriers to seeking help.</w:t>
      </w:r>
    </w:p>
    <w:p w14:paraId="18F6A485" w14:textId="77777777" w:rsidR="00CF244A" w:rsidRDefault="00CF244A" w:rsidP="00CF244A">
      <w:r>
        <w:t>Provide specialised early intervention for children and young people displaying harmful behaviours, focusing on accountability, behavioural change and addressing underlying trauma through evidence-based, family-centred and therapeutic approaches. Responses should aim to reduce future harm while ensuring the safety and wellbeing of victims remains the highest priority.</w:t>
      </w:r>
    </w:p>
    <w:p w14:paraId="49123185" w14:textId="77777777" w:rsidR="00CF244A" w:rsidRDefault="00CF244A" w:rsidP="00CF244A">
      <w:r>
        <w:t>Strengthen digital safety education, helping children, parents, carers and educators recognise and respond to online grooming, cyberbullying, image-based abuse, technology-facilitated coercive control, harmful online content and emerging AI-enabled risks. Prevention strategies must evolve alongside technology.</w:t>
      </w:r>
    </w:p>
    <w:p w14:paraId="5A02A5CA" w14:textId="77777777" w:rsidR="00CF244A" w:rsidRDefault="00CF244A" w:rsidP="00CF244A">
      <w:r>
        <w:t>Support healthy peer and dating relationships, through age-appropriate education on respect, consent, gender equality, conflict resolution and safe online behaviour from primary school through to secondary education.</w:t>
      </w:r>
    </w:p>
    <w:p w14:paraId="329F147E" w14:textId="77777777" w:rsidR="00CF244A" w:rsidRDefault="00CF244A" w:rsidP="00CF244A">
      <w:r>
        <w:t>Increase support for parents and carers, recognising that strong families are a protective factor for children. Parenting programs, culturally appropriate family education and accessible support services should be available before issues escalate into crisis.</w:t>
      </w:r>
    </w:p>
    <w:p w14:paraId="1BE20503" w14:textId="77777777" w:rsidR="00CF244A" w:rsidRDefault="00CF244A" w:rsidP="00CF244A">
      <w:r>
        <w:t>Strengthen collaboration between education, health, child protection, youth justice and community organisations, ensuring children experience coordinated, seamless support rather than fragmented service systems.</w:t>
      </w:r>
    </w:p>
    <w:p w14:paraId="48E6F265" w14:textId="77777777" w:rsidR="00CF244A" w:rsidRDefault="00CF244A" w:rsidP="00CF244A">
      <w:r>
        <w:t>Meaningfully involve children and young people in policy design, using age-appropriate and culturally safe consultation processes. Young people should be recognised as active contributors whose lived experiences can improve programs, services and policies.</w:t>
      </w:r>
    </w:p>
    <w:p w14:paraId="5EEDF045" w14:textId="77777777" w:rsidR="00CF244A" w:rsidRDefault="00CF244A" w:rsidP="00CF244A"/>
    <w:p w14:paraId="290ABB71" w14:textId="15C1F5BB" w:rsidR="00CF244A" w:rsidRDefault="00CF244A" w:rsidP="00CF244A">
      <w:r>
        <w:lastRenderedPageBreak/>
        <w:t>The Second Action Plan should also recognise that children and young people today face challenges that previous generations did not, including increased exposure to harmful online content, social media pressures, online exploitation and rapidly evolving digital technologies. Prevention and response strategies must therefore combine digital literacy, community education, family support and strong safeguarding measures.</w:t>
      </w:r>
    </w:p>
    <w:p w14:paraId="0AFB99B4" w14:textId="4CFCB2B1" w:rsidR="00CF244A" w:rsidRDefault="00CF244A" w:rsidP="00CF244A">
      <w:r>
        <w:t>Finally, governments should invest in trusted community organisations that work directly with children, young people and families. Community-led, culturally responsive programs can build resilience, strengthen protective factors, reduce stigma and encourage early help-seeking before violence becomes entrenched.</w:t>
      </w:r>
    </w:p>
    <w:p w14:paraId="7772B8D8" w14:textId="77777777" w:rsidR="00CF244A" w:rsidRDefault="00CF244A" w:rsidP="00CF244A">
      <w:r>
        <w:t>Protecting children requires more than responding after harm has occurred. It requires creating environments—in families, schools, communities and online—where every child feels safe, valued, respected and empowered to reach their full potential. The Second Action Plan should invest in prevention, early intervention and genuine partnerships that give every child, regardless of their background or circumstances, the opportunity to grow up free from violence and abuse.</w:t>
      </w:r>
    </w:p>
    <w:p w14:paraId="7A634C16" w14:textId="48042443" w:rsidR="00CF244A" w:rsidRPr="00CF244A" w:rsidRDefault="00CF244A" w:rsidP="00CF244A">
      <w:pPr>
        <w:rPr>
          <w:b/>
          <w:bCs/>
        </w:rPr>
      </w:pPr>
      <w:r w:rsidRPr="00CF244A">
        <w:rPr>
          <w:b/>
          <w:bCs/>
        </w:rPr>
        <w:t>Feedback for Priority Area 4: People who use violence</w:t>
      </w:r>
    </w:p>
    <w:p w14:paraId="618E9F9B" w14:textId="61EFFF85" w:rsidR="00CF244A" w:rsidRDefault="00CF244A" w:rsidP="00CF244A">
      <w:r>
        <w:t>The Australian Multicultural Action Network (AMAN) believes that ending family, domestic and sexual violence requires not only supporting victim-survivors but also preventing the use of violence before it occurs and responding early to individuals whose behaviours place others at risk. All responses must prioritise the safety, rights and wellbeing of victim-survivors while promoting accountability and meaningful behaviour change.</w:t>
      </w:r>
    </w:p>
    <w:p w14:paraId="58A3118B" w14:textId="4F2A81B5" w:rsidR="00CF244A" w:rsidRDefault="00CF244A" w:rsidP="00CF244A">
      <w:r>
        <w:t>To strengthen responses for people who use violence, we recommend:</w:t>
      </w:r>
    </w:p>
    <w:p w14:paraId="02E4E4C8" w14:textId="77777777" w:rsidR="00CF244A" w:rsidRDefault="00CF244A" w:rsidP="00CF244A">
      <w:r>
        <w:t>Invest in early identification and intervention, equipping health professionals, educators, community organisations, workplaces and justice agencies to recognise warning signs and intervene before violence escalates.</w:t>
      </w:r>
    </w:p>
    <w:p w14:paraId="2229739F" w14:textId="77777777" w:rsidR="00CF244A" w:rsidRDefault="00CF244A" w:rsidP="00CF244A">
      <w:r>
        <w:t>Expand evidence-based behaviour change programs that address the underlying drivers of violence, including gender inequality, harmful attitudes, unresolved trauma, mental health issues, substance misuse and poor emotional regulation. Programs should be tailored to individual needs and subject to ongoing evaluation.</w:t>
      </w:r>
    </w:p>
    <w:p w14:paraId="2B455FA0" w14:textId="77777777" w:rsidR="00CF244A" w:rsidRDefault="00CF244A" w:rsidP="00CF244A">
      <w:r>
        <w:t>Maintain a strong focus on accountability, ensuring that participation in behaviour change programs complements—not replaces—the justice system. Responsibility for violence must remain with the person using violence, while victim-survivor safety remains the primary consideration.</w:t>
      </w:r>
    </w:p>
    <w:p w14:paraId="1F7244D5" w14:textId="77777777" w:rsidR="00CF244A" w:rsidRDefault="00CF244A" w:rsidP="00CF244A">
      <w:r>
        <w:t xml:space="preserve">Strengthen culturally safe and accessible interventions, recognising that people from culturally and linguistically diverse (CALD) communities may face language barriers, migration and settlement pressures, differing cultural norms and limited awareness of </w:t>
      </w:r>
      <w:r>
        <w:lastRenderedPageBreak/>
        <w:t>available services. Programs should be delivered by culturally competent practitioners, with bilingual and bicultural workers where appropriate.</w:t>
      </w:r>
    </w:p>
    <w:p w14:paraId="7DC772B2" w14:textId="77777777" w:rsidR="00CF244A" w:rsidRDefault="00CF244A" w:rsidP="00CF244A">
      <w:r>
        <w:t>Engage men and boys as part of prevention efforts, promoting positive masculinities, respectful relationships, healthy communication and shared responsibility for preventing violence. Community leaders, faith leaders and cultural organisations should be supported to champion these messages within their communities.</w:t>
      </w:r>
    </w:p>
    <w:p w14:paraId="67881644" w14:textId="77777777" w:rsidR="00CF244A" w:rsidRDefault="00CF244A" w:rsidP="00CF244A">
      <w:r>
        <w:t>Improve coordination across justice, health, child protection, mental health, alcohol and other drug services, housing and community organisations, ensuring responses are integrated and based on shared risk assessment and information sharing, while maintaining appropriate privacy protections.</w:t>
      </w:r>
    </w:p>
    <w:p w14:paraId="6ACB156D" w14:textId="77777777" w:rsidR="00CF244A" w:rsidRDefault="00CF244A" w:rsidP="00CF244A">
      <w:r>
        <w:t>Recognise the growing role of technology in facilitating abuse, including coercive control, digital surveillance, online harassment and AI-enabled abuse. Behaviour change programs should address technology-facilitated violence alongside traditional forms of abuse.</w:t>
      </w:r>
    </w:p>
    <w:p w14:paraId="4291065B" w14:textId="2CBEE847" w:rsidR="00CF244A" w:rsidRDefault="00CF244A" w:rsidP="00CF244A">
      <w:r>
        <w:t>Support families and communities to recognise concerning behaviours early, through public education and accessible referral pathways that encourage early help-seeking before violence escalates.</w:t>
      </w:r>
    </w:p>
    <w:p w14:paraId="3003BC6E" w14:textId="32E1B85F" w:rsidR="00CF244A" w:rsidRDefault="00CF244A" w:rsidP="00CF244A">
      <w:r>
        <w:t>The Second Action Plan should also acknowledge that lasting behaviour change requires long-term engagement, not one-off interventions. Sustainable funding, workforce development and ongoing evaluation are essential to ensure programs remain evidence-informed and effective.</w:t>
      </w:r>
    </w:p>
    <w:p w14:paraId="04019721" w14:textId="186AE06B" w:rsidR="00CF244A" w:rsidRDefault="00CF244A" w:rsidP="00CF244A">
      <w:r>
        <w:t>Finally, governments should work in partnership with trusted multicultural organisations to reduce stigma, increase awareness and improve engagement with prevention and behaviour change initiatives. Community organisations can play an important role in promoting respectful relationships, challenging harmful norms and connecting individuals with appropriate specialist services in culturally safe ways.</w:t>
      </w:r>
    </w:p>
    <w:p w14:paraId="4049D978" w14:textId="77777777" w:rsidR="00CF244A" w:rsidRDefault="00CF244A" w:rsidP="00CF244A">
      <w:r>
        <w:t>By combining early intervention, accountability, culturally responsive support and coordinated cross-sector action, Australia can reduce the use of violence, strengthen community safety and contribute to the long-term goal of ending family, domestic and sexual violence for future generations.</w:t>
      </w:r>
    </w:p>
    <w:p w14:paraId="6E787D7F" w14:textId="2F17FCDA" w:rsidR="00CF244A" w:rsidRPr="00CF244A" w:rsidRDefault="00CF244A" w:rsidP="00CF244A">
      <w:pPr>
        <w:rPr>
          <w:b/>
          <w:bCs/>
        </w:rPr>
      </w:pPr>
      <w:r w:rsidRPr="00CF244A">
        <w:rPr>
          <w:b/>
          <w:bCs/>
        </w:rPr>
        <w:t>Feedback for Priority Area 5: System Integration and Workforce</w:t>
      </w:r>
    </w:p>
    <w:p w14:paraId="08D75162" w14:textId="464C147B" w:rsidR="00CF244A" w:rsidRDefault="00CF244A" w:rsidP="00CF244A">
      <w:r>
        <w:t>The Australian Multicultural Action Network (AMAN) believes that achieving the objectives of the National Plan requires a coordinated, integrated and sustainable system where governments, specialist services, universal services and community organisations work together around the needs of individuals and families rather than within organisational or jurisdictional boundaries. Victim-survivors should experience a seamless pathway to support, regardless of where they first seek help.</w:t>
      </w:r>
    </w:p>
    <w:p w14:paraId="59C75580" w14:textId="6FBA91FD" w:rsidR="00CF244A" w:rsidRDefault="00CF244A" w:rsidP="00CF244A">
      <w:r>
        <w:lastRenderedPageBreak/>
        <w:t>To strengthen system integration and workforce capability, we recommend:</w:t>
      </w:r>
    </w:p>
    <w:p w14:paraId="4F27EBF6" w14:textId="77777777" w:rsidR="00CF244A" w:rsidRDefault="00CF244A" w:rsidP="00CF244A">
      <w:r>
        <w:t>Adopt a whole-of-government and whole-of-community approach, ensuring health, education, child protection, justice, housing, police, mental health, alcohol and other drug services, settlement services and community organisations work collaboratively with shared accountability and coordinated planning.</w:t>
      </w:r>
    </w:p>
    <w:p w14:paraId="49941BC0" w14:textId="77777777" w:rsidR="00CF244A" w:rsidRDefault="00CF244A" w:rsidP="00CF244A">
      <w:r>
        <w:t>Establish clear referral pathways and integrated case coordination, reducing duplication and ensuring victim-survivors and families do not have to repeatedly navigate multiple disconnected systems or retell their experiences.</w:t>
      </w:r>
    </w:p>
    <w:p w14:paraId="51F9775B" w14:textId="77777777" w:rsidR="00CF244A" w:rsidRDefault="00CF244A" w:rsidP="00CF244A">
      <w:r>
        <w:t>Strengthen information sharing, supported by appropriate privacy safeguards, to enable earlier identification of risk, coordinated responses and improved safety planning across agencies.</w:t>
      </w:r>
    </w:p>
    <w:p w14:paraId="6A64B965" w14:textId="77777777" w:rsidR="00CF244A" w:rsidRDefault="00CF244A" w:rsidP="00CF244A">
      <w:r>
        <w:t>Recognise multicultural, Aboriginal Community Controlled and community-led organisations as essential partners, not only in service delivery but also in prevention, early intervention, community education and policy development. Trusted community organisations are often the first point of contact for people who may not engage with mainstream services.</w:t>
      </w:r>
    </w:p>
    <w:p w14:paraId="352941A4" w14:textId="77777777" w:rsidR="00CF244A" w:rsidRDefault="00CF244A" w:rsidP="00CF244A">
      <w:r>
        <w:t>Invest in workforce capability, including trauma-informed practice, cultural safety, family violence risk assessment, technology-facilitated abuse, disability inclusion and child-safe practices. Ongoing professional development should be available across both specialist and universal services.</w:t>
      </w:r>
    </w:p>
    <w:p w14:paraId="0AC80447" w14:textId="77777777" w:rsidR="00CF244A" w:rsidRDefault="00CF244A" w:rsidP="00CF244A">
      <w:r>
        <w:t>Expand the bilingual and bicultural workforce, including interpreters and community navigators, recognising their critical role in improving access, reducing barriers and building trust with culturally and linguistically diverse (CALD) communities.</w:t>
      </w:r>
    </w:p>
    <w:p w14:paraId="3658C726" w14:textId="77777777" w:rsidR="00CF244A" w:rsidRDefault="00CF244A" w:rsidP="00CF244A">
      <w:r>
        <w:t>Improve workforce sustainability through longer-term funding, competitive remuneration, professional supervision, wellbeing supports and career development opportunities. A stable and skilled workforce is fundamental to delivering quality services.</w:t>
      </w:r>
    </w:p>
    <w:p w14:paraId="06DCCEDB" w14:textId="77777777" w:rsidR="00CF244A" w:rsidRDefault="00CF244A" w:rsidP="00CF244A">
      <w:r>
        <w:t>Support integrated digital referral and case management systems, allowing authorised providers to coordinate services more effectively while maintaining confidentiality and reducing administrative burden.</w:t>
      </w:r>
    </w:p>
    <w:p w14:paraId="5FF85710" w14:textId="77777777" w:rsidR="00CF244A" w:rsidRDefault="00CF244A" w:rsidP="00CF244A">
      <w:r>
        <w:t>Strengthen data collection, research and evaluation, including better data on diverse communities, service outcomes and emerging trends such as technology-facilitated abuse. This evidence should inform continuous improvement and future policy development.</w:t>
      </w:r>
    </w:p>
    <w:p w14:paraId="4F2CBFBC" w14:textId="637F98E9" w:rsidR="00CF244A" w:rsidRDefault="00CF244A" w:rsidP="00CF244A">
      <w:r>
        <w:lastRenderedPageBreak/>
        <w:t>Reduce administrative burden by streamlining funding, reporting and contractual requirements across government agencies, allowing organisations to focus more time and resources on delivering quality services and improving community outcomes.</w:t>
      </w:r>
    </w:p>
    <w:p w14:paraId="450AA97D" w14:textId="311A022E" w:rsidR="00CF244A" w:rsidRDefault="00CF244A" w:rsidP="00CF244A">
      <w:r>
        <w:t>The Second Action Plan should also invest in community capability, recognising that prevention and early intervention occur well before people enter specialist service systems. Building the capacity of trusted community organisations to deliver culturally responsive education, leadership development, awareness programs and referral support will strengthen Australia's overall response to gender-based violence.</w:t>
      </w:r>
    </w:p>
    <w:p w14:paraId="516C8AF1" w14:textId="4DD268E4" w:rsidR="00CF244A" w:rsidRDefault="00CF244A" w:rsidP="00CF244A">
      <w:r>
        <w:t>Finally, implementation of the Second Action Plan should be guided by shared outcomes rather than organisational outputs. Success should be measured by improved safety, earlier intervention, increased accessibility, stronger collaboration, reduced barriers for priority cohorts and better long-term wellbeing for victim-survivors and their families.</w:t>
      </w:r>
    </w:p>
    <w:p w14:paraId="1B195BF8" w14:textId="77777777" w:rsidR="00CF244A" w:rsidRDefault="00CF244A" w:rsidP="00CF244A">
      <w:r>
        <w:t>By investing in an integrated system, a supported workforce and genuine partnerships with communities, Australia can create a more responsive, inclusive and sustainable service system that delivers lasting change and moves closer to the shared goal of ending violence against women and children.</w:t>
      </w:r>
    </w:p>
    <w:p w14:paraId="466D76FD" w14:textId="7357B2BF" w:rsidR="00CF244A" w:rsidRPr="00CF244A" w:rsidRDefault="00CF244A" w:rsidP="00CF244A">
      <w:pPr>
        <w:rPr>
          <w:b/>
          <w:bCs/>
        </w:rPr>
      </w:pPr>
      <w:r w:rsidRPr="00CF244A">
        <w:rPr>
          <w:b/>
          <w:bCs/>
        </w:rPr>
        <w:t>Are there any other actions you think should be a priority to stop family, domestic and sexual violence?</w:t>
      </w:r>
    </w:p>
    <w:p w14:paraId="4662063C" w14:textId="06713B95" w:rsidR="00CF244A" w:rsidRDefault="00CF244A" w:rsidP="00CF244A">
      <w:r>
        <w:t>Yes. In addition to the priority areas already identified, AMAN believes the Second Action Plan should place greater emphasis on the following actions:</w:t>
      </w:r>
    </w:p>
    <w:p w14:paraId="3995F920" w14:textId="77777777" w:rsidR="00CF244A" w:rsidRDefault="00CF244A" w:rsidP="00CF244A">
      <w:r>
        <w:t>Invest in community-led prevention, recognising multicultural, Aboriginal Community Controlled, faith-based and other trusted community organisations as essential partners in preventing violence, reducing stigma and encouraging early help-seeking.</w:t>
      </w:r>
    </w:p>
    <w:p w14:paraId="4983057C" w14:textId="77777777" w:rsidR="00CF244A" w:rsidRDefault="00CF244A" w:rsidP="00CF244A">
      <w:r>
        <w:t>Address intersectionality, ensuring responses recognise that people may experience multiple and overlapping forms of disadvantage, including disability, migration and settlement challenges, racism, poverty, housing insecurity, mental health issues and social isolation.</w:t>
      </w:r>
    </w:p>
    <w:p w14:paraId="42763D1D" w14:textId="77777777" w:rsidR="00CF244A" w:rsidRDefault="00CF244A" w:rsidP="00CF244A">
      <w:r>
        <w:t>Strengthen digital safety and preparedness, recognising the rapid growth of technology-facilitated abuse, online coercive control, image-based abuse, AI-enabled harms and financial abuse through digital platforms. The Action Plan should include ongoing public education, digital literacy and collaboration with the technology sector.</w:t>
      </w:r>
    </w:p>
    <w:p w14:paraId="4D135DEC" w14:textId="77777777" w:rsidR="00CF244A" w:rsidRDefault="00CF244A" w:rsidP="00CF244A">
      <w:r>
        <w:t>Expand culturally responsive services, including multilingual information, bilingual and bicultural workers, interpreters and culturally appropriate service models that improve accessibility for culturally and linguistically diverse (CALD) communities.</w:t>
      </w:r>
    </w:p>
    <w:p w14:paraId="7B06FF25" w14:textId="77777777" w:rsidR="00CF244A" w:rsidRDefault="00CF244A" w:rsidP="00CF244A">
      <w:r>
        <w:lastRenderedPageBreak/>
        <w:t>Increase investment in men and boys as partners in prevention, promoting positive masculinities, respectful relationships, emotional wellbeing and healthy help-seeking behaviours through schools, workplaces, sporting clubs and community organisations.</w:t>
      </w:r>
    </w:p>
    <w:p w14:paraId="56773B88" w14:textId="77777777" w:rsidR="00CF244A" w:rsidRDefault="00CF244A" w:rsidP="00CF244A">
      <w:r>
        <w:t>Strengthen economic empowerment initiatives, recognising that financial dependence is a major barrier preventing many victim-survivors from leaving violent relationships. Greater access to employment, financial literacy, emergency financial assistance and affordable housing should be part of a comprehensive response.</w:t>
      </w:r>
    </w:p>
    <w:p w14:paraId="3733AB72" w14:textId="77777777" w:rsidR="00CF244A" w:rsidRDefault="00CF244A" w:rsidP="00CF244A">
      <w:r>
        <w:t>Improve long-term recovery support, acknowledging that healing extends beyond crisis intervention and requires sustained access to mental health care, housing, education, employment, peer support and community connection.</w:t>
      </w:r>
    </w:p>
    <w:p w14:paraId="5445027D" w14:textId="77777777" w:rsidR="00CF244A" w:rsidRDefault="00CF244A" w:rsidP="00CF244A">
      <w:r>
        <w:t>Support innovation and continuous improvement, by funding pilot programs, community-led initiatives and research that identifies effective approaches for diverse communities and emerging challenges.</w:t>
      </w:r>
    </w:p>
    <w:p w14:paraId="41E2CA13" w14:textId="41076FB6" w:rsidR="00CF244A" w:rsidRDefault="00CF244A" w:rsidP="00CF244A">
      <w:r>
        <w:t xml:space="preserve">Establish stronger accountability and outcome measurement, with regular public reporting on progress, meaningful community engagement and ongoing evaluation to ensure the Action Plan remains responsive and </w:t>
      </w:r>
      <w:proofErr w:type="gramStart"/>
      <w:r>
        <w:t>evidence-informed</w:t>
      </w:r>
      <w:proofErr w:type="gramEnd"/>
      <w:r>
        <w:t>.</w:t>
      </w:r>
    </w:p>
    <w:p w14:paraId="256D03D5" w14:textId="555575E1" w:rsidR="00CF244A" w:rsidRDefault="00CF244A" w:rsidP="00CF244A">
      <w:r>
        <w:t>Finally, AMAN encourages governments to view the prevention of family, domestic and sexual violence as a shared national responsibility. Lasting change will only be achieved when governments, specialist services, community organisations, schools, workplaces, faith leaders, businesses, media and communities work together to challenge harmful attitudes, promote respect and create safe, inclusive environments where violence is never tolerated.</w:t>
      </w:r>
    </w:p>
    <w:p w14:paraId="6A610DBF" w14:textId="4A980DA2" w:rsidR="00CF244A" w:rsidRPr="00CF244A" w:rsidRDefault="00CF244A" w:rsidP="00CF244A">
      <w:r>
        <w:t>The Second Action Plan should leave a lasting legacy by building a society where every woman, child and family—regardless of their cultural background, language, disability, age, gender identity or circumstances—can live free from violence, with dignity, safety and equal opportunity to thrive.</w:t>
      </w:r>
    </w:p>
    <w:sectPr w:rsidR="00CF244A" w:rsidRPr="00CF24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44A"/>
    <w:rsid w:val="00022A23"/>
    <w:rsid w:val="0023679E"/>
    <w:rsid w:val="005249BF"/>
    <w:rsid w:val="00CF244A"/>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E5D3"/>
  <w15:chartTrackingRefBased/>
  <w15:docId w15:val="{237131DA-C8C6-4777-B8DB-C15D9A7B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4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4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4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4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4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4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4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4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4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4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4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4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44A"/>
    <w:rPr>
      <w:rFonts w:eastAsiaTheme="majorEastAsia" w:cstheme="majorBidi"/>
      <w:color w:val="272727" w:themeColor="text1" w:themeTint="D8"/>
    </w:rPr>
  </w:style>
  <w:style w:type="paragraph" w:styleId="Title">
    <w:name w:val="Title"/>
    <w:basedOn w:val="Normal"/>
    <w:next w:val="Normal"/>
    <w:link w:val="TitleChar"/>
    <w:uiPriority w:val="10"/>
    <w:qFormat/>
    <w:rsid w:val="00CF2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44A"/>
    <w:pPr>
      <w:spacing w:before="160"/>
      <w:jc w:val="center"/>
    </w:pPr>
    <w:rPr>
      <w:i/>
      <w:iCs/>
      <w:color w:val="404040" w:themeColor="text1" w:themeTint="BF"/>
    </w:rPr>
  </w:style>
  <w:style w:type="character" w:customStyle="1" w:styleId="QuoteChar">
    <w:name w:val="Quote Char"/>
    <w:basedOn w:val="DefaultParagraphFont"/>
    <w:link w:val="Quote"/>
    <w:uiPriority w:val="29"/>
    <w:rsid w:val="00CF244A"/>
    <w:rPr>
      <w:i/>
      <w:iCs/>
      <w:color w:val="404040" w:themeColor="text1" w:themeTint="BF"/>
    </w:rPr>
  </w:style>
  <w:style w:type="paragraph" w:styleId="ListParagraph">
    <w:name w:val="List Paragraph"/>
    <w:basedOn w:val="Normal"/>
    <w:uiPriority w:val="34"/>
    <w:qFormat/>
    <w:rsid w:val="00CF244A"/>
    <w:pPr>
      <w:ind w:left="720"/>
      <w:contextualSpacing/>
    </w:pPr>
  </w:style>
  <w:style w:type="character" w:styleId="IntenseEmphasis">
    <w:name w:val="Intense Emphasis"/>
    <w:basedOn w:val="DefaultParagraphFont"/>
    <w:uiPriority w:val="21"/>
    <w:qFormat/>
    <w:rsid w:val="00CF244A"/>
    <w:rPr>
      <w:i/>
      <w:iCs/>
      <w:color w:val="0F4761" w:themeColor="accent1" w:themeShade="BF"/>
    </w:rPr>
  </w:style>
  <w:style w:type="paragraph" w:styleId="IntenseQuote">
    <w:name w:val="Intense Quote"/>
    <w:basedOn w:val="Normal"/>
    <w:next w:val="Normal"/>
    <w:link w:val="IntenseQuoteChar"/>
    <w:uiPriority w:val="30"/>
    <w:qFormat/>
    <w:rsid w:val="00CF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44A"/>
    <w:rPr>
      <w:i/>
      <w:iCs/>
      <w:color w:val="0F4761" w:themeColor="accent1" w:themeShade="BF"/>
    </w:rPr>
  </w:style>
  <w:style w:type="character" w:styleId="IntenseReference">
    <w:name w:val="Intense Reference"/>
    <w:basedOn w:val="DefaultParagraphFont"/>
    <w:uiPriority w:val="32"/>
    <w:qFormat/>
    <w:rsid w:val="00CF24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15128E-9AF4-45A8-B8C7-409572347CFC}"/>
</file>

<file path=customXml/itemProps2.xml><?xml version="1.0" encoding="utf-8"?>
<ds:datastoreItem xmlns:ds="http://schemas.openxmlformats.org/officeDocument/2006/customXml" ds:itemID="{DE917184-386D-4DF4-A38F-8E234982B79C}"/>
</file>

<file path=customXml/itemProps3.xml><?xml version="1.0" encoding="utf-8"?>
<ds:datastoreItem xmlns:ds="http://schemas.openxmlformats.org/officeDocument/2006/customXml" ds:itemID="{B488888D-A405-4D7A-9B7B-C1A2F291C90B}"/>
</file>

<file path=docProps/app.xml><?xml version="1.0" encoding="utf-8"?>
<Properties xmlns="http://schemas.openxmlformats.org/officeDocument/2006/extended-properties" xmlns:vt="http://schemas.openxmlformats.org/officeDocument/2006/docPropsVTypes">
  <Template>Normal.dotm</Template>
  <TotalTime>3</TotalTime>
  <Pages>9</Pages>
  <Words>3470</Words>
  <Characters>19781</Characters>
  <Application>Microsoft Office Word</Application>
  <DocSecurity>0</DocSecurity>
  <Lines>164</Lines>
  <Paragraphs>46</Paragraphs>
  <ScaleCrop>false</ScaleCrop>
  <Company/>
  <LinksUpToDate>false</LinksUpToDate>
  <CharactersWithSpaces>23205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2026-09-02T06:38:00Z</dcterms:created>
  <dcterms:modified xsi:type="dcterms:W3CDTF">2026-09-02T06:41:00Z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