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85D84" w14:textId="518F82F7" w:rsidR="0023679E" w:rsidRDefault="00E11FAF">
      <w:pPr>
        <w:rPr>
          <w:b/>
          <w:bCs/>
        </w:rPr>
      </w:pPr>
      <w:r w:rsidRPr="00E11FAF">
        <w:rPr>
          <w:b/>
          <w:bCs/>
        </w:rPr>
        <w:t>Away from Keyboard Inc.</w:t>
      </w:r>
    </w:p>
    <w:p w14:paraId="5C399EC8" w14:textId="2364A1FC" w:rsidR="00E11FAF" w:rsidRDefault="00E11FAF">
      <w:pPr>
        <w:rPr>
          <w:b/>
          <w:bCs/>
        </w:rPr>
      </w:pPr>
      <w:r w:rsidRPr="00E11FAF">
        <w:rPr>
          <w:b/>
          <w:bCs/>
        </w:rPr>
        <w:t>Feedback for Priority Area 1: Victim-survivors</w:t>
      </w:r>
    </w:p>
    <w:p w14:paraId="3D7EBAD2" w14:textId="4064AB17" w:rsidR="00E11FAF" w:rsidRDefault="00E11FAF" w:rsidP="00E11FAF">
      <w:r>
        <w:t>AFK commends the Department for the ambition of the National Plan and offers the following as practical, evidence-based additions in support of it, not as criticism of its foundations.</w:t>
      </w:r>
    </w:p>
    <w:p w14:paraId="2C071937" w14:textId="71047695" w:rsidR="00E11FAF" w:rsidRDefault="00E11FAF" w:rsidP="00E11FAF">
      <w:r>
        <w:t xml:space="preserve">Community attitude measurement does not yet capture technology-facilitated abuse. The four scales underpinning the Plan's national attitude and knowledge targets (UVAWS, AVAWS, AGIS and SVS) are well-established, but none captures image-based abuse, </w:t>
      </w:r>
      <w:proofErr w:type="spellStart"/>
      <w:r>
        <w:t>stalkerware</w:t>
      </w:r>
      <w:proofErr w:type="spellEnd"/>
      <w:r>
        <w:t>-enabled coercive control, doxxing or deepfake harassment as a distinct, measurable construct. ""Objectification of women"" within AVAWS is the closest existing proxy and does not cover this ground. Without a named construct, the Plan cannot track whether community understanding of the fastest-growing harm types is improving. We recommend commissioning a dedicated technology-facilitated abuse attitudes and awareness scale, including a module addressing boys and young men specifically, for the next Performance Measurement Plan cycle.</w:t>
      </w:r>
    </w:p>
    <w:p w14:paraId="051FB5D1" w14:textId="53461B2D" w:rsidR="00E11FAF" w:rsidRDefault="00E11FAF" w:rsidP="00E11FAF">
      <w:r>
        <w:t>Closing the Gap Target 13 needs a technology-facilitated violence indicator, and funding that follows it. Target 13's nine indicators (self-reported physical violence, child protection substantiations, out-of-home care, community awareness and attitudes, hospitalisation and homicide) are comprehensive, but none captures technology-facilitated family violence, despite the Theory of Change's own acknowledgement that Aboriginal and Torres Strait Islander women already face compounding barriers to reporting arising from mistrust of police and mainstream services. Location tracking, image-based abuse and surveillance via shared devices compound those barriers further because they are harder to name, harder to evidence, and often occur through infrastructure victim-survivors cannot easily leave (shared family phone plans, community-only digital spaces). We recommend a tenth indicator, developed with Aboriginal and Torres Strait Islander-led data governance consistent with Priority Reform Four of the National Agreement on Closing the Gap.</w:t>
      </w:r>
    </w:p>
    <w:p w14:paraId="7AD740AD" w14:textId="438D80AA" w:rsidR="00E11FAF" w:rsidRDefault="00E11FAF" w:rsidP="00E11FAF">
      <w:r>
        <w:t xml:space="preserve">This needs to be paired with funding, not just measurement. The Productivity Commission's most recent assessment found only four of the nineteen national Closing the Gap targets on track, six improving but not on track, and four worsening, and Priority Reform Two (strengthening the community-controlled sector) remains among the least progressed reforms nationally. Out-of-home care, one of Target 13's own indicators, sits inside this same pattern: children removed from family violence contexts are disproportionately Aboriginal and Torres Strait Islander, and the surrounding service system remains disproportionately mainstream rather than community-controlled. The 1991 Royal Commission into Aboriginal Deaths in Custody found that overimprisonment, not individual criminality, drove the disparity in custodial deaths; </w:t>
      </w:r>
      <w:r>
        <w:lastRenderedPageBreak/>
        <w:t xml:space="preserve">many of its recommendations, including independent police complaint mechanisms and the abolition of mandatory sentencing, remain unimplemented more than three decades later, and imprisonment rates have worsened rather than improved since. Family violence, child removal and youth justice contact are not separate systems for the families Target 13 </w:t>
      </w:r>
      <w:proofErr w:type="gramStart"/>
      <w:r>
        <w:t>protects,</w:t>
      </w:r>
      <w:proofErr w:type="gramEnd"/>
      <w:r>
        <w:t xml:space="preserve"> they are the same families moving through connected systems. We recommend directing a defined and growing share of Target 13 implementation funding to Aboriginal and Torres Strait Islander community-controlled </w:t>
      </w:r>
      <w:proofErr w:type="gramStart"/>
      <w:r>
        <w:t>organisations, and</w:t>
      </w:r>
      <w:proofErr w:type="gramEnd"/>
      <w:r>
        <w:t xml:space="preserve"> extending proven models such as justice reinvestment trials into family violence prevention specifically.</w:t>
      </w:r>
    </w:p>
    <w:p w14:paraId="5A51F81C" w14:textId="268DC224" w:rsidR="00E11FAF" w:rsidRDefault="00E11FAF" w:rsidP="00E11FAF">
      <w:r>
        <w:t>Culturally and linguistically diverse and immigrant communities need community-designed programs, not translated ones. AFK's own accepted research with Afghan communities in Melbourne's outer south-east found that prevention programs fail to reach these communities not because need is absent, but because of how programs are designed and delivered, and that safety technologies trained on data excluding these communities fail to detect harm within them. Technology-facilitated abuse compounds this: language-targeted scams and harassment go largely unaddressed by safety tooling built for English speakers, and navigating school, government and safety systems in a second language is itself a barrier to disclosure. We recommend naming culturally and linguistically appropriate, community-designed prevention and safety programs, rather than translated mainstream programs, as a specifically funded component of the Plan's response.</w:t>
      </w:r>
    </w:p>
    <w:p w14:paraId="703224F9" w14:textId="275DA463" w:rsidR="00E11FAF" w:rsidRDefault="00E11FAF" w:rsidP="00E11FAF">
      <w:r>
        <w:t xml:space="preserve">Vulnerability compounds rather than adds, and several groups are not yet well represented. A person facing more than one form of disadvantage (disability, remoteness, a culturally diverse background, being Aboriginal or Torres Strait Islander) does not face those risks separately; each additional factor multiplies the others, and the person is also most likely to fall through gaps between services designed around a single category of need. Four groups the Theory of Change names do not yet have technology-facilitated harm named specifically against them: women and girls with disability, where assistive technology, health monitoring devices and communication aids can be repurposed as surveillance and control, and reliance on a carer for device access creates a distinct disclosure barrier; LGBTIQA+ people, including Sistergirls and Brotherboys, who face outing threats, doxxing and targeted harassment campaigns distinct from image-based abuse as usually described; older Australians, where technology-facilitated abuse by adult children, carers or partners (financial control through banking apps, restricted device access, monitoring) intersects directly with elder abuse and is likely under-identified in either service context; and boys and men as victims in their own right, where sextortion is a documented and growing harm distinct from the prevention-focused framing usually applied to this group. We recommend this compounding-vulnerability principle be adopted explicitly within the Plan's Theory of Change, with data collection capable of identifying compounding risk profiles rather </w:t>
      </w:r>
      <w:r>
        <w:lastRenderedPageBreak/>
        <w:t>than only single-category prevalence, and technology-facilitated harm named specifically for each of these four groups.</w:t>
      </w:r>
    </w:p>
    <w:p w14:paraId="69AD36D4" w14:textId="4E78447A" w:rsidR="00E11FAF" w:rsidRDefault="00E11FAF" w:rsidP="00E11FAF">
      <w:r>
        <w:t>Evidence access when harm occurs. When technology-facilitated harm occurs, particularly through platforms based overseas which victim-survivors are often engaging with without family or support networks aware, there is no reliable, timely pathway for victim-survivors, their support people, or police to obtain evidence, account information, or an explanation from the provider. We recommend a mandated response pathway and timeframe for providers, including those based overseas, with escalation and enforcement mechanisms where a provider fails to respond, and international cooperation arrangements to support this where a provider operates outside Australian jurisdiction.</w:t>
      </w:r>
    </w:p>
    <w:p w14:paraId="20A730CF" w14:textId="77777777" w:rsidR="00E11FAF" w:rsidRDefault="00E11FAF" w:rsidP="00E11FAF">
      <w:r>
        <w:t>This body of recommendations is corroborated by an independent, contemporaneous international process: a Declaration Consultation on Technology-Facilitated Gender-Based Violence that AFK convened and facilitated in Melbourne in April 2026 as part of the Women Deliver 2026 global conference, with 28 participants from 10 countries. Participants working across the Pacific highlighted that Australia funds significant digital infrastructure in the region without embedding safety standards or gender-responsive design requirements, and participants noted that Aboriginal and Torres Strait Islander-led research on the digital exclusion index points to serious gaps in regional and rural connectivity that compound vulnerability to technology-facilitated harm, directly reinforcing the Target 13 recommendation above.</w:t>
      </w:r>
    </w:p>
    <w:p w14:paraId="5915F484" w14:textId="51FC330A" w:rsidR="00E11FAF" w:rsidRPr="00E11FAF" w:rsidRDefault="00E11FAF" w:rsidP="00E11FAF">
      <w:pPr>
        <w:rPr>
          <w:b/>
          <w:bCs/>
        </w:rPr>
      </w:pPr>
      <w:r w:rsidRPr="00E11FAF">
        <w:rPr>
          <w:b/>
          <w:bCs/>
        </w:rPr>
        <w:t>Feedback for Priority Area 2: Prevention and early intervention</w:t>
      </w:r>
    </w:p>
    <w:p w14:paraId="432C5040" w14:textId="533EF11B" w:rsidR="00E11FAF" w:rsidRDefault="00E11FAF" w:rsidP="00E11FAF">
      <w:r>
        <w:t>Carry the Plan's own vision through into a measurable target. The Goal statement already commits to a country safe ""at home, at work, at school, in the community and online,"" but none of the Plan's six national targets (female intimate partner homicide, community knowledge, community attitudes across three scales, and Closing the Gap Target 13) currently measures online or technology-facilitated harm. We recommend a seventh national target, or a named sub-target under an existing outcome, specific to technology-facilitated gender-based violence, with an agreed data source and scale developed in the next Performance Measurement Plan cycle, so the existing Goal statement receives the same measurable follow-through already achieved for its other settings.</w:t>
      </w:r>
    </w:p>
    <w:p w14:paraId="69F8169F" w14:textId="30B476EB" w:rsidR="00E11FAF" w:rsidRDefault="00E11FAF" w:rsidP="00E11FAF">
      <w:r>
        <w:t xml:space="preserve">Extend the Plan's forward-looking design to include AI-facilitated harm. The Theory of Change is explicitly designed to be forward-looking and adaptive, one of its real strengths, yet artificial intelligence is not named as a harm vector anywhere in the Plan's six long-term outcomes, 21 objectives, 10 Actions, or nine Closing the Gap Target 13 indicators, despite AI-generated intimate imagery and deepfake abuse, synthetic child sexual abuse material, companion-app-enabled coercive control, and algorithmic </w:t>
      </w:r>
      <w:r>
        <w:lastRenderedPageBreak/>
        <w:t>amplification of misogynistic content being documented, escalating harm categories. We recommend an explicit AI and emerging technology lens threaded across all four domains (prevention, early intervention, response, recovery and healing), with a named action under the Second Action Plan.</w:t>
      </w:r>
    </w:p>
    <w:p w14:paraId="34816730" w14:textId="1642F49C" w:rsidR="00E11FAF" w:rsidRDefault="00E11FAF" w:rsidP="00E11FAF">
      <w:r>
        <w:t>Upstream, pre-deployment accountability is the single biggest gap in current prevention design. The Theory of Change's six cross-cutting principles and 10 Actions build a strong downstream response (attitude change, service capability, justice-system accountability, recovery support), but almost no attention is paid to the technology systems through which harm is increasingly delivered and amplified in the first place. This is consistent with the Theory of Change's own argument that no single approach on its own will achieve sustained change, and that action is needed across all four domains. We recommend recognising upstream, pre-deployment safety accountability for digital and AI product design as a distinct prevention mechanism within Domain 1 (Prevention), alongside the existing community-attitudes focus.</w:t>
      </w:r>
    </w:p>
    <w:p w14:paraId="067295CC" w14:textId="21AEB2FB" w:rsidR="00E11FAF" w:rsidRDefault="00E11FAF" w:rsidP="00E11FAF">
      <w:r>
        <w:t>Design prevention around compounding vulnerability, not single categories. A person facing more than one form of disadvantage does not face those risks separately, each additional factor multiplies the others, producing a risk profile categorically higher than any single factor would predict, and this is also the person most likely to fall through gaps between services each designed around a single category of need. Prevention programs designed around parallel population categories will consistently miss the people at greatest actual risk. We recommend this principle be adopted explicitly within the Plan's Theory of Change, directing policy design, service delivery and data collection to actively identify and respond to overlapping vulnerability.</w:t>
      </w:r>
    </w:p>
    <w:p w14:paraId="279C4FA4" w14:textId="77777777" w:rsidR="00E11FAF" w:rsidRDefault="00E11FAF" w:rsidP="00E11FAF">
      <w:r>
        <w:t>These recommendations are corroborated by an independent international consultation AFK convened in Melbourne in April 2026 (Women Deliver 2026, 28 participants from 10 countries): platform and state accountability was identified as the single strongest entry point for technology-facilitated gender-based violence action internationally, including calls to embed safety-by-design obligations at the point of platform and AI deployment; participants raised the concept of algorithmic violence, harm caused by platform design and recommendation systems at scale without a single identifiable perpetrator, as a critical gap in current legal and policy frameworks; and a recurring theme was that prevention programs are not currently reaching boys and young men effectively, with early, unregulated exposure to graphic content and misogynistic online communities shaping attitudes well before adulthood. Separately, AFK's founder raised directly with UN ESCAP Member States at the CSW70 regional briefing that justice and service systems across the Asia-Pacific are ""often not designed to respond to intersectional, fast-moving, and digitally mediated harm,"" and that a repair-after-harm model fails women and children because systems, not only individuals, lack the capability to respond. The central challenge is velocity: technology-</w:t>
      </w:r>
      <w:r>
        <w:lastRenderedPageBreak/>
        <w:t>facilitated harm now scales faster than prevention and workforce systems typically refresh.</w:t>
      </w:r>
    </w:p>
    <w:p w14:paraId="75DF66D3" w14:textId="39B3D510" w:rsidR="00E11FAF" w:rsidRPr="00E11FAF" w:rsidRDefault="00E11FAF" w:rsidP="00E11FAF">
      <w:pPr>
        <w:rPr>
          <w:b/>
          <w:bCs/>
        </w:rPr>
      </w:pPr>
      <w:r w:rsidRPr="00E11FAF">
        <w:rPr>
          <w:b/>
          <w:bCs/>
        </w:rPr>
        <w:t>Feedback for Priority Area 3: Children and young people in their own right</w:t>
      </w:r>
    </w:p>
    <w:p w14:paraId="389E5F56" w14:textId="43019F4E" w:rsidR="00E11FAF" w:rsidRDefault="00E11FAF" w:rsidP="00E11FAF">
      <w:r>
        <w:t>Build out the Plan's existing commitment to children's online safety. Outcome 5, sub-outcome 5.1, already states that children and young people should be ""supported to grow up safe and supported including at home, school, in their community, and online"", the only sub-outcome across the entire 21-objective Outcomes Framework that names online explicitly, but this has no corresponding action, indicator or target. Given the Theory of Change itself reports 39.6 per cent of Australians up to age 18 have been exposed to domestic violence, a parallel figure, indicator or target for children's online exposure or harm is needed to complete the evidence base. We recommend a specific action and indicator under Outcome 5, tailored to the materially different risk profile, disclosure barriers, and protective factors relevant to children specifically.</w:t>
      </w:r>
    </w:p>
    <w:p w14:paraId="089CA42A" w14:textId="30493AAB" w:rsidR="00E11FAF" w:rsidRDefault="00E11FAF" w:rsidP="00E11FAF">
      <w:r>
        <w:t xml:space="preserve">Name child-on-child technology-facilitated violence organised through networked online groups as its own distinct harm category. Every existing framework, and most of the recommendations above, are built around a perpetrator-victim model in which an adult targets a child, or an adult targets another adult. There is a distinct and escalating harm pattern this model does not capture. The </w:t>
      </w:r>
      <w:proofErr w:type="spellStart"/>
      <w:r>
        <w:t>eSafety</w:t>
      </w:r>
      <w:proofErr w:type="spellEnd"/>
      <w:r>
        <w:t xml:space="preserve"> Commissioner and international law enforcement agencies, including the FBI, have identified decentralised online networks, sometimes referred to as ""the Com"", in which children are coerced, groomed, or directed, by other children, by adults posing as children within the network, or by a mix of both, into self-harm, violence, and the production of abuse material. These networks operate through gaming platforms, messaging apps, and mainstream social media, using status, coercion, and peer pressure within the group to direct children toward harming themselves, harming other children, or producing content depicting that harm.</w:t>
      </w:r>
    </w:p>
    <w:p w14:paraId="07584206" w14:textId="045C88F8" w:rsidR="00E11FAF" w:rsidRDefault="00E11FAF" w:rsidP="00E11FAF">
      <w:r>
        <w:t xml:space="preserve">AFK's founder attended the IPPPRI26 conference in the United Kingdom as a delegate, at a workshop addressing Com groups and youth-on-youth harm directly. Two features of this harm are consistently under-recognised in current frameworks. First, the coercion very often directs the child to harm themselves rather than another person, </w:t>
      </w:r>
      <w:proofErr w:type="gramStart"/>
      <w:r>
        <w:t>in order to</w:t>
      </w:r>
      <w:proofErr w:type="gramEnd"/>
      <w:r>
        <w:t xml:space="preserve"> gain status, approval, or continued standing within the network: self-harm produced and shared for views. This is coercive violence in which the child is both the instrument and the target, sitting entirely outside any framework built around a perpetrator harming a separate victim. Second, this harm escalates into violence directed at siblings: a child coerced or pressured by the network into violence against a brother or sister in their own home. This sits between two systems built for something else: family violence frameworks are built around adult perpetrators, and technology-facilitated abuse frameworks are built around harm delivered through a device to </w:t>
      </w:r>
      <w:r>
        <w:lastRenderedPageBreak/>
        <w:t>someone outside the household. Sibling violence coerced by an online network is captured by neither.</w:t>
      </w:r>
    </w:p>
    <w:p w14:paraId="1F17629A" w14:textId="6CFF3336" w:rsidR="00E11FAF" w:rsidRDefault="00E11FAF" w:rsidP="00E11FAF">
      <w:r>
        <w:t>A child directed by a network to harm another child, to harm a sibling, or to harm themselves, is very often also a victim of coercion within that same network, and child protection, criminal justice, and family violence systems built around an adult perpetrator do not map cleanly onto a case where the person causing harm is also a child being coerced. We recommend the Second Action Plan name child-on-child technology-facilitated violence organised through networked online groups as a distinct harm category, separate from adult-perpetrated technology-facilitated abuse, with its own data collection, service response design, and child protection pathway. This category should explicitly recognise coerced self-harm produced for views and network-directed sibling violence as named sub-patterns, recognise that a child within these networks may be simultaneously a victim and an instrument of harm, and resource frontline workers, including in education and child protection settings, to recognise and respond to this dual status rather than defaulting to a single-perpetrator framework.</w:t>
      </w:r>
    </w:p>
    <w:p w14:paraId="13B7E2C0" w14:textId="155C8366" w:rsidR="00E11FAF" w:rsidRDefault="00E11FAF" w:rsidP="00E11FAF">
      <w:r>
        <w:t xml:space="preserve">Frontline and education workforce training needs to be specific and current. Frontline workers currently receive generic training rather than genuine technical literacy in how technology-facilitated abuse operates and clear protocols for what to do when they encounter it. Generative AI, deepfake image-based abuse, </w:t>
      </w:r>
      <w:proofErr w:type="spellStart"/>
      <w:r>
        <w:t>stalkerware</w:t>
      </w:r>
      <w:proofErr w:type="spellEnd"/>
      <w:r>
        <w:t>-enabled coercive control and AI-generated abuse material each require workers to recognise a form of harm that may not have existed when they were last trained. A training module delivered once is already out of date by the time it reaches a caseworker or classroom teacher. We recommend a specific, technical, and regularly refreshed capability-building program, developed jointly with technical experts and people with lived experience.</w:t>
      </w:r>
    </w:p>
    <w:p w14:paraId="7ECF4D49" w14:textId="19299F5F" w:rsidR="00E11FAF" w:rsidRDefault="00E11FAF" w:rsidP="00E11FAF">
      <w:r>
        <w:t>Evidence pathways from providers matter most acutely for children. When a child has been harmed through a platform, particularly one based overseas that children frequently engage with in secret, parents, guardians and police currently have no reliable, timely way to obtain evidence, account information, or an explanation from the provider. We recommend a mandated response pathway and timeframe for providers, including those based overseas, with escalation and enforcement mechanisms and international cooperation arrangements where the provider operates outside Australian jurisdiction.</w:t>
      </w:r>
    </w:p>
    <w:p w14:paraId="1D051F06" w14:textId="77777777" w:rsidR="00E11FAF" w:rsidRDefault="00E11FAF" w:rsidP="00E11FAF">
      <w:r>
        <w:t xml:space="preserve">AFK has also raised the broader child sexual exploitation context directly with the Australian Government, calling for a Prime Minister's Taskforce on the Sale and Sexual Exploitation of Children in response to UN Special Rapporteur findings on Australia, and has made a separate submission to the House of Representatives Standing Committee on Education, Inquiry into the Factors Driving Educational Attainment, evidencing that </w:t>
      </w:r>
      <w:r>
        <w:lastRenderedPageBreak/>
        <w:t>27 per cent of domestic and family violence cases involve technology-facilitated abuse of children, with mental health impacts identified in 67 per cent of those cases.</w:t>
      </w:r>
    </w:p>
    <w:p w14:paraId="2530B0A7" w14:textId="63E1B06B" w:rsidR="00E11FAF" w:rsidRPr="00E11FAF" w:rsidRDefault="00E11FAF" w:rsidP="00E11FAF">
      <w:pPr>
        <w:rPr>
          <w:b/>
          <w:bCs/>
        </w:rPr>
      </w:pPr>
      <w:r w:rsidRPr="00E11FAF">
        <w:rPr>
          <w:b/>
          <w:bCs/>
        </w:rPr>
        <w:t>Feedback for Priority Area 4: People who use violence</w:t>
      </w:r>
    </w:p>
    <w:p w14:paraId="1222586B" w14:textId="6439DA6D" w:rsidR="00E11FAF" w:rsidRDefault="00E11FAF" w:rsidP="00E11FAF">
      <w:r>
        <w:t>Name technology-facilitated coercive control explicitly as a perpetrator behaviour. Outcome 4 and its three sub-outcomes set out a clear approach to identifying people at risk of using violence, supporting behaviour change, and holding people accountable through police and justice systems, but do not yet name technology-facilitated coercive control (location tracking, spyware, account takeover, image-based abuse used as a control mechanism) explicitly, despite this being an established and growing modality of perpetration that benefits from specific investigative capability, evidentiary literacy, and legal response alongside the existing focus on physical violence. We recommend extending Outcome 4's sub-outcomes to name this explicitly, building on Action 9's existing commitment to improving police responses.</w:t>
      </w:r>
    </w:p>
    <w:p w14:paraId="7BF3A2E0" w14:textId="1A7D7479" w:rsidR="00E11FAF" w:rsidRDefault="00E11FAF" w:rsidP="00E11FAF">
      <w:r>
        <w:t xml:space="preserve">Behaviour change program content needs to address technology-facilitated modalities directly, not implicitly. Outcome 4.2 commits to supporting people who use violence to change their behaviour through evidence-based interventions. Existing behaviour change program content is built around physical and interpersonal </w:t>
      </w:r>
      <w:proofErr w:type="gramStart"/>
      <w:r>
        <w:t>violence, and</w:t>
      </w:r>
      <w:proofErr w:type="gramEnd"/>
      <w:r>
        <w:t xml:space="preserve"> does not yet consistently address technology-facilitated modalities as a distinct behaviour requiring its own content: recognising covert monitoring as controlling behaviour, understanding why constant location tracking or account access is coercive even when the person using it frames it as care or concern, and building content specific to image-based abuse as a tool of control. Behaviour change work that does not name these patterns risks leaving a person who uses technology to control a partner without ever being asked to examine that behaviour directly. We recommend funded behaviour change programs include content specific to technology-facilitated coercive control rather than treating it as an implicit extension of physical violence content.</w:t>
      </w:r>
    </w:p>
    <w:p w14:paraId="727AE9E4" w14:textId="59E9F682" w:rsidR="00E11FAF" w:rsidRDefault="00E11FAF" w:rsidP="00E11FAF">
      <w:r>
        <w:t>A distinct accountability complexity: children who are coerced into using violence. A pattern AFK has identified through direct engagement, including as a delegate at the IPPPRI26 conference in the United Kingdom addressing Com groups and youth-on-youth harm, is that children are frequently coerced or directed by networked online groups into violence against themselves, other children, or siblings, while simultaneously being victims of coercion within the same network. Any framework addressing people who use violence needs to account for this dual status. A child directed by a network to cause harm should not be processed through a framework built for an adult perpetrator acting on their own initiative; accountability and support responses need to recognise the coercion operating on the child at the same time as responding to the harm they caused.</w:t>
      </w:r>
    </w:p>
    <w:p w14:paraId="44F4AA1E" w14:textId="77777777" w:rsidR="00E11FAF" w:rsidRDefault="00E11FAF" w:rsidP="00E11FAF">
      <w:r>
        <w:lastRenderedPageBreak/>
        <w:t>This body of recommendations carries formal backing beyond AFK's own advocacy: Resolution Six, National Framework for Technology-Facilitated Abuse, was carried at the National Council of Women Australia's Midterm Conference in Canberra in June 2026, authored by AFK's founder in her capacity as the National Council of Women Victoria's Human Rights and ICT Adviser and formally moved by that Council, urging the Federal Government to strengthen legal responses to technology-facilitated coercive control specifically.</w:t>
      </w:r>
    </w:p>
    <w:p w14:paraId="1D332C94" w14:textId="46BB0D73" w:rsidR="00E11FAF" w:rsidRPr="00E11FAF" w:rsidRDefault="00E11FAF" w:rsidP="00E11FAF">
      <w:pPr>
        <w:rPr>
          <w:b/>
          <w:bCs/>
        </w:rPr>
      </w:pPr>
      <w:r w:rsidRPr="00E11FAF">
        <w:rPr>
          <w:b/>
          <w:bCs/>
        </w:rPr>
        <w:t>Feedback for Priority Area 5: System Integration and Workforce</w:t>
      </w:r>
    </w:p>
    <w:p w14:paraId="70EDCDAF" w14:textId="792F0DD9" w:rsidR="00E11FAF" w:rsidRDefault="00E11FAF" w:rsidP="00E11FAF">
      <w:r>
        <w:t>Bring consistency to technology-facilitated abuse language across the Outcomes Framework. The phrase ""technology-facilitated abuse"" already appears within the Aboriginal and Torres Strait Islander Action Plan activity lists attached to several outcome headings, a helpful sign the concept is recognised, but the same core paragraph is repeated verbatim under at least four separate outcome headings rather than being tailored to what technology-facilitated abuse looks like in each specific context. We recommend building this into outcome-specific detail: what it looks like as a knowledge consideration (Outcome 3.1), a service-response consideration (Outcome 2), and a perpetrator-accountability consideration (Outcome 4) respectively, so each outcome area carries language tailored to its own logic rather than a single recycled paragraph.</w:t>
      </w:r>
    </w:p>
    <w:p w14:paraId="796DC859" w14:textId="23C7364B" w:rsidR="00E11FAF" w:rsidRDefault="00E11FAF" w:rsidP="00E11FAF">
      <w:r>
        <w:t>Fund specific, technical, and regularly refreshed frontline workforce training. Outcome 2.2 already commits to ""workforces access training and information to enable the effective delivery of timely, evidence-based, culturally safe and trauma-informed services"", a strong existing hook, but generic ""training and information"" is not the same as frontline family violence workers, police, health practitioners and educators having genuine technical literacy in how technology-facilitated abuse actually operates, and clear, resourced protocols for what to do when they encounter it. AFK's founder raised this directly with UN ESCAP Member States at the CSW70 regional briefing: the central challenge is velocity, technology-facilitated harm scales faster than workforce training cycles typically refresh, meaning a one-off training module is already out of date by the time it reaches a caseworker. We recommend a specific, technical, and regularly refreshed capability-building program resourced under the existing Outcome 2.2 commitment, developed jointly with technical experts and people with lived experience, covering concrete response protocols rather than only definitions and awareness.</w:t>
      </w:r>
    </w:p>
    <w:p w14:paraId="7520443E" w14:textId="10FFDFC7" w:rsidR="00E11FAF" w:rsidRDefault="00E11FAF" w:rsidP="00E11FAF">
      <w:r>
        <w:t xml:space="preserve">Design data collection to capture compounding risk, not only single-category prevalence. A person facing more than one form of disadvantage does not face those risks separately, each additional factor multiplies the others, and a Performance Measurement Plan that tracks only single-category data will miss the people experiencing the greatest cumulative risk and the people most likely to fall through gaps </w:t>
      </w:r>
      <w:r>
        <w:lastRenderedPageBreak/>
        <w:t>between services designed around a single category of need. We recommend this principle be reflected explicitly in the Phase 2 Performance Measurement Plan.</w:t>
      </w:r>
    </w:p>
    <w:p w14:paraId="43ECACBB" w14:textId="2C7A9B03" w:rsidR="00E11FAF" w:rsidRDefault="00E11FAF" w:rsidP="00E11FAF">
      <w:r>
        <w:t>Establish a mandated evidence and information pathway from technology providers. When technology-facilitated harm occurs, particularly through platforms based overseas which children and victim-survivors frequently engage with in secret or in private, parents, guardians, and police currently have no reliable, timely pathway to obtain evidence, account information, or a substantive explanation from the provider about what happened. This is a system integration gap in the most literal sense: the system stops working the moment a provider has no Australian presence, no obligation to respond, and no consequence for silence. A family or investigator who cannot get timely information from an overseas provider is left without the evidence needed to support a victim-survivor, pursue an offender, or understand the scope of what occurred. We recommend a clear, mandated pathway and response timeframe for technology providers, including those based overseas, with escalation and enforcement mechanisms where a provider fails to respond, and international cooperation arrangements to support this where the provider operates outside Australian jurisdiction.</w:t>
      </w:r>
    </w:p>
    <w:p w14:paraId="562C18B1" w14:textId="77777777" w:rsidR="00E11FAF" w:rsidRDefault="00E11FAF" w:rsidP="00E11FAF">
      <w:r>
        <w:t xml:space="preserve">Recognise upstream, pre-deployment safety-by-design accountability as a distinct prevention and system-integration mechanism. Current systems place almost the entire burden of identifying and responding to technology-facilitated harm on downstream services, after a product has already reached the </w:t>
      </w:r>
      <w:proofErr w:type="gramStart"/>
      <w:r>
        <w:t>people</w:t>
      </w:r>
      <w:proofErr w:type="gramEnd"/>
      <w:r>
        <w:t xml:space="preserve"> it could harm. We recommend recognising pre-deployment risk assessment for digital and AI products as a system-level responsibility sitting alongside, not separate from, service and workforce integration.</w:t>
      </w:r>
    </w:p>
    <w:p w14:paraId="6F80E88A" w14:textId="7ACDC74B" w:rsidR="00E11FAF" w:rsidRPr="00E11FAF" w:rsidRDefault="00E11FAF" w:rsidP="00E11FAF">
      <w:pPr>
        <w:rPr>
          <w:b/>
          <w:bCs/>
        </w:rPr>
      </w:pPr>
      <w:r w:rsidRPr="00E11FAF">
        <w:rPr>
          <w:b/>
          <w:bCs/>
        </w:rPr>
        <w:t>Are there any other actions you think should be a priority to stop family, domestic and sexual violence?</w:t>
      </w:r>
    </w:p>
    <w:p w14:paraId="6E5F876D" w14:textId="43638BAC" w:rsidR="00E11FAF" w:rsidRDefault="00E11FAF" w:rsidP="00E11FAF">
      <w:r>
        <w:t xml:space="preserve">AFK's recommendations above are not offered in isolation. Over the twelve months preceding this submission, AFK has raised the same continuity gaps between stated commitment and operational delivery across seven independent Australian and international policy processes: a Prime Minister's Taskforce request on the sale and sexual exploitation of children (July 2025, following an initial letter in January 2025); a Senate submission to the Environment and Communications References Committee on closing the gaps in online safety codes; a Joint Standing Committee on Foreign Affairs, Defence and Trade submission (co-authored with Women 4 STEM) recognising technology-facilitated gender-based violence as a national and economic security risk; Resolution Six, National Framework for Technology-Facilitated Abuse, carried at the National Council of Women Australia's Midterm Conference in June 2026 and authored by AFK's founder in her capacity as the National Council of Women Victoria's Human Rights and ICT Adviser; a submission to the House of Representatives Standing </w:t>
      </w:r>
      <w:r>
        <w:lastRenderedPageBreak/>
        <w:t xml:space="preserve">Committee on Education, Inquiry into the Factors Driving Educational Attainment; an intervention delivered directly to UN ESCAP Member States at the CSW70 regional briefing; and attendance as a delegate at the IPPPRI26 conference in the United Kingdom, at a workshop addressing Com groups and youth-on-youth harm directly. The same continuity gap is being identified independently across </w:t>
      </w:r>
      <w:proofErr w:type="gramStart"/>
      <w:r>
        <w:t>all of</w:t>
      </w:r>
      <w:proofErr w:type="gramEnd"/>
      <w:r>
        <w:t xml:space="preserve"> these forums, spanning domestic and international settings, which AFK offers as evidence that the recommendations above reflect a consistent, cross-forum pattern rather than a single organisation's view.</w:t>
      </w:r>
    </w:p>
    <w:p w14:paraId="36573EA7" w14:textId="5CF21009" w:rsidR="00E11FAF" w:rsidRDefault="00E11FAF" w:rsidP="00E11FAF">
      <w:r>
        <w:t>AFK's own standing in this space draws on a combination of grounding worth making explicit. AFK's founder holds practical certification in AI ethics, including applied work in machine learning pipelines, fairness evaluation, bias mitigation, and model governance. She serves as Co Vice-Chair of IEEE Industry Connections Activity IC25-008-01 (AI and Family Violence), and as an accredited UN delegate to the Commission on the Status of Women and the World Summit on the Information Society, including delivering a WSIS workshop session and a masterclass for AI startups on pre-deployment risk screening at WSIS Forum 2026 and the inaugural UN Global Dialogue on AI Governance in Geneva in July 2026, and facilitating the Women in AI High Level Roundtable. AFK holds organisational membership with VCOSS (Victorian Council of Social Service), No to Violence (the peak body for men's behaviour change and family violence prevention services), and the National Council of Women Victoria, where AFK's founder also serves as Human Rights and ICT Adviser, connecting this work directly into the established family violence prevention and gender equality sector this Second Action Plan serves.</w:t>
      </w:r>
    </w:p>
    <w:p w14:paraId="32C0643E" w14:textId="6D3A3175" w:rsidR="00E11FAF" w:rsidRPr="00E11FAF" w:rsidRDefault="00E11FAF" w:rsidP="00E11FAF">
      <w:r>
        <w:t>AFK would welcome the opportunity to discuss any aspect of this submission further, to share the full findings of the Women Deliver 2026 Declaration Consultation on Technology-Facilitated Gender-Based Violence convened in Melbourne in April 2026 with 28 participants from 10 countries, or to contribute directly to the Second Action Plan's Phase 2 Performance Measurement Plan and Phase 3 Evaluation Methodology development.</w:t>
      </w:r>
    </w:p>
    <w:sectPr w:rsidR="00E11FAF" w:rsidRPr="00E11FA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FAF"/>
    <w:rsid w:val="00022A23"/>
    <w:rsid w:val="0023679E"/>
    <w:rsid w:val="00B77A6D"/>
    <w:rsid w:val="00D807DD"/>
    <w:rsid w:val="00E11FAF"/>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C85E6"/>
  <w15:chartTrackingRefBased/>
  <w15:docId w15:val="{CDF7F7B4-A2D3-407C-BADA-167285ECF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1F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1F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1F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1F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1F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1F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1F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1F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1F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1F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1F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1F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1F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1F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1F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1F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1F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1FAF"/>
    <w:rPr>
      <w:rFonts w:eastAsiaTheme="majorEastAsia" w:cstheme="majorBidi"/>
      <w:color w:val="272727" w:themeColor="text1" w:themeTint="D8"/>
    </w:rPr>
  </w:style>
  <w:style w:type="paragraph" w:styleId="Title">
    <w:name w:val="Title"/>
    <w:basedOn w:val="Normal"/>
    <w:next w:val="Normal"/>
    <w:link w:val="TitleChar"/>
    <w:uiPriority w:val="10"/>
    <w:qFormat/>
    <w:rsid w:val="00E11F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1F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1F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1F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1FAF"/>
    <w:pPr>
      <w:spacing w:before="160"/>
      <w:jc w:val="center"/>
    </w:pPr>
    <w:rPr>
      <w:i/>
      <w:iCs/>
      <w:color w:val="404040" w:themeColor="text1" w:themeTint="BF"/>
    </w:rPr>
  </w:style>
  <w:style w:type="character" w:customStyle="1" w:styleId="QuoteChar">
    <w:name w:val="Quote Char"/>
    <w:basedOn w:val="DefaultParagraphFont"/>
    <w:link w:val="Quote"/>
    <w:uiPriority w:val="29"/>
    <w:rsid w:val="00E11FAF"/>
    <w:rPr>
      <w:i/>
      <w:iCs/>
      <w:color w:val="404040" w:themeColor="text1" w:themeTint="BF"/>
    </w:rPr>
  </w:style>
  <w:style w:type="paragraph" w:styleId="ListParagraph">
    <w:name w:val="List Paragraph"/>
    <w:basedOn w:val="Normal"/>
    <w:uiPriority w:val="34"/>
    <w:qFormat/>
    <w:rsid w:val="00E11FAF"/>
    <w:pPr>
      <w:ind w:left="720"/>
      <w:contextualSpacing/>
    </w:pPr>
  </w:style>
  <w:style w:type="character" w:styleId="IntenseEmphasis">
    <w:name w:val="Intense Emphasis"/>
    <w:basedOn w:val="DefaultParagraphFont"/>
    <w:uiPriority w:val="21"/>
    <w:qFormat/>
    <w:rsid w:val="00E11FAF"/>
    <w:rPr>
      <w:i/>
      <w:iCs/>
      <w:color w:val="0F4761" w:themeColor="accent1" w:themeShade="BF"/>
    </w:rPr>
  </w:style>
  <w:style w:type="paragraph" w:styleId="IntenseQuote">
    <w:name w:val="Intense Quote"/>
    <w:basedOn w:val="Normal"/>
    <w:next w:val="Normal"/>
    <w:link w:val="IntenseQuoteChar"/>
    <w:uiPriority w:val="30"/>
    <w:qFormat/>
    <w:rsid w:val="00E11F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1FAF"/>
    <w:rPr>
      <w:i/>
      <w:iCs/>
      <w:color w:val="0F4761" w:themeColor="accent1" w:themeShade="BF"/>
    </w:rPr>
  </w:style>
  <w:style w:type="character" w:styleId="IntenseReference">
    <w:name w:val="Intense Reference"/>
    <w:basedOn w:val="DefaultParagraphFont"/>
    <w:uiPriority w:val="32"/>
    <w:qFormat/>
    <w:rsid w:val="00E11FA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2CEE1A2-AD24-4003-95A7-6A8F7C00EA1C}"/>
</file>

<file path=customXml/itemProps2.xml><?xml version="1.0" encoding="utf-8"?>
<ds:datastoreItem xmlns:ds="http://schemas.openxmlformats.org/officeDocument/2006/customXml" ds:itemID="{CE86BADB-7A79-4F42-B444-476C5D34A66E}"/>
</file>

<file path=customXml/itemProps3.xml><?xml version="1.0" encoding="utf-8"?>
<ds:datastoreItem xmlns:ds="http://schemas.openxmlformats.org/officeDocument/2006/customXml" ds:itemID="{BF6ACF77-7B74-40D9-8D45-C67B373421CA}"/>
</file>

<file path=docProps/app.xml><?xml version="1.0" encoding="utf-8"?>
<Properties xmlns="http://schemas.openxmlformats.org/officeDocument/2006/extended-properties" xmlns:vt="http://schemas.openxmlformats.org/officeDocument/2006/docPropsVTypes">
  <Template>Normal.dotm</Template>
  <TotalTime>3</TotalTime>
  <Pages>10</Pages>
  <Words>4417</Words>
  <Characters>25182</Characters>
  <Application>Microsoft Office Word</Application>
  <DocSecurity>0</DocSecurity>
  <Lines>209</Lines>
  <Paragraphs>59</Paragraphs>
  <ScaleCrop>false</ScaleCrop>
  <Company/>
  <LinksUpToDate>false</LinksUpToDate>
  <CharactersWithSpaces>29540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2026-09-04T05:32:00Z</dcterms:created>
  <dcterms:modified xsi:type="dcterms:W3CDTF">2026-09-04T05:35:00Z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