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CE580" w14:textId="170BCF98" w:rsidR="00741055" w:rsidRDefault="00213E51" w:rsidP="00213E51">
      <w:pPr>
        <w:jc w:val="center"/>
        <w:rPr>
          <w:b/>
          <w:bCs/>
        </w:rPr>
      </w:pPr>
      <w:r>
        <w:rPr>
          <w:noProof/>
          <w:lang w:eastAsia="en-AU"/>
        </w:rPr>
        <w:drawing>
          <wp:inline distT="0" distB="0" distL="0" distR="0" wp14:anchorId="39AE9AFD" wp14:editId="3B27BC02">
            <wp:extent cx="5731510" cy="2018263"/>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018263"/>
                    </a:xfrm>
                    <a:prstGeom prst="rect">
                      <a:avLst/>
                    </a:prstGeom>
                  </pic:spPr>
                </pic:pic>
              </a:graphicData>
            </a:graphic>
          </wp:inline>
        </w:drawing>
      </w:r>
    </w:p>
    <w:p w14:paraId="17E294EA" w14:textId="7EDE8623" w:rsidR="00111E16" w:rsidRPr="000737FF" w:rsidRDefault="00111E16" w:rsidP="00111E16">
      <w:pPr>
        <w:jc w:val="center"/>
        <w:rPr>
          <w:b/>
          <w:bCs/>
        </w:rPr>
      </w:pPr>
      <w:r w:rsidRPr="000737FF">
        <w:rPr>
          <w:b/>
          <w:bCs/>
        </w:rPr>
        <w:t>Beryl Women Inc.</w:t>
      </w:r>
    </w:p>
    <w:p w14:paraId="65EE281D" w14:textId="7F016BD1" w:rsidR="00111E16" w:rsidRPr="000737FF" w:rsidRDefault="00111E16" w:rsidP="000737FF">
      <w:pPr>
        <w:jc w:val="center"/>
        <w:rPr>
          <w:b/>
          <w:bCs/>
        </w:rPr>
      </w:pPr>
      <w:r w:rsidRPr="000737FF">
        <w:rPr>
          <w:b/>
          <w:bCs/>
        </w:rPr>
        <w:t>National Response to Domestic, Family &amp; Sexual Violence</w:t>
      </w:r>
    </w:p>
    <w:p w14:paraId="31574608" w14:textId="373948F2" w:rsidR="00111E16" w:rsidRPr="00111E16" w:rsidRDefault="00111E16" w:rsidP="00111E16">
      <w:pPr>
        <w:rPr>
          <w:b/>
          <w:bCs/>
        </w:rPr>
      </w:pPr>
      <w:r w:rsidRPr="00111E16">
        <w:rPr>
          <w:b/>
          <w:bCs/>
        </w:rPr>
        <w:t>Priority 1 - Victim-survivors of domestic, family and sexual violence</w:t>
      </w:r>
    </w:p>
    <w:p w14:paraId="697ED875" w14:textId="66B86BFE" w:rsidR="00111E16" w:rsidRPr="00AD1891" w:rsidRDefault="00111E16" w:rsidP="00111E16">
      <w:pPr>
        <w:rPr>
          <w:b/>
          <w:bCs/>
        </w:rPr>
      </w:pPr>
      <w:r w:rsidRPr="00AD1891">
        <w:rPr>
          <w:b/>
          <w:bCs/>
        </w:rPr>
        <w:t>What service or system responses would make the biggest difference to victim-survivors’ safety, wellbeing, healing and recovery?</w:t>
      </w:r>
    </w:p>
    <w:p w14:paraId="1AA8092B" w14:textId="682B26C6" w:rsidR="00111E16" w:rsidRDefault="00111E16" w:rsidP="00111E16">
      <w:r>
        <w:t>The biggest difference would come from a genuinely integrated, victim-survivor-centred system that provides safety, housing, financial security, health care, legal assistance and emotional support without requiring people to repeatedly retell their experiences. Services should be trauma-informed, culturally safe, accessible and available regardless of postcode.</w:t>
      </w:r>
    </w:p>
    <w:p w14:paraId="7DBD9FBD" w14:textId="40507E31" w:rsidR="00111E16" w:rsidRDefault="00111E16" w:rsidP="00111E16">
      <w:r>
        <w:t>Stable, long-term funding for specialist domestic, family and sexual violence services is essential, particularly in rural, regional and remote areas where workforce shortages, distance and limited specialist services can leave victim-survivors without meaningful choices. Flexible funding should enable outreach, transport, accommodation, brokerage and digital access.</w:t>
      </w:r>
    </w:p>
    <w:p w14:paraId="75C3E3E4" w14:textId="6B05FBC2" w:rsidR="00111E16" w:rsidRDefault="00111E16" w:rsidP="00111E16">
      <w:r>
        <w:t>Responses should recognise that safety is broader than immediate physical protection. Safe and affordable housing, income, employment, childcare, healthcare, mental health support and legal assistance are all important to recovery and to enabling people to leave or remain safely separated from an abusive person.</w:t>
      </w:r>
    </w:p>
    <w:p w14:paraId="6EC5D557" w14:textId="5F983923" w:rsidR="00111E16" w:rsidRDefault="00111E16" w:rsidP="00111E16">
      <w:r>
        <w:t>Justice responses should prioritise victim-survivor safety, accountability and informed choice, with better coordination between police, courts, child protection, housing, health and specialist services. Children and young people should be recognised as victim-survivors in their own right.</w:t>
      </w:r>
    </w:p>
    <w:p w14:paraId="62F7BFBC" w14:textId="3696553B" w:rsidR="00111E16" w:rsidRDefault="00111E16" w:rsidP="00111E16">
      <w:r>
        <w:t>The Second Action Plan should also embed recovery and healing as long-term outcomes, rather than treating support as ending once immediate crisis has passed. This aligns with the National Plan’s focus on response, recovery and healing, and on person-centred, coordinated services.</w:t>
      </w:r>
    </w:p>
    <w:p w14:paraId="49462A13" w14:textId="7B99BA8E" w:rsidR="00111E16" w:rsidRPr="00111E16" w:rsidRDefault="00111E16" w:rsidP="00111E16">
      <w:pPr>
        <w:rPr>
          <w:b/>
          <w:bCs/>
        </w:rPr>
      </w:pPr>
      <w:r w:rsidRPr="00111E16">
        <w:rPr>
          <w:b/>
          <w:bCs/>
        </w:rPr>
        <w:lastRenderedPageBreak/>
        <w:t>What helps people access support earlier, and what barriers prevent people from seeking help or engaging with systems and services</w:t>
      </w:r>
      <w:r>
        <w:rPr>
          <w:b/>
          <w:bCs/>
        </w:rPr>
        <w:t xml:space="preserve"> </w:t>
      </w:r>
      <w:r w:rsidRPr="00111E16">
        <w:rPr>
          <w:b/>
          <w:bCs/>
        </w:rPr>
        <w:t>?</w:t>
      </w:r>
    </w:p>
    <w:p w14:paraId="23C8F019" w14:textId="77777777" w:rsidR="00111E16" w:rsidRDefault="00111E16" w:rsidP="00111E16">
      <w:r>
        <w:t>People are more likely to seek help early when services are easy to find, confidential, free, non-judgemental and available through trusted places such as GPs, schools, workplaces, community organisations and Aboriginal community-controlled services. Clear information about what constitutes abuse—including coercive control and technology-facilitated abuse—can also help people recognise their experiences and seek assistance earlier.</w:t>
      </w:r>
    </w:p>
    <w:p w14:paraId="6EAFB6B6" w14:textId="77777777" w:rsidR="00111E16" w:rsidRDefault="00111E16" w:rsidP="00111E16"/>
    <w:p w14:paraId="5C6D06D0" w14:textId="77E19B5B" w:rsidR="00111E16" w:rsidRDefault="00111E16" w:rsidP="00111E16">
      <w:r>
        <w:t>Services should offer multiple pathways to support, including phone, text, online, face-to-face and outreach options. Safe access to technology is particularly important because perpetrators may monitor phones, accounts, location and communications.</w:t>
      </w:r>
    </w:p>
    <w:p w14:paraId="0EC84699" w14:textId="2511E048" w:rsidR="00111E16" w:rsidRDefault="00111E16" w:rsidP="00111E16">
      <w:r>
        <w:t>Major barriers include fear of escalation or retaliation, financial dependence, homelessness, lack of transport, childcare responsibilities, disability, language barriers, visa concerns, stigma and previous negative experiences with police or other institutions. Rural and remote communities can face additional barriers because services are scarce, distances are large and confidentiality may be difficult in small communities.</w:t>
      </w:r>
    </w:p>
    <w:p w14:paraId="2396589E" w14:textId="3449156D" w:rsidR="00111E16" w:rsidRDefault="00111E16" w:rsidP="00111E16">
      <w:r>
        <w:t>Systems can themselves become barriers when victim-survivors must repeatedly disclose trauma, navigate fragmented services, meet complex eligibility requirements or feel disbelieved or blamed. The Second Action Plan should establish a “tell us once” approach wherever possible, strengthen warm referrals between services, and fund culturally safe and accessible outreach.</w:t>
      </w:r>
    </w:p>
    <w:p w14:paraId="14F41E58" w14:textId="2BEB43EE" w:rsidR="00111E16" w:rsidRPr="00111E16" w:rsidRDefault="00111E16" w:rsidP="00111E16">
      <w:pPr>
        <w:rPr>
          <w:b/>
          <w:bCs/>
        </w:rPr>
      </w:pPr>
      <w:r w:rsidRPr="00111E16">
        <w:rPr>
          <w:b/>
          <w:bCs/>
        </w:rPr>
        <w:t>What current or emerging issues should the Second Action Plan address, including in relation to coercive control and technology-facilitated abuse</w:t>
      </w:r>
      <w:r>
        <w:rPr>
          <w:b/>
          <w:bCs/>
        </w:rPr>
        <w:t xml:space="preserve"> </w:t>
      </w:r>
      <w:r w:rsidRPr="00111E16">
        <w:rPr>
          <w:b/>
          <w:bCs/>
        </w:rPr>
        <w:t>?</w:t>
      </w:r>
    </w:p>
    <w:p w14:paraId="5ECBF7C3" w14:textId="4AD6889C" w:rsidR="00111E16" w:rsidRDefault="00111E16" w:rsidP="00111E16">
      <w:r>
        <w:t>The Second Action Plan should treat coercive control as a central issue across prevention, early intervention, response and recovery—not simply as a criminal justice issue. Practitioners and frontline services need consistent training to identify patterns of coercive control, assess risk and respond without inadvertently increasing danger.</w:t>
      </w:r>
    </w:p>
    <w:p w14:paraId="09022B31" w14:textId="737C9A6A" w:rsidR="00111E16" w:rsidRDefault="00111E16" w:rsidP="00111E16">
      <w:r>
        <w:t>Technology-facilitated abuse should be treated as an integral part of domestic, family and sexual violence. This includes surveillance and tracking, account and device control, threats, financial abuse, cyberstalking, non-consensual sharing of intimate material, location monitoring and the use of smart devices or children’s technology to maintain control. eSafety identifies technology as increasingly embedded in coercive control and notes its significant impacts on victim-survivors and children.</w:t>
      </w:r>
    </w:p>
    <w:p w14:paraId="2BC1FF7C" w14:textId="0E3CBACA" w:rsidR="00111E16" w:rsidRDefault="00111E16" w:rsidP="00111E16">
      <w:r>
        <w:t xml:space="preserve">The Plan should fund specialist technology-safety assistance, safe devices and replacement phones, digital evidence and legal support, and stronger responses from </w:t>
      </w:r>
      <w:r>
        <w:lastRenderedPageBreak/>
        <w:t>technology companies and platforms. It should also address emerging risks involving AI-generated intimate material, deepfakes, sophisticated tracking, connected vehicles and smart-home technologies.</w:t>
      </w:r>
    </w:p>
    <w:p w14:paraId="5DC3D497" w14:textId="4C730466" w:rsidR="00111E16" w:rsidRDefault="00111E16" w:rsidP="00111E16">
      <w:r>
        <w:t>Other priorities should include children’s experiences of violence, post-separation abuse, economic abuse, housing insecurity, perpetrator accountability and workforce capacity. Importantly, new responses should be evaluated with victim-survivors so that safety measures do not unintentionally increase surveillance, restrict autonomy or create additional barriers to leaving.</w:t>
      </w:r>
    </w:p>
    <w:p w14:paraId="04607B33" w14:textId="1AE29A1B" w:rsidR="00111E16" w:rsidRPr="00111E16" w:rsidRDefault="00111E16" w:rsidP="00111E16">
      <w:pPr>
        <w:rPr>
          <w:b/>
          <w:bCs/>
        </w:rPr>
      </w:pPr>
      <w:r w:rsidRPr="00111E16">
        <w:rPr>
          <w:b/>
          <w:bCs/>
        </w:rPr>
        <w:t>What gaps remain in addressing the needs of diverse communities, including Aboriginal and Torres Strait Islander people?</w:t>
      </w:r>
    </w:p>
    <w:p w14:paraId="66893D9A" w14:textId="7446C759" w:rsidR="00111E16" w:rsidRDefault="00111E16" w:rsidP="00111E16">
      <w:r>
        <w:t>A major gap is that services are still too often designed around a “one-size-fits-all” model. The Second Action Plan should require genuine co-design with communities and sustained investment in specialist, community-led services rather than expecting mainstream services to meet every need.</w:t>
      </w:r>
      <w:r w:rsidR="00AD1891">
        <w:t xml:space="preserve"> Consideration needs to be forthcoming on service delivery, within the context of cultural safety to ensure </w:t>
      </w:r>
      <w:r w:rsidR="00FE32D5">
        <w:t xml:space="preserve">that core element is at the forefront when working with </w:t>
      </w:r>
      <w:r w:rsidR="00FE32D5" w:rsidRPr="00FE32D5">
        <w:t>Aboriginal and Torres Strait Islander</w:t>
      </w:r>
      <w:r w:rsidR="00FE32D5">
        <w:t xml:space="preserve"> families, women &amp; children. </w:t>
      </w:r>
    </w:p>
    <w:p w14:paraId="25ED4F23" w14:textId="3F4B6E42" w:rsidR="00111E16" w:rsidRDefault="00111E16" w:rsidP="00111E16">
      <w:r>
        <w:t>For Aboriginal and Torres Strait Islander people, responses must recognise the impacts of colonisation, intergenerational trauma, racism and institutional systems, while supporting Aboriginal and Torres Strait Islander-led solutions, healing and self-determination. The new Our Ways – Strong Ways – Our Voices plan provides an important foundation, including priorities around community-led solutions, system reform, Indigenous Data Sovereignty, housing and financial security.</w:t>
      </w:r>
    </w:p>
    <w:p w14:paraId="0AA32701" w14:textId="4BD1B790" w:rsidR="00111E16" w:rsidRDefault="00111E16" w:rsidP="00111E16">
      <w:r>
        <w:t>Significant gaps also remain for people with disability, culturally and linguistically diverse communities, LGBTQIA+ people, older people, young people, people in rural and remote areas, and people experiencing homelessness or financial insecurity. Barriers include inaccessible buildings and communication, lack of interpreters, cultural unsafety, discrimination, limited specialist services and inadequate transport.</w:t>
      </w:r>
    </w:p>
    <w:p w14:paraId="493C6BD0" w14:textId="301C0DD5" w:rsidR="00111E16" w:rsidRDefault="00111E16" w:rsidP="00111E16">
      <w:r>
        <w:t>The Second Action Plan should fund dedicated services, interpreters and accessibility supports; build diverse workforces; improve data about underserved groups; and measure outcomes by location and community. Most importantly, lived experience should have real decision-making power, with First Nations governance and community-controlled organisations appropriately resourced to lead solutions affecting their communities.</w:t>
      </w:r>
    </w:p>
    <w:p w14:paraId="0814BF34" w14:textId="36D22B9E" w:rsidR="00111E16" w:rsidRDefault="00111E16" w:rsidP="00111E16">
      <w:pPr>
        <w:rPr>
          <w:b/>
          <w:bCs/>
        </w:rPr>
      </w:pPr>
      <w:r w:rsidRPr="00111E16">
        <w:rPr>
          <w:b/>
          <w:bCs/>
        </w:rPr>
        <w:t>Priority 2 - Prevention and early intervention</w:t>
      </w:r>
    </w:p>
    <w:p w14:paraId="0E80670C" w14:textId="6BFD9FF7" w:rsidR="00111E16" w:rsidRPr="00111E16" w:rsidRDefault="00111E16" w:rsidP="00111E16">
      <w:pPr>
        <w:rPr>
          <w:b/>
          <w:bCs/>
        </w:rPr>
      </w:pPr>
      <w:r w:rsidRPr="00111E16">
        <w:rPr>
          <w:b/>
          <w:bCs/>
        </w:rPr>
        <w:t>What would make the biggest difference in preventing and ultimately ending violence ?</w:t>
      </w:r>
    </w:p>
    <w:p w14:paraId="1F1B3A6C" w14:textId="525731C8" w:rsidR="00111E16" w:rsidRDefault="00111E16" w:rsidP="00111E16">
      <w:r>
        <w:lastRenderedPageBreak/>
        <w:t>The biggest difference would come from sustained, whole-of-society prevention that addresses the underlying drivers of violence, rather than relying primarily on responses after violence has occurred. This requires long-term action to address gender inequality, rigid gender stereotypes, disrespect, harmful attitudes towards women and girls, and social norms that excuse or minimise violence. Australia’s Change the story framework provides an important evidence-based foundation for this approach.</w:t>
      </w:r>
    </w:p>
    <w:p w14:paraId="0F5582E4" w14:textId="6454B23D" w:rsidR="00111E16" w:rsidRDefault="00111E16" w:rsidP="00111E16">
      <w:r>
        <w:t>Prevention needs to start early and continue across the life course. Children and young people should receive age-appropriate education about equality, consent, respectful relationships, emotional regulation, boundaries and healthy sexuality, supported by consistent messages from families, schools, sport, workplaces, media and online environments.</w:t>
      </w:r>
    </w:p>
    <w:p w14:paraId="179DCC1E" w14:textId="45122650" w:rsidR="00111E16" w:rsidRDefault="00111E16" w:rsidP="00111E16">
      <w:r>
        <w:t>Men and boys should be actively engaged in prevention, including through positive models of masculinity, peer accountability and programs that challenge attitudes supporting dominance, entitlement and violence.</w:t>
      </w:r>
    </w:p>
    <w:p w14:paraId="3C6FC8BD" w14:textId="2046AC92" w:rsidR="00111E16" w:rsidRDefault="00111E16" w:rsidP="00111E16">
      <w:r>
        <w:t>Prevention must also be supported by structural change. Governments should strengthen gender equality, improve economic and housing security, address discrimination, and ensure workplaces and institutions are safe and equitable.</w:t>
      </w:r>
    </w:p>
    <w:p w14:paraId="2C7E2B77" w14:textId="7BEEC847" w:rsidR="00111E16" w:rsidRDefault="00111E16" w:rsidP="00111E16">
      <w:r>
        <w:t>Finally, prevention needs long-term investment and measurement. Programs should not be repeatedly funded as short-term projects. The Second Action Plan should establish sustained funding, clear national standards and meaningful evaluation so effective approaches can be expanded and improved over time.</w:t>
      </w:r>
    </w:p>
    <w:p w14:paraId="34AC566A" w14:textId="14B9679C" w:rsidR="00111E16" w:rsidRPr="00111E16" w:rsidRDefault="00111E16" w:rsidP="00111E16">
      <w:pPr>
        <w:rPr>
          <w:b/>
          <w:bCs/>
        </w:rPr>
      </w:pPr>
      <w:r w:rsidRPr="00111E16">
        <w:rPr>
          <w:b/>
          <w:bCs/>
        </w:rPr>
        <w:t>How can existing efforts to prevent violence be strengthened or built upon at the individual, community, organisational, institutional and societal levels?</w:t>
      </w:r>
    </w:p>
    <w:p w14:paraId="77125317" w14:textId="6921C287" w:rsidR="00111E16" w:rsidRDefault="00111E16" w:rsidP="00111E16">
      <w:r>
        <w:t>Australia has developed a strong foundation for prevention, but efforts need greater consistency, coordination, scale and longevity. The Second Action Plan should build on Change the story rather than creating parallel frameworks or short-term initiatives.</w:t>
      </w:r>
    </w:p>
    <w:p w14:paraId="51B4E013" w14:textId="223F1552" w:rsidR="00111E16" w:rsidRDefault="00111E16" w:rsidP="00111E16">
      <w:r>
        <w:t>At an individual level, strengthen education and skills around respectful relationships, consent, bystander action, emotional literacy and recognising harmful behaviour.</w:t>
      </w:r>
    </w:p>
    <w:p w14:paraId="1841CB71" w14:textId="671AC389" w:rsidR="00111E16" w:rsidRDefault="00111E16" w:rsidP="00111E16">
      <w:r>
        <w:t>At a community level, invest in locally led prevention, particularly in rural, regional and remote communities. Community organisations, sporting clubs, faith groups, cultural organisations and local leaders should have resources to develop approaches that reflect their communities.</w:t>
      </w:r>
    </w:p>
    <w:p w14:paraId="729CF9FE" w14:textId="3188C5D8" w:rsidR="00111E16" w:rsidRDefault="00111E16" w:rsidP="00111E16">
      <w:r>
        <w:t>At an organisational level, workplaces, schools and sporting organisations should address gender equality, sexual harassment, bullying and discriminatory cultures through leadership, policies, accountability and workforce training. Evidence-based workplace models already provide practical tools for this.</w:t>
      </w:r>
    </w:p>
    <w:p w14:paraId="35633635" w14:textId="08CC5755" w:rsidR="00111E16" w:rsidRDefault="00111E16" w:rsidP="00111E16">
      <w:r>
        <w:lastRenderedPageBreak/>
        <w:t>At an institutional level, governments should embed prevention requirements into education, health, justice, child protection, housing and employment systems, with clear accountability for implementation.</w:t>
      </w:r>
    </w:p>
    <w:p w14:paraId="7C38A73D" w14:textId="05CE1512" w:rsidR="00111E16" w:rsidRDefault="00111E16" w:rsidP="00111E16">
      <w:r>
        <w:t>At a societal level, governments should address the structural conditions that enable violence, including gender inequality, economic insecurity and discrimination.</w:t>
      </w:r>
    </w:p>
    <w:p w14:paraId="45748381" w14:textId="2474D7D5" w:rsidR="00111E16" w:rsidRDefault="00111E16" w:rsidP="00111E16">
      <w:r>
        <w:t>Importantly, prevention should be designed with Aboriginal and Torres Strait Islander communities and other diverse communities, rather than assuming that one approach will work everywhere. Funding should support sustained local prevention infrastructure and specialist prevention workforces.</w:t>
      </w:r>
    </w:p>
    <w:p w14:paraId="1B19420F" w14:textId="1C38350B" w:rsidR="00065B21" w:rsidRPr="00065B21" w:rsidRDefault="00065B21" w:rsidP="00065B21">
      <w:pPr>
        <w:rPr>
          <w:b/>
          <w:bCs/>
        </w:rPr>
      </w:pPr>
      <w:r w:rsidRPr="00065B21">
        <w:rPr>
          <w:b/>
          <w:bCs/>
        </w:rPr>
        <w:t>How can governments, communities, schools, workplaces, online platforms and others better support people to recognise and respond to harmful attitudes and behaviours?</w:t>
      </w:r>
    </w:p>
    <w:p w14:paraId="561E2378" w14:textId="51CDAE25" w:rsidR="00065B21" w:rsidRDefault="00065B21" w:rsidP="00065B21">
      <w:r>
        <w:t>People need consistent, practical messages about what harmful behaviour looks like and what they can safely do about it. Prevention should move beyond telling individuals to “make better choices” and give communities the knowledge, confidence and structures to challenge harmful behaviour.</w:t>
      </w:r>
    </w:p>
    <w:p w14:paraId="067D2CD3" w14:textId="5C4EB048" w:rsidR="00065B21" w:rsidRDefault="00065B21" w:rsidP="00065B21">
      <w:r>
        <w:t>Schools should implement quality-assured, whole-of-school respectful relationships education, supported by teacher training, leadership and appropriate curriculum resources. Evidence indicates that well-designed programs can influence attitudes, challenge gender stereotypes and contribute to safer school cultures.</w:t>
      </w:r>
    </w:p>
    <w:p w14:paraId="62C7E8EB" w14:textId="4F7BD2B1" w:rsidR="00065B21" w:rsidRDefault="00065B21" w:rsidP="00065B21">
      <w:r>
        <w:t>Workplaces should equip leaders and staff to recognise sexism, harassment, discrimination, bullying and family and domestic violence, while creating clear pathways for bystander action and support. Prevention should be integrated into organisational culture rather than treated as one-off training.</w:t>
      </w:r>
    </w:p>
    <w:p w14:paraId="5F1F9251" w14:textId="1D1BD309" w:rsidR="00065B21" w:rsidRDefault="00065B21" w:rsidP="00065B21">
      <w:r>
        <w:t>Communities should support local leaders, parents, carers, sporting organisations and community groups to have conversations about equality, respect, consent and healthy relationships.</w:t>
      </w:r>
    </w:p>
    <w:p w14:paraId="17F8AE99" w14:textId="000A1031" w:rsidR="00065B21" w:rsidRDefault="00065B21" w:rsidP="00065B21">
      <w:r>
        <w:t>Online platforms should take greater responsibility for preventing the amplification of misogyny, sexual harassment and harmful content, and provide accessible reporting and safety mechanisms. Young people also need digital literacy that helps them recognise online coercion, manipulation and harmful gender norms.</w:t>
      </w:r>
    </w:p>
    <w:p w14:paraId="1AF2EBED" w14:textId="3A4EE73E" w:rsidR="00065B21" w:rsidRDefault="00065B21" w:rsidP="00065B21">
      <w:r>
        <w:t>Governments should provide consistent national education campaigns, standards, funding and accountability. Importantly, people who challenge harmful behaviour need safe and practical strategies that do not place responsibility for preventing violence onto victim-survivors.</w:t>
      </w:r>
    </w:p>
    <w:p w14:paraId="4CD4FC0A" w14:textId="71162691" w:rsidR="00065B21" w:rsidRPr="00065B21" w:rsidRDefault="00065B21" w:rsidP="00065B21">
      <w:pPr>
        <w:rPr>
          <w:b/>
          <w:bCs/>
        </w:rPr>
      </w:pPr>
      <w:r w:rsidRPr="00065B21">
        <w:rPr>
          <w:b/>
          <w:bCs/>
        </w:rPr>
        <w:lastRenderedPageBreak/>
        <w:t>What prevention and early intervention approaches appear most promising or effective, and what is needed to strengthen or expand them ?</w:t>
      </w:r>
    </w:p>
    <w:p w14:paraId="25558A31" w14:textId="6FD495E6" w:rsidR="00065B21" w:rsidRDefault="00065B21" w:rsidP="00065B21">
      <w:r>
        <w:t>The most promising approaches are those that operate at multiple levels and address the underlying drivers of violence rather than focusing solely on individual behaviour.</w:t>
      </w:r>
    </w:p>
    <w:p w14:paraId="5B8AC63E" w14:textId="06511663" w:rsidR="00065B21" w:rsidRDefault="00065B21" w:rsidP="00065B21">
      <w:r>
        <w:t>Whole-of-school respectful relationships education is particularly promising. Evidence indicates that effective programs can influence attitudes and behaviours and challenge gender stereotypes. The strongest approaches engage the whole school—including staff, leadership, policies, curriculum, students and the wider community—rather than relying on isolated classroom lessons.</w:t>
      </w:r>
    </w:p>
    <w:p w14:paraId="4CF7050C" w14:textId="5866431A" w:rsidR="00065B21" w:rsidRDefault="00065B21" w:rsidP="00065B21">
      <w:r>
        <w:t>Workplace gender equality and prevention initiatives are another important avenue because workplaces can influence organisational culture, relationships and economic security. Evidence-based frameworks can help organisations embed prevention into leadership, policies and everyday practice.</w:t>
      </w:r>
    </w:p>
    <w:p w14:paraId="242D2B83" w14:textId="6629232C" w:rsidR="00065B21" w:rsidRDefault="00065B21" w:rsidP="00065B21">
      <w:r>
        <w:t>Early intervention should include identifying and responding to harmful behaviours before they escalate, including through health, education, child and family services, youth services and community organisations. This requires clear referral pathways and a skilled workforce.</w:t>
      </w:r>
    </w:p>
    <w:p w14:paraId="19233085" w14:textId="533729F2" w:rsidR="00065B21" w:rsidRDefault="00065B21" w:rsidP="00065B21">
      <w:r>
        <w:t>Programs engaging men and boys should be expanded where they demonstrate evidence of changing attitudes and behaviours, with particular attention to peer cultures and harmful masculinities.</w:t>
      </w:r>
    </w:p>
    <w:p w14:paraId="105B56AA" w14:textId="76092891" w:rsidR="00065B21" w:rsidRDefault="00065B21" w:rsidP="00065B21">
      <w:r>
        <w:t>To strengthen these approaches, Australia needs longer-term funding, consistent quality standards, workforce development, rigorous evaluation and better sharing of evidence. Effective programs should be scaled without losing the local and cultural adaptation that makes them meaningful.</w:t>
      </w:r>
    </w:p>
    <w:p w14:paraId="4983DB08" w14:textId="0BCE7B0D" w:rsidR="00065B21" w:rsidRPr="00065B21" w:rsidRDefault="00065B21" w:rsidP="00065B21">
      <w:pPr>
        <w:rPr>
          <w:b/>
          <w:bCs/>
        </w:rPr>
      </w:pPr>
      <w:r w:rsidRPr="00065B21">
        <w:rPr>
          <w:b/>
          <w:bCs/>
        </w:rPr>
        <w:t>What emerging issues should the Second Action Plan address in relation to primary prevention and early intervention?</w:t>
      </w:r>
    </w:p>
    <w:p w14:paraId="7C9AB089" w14:textId="1C6CBDF2" w:rsidR="00065B21" w:rsidRDefault="00065B21" w:rsidP="00065B21">
      <w:r>
        <w:t>The Second Action Plan should recognise that the environments in which children and young people develop attitudes and relationships are changing rapidly. Online platforms, algorithms, influencers and digital communities can reinforce misogyny, rigid gender norms and harmful relationship behaviours. eSafety has highlighted concerns about online coercive control and the way algorithms can reinforce harmful beliefs.</w:t>
      </w:r>
    </w:p>
    <w:p w14:paraId="4A5E16BD" w14:textId="6C052516" w:rsidR="00065B21" w:rsidRDefault="00065B21" w:rsidP="00065B21">
      <w:r>
        <w:t>Prevention therefore needs to include digital and media literacy, helping young people recognise misogyny, manipulation, sexual coercion, image-based abuse and unhealthy relationship behaviours online.</w:t>
      </w:r>
    </w:p>
    <w:p w14:paraId="58922F7E" w14:textId="6F2B5267" w:rsidR="00065B21" w:rsidRDefault="00065B21" w:rsidP="00065B21">
      <w:r>
        <w:lastRenderedPageBreak/>
        <w:t>The Plan should also address AI-enabled abuse, including the creation and distribution of sexually explicit deepfakes and other synthetic content, as well as increasingly sophisticated surveillance and technology-facilitated control.</w:t>
      </w:r>
    </w:p>
    <w:p w14:paraId="3434CB37" w14:textId="2F93897F" w:rsidR="00065B21" w:rsidRDefault="00065B21" w:rsidP="00065B21">
      <w:r>
        <w:t>Other emerging priorities include the normalisation of misogynistic content, harmful online subcultures, pornography and its influence on young people’s expectations of sex and relationships, and the intersection between online and offline abuse.</w:t>
      </w:r>
    </w:p>
    <w:p w14:paraId="00164204" w14:textId="69A5FB51" w:rsidR="00065B21" w:rsidRDefault="00065B21" w:rsidP="00065B21">
      <w:r>
        <w:t>The Plan should strengthen early intervention for children and young people displaying harmful sexual or relationship behaviours, with approaches that are developmentally appropriate, trauma-informed and focused on preventing escalation.</w:t>
      </w:r>
    </w:p>
    <w:p w14:paraId="26C5E708" w14:textId="1FA745BE" w:rsidR="00065B21" w:rsidRDefault="00065B21" w:rsidP="00065B21">
      <w:r>
        <w:t>It should also address backlash and resistance to gender equality, ensuring prevention initiatives are equipped to respond constructively to misinformation and organised resistance.</w:t>
      </w:r>
    </w:p>
    <w:p w14:paraId="1B7E2136" w14:textId="113CEEE8" w:rsidR="00065B21" w:rsidRDefault="00065B21" w:rsidP="00065B21">
      <w:r>
        <w:t>Finally, emerging prevention work must remain inclusive. It should consider disability, culture, sexuality, gender identity, socioeconomic disadvantage and geographic location, with communities involved in designing solutions. Prevention will be most effective when it is sustained, evidence-based and adapted to the environments where people actually live, work, learn and connect.</w:t>
      </w:r>
    </w:p>
    <w:p w14:paraId="2D9348BB" w14:textId="451EE4EA" w:rsidR="00065B21" w:rsidRDefault="00065B21" w:rsidP="00065B21">
      <w:pPr>
        <w:rPr>
          <w:b/>
          <w:bCs/>
        </w:rPr>
      </w:pPr>
      <w:r w:rsidRPr="00065B21">
        <w:rPr>
          <w:b/>
          <w:bCs/>
        </w:rPr>
        <w:t>Priority 3 - Children and young people in their own right</w:t>
      </w:r>
    </w:p>
    <w:p w14:paraId="18167F98" w14:textId="22BD5187" w:rsidR="00065B21" w:rsidRPr="00065B21" w:rsidRDefault="00065B21" w:rsidP="00065B21">
      <w:pPr>
        <w:rPr>
          <w:b/>
          <w:bCs/>
        </w:rPr>
      </w:pPr>
      <w:r w:rsidRPr="00065B21">
        <w:rPr>
          <w:b/>
          <w:bCs/>
        </w:rPr>
        <w:t>What would make the biggest difference to improving safety, recovery and wellbeing outcomes for children and young people affected by this violence?</w:t>
      </w:r>
    </w:p>
    <w:p w14:paraId="038D7094" w14:textId="266F9BEB" w:rsidR="00065B21" w:rsidRDefault="00065B21" w:rsidP="00065B21">
      <w:r>
        <w:t>The biggest difference would come from consistently recognising children and young people as victim-survivors in their own right, rather than primarily as dependants of an adult victim-survivor. Their safety, views, relationships, education, development and recovery should be considered in every assessment and response.</w:t>
      </w:r>
    </w:p>
    <w:p w14:paraId="52E6D06D" w14:textId="77777777" w:rsidR="00BA7512" w:rsidRDefault="00065B21" w:rsidP="00065B21">
      <w:r>
        <w:t>Children and young people need access to specialist, trauma-informed and developmentally appropriate services without having to wait until their needs reach crisis point. Support should include counselling, therapeutic interventions, safe housing, education support, healthcare, practical assistance and opportunities to maintain safe relationships with trusted adults.</w:t>
      </w:r>
      <w:r w:rsidR="00BA7512">
        <w:t xml:space="preserve"> </w:t>
      </w:r>
    </w:p>
    <w:p w14:paraId="6A5D83C3" w14:textId="1F45C6C2" w:rsidR="00065B21" w:rsidRDefault="00BA7512" w:rsidP="00065B21">
      <w:r>
        <w:t>Noting, c</w:t>
      </w:r>
      <w:r w:rsidRPr="00BA7512">
        <w:t>hildren are the largest group of clients that specialist DV services work with but funding does not support this</w:t>
      </w:r>
      <w:r>
        <w:t>, and special consideration needs to be forthcoming to acknowledge children as victims in their own right.</w:t>
      </w:r>
    </w:p>
    <w:p w14:paraId="04FBAA55" w14:textId="37549843" w:rsidR="00065B21" w:rsidRDefault="00065B21" w:rsidP="00065B21">
      <w:r>
        <w:t>Services should provide continuity of care. Children and young people can be required to navigate multiple systems—child protection, police, courts, schools, health and family services—which can be confusing and retraumatising. Better coordination, warm referrals and a consistent trusted worker would make a significant difference.</w:t>
      </w:r>
    </w:p>
    <w:p w14:paraId="44CAED79" w14:textId="4D40B076" w:rsidR="00065B21" w:rsidRDefault="00065B21" w:rsidP="00065B21">
      <w:r>
        <w:lastRenderedPageBreak/>
        <w:t>Responses should also recognise that children can experience violence directly, witness violence against a parent or carer, experience coercive control themselves, or be used to control another family member. Technology-facilitated abuse is increasingly part of this experience; eSafety research found technology-facilitated abuse in more than a quarter of domestic violence cases involving children.</w:t>
      </w:r>
    </w:p>
    <w:p w14:paraId="6C4A9062" w14:textId="38051DCA" w:rsidR="00065B21" w:rsidRDefault="00065B21" w:rsidP="00065B21">
      <w:r>
        <w:t>The Second Action Plan should invest in long-term recovery, not just crisis response, and ensure support is accessible to children in rural and remote areas and to children with disability or other additional needs. Children and young people should have genuine opportunities to influence their safety plans and the services they receive.</w:t>
      </w:r>
    </w:p>
    <w:p w14:paraId="5EC79D13" w14:textId="1F477A3C" w:rsidR="00065B21" w:rsidRPr="00065B21" w:rsidRDefault="00065B21" w:rsidP="00065B21">
      <w:pPr>
        <w:rPr>
          <w:b/>
          <w:bCs/>
        </w:rPr>
      </w:pPr>
      <w:r w:rsidRPr="00065B21">
        <w:rPr>
          <w:b/>
          <w:bCs/>
        </w:rPr>
        <w:t>How can governments, services, education settings, families, communities and others better recognise and respond to children and young people experiencing violence or harm?</w:t>
      </w:r>
    </w:p>
    <w:p w14:paraId="2AE1D153" w14:textId="77777777" w:rsidR="00065B21" w:rsidRDefault="00065B21" w:rsidP="00065B21"/>
    <w:p w14:paraId="00A55B92" w14:textId="494FBA81" w:rsidR="00065B21" w:rsidRDefault="00065B21" w:rsidP="00065B21">
      <w:r>
        <w:t>Children and young people may not describe their experiences as “domestic violence” or “abuse”. Changes in behaviour, attendance, relationships, emotional wellbeing, school performance or online activity may be important indicators. Professionals therefore need training to recognise different forms of harm and understand that children may disclose gradually, indirectly or through behaviour rather than words.</w:t>
      </w:r>
    </w:p>
    <w:p w14:paraId="10DA5117" w14:textId="13EB6A0A" w:rsidR="00065B21" w:rsidRDefault="00065B21" w:rsidP="00065B21">
      <w:r>
        <w:t>Schools and early childhood settings are particularly important because they can provide trusted relationships and observe children over time. They should have clear pathways for responding to concerns, access to specialist advice and sufficient resources to provide ongoing support rather than simply making a referral.</w:t>
      </w:r>
    </w:p>
    <w:p w14:paraId="2F2EB680" w14:textId="1E1482D2" w:rsidR="00065B21" w:rsidRDefault="00065B21" w:rsidP="00065B21">
      <w:r>
        <w:t>Health, child protection, police and community services should use child-centred, trauma-informed approaches that minimise repeated questioning and avoid making children responsible for navigating complex systems. Information sharing should support safety while respecting children's rights and privacy.</w:t>
      </w:r>
    </w:p>
    <w:p w14:paraId="04969BB8" w14:textId="6220C438" w:rsidR="00065B21" w:rsidRDefault="00065B21" w:rsidP="00065B21">
      <w:r>
        <w:t>Families and communities also need accessible information about warning signs, coercive control, harmful sexual behaviours, technology-facilitated abuse and dating violence. eSafety identifies monitoring, stalking, threats, harassment, blocking communication and controlling access to devices as forms of technology-facilitated abuse affecting children and young people.</w:t>
      </w:r>
    </w:p>
    <w:p w14:paraId="36A82F3F" w14:textId="20E090D3" w:rsidR="00065B21" w:rsidRDefault="00065B21" w:rsidP="00065B21">
      <w:r>
        <w:t>Responses should be culturally safe and responsive to disability, age, gender, sexuality and geographic location. Most importantly, adults should listen to children, take disclosures seriously, explain what will happen next, and avoid blaming or punishing them for the violence or harm they have experienced.</w:t>
      </w:r>
    </w:p>
    <w:p w14:paraId="73CF1425" w14:textId="4031F8EB" w:rsidR="00065B21" w:rsidRPr="00065B21" w:rsidRDefault="00065B21" w:rsidP="00065B21">
      <w:pPr>
        <w:rPr>
          <w:b/>
          <w:bCs/>
        </w:rPr>
      </w:pPr>
      <w:r w:rsidRPr="00065B21">
        <w:rPr>
          <w:b/>
          <w:bCs/>
        </w:rPr>
        <w:lastRenderedPageBreak/>
        <w:t xml:space="preserve">What approaches are most effective in supporting children and young people who are using violence or displaying harmful sexual behaviours to take accountability, change behaviours, and reduce harm ? </w:t>
      </w:r>
    </w:p>
    <w:p w14:paraId="6CD8FEF2" w14:textId="128899AE" w:rsidR="00065B21" w:rsidRDefault="00065B21" w:rsidP="00065B21">
      <w:r>
        <w:t>Responses should balance accountability, safety and the developmental needs of children and young people. Young people who use violence must be held responsible for their behaviour, but responses should avoid labelling them as inherently violent or sexually harmful. Behaviour needs to be understood in its developmental, family, social and cultural context.</w:t>
      </w:r>
    </w:p>
    <w:p w14:paraId="746AFB4E" w14:textId="03B6AFF2" w:rsidR="00065B21" w:rsidRDefault="00065B21" w:rsidP="00065B21">
      <w:r>
        <w:t>Early intervention is critical. Young people should have timely access to specialised, evidence-informed programs that address violence, coercion, consent, emotional regulation, empathy, relationships and accountability. Programs should also assess whether the young person has experienced violence, abuse, neglect, trauma or other adversity themselves and address these needs without excusing harmful behaviour.</w:t>
      </w:r>
    </w:p>
    <w:p w14:paraId="4487AE77" w14:textId="2C377BE1" w:rsidR="00065B21" w:rsidRDefault="00065B21" w:rsidP="00065B21">
      <w:r>
        <w:t>For harmful sexual behaviours, assessment and intervention should be developmentally appropriate and distinguish between healthy sexual development, problematic behaviour and sexually abusive behaviour. Australian research highlights the importance of avoiding rigid or pathologising labels and notes gaps in the evaluation of therapeutic programs.</w:t>
      </w:r>
    </w:p>
    <w:p w14:paraId="4EAB5B08" w14:textId="6798400D" w:rsidR="00065B21" w:rsidRDefault="00065B21" w:rsidP="00065B21">
      <w:r>
        <w:t>Parents and carers should receive support to create safe environments, establish appropriate boundaries and reinforce accountability. Schools and services need clear referral pathways so concerning behaviour can be addressed before it escalates.</w:t>
      </w:r>
    </w:p>
    <w:p w14:paraId="2FBFABD4" w14:textId="617FED12" w:rsidR="00065B21" w:rsidRDefault="00065B21" w:rsidP="00065B21">
      <w:r>
        <w:t>Interventions should include victim-survivor safety and voice, including protecting other children and young people from further harm. Where appropriate, restorative or relational approaches may complement therapeutic intervention, but participation must never compromise the safety or autonomy of the person harmed.</w:t>
      </w:r>
    </w:p>
    <w:p w14:paraId="0DC433C0" w14:textId="672FB4C9" w:rsidR="00065B21" w:rsidRDefault="00065B21" w:rsidP="00065B21">
      <w:r>
        <w:t>The Second Action Plan should establish national principles and minimum standards for responding to children and young people who use violence, while funding specialist services and evaluating outcomes over time.</w:t>
      </w:r>
    </w:p>
    <w:p w14:paraId="5B843A26" w14:textId="2197A74F" w:rsidR="00065B21" w:rsidRPr="00065B21" w:rsidRDefault="00065B21" w:rsidP="00065B21">
      <w:pPr>
        <w:rPr>
          <w:b/>
          <w:bCs/>
        </w:rPr>
      </w:pPr>
      <w:r w:rsidRPr="00065B21">
        <w:rPr>
          <w:b/>
          <w:bCs/>
        </w:rPr>
        <w:t>How should the Second Action Plan respond to current or emerging forms of harm affecting children and young people, including technology-facilitated abuse, harmful online content, and violence within peer and dating relationships?</w:t>
      </w:r>
    </w:p>
    <w:p w14:paraId="75B97FFA" w14:textId="7EC37401" w:rsidR="00065B21" w:rsidRDefault="00065B21" w:rsidP="00065B21">
      <w:r>
        <w:t>The Second Action Plan should treat online and offline harm as interconnected. Technology is now embedded in children's friendships, education and intimate relationships, and can be used for surveillance, threats, harassment, image-based abuse, sextortion, grooming, coercive control and social isolation.</w:t>
      </w:r>
    </w:p>
    <w:p w14:paraId="18419A4C" w14:textId="2D1E4ED8" w:rsidR="00065B21" w:rsidRDefault="00065B21" w:rsidP="00065B21">
      <w:r>
        <w:t xml:space="preserve">This requires stronger digital safety education, including practical education about consent, privacy, image sharing, online manipulation, coercive control and healthy </w:t>
      </w:r>
      <w:r>
        <w:lastRenderedPageBreak/>
        <w:t>relationships. Young people should know where to seek help without fear of being blamed or having their devices automatically removed.</w:t>
      </w:r>
    </w:p>
    <w:p w14:paraId="686B2BC5" w14:textId="2B464BC4" w:rsidR="00065B21" w:rsidRDefault="00065B21" w:rsidP="00065B21">
      <w:r>
        <w:t>The scale of harmful online content also warrants greater attention. Recent eSafety research found that 74% of Australian children aged 10–17 had encountered content associated with harm online, including misogynistic or sexist content, sexual material and real-life violence.</w:t>
      </w:r>
    </w:p>
    <w:p w14:paraId="79190CEB" w14:textId="0FA4FFB2" w:rsidR="00065B21" w:rsidRDefault="00065B21" w:rsidP="00065B21">
      <w:r>
        <w:t>The Plan should address the influence of pornography, misogynistic online communities, algorithms, AI-generated sexual content and deepfakes, as well as the rapid spread of harmful material between peers.</w:t>
      </w:r>
    </w:p>
    <w:p w14:paraId="26D0A8C2" w14:textId="47F2150C" w:rsidR="00065B21" w:rsidRDefault="00065B21" w:rsidP="00065B21">
      <w:r>
        <w:t>Peer and dating violence should be recognised as a distinct area for prevention and early intervention. Young people need accessible services that understand adolescent relationships and can respond to coercive control, sexual violence, stalking, image-based abuse and technology-facilitated abuse.</w:t>
      </w:r>
    </w:p>
    <w:p w14:paraId="70DAD47E" w14:textId="2DE6F07F" w:rsidR="00065B21" w:rsidRDefault="00065B21" w:rsidP="00065B21">
      <w:r>
        <w:t>Platforms should have stronger responsibilities for preventing and responding to harmful content and abuse, while governments should ensure specialist support, research and education keep pace with emerging technologies.</w:t>
      </w:r>
    </w:p>
    <w:p w14:paraId="5AA2823F" w14:textId="65D6375E" w:rsidR="00065B21" w:rsidRPr="00065B21" w:rsidRDefault="00065B21" w:rsidP="00065B21">
      <w:pPr>
        <w:rPr>
          <w:b/>
          <w:bCs/>
        </w:rPr>
      </w:pPr>
      <w:r w:rsidRPr="00065B21">
        <w:rPr>
          <w:b/>
          <w:bCs/>
        </w:rPr>
        <w:t>How can children and young people be meaningfully involved in shaping the policies, programs and services that affect them ?</w:t>
      </w:r>
    </w:p>
    <w:p w14:paraId="63623EA5" w14:textId="1231C40E" w:rsidR="00065B21" w:rsidRDefault="00065B21" w:rsidP="00065B21">
      <w:r>
        <w:t>Children and young people should be involved from the beginning of policy and service design, not simply consulted after decisions have already been made. Their participation should be voluntary, informed, safe and appropriate to their age and development.</w:t>
      </w:r>
    </w:p>
    <w:p w14:paraId="607A1D93" w14:textId="3E59B2EB" w:rsidR="00065B21" w:rsidRDefault="00065B21" w:rsidP="00065B21">
      <w:r>
        <w:t>Governments and services should establish ongoing youth advisory structures with diverse representation, including children and young people with lived experience of violence, Aboriginal and Torres Strait Islander young people, young people with disability, LGBTQIA+ young people, and those living in rural, regional and remote communities.</w:t>
      </w:r>
    </w:p>
    <w:p w14:paraId="2E29C16E" w14:textId="1248FA4A" w:rsidR="00065B21" w:rsidRDefault="00065B21" w:rsidP="00065B21">
      <w:r>
        <w:t>Participation needs to go beyond asking for opinions. Young people should be given information about the issues, opportunities to influence options and decisions, and feedback explaining how their contributions changed the final policy or program. Their expertise should be appropriately recognised and remunerated.</w:t>
      </w:r>
    </w:p>
    <w:p w14:paraId="5ED6E9BE" w14:textId="6529DE7B" w:rsidR="00065B21" w:rsidRDefault="00065B21" w:rsidP="00065B21">
      <w:r>
        <w:t>Safe participation is particularly important for children affected by violence. Processes must protect confidentiality, avoid requiring young people to disclose traumatic experiences unnecessarily, provide support before and after participation, and ensure involvement does not create risks within their family or relationships.</w:t>
      </w:r>
    </w:p>
    <w:p w14:paraId="12B44FBF" w14:textId="447F5D44" w:rsidR="00065B21" w:rsidRDefault="00065B21" w:rsidP="00065B21">
      <w:r>
        <w:lastRenderedPageBreak/>
        <w:t>Services should also create everyday mechanisms for young people to influence their own care—for example, allowing them to contribute to safety plans, choose communication methods and identify trusted adults where appropriate.</w:t>
      </w:r>
    </w:p>
    <w:p w14:paraId="5A0E0349" w14:textId="14B6A80D" w:rsidR="00065B21" w:rsidRDefault="00065B21" w:rsidP="00065B21">
      <w:r>
        <w:t>Digital participation can broaden access, particularly for young people outside metropolitan areas, but should never replace accessible face-to-face engagement.</w:t>
      </w:r>
    </w:p>
    <w:p w14:paraId="454D65C9" w14:textId="66A0DE5C" w:rsidR="00065B21" w:rsidRDefault="00065B21" w:rsidP="00065B21">
      <w:r>
        <w:t>The Second Action Plan should establish measurable expectations for child and youth participation, including reporting on who was heard, how their views influenced decisions, and what changed as a result. Children and young people should be treated not only as recipients of services, but as partners in designing safer systems and communities.</w:t>
      </w:r>
    </w:p>
    <w:p w14:paraId="1D242554" w14:textId="24A6BACC" w:rsidR="00065B21" w:rsidRPr="007C134C" w:rsidRDefault="00984679" w:rsidP="00065B21">
      <w:pPr>
        <w:rPr>
          <w:b/>
          <w:bCs/>
        </w:rPr>
      </w:pPr>
      <w:r w:rsidRPr="007C134C">
        <w:rPr>
          <w:b/>
          <w:bCs/>
        </w:rPr>
        <w:t>Priority 4 - People who use violence</w:t>
      </w:r>
    </w:p>
    <w:p w14:paraId="7753BC38" w14:textId="1BF47F17" w:rsidR="007C134C" w:rsidRPr="007C134C" w:rsidRDefault="007C134C" w:rsidP="007C134C">
      <w:pPr>
        <w:rPr>
          <w:b/>
          <w:bCs/>
        </w:rPr>
      </w:pPr>
      <w:r w:rsidRPr="007C134C">
        <w:rPr>
          <w:b/>
          <w:bCs/>
        </w:rPr>
        <w:t>What would make the biggest difference in preventing and responding earlier to the use of violence?</w:t>
      </w:r>
    </w:p>
    <w:p w14:paraId="6268B976" w14:textId="77777777" w:rsidR="007C134C" w:rsidRDefault="007C134C" w:rsidP="007C134C"/>
    <w:p w14:paraId="1B937F87" w14:textId="133FB67B" w:rsidR="007C134C" w:rsidRDefault="007C134C" w:rsidP="007C134C">
      <w:r>
        <w:t>The biggest difference would come from identifying and responding to violence before it escalates, with responsibility shared across health, education, child and family services, police, courts, workplaces and specialist services. People who use violence should not only enter the system after a serious incident or criminal charge.</w:t>
      </w:r>
    </w:p>
    <w:p w14:paraId="29B18250" w14:textId="0BB0F6D0" w:rsidR="007C134C" w:rsidRDefault="007C134C" w:rsidP="007C134C">
      <w:r>
        <w:t>Professionals who routinely interact with families should be trained to recognise patterns of coercive control, intimidation, threats, stalking, sexual violence, economic abuse and violence towards children. Clear referral pathways should allow concerns to be acted on early, while maintaining victim-survivor safety and confidentiality.</w:t>
      </w:r>
    </w:p>
    <w:p w14:paraId="67ABDE1C" w14:textId="61CCCE27" w:rsidR="007C134C" w:rsidRDefault="007C134C" w:rsidP="007C134C">
      <w:r>
        <w:t>Risk assessment should be ongoing rather than a one-off process. Information from different services should be appropriately shared so that escalating patterns are visible and agencies can coordinate a response. ANROWS research supports a broader perpetrator intervention system involving human services alongside legal responses, rather than relying solely on courts or behaviour-change programs.</w:t>
      </w:r>
    </w:p>
    <w:p w14:paraId="64D21842" w14:textId="2FADD3A4" w:rsidR="007C134C" w:rsidRDefault="007C134C" w:rsidP="007C134C">
      <w:r>
        <w:t>The Second Action Plan should also expand accessible intervention options for people who recognise that they are using violence or are at risk of doing so. Early intervention should be available before behaviour reaches the criminal justice threshold.</w:t>
      </w:r>
    </w:p>
    <w:p w14:paraId="5CB14C2F" w14:textId="684F7068" w:rsidR="00065B21" w:rsidRDefault="007C134C" w:rsidP="007C134C">
      <w:r>
        <w:t>Police and courts should have stronger options for immediate risk management, consistent consequences for breaches, and referral to appropriate behaviour-change interventions. Ultimately, earlier intervention must never shift responsibility onto victim-survivors. The person using violence must remain responsible for stopping the behaviour, while systems work together to reduce opportunities for further harm.</w:t>
      </w:r>
    </w:p>
    <w:p w14:paraId="04870538" w14:textId="77777777" w:rsidR="00205BA8" w:rsidRDefault="00205BA8" w:rsidP="00205BA8">
      <w:r>
        <w:lastRenderedPageBreak/>
        <w:t>How can services, families, communities, workplaces, institutions and others better recognise and respond safely to people using violence or at risk of using violence?</w:t>
      </w:r>
    </w:p>
    <w:p w14:paraId="0D1E5901" w14:textId="77777777" w:rsidR="00205BA8" w:rsidRDefault="00205BA8" w:rsidP="00205BA8">
      <w:r>
        <w:t>Recognition needs to move beyond visible physical violence. Professionals and community members should understand that violence can involve coercive control, sexual coercion, threats, stalking, financial control, technology-facilitated abuse, intimidation and violence towards children.</w:t>
      </w:r>
    </w:p>
    <w:p w14:paraId="740F4ED5" w14:textId="77777777" w:rsidR="00205BA8" w:rsidRDefault="00205BA8" w:rsidP="00205BA8">
      <w:r>
        <w:t>Frontline services—including GPs, mental health and alcohol and other drug services, child and family services, schools and workplaces—should have practical tools for identifying concerning behaviour and safe pathways for referral. ANROWS has identified the significant potential for human services agencies to contribute to perpetrator identification and intervention.</w:t>
      </w:r>
    </w:p>
    <w:p w14:paraId="009A4291" w14:textId="0D924A14" w:rsidR="00205BA8" w:rsidRDefault="00205BA8" w:rsidP="00205BA8">
      <w:r>
        <w:t>Responses should be coordinated rather than fragmented. Where a person is identified as using violence, relevant services should be able to work together around risk assessment, behaviour change, child safety and victim-survivor safety.</w:t>
      </w:r>
    </w:p>
    <w:p w14:paraId="2E589F7A" w14:textId="18BDB369" w:rsidR="00205BA8" w:rsidRDefault="00205BA8" w:rsidP="00205BA8">
      <w:r>
        <w:t>Workplaces can also play an important role by recognising changes in behaviour, complaints, harassment or misuse of workplace technology, while ensuring that workplace responses do not expose victim-survivors to additional risk.</w:t>
      </w:r>
    </w:p>
    <w:p w14:paraId="0697055F" w14:textId="4638BF07" w:rsidR="00205BA8" w:rsidRDefault="00205BA8" w:rsidP="00205BA8">
      <w:r>
        <w:t>Families and communities need accessible information about warning signs and safe ways to respond. They should not be expected to confront a person using violence themselves where doing so could increase danger.</w:t>
      </w:r>
    </w:p>
    <w:p w14:paraId="5AA810D9" w14:textId="474760AB" w:rsidR="00205BA8" w:rsidRDefault="00205BA8" w:rsidP="00205BA8">
      <w:r>
        <w:t>The Second Action Plan should establish consistent national guidance for safe identification and referral, supported by workforce training and culturally appropriate resources.</w:t>
      </w:r>
    </w:p>
    <w:p w14:paraId="3431C121" w14:textId="7C9B3171" w:rsidR="00205BA8" w:rsidRDefault="00205BA8" w:rsidP="00205BA8">
      <w:r>
        <w:t>Importantly, services should avoid treating mental illness, alcohol or drug use, stress or trauma as explanations that remove responsibility. These issues may require intervention, but the decision to use violence remains the responsibility of the person using it.</w:t>
      </w:r>
    </w:p>
    <w:p w14:paraId="298F7BD4" w14:textId="7215EB47" w:rsidR="00205BA8" w:rsidRPr="00205BA8" w:rsidRDefault="00205BA8" w:rsidP="00205BA8">
      <w:pPr>
        <w:rPr>
          <w:b/>
          <w:bCs/>
        </w:rPr>
      </w:pPr>
      <w:r w:rsidRPr="00205BA8">
        <w:rPr>
          <w:b/>
          <w:bCs/>
        </w:rPr>
        <w:t>What approaches are most effective in supporting people who use violence to take accountability, change behaviours, and reduce the use of violence, while focusing on victim-survivor safety?</w:t>
      </w:r>
    </w:p>
    <w:p w14:paraId="690F38A0" w14:textId="6FAD9972" w:rsidR="00205BA8" w:rsidRDefault="00205BA8" w:rsidP="00205BA8">
      <w:r>
        <w:t>Effective intervention needs to be part of a broader system of accountability, rather than relying on a single behaviour-change program. ANROWS describes men's behaviour change programs as one component of a wider system and notes that behaviour change is often incremental and continues beyond program completion.</w:t>
      </w:r>
    </w:p>
    <w:p w14:paraId="711295A6" w14:textId="12FD1F06" w:rsidR="00205BA8" w:rsidRDefault="00205BA8" w:rsidP="00205BA8">
      <w:r>
        <w:t xml:space="preserve">Programs should directly address the person's use of violence and coercive control, entitlement, attitudes towards relationships, accountability, emotional regulation, </w:t>
      </w:r>
      <w:r>
        <w:lastRenderedPageBreak/>
        <w:t>empathy and the impact of violence on partners and children. They should also be sufficiently flexible to respond to different levels of risk and different patterns of violence.</w:t>
      </w:r>
    </w:p>
    <w:p w14:paraId="7103E661" w14:textId="77777777" w:rsidR="00205BA8" w:rsidRDefault="00205BA8" w:rsidP="00205BA8">
      <w:r>
        <w:t>Victim-survivor safety must remain central. Intervention providers should have mechanisms for receiving relevant information from partners or other services, monitoring risk and responding when violence escalates. ANROWS research has identified partner support and risk monitoring as important elements that can be undervalued within perpetrator interventions.</w:t>
      </w:r>
    </w:p>
    <w:p w14:paraId="46F4B380" w14:textId="79BCF383" w:rsidR="00205BA8" w:rsidRDefault="00205BA8" w:rsidP="00205BA8">
      <w:r>
        <w:t>There should also be consequences for disengagement, threats, breaches and continued violence. Behaviour-change programs cannot substitute for appropriate police, court and child protection responses.</w:t>
      </w:r>
    </w:p>
    <w:p w14:paraId="20DB5DCC" w14:textId="07E45901" w:rsidR="00205BA8" w:rsidRDefault="00205BA8" w:rsidP="00205BA8">
      <w:r>
        <w:t>Interventions should address associated needs—such as alcohol and drug use, housing, mental health, employment and trauma—where these issues affect the person's capacity to change, without presenting them as excuses for violence.</w:t>
      </w:r>
    </w:p>
    <w:p w14:paraId="079249A4" w14:textId="1AAA304E" w:rsidR="00205BA8" w:rsidRDefault="00205BA8" w:rsidP="00205BA8">
      <w:r>
        <w:t>The Plan should fund longer-term follow-up and evaluation rather than measuring success simply by program completion. Success should be measured through sustained reductions in violence and coercive behaviour, improved safety for victim-survivors and children, and demonstrable accountability.</w:t>
      </w:r>
    </w:p>
    <w:p w14:paraId="7C764ABF" w14:textId="0052A1ED" w:rsidR="004069D0" w:rsidRPr="004069D0" w:rsidRDefault="004069D0" w:rsidP="004069D0">
      <w:pPr>
        <w:rPr>
          <w:b/>
          <w:bCs/>
        </w:rPr>
      </w:pPr>
      <w:r w:rsidRPr="004069D0">
        <w:rPr>
          <w:b/>
          <w:bCs/>
        </w:rPr>
        <w:t>How can governments and services, among others, strengthen culturally safe, accessible and evidence-informed responses for a range of communities and cohorts?</w:t>
      </w:r>
    </w:p>
    <w:p w14:paraId="6C161BBD" w14:textId="0A031CDF" w:rsidR="004069D0" w:rsidRDefault="004069D0" w:rsidP="004069D0">
      <w:r>
        <w:t>The Second Action Plan should move away from assuming that one perpetrator intervention model can work for everyone. Responses need to reflect differences in culture, age, disability, sexuality, gender identity, language, migration experience, location, socioeconomic circumstances and patterns of violence.</w:t>
      </w:r>
    </w:p>
    <w:p w14:paraId="6D14AAB8" w14:textId="718C3647" w:rsidR="004069D0" w:rsidRDefault="004069D0" w:rsidP="004069D0">
      <w:r>
        <w:t>First Nations communities should have greater control over the design and delivery of responses affecting Aboriginal and Torres Strait Islander people. This means properly resourcing Aboriginal community-controlled organisations and culturally grounded approaches, while ensuring accountability for violence and victim-survivor safety remains central. ANROWS has identified interventions developed by, with and for Indigenous communities as an important area requiring further development.</w:t>
      </w:r>
    </w:p>
    <w:p w14:paraId="3B11A26A" w14:textId="121C41D2" w:rsidR="004069D0" w:rsidRDefault="004069D0" w:rsidP="004069D0">
      <w:r>
        <w:t>Programs should also be developed for cohorts that can face significant barriers to mainstream services, including people from migrant and refugee backgrounds, LGBTQIA+ communities, people with disability, young people, older people and people living in rural and remote areas. ANROWS research is already examining the experiences of migrant and refugee families and culturally grounded approaches for Aboriginal and Torres Strait Islander men and boys.</w:t>
      </w:r>
    </w:p>
    <w:p w14:paraId="7C1B438B" w14:textId="09C18087" w:rsidR="004069D0" w:rsidRDefault="004069D0" w:rsidP="004069D0">
      <w:r>
        <w:lastRenderedPageBreak/>
        <w:t>Accessibility should include interpreters, disability access, flexible delivery, transport assistance, outreach and options for people unable to attend conventional programs.</w:t>
      </w:r>
    </w:p>
    <w:p w14:paraId="0A7AA732" w14:textId="6C8BBB2C" w:rsidR="004069D0" w:rsidRDefault="004069D0" w:rsidP="004069D0">
      <w:r>
        <w:t>Governments should establish minimum evidence and practice standards while allowing local adaptation. Funding should be long-term enough to build skilled workforces and evaluate outcomes.</w:t>
      </w:r>
    </w:p>
    <w:p w14:paraId="3286895B" w14:textId="1E6CD85F" w:rsidR="004069D0" w:rsidRDefault="004069D0" w:rsidP="004069D0">
      <w:r>
        <w:t>Finally, evidence should be continuously improved. The Plan should invest in independent evaluation that identifies what works, for whom, in what circumstances, and over what period, rather than assuming that program attendance equates to behaviour change.</w:t>
      </w:r>
    </w:p>
    <w:p w14:paraId="2F3AFD24" w14:textId="235CE3AE" w:rsidR="005D4FA6" w:rsidRPr="004007CA" w:rsidRDefault="005D4FA6" w:rsidP="004069D0">
      <w:pPr>
        <w:rPr>
          <w:b/>
          <w:bCs/>
        </w:rPr>
      </w:pPr>
      <w:r w:rsidRPr="004007CA">
        <w:rPr>
          <w:b/>
          <w:bCs/>
        </w:rPr>
        <w:t xml:space="preserve">Priority 5 - </w:t>
      </w:r>
      <w:r w:rsidR="000C659E" w:rsidRPr="004007CA">
        <w:rPr>
          <w:b/>
          <w:bCs/>
        </w:rPr>
        <w:t>System integration and workforce</w:t>
      </w:r>
    </w:p>
    <w:p w14:paraId="26190487" w14:textId="0709C48B" w:rsidR="004007CA" w:rsidRPr="004007CA" w:rsidRDefault="004007CA" w:rsidP="004007CA">
      <w:pPr>
        <w:rPr>
          <w:b/>
          <w:bCs/>
        </w:rPr>
      </w:pPr>
      <w:r w:rsidRPr="004007CA">
        <w:rPr>
          <w:b/>
          <w:bCs/>
        </w:rPr>
        <w:t>What would make the biggest difference in creating a more coordinated and connected system response?</w:t>
      </w:r>
    </w:p>
    <w:p w14:paraId="3CAC18CF" w14:textId="4B9F3D7D" w:rsidR="004007CA" w:rsidRDefault="004007CA" w:rsidP="004007CA">
      <w:r>
        <w:t>The biggest difference would come from designing services around the person, rather than around individual government departments or service systems. Victim-survivors should not have to repeatedly explain their circumstances, coordinate referrals or understand which agency is responsible for each part of their safety and recovery.</w:t>
      </w:r>
    </w:p>
    <w:p w14:paraId="150EF665" w14:textId="07901FBF" w:rsidR="004007CA" w:rsidRDefault="004007CA" w:rsidP="004007CA">
      <w:r>
        <w:t>A “no wrong door” approach should be strengthened, where any appropriate service can identify risk, provide immediate support and connect the person directly with specialist assistance. A consistent lead practitioner or case coordinator should be available for people with complex or ongoing needs.</w:t>
      </w:r>
    </w:p>
    <w:p w14:paraId="366D8EFB" w14:textId="74B762AB" w:rsidR="004007CA" w:rsidRDefault="004007CA" w:rsidP="004007CA">
      <w:r>
        <w:t>Information sharing should be timely, purposeful and guided by clear national principles. Agencies need to be able to share relevant risk information while protecting privacy and ensuring that information sharing does not inadvertently increase danger to victim-survivors.</w:t>
      </w:r>
    </w:p>
    <w:p w14:paraId="08BC7E4E" w14:textId="1F8CCA99" w:rsidR="004007CA" w:rsidRDefault="004007CA" w:rsidP="004007CA">
      <w:r>
        <w:t>The Second Action Plan should promote common risk assessment, referral and information-sharing standards across jurisdictions, supported by compatible systems and clear accountability. Current reform work demonstrates the value of common approaches to risk assessment and workforce capability.</w:t>
      </w:r>
    </w:p>
    <w:p w14:paraId="19AA97A2" w14:textId="112A7EEC" w:rsidR="004007CA" w:rsidRDefault="004007CA" w:rsidP="004007CA">
      <w:r>
        <w:t>There should also be stronger integration between specialist and universal services, particularly health, housing, education, child protection, justice, disability and community services.</w:t>
      </w:r>
    </w:p>
    <w:p w14:paraId="37183D4A" w14:textId="76177EF7" w:rsidR="004007CA" w:rsidRDefault="004007CA" w:rsidP="004007CA">
      <w:r>
        <w:t>Importantly, integration should not mean replacing specialist services with generalist responses. Specialist family, domestic and sexual violence services provide expertise that other sectors need to access.</w:t>
      </w:r>
    </w:p>
    <w:p w14:paraId="6EF8312A" w14:textId="37F41DC5" w:rsidR="000C659E" w:rsidRDefault="004007CA" w:rsidP="004007CA">
      <w:r>
        <w:lastRenderedPageBreak/>
        <w:t>Success should ultimately be measured by whether people experience fewer barriers, safer transitions between services, less repetition and better long-term outcomes, rather than simply the number of referrals made between agencies.</w:t>
      </w:r>
    </w:p>
    <w:p w14:paraId="1A9D29E0" w14:textId="5778A065" w:rsidR="0038782D" w:rsidRPr="0038782D" w:rsidRDefault="0038782D" w:rsidP="0038782D">
      <w:pPr>
        <w:rPr>
          <w:b/>
          <w:bCs/>
        </w:rPr>
      </w:pPr>
      <w:r w:rsidRPr="0038782D">
        <w:rPr>
          <w:b/>
          <w:bCs/>
        </w:rPr>
        <w:t>What workforce capabilities, supports and conditions are most needed to strengthen prevention, early intervention, response and recovery?</w:t>
      </w:r>
    </w:p>
    <w:p w14:paraId="60141B75" w14:textId="72CB7C03" w:rsidR="0038782D" w:rsidRDefault="0038782D" w:rsidP="0038782D">
      <w:r>
        <w:t>Australia needs a workforce that is skilled, adequately resourced, supported and retained</w:t>
      </w:r>
      <w:r w:rsidR="00200281">
        <w:t xml:space="preserve"> to reach efficacy across the sector, in terms of reducing the incidence</w:t>
      </w:r>
      <w:r w:rsidR="00896500">
        <w:t xml:space="preserve"> of violence, and providing healing &amp; therapeutic interventions and pathways to clients and their children</w:t>
      </w:r>
      <w:r>
        <w:t>. Training alone will not solve workforce shortages or inconsistent practice if staff are working under excessive caseloads, insecure funding and difficult employment conditions.</w:t>
      </w:r>
    </w:p>
    <w:p w14:paraId="64E36914" w14:textId="72739BE7" w:rsidR="0038782D" w:rsidRDefault="0038782D" w:rsidP="0038782D">
      <w:r>
        <w:t>The Second Action Plan should establish nationally consistent core capabilities for workers across specialist and non-specialist settings. These should include understanding coercive control, sexual violence, technology-facilitated abuse, child and adolescent experiences of violence, risk assessment, trauma and violence-informed practice, cultural safety and perpetrator accountability.</w:t>
      </w:r>
    </w:p>
    <w:p w14:paraId="3E3D4AE9" w14:textId="4A86C15A" w:rsidR="0038782D" w:rsidRDefault="0038782D" w:rsidP="0038782D">
      <w:r>
        <w:t>Training should be practical and ongoing, with supervision, mentoring and opportunities to consult specialist practitioners. Workers should be able to access specialist advice when a situation exceeds their expertise.</w:t>
      </w:r>
    </w:p>
    <w:p w14:paraId="63E5E7A7" w14:textId="4BF8F118" w:rsidR="0038782D" w:rsidRDefault="0038782D" w:rsidP="0038782D">
      <w:r>
        <w:t>Workforce wellbeing must be treated as a system responsibility, not an individual self-care issue. Staff working with violence and trauma need regular clinical or reflective supervision, manageable caseloads, access to psychological support, adequate leave and organisational cultures that recognise vicarious trauma. ANROWS has specifically developed resources addressing practitioner wellbeing and the impacts of high-intensity DFSV work.</w:t>
      </w:r>
    </w:p>
    <w:p w14:paraId="20ADACA9" w14:textId="4CCAC607" w:rsidR="0038782D" w:rsidRDefault="0038782D" w:rsidP="0038782D">
      <w:r>
        <w:t>Governments should also address workforce shortages through improved pay, secure employment, career pathways and incentives for regional, rural and remote practice.</w:t>
      </w:r>
    </w:p>
    <w:p w14:paraId="53DDF84B" w14:textId="150D76EC" w:rsidR="0038782D" w:rsidRDefault="0038782D" w:rsidP="0038782D">
      <w:r>
        <w:t>A diverse workforce is essential. Aboriginal and Torres Strait Islander workers, people with disability, culturally diverse workers and people with relevant lived experience can strengthen trust and accessibility when appropriately supported.</w:t>
      </w:r>
    </w:p>
    <w:p w14:paraId="4352216D" w14:textId="1D9B8D56" w:rsidR="0038782D" w:rsidRDefault="0038782D" w:rsidP="0038782D">
      <w:r>
        <w:t>The workforce should be valued as critical infrastructure, not treated as an expendable resource.</w:t>
      </w:r>
      <w:r w:rsidR="00041BEE">
        <w:t xml:space="preserve"> Noting, a diverse workforce reflects the demographics of those utilising the service to ensure cultural safety is factored into the service model. </w:t>
      </w:r>
    </w:p>
    <w:p w14:paraId="5670AC59" w14:textId="4BE3D940" w:rsidR="00041BEE" w:rsidRPr="00041BEE" w:rsidRDefault="00041BEE" w:rsidP="00041BEE">
      <w:pPr>
        <w:rPr>
          <w:b/>
          <w:bCs/>
        </w:rPr>
      </w:pPr>
      <w:r w:rsidRPr="00041BEE">
        <w:rPr>
          <w:b/>
          <w:bCs/>
        </w:rPr>
        <w:t>What approaches or models appear most effective in improving collaboration, coordination and information sharing across services, systems and programs?</w:t>
      </w:r>
    </w:p>
    <w:p w14:paraId="39D35284" w14:textId="6EC36546" w:rsidR="00041BEE" w:rsidRDefault="00041BEE" w:rsidP="00041BEE">
      <w:r>
        <w:lastRenderedPageBreak/>
        <w:t>The strongest approach is a multi-disciplinary, place-based model with clear responsibility for coordination. Rather than expecting victim-survivors to move between disconnected agencies, services should work together around shared safety and recovery goals.</w:t>
      </w:r>
    </w:p>
    <w:p w14:paraId="66E55678" w14:textId="6801435C" w:rsidR="00041BEE" w:rsidRDefault="00041BEE" w:rsidP="00041BEE">
      <w:r>
        <w:t>Local multi-agency arrangements can bring together specialist violence services, police, health, housing, child protection, education, legal services and other relevant providers. These arrangements should have clear protocols for referral, risk escalation, information sharing and accountability.</w:t>
      </w:r>
    </w:p>
    <w:p w14:paraId="4DC257E4" w14:textId="7288ED55" w:rsidR="00041BEE" w:rsidRDefault="00041BEE" w:rsidP="00041BEE">
      <w:r>
        <w:t>A particularly useful model is a lead practitioner or key worker for people experiencing complex violence. That person can help coordinate services, maintain continuity and ensure that important information is not lost when responsibility moves between agencies.</w:t>
      </w:r>
    </w:p>
    <w:p w14:paraId="68FFD9A2" w14:textId="763BF5E5" w:rsidR="00041BEE" w:rsidRDefault="00041BEE" w:rsidP="00041BEE">
      <w:r>
        <w:t>Information sharing should be based on agreed national principles and practical protocols. Staff need to understand what information can be shared, when it should be shared, how consent operates and what to do when there is an immediate safety concern.</w:t>
      </w:r>
    </w:p>
    <w:p w14:paraId="37F2BC86" w14:textId="065C1ECA" w:rsidR="00041BEE" w:rsidRDefault="00041BEE" w:rsidP="00041BEE">
      <w:r>
        <w:t>Technology should support—not replace—relationships. Interoperable systems, secure digital referral pathways and shared case information could reduce duplication, provided strong privacy and safety protections are built in.</w:t>
      </w:r>
    </w:p>
    <w:p w14:paraId="3C183CAB" w14:textId="416D3DB0" w:rsidR="00041BEE" w:rsidRDefault="00041BEE" w:rsidP="00041BEE">
      <w:r>
        <w:t>Collaboration should also extend beyond crisis response. Prevention organisations, specialist services and universal workforces should share knowledge, resources and training so that prevention and early intervention are connected to response and recovery.</w:t>
      </w:r>
    </w:p>
    <w:p w14:paraId="7C3BD17F" w14:textId="74673FAF" w:rsidR="00041BEE" w:rsidRDefault="00041BEE" w:rsidP="00041BEE">
      <w:r>
        <w:t>The Second Action Plan should identify minimum expectations for interagency collaboration while allowing local communities to determine how those arrangements operate. Importantly, integration should be evaluated from the victim-survivor's perspective. A system is not genuinely integrated if agencies communicate well with each other but the person experiencing violence still has to navigate the system alone.</w:t>
      </w:r>
    </w:p>
    <w:p w14:paraId="52F0B458" w14:textId="7F123A06" w:rsidR="0091563A" w:rsidRPr="0091563A" w:rsidRDefault="0091563A" w:rsidP="0091563A">
      <w:pPr>
        <w:rPr>
          <w:b/>
          <w:bCs/>
        </w:rPr>
      </w:pPr>
      <w:r w:rsidRPr="0091563A">
        <w:rPr>
          <w:b/>
          <w:bCs/>
        </w:rPr>
        <w:t>What supports do specialist and universal services need to provide inclusive and accessible responses?</w:t>
      </w:r>
    </w:p>
    <w:p w14:paraId="7350D36B" w14:textId="28AE9B81" w:rsidR="0091563A" w:rsidRDefault="0091563A" w:rsidP="0091563A">
      <w:r>
        <w:t>Specialist and universal services need sufficient funding, skilled workers, practical tools and access to specialist consultation so that people can receive an appropriate response regardless of where they first seek help.</w:t>
      </w:r>
    </w:p>
    <w:p w14:paraId="637FC511" w14:textId="3EE98BAE" w:rsidR="0091563A" w:rsidRDefault="0091563A" w:rsidP="0091563A">
      <w:r>
        <w:t xml:space="preserve">Universal services such as GPs, hospitals, schools, workplaces, housing services, disability services and community organisations should be able to recognise violence and respond safely without attempting to become specialist domestic, family or sexual </w:t>
      </w:r>
      <w:r>
        <w:lastRenderedPageBreak/>
        <w:t>violence services. Their role should include identification, initial safety assessment, appropriate referral and ongoing support.</w:t>
      </w:r>
    </w:p>
    <w:p w14:paraId="29E20B3A" w14:textId="3304874F" w:rsidR="0091563A" w:rsidRDefault="0091563A" w:rsidP="0091563A">
      <w:r>
        <w:t>Specialist services need the capacity to provide secondary consultation, outreach, training and case coordination to these broader workforces. The Second Action Plan consultation itself recognises the important capability-building role of specialist services across the wider system.</w:t>
      </w:r>
    </w:p>
    <w:p w14:paraId="1C0D58DB" w14:textId="0E14743F" w:rsidR="0091563A" w:rsidRDefault="0091563A" w:rsidP="0091563A">
      <w:r>
        <w:t>Accessibility needs to be understood broadly. Services should provide interpreters, accessible communication, disability accommodations, culturally safe practice, flexible appointment options, transport or outreach where necessary, and services appropriate for children and young people.</w:t>
      </w:r>
    </w:p>
    <w:p w14:paraId="53FE2CBD" w14:textId="2C610C0B" w:rsidR="0091563A" w:rsidRDefault="0091563A" w:rsidP="0091563A">
      <w:r>
        <w:t>There should be stronger investment in Aboriginal and Torres Strait Islander community-controlled services and culturally grounded approaches, alongside services designed with migrant and refugee communities, LGBTQIA+ communities and people with disability.</w:t>
      </w:r>
      <w:r w:rsidR="000737FF">
        <w:t xml:space="preserve"> </w:t>
      </w:r>
      <w:r>
        <w:t>Regional and remote communities require particular attention. Telehealth and online services can help, but they cannot replace local services, transport, housing and specialist workers.</w:t>
      </w:r>
    </w:p>
    <w:p w14:paraId="30992625" w14:textId="590733E3" w:rsidR="0091563A" w:rsidRDefault="0091563A" w:rsidP="0091563A">
      <w:r>
        <w:t>The Second Action Plan should also ensure that services are equipped to respond to multiple and overlapping forms of violence, including coercive control, sexual violence, technology-facilitated abuse and violence affecting children.</w:t>
      </w:r>
    </w:p>
    <w:p w14:paraId="14FA65FB" w14:textId="7E55D23C" w:rsidR="000737FF" w:rsidRPr="000737FF" w:rsidRDefault="000737FF" w:rsidP="000737FF">
      <w:pPr>
        <w:rPr>
          <w:b/>
          <w:bCs/>
        </w:rPr>
      </w:pPr>
      <w:r w:rsidRPr="000737FF">
        <w:rPr>
          <w:b/>
          <w:bCs/>
        </w:rPr>
        <w:t>What evidence, workforce or system gaps should the Second Action Plan prioritise to strengthen implementation and improve outcomes over time?</w:t>
      </w:r>
    </w:p>
    <w:p w14:paraId="2349AFA6" w14:textId="3D99F363" w:rsidR="000737FF" w:rsidRDefault="000737FF" w:rsidP="000737FF">
      <w:r>
        <w:t>The Second Action Plan should prioritise the gaps that prevent Australia from knowing whether services are actually producing safer outcomes.</w:t>
      </w:r>
    </w:p>
    <w:p w14:paraId="393A669C" w14:textId="03D1569A" w:rsidR="000737FF" w:rsidRDefault="000737FF" w:rsidP="000737FF">
      <w:r>
        <w:t>First, there is a need for better nationally consistent data. Governments should be able to identify where people are falling through service gaps, how long they wait for support, whether referrals result in actual engagement, and whether outcomes differ by location or population group.</w:t>
      </w:r>
    </w:p>
    <w:p w14:paraId="7F9D2948" w14:textId="35CF167B" w:rsidR="000737FF" w:rsidRDefault="000737FF" w:rsidP="000737FF">
      <w:r>
        <w:t>Second, workforce data should be improved. Australia needs a clearer picture of workforce numbers, qualifications, turnover, vacancies, remuneration, supervision and training needs across specialist and non-specialist sectors.</w:t>
      </w:r>
    </w:p>
    <w:p w14:paraId="4BB88A58" w14:textId="19CCBC1A" w:rsidR="000737FF" w:rsidRDefault="000737FF" w:rsidP="000737FF">
      <w:r>
        <w:t>Third, evaluation needs to move beyond measuring activity—such as numbers of referrals, training sessions or program participants—to measuring outcomes such as improved safety, reduced repeat violence, continuity of care and recovery.</w:t>
      </w:r>
    </w:p>
    <w:p w14:paraId="79C47D00" w14:textId="3406829E" w:rsidR="000737FF" w:rsidRDefault="000737FF" w:rsidP="000737FF">
      <w:r>
        <w:t xml:space="preserve">The Plan should establish a national learning system that identifies what works, for whom, in which circumstances and over what period, while making successful approaches easier to adapt and expand. There is also a need for stronger evidence </w:t>
      </w:r>
      <w:r>
        <w:lastRenderedPageBreak/>
        <w:t>about emerging issues, particularly technology-facilitated abuse, coercive control, sexual violence, AI-enabled harms and the needs of diverse communities.</w:t>
      </w:r>
    </w:p>
    <w:p w14:paraId="48E73DE2" w14:textId="25AC42FB" w:rsidR="000737FF" w:rsidRDefault="000737FF" w:rsidP="000737FF">
      <w:r>
        <w:t>Finally, implementation should have clear accountability. National priorities should be accompanied by measurable indicators, regular public reporting, adequate funding and mechanisms for victim-survivors and frontline workers to identify where systems are failing.</w:t>
      </w:r>
    </w:p>
    <w:p w14:paraId="6D690DD6" w14:textId="6A3DF4A6" w:rsidR="000737FF" w:rsidRDefault="000737FF" w:rsidP="000737FF">
      <w:r>
        <w:t>The Second Action Plan should therefore be more than a policy framework: it should establish a shared national infrastructure for learning, workforce development, accountability and continuous improvement. The existing First Action Plan already includes workforce capability and service-system capacity as areas of action; the next Plan should build on this foundation while addressing the gaps that remain.</w:t>
      </w:r>
    </w:p>
    <w:p w14:paraId="098B91DB" w14:textId="77777777" w:rsidR="0052126C" w:rsidRDefault="0052126C" w:rsidP="000737FF"/>
    <w:p w14:paraId="3AE7381E" w14:textId="54DDF513" w:rsidR="0052126C" w:rsidRDefault="005E3076" w:rsidP="0052126C">
      <w:pPr>
        <w:pStyle w:val="NoSpacing"/>
      </w:pPr>
      <w:r>
        <w:t>[redacted]</w:t>
      </w:r>
    </w:p>
    <w:p w14:paraId="7561BE53" w14:textId="1C023C7F" w:rsidR="0052126C" w:rsidRDefault="0052126C" w:rsidP="0052126C">
      <w:pPr>
        <w:pStyle w:val="NoSpacing"/>
      </w:pPr>
      <w:r>
        <w:t>Chief Executive Officer</w:t>
      </w:r>
    </w:p>
    <w:p w14:paraId="018FE7AF" w14:textId="77777777" w:rsidR="0052126C" w:rsidRDefault="0052126C" w:rsidP="0052126C">
      <w:pPr>
        <w:pStyle w:val="NoSpacing"/>
      </w:pPr>
    </w:p>
    <w:p w14:paraId="0D1F5C79" w14:textId="37D51E64" w:rsidR="0052126C" w:rsidRPr="00065B21" w:rsidRDefault="0052126C" w:rsidP="0052126C">
      <w:pPr>
        <w:pStyle w:val="NoSpacing"/>
      </w:pPr>
      <w:r>
        <w:t>27</w:t>
      </w:r>
      <w:r w:rsidRPr="0052126C">
        <w:rPr>
          <w:vertAlign w:val="superscript"/>
        </w:rPr>
        <w:t>th</w:t>
      </w:r>
      <w:r>
        <w:t xml:space="preserve"> August 2026</w:t>
      </w:r>
    </w:p>
    <w:sectPr w:rsidR="0052126C" w:rsidRPr="00065B2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2DBFA" w14:textId="77777777" w:rsidR="00BC2406" w:rsidRDefault="00BC2406" w:rsidP="00B35BD0">
      <w:pPr>
        <w:spacing w:after="0" w:line="240" w:lineRule="auto"/>
      </w:pPr>
      <w:r>
        <w:separator/>
      </w:r>
    </w:p>
  </w:endnote>
  <w:endnote w:type="continuationSeparator" w:id="0">
    <w:p w14:paraId="429A2C65" w14:textId="77777777" w:rsidR="00BC2406" w:rsidRDefault="00BC2406" w:rsidP="00B35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785467"/>
      <w:docPartObj>
        <w:docPartGallery w:val="Page Numbers (Bottom of Page)"/>
        <w:docPartUnique/>
      </w:docPartObj>
    </w:sdtPr>
    <w:sdtEndPr>
      <w:rPr>
        <w:noProof/>
      </w:rPr>
    </w:sdtEndPr>
    <w:sdtContent>
      <w:p w14:paraId="0612A39D" w14:textId="7B5A4635" w:rsidR="00B35BD0" w:rsidRDefault="00B35B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B26262" w14:textId="77777777" w:rsidR="00B35BD0" w:rsidRDefault="00B35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932B1" w14:textId="77777777" w:rsidR="00BC2406" w:rsidRDefault="00BC2406" w:rsidP="00B35BD0">
      <w:pPr>
        <w:spacing w:after="0" w:line="240" w:lineRule="auto"/>
      </w:pPr>
      <w:r>
        <w:separator/>
      </w:r>
    </w:p>
  </w:footnote>
  <w:footnote w:type="continuationSeparator" w:id="0">
    <w:p w14:paraId="46934D42" w14:textId="77777777" w:rsidR="00BC2406" w:rsidRDefault="00BC2406" w:rsidP="00B35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E16"/>
    <w:rsid w:val="0000350E"/>
    <w:rsid w:val="00041BEE"/>
    <w:rsid w:val="00065B21"/>
    <w:rsid w:val="000737FF"/>
    <w:rsid w:val="000C659E"/>
    <w:rsid w:val="000D3A03"/>
    <w:rsid w:val="001033DE"/>
    <w:rsid w:val="00111E16"/>
    <w:rsid w:val="00115A77"/>
    <w:rsid w:val="001311A2"/>
    <w:rsid w:val="00136D37"/>
    <w:rsid w:val="001B07C5"/>
    <w:rsid w:val="00200281"/>
    <w:rsid w:val="00205BA8"/>
    <w:rsid w:val="00213E51"/>
    <w:rsid w:val="00271899"/>
    <w:rsid w:val="00296C61"/>
    <w:rsid w:val="002A01CD"/>
    <w:rsid w:val="002B6877"/>
    <w:rsid w:val="0031163F"/>
    <w:rsid w:val="0038782D"/>
    <w:rsid w:val="004007CA"/>
    <w:rsid w:val="004069D0"/>
    <w:rsid w:val="0045679C"/>
    <w:rsid w:val="004820D7"/>
    <w:rsid w:val="004F0B69"/>
    <w:rsid w:val="004F69C9"/>
    <w:rsid w:val="0052126C"/>
    <w:rsid w:val="005D4FA6"/>
    <w:rsid w:val="005E3076"/>
    <w:rsid w:val="006240A7"/>
    <w:rsid w:val="00646839"/>
    <w:rsid w:val="00677233"/>
    <w:rsid w:val="006F2F7C"/>
    <w:rsid w:val="00741055"/>
    <w:rsid w:val="007C134C"/>
    <w:rsid w:val="008401B7"/>
    <w:rsid w:val="00870FB7"/>
    <w:rsid w:val="00896500"/>
    <w:rsid w:val="00903E83"/>
    <w:rsid w:val="0091563A"/>
    <w:rsid w:val="00980976"/>
    <w:rsid w:val="00984679"/>
    <w:rsid w:val="00A71ACE"/>
    <w:rsid w:val="00AD1891"/>
    <w:rsid w:val="00B35BD0"/>
    <w:rsid w:val="00B411D9"/>
    <w:rsid w:val="00BA7512"/>
    <w:rsid w:val="00BC045E"/>
    <w:rsid w:val="00BC1052"/>
    <w:rsid w:val="00BC2406"/>
    <w:rsid w:val="00BF4F47"/>
    <w:rsid w:val="00C745EC"/>
    <w:rsid w:val="00CD36B7"/>
    <w:rsid w:val="00CE3F07"/>
    <w:rsid w:val="00DD2263"/>
    <w:rsid w:val="00E14DE2"/>
    <w:rsid w:val="00E15BCB"/>
    <w:rsid w:val="00E25342"/>
    <w:rsid w:val="00EE5624"/>
    <w:rsid w:val="00F12D00"/>
    <w:rsid w:val="00F756D3"/>
    <w:rsid w:val="00FC62A2"/>
    <w:rsid w:val="00FE32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B3AE"/>
  <w15:chartTrackingRefBased/>
  <w15:docId w15:val="{9B6CBA02-D515-4572-B4DC-9403A8C7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E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1E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1E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1E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1E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1E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E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E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E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E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1E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1E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1E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1E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1E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E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E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E16"/>
    <w:rPr>
      <w:rFonts w:eastAsiaTheme="majorEastAsia" w:cstheme="majorBidi"/>
      <w:color w:val="272727" w:themeColor="text1" w:themeTint="D8"/>
    </w:rPr>
  </w:style>
  <w:style w:type="paragraph" w:styleId="Title">
    <w:name w:val="Title"/>
    <w:basedOn w:val="Normal"/>
    <w:next w:val="Normal"/>
    <w:link w:val="TitleChar"/>
    <w:uiPriority w:val="10"/>
    <w:qFormat/>
    <w:rsid w:val="00111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E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E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E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E16"/>
    <w:pPr>
      <w:spacing w:before="160"/>
      <w:jc w:val="center"/>
    </w:pPr>
    <w:rPr>
      <w:i/>
      <w:iCs/>
      <w:color w:val="404040" w:themeColor="text1" w:themeTint="BF"/>
    </w:rPr>
  </w:style>
  <w:style w:type="character" w:customStyle="1" w:styleId="QuoteChar">
    <w:name w:val="Quote Char"/>
    <w:basedOn w:val="DefaultParagraphFont"/>
    <w:link w:val="Quote"/>
    <w:uiPriority w:val="29"/>
    <w:rsid w:val="00111E16"/>
    <w:rPr>
      <w:i/>
      <w:iCs/>
      <w:color w:val="404040" w:themeColor="text1" w:themeTint="BF"/>
    </w:rPr>
  </w:style>
  <w:style w:type="paragraph" w:styleId="ListParagraph">
    <w:name w:val="List Paragraph"/>
    <w:basedOn w:val="Normal"/>
    <w:uiPriority w:val="34"/>
    <w:qFormat/>
    <w:rsid w:val="00111E16"/>
    <w:pPr>
      <w:ind w:left="720"/>
      <w:contextualSpacing/>
    </w:pPr>
  </w:style>
  <w:style w:type="character" w:styleId="IntenseEmphasis">
    <w:name w:val="Intense Emphasis"/>
    <w:basedOn w:val="DefaultParagraphFont"/>
    <w:uiPriority w:val="21"/>
    <w:qFormat/>
    <w:rsid w:val="00111E16"/>
    <w:rPr>
      <w:i/>
      <w:iCs/>
      <w:color w:val="0F4761" w:themeColor="accent1" w:themeShade="BF"/>
    </w:rPr>
  </w:style>
  <w:style w:type="paragraph" w:styleId="IntenseQuote">
    <w:name w:val="Intense Quote"/>
    <w:basedOn w:val="Normal"/>
    <w:next w:val="Normal"/>
    <w:link w:val="IntenseQuoteChar"/>
    <w:uiPriority w:val="30"/>
    <w:qFormat/>
    <w:rsid w:val="00111E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1E16"/>
    <w:rPr>
      <w:i/>
      <w:iCs/>
      <w:color w:val="0F4761" w:themeColor="accent1" w:themeShade="BF"/>
    </w:rPr>
  </w:style>
  <w:style w:type="character" w:styleId="IntenseReference">
    <w:name w:val="Intense Reference"/>
    <w:basedOn w:val="DefaultParagraphFont"/>
    <w:uiPriority w:val="32"/>
    <w:qFormat/>
    <w:rsid w:val="00111E16"/>
    <w:rPr>
      <w:b/>
      <w:bCs/>
      <w:smallCaps/>
      <w:color w:val="0F4761" w:themeColor="accent1" w:themeShade="BF"/>
      <w:spacing w:val="5"/>
    </w:rPr>
  </w:style>
  <w:style w:type="paragraph" w:styleId="Header">
    <w:name w:val="header"/>
    <w:basedOn w:val="Normal"/>
    <w:link w:val="HeaderChar"/>
    <w:uiPriority w:val="99"/>
    <w:unhideWhenUsed/>
    <w:rsid w:val="00B35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5BD0"/>
  </w:style>
  <w:style w:type="paragraph" w:styleId="Footer">
    <w:name w:val="footer"/>
    <w:basedOn w:val="Normal"/>
    <w:link w:val="FooterChar"/>
    <w:uiPriority w:val="99"/>
    <w:unhideWhenUsed/>
    <w:rsid w:val="00B35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5BD0"/>
  </w:style>
  <w:style w:type="character" w:styleId="CommentReference">
    <w:name w:val="annotation reference"/>
    <w:basedOn w:val="DefaultParagraphFont"/>
    <w:uiPriority w:val="99"/>
    <w:semiHidden/>
    <w:unhideWhenUsed/>
    <w:rsid w:val="00271899"/>
    <w:rPr>
      <w:sz w:val="16"/>
      <w:szCs w:val="16"/>
    </w:rPr>
  </w:style>
  <w:style w:type="paragraph" w:styleId="CommentText">
    <w:name w:val="annotation text"/>
    <w:basedOn w:val="Normal"/>
    <w:link w:val="CommentTextChar"/>
    <w:uiPriority w:val="99"/>
    <w:unhideWhenUsed/>
    <w:rsid w:val="00271899"/>
    <w:pPr>
      <w:spacing w:line="240" w:lineRule="auto"/>
    </w:pPr>
    <w:rPr>
      <w:sz w:val="20"/>
      <w:szCs w:val="20"/>
    </w:rPr>
  </w:style>
  <w:style w:type="character" w:customStyle="1" w:styleId="CommentTextChar">
    <w:name w:val="Comment Text Char"/>
    <w:basedOn w:val="DefaultParagraphFont"/>
    <w:link w:val="CommentText"/>
    <w:uiPriority w:val="99"/>
    <w:rsid w:val="00271899"/>
    <w:rPr>
      <w:sz w:val="20"/>
      <w:szCs w:val="20"/>
    </w:rPr>
  </w:style>
  <w:style w:type="paragraph" w:styleId="CommentSubject">
    <w:name w:val="annotation subject"/>
    <w:basedOn w:val="CommentText"/>
    <w:next w:val="CommentText"/>
    <w:link w:val="CommentSubjectChar"/>
    <w:uiPriority w:val="99"/>
    <w:semiHidden/>
    <w:unhideWhenUsed/>
    <w:rsid w:val="00271899"/>
    <w:rPr>
      <w:b/>
      <w:bCs/>
    </w:rPr>
  </w:style>
  <w:style w:type="character" w:customStyle="1" w:styleId="CommentSubjectChar">
    <w:name w:val="Comment Subject Char"/>
    <w:basedOn w:val="CommentTextChar"/>
    <w:link w:val="CommentSubject"/>
    <w:uiPriority w:val="99"/>
    <w:semiHidden/>
    <w:rsid w:val="00271899"/>
    <w:rPr>
      <w:b/>
      <w:bCs/>
      <w:sz w:val="20"/>
      <w:szCs w:val="20"/>
    </w:rPr>
  </w:style>
  <w:style w:type="paragraph" w:styleId="Revision">
    <w:name w:val="Revision"/>
    <w:hidden/>
    <w:uiPriority w:val="99"/>
    <w:semiHidden/>
    <w:rsid w:val="00BA7512"/>
    <w:pPr>
      <w:spacing w:after="0" w:line="240" w:lineRule="auto"/>
    </w:pPr>
  </w:style>
  <w:style w:type="paragraph" w:styleId="NoSpacing">
    <w:name w:val="No Spacing"/>
    <w:uiPriority w:val="1"/>
    <w:qFormat/>
    <w:rsid w:val="005212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DMS Document" ma:contentTypeID="0x010100266966F133664895A6EE3632470D45F500F3C20F213B0726458603CA9CF14EB0C9" ma:contentTypeVersion="" ma:contentTypeDescription="PDMS Document Site Content Type" ma:contentTypeScope="" ma:versionID="78cc91be6360f5e23a6969a67f88d320">
  <xsd:schema xmlns:xsd="http://www.w3.org/2001/XMLSchema" xmlns:xs="http://www.w3.org/2001/XMLSchema" xmlns:p="http://schemas.microsoft.com/office/2006/metadata/properties" xmlns:ns2="ACD46F65-B0F8-4F44-A090-97659A22A22A" targetNamespace="http://schemas.microsoft.com/office/2006/metadata/properties" ma:root="true" ma:fieldsID="a60312c504fd0e4cecd6e84f2515d2e8" ns2:_="">
    <xsd:import namespace="ACD46F65-B0F8-4F44-A090-97659A22A22A"/>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46F65-B0F8-4F44-A090-97659A22A22A"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ACD46F65-B0F8-4F44-A090-97659A22A2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55B14-8E05-4392-905D-09E7821F8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46F65-B0F8-4F44-A090-97659A22A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6129CF-498E-4D79-9A52-798B9888B69A}">
  <ds:schemaRefs>
    <ds:schemaRef ds:uri="http://schemas.microsoft.com/office/2006/metadata/properties"/>
    <ds:schemaRef ds:uri="http://schemas.microsoft.com/office/infopath/2007/PartnerControls"/>
    <ds:schemaRef ds:uri="ACD46F65-B0F8-4F44-A090-97659A22A22A"/>
  </ds:schemaRefs>
</ds:datastoreItem>
</file>

<file path=customXml/itemProps3.xml><?xml version="1.0" encoding="utf-8"?>
<ds:datastoreItem xmlns:ds="http://schemas.openxmlformats.org/officeDocument/2006/customXml" ds:itemID="{D74768D6-5065-463A-876A-E11E38FB95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6683</Words>
  <Characters>38098</Characters>
  <Application>Microsoft Office Word</Application>
  <DocSecurity>4</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Masita Maher</dc:creator>
  <cp:keywords>[SEC=OFFICIAL]</cp:keywords>
  <dc:description/>
  <cp:lastModifiedBy>BROOME, Lily</cp:lastModifiedBy>
  <cp:revision>2</cp:revision>
  <dcterms:created xsi:type="dcterms:W3CDTF">2026-09-29T23:19:00Z</dcterms:created>
  <dcterms:modified xsi:type="dcterms:W3CDTF">2026-09-29T23:19:00Z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0x010100266966F133664895A6EE3632470D45F500F3C20F213B0726458603CA9CF14EB0C9</vt:lpwstr>
  </property>
  <property fmtid="{D5CDD505-2E9C-101B-9397-08002B2CF9AE}" pid="3" name="PM_Caveats_Count">
    <vt:lpwstr>0</vt:lpwstr>
  </property>
  <property fmtid="{D5CDD505-2E9C-101B-9397-08002B2CF9AE}" pid="4" name="PM_Namespace">
    <vt:lpwstr>gov.au</vt:lpwstr>
  </property>
  <property fmtid="{D5CDD505-2E9C-101B-9397-08002B2CF9AE}" pid="5" name="PM_Version">
    <vt:lpwstr>2018.4</vt:lpwstr>
  </property>
  <property fmtid="{D5CDD505-2E9C-101B-9397-08002B2CF9AE}" pid="6" name="MSIP_Label_eb34d90b-fc41-464d-af60-f74d721d0790_Name">
    <vt:lpwstr>OFFICIAL</vt:lpwstr>
  </property>
  <property fmtid="{D5CDD505-2E9C-101B-9397-08002B2CF9AE}" pid="7" name="PM_Note">
    <vt:lpwstr/>
  </property>
  <property fmtid="{D5CDD505-2E9C-101B-9397-08002B2CF9AE}" pid="8" name="PMHMAC">
    <vt:lpwstr>v=2024.1;a=SHA256;h=13EC03B069128B976C38DDC416FF84D7A29318532425C8880B3549ABE7CAC9CA</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ProtectiveMarkingValue_Header">
    <vt:lpwstr>OFFICIAL</vt:lpwstr>
  </property>
  <property fmtid="{D5CDD505-2E9C-101B-9397-08002B2CF9AE}" pid="12" name="PM_OriginationTimeStamp">
    <vt:lpwstr>2026-09-18T05:49:54Z</vt:lpwstr>
  </property>
  <property fmtid="{D5CDD505-2E9C-101B-9397-08002B2CF9AE}" pid="13" name="PM_Markers">
    <vt:lpwstr/>
  </property>
  <property fmtid="{D5CDD505-2E9C-101B-9397-08002B2CF9AE}" pid="14" name="PM_DownTo">
    <vt:lpwstr/>
  </property>
  <property fmtid="{D5CDD505-2E9C-101B-9397-08002B2CF9AE}" pid="15" name="PM_DisplayValueSecClassificationWithQualifier">
    <vt:lpwstr>OFFICIAL</vt:lpwstr>
  </property>
  <property fmtid="{D5CDD505-2E9C-101B-9397-08002B2CF9AE}" pid="16" name="PM_Expires">
    <vt:lpwstr/>
  </property>
  <property fmtid="{D5CDD505-2E9C-101B-9397-08002B2CF9AE}" pid="17" name="PM_InsertionValue">
    <vt:lpwstr>OFFICIAL</vt:lpwstr>
  </property>
  <property fmtid="{D5CDD505-2E9C-101B-9397-08002B2CF9AE}" pid="18" name="PM_DowngradeTo">
    <vt:lpwstr/>
  </property>
  <property fmtid="{D5CDD505-2E9C-101B-9397-08002B2CF9AE}" pid="19" name="MSIP_Label_eb34d90b-fc41-464d-af60-f74d721d0790_SiteId">
    <vt:lpwstr>61e36dd1-ca6e-4d61-aa0a-2b4eb88317a3</vt:lpwstr>
  </property>
  <property fmtid="{D5CDD505-2E9C-101B-9397-08002B2CF9AE}" pid="20" name="MSIP_Label_eb34d90b-fc41-464d-af60-f74d721d0790_ContentBits">
    <vt:lpwstr>3</vt:lpwstr>
  </property>
  <property fmtid="{D5CDD505-2E9C-101B-9397-08002B2CF9AE}" pid="21" name="MSIP_Label_eb34d90b-fc41-464d-af60-f74d721d0790_Enabled">
    <vt:lpwstr>true</vt:lpwstr>
  </property>
  <property fmtid="{D5CDD505-2E9C-101B-9397-08002B2CF9AE}" pid="22" name="MSIP_Label_eb34d90b-fc41-464d-af60-f74d721d0790_SetDate">
    <vt:lpwstr>2026-09-18T05:49:54Z</vt:lpwstr>
  </property>
  <property fmtid="{D5CDD505-2E9C-101B-9397-08002B2CF9AE}" pid="23" name="MSIP_Label_eb34d90b-fc41-464d-af60-f74d721d0790_Method">
    <vt:lpwstr>Privileged</vt:lpwstr>
  </property>
  <property fmtid="{D5CDD505-2E9C-101B-9397-08002B2CF9AE}" pid="24" name="MSIP_Label_eb34d90b-fc41-464d-af60-f74d721d0790_ActionId">
    <vt:lpwstr>409d617c15a64669b74f5f908845d92d</vt:lpwstr>
  </property>
  <property fmtid="{D5CDD505-2E9C-101B-9397-08002B2CF9AE}" pid="25" name="PM_Originator_Hash_SHA1">
    <vt:lpwstr>799AB92281F6126B7C0D7150BEA7C26A8CC03227</vt:lpwstr>
  </property>
  <property fmtid="{D5CDD505-2E9C-101B-9397-08002B2CF9AE}" pid="26" name="PM_Originating_FileId">
    <vt:lpwstr>731C72C59D054114B04C588FF1557767</vt:lpwstr>
  </property>
  <property fmtid="{D5CDD505-2E9C-101B-9397-08002B2CF9AE}" pid="27" name="PM_ProtectiveMarkingValue_Footer">
    <vt:lpwstr>OFFICIAL</vt:lpwstr>
  </property>
  <property fmtid="{D5CDD505-2E9C-101B-9397-08002B2CF9AE}" pid="28" name="PM_Display">
    <vt:lpwstr>OFFICIAL</vt:lpwstr>
  </property>
  <property fmtid="{D5CDD505-2E9C-101B-9397-08002B2CF9AE}" pid="29" name="PM_OriginatorUserAccountName_SHA256">
    <vt:lpwstr>30EF5FAF0D78713600D9CF74F3CDAAA604D4B36AD615BF92A766B97E500523B5</vt:lpwstr>
  </property>
  <property fmtid="{D5CDD505-2E9C-101B-9397-08002B2CF9AE}" pid="30" name="PM_OriginatorDomainName_SHA256">
    <vt:lpwstr>E83A2A66C4061446A7E3732E8D44762184B6B377D962B96C83DC624302585857</vt:lpwstr>
  </property>
  <property fmtid="{D5CDD505-2E9C-101B-9397-08002B2CF9AE}" pid="31" name="PMUuid">
    <vt:lpwstr>v=2022.2;d=gov.au;g=46DD6D7C-8107-577B-BC6E-F348953B2E44</vt:lpwstr>
  </property>
  <property fmtid="{D5CDD505-2E9C-101B-9397-08002B2CF9AE}" pid="32" name="PM_Hash_Version">
    <vt:lpwstr>2024.1</vt:lpwstr>
  </property>
  <property fmtid="{D5CDD505-2E9C-101B-9397-08002B2CF9AE}" pid="33" name="PM_Hash_Salt_Prev">
    <vt:lpwstr>CB795BC9077D255ABCB7E34E84DB2BD7</vt:lpwstr>
  </property>
  <property fmtid="{D5CDD505-2E9C-101B-9397-08002B2CF9AE}" pid="34" name="PM_Hash_Salt">
    <vt:lpwstr>D3894B993F0B69A48FD87E1B9B345169</vt:lpwstr>
  </property>
  <property fmtid="{D5CDD505-2E9C-101B-9397-08002B2CF9AE}" pid="35" name="PM_Hash_SHA1">
    <vt:lpwstr>8D804089899621D794344D59E03B5908674B7793</vt:lpwstr>
  </property>
</Properties>
</file>