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C61A0" w14:textId="66B742F2" w:rsidR="0023679E" w:rsidRDefault="00AB5B35">
      <w:pPr>
        <w:rPr>
          <w:b/>
          <w:bCs/>
        </w:rPr>
      </w:pPr>
      <w:proofErr w:type="spellStart"/>
      <w:r w:rsidRPr="00AB5B35">
        <w:rPr>
          <w:b/>
          <w:bCs/>
        </w:rPr>
        <w:t>Bindjareb</w:t>
      </w:r>
      <w:proofErr w:type="spellEnd"/>
      <w:r w:rsidRPr="00AB5B35">
        <w:rPr>
          <w:b/>
          <w:bCs/>
        </w:rPr>
        <w:t xml:space="preserve"> District Leadership Group</w:t>
      </w:r>
    </w:p>
    <w:p w14:paraId="78253F2D" w14:textId="300AD3E4" w:rsidR="00AB5B35" w:rsidRDefault="00AB5B35">
      <w:pPr>
        <w:rPr>
          <w:b/>
          <w:bCs/>
        </w:rPr>
      </w:pPr>
      <w:r w:rsidRPr="00AB5B35">
        <w:rPr>
          <w:b/>
          <w:bCs/>
        </w:rPr>
        <w:t>Feedback for Priority Area 1: Victim-survivors</w:t>
      </w:r>
    </w:p>
    <w:p w14:paraId="698FC31D" w14:textId="24534804" w:rsidR="00AB5B35" w:rsidRDefault="00AB5B35" w:rsidP="00AB5B35">
      <w:r>
        <w:t>•</w:t>
      </w:r>
      <w:r>
        <w:tab/>
        <w:t>Ensure victim-survivors can access safety, justice, health care, specialist support, recovery and healing close to home, regardless of postcode, police involvement, cultural background, disability, age, sexuality, gender identity or visa status.</w:t>
      </w:r>
    </w:p>
    <w:p w14:paraId="4B3D185C" w14:textId="77777777" w:rsidR="00AB5B35" w:rsidRDefault="00AB5B35" w:rsidP="00AB5B35">
      <w:r>
        <w:t>•</w:t>
      </w:r>
      <w:r>
        <w:tab/>
        <w:t>Increase crisis accommodation, including models with 24/7 intake, and benchmark crisis responses to population growth and FDV prevalence, rather than historic funding patterns.</w:t>
      </w:r>
    </w:p>
    <w:p w14:paraId="01DC5FB0" w14:textId="77777777" w:rsidR="00AB5B35" w:rsidRDefault="00AB5B35" w:rsidP="00AB5B35">
      <w:r>
        <w:t>•</w:t>
      </w:r>
      <w:r>
        <w:tab/>
        <w:t>Recognise sexual violence as a distinct national reform priority, while continuing to address its intersections with family and domestic violence. Sexual violence has different settings, disclosure patterns, forensic requirements, workforce needs and recovery pathways, and should be visible in policy, funding, data and evaluation.</w:t>
      </w:r>
    </w:p>
    <w:p w14:paraId="7E4F8361" w14:textId="77777777" w:rsidR="00AB5B35" w:rsidRDefault="00AB5B35" w:rsidP="00AB5B35">
      <w:r>
        <w:t>•</w:t>
      </w:r>
      <w:r>
        <w:tab/>
        <w:t>Create a dedicated and transparent funding stream for specialist sexual violence services, including regional outreach, specialist counselling, prevention, workforce development, forensic access and long-term recovery support.</w:t>
      </w:r>
    </w:p>
    <w:p w14:paraId="4B701308" w14:textId="77777777" w:rsidR="00AB5B35" w:rsidRDefault="00AB5B35" w:rsidP="00AB5B35">
      <w:r>
        <w:t>•</w:t>
      </w:r>
      <w:r>
        <w:tab/>
        <w:t xml:space="preserve">Establish a national forensic access guarantee so victim-survivors of sexual assault can access timely, trauma-informed medical and forensic care close to home, </w:t>
      </w:r>
      <w:proofErr w:type="gramStart"/>
      <w:r>
        <w:t>whether or not</w:t>
      </w:r>
      <w:proofErr w:type="gramEnd"/>
      <w:r>
        <w:t xml:space="preserve"> they choose to make </w:t>
      </w:r>
      <w:proofErr w:type="gramStart"/>
      <w:r>
        <w:t>an immediate police</w:t>
      </w:r>
      <w:proofErr w:type="gramEnd"/>
      <w:r>
        <w:t xml:space="preserve"> report. Minimum standards should cover timeliness, informed consent, choice, cultural safety, child and adolescent capability, evidence storage, after-hours coverage, regional workforce training and warm referral into specialist advocacy and counselling.</w:t>
      </w:r>
    </w:p>
    <w:p w14:paraId="2596EEF4" w14:textId="77777777" w:rsidR="00AB5B35" w:rsidRDefault="00AB5B35" w:rsidP="00AB5B35">
      <w:r>
        <w:t>•</w:t>
      </w:r>
      <w:r>
        <w:tab/>
        <w:t xml:space="preserve">Develop a nationally scalable Multiagency Response to Sexual Violence model in the </w:t>
      </w:r>
      <w:proofErr w:type="spellStart"/>
      <w:r>
        <w:t>Bindjareb</w:t>
      </w:r>
      <w:proofErr w:type="spellEnd"/>
      <w:r>
        <w:t xml:space="preserve"> region with shared standards, governance, information-sharing protocols, accountability measures and evaluation. Core partners should include specialist sexual violence services, health and forensic clinicians, police, legal assistance, child protection, schools, youth services, housing and homelessness services, mental health, alcohol and other drug services, ACCOs and culturally specific services.</w:t>
      </w:r>
    </w:p>
    <w:p w14:paraId="2A59C056" w14:textId="77777777" w:rsidR="00AB5B35" w:rsidRDefault="00AB5B35" w:rsidP="00AB5B35">
      <w:r>
        <w:t>•</w:t>
      </w:r>
      <w:r>
        <w:tab/>
        <w:t>Expand FDV therapeutic services to provide more appointments, longer engagement periods and specialist support for families, including families affected by adolescents using violence.</w:t>
      </w:r>
    </w:p>
    <w:p w14:paraId="503477D6" w14:textId="77777777" w:rsidR="00AB5B35" w:rsidRDefault="00AB5B35" w:rsidP="00AB5B35">
      <w:r>
        <w:t>•</w:t>
      </w:r>
      <w:r>
        <w:tab/>
        <w:t xml:space="preserve"> Victim survivors need ongoing therapeutic support to identify red flags in future relationships and continued support while parenting children affected by violence. </w:t>
      </w:r>
    </w:p>
    <w:p w14:paraId="07E6295B" w14:textId="77777777" w:rsidR="00AB5B35" w:rsidRDefault="00AB5B35" w:rsidP="00AB5B35">
      <w:r>
        <w:t>•</w:t>
      </w:r>
      <w:r>
        <w:tab/>
        <w:t xml:space="preserve">Reduce barriers created by long waitlists, fragmented systems, repeated retelling, lack of transport, fear of police or child protection, limited privacy in smaller </w:t>
      </w:r>
      <w:r>
        <w:lastRenderedPageBreak/>
        <w:t>communities, digital exclusion, language barriers, disability access barriers and lack of culturally safe options.</w:t>
      </w:r>
    </w:p>
    <w:p w14:paraId="23CD4F05" w14:textId="77777777" w:rsidR="00AB5B35" w:rsidRDefault="00AB5B35" w:rsidP="00AB5B35">
      <w:r>
        <w:t>•</w:t>
      </w:r>
      <w:r>
        <w:tab/>
        <w:t>Strengthen early access through trusted community entry points, visible referral pathways, warm referrals, integrated legal and health pathways, school and youth service pathways, and specialist secondary consultation for universal services.</w:t>
      </w:r>
    </w:p>
    <w:p w14:paraId="165D26D2" w14:textId="77777777" w:rsidR="00AB5B35" w:rsidRDefault="00AB5B35" w:rsidP="00AB5B35">
      <w:r>
        <w:t>•</w:t>
      </w:r>
      <w:r>
        <w:tab/>
        <w:t>Recognise financial abuse as a priority emerging and persistent harm, including impacts on women experiencing coercive control, FIFO-related financial dynamics, small business and tax-related abuse.</w:t>
      </w:r>
    </w:p>
    <w:p w14:paraId="0EA6FC04" w14:textId="77777777" w:rsidR="00AB5B35" w:rsidRDefault="00AB5B35" w:rsidP="00AB5B35">
      <w:r>
        <w:t>•</w:t>
      </w:r>
      <w:r>
        <w:tab/>
        <w:t>Address technology-facilitated abuse, online misogyny and coercive control through specialist workforce training, digital safety pathways, legal responses and community education.</w:t>
      </w:r>
    </w:p>
    <w:p w14:paraId="371EE1FF" w14:textId="77777777" w:rsidR="00AB5B35" w:rsidRDefault="00AB5B35" w:rsidP="00AB5B35">
      <w:r>
        <w:t>•</w:t>
      </w:r>
      <w:r>
        <w:tab/>
        <w:t xml:space="preserve">Embed First Nations leadership from design to evaluation. For </w:t>
      </w:r>
      <w:proofErr w:type="spellStart"/>
      <w:r>
        <w:t>Bindjareb</w:t>
      </w:r>
      <w:proofErr w:type="spellEnd"/>
      <w:r>
        <w:t xml:space="preserve">, this means respecting Noongar cultural governance, supporting ACCO capability, and ensuring Aboriginal women, children, families and Elders can shape responses. Ensure that emerging ACCOs are supported with </w:t>
      </w:r>
      <w:proofErr w:type="spellStart"/>
      <w:r>
        <w:t>start up</w:t>
      </w:r>
      <w:proofErr w:type="spellEnd"/>
      <w:r>
        <w:t xml:space="preserve"> funding to support initial staffing and governance development to enable them to attract future funding contracts. </w:t>
      </w:r>
    </w:p>
    <w:p w14:paraId="36D0C47C" w14:textId="77777777" w:rsidR="00AB5B35" w:rsidRDefault="00AB5B35" w:rsidP="00AB5B35">
      <w:r>
        <w:t>•</w:t>
      </w:r>
      <w:r>
        <w:tab/>
        <w:t xml:space="preserve">Fund the development of culturally appropriate adaptations of evidence-based programs. </w:t>
      </w:r>
    </w:p>
    <w:p w14:paraId="020EA284" w14:textId="77777777" w:rsidR="00AB5B35" w:rsidRDefault="00AB5B35" w:rsidP="00AB5B35">
      <w:r>
        <w:t>•</w:t>
      </w:r>
      <w:r>
        <w:tab/>
        <w:t>Treat adolescent family violence and young people using violence as an emerging regional issue requiring distinct data, early intervention and service responses. Need to better capture incidents to support targeted intervention, including case management and wrap around family support.</w:t>
      </w:r>
    </w:p>
    <w:p w14:paraId="14F7C063" w14:textId="1090F6A8" w:rsidR="00AB5B35" w:rsidRDefault="00AB5B35" w:rsidP="00AB5B35">
      <w:r>
        <w:t>•</w:t>
      </w:r>
      <w:r>
        <w:tab/>
        <w:t>Expand access to domestic violence orders to make them available on weekends, via phone appointments, and online.</w:t>
      </w:r>
    </w:p>
    <w:p w14:paraId="247AB1CF" w14:textId="49853506" w:rsidR="00AB5B35" w:rsidRDefault="00AB5B35" w:rsidP="00AB5B35">
      <w:pPr>
        <w:rPr>
          <w:b/>
          <w:bCs/>
        </w:rPr>
      </w:pPr>
      <w:r w:rsidRPr="00AB5B35">
        <w:rPr>
          <w:b/>
          <w:bCs/>
        </w:rPr>
        <w:t>Feedback for Priority Area 2: Prevention and early intervention</w:t>
      </w:r>
    </w:p>
    <w:p w14:paraId="61C8DA6A" w14:textId="773609EA" w:rsidR="00AB5B35" w:rsidRDefault="00AB5B35" w:rsidP="00AB5B35">
      <w:r>
        <w:t>•</w:t>
      </w:r>
      <w:r>
        <w:tab/>
        <w:t>Invest in sustained primary prevention that reaches people where they live, learn, work, play sport and connect online. Prevention should address gender inequality, harmful attitudes, consent, respectful relationships, bystander action, technology-facilitated abuse, financial abuse and the normalisation of violence.</w:t>
      </w:r>
    </w:p>
    <w:p w14:paraId="716FFAEF" w14:textId="77777777" w:rsidR="00AB5B35" w:rsidRDefault="00AB5B35" w:rsidP="00AB5B35">
      <w:r>
        <w:t>•</w:t>
      </w:r>
      <w:r>
        <w:tab/>
        <w:t>Strengthen respectful relationships and consent education through a whole-of-school approach, supported by specialist services. Schools need practical support for curriculum delivery, safe responses to disclosures, parent/carer engagement, cultural safety and referral pathways.</w:t>
      </w:r>
    </w:p>
    <w:p w14:paraId="6FFA8846" w14:textId="77777777" w:rsidR="00AB5B35" w:rsidRDefault="00AB5B35" w:rsidP="00AB5B35">
      <w:r>
        <w:t>•</w:t>
      </w:r>
      <w:r>
        <w:tab/>
        <w:t xml:space="preserve">Use the Ripple Project in </w:t>
      </w:r>
      <w:proofErr w:type="spellStart"/>
      <w:r>
        <w:t>Bindjareb</w:t>
      </w:r>
      <w:proofErr w:type="spellEnd"/>
      <w:r>
        <w:t xml:space="preserve"> as an example of prevention infrastructure: evidence-informed, specialist-informed, gender specific, locally adapted, delivered through schools and community settings, and capable of engaging young people, </w:t>
      </w:r>
      <w:r>
        <w:lastRenderedPageBreak/>
        <w:t>families and local partners. It should be treated as an example of the type of long-term prevention model needed nationally, not as a stand-alone funding request.</w:t>
      </w:r>
    </w:p>
    <w:p w14:paraId="794AE388" w14:textId="77777777" w:rsidR="00AB5B35" w:rsidRDefault="00AB5B35" w:rsidP="00AB5B35">
      <w:r>
        <w:t>•</w:t>
      </w:r>
      <w:r>
        <w:tab/>
        <w:t>Fund prevention as core business rather than short-term projects. This should include multi-year investment, workforce capability, monitoring and evaluation, and local adaptation for regional, rural and remote communities.</w:t>
      </w:r>
    </w:p>
    <w:p w14:paraId="4907CD38" w14:textId="77777777" w:rsidR="00AB5B35" w:rsidRDefault="00AB5B35" w:rsidP="00AB5B35">
      <w:r>
        <w:t>•</w:t>
      </w:r>
      <w:r>
        <w:tab/>
        <w:t>Support community-led First Nations prevention and healing approaches, including ACCO-led design, Eldership, cultural authority, men’s healing, women’s leadership, family strengthening and community education.</w:t>
      </w:r>
    </w:p>
    <w:p w14:paraId="4B58BE13" w14:textId="77777777" w:rsidR="00AB5B35" w:rsidRDefault="00AB5B35" w:rsidP="00AB5B35">
      <w:r>
        <w:t>•</w:t>
      </w:r>
      <w:r>
        <w:tab/>
        <w:t>Build prevention capability across workplaces, sporting clubs, universities, online platforms, local government, health services, alcohol and other drug services, housing services and financial services so harmful attitudes and behaviours are recognised earlier and responded to safely.</w:t>
      </w:r>
    </w:p>
    <w:p w14:paraId="2680CBDA" w14:textId="77777777" w:rsidR="00AB5B35" w:rsidRDefault="00AB5B35" w:rsidP="00AB5B35">
      <w:r>
        <w:t>•</w:t>
      </w:r>
      <w:r>
        <w:tab/>
        <w:t>Support evidence-informed programs for boys and young men that promote respectful relationships, positive role modelling and accountability without creating stigma that prevents engagement.</w:t>
      </w:r>
    </w:p>
    <w:p w14:paraId="361921B8" w14:textId="77777777" w:rsidR="00AB5B35" w:rsidRDefault="00AB5B35" w:rsidP="00AB5B35">
      <w:r>
        <w:t>•</w:t>
      </w:r>
      <w:r>
        <w:tab/>
        <w:t>Adolescent family violence and peer/dating relationship violence require early, non-stigmatising, trauma-informed responses that connect young people and families to specialist support before escalation.</w:t>
      </w:r>
    </w:p>
    <w:p w14:paraId="7D2F5A2B" w14:textId="77777777" w:rsidR="00AB5B35" w:rsidRDefault="00AB5B35" w:rsidP="00AB5B35">
      <w:r>
        <w:t>•</w:t>
      </w:r>
      <w:r>
        <w:tab/>
        <w:t>Address emerging prevention issues, including online misogyny, harmful digital content, AI-enabled abuse, peer and dating relationship violence, adolescent violence in the home, financial abuse, and the influence of harmful social norms in online and offline settings.</w:t>
      </w:r>
    </w:p>
    <w:p w14:paraId="157AB78B" w14:textId="3AB61AFC" w:rsidR="00AB5B35" w:rsidRDefault="00AB5B35" w:rsidP="00AB5B35">
      <w:r>
        <w:t>•</w:t>
      </w:r>
      <w:r>
        <w:tab/>
        <w:t>Measure prevention outcomes at individual, organisational, institutional, community and societal levels, including changes in attitudes, behaviours, service access, school and workplace culture, and community confidence to respond.</w:t>
      </w:r>
    </w:p>
    <w:p w14:paraId="506B86A9" w14:textId="5760272F" w:rsidR="00AB5B35" w:rsidRDefault="00AB5B35" w:rsidP="00AB5B35">
      <w:pPr>
        <w:rPr>
          <w:b/>
          <w:bCs/>
        </w:rPr>
      </w:pPr>
      <w:r w:rsidRPr="00AB5B35">
        <w:rPr>
          <w:b/>
          <w:bCs/>
        </w:rPr>
        <w:t>Feedback for Priority Area 3: Children and young people in their own right</w:t>
      </w:r>
    </w:p>
    <w:p w14:paraId="4999B03E" w14:textId="4FCDD9E4" w:rsidR="00AB5B35" w:rsidRDefault="00AB5B35" w:rsidP="00AB5B35">
      <w:r>
        <w:t>•</w:t>
      </w:r>
      <w:r>
        <w:tab/>
        <w:t xml:space="preserve">Treat children and young people as </w:t>
      </w:r>
      <w:proofErr w:type="gramStart"/>
      <w:r>
        <w:t>victim-survivors in their own right, not</w:t>
      </w:r>
      <w:proofErr w:type="gramEnd"/>
      <w:r>
        <w:t xml:space="preserve"> only as witnesses or dependants. They need direct access to age-appropriate, trauma-informed, culturally safe and developmentally appropriate therapeutic support.</w:t>
      </w:r>
    </w:p>
    <w:p w14:paraId="280B2466" w14:textId="77777777" w:rsidR="00AB5B35" w:rsidRDefault="00AB5B35" w:rsidP="00AB5B35">
      <w:r>
        <w:t>•</w:t>
      </w:r>
      <w:r>
        <w:tab/>
        <w:t>Develop child and youth-centred pathways from disclosure to recovery, including school-linked support, specialist counselling, family support, health care, legal information, safety planning and culturally safe options.</w:t>
      </w:r>
    </w:p>
    <w:p w14:paraId="4E8029C8" w14:textId="77777777" w:rsidR="00AB5B35" w:rsidRDefault="00AB5B35" w:rsidP="00AB5B35">
      <w:r>
        <w:t>•</w:t>
      </w:r>
      <w:r>
        <w:tab/>
        <w:t xml:space="preserve">Expand specialist child and youth therapeutic services in </w:t>
      </w:r>
      <w:proofErr w:type="spellStart"/>
      <w:r>
        <w:t>Bindjareb</w:t>
      </w:r>
      <w:proofErr w:type="spellEnd"/>
      <w:r>
        <w:t xml:space="preserve">, including school-linked counselling and pathways for children exposed to FDV, sexual violence, coercive control and family trauma. </w:t>
      </w:r>
      <w:proofErr w:type="spellStart"/>
      <w:r>
        <w:t>Bindjareb</w:t>
      </w:r>
      <w:proofErr w:type="spellEnd"/>
      <w:r>
        <w:t xml:space="preserve"> local service mapping identifies existing </w:t>
      </w:r>
      <w:r>
        <w:lastRenderedPageBreak/>
        <w:t>but limited child and youth supports, including Allambee sexual assault support, children’s counselling and Anglicare Young Hearts children’s FDV counselling.</w:t>
      </w:r>
    </w:p>
    <w:p w14:paraId="25CFB77F" w14:textId="77777777" w:rsidR="00AB5B35" w:rsidRDefault="00AB5B35" w:rsidP="00AB5B35">
      <w:r>
        <w:t>•</w:t>
      </w:r>
      <w:r>
        <w:tab/>
        <w:t xml:space="preserve">Invest nationally in medium-intensity, whole-of-family youth responses that can “hold” young people and families before crisis. A </w:t>
      </w:r>
      <w:proofErr w:type="spellStart"/>
      <w:r>
        <w:t>Bindjareb</w:t>
      </w:r>
      <w:proofErr w:type="spellEnd"/>
      <w:r>
        <w:t xml:space="preserve"> trial of a family support service that provided case management to 18 families at risk of child protection involvement found that 100% of these vulnerable families had experienced FDV. These should include outreach or in-home capacity, practical support for parents/carers and siblings, and coordinated care across FDV, mental health, AOD, housing, education, child protection and youth services. This would address the gap where young people are often too complex for brief early intervention but not acute enough for specialist or crisis services, leaving schools, GPs and frontline services to hold escalating risk without the right support.</w:t>
      </w:r>
    </w:p>
    <w:p w14:paraId="2CBF54CF" w14:textId="77777777" w:rsidR="00AB5B35" w:rsidRDefault="00AB5B35" w:rsidP="00AB5B35">
      <w:r>
        <w:t>•</w:t>
      </w:r>
      <w:r>
        <w:tab/>
        <w:t>Align the Second Action Plan with Safe and Supported, Our Ways - Strong Ways - Our Voices, and the National Strategy to Prevent and Respond to Child Sexual Abuse so children do not fall between policy systems.</w:t>
      </w:r>
    </w:p>
    <w:p w14:paraId="43256297" w14:textId="77777777" w:rsidR="00AB5B35" w:rsidRDefault="00AB5B35" w:rsidP="00AB5B35">
      <w:r>
        <w:t>•</w:t>
      </w:r>
      <w:r>
        <w:tab/>
        <w:t>Build capability in schools, early childhood services, health, child protection, youth services, police, courts and family support services to recognise harm, respond safely to disclosures and provide warm referrals without increasing risk. The Trial included child-centred, family-led planning, transport support, appointment support and liaison with schools, daycare, health, mental health, legal and financial services. The Vulnerable Families trial identified these as core supports and reported that they contributed to child protection concerns deescalating.</w:t>
      </w:r>
    </w:p>
    <w:p w14:paraId="0C440916" w14:textId="77777777" w:rsidR="00AB5B35" w:rsidRDefault="00AB5B35" w:rsidP="00AB5B35">
      <w:r>
        <w:t>•</w:t>
      </w:r>
      <w:r>
        <w:tab/>
        <w:t>Ensure the Second Action Plan aligns with child protection, youth, school, health and family support reforms so children do not fall between systems. People affected by violence often deal with overlapping health, justice, housing and community services.</w:t>
      </w:r>
    </w:p>
    <w:p w14:paraId="291D3662" w14:textId="77777777" w:rsidR="00AB5B35" w:rsidRDefault="00AB5B35" w:rsidP="00AB5B35">
      <w:r>
        <w:t>•</w:t>
      </w:r>
      <w:r>
        <w:tab/>
        <w:t>Recognise adolescent violence in the home as a standalone emerging issue. It should have dedicated data, practice guidance, early intervention, therapeutic family work, sibling support and parent/carer assistance. It should not be collapsed into adult perpetrator responses or treated only as youth justice behaviour. Use trauma-informed approaches that recognise the relationship between childhood victimisation and later use of violence.</w:t>
      </w:r>
    </w:p>
    <w:p w14:paraId="60BC1994" w14:textId="77777777" w:rsidR="00AB5B35" w:rsidRDefault="00AB5B35" w:rsidP="00AB5B35">
      <w:r>
        <w:t>•</w:t>
      </w:r>
      <w:r>
        <w:tab/>
        <w:t xml:space="preserve">Strengthen adolescent violence responses with relational, strengths-based mentoring and positive role-modelling approaches, including for boys and young men, alongside therapeutic family work and developmentally appropriate accountability. The evidence supports this because young people’s use of violence in the home is linked to learned behaviour, family conflict, stress, AOD, social media, bullying or school-based conflict, emotional wellbeing and mental illness; and the evidence shows youth </w:t>
      </w:r>
      <w:r>
        <w:lastRenderedPageBreak/>
        <w:t>engagement depends heavily on trusted, consistent relationships, not just program availability.</w:t>
      </w:r>
    </w:p>
    <w:p w14:paraId="2B2E23A6" w14:textId="77777777" w:rsidR="00AB5B35" w:rsidRDefault="00AB5B35" w:rsidP="00AB5B35">
      <w:r>
        <w:t>•</w:t>
      </w:r>
      <w:r>
        <w:tab/>
        <w:t>Maintain a separate specialist response to adolescent harmful sexual behaviour. Responses should be therapeutic, developmentally appropriate, culturally safe, neuro-affirming, family-inclusive and focused on safety, accountability and behaviour change.</w:t>
      </w:r>
    </w:p>
    <w:p w14:paraId="241A6BD3" w14:textId="77777777" w:rsidR="00AB5B35" w:rsidRDefault="00AB5B35" w:rsidP="00AB5B35">
      <w:r>
        <w:t>•</w:t>
      </w:r>
      <w:r>
        <w:tab/>
        <w:t>Respond to technology-facilitated abuse, harmful online content and peer or dating relationship violence through digital safety education, specialist referral pathways, school and parent/carer resources, and stronger platform accountability.</w:t>
      </w:r>
    </w:p>
    <w:p w14:paraId="24A7534C" w14:textId="77777777" w:rsidR="00AB5B35" w:rsidRDefault="00AB5B35" w:rsidP="00AB5B35">
      <w:r>
        <w:t>•</w:t>
      </w:r>
      <w:r>
        <w:tab/>
        <w:t>Involve children and young people through safe, supported and properly resourced engagement. This should include youth advisory mechanisms, schools, youth services, specialist services, accessible formats, consent and safeguarding processes, and clear feedback loops showing how their input shaped policy.</w:t>
      </w:r>
    </w:p>
    <w:p w14:paraId="423355B0" w14:textId="77777777" w:rsidR="00AB5B35" w:rsidRDefault="00AB5B35" w:rsidP="00AB5B35">
      <w:r>
        <w:t>•</w:t>
      </w:r>
      <w:r>
        <w:tab/>
        <w:t>Include Aboriginal children and young people through ACCO-led yarning and culturally safe engagement, rather than relying only on mainstream consultation channels.</w:t>
      </w:r>
    </w:p>
    <w:p w14:paraId="466B1AED" w14:textId="77777777" w:rsidR="00AB5B35" w:rsidRDefault="00AB5B35" w:rsidP="00AB5B35">
      <w:r>
        <w:t>•</w:t>
      </w:r>
      <w:r>
        <w:tab/>
        <w:t>Ensure young people with disability, Aboriginal and Torres Strait Islander young people, LGBTIQA+ young people, young people in care, young people experiencing homelessness, and culturally and linguistically diverse young people are included through tailored and trusted engagement channels.</w:t>
      </w:r>
    </w:p>
    <w:p w14:paraId="1596D52A" w14:textId="6CB751E6" w:rsidR="00AB5B35" w:rsidRDefault="00AB5B35" w:rsidP="00AB5B35">
      <w:r>
        <w:t>•</w:t>
      </w:r>
      <w:r>
        <w:tab/>
        <w:t xml:space="preserve">Treat severe school disengagement, school refusal and repeated truancy as early warning signs for possible family violence, mental health, AOD, homelessness, child protection or trauma-related risk, not simply as education compliance issues. National action should require schools, health, youth, family and FDV services to respond early through warm referrals, family-inclusive support and low-stigma entry points before young people reach crisis or justice-system contact. This is important through a </w:t>
      </w:r>
      <w:proofErr w:type="spellStart"/>
      <w:r>
        <w:t>Bindjareb</w:t>
      </w:r>
      <w:proofErr w:type="spellEnd"/>
      <w:r>
        <w:t xml:space="preserve"> lens because the evidence shows younger adolescents have fewer dedicated service options and may rely more heavily on schools, family-based responses and generalist services; young people who have disengaged from school also described the absence of visible local places to go as particularly acute.</w:t>
      </w:r>
    </w:p>
    <w:p w14:paraId="014228CB" w14:textId="0752C6D4" w:rsidR="00AB5B35" w:rsidRDefault="00AB5B35" w:rsidP="00AB5B35">
      <w:pPr>
        <w:rPr>
          <w:b/>
          <w:bCs/>
        </w:rPr>
      </w:pPr>
      <w:r w:rsidRPr="00AB5B35">
        <w:rPr>
          <w:b/>
          <w:bCs/>
        </w:rPr>
        <w:t>Feedback for Priority Area 4: People who use violence</w:t>
      </w:r>
    </w:p>
    <w:p w14:paraId="5C41A19A" w14:textId="3C095A8B" w:rsidR="00AB5B35" w:rsidRDefault="00AB5B35" w:rsidP="00AB5B35">
      <w:r>
        <w:t>•</w:t>
      </w:r>
      <w:r>
        <w:tab/>
        <w:t>Strengthen early identification and response (with clear referral pathways into behaviour change and safety planning) through training and structured practice guidance across health services, workplaces, schools, police, courts, child protection, alcohol and other drug services, mental health services, housing, community services and families, while ensuring victim-survivor safety remains the central priority.</w:t>
      </w:r>
    </w:p>
    <w:p w14:paraId="5CE18801" w14:textId="77777777" w:rsidR="00AB5B35" w:rsidRDefault="00AB5B35" w:rsidP="00AB5B35">
      <w:r>
        <w:lastRenderedPageBreak/>
        <w:t>•</w:t>
      </w:r>
      <w:r>
        <w:tab/>
        <w:t>Build a continuum of evidence-informed interventions, from early help-seeking and brief intervention through to intensive behaviour change, justice-linked programs and post-program monitoring.</w:t>
      </w:r>
    </w:p>
    <w:p w14:paraId="532B8041" w14:textId="77777777" w:rsidR="00AB5B35" w:rsidRDefault="00AB5B35" w:rsidP="00AB5B35">
      <w:r>
        <w:t>•</w:t>
      </w:r>
      <w:r>
        <w:tab/>
        <w:t>Expand behaviour change responses that are accountable, culturally safe, accessible and aligned with best practice. Programs should include risk assessment, victim-survivor safety checks, child safety, information sharing with specialist services and clear pathways when risk escalates.</w:t>
      </w:r>
    </w:p>
    <w:p w14:paraId="46E41B0C" w14:textId="77777777" w:rsidR="00AB5B35" w:rsidRDefault="00AB5B35" w:rsidP="00AB5B35">
      <w:r>
        <w:t>•</w:t>
      </w:r>
      <w:r>
        <w:tab/>
        <w:t>Ensure responses are available to a broader range of cohorts, including young people using violence, people using sexual violence, men who are not fathers, FIFO and other mobile workforces, people in prison or remand, people from multicultural communities, people with disability or cognitive impairment, and LGBTIQA+ people who use violence.</w:t>
      </w:r>
    </w:p>
    <w:p w14:paraId="37EE889B" w14:textId="77777777" w:rsidR="00AB5B35" w:rsidRDefault="00AB5B35" w:rsidP="00AB5B35">
      <w:r>
        <w:t>•</w:t>
      </w:r>
      <w:r>
        <w:tab/>
        <w:t>Invest in early intervention with boys and young men that addresses harmful norms, entitlement, coercive control, digital harms and peer influence, while supporting positive identity, respectful relationships and accountability.</w:t>
      </w:r>
    </w:p>
    <w:p w14:paraId="54FB75B4" w14:textId="77777777" w:rsidR="00AB5B35" w:rsidRDefault="00AB5B35" w:rsidP="00AB5B35">
      <w:r>
        <w:t>•</w:t>
      </w:r>
      <w:r>
        <w:tab/>
        <w:t>Equip families, communities, workplaces and institutions with practical guidance to recognise harmful behaviour, respond without collusion, avoid shifting responsibility to victim-survivors, and connect people using violence to appropriate intervention.</w:t>
      </w:r>
    </w:p>
    <w:p w14:paraId="4DDF5A99" w14:textId="77777777" w:rsidR="00AB5B35" w:rsidRDefault="00AB5B35" w:rsidP="00AB5B35">
      <w:r>
        <w:t>•</w:t>
      </w:r>
      <w:r>
        <w:tab/>
        <w:t>Strengthen responses to technology-facilitated abuse, financial abuse, coercive control, stalking, systems abuse and breaches of orders as patterns of behaviour, not isolated incidents.</w:t>
      </w:r>
    </w:p>
    <w:p w14:paraId="0CA3821E" w14:textId="77777777" w:rsidR="00AB5B35" w:rsidRDefault="00AB5B35" w:rsidP="00AB5B35">
      <w:r>
        <w:t>•</w:t>
      </w:r>
      <w:r>
        <w:tab/>
        <w:t xml:space="preserve">Fund Aboriginal-led and ACCO-governed responses that combine safety, accountability, cultural authority, healing and family wellbeing. Mainstream services should provide long-term partnership and capability support rather than expecting ACCOs to carry unfunded system responsibilities. Emerging ACCOs should be supported with establishment staffing funding to be able to develop governance and program delivery. </w:t>
      </w:r>
    </w:p>
    <w:p w14:paraId="77C366E7" w14:textId="77777777" w:rsidR="00AB5B35" w:rsidRDefault="00AB5B35" w:rsidP="00AB5B35">
      <w:r>
        <w:t>•</w:t>
      </w:r>
      <w:r>
        <w:tab/>
        <w:t>Address evidence gaps by improving national data on perpetration, program availability, completion, re-use of violence, victim-survivor safety outcomes and what works for different communities and settings.</w:t>
      </w:r>
    </w:p>
    <w:p w14:paraId="27F85BD4" w14:textId="6ED3524E" w:rsidR="00AB5B35" w:rsidRDefault="00AB5B35" w:rsidP="00AB5B35">
      <w:r>
        <w:t>•</w:t>
      </w:r>
      <w:r>
        <w:tab/>
        <w:t>Ensure justice responses prevent ongoing contact with victim-survivors, including targeted prison/remand interventions (including counselling) and restricting phone access to victims where it is being used to continue harm.</w:t>
      </w:r>
    </w:p>
    <w:p w14:paraId="284105EA" w14:textId="504BE631" w:rsidR="00AB5B35" w:rsidRDefault="00AB5B35" w:rsidP="00AB5B35">
      <w:pPr>
        <w:rPr>
          <w:b/>
          <w:bCs/>
        </w:rPr>
      </w:pPr>
      <w:r w:rsidRPr="00AB5B35">
        <w:rPr>
          <w:b/>
          <w:bCs/>
        </w:rPr>
        <w:t>Feedback for Priority Area 5: System Integration and Workforce</w:t>
      </w:r>
    </w:p>
    <w:p w14:paraId="7735B69E" w14:textId="0C95F357" w:rsidR="00AB5B35" w:rsidRDefault="00AB5B35" w:rsidP="00AB5B35">
      <w:r>
        <w:lastRenderedPageBreak/>
        <w:t>•</w:t>
      </w:r>
      <w:r>
        <w:tab/>
        <w:t>Create a more connected system by funding structured multiagency models with shared standards, governance, referral pathways, information-sharing protocols, escalation processes, data collection and evaluation.</w:t>
      </w:r>
    </w:p>
    <w:p w14:paraId="62ABD617" w14:textId="77777777" w:rsidR="00AB5B35" w:rsidRDefault="00AB5B35" w:rsidP="00AB5B35">
      <w:r>
        <w:t>•</w:t>
      </w:r>
      <w:r>
        <w:tab/>
        <w:t>Prioritise a nationally scalable Multiagency Response to Sexual Violence model that connects specialist sexual violence services, health, forensic medicine, police, legal assistance, child protection, schools, housing, mental health, alcohol and other drug services, ACCOs and culturally specific services.</w:t>
      </w:r>
    </w:p>
    <w:p w14:paraId="75411295" w14:textId="77777777" w:rsidR="00AB5B35" w:rsidRDefault="00AB5B35" w:rsidP="00AB5B35">
      <w:r>
        <w:t>•</w:t>
      </w:r>
      <w:r>
        <w:tab/>
        <w:t>Strengthen no wrong door access so victim-survivors are not required to know which system to approach first, retell their story repeatedly, or navigate disconnected services during crisis and recovery.</w:t>
      </w:r>
    </w:p>
    <w:p w14:paraId="5C72E35A" w14:textId="77777777" w:rsidR="00AB5B35" w:rsidRDefault="00AB5B35" w:rsidP="00AB5B35">
      <w:r>
        <w:t>•</w:t>
      </w:r>
      <w:r>
        <w:tab/>
        <w:t>Develop a national sexual violence workforce strategy alongside broader family, domestic and gender-based violence workforce planning. Sexual violence work requires distinct clinical, therapeutic, forensic, prevention, advocacy and justice navigation expertise.</w:t>
      </w:r>
    </w:p>
    <w:p w14:paraId="3E88CC09" w14:textId="77777777" w:rsidR="00AB5B35" w:rsidRDefault="00AB5B35" w:rsidP="00AB5B35">
      <w:r>
        <w:t>•</w:t>
      </w:r>
      <w:r>
        <w:tab/>
        <w:t>Build regional workforce pathways, including forensic nurse examiner and medical practitioner training, specialist counsellor recruitment and retention, supervision, vicarious trauma support, cultural supervision, regional outreach and telehealth where appropriate.</w:t>
      </w:r>
    </w:p>
    <w:p w14:paraId="21085508" w14:textId="77777777" w:rsidR="00AB5B35" w:rsidRDefault="00AB5B35" w:rsidP="00AB5B35">
      <w:r>
        <w:t>•</w:t>
      </w:r>
      <w:r>
        <w:tab/>
        <w:t>Support universal services with specialist secondary consultation, practical tools, referral directories, training time, supervision, accessible resources and clear role definitions. Universal services should be able to recognise and refer safely, not replace specialist services.</w:t>
      </w:r>
    </w:p>
    <w:p w14:paraId="57B2CCA0" w14:textId="77777777" w:rsidR="00AB5B35" w:rsidRDefault="00AB5B35" w:rsidP="00AB5B35">
      <w:r>
        <w:t>•</w:t>
      </w:r>
      <w:r>
        <w:tab/>
        <w:t>Embed cultural safety as a system requirement, including ACCO partnership, Aboriginal workforce pathways, cultural governance, interpreter access, disability access, neuro-affirming practice and LGBTIQA+ inclusion.</w:t>
      </w:r>
    </w:p>
    <w:p w14:paraId="0161033A" w14:textId="77777777" w:rsidR="00AB5B35" w:rsidRDefault="00AB5B35" w:rsidP="00AB5B35">
      <w:r>
        <w:t>•</w:t>
      </w:r>
      <w:r>
        <w:tab/>
        <w:t>Use funding benchmarks that reflect population growth, prevalence, unmet need, service complexity, travel distance, regional outreach, workforce shortages and cultural safety, rather than historical funding patterns.</w:t>
      </w:r>
    </w:p>
    <w:p w14:paraId="01C5672B" w14:textId="77777777" w:rsidR="00AB5B35" w:rsidRDefault="00AB5B35" w:rsidP="00AB5B35">
      <w:r>
        <w:t>•</w:t>
      </w:r>
      <w:r>
        <w:tab/>
        <w:t>Prioritise evidence gaps in sexual violence service mapping, forensic access, adolescent violence in the home, harmful sexual behaviour responses, technology-facilitated abuse, regional/rural access, system abuse, workforce sustainability, and outcomes for diverse communities.</w:t>
      </w:r>
    </w:p>
    <w:p w14:paraId="2063057E" w14:textId="44BC7309" w:rsidR="00AB5B35" w:rsidRDefault="00AB5B35" w:rsidP="00AB5B35">
      <w:r>
        <w:t>•</w:t>
      </w:r>
      <w:r>
        <w:tab/>
        <w:t xml:space="preserve">Improve data consistency and regional visibility so communities such as </w:t>
      </w:r>
      <w:proofErr w:type="spellStart"/>
      <w:r>
        <w:t>Bindjareb</w:t>
      </w:r>
      <w:proofErr w:type="spellEnd"/>
      <w:r>
        <w:t xml:space="preserve"> are not diluted between metropolitan and regional boundaries or made invisible by inconsistent datasets.</w:t>
      </w:r>
    </w:p>
    <w:p w14:paraId="2A049B02" w14:textId="2DF1193D" w:rsidR="00AB5B35" w:rsidRDefault="00AB5B35" w:rsidP="00AB5B35">
      <w:pPr>
        <w:rPr>
          <w:b/>
          <w:bCs/>
        </w:rPr>
      </w:pPr>
      <w:r w:rsidRPr="00AB5B35">
        <w:rPr>
          <w:b/>
          <w:bCs/>
        </w:rPr>
        <w:lastRenderedPageBreak/>
        <w:t>Are there any other actions you think should be a priority to stop family, domestic and sexual violence?</w:t>
      </w:r>
    </w:p>
    <w:p w14:paraId="76D91B90" w14:textId="73B071ED" w:rsidR="00AB5B35" w:rsidRDefault="00AB5B35" w:rsidP="00AB5B35">
      <w:r>
        <w:t>•</w:t>
      </w:r>
      <w:r>
        <w:tab/>
        <w:t>Include a dedicated national sexual violence reform stream within the Second Action Plan, with clear actions for specialist service funding, workforce development, prevention, data, justice reform, forensic access and recovery.</w:t>
      </w:r>
    </w:p>
    <w:p w14:paraId="02034912" w14:textId="77777777" w:rsidR="00AB5B35" w:rsidRDefault="00AB5B35" w:rsidP="00AB5B35">
      <w:r>
        <w:t>•</w:t>
      </w:r>
      <w:r>
        <w:tab/>
        <w:t>Commission national sexual violence service mapping and a minimum data set to identify service gaps, regional inequities, workforce constraints, unmet demand and outcomes over time.</w:t>
      </w:r>
    </w:p>
    <w:p w14:paraId="5316DE6D" w14:textId="77777777" w:rsidR="00AB5B35" w:rsidRDefault="00AB5B35" w:rsidP="00AB5B35">
      <w:r>
        <w:t>•</w:t>
      </w:r>
      <w:r>
        <w:tab/>
        <w:t>Implement a national forensic access guarantee so timely medical and forensic care is not postcode-dependent and does not rely on immediate police reporting.</w:t>
      </w:r>
    </w:p>
    <w:p w14:paraId="2F5FDFDB" w14:textId="77777777" w:rsidR="00AB5B35" w:rsidRDefault="00AB5B35" w:rsidP="00AB5B35">
      <w:r>
        <w:t>•</w:t>
      </w:r>
      <w:r>
        <w:tab/>
        <w:t>Ensure all related national plans work together, including the Second Action Plan, Our Ways - Strong Ways - Our Voices, Safe and Supported, and the National Strategy to Prevent and Respond to Child Sexual Abuse.</w:t>
      </w:r>
    </w:p>
    <w:p w14:paraId="0C1BA064" w14:textId="77777777" w:rsidR="00AB5B35" w:rsidRDefault="00AB5B35" w:rsidP="00AB5B35">
      <w:r>
        <w:t>•</w:t>
      </w:r>
      <w:r>
        <w:tab/>
        <w:t>Treat regional equity as a national implementation test. If reforms do not work in regional communities with mixed metropolitan/regional boundaries, workforce shortages and travel barriers, they will not achieve national equity.</w:t>
      </w:r>
    </w:p>
    <w:p w14:paraId="1AE4C8EA" w14:textId="77777777" w:rsidR="00AB5B35" w:rsidRDefault="00AB5B35" w:rsidP="00AB5B35">
      <w:r>
        <w:t>•</w:t>
      </w:r>
      <w:r>
        <w:tab/>
        <w:t>Address systems abuse across policing, courts, family law, child support, child protection, health, housing and service systems so perpetrators cannot use systems to continue harm and victim-survivors are not retraumatised by the response.</w:t>
      </w:r>
    </w:p>
    <w:p w14:paraId="55FC6F68" w14:textId="77777777" w:rsidR="00AB5B35" w:rsidRDefault="00AB5B35" w:rsidP="00AB5B35">
      <w:r>
        <w:t>•</w:t>
      </w:r>
      <w:r>
        <w:tab/>
        <w:t>Invest in long-term recovery, not only crisis response. Healing requires access to counselling, advocacy, health care, housing stability, income security, legal support, child and family support, and culturally grounded healing options.</w:t>
      </w:r>
    </w:p>
    <w:p w14:paraId="6CAE0D9F" w14:textId="5E5B67F8" w:rsidR="00AB5B35" w:rsidRPr="00AB5B35" w:rsidRDefault="00AB5B35" w:rsidP="00AB5B35">
      <w:r>
        <w:t>•</w:t>
      </w:r>
      <w:r>
        <w:tab/>
        <w:t>Build a national outcomes framework that measures safety, accountability, recovery, service access, cultural safety, regional equity, workforce sustainability and whether reforms reduce harm over time.</w:t>
      </w:r>
    </w:p>
    <w:sectPr w:rsidR="00AB5B35" w:rsidRPr="00AB5B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B35"/>
    <w:rsid w:val="00022A23"/>
    <w:rsid w:val="0023679E"/>
    <w:rsid w:val="007619C8"/>
    <w:rsid w:val="00AB5B35"/>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535E2"/>
  <w15:chartTrackingRefBased/>
  <w15:docId w15:val="{2E2A336D-B038-4ADD-8995-77D26662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B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B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B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B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B35"/>
    <w:rPr>
      <w:rFonts w:eastAsiaTheme="majorEastAsia" w:cstheme="majorBidi"/>
      <w:color w:val="272727" w:themeColor="text1" w:themeTint="D8"/>
    </w:rPr>
  </w:style>
  <w:style w:type="paragraph" w:styleId="Title">
    <w:name w:val="Title"/>
    <w:basedOn w:val="Normal"/>
    <w:next w:val="Normal"/>
    <w:link w:val="TitleChar"/>
    <w:uiPriority w:val="10"/>
    <w:qFormat/>
    <w:rsid w:val="00AB5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B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B35"/>
    <w:pPr>
      <w:spacing w:before="160"/>
      <w:jc w:val="center"/>
    </w:pPr>
    <w:rPr>
      <w:i/>
      <w:iCs/>
      <w:color w:val="404040" w:themeColor="text1" w:themeTint="BF"/>
    </w:rPr>
  </w:style>
  <w:style w:type="character" w:customStyle="1" w:styleId="QuoteChar">
    <w:name w:val="Quote Char"/>
    <w:basedOn w:val="DefaultParagraphFont"/>
    <w:link w:val="Quote"/>
    <w:uiPriority w:val="29"/>
    <w:rsid w:val="00AB5B35"/>
    <w:rPr>
      <w:i/>
      <w:iCs/>
      <w:color w:val="404040" w:themeColor="text1" w:themeTint="BF"/>
    </w:rPr>
  </w:style>
  <w:style w:type="paragraph" w:styleId="ListParagraph">
    <w:name w:val="List Paragraph"/>
    <w:basedOn w:val="Normal"/>
    <w:uiPriority w:val="34"/>
    <w:qFormat/>
    <w:rsid w:val="00AB5B35"/>
    <w:pPr>
      <w:ind w:left="720"/>
      <w:contextualSpacing/>
    </w:pPr>
  </w:style>
  <w:style w:type="character" w:styleId="IntenseEmphasis">
    <w:name w:val="Intense Emphasis"/>
    <w:basedOn w:val="DefaultParagraphFont"/>
    <w:uiPriority w:val="21"/>
    <w:qFormat/>
    <w:rsid w:val="00AB5B35"/>
    <w:rPr>
      <w:i/>
      <w:iCs/>
      <w:color w:val="0F4761" w:themeColor="accent1" w:themeShade="BF"/>
    </w:rPr>
  </w:style>
  <w:style w:type="paragraph" w:styleId="IntenseQuote">
    <w:name w:val="Intense Quote"/>
    <w:basedOn w:val="Normal"/>
    <w:next w:val="Normal"/>
    <w:link w:val="IntenseQuoteChar"/>
    <w:uiPriority w:val="30"/>
    <w:qFormat/>
    <w:rsid w:val="00AB5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B35"/>
    <w:rPr>
      <w:i/>
      <w:iCs/>
      <w:color w:val="0F4761" w:themeColor="accent1" w:themeShade="BF"/>
    </w:rPr>
  </w:style>
  <w:style w:type="character" w:styleId="IntenseReference">
    <w:name w:val="Intense Reference"/>
    <w:basedOn w:val="DefaultParagraphFont"/>
    <w:uiPriority w:val="32"/>
    <w:qFormat/>
    <w:rsid w:val="00AB5B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147B99-AF1A-4680-ABAD-A94C6D53ED69}"/>
</file>

<file path=customXml/itemProps2.xml><?xml version="1.0" encoding="utf-8"?>
<ds:datastoreItem xmlns:ds="http://schemas.openxmlformats.org/officeDocument/2006/customXml" ds:itemID="{8B153140-55AE-4D7F-A376-DFE9FA432545}"/>
</file>

<file path=customXml/itemProps3.xml><?xml version="1.0" encoding="utf-8"?>
<ds:datastoreItem xmlns:ds="http://schemas.openxmlformats.org/officeDocument/2006/customXml" ds:itemID="{1AF95D76-F624-4997-AF43-6FCDC5EAE1E3}"/>
</file>

<file path=docProps/app.xml><?xml version="1.0" encoding="utf-8"?>
<Properties xmlns="http://schemas.openxmlformats.org/officeDocument/2006/extended-properties" xmlns:vt="http://schemas.openxmlformats.org/officeDocument/2006/docPropsVTypes">
  <Template>Normal.dotm</Template>
  <TotalTime>2</TotalTime>
  <Pages>8</Pages>
  <Words>2977</Words>
  <Characters>16971</Characters>
  <Application>Microsoft Office Word</Application>
  <DocSecurity>0</DocSecurity>
  <Lines>141</Lines>
  <Paragraphs>39</Paragraphs>
  <ScaleCrop>false</ScaleCrop>
  <Company/>
  <LinksUpToDate>false</LinksUpToDate>
  <CharactersWithSpaces>19909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2026-09-02T04:34:00Z</dcterms:created>
  <dcterms:modified xsi:type="dcterms:W3CDTF">2026-09-02T04:36:00Z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