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443CD1" w:rsidRPr="007A5631" w:rsidRDefault="00810679" w:rsidP="007A5631">
      <w:pPr>
        <w:spacing w:before="2000" w:after="400" w:line="276" w:lineRule="auto"/>
        <w:rPr>
          <w:rFonts w:ascii="Roboto" w:eastAsia="Aptos" w:hAnsi="Roboto" w:cs="Aptos"/>
          <w:b/>
          <w:bCs/>
          <w:color w:val="2E5DA0"/>
          <w:sz w:val="36"/>
          <w:szCs w:val="36"/>
        </w:rPr>
      </w:pPr>
      <w:r w:rsidRPr="007A5631">
        <w:rPr>
          <w:rFonts w:ascii="Roboto" w:hAnsi="Roboto"/>
          <w:noProof/>
        </w:rPr>
        <w:drawing>
          <wp:anchor distT="0" distB="0" distL="0" distR="0" simplePos="0" relativeHeight="251658240" behindDoc="1" locked="0" layoutInCell="1" hidden="0" allowOverlap="1" wp14:anchorId="246860BF" wp14:editId="53543C61">
            <wp:simplePos x="0" y="0"/>
            <wp:positionH relativeFrom="column">
              <wp:posOffset>2085884</wp:posOffset>
            </wp:positionH>
            <wp:positionV relativeFrom="paragraph">
              <wp:posOffset>1079500</wp:posOffset>
            </wp:positionV>
            <wp:extent cx="1395786" cy="2122714"/>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l="15401" r="18184"/>
                    <a:stretch>
                      <a:fillRect/>
                    </a:stretch>
                  </pic:blipFill>
                  <pic:spPr>
                    <a:xfrm>
                      <a:off x="0" y="0"/>
                      <a:ext cx="1395786" cy="2122714"/>
                    </a:xfrm>
                    <a:prstGeom prst="rect">
                      <a:avLst/>
                    </a:prstGeom>
                    <a:ln/>
                  </pic:spPr>
                </pic:pic>
              </a:graphicData>
            </a:graphic>
          </wp:anchor>
        </w:drawing>
      </w:r>
    </w:p>
    <w:p w14:paraId="00000002" w14:textId="77777777" w:rsidR="00443CD1" w:rsidRPr="007A5631" w:rsidRDefault="00443CD1" w:rsidP="007A5631">
      <w:pPr>
        <w:spacing w:after="400" w:line="276" w:lineRule="auto"/>
        <w:rPr>
          <w:rFonts w:ascii="Roboto" w:eastAsia="Aptos" w:hAnsi="Roboto" w:cs="Aptos"/>
          <w:b/>
          <w:bCs/>
          <w:color w:val="2E5DA0"/>
          <w:sz w:val="36"/>
          <w:szCs w:val="36"/>
        </w:rPr>
      </w:pPr>
    </w:p>
    <w:p w14:paraId="00000003" w14:textId="77777777" w:rsidR="00443CD1" w:rsidRPr="007A5631" w:rsidRDefault="00443CD1" w:rsidP="007A5631">
      <w:pPr>
        <w:spacing w:after="400" w:line="276" w:lineRule="auto"/>
        <w:rPr>
          <w:rFonts w:ascii="Roboto" w:eastAsia="Aptos" w:hAnsi="Roboto" w:cs="Aptos"/>
          <w:b/>
          <w:bCs/>
          <w:color w:val="2E5DA0"/>
        </w:rPr>
      </w:pPr>
    </w:p>
    <w:p w14:paraId="00000004" w14:textId="77777777" w:rsidR="00443CD1" w:rsidRPr="007A5631" w:rsidRDefault="00443CD1" w:rsidP="007A5631">
      <w:pPr>
        <w:spacing w:after="400" w:line="276" w:lineRule="auto"/>
        <w:rPr>
          <w:rFonts w:ascii="Roboto" w:eastAsia="Aptos" w:hAnsi="Roboto" w:cs="Aptos"/>
          <w:b/>
          <w:bCs/>
          <w:color w:val="2E5DA0"/>
        </w:rPr>
      </w:pPr>
    </w:p>
    <w:p w14:paraId="00000005" w14:textId="77777777" w:rsidR="00443CD1" w:rsidRPr="007A5631" w:rsidRDefault="00443CD1" w:rsidP="007A5631">
      <w:pPr>
        <w:spacing w:after="400" w:line="276" w:lineRule="auto"/>
        <w:rPr>
          <w:rFonts w:ascii="Roboto" w:eastAsia="Aptos" w:hAnsi="Roboto" w:cs="Aptos"/>
          <w:b/>
          <w:bCs/>
          <w:color w:val="2E5DA0"/>
        </w:rPr>
      </w:pPr>
    </w:p>
    <w:p w14:paraId="00000006" w14:textId="77777777" w:rsidR="00443CD1" w:rsidRPr="007A5631" w:rsidRDefault="00810679" w:rsidP="007A5631">
      <w:pPr>
        <w:spacing w:after="400" w:line="276" w:lineRule="auto"/>
        <w:jc w:val="center"/>
        <w:rPr>
          <w:rFonts w:ascii="Roboto" w:eastAsia="Aptos" w:hAnsi="Roboto" w:cs="Aptos"/>
          <w:sz w:val="32"/>
          <w:szCs w:val="32"/>
        </w:rPr>
      </w:pPr>
      <w:r w:rsidRPr="007A5631">
        <w:rPr>
          <w:rFonts w:ascii="Roboto" w:eastAsia="Aptos" w:hAnsi="Roboto" w:cs="Aptos"/>
          <w:b/>
          <w:bCs/>
          <w:color w:val="2E5DA0"/>
          <w:sz w:val="32"/>
          <w:szCs w:val="32"/>
        </w:rPr>
        <w:t>Consultation on the Second Action Plan (National Plan to End Violence against Women and Children 2022-2032)</w:t>
      </w:r>
    </w:p>
    <w:p w14:paraId="00000007" w14:textId="77777777" w:rsidR="00443CD1" w:rsidRDefault="00810679" w:rsidP="007A5631">
      <w:pPr>
        <w:spacing w:after="2000" w:line="276" w:lineRule="auto"/>
        <w:jc w:val="center"/>
        <w:rPr>
          <w:rFonts w:ascii="Roboto" w:eastAsia="Aptos" w:hAnsi="Roboto" w:cs="Aptos"/>
          <w:b/>
          <w:bCs/>
          <w:color w:val="2E5DA0"/>
        </w:rPr>
      </w:pPr>
      <w:r w:rsidRPr="007A5631">
        <w:rPr>
          <w:rFonts w:ascii="Roboto" w:eastAsia="Aptos" w:hAnsi="Roboto" w:cs="Aptos"/>
          <w:b/>
          <w:bCs/>
          <w:color w:val="2E5DA0"/>
        </w:rPr>
        <w:t>June 2026</w:t>
      </w:r>
    </w:p>
    <w:p w14:paraId="37FEE417" w14:textId="3AD03806" w:rsidR="00402363" w:rsidRPr="007A5631" w:rsidRDefault="00C30E48" w:rsidP="007A5631">
      <w:pPr>
        <w:spacing w:after="2000" w:line="276" w:lineRule="auto"/>
        <w:jc w:val="center"/>
        <w:rPr>
          <w:rFonts w:ascii="Roboto" w:eastAsia="Aptos" w:hAnsi="Roboto" w:cs="Aptos"/>
          <w:sz w:val="22"/>
          <w:szCs w:val="22"/>
        </w:rPr>
      </w:pPr>
      <w:r>
        <w:rPr>
          <w:rFonts w:ascii="Roboto" w:eastAsia="Aptos" w:hAnsi="Roboto" w:cs="Aptos"/>
          <w:b/>
          <w:bCs/>
          <w:color w:val="2E5DA0"/>
        </w:rPr>
        <w:t>team@bloom-ed.org</w:t>
      </w:r>
    </w:p>
    <w:p w14:paraId="00000008" w14:textId="77777777" w:rsidR="00443CD1" w:rsidRPr="007A5631" w:rsidRDefault="00810679" w:rsidP="007A5631">
      <w:pPr>
        <w:spacing w:line="276" w:lineRule="auto"/>
        <w:rPr>
          <w:rFonts w:ascii="Roboto" w:eastAsia="Aptos" w:hAnsi="Roboto" w:cs="Aptos"/>
          <w:b/>
          <w:bCs/>
          <w:color w:val="2E5DA0"/>
          <w:sz w:val="28"/>
          <w:szCs w:val="28"/>
        </w:rPr>
      </w:pPr>
      <w:r w:rsidRPr="007A5631">
        <w:rPr>
          <w:rFonts w:ascii="Roboto" w:hAnsi="Roboto"/>
        </w:rPr>
        <w:br w:type="page"/>
      </w:r>
    </w:p>
    <w:p w14:paraId="00000009" w14:textId="77777777" w:rsidR="00443CD1" w:rsidRPr="007A5631" w:rsidRDefault="00810679" w:rsidP="007A5631">
      <w:pPr>
        <w:pStyle w:val="Heading1"/>
        <w:spacing w:line="276" w:lineRule="auto"/>
        <w:rPr>
          <w:rFonts w:ascii="Roboto" w:eastAsia="Aptos" w:hAnsi="Roboto" w:cs="Aptos"/>
        </w:rPr>
      </w:pPr>
      <w:r w:rsidRPr="007A5631">
        <w:rPr>
          <w:rFonts w:ascii="Roboto" w:eastAsia="Aptos" w:hAnsi="Roboto" w:cs="Aptos"/>
        </w:rPr>
        <w:lastRenderedPageBreak/>
        <w:t>About Bloom-ED</w:t>
      </w:r>
    </w:p>
    <w:p w14:paraId="0000000A" w14:textId="77777777" w:rsidR="00443CD1" w:rsidRPr="007A5631" w:rsidRDefault="00810679" w:rsidP="007A5631">
      <w:pPr>
        <w:spacing w:after="160" w:line="276" w:lineRule="auto"/>
        <w:rPr>
          <w:rFonts w:ascii="Roboto" w:eastAsia="Aptos" w:hAnsi="Roboto" w:cs="Aptos"/>
        </w:rPr>
      </w:pPr>
      <w:r w:rsidRPr="007A5631">
        <w:rPr>
          <w:rFonts w:ascii="Roboto" w:eastAsia="Aptos" w:hAnsi="Roboto" w:cs="Aptos"/>
        </w:rPr>
        <w:t>Bloom-ED is the Australian national peak body advocacy group committed to ensuring evidence-based Relationships and Sexuality Education (RSE) is provided to all children and young people in their homes, schools and communities. We affirm that successful RSE has many positive outcomes that result in healthier hearts, minds, bodies and people. We are a collective of educators, researchers, sexologists, students, teachers, parents and activists who operate as an alliance in conjunction with other organisations to advocate for comprehensive RSE.</w:t>
      </w:r>
    </w:p>
    <w:p w14:paraId="0000000B" w14:textId="70D46D54" w:rsidR="00443CD1" w:rsidRPr="00155215" w:rsidRDefault="00810679" w:rsidP="007A5631">
      <w:pPr>
        <w:spacing w:after="200" w:line="276" w:lineRule="auto"/>
        <w:rPr>
          <w:rFonts w:ascii="Roboto" w:eastAsia="Aptos" w:hAnsi="Roboto" w:cs="Aptos"/>
        </w:rPr>
      </w:pPr>
      <w:r w:rsidRPr="007A5631">
        <w:rPr>
          <w:rFonts w:ascii="Roboto" w:eastAsia="Aptos" w:hAnsi="Roboto" w:cs="Aptos"/>
        </w:rPr>
        <w:t>Our website and more information about our advocacy work can be found at</w:t>
      </w:r>
      <w:hyperlink r:id="rId12">
        <w:r w:rsidR="00443CD1" w:rsidRPr="007A5631">
          <w:rPr>
            <w:rFonts w:ascii="Roboto" w:eastAsia="Aptos" w:hAnsi="Roboto" w:cs="Aptos"/>
          </w:rPr>
          <w:t xml:space="preserve"> </w:t>
        </w:r>
      </w:hyperlink>
      <w:r w:rsidR="00155215" w:rsidRPr="00155215">
        <w:rPr>
          <w:rFonts w:ascii="Roboto" w:eastAsia="Aptos" w:hAnsi="Roboto" w:cs="Aptos"/>
        </w:rPr>
        <w:t>[link</w:t>
      </w:r>
      <w:r w:rsidR="00155215" w:rsidRPr="00155215">
        <w:rPr>
          <w:rFonts w:ascii="Roboto" w:hAnsi="Roboto"/>
        </w:rPr>
        <w:t xml:space="preserve"> redacted]</w:t>
      </w:r>
      <w:r w:rsidRPr="00155215">
        <w:rPr>
          <w:rFonts w:ascii="Roboto" w:eastAsia="Aptos" w:hAnsi="Roboto" w:cs="Aptos"/>
        </w:rPr>
        <w:t>.</w:t>
      </w:r>
    </w:p>
    <w:p w14:paraId="0000000C" w14:textId="77777777" w:rsidR="00443CD1" w:rsidRPr="007A5631" w:rsidRDefault="009470A7" w:rsidP="007A5631">
      <w:pPr>
        <w:spacing w:after="160" w:line="276" w:lineRule="auto"/>
        <w:rPr>
          <w:rFonts w:ascii="Roboto" w:eastAsia="Aptos" w:hAnsi="Roboto" w:cs="Aptos"/>
        </w:rPr>
      </w:pPr>
      <w:r>
        <w:rPr>
          <w:rFonts w:ascii="Roboto" w:hAnsi="Roboto"/>
        </w:rPr>
        <w:pict w14:anchorId="278168E2">
          <v:rect id="_x0000_i1025" style="width:0;height:1.5pt" o:hrstd="t" o:hr="t" fillcolor="#a0a0a0" stroked="f"/>
        </w:pict>
      </w:r>
    </w:p>
    <w:p w14:paraId="0000000D" w14:textId="77777777" w:rsidR="00443CD1" w:rsidRPr="007A5631" w:rsidRDefault="00810679" w:rsidP="007A5631">
      <w:pPr>
        <w:pStyle w:val="Heading1"/>
        <w:spacing w:line="276" w:lineRule="auto"/>
        <w:rPr>
          <w:rFonts w:ascii="Roboto" w:eastAsia="Aptos" w:hAnsi="Roboto" w:cs="Aptos"/>
        </w:rPr>
      </w:pPr>
      <w:bookmarkStart w:id="0" w:name="_heading=h.s4456edtq1mf" w:colFirst="0" w:colLast="0"/>
      <w:bookmarkEnd w:id="0"/>
      <w:r w:rsidRPr="007A5631">
        <w:rPr>
          <w:rFonts w:ascii="Roboto" w:eastAsia="Aptos" w:hAnsi="Roboto" w:cs="Aptos"/>
        </w:rPr>
        <w:t>Introduction</w:t>
      </w:r>
    </w:p>
    <w:p w14:paraId="0000000F" w14:textId="6992D3FE" w:rsidR="00443CD1" w:rsidRPr="007A5631" w:rsidRDefault="00810679" w:rsidP="007A5631">
      <w:pPr>
        <w:spacing w:after="160" w:line="276" w:lineRule="auto"/>
        <w:rPr>
          <w:rFonts w:ascii="Roboto" w:eastAsia="Aptos" w:hAnsi="Roboto" w:cs="Aptos"/>
        </w:rPr>
      </w:pPr>
      <w:r w:rsidRPr="007A5631">
        <w:rPr>
          <w:rFonts w:ascii="Roboto" w:eastAsia="Aptos" w:hAnsi="Roboto" w:cs="Aptos"/>
        </w:rPr>
        <w:t>Bloom-ED welcomes the opportunity to contribute to the development of the Second Action Plan under the National Plan to End Violence against Women and Children 2022–2032. As the national peak body for RSE, Bloom-ED focuses its submission on the two priority areas where high-quality, comprehensive RSE offers the greatest contribution: Priority Area 2 (Prevention and early intervention) and Priority Area 3 (Children and young people in their own right).</w:t>
      </w:r>
    </w:p>
    <w:p w14:paraId="00000010" w14:textId="77777777" w:rsidR="00443CD1" w:rsidRPr="007A5631" w:rsidRDefault="00810679" w:rsidP="007A5631">
      <w:pPr>
        <w:spacing w:after="160" w:line="276" w:lineRule="auto"/>
        <w:rPr>
          <w:rFonts w:ascii="Roboto" w:eastAsia="Aptos" w:hAnsi="Roboto" w:cs="Aptos"/>
        </w:rPr>
      </w:pPr>
      <w:r w:rsidRPr="007A5631">
        <w:rPr>
          <w:rFonts w:ascii="Roboto" w:eastAsia="Aptos" w:hAnsi="Roboto" w:cs="Aptos"/>
        </w:rPr>
        <w:t>Our central message is that comprehensive, evidence-informed RSE is one of the few universal primary prevention strategies capable of reaching most children and young people, addressing multiple risk factors for gender-based and sexual violence simultaneously, and doing so early enough and with sufficient dosage to support lasting change. We encourage the Australian Government to recognise RSE explicitly as core prevention infrastructure within the Second Action Plan, and to invest accordingly in its quality, consistency, workforce and reach.</w:t>
      </w:r>
    </w:p>
    <w:p w14:paraId="00000011" w14:textId="77777777" w:rsidR="00443CD1" w:rsidRPr="007A5631" w:rsidRDefault="009470A7" w:rsidP="007A5631">
      <w:pPr>
        <w:spacing w:after="160" w:line="276" w:lineRule="auto"/>
        <w:rPr>
          <w:rFonts w:ascii="Roboto" w:eastAsia="Aptos" w:hAnsi="Roboto" w:cs="Aptos"/>
        </w:rPr>
      </w:pPr>
      <w:r>
        <w:rPr>
          <w:rFonts w:ascii="Roboto" w:hAnsi="Roboto"/>
        </w:rPr>
        <w:pict w14:anchorId="0A7E293A">
          <v:rect id="_x0000_i1026" style="width:0;height:1.5pt" o:hrstd="t" o:hr="t" fillcolor="#a0a0a0" stroked="f"/>
        </w:pict>
      </w:r>
    </w:p>
    <w:p w14:paraId="00000012" w14:textId="77777777" w:rsidR="00443CD1" w:rsidRPr="007A5631" w:rsidRDefault="00810679" w:rsidP="007A5631">
      <w:pPr>
        <w:pStyle w:val="Heading1"/>
        <w:spacing w:line="276" w:lineRule="auto"/>
        <w:rPr>
          <w:rFonts w:ascii="Roboto" w:eastAsia="Aptos" w:hAnsi="Roboto" w:cs="Aptos"/>
          <w:b w:val="0"/>
          <w:bCs w:val="0"/>
          <w:color w:val="000000"/>
          <w:sz w:val="24"/>
          <w:szCs w:val="24"/>
        </w:rPr>
      </w:pPr>
      <w:bookmarkStart w:id="1" w:name="_heading=h.kstpb0u48mom" w:colFirst="0" w:colLast="0"/>
      <w:bookmarkEnd w:id="1"/>
      <w:r w:rsidRPr="007A5631">
        <w:rPr>
          <w:rFonts w:ascii="Roboto" w:eastAsia="Aptos" w:hAnsi="Roboto" w:cs="Aptos"/>
        </w:rPr>
        <w:t>Summary of recommendations</w:t>
      </w:r>
    </w:p>
    <w:p w14:paraId="00000013" w14:textId="77777777" w:rsidR="00443CD1" w:rsidRPr="007A5631" w:rsidRDefault="00810679" w:rsidP="007A5631">
      <w:pPr>
        <w:spacing w:after="160" w:line="276" w:lineRule="auto"/>
        <w:rPr>
          <w:rFonts w:ascii="Roboto" w:eastAsia="Aptos" w:hAnsi="Roboto" w:cs="Aptos"/>
        </w:rPr>
      </w:pPr>
      <w:r w:rsidRPr="007A5631">
        <w:rPr>
          <w:rFonts w:ascii="Roboto" w:eastAsia="Aptos" w:hAnsi="Roboto" w:cs="Aptos"/>
        </w:rPr>
        <w:t>Bloom-ED recommends that the Second Action Plan prioritise the following actions.</w:t>
      </w:r>
    </w:p>
    <w:p w14:paraId="00000014" w14:textId="77777777" w:rsidR="00443CD1" w:rsidRPr="007A5631" w:rsidRDefault="00810679" w:rsidP="007A5631">
      <w:pPr>
        <w:spacing w:after="80" w:line="276" w:lineRule="auto"/>
        <w:rPr>
          <w:rFonts w:ascii="Roboto" w:eastAsia="Aptos" w:hAnsi="Roboto" w:cs="Aptos"/>
          <w:b/>
          <w:bCs/>
        </w:rPr>
      </w:pPr>
      <w:r w:rsidRPr="007A5631">
        <w:rPr>
          <w:rFonts w:ascii="Roboto" w:eastAsia="Aptos" w:hAnsi="Roboto" w:cs="Aptos"/>
          <w:b/>
          <w:bCs/>
        </w:rPr>
        <w:t>Priority Area 2: Prevention and early intervention</w:t>
      </w:r>
    </w:p>
    <w:p w14:paraId="00000015" w14:textId="77777777" w:rsidR="00443CD1" w:rsidRPr="007A5631" w:rsidRDefault="00810679" w:rsidP="007A5631">
      <w:pPr>
        <w:numPr>
          <w:ilvl w:val="0"/>
          <w:numId w:val="2"/>
        </w:numPr>
        <w:spacing w:line="276" w:lineRule="auto"/>
        <w:rPr>
          <w:rFonts w:ascii="Roboto" w:eastAsia="Aptos" w:hAnsi="Roboto" w:cs="Aptos"/>
        </w:rPr>
      </w:pPr>
      <w:r w:rsidRPr="007A5631">
        <w:rPr>
          <w:rFonts w:ascii="Roboto" w:eastAsia="Aptos" w:hAnsi="Roboto" w:cs="Aptos"/>
        </w:rPr>
        <w:t>Embed comprehensive RSE within all initial teacher education programs and fund ongoing professional development for the broader workforce.</w:t>
      </w:r>
    </w:p>
    <w:p w14:paraId="00000016" w14:textId="77777777" w:rsidR="00443CD1" w:rsidRPr="007A5631" w:rsidRDefault="00810679" w:rsidP="007A5631">
      <w:pPr>
        <w:numPr>
          <w:ilvl w:val="0"/>
          <w:numId w:val="2"/>
        </w:numPr>
        <w:spacing w:line="276" w:lineRule="auto"/>
        <w:rPr>
          <w:rFonts w:ascii="Roboto" w:eastAsia="Aptos" w:hAnsi="Roboto" w:cs="Aptos"/>
        </w:rPr>
      </w:pPr>
      <w:r w:rsidRPr="007A5631">
        <w:rPr>
          <w:rFonts w:ascii="Roboto" w:eastAsia="Aptos" w:hAnsi="Roboto" w:cs="Aptos"/>
        </w:rPr>
        <w:t>Mandate RSE through Years 11 and 12.</w:t>
      </w:r>
    </w:p>
    <w:p w14:paraId="00000017" w14:textId="77777777" w:rsidR="00443CD1" w:rsidRPr="007A5631" w:rsidRDefault="00810679" w:rsidP="007A5631">
      <w:pPr>
        <w:numPr>
          <w:ilvl w:val="0"/>
          <w:numId w:val="2"/>
        </w:numPr>
        <w:spacing w:line="276" w:lineRule="auto"/>
        <w:rPr>
          <w:rFonts w:ascii="Roboto" w:eastAsia="Aptos" w:hAnsi="Roboto" w:cs="Aptos"/>
        </w:rPr>
      </w:pPr>
      <w:r w:rsidRPr="007A5631">
        <w:rPr>
          <w:rFonts w:ascii="Roboto" w:eastAsia="Aptos" w:hAnsi="Roboto" w:cs="Aptos"/>
        </w:rPr>
        <w:t>Expand consent education to include responding to harm, disclosure, accountability and help-seeking.</w:t>
      </w:r>
    </w:p>
    <w:p w14:paraId="00000018" w14:textId="77777777" w:rsidR="00443CD1" w:rsidRPr="007A5631" w:rsidRDefault="00810679" w:rsidP="007A5631">
      <w:pPr>
        <w:numPr>
          <w:ilvl w:val="0"/>
          <w:numId w:val="2"/>
        </w:numPr>
        <w:spacing w:line="276" w:lineRule="auto"/>
        <w:rPr>
          <w:rFonts w:ascii="Roboto" w:eastAsia="Aptos" w:hAnsi="Roboto" w:cs="Aptos"/>
        </w:rPr>
      </w:pPr>
      <w:r w:rsidRPr="007A5631">
        <w:rPr>
          <w:rFonts w:ascii="Roboto" w:eastAsia="Aptos" w:hAnsi="Roboto" w:cs="Aptos"/>
        </w:rPr>
        <w:t>Establish nationally consistent, evidence-informed RSE content standards.</w:t>
      </w:r>
    </w:p>
    <w:p w14:paraId="00000019" w14:textId="77777777" w:rsidR="00443CD1" w:rsidRPr="007A5631" w:rsidRDefault="00810679" w:rsidP="007A5631">
      <w:pPr>
        <w:numPr>
          <w:ilvl w:val="0"/>
          <w:numId w:val="2"/>
        </w:numPr>
        <w:spacing w:line="276" w:lineRule="auto"/>
        <w:rPr>
          <w:rFonts w:ascii="Roboto" w:eastAsia="Aptos" w:hAnsi="Roboto" w:cs="Aptos"/>
        </w:rPr>
      </w:pPr>
      <w:r w:rsidRPr="007A5631">
        <w:rPr>
          <w:rFonts w:ascii="Roboto" w:eastAsia="Aptos" w:hAnsi="Roboto" w:cs="Aptos"/>
        </w:rPr>
        <w:lastRenderedPageBreak/>
        <w:t>Commit to regular national monitoring and public reporting on RSE access, quality and delivery.</w:t>
      </w:r>
    </w:p>
    <w:p w14:paraId="0000001A" w14:textId="77777777" w:rsidR="00443CD1" w:rsidRPr="007A5631" w:rsidRDefault="00810679" w:rsidP="007A5631">
      <w:pPr>
        <w:numPr>
          <w:ilvl w:val="0"/>
          <w:numId w:val="2"/>
        </w:numPr>
        <w:spacing w:line="276" w:lineRule="auto"/>
        <w:rPr>
          <w:rFonts w:ascii="Roboto" w:eastAsia="Aptos" w:hAnsi="Roboto" w:cs="Aptos"/>
        </w:rPr>
      </w:pPr>
      <w:r w:rsidRPr="007A5631">
        <w:rPr>
          <w:rFonts w:ascii="Roboto" w:eastAsia="Aptos" w:hAnsi="Roboto" w:cs="Aptos"/>
        </w:rPr>
        <w:t>Explicitly require RSE to address online and technology-facilitated sexual violence as a core content area.</w:t>
      </w:r>
    </w:p>
    <w:p w14:paraId="0000001C" w14:textId="746FC7C2" w:rsidR="00443CD1" w:rsidRPr="007A5631" w:rsidRDefault="006E52D9" w:rsidP="007A5631">
      <w:pPr>
        <w:numPr>
          <w:ilvl w:val="0"/>
          <w:numId w:val="2"/>
        </w:numPr>
        <w:spacing w:after="80" w:line="276" w:lineRule="auto"/>
        <w:rPr>
          <w:rFonts w:ascii="Roboto" w:eastAsia="Aptos" w:hAnsi="Roboto" w:cs="Aptos"/>
        </w:rPr>
      </w:pPr>
      <w:r w:rsidRPr="007A5631">
        <w:rPr>
          <w:rFonts w:ascii="Roboto" w:eastAsia="Aptos" w:hAnsi="Roboto" w:cs="Aptos"/>
        </w:rPr>
        <w:t>Ensure that all schools are supported to adopt a whole-school approach that actively engages parents and carers.</w:t>
      </w:r>
    </w:p>
    <w:p w14:paraId="0000001D" w14:textId="77777777" w:rsidR="00443CD1" w:rsidRPr="007A5631" w:rsidRDefault="00810679" w:rsidP="007A5631">
      <w:pPr>
        <w:spacing w:before="80" w:after="80" w:line="276" w:lineRule="auto"/>
        <w:rPr>
          <w:rFonts w:ascii="Roboto" w:eastAsia="Aptos" w:hAnsi="Roboto" w:cs="Aptos"/>
          <w:b/>
          <w:bCs/>
        </w:rPr>
      </w:pPr>
      <w:r w:rsidRPr="007A5631">
        <w:rPr>
          <w:rFonts w:ascii="Roboto" w:eastAsia="Aptos" w:hAnsi="Roboto" w:cs="Aptos"/>
          <w:b/>
          <w:bCs/>
        </w:rPr>
        <w:t>Priority Area 3: Children and young people in their own right</w:t>
      </w:r>
    </w:p>
    <w:p w14:paraId="0000001E" w14:textId="2D458089" w:rsidR="00443CD1" w:rsidRPr="007A5631" w:rsidRDefault="00810679" w:rsidP="007A5631">
      <w:pPr>
        <w:numPr>
          <w:ilvl w:val="0"/>
          <w:numId w:val="2"/>
        </w:numPr>
        <w:spacing w:line="276" w:lineRule="auto"/>
        <w:rPr>
          <w:rFonts w:ascii="Roboto" w:eastAsia="Aptos" w:hAnsi="Roboto" w:cs="Aptos"/>
        </w:rPr>
      </w:pPr>
      <w:r w:rsidRPr="007A5631">
        <w:rPr>
          <w:rFonts w:ascii="Roboto" w:eastAsia="Aptos" w:hAnsi="Roboto" w:cs="Aptos"/>
        </w:rPr>
        <w:t>Fund accessible, co-designed, community-based RSE for young people outside mainstream schooling.</w:t>
      </w:r>
      <w:r w:rsidR="00B02EE2" w:rsidRPr="007A5631">
        <w:rPr>
          <w:rFonts w:ascii="Roboto" w:eastAsia="Aptos" w:hAnsi="Roboto" w:cs="Aptos"/>
        </w:rPr>
        <w:t xml:space="preserve"> This funding would be multi-year and sustainable.</w:t>
      </w:r>
    </w:p>
    <w:p w14:paraId="0000001F" w14:textId="77777777" w:rsidR="00443CD1" w:rsidRPr="007A5631" w:rsidRDefault="00810679" w:rsidP="007A5631">
      <w:pPr>
        <w:numPr>
          <w:ilvl w:val="0"/>
          <w:numId w:val="2"/>
        </w:numPr>
        <w:spacing w:line="276" w:lineRule="auto"/>
        <w:rPr>
          <w:rFonts w:ascii="Roboto" w:eastAsia="Aptos" w:hAnsi="Roboto" w:cs="Aptos"/>
        </w:rPr>
      </w:pPr>
      <w:r w:rsidRPr="007A5631">
        <w:rPr>
          <w:rFonts w:ascii="Roboto" w:eastAsia="Aptos" w:hAnsi="Roboto" w:cs="Aptos"/>
        </w:rPr>
        <w:t>Position RSE as a core mechanism for responding to emerging online and technology-facilitated harms.</w:t>
      </w:r>
    </w:p>
    <w:p w14:paraId="00000021" w14:textId="77777777" w:rsidR="00443CD1" w:rsidRPr="007A5631" w:rsidRDefault="00810679" w:rsidP="007A5631">
      <w:pPr>
        <w:numPr>
          <w:ilvl w:val="0"/>
          <w:numId w:val="2"/>
        </w:numPr>
        <w:spacing w:line="276" w:lineRule="auto"/>
        <w:rPr>
          <w:rFonts w:ascii="Roboto" w:eastAsia="Aptos" w:hAnsi="Roboto" w:cs="Aptos"/>
        </w:rPr>
      </w:pPr>
      <w:r w:rsidRPr="007A5631">
        <w:rPr>
          <w:rFonts w:ascii="Roboto" w:eastAsia="Aptos" w:hAnsi="Roboto" w:cs="Aptos"/>
        </w:rPr>
        <w:t>Invest in co-designed, culturally safe, community-led RSE for Aboriginal and Torres Strait Islander young people.</w:t>
      </w:r>
    </w:p>
    <w:p w14:paraId="00000022" w14:textId="6CE5AC55" w:rsidR="00443CD1" w:rsidRPr="007A5631" w:rsidRDefault="00810679" w:rsidP="007A5631">
      <w:pPr>
        <w:numPr>
          <w:ilvl w:val="0"/>
          <w:numId w:val="2"/>
        </w:numPr>
        <w:spacing w:line="276" w:lineRule="auto"/>
        <w:rPr>
          <w:rFonts w:ascii="Roboto" w:eastAsia="Aptos" w:hAnsi="Roboto" w:cs="Aptos"/>
        </w:rPr>
      </w:pPr>
      <w:r w:rsidRPr="007A5631">
        <w:rPr>
          <w:rFonts w:ascii="Roboto" w:eastAsia="Aptos" w:hAnsi="Roboto" w:cs="Aptos"/>
        </w:rPr>
        <w:t>Recognise RSE’s role in preventing violence against people with disability and LGBTQA+ people across the life course.</w:t>
      </w:r>
    </w:p>
    <w:p w14:paraId="00000023" w14:textId="77777777" w:rsidR="00443CD1" w:rsidRPr="007A5631" w:rsidRDefault="00810679" w:rsidP="007A5631">
      <w:pPr>
        <w:numPr>
          <w:ilvl w:val="0"/>
          <w:numId w:val="2"/>
        </w:numPr>
        <w:spacing w:after="80" w:line="276" w:lineRule="auto"/>
        <w:rPr>
          <w:rFonts w:ascii="Roboto" w:eastAsia="Aptos" w:hAnsi="Roboto" w:cs="Aptos"/>
        </w:rPr>
      </w:pPr>
      <w:r w:rsidRPr="007A5631">
        <w:rPr>
          <w:rFonts w:ascii="Roboto" w:eastAsia="Aptos" w:hAnsi="Roboto" w:cs="Aptos"/>
        </w:rPr>
        <w:t>Invest in ongoing workforce development so educators can respond to emerging harms.</w:t>
      </w:r>
    </w:p>
    <w:p w14:paraId="00000024" w14:textId="77777777" w:rsidR="00443CD1" w:rsidRPr="007A5631" w:rsidRDefault="009470A7" w:rsidP="007A5631">
      <w:pPr>
        <w:spacing w:after="80" w:line="276" w:lineRule="auto"/>
        <w:rPr>
          <w:rFonts w:ascii="Roboto" w:eastAsia="Aptos" w:hAnsi="Roboto" w:cs="Aptos"/>
        </w:rPr>
      </w:pPr>
      <w:r>
        <w:rPr>
          <w:rFonts w:ascii="Roboto" w:hAnsi="Roboto"/>
        </w:rPr>
        <w:pict w14:anchorId="5B6AD5EB">
          <v:rect id="_x0000_i1027" style="width:0;height:1.5pt" o:hrstd="t" o:hr="t" fillcolor="#a0a0a0" stroked="f"/>
        </w:pict>
      </w:r>
    </w:p>
    <w:p w14:paraId="00000025" w14:textId="77777777" w:rsidR="00443CD1" w:rsidRPr="007A5631" w:rsidRDefault="00810679" w:rsidP="007A5631">
      <w:pPr>
        <w:pStyle w:val="Heading1"/>
        <w:spacing w:line="276" w:lineRule="auto"/>
        <w:rPr>
          <w:rFonts w:ascii="Roboto" w:eastAsia="Aptos" w:hAnsi="Roboto" w:cs="Aptos"/>
        </w:rPr>
      </w:pPr>
      <w:r w:rsidRPr="007A5631">
        <w:rPr>
          <w:rFonts w:ascii="Roboto" w:eastAsia="Aptos" w:hAnsi="Roboto" w:cs="Aptos"/>
        </w:rPr>
        <w:t>Priority Area 2: Prevention and Early Intervention</w:t>
      </w:r>
    </w:p>
    <w:p w14:paraId="00000026" w14:textId="68772F80" w:rsidR="00443CD1" w:rsidRPr="007A5631" w:rsidRDefault="00810679" w:rsidP="007A5631">
      <w:pPr>
        <w:pStyle w:val="Heading1"/>
        <w:spacing w:before="0" w:line="276" w:lineRule="auto"/>
        <w:rPr>
          <w:rFonts w:ascii="Roboto" w:eastAsia="Aptos" w:hAnsi="Roboto" w:cs="Aptos"/>
          <w:b w:val="0"/>
          <w:bCs w:val="0"/>
          <w:color w:val="000000"/>
          <w:sz w:val="24"/>
          <w:szCs w:val="24"/>
        </w:rPr>
      </w:pPr>
      <w:r w:rsidRPr="007A5631">
        <w:rPr>
          <w:rFonts w:ascii="Roboto" w:eastAsia="Aptos" w:hAnsi="Roboto" w:cs="Aptos"/>
          <w:b w:val="0"/>
          <w:bCs w:val="0"/>
          <w:color w:val="000000"/>
          <w:sz w:val="24"/>
          <w:szCs w:val="24"/>
        </w:rPr>
        <w:t>We are concerned that the evidence presented under the Prevention and Early Intervention priority area</w:t>
      </w:r>
      <w:r w:rsidR="00164EA5" w:rsidRPr="007A5631">
        <w:rPr>
          <w:rFonts w:ascii="Roboto" w:eastAsia="Aptos" w:hAnsi="Roboto" w:cs="Aptos"/>
          <w:b w:val="0"/>
          <w:bCs w:val="0"/>
          <w:color w:val="000000"/>
          <w:sz w:val="24"/>
          <w:szCs w:val="24"/>
        </w:rPr>
        <w:t xml:space="preserve"> in </w:t>
      </w:r>
      <w:r w:rsidR="00164EA5" w:rsidRPr="007A5631">
        <w:rPr>
          <w:rFonts w:ascii="Roboto" w:eastAsia="Aptos" w:hAnsi="Roboto" w:cs="Aptos"/>
          <w:b w:val="0"/>
          <w:bCs w:val="0"/>
          <w:i/>
          <w:iCs/>
          <w:color w:val="000000"/>
          <w:sz w:val="24"/>
          <w:szCs w:val="24"/>
        </w:rPr>
        <w:t>Evidence to Action: Informing Direction for the Second Action Plan</w:t>
      </w:r>
      <w:r w:rsidR="00164EA5" w:rsidRPr="007A5631">
        <w:rPr>
          <w:rFonts w:ascii="Roboto" w:eastAsia="Aptos" w:hAnsi="Roboto" w:cs="Aptos"/>
          <w:b w:val="0"/>
          <w:bCs w:val="0"/>
          <w:color w:val="000000"/>
          <w:sz w:val="24"/>
          <w:szCs w:val="24"/>
        </w:rPr>
        <w:t xml:space="preserve"> (ANROWS, 2026)</w:t>
      </w:r>
      <w:r w:rsidRPr="007A5631">
        <w:rPr>
          <w:rFonts w:ascii="Roboto" w:eastAsia="Aptos" w:hAnsi="Roboto" w:cs="Aptos"/>
          <w:b w:val="0"/>
          <w:bCs w:val="0"/>
          <w:color w:val="000000"/>
          <w:sz w:val="24"/>
          <w:szCs w:val="24"/>
        </w:rPr>
        <w:t xml:space="preserve"> focuses predominantly on men, boys and father figures. While engaging men and boys is one component of preventing violence against women and children, an overreliance on harmful masculinities as the primary prevention lens risks overlooking the broader structural and institutional conditions that shape the effectiveness of prevention efforts.</w:t>
      </w:r>
    </w:p>
    <w:p w14:paraId="00000027" w14:textId="7BAA4ABF" w:rsidR="00443CD1" w:rsidRPr="007A5631" w:rsidRDefault="00810679" w:rsidP="007A5631">
      <w:pPr>
        <w:pStyle w:val="Heading1"/>
        <w:spacing w:before="0" w:line="276" w:lineRule="auto"/>
        <w:rPr>
          <w:rFonts w:ascii="Roboto" w:eastAsia="Aptos" w:hAnsi="Roboto" w:cs="Aptos"/>
          <w:b w:val="0"/>
          <w:bCs w:val="0"/>
          <w:color w:val="000000"/>
          <w:sz w:val="24"/>
          <w:szCs w:val="24"/>
        </w:rPr>
      </w:pPr>
      <w:r w:rsidRPr="007A5631">
        <w:rPr>
          <w:rFonts w:ascii="Roboto" w:eastAsia="Aptos" w:hAnsi="Roboto" w:cs="Aptos"/>
          <w:b w:val="0"/>
          <w:bCs w:val="0"/>
          <w:color w:val="000000"/>
          <w:sz w:val="24"/>
          <w:szCs w:val="24"/>
        </w:rPr>
        <w:t xml:space="preserve">The evidence base demonstrates that preventing gender-based violence requires a comprehensive, whole-of-system approach. However, the brief gives limited attention to other key prevention mechanisms, particularly comprehensive RSE that engages </w:t>
      </w:r>
      <w:r w:rsidRPr="007A5631">
        <w:rPr>
          <w:rFonts w:ascii="Roboto" w:eastAsia="Aptos" w:hAnsi="Roboto" w:cs="Aptos"/>
          <w:color w:val="000000"/>
          <w:sz w:val="24"/>
          <w:szCs w:val="24"/>
        </w:rPr>
        <w:t>all</w:t>
      </w:r>
      <w:r w:rsidRPr="007A5631">
        <w:rPr>
          <w:rFonts w:ascii="Roboto" w:eastAsia="Aptos" w:hAnsi="Roboto" w:cs="Aptos"/>
          <w:b w:val="0"/>
          <w:bCs w:val="0"/>
          <w:color w:val="000000"/>
          <w:sz w:val="24"/>
          <w:szCs w:val="24"/>
        </w:rPr>
        <w:t xml:space="preserve"> </w:t>
      </w:r>
      <w:r w:rsidR="00D4470E" w:rsidRPr="007A5631">
        <w:rPr>
          <w:rFonts w:ascii="Roboto" w:eastAsia="Aptos" w:hAnsi="Roboto" w:cs="Aptos"/>
          <w:b w:val="0"/>
          <w:bCs w:val="0"/>
          <w:color w:val="000000"/>
          <w:sz w:val="24"/>
          <w:szCs w:val="24"/>
        </w:rPr>
        <w:t>young people</w:t>
      </w:r>
      <w:r w:rsidRPr="007A5631">
        <w:rPr>
          <w:rFonts w:ascii="Roboto" w:eastAsia="Aptos" w:hAnsi="Roboto" w:cs="Aptos"/>
          <w:b w:val="0"/>
          <w:bCs w:val="0"/>
          <w:color w:val="000000"/>
          <w:sz w:val="24"/>
          <w:szCs w:val="24"/>
        </w:rPr>
        <w:t>. High-quality, evidence-informed RSE equips all young people with the knowledge, skills, values and critical understandings needed to navigate relationships, consent, friendships, identity, communication, gender and respect. It is one of the few universal prevention strategies that can reach most children and young people.</w:t>
      </w:r>
    </w:p>
    <w:p w14:paraId="00000028" w14:textId="77777777" w:rsidR="00443CD1" w:rsidRPr="007A5631" w:rsidRDefault="00810679" w:rsidP="007A5631">
      <w:pPr>
        <w:pStyle w:val="Heading1"/>
        <w:spacing w:before="0" w:line="276" w:lineRule="auto"/>
        <w:rPr>
          <w:rFonts w:ascii="Roboto" w:eastAsia="Aptos" w:hAnsi="Roboto" w:cs="Aptos"/>
          <w:b w:val="0"/>
          <w:bCs w:val="0"/>
          <w:color w:val="000000"/>
          <w:sz w:val="24"/>
          <w:szCs w:val="24"/>
        </w:rPr>
      </w:pPr>
      <w:r w:rsidRPr="007A5631">
        <w:rPr>
          <w:rFonts w:ascii="Roboto" w:eastAsia="Aptos" w:hAnsi="Roboto" w:cs="Aptos"/>
          <w:b w:val="0"/>
          <w:bCs w:val="0"/>
          <w:color w:val="000000"/>
          <w:sz w:val="24"/>
          <w:szCs w:val="24"/>
        </w:rPr>
        <w:t xml:space="preserve">We therefore encourage greater consideration of the evidence supporting comprehensive RSE as a core prevention and early intervention strategy. Strengthening access to consistent, inclusive, scaffolded and high-quality education </w:t>
      </w:r>
      <w:r w:rsidRPr="007A5631">
        <w:rPr>
          <w:rFonts w:ascii="Roboto" w:eastAsia="Aptos" w:hAnsi="Roboto" w:cs="Aptos"/>
          <w:b w:val="0"/>
          <w:bCs w:val="0"/>
          <w:color w:val="000000"/>
          <w:sz w:val="24"/>
          <w:szCs w:val="24"/>
        </w:rPr>
        <w:lastRenderedPageBreak/>
        <w:t xml:space="preserve">in this area represents an important opportunity to advance the goals of the National Plan in a way that includes </w:t>
      </w:r>
      <w:r w:rsidRPr="007A5631">
        <w:rPr>
          <w:rFonts w:ascii="Roboto" w:eastAsia="Aptos" w:hAnsi="Roboto" w:cs="Aptos"/>
          <w:color w:val="000000"/>
          <w:sz w:val="24"/>
          <w:szCs w:val="24"/>
        </w:rPr>
        <w:t xml:space="preserve">all </w:t>
      </w:r>
      <w:r w:rsidRPr="007A5631">
        <w:rPr>
          <w:rFonts w:ascii="Roboto" w:eastAsia="Aptos" w:hAnsi="Roboto" w:cs="Aptos"/>
          <w:b w:val="0"/>
          <w:bCs w:val="0"/>
          <w:color w:val="000000"/>
          <w:sz w:val="24"/>
          <w:szCs w:val="24"/>
        </w:rPr>
        <w:t>young people.</w:t>
      </w:r>
    </w:p>
    <w:p w14:paraId="00000029" w14:textId="77777777" w:rsidR="00443CD1" w:rsidRPr="007A5631" w:rsidRDefault="00810679" w:rsidP="007A5631">
      <w:pPr>
        <w:spacing w:before="360" w:after="80" w:line="276" w:lineRule="auto"/>
        <w:rPr>
          <w:rFonts w:ascii="Roboto" w:eastAsia="Arial" w:hAnsi="Roboto" w:cs="Arial"/>
          <w:b/>
          <w:bCs/>
          <w:i/>
          <w:iCs/>
          <w:color w:val="2E5DA0"/>
        </w:rPr>
      </w:pPr>
      <w:r w:rsidRPr="007A5631">
        <w:rPr>
          <w:rFonts w:ascii="Roboto" w:eastAsia="Arial" w:hAnsi="Roboto" w:cs="Arial"/>
          <w:b/>
          <w:bCs/>
          <w:i/>
          <w:iCs/>
          <w:color w:val="2E5DA0"/>
        </w:rPr>
        <w:t>The evidence base for RSE as primary prevention of sexual violence</w:t>
      </w:r>
    </w:p>
    <w:p w14:paraId="0000002A" w14:textId="77777777" w:rsidR="00443CD1" w:rsidRPr="007A5631" w:rsidRDefault="00810679" w:rsidP="007A5631">
      <w:pPr>
        <w:pStyle w:val="Heading1"/>
        <w:spacing w:before="0" w:line="276" w:lineRule="auto"/>
        <w:rPr>
          <w:rFonts w:ascii="Roboto" w:eastAsia="Aptos" w:hAnsi="Roboto" w:cs="Aptos"/>
          <w:b w:val="0"/>
          <w:bCs w:val="0"/>
          <w:color w:val="000000"/>
          <w:sz w:val="24"/>
          <w:szCs w:val="24"/>
        </w:rPr>
      </w:pPr>
      <w:r w:rsidRPr="007A5631">
        <w:rPr>
          <w:rFonts w:ascii="Roboto" w:eastAsia="Aptos" w:hAnsi="Roboto" w:cs="Aptos"/>
          <w:b w:val="0"/>
          <w:bCs w:val="0"/>
          <w:color w:val="000000"/>
          <w:sz w:val="24"/>
          <w:szCs w:val="24"/>
        </w:rPr>
        <w:t>The case for RSE as a sexual violence prevention strategy is well supported by the international evidence base. Schneider and Hirsch (2020) conducted a comprehensive synthesis demonstrating that sequential, K–12 comprehensive sexuality education (CSE) has the potential to address four key categories of risk factors most consistently associated with sexual violence perpetration: sex, gender and violence-related attitudes; childhood sexual abuse history; risky sexual behaviour patterns; and social-emotional skill deficits. RSE is one of the few universal prevention strategies that can simultaneously address multiple risk-factor categories at a population level, reaching most young people through existing school infrastructure.</w:t>
      </w:r>
    </w:p>
    <w:p w14:paraId="0000002B" w14:textId="46FC7F7B" w:rsidR="00443CD1" w:rsidRPr="007A5631" w:rsidRDefault="00810679" w:rsidP="007A5631">
      <w:pPr>
        <w:pStyle w:val="Heading1"/>
        <w:spacing w:before="0" w:line="276" w:lineRule="auto"/>
        <w:rPr>
          <w:rFonts w:ascii="Roboto" w:eastAsia="Aptos" w:hAnsi="Roboto" w:cs="Aptos"/>
          <w:b w:val="0"/>
          <w:bCs w:val="0"/>
          <w:color w:val="000000"/>
          <w:sz w:val="24"/>
          <w:szCs w:val="24"/>
        </w:rPr>
      </w:pPr>
      <w:r w:rsidRPr="007A5631">
        <w:rPr>
          <w:rFonts w:ascii="Roboto" w:eastAsia="Aptos" w:hAnsi="Roboto" w:cs="Aptos"/>
          <w:b w:val="0"/>
          <w:bCs w:val="0"/>
          <w:color w:val="000000"/>
          <w:sz w:val="24"/>
          <w:szCs w:val="24"/>
        </w:rPr>
        <w:t>Existing sexual violence prevention programs are largely ineffective, in part because they are delivered too late and too briefly. Systematic reviews consistently find that most programs target college-aged populations, are delivered in a single session of under 70 minutes, fail to meet best-practice prevention criteria, and produce minimal lasting change in perpetration behaviour (DeGue et al., 2014; Corbett, 2023</w:t>
      </w:r>
      <w:r w:rsidR="003B0DA6" w:rsidRPr="007A5631">
        <w:rPr>
          <w:rFonts w:ascii="Roboto" w:eastAsia="Aptos" w:hAnsi="Roboto" w:cs="Aptos"/>
          <w:b w:val="0"/>
          <w:bCs w:val="0"/>
          <w:color w:val="000000"/>
          <w:sz w:val="24"/>
          <w:szCs w:val="24"/>
        </w:rPr>
        <w:t>; Porat et al., 2024</w:t>
      </w:r>
      <w:r w:rsidRPr="007A5631">
        <w:rPr>
          <w:rFonts w:ascii="Roboto" w:eastAsia="Aptos" w:hAnsi="Roboto" w:cs="Aptos"/>
          <w:b w:val="0"/>
          <w:bCs w:val="0"/>
          <w:color w:val="000000"/>
          <w:sz w:val="24"/>
          <w:szCs w:val="24"/>
        </w:rPr>
        <w:t>). RSE delivered as a sequential, school-based program addresses this gap by reaching children and young people before the onset of risk behaviours and with sufficient dosage, ideally starting in early primary and delivered year after year by appropriately trained educators, to support meaningful, long-term change.</w:t>
      </w:r>
    </w:p>
    <w:p w14:paraId="0000002C" w14:textId="42FAE907" w:rsidR="00443CD1" w:rsidRPr="007A5631" w:rsidRDefault="00810679" w:rsidP="007A5631">
      <w:pPr>
        <w:pStyle w:val="Heading1"/>
        <w:spacing w:before="0" w:line="276" w:lineRule="auto"/>
        <w:rPr>
          <w:rFonts w:ascii="Roboto" w:eastAsia="Aptos" w:hAnsi="Roboto" w:cs="Aptos"/>
          <w:b w:val="0"/>
          <w:bCs w:val="0"/>
          <w:color w:val="000000"/>
          <w:sz w:val="24"/>
          <w:szCs w:val="24"/>
        </w:rPr>
      </w:pPr>
      <w:r w:rsidRPr="007A5631">
        <w:rPr>
          <w:rFonts w:ascii="Roboto" w:eastAsia="Aptos" w:hAnsi="Roboto" w:cs="Aptos"/>
          <w:b w:val="0"/>
          <w:bCs w:val="0"/>
          <w:color w:val="000000"/>
          <w:sz w:val="24"/>
          <w:szCs w:val="24"/>
        </w:rPr>
        <w:t>Australian-specific research directly supports this evidence base. Vrankovich, Hamilton and Powell (202</w:t>
      </w:r>
      <w:r w:rsidR="0086775D" w:rsidRPr="007A5631">
        <w:rPr>
          <w:rFonts w:ascii="Roboto" w:eastAsia="Aptos" w:hAnsi="Roboto" w:cs="Aptos"/>
          <w:b w:val="0"/>
          <w:bCs w:val="0"/>
          <w:color w:val="000000"/>
          <w:sz w:val="24"/>
          <w:szCs w:val="24"/>
        </w:rPr>
        <w:t>4</w:t>
      </w:r>
      <w:r w:rsidRPr="007A5631">
        <w:rPr>
          <w:rFonts w:ascii="Roboto" w:eastAsia="Aptos" w:hAnsi="Roboto" w:cs="Aptos"/>
          <w:b w:val="0"/>
          <w:bCs w:val="0"/>
          <w:color w:val="000000"/>
          <w:sz w:val="24"/>
          <w:szCs w:val="24"/>
        </w:rPr>
        <w:t>) found that young Australian adults who received higher-quality RSE held stronger understandings of consent and healthier relationship attitudes, with direct implications for sexual violence prevention. Their research also found that poor-quality or absent RSE leaves young people without the knowledge, skills and frameworks needed to recognise, respond to and prevent harm. The quality and consistency of RSE delivery matters as much as its presence, and this has direct implications for workforce preparation and funding.</w:t>
      </w:r>
    </w:p>
    <w:p w14:paraId="382EC18E" w14:textId="05CAE2E0" w:rsidR="00DF7783" w:rsidRPr="007A5631" w:rsidRDefault="00DF7783" w:rsidP="007A5631">
      <w:pPr>
        <w:spacing w:line="276" w:lineRule="auto"/>
        <w:rPr>
          <w:rFonts w:ascii="Roboto" w:hAnsi="Roboto"/>
        </w:rPr>
      </w:pPr>
      <w:r w:rsidRPr="007A5631">
        <w:rPr>
          <w:rFonts w:ascii="Roboto" w:hAnsi="Roboto"/>
        </w:rPr>
        <w:t>Poor quality RSE may occur where there is not enough time spent on RSE to result in effective learning, where there is an insufficient amount of content provided, only covering a limited number of topics, if the content provided is not accurate or evidence-based or where the facilitation of learning does not promote critical thinking or is not appropriate to the context of the learners, which may result in reinforcing unhelpful messaging or attitudes.</w:t>
      </w:r>
      <w:r w:rsidR="00CA7BF9" w:rsidRPr="007A5631">
        <w:rPr>
          <w:rFonts w:ascii="Roboto" w:eastAsia="Aptos" w:hAnsi="Roboto" w:cs="Aptos"/>
          <w:color w:val="000000"/>
        </w:rPr>
        <w:t xml:space="preserve"> Corbett’s (2023) doctoral research using structural equation modelling found that men’s perceptions of poor-quality sexuality education were associated with higher endorsement of sexual violence-supportive ideology and greater perpetration behaviour. This finding strengthens the </w:t>
      </w:r>
      <w:r w:rsidR="00CA7BF9" w:rsidRPr="007A5631">
        <w:rPr>
          <w:rFonts w:ascii="Roboto" w:eastAsia="Aptos" w:hAnsi="Roboto" w:cs="Aptos"/>
          <w:color w:val="000000"/>
        </w:rPr>
        <w:lastRenderedPageBreak/>
        <w:t>case not just for more RSE, but for sustained investment in evidence-informed, high-quality delivery, including through mandatory inclusion in initial teacher education and ongoing professional development.</w:t>
      </w:r>
    </w:p>
    <w:p w14:paraId="0000002E" w14:textId="5F4B7331" w:rsidR="00443CD1" w:rsidRPr="007A5631" w:rsidRDefault="00810679" w:rsidP="007A5631">
      <w:pPr>
        <w:pStyle w:val="Heading1"/>
        <w:spacing w:before="0" w:line="276" w:lineRule="auto"/>
        <w:rPr>
          <w:rFonts w:ascii="Roboto" w:eastAsia="Aptos" w:hAnsi="Roboto" w:cs="Aptos"/>
          <w:b w:val="0"/>
          <w:bCs w:val="0"/>
          <w:color w:val="000000"/>
          <w:sz w:val="24"/>
          <w:szCs w:val="24"/>
        </w:rPr>
      </w:pPr>
      <w:r w:rsidRPr="007A5631">
        <w:rPr>
          <w:rFonts w:ascii="Roboto" w:eastAsia="Aptos" w:hAnsi="Roboto" w:cs="Aptos"/>
          <w:b w:val="0"/>
          <w:bCs w:val="0"/>
          <w:color w:val="000000"/>
          <w:sz w:val="24"/>
          <w:szCs w:val="24"/>
        </w:rPr>
        <w:t>High quality RSE is a gender-transformative intervention. One of the most consistently documented risk factors for sexual violence perpetration is adherence to rigid, inequitable gender norms, including hypermasculinity, hostility toward women and rape-myth acceptance (Schneider &amp; Hirsch, 2020; Tharp et al., 2012). Well-designed RSE directly addresses these norms through age-appropriate, scaffolded learning across the school years, making it a structural as well as an individual-level prevention strategy. The Second Action Plan’s focus on harmful masculinities is a necessary component of prevention, but it cannot achieve its goals without concurrent, sustained investment in the educational environments in which gender norms are formed and reinforced.</w:t>
      </w:r>
    </w:p>
    <w:p w14:paraId="0000002F" w14:textId="601F8ACA" w:rsidR="00443CD1" w:rsidRPr="007A5631" w:rsidRDefault="00810679" w:rsidP="007A5631">
      <w:pPr>
        <w:pStyle w:val="Heading1"/>
        <w:spacing w:before="0" w:line="276" w:lineRule="auto"/>
        <w:rPr>
          <w:rFonts w:ascii="Roboto" w:eastAsia="Aptos" w:hAnsi="Roboto" w:cs="Aptos"/>
          <w:b w:val="0"/>
          <w:bCs w:val="0"/>
          <w:color w:val="000000"/>
          <w:sz w:val="24"/>
          <w:szCs w:val="24"/>
        </w:rPr>
      </w:pPr>
      <w:r w:rsidRPr="007A5631">
        <w:rPr>
          <w:rFonts w:ascii="Roboto" w:eastAsia="Aptos" w:hAnsi="Roboto" w:cs="Aptos"/>
          <w:b w:val="0"/>
          <w:bCs w:val="0"/>
          <w:color w:val="000000"/>
          <w:sz w:val="24"/>
          <w:szCs w:val="24"/>
        </w:rPr>
        <w:t>RSE also provides a critical pathway for child sexual abuse (CSA) prevention. School-based programs that teach children correct anatomical language, bodily autonomy and safe disclosure to trusted adults are associated with significantly higher rates of disclosure and improved protective knowledge (Walsh et al., 2015). Given that CSA victimisation is itself a risk factor for later perpetration of sexual violence (Schneider &amp; Hirsch, 2020; Corbett, 2023), early school-based RSE represents upstream prevention of the intergenerational cycle of harm. This is a dimension of prevention the Second Action Plan should explicitly recognise.</w:t>
      </w:r>
    </w:p>
    <w:p w14:paraId="00000030" w14:textId="77777777" w:rsidR="00443CD1" w:rsidRPr="007A5631" w:rsidRDefault="00810679" w:rsidP="007A5631">
      <w:pPr>
        <w:spacing w:before="360" w:after="80" w:line="276" w:lineRule="auto"/>
        <w:rPr>
          <w:rFonts w:ascii="Roboto" w:eastAsia="Arial" w:hAnsi="Roboto" w:cs="Arial"/>
          <w:b/>
          <w:bCs/>
          <w:i/>
          <w:iCs/>
          <w:color w:val="2E5DA0"/>
          <w:sz w:val="26"/>
          <w:szCs w:val="26"/>
        </w:rPr>
      </w:pPr>
      <w:r w:rsidRPr="007A5631">
        <w:rPr>
          <w:rFonts w:ascii="Roboto" w:eastAsia="Arial" w:hAnsi="Roboto" w:cs="Arial"/>
          <w:b/>
          <w:bCs/>
          <w:i/>
          <w:iCs/>
          <w:color w:val="2E5DA0"/>
          <w:sz w:val="26"/>
          <w:szCs w:val="26"/>
        </w:rPr>
        <w:t>Recommended prevention and early intervention actions</w:t>
      </w:r>
    </w:p>
    <w:p w14:paraId="00000031" w14:textId="40487D85" w:rsidR="00443CD1" w:rsidRPr="007A5631" w:rsidRDefault="00810679" w:rsidP="007A5631">
      <w:pPr>
        <w:pStyle w:val="Heading1"/>
        <w:spacing w:before="0" w:line="276" w:lineRule="auto"/>
        <w:ind w:left="840" w:hanging="320"/>
        <w:rPr>
          <w:rFonts w:ascii="Roboto" w:eastAsia="Aptos" w:hAnsi="Roboto" w:cs="Aptos"/>
          <w:b w:val="0"/>
          <w:bCs w:val="0"/>
          <w:color w:val="000000"/>
          <w:sz w:val="24"/>
          <w:szCs w:val="24"/>
        </w:rPr>
      </w:pPr>
      <w:r w:rsidRPr="007A5631">
        <w:rPr>
          <w:rFonts w:ascii="Roboto" w:eastAsia="Aptos" w:hAnsi="Roboto" w:cs="Aptos"/>
          <w:b w:val="0"/>
          <w:bCs w:val="0"/>
          <w:color w:val="000000"/>
          <w:sz w:val="24"/>
          <w:szCs w:val="24"/>
        </w:rPr>
        <w:t>1.</w:t>
      </w:r>
      <w:r w:rsidRPr="007A5631">
        <w:rPr>
          <w:rFonts w:ascii="Roboto" w:eastAsia="Times New Roman" w:hAnsi="Roboto" w:cs="Times New Roman"/>
          <w:b w:val="0"/>
          <w:bCs w:val="0"/>
          <w:color w:val="000000"/>
          <w:sz w:val="14"/>
          <w:szCs w:val="14"/>
        </w:rPr>
        <w:t xml:space="preserve">    </w:t>
      </w:r>
      <w:r w:rsidRPr="007A5631">
        <w:rPr>
          <w:rFonts w:ascii="Roboto" w:eastAsia="Aptos" w:hAnsi="Roboto" w:cs="Aptos"/>
          <w:color w:val="000000"/>
          <w:sz w:val="24"/>
          <w:szCs w:val="24"/>
        </w:rPr>
        <w:t>Strengthen workforce capability through investment in pre-service and ongoing professional development for teachers, clinicians and other professionals who work with children and young people.</w:t>
      </w:r>
      <w:r w:rsidRPr="007A5631">
        <w:rPr>
          <w:rFonts w:ascii="Roboto" w:eastAsia="Aptos" w:hAnsi="Roboto" w:cs="Aptos"/>
          <w:b w:val="0"/>
          <w:bCs w:val="0"/>
          <w:color w:val="000000"/>
          <w:sz w:val="24"/>
          <w:szCs w:val="24"/>
        </w:rPr>
        <w:t xml:space="preserve"> </w:t>
      </w:r>
      <w:r w:rsidR="00E6383E" w:rsidRPr="007A5631">
        <w:rPr>
          <w:rFonts w:ascii="Roboto" w:eastAsia="Aptos" w:hAnsi="Roboto" w:cs="Aptos"/>
          <w:b w:val="0"/>
          <w:bCs w:val="0"/>
          <w:color w:val="000000"/>
          <w:sz w:val="24"/>
          <w:szCs w:val="24"/>
        </w:rPr>
        <w:t>Critically, comprehensive</w:t>
      </w:r>
      <w:r w:rsidRPr="007A5631">
        <w:rPr>
          <w:rFonts w:ascii="Roboto" w:eastAsia="Aptos" w:hAnsi="Roboto" w:cs="Aptos"/>
          <w:b w:val="0"/>
          <w:bCs w:val="0"/>
          <w:color w:val="000000"/>
          <w:sz w:val="24"/>
          <w:szCs w:val="24"/>
        </w:rPr>
        <w:t xml:space="preserve"> RSE should be embedded within all initial teacher pre-service education programs. Evidence consistently demonstrates that teachers enter the workforce feeling underprepared and under-resourced to deliver RSE, despite its importance for promoting healthy relationships and preventing gender-based violence. Teacher pre-service training will also ensure that all young people have access to good-quality RSE</w:t>
      </w:r>
      <w:r w:rsidR="00E6383E" w:rsidRPr="007A5631">
        <w:rPr>
          <w:rFonts w:ascii="Roboto" w:eastAsia="Aptos" w:hAnsi="Roboto" w:cs="Aptos"/>
          <w:b w:val="0"/>
          <w:bCs w:val="0"/>
          <w:color w:val="000000"/>
          <w:sz w:val="24"/>
          <w:szCs w:val="24"/>
        </w:rPr>
        <w:t>,</w:t>
      </w:r>
      <w:r w:rsidRPr="007A5631">
        <w:rPr>
          <w:rFonts w:ascii="Roboto" w:eastAsia="Aptos" w:hAnsi="Roboto" w:cs="Aptos"/>
          <w:b w:val="0"/>
          <w:bCs w:val="0"/>
          <w:color w:val="000000"/>
          <w:sz w:val="24"/>
          <w:szCs w:val="24"/>
        </w:rPr>
        <w:t xml:space="preserve"> not just young people attending schools that can afford to outsource RSE delivery and/or teacher upskilling opportunities.</w:t>
      </w:r>
    </w:p>
    <w:p w14:paraId="00000032" w14:textId="6F4B4802" w:rsidR="00443CD1" w:rsidRPr="007A5631" w:rsidRDefault="00810679" w:rsidP="007A5631">
      <w:pPr>
        <w:pStyle w:val="Heading1"/>
        <w:spacing w:line="276" w:lineRule="auto"/>
        <w:ind w:left="840" w:hanging="320"/>
        <w:rPr>
          <w:rFonts w:ascii="Roboto" w:eastAsia="Aptos" w:hAnsi="Roboto" w:cs="Aptos"/>
          <w:color w:val="000000"/>
        </w:rPr>
      </w:pPr>
      <w:r w:rsidRPr="007A5631">
        <w:rPr>
          <w:rFonts w:ascii="Roboto" w:eastAsia="Aptos" w:hAnsi="Roboto" w:cs="Aptos"/>
          <w:b w:val="0"/>
          <w:bCs w:val="0"/>
          <w:color w:val="000000"/>
          <w:sz w:val="24"/>
          <w:szCs w:val="24"/>
        </w:rPr>
        <w:t>2.</w:t>
      </w:r>
      <w:r w:rsidRPr="007A5631">
        <w:rPr>
          <w:rFonts w:ascii="Roboto" w:eastAsia="Times New Roman" w:hAnsi="Roboto" w:cs="Times New Roman"/>
          <w:b w:val="0"/>
          <w:bCs w:val="0"/>
          <w:color w:val="000000"/>
          <w:sz w:val="14"/>
          <w:szCs w:val="14"/>
        </w:rPr>
        <w:t xml:space="preserve">    </w:t>
      </w:r>
      <w:r w:rsidRPr="007A5631">
        <w:rPr>
          <w:rFonts w:ascii="Roboto" w:eastAsia="Aptos" w:hAnsi="Roboto" w:cs="Aptos"/>
          <w:color w:val="000000"/>
          <w:sz w:val="24"/>
          <w:szCs w:val="24"/>
        </w:rPr>
        <w:t>Mandate RSE through Years 11 and 12.</w:t>
      </w:r>
      <w:r w:rsidRPr="007A5631">
        <w:rPr>
          <w:rFonts w:ascii="Roboto" w:eastAsia="Aptos" w:hAnsi="Roboto" w:cs="Aptos"/>
          <w:b w:val="0"/>
          <w:bCs w:val="0"/>
          <w:color w:val="000000"/>
          <w:sz w:val="24"/>
          <w:szCs w:val="24"/>
        </w:rPr>
        <w:t xml:space="preserve"> Many young people currently leave school without the knowledge, skills, confidence and agency required to navigate relationships, identity, consent, sexuality and help-seeking in adulthood. Senior secondary RSE should address topics that reflect the realities of young people’s lives, including sexual decision-making, communication, consent, alcohol and other drug use and responding to </w:t>
      </w:r>
      <w:r w:rsidRPr="007A5631">
        <w:rPr>
          <w:rFonts w:ascii="Roboto" w:eastAsia="Aptos" w:hAnsi="Roboto" w:cs="Aptos"/>
          <w:b w:val="0"/>
          <w:bCs w:val="0"/>
          <w:color w:val="000000"/>
          <w:sz w:val="24"/>
          <w:szCs w:val="24"/>
        </w:rPr>
        <w:lastRenderedPageBreak/>
        <w:t xml:space="preserve">experiences of </w:t>
      </w:r>
      <w:sdt>
        <w:sdtPr>
          <w:rPr>
            <w:rFonts w:ascii="Roboto" w:hAnsi="Roboto"/>
          </w:rPr>
          <w:tag w:val="goog_rdk_1"/>
          <w:id w:val="1107369282"/>
        </w:sdtPr>
        <w:sdtEndPr/>
        <w:sdtContent/>
      </w:sdt>
      <w:r w:rsidRPr="007A5631">
        <w:rPr>
          <w:rFonts w:ascii="Roboto" w:eastAsia="Aptos" w:hAnsi="Roboto" w:cs="Aptos"/>
          <w:b w:val="0"/>
          <w:bCs w:val="0"/>
          <w:color w:val="000000"/>
          <w:sz w:val="24"/>
          <w:szCs w:val="24"/>
        </w:rPr>
        <w:t>harm.</w:t>
      </w:r>
      <w:r w:rsidR="002B2161" w:rsidRPr="007A5631">
        <w:rPr>
          <w:rFonts w:ascii="Roboto" w:eastAsia="Aptos" w:hAnsi="Roboto" w:cs="Aptos"/>
          <w:b w:val="0"/>
          <w:bCs w:val="0"/>
          <w:color w:val="000000"/>
          <w:sz w:val="24"/>
          <w:szCs w:val="24"/>
        </w:rPr>
        <w:t xml:space="preserve"> These final years of schooling are significant as students reach the legal age of consent and move into adulthood, and it is also the time when many students are forming relationships for the first time and becoming (or preparing to become) sexually active, so RSE content can be covered with a greater level of maturity and complexity than may be possible for younger students.</w:t>
      </w:r>
    </w:p>
    <w:p w14:paraId="00000033" w14:textId="5C4E5283" w:rsidR="00443CD1" w:rsidRPr="007A5631" w:rsidRDefault="00810679" w:rsidP="007A5631">
      <w:pPr>
        <w:pStyle w:val="Heading1"/>
        <w:spacing w:before="0" w:line="276" w:lineRule="auto"/>
        <w:ind w:left="840" w:hanging="320"/>
        <w:rPr>
          <w:rFonts w:ascii="Roboto" w:eastAsia="Aptos" w:hAnsi="Roboto" w:cs="Aptos"/>
          <w:b w:val="0"/>
          <w:bCs w:val="0"/>
          <w:color w:val="000000"/>
          <w:sz w:val="24"/>
          <w:szCs w:val="24"/>
        </w:rPr>
      </w:pPr>
      <w:r w:rsidRPr="007A5631">
        <w:rPr>
          <w:rFonts w:ascii="Roboto" w:eastAsia="Aptos" w:hAnsi="Roboto" w:cs="Aptos"/>
          <w:b w:val="0"/>
          <w:bCs w:val="0"/>
          <w:color w:val="000000"/>
          <w:sz w:val="24"/>
          <w:szCs w:val="24"/>
        </w:rPr>
        <w:t>3.</w:t>
      </w:r>
      <w:r w:rsidRPr="007A5631">
        <w:rPr>
          <w:rFonts w:ascii="Roboto" w:eastAsia="Times New Roman" w:hAnsi="Roboto" w:cs="Times New Roman"/>
          <w:b w:val="0"/>
          <w:bCs w:val="0"/>
          <w:color w:val="000000"/>
          <w:sz w:val="14"/>
          <w:szCs w:val="14"/>
        </w:rPr>
        <w:t xml:space="preserve">    </w:t>
      </w:r>
      <w:r w:rsidRPr="007A5631">
        <w:rPr>
          <w:rFonts w:ascii="Roboto" w:eastAsia="Aptos" w:hAnsi="Roboto" w:cs="Aptos"/>
          <w:color w:val="000000"/>
          <w:sz w:val="24"/>
          <w:szCs w:val="24"/>
        </w:rPr>
        <w:t>Expand consent education beyond the negotiation of consent before and during sexual activity to include education about responding to harm when it occurs.</w:t>
      </w:r>
      <w:r w:rsidRPr="007A5631">
        <w:rPr>
          <w:rFonts w:ascii="Roboto" w:eastAsia="Aptos" w:hAnsi="Roboto" w:cs="Aptos"/>
          <w:b w:val="0"/>
          <w:bCs w:val="0"/>
          <w:color w:val="000000"/>
          <w:sz w:val="24"/>
          <w:szCs w:val="24"/>
        </w:rPr>
        <w:t xml:space="preserve"> Young people should be equipped with the skills to navigate situations where consent may have been misunderstood, where someone discloses an experience of harm or where they are seeking support following a harmful experience. This includes learning how to access support services, respond appropriately to disclosures, take accountability where harm has occurred and engage in repair and help-seeking processes.</w:t>
      </w:r>
    </w:p>
    <w:p w14:paraId="00000034" w14:textId="4214C00E" w:rsidR="00443CD1" w:rsidRPr="007A5631" w:rsidRDefault="00810679" w:rsidP="007A5631">
      <w:pPr>
        <w:pStyle w:val="Heading1"/>
        <w:spacing w:before="0" w:line="276" w:lineRule="auto"/>
        <w:ind w:left="840" w:hanging="320"/>
        <w:rPr>
          <w:rFonts w:ascii="Roboto" w:eastAsia="Aptos" w:hAnsi="Roboto" w:cs="Aptos"/>
          <w:b w:val="0"/>
          <w:bCs w:val="0"/>
          <w:color w:val="000000"/>
          <w:sz w:val="24"/>
          <w:szCs w:val="24"/>
        </w:rPr>
      </w:pPr>
      <w:r w:rsidRPr="007A5631">
        <w:rPr>
          <w:rFonts w:ascii="Roboto" w:eastAsia="Aptos" w:hAnsi="Roboto" w:cs="Aptos"/>
          <w:b w:val="0"/>
          <w:bCs w:val="0"/>
          <w:color w:val="000000"/>
          <w:sz w:val="24"/>
          <w:szCs w:val="24"/>
        </w:rPr>
        <w:t>4.</w:t>
      </w:r>
      <w:r w:rsidRPr="007A5631">
        <w:rPr>
          <w:rFonts w:ascii="Roboto" w:eastAsia="Times New Roman" w:hAnsi="Roboto" w:cs="Times New Roman"/>
          <w:b w:val="0"/>
          <w:bCs w:val="0"/>
          <w:color w:val="000000"/>
          <w:sz w:val="14"/>
          <w:szCs w:val="14"/>
        </w:rPr>
        <w:t xml:space="preserve">    </w:t>
      </w:r>
      <w:r w:rsidRPr="007A5631">
        <w:rPr>
          <w:rFonts w:ascii="Roboto" w:eastAsia="Aptos" w:hAnsi="Roboto" w:cs="Aptos"/>
          <w:color w:val="000000"/>
          <w:sz w:val="24"/>
          <w:szCs w:val="24"/>
        </w:rPr>
        <w:t>Establish nationally consistent, evidence-informed RSE content standards.</w:t>
      </w:r>
      <w:r w:rsidRPr="007A5631">
        <w:rPr>
          <w:rFonts w:ascii="Roboto" w:eastAsia="Aptos" w:hAnsi="Roboto" w:cs="Aptos"/>
          <w:b w:val="0"/>
          <w:bCs w:val="0"/>
          <w:color w:val="000000"/>
          <w:sz w:val="24"/>
          <w:szCs w:val="24"/>
        </w:rPr>
        <w:t xml:space="preserve"> Australia currently lacks a shared benchmark for what constitutes high-quality, comprehensive RSE, resulting in substantial variation in scope, sequencing and quality between schools, sectors and jurisdictions. National content standards — informed by the UNESCO International Technical Guidance on Sexuality Education (2018) and by evidence on the harms associated with poor-quality provision — would establish a clear, evidence-based foundation for delivery while allowing for local, cultural and developmental adaptation. Such standards would also provide a reference point against which curriculum, resources and teacher preparation can be aligned and evaluated.</w:t>
      </w:r>
    </w:p>
    <w:p w14:paraId="00000035" w14:textId="29AEAD43" w:rsidR="00443CD1" w:rsidRPr="007A5631" w:rsidRDefault="00810679" w:rsidP="007A5631">
      <w:pPr>
        <w:pStyle w:val="Heading1"/>
        <w:spacing w:before="0" w:line="276" w:lineRule="auto"/>
        <w:ind w:left="840" w:hanging="320"/>
        <w:rPr>
          <w:rFonts w:ascii="Roboto" w:eastAsia="Aptos" w:hAnsi="Roboto" w:cs="Aptos"/>
          <w:b w:val="0"/>
          <w:bCs w:val="0"/>
          <w:color w:val="000000"/>
          <w:sz w:val="24"/>
          <w:szCs w:val="24"/>
        </w:rPr>
      </w:pPr>
      <w:r w:rsidRPr="007A5631">
        <w:rPr>
          <w:rFonts w:ascii="Roboto" w:eastAsia="Aptos" w:hAnsi="Roboto" w:cs="Aptos"/>
          <w:b w:val="0"/>
          <w:bCs w:val="0"/>
          <w:color w:val="000000"/>
          <w:sz w:val="24"/>
          <w:szCs w:val="24"/>
        </w:rPr>
        <w:t>5.</w:t>
      </w:r>
      <w:r w:rsidRPr="007A5631">
        <w:rPr>
          <w:rFonts w:ascii="Roboto" w:eastAsia="Times New Roman" w:hAnsi="Roboto" w:cs="Times New Roman"/>
          <w:b w:val="0"/>
          <w:bCs w:val="0"/>
          <w:color w:val="000000"/>
          <w:sz w:val="14"/>
          <w:szCs w:val="14"/>
        </w:rPr>
        <w:t xml:space="preserve">    </w:t>
      </w:r>
      <w:r w:rsidRPr="007A5631">
        <w:rPr>
          <w:rFonts w:ascii="Roboto" w:eastAsia="Aptos" w:hAnsi="Roboto" w:cs="Aptos"/>
          <w:color w:val="000000"/>
          <w:sz w:val="24"/>
          <w:szCs w:val="24"/>
        </w:rPr>
        <w:t>Commit to regular national monitoring and public reporting on RSE access, quality and delivery.</w:t>
      </w:r>
      <w:r w:rsidRPr="007A5631">
        <w:rPr>
          <w:rFonts w:ascii="Roboto" w:eastAsia="Aptos" w:hAnsi="Roboto" w:cs="Aptos"/>
          <w:b w:val="0"/>
          <w:bCs w:val="0"/>
          <w:color w:val="000000"/>
          <w:sz w:val="24"/>
          <w:szCs w:val="24"/>
        </w:rPr>
        <w:t xml:space="preserve"> What is not measured cannot be improved. There is currently no national mechanism for monitoring whether children and young people are receiving RSE, the quality of that provision or how access varies across populations, sectors and settings. Routine national monitoring and transparent public reporting would enable accountability against the prevention goals of the National Plan, surface inequities in access and allow gaps to be identified and addressed over the </w:t>
      </w:r>
      <w:r w:rsidR="00AE0FBB" w:rsidRPr="007A5631">
        <w:rPr>
          <w:rFonts w:ascii="Roboto" w:eastAsia="Aptos" w:hAnsi="Roboto" w:cs="Aptos"/>
          <w:b w:val="0"/>
          <w:bCs w:val="0"/>
          <w:color w:val="000000"/>
          <w:sz w:val="24"/>
          <w:szCs w:val="24"/>
        </w:rPr>
        <w:t>course</w:t>
      </w:r>
      <w:r w:rsidRPr="007A5631">
        <w:rPr>
          <w:rFonts w:ascii="Roboto" w:eastAsia="Aptos" w:hAnsi="Roboto" w:cs="Aptos"/>
          <w:b w:val="0"/>
          <w:bCs w:val="0"/>
          <w:color w:val="000000"/>
          <w:sz w:val="24"/>
          <w:szCs w:val="24"/>
        </w:rPr>
        <w:t xml:space="preserve"> of the Plan.</w:t>
      </w:r>
    </w:p>
    <w:p w14:paraId="00000036" w14:textId="40901269" w:rsidR="00443CD1" w:rsidRPr="007A5631" w:rsidRDefault="00810679" w:rsidP="007A5631">
      <w:pPr>
        <w:pStyle w:val="Heading1"/>
        <w:spacing w:before="0" w:line="276" w:lineRule="auto"/>
        <w:ind w:left="840" w:hanging="320"/>
        <w:rPr>
          <w:rFonts w:ascii="Roboto" w:eastAsia="Aptos" w:hAnsi="Roboto" w:cs="Aptos"/>
          <w:b w:val="0"/>
          <w:bCs w:val="0"/>
          <w:color w:val="000000"/>
          <w:sz w:val="24"/>
          <w:szCs w:val="24"/>
        </w:rPr>
      </w:pPr>
      <w:r w:rsidRPr="007A5631">
        <w:rPr>
          <w:rFonts w:ascii="Roboto" w:eastAsia="Aptos" w:hAnsi="Roboto" w:cs="Aptos"/>
          <w:b w:val="0"/>
          <w:bCs w:val="0"/>
          <w:color w:val="000000"/>
          <w:sz w:val="24"/>
          <w:szCs w:val="24"/>
        </w:rPr>
        <w:t>6.</w:t>
      </w:r>
      <w:r w:rsidRPr="007A5631">
        <w:rPr>
          <w:rFonts w:ascii="Roboto" w:eastAsia="Times New Roman" w:hAnsi="Roboto" w:cs="Times New Roman"/>
          <w:b w:val="0"/>
          <w:bCs w:val="0"/>
          <w:color w:val="000000"/>
          <w:sz w:val="14"/>
          <w:szCs w:val="14"/>
        </w:rPr>
        <w:t xml:space="preserve">    </w:t>
      </w:r>
      <w:r w:rsidRPr="007A5631">
        <w:rPr>
          <w:rFonts w:ascii="Roboto" w:eastAsia="Aptos" w:hAnsi="Roboto" w:cs="Aptos"/>
          <w:color w:val="000000"/>
          <w:sz w:val="24"/>
          <w:szCs w:val="24"/>
        </w:rPr>
        <w:t>Explicitly require RSE to address online and technology-facilitated sexual violence as a core content area.</w:t>
      </w:r>
      <w:r w:rsidRPr="007A5631">
        <w:rPr>
          <w:rFonts w:ascii="Roboto" w:eastAsia="Aptos" w:hAnsi="Roboto" w:cs="Aptos"/>
          <w:b w:val="0"/>
          <w:bCs w:val="0"/>
          <w:color w:val="000000"/>
          <w:sz w:val="24"/>
          <w:szCs w:val="24"/>
        </w:rPr>
        <w:t xml:space="preserve"> Young people are navigating image-based abuse, sexual extortion, AI-generated and deepfake sexual imagery, online misogyny and the influence of the ‘manosphere’ from an early age. National data from the 8th National Survey of Australian Secondary Students and Sexual Health (Power et al., 2026) </w:t>
      </w:r>
      <w:r w:rsidR="00F170BE" w:rsidRPr="007A5631">
        <w:rPr>
          <w:rFonts w:ascii="Roboto" w:eastAsia="Aptos" w:hAnsi="Roboto" w:cs="Aptos"/>
          <w:b w:val="0"/>
          <w:bCs w:val="0"/>
          <w:color w:val="000000"/>
          <w:sz w:val="24"/>
          <w:szCs w:val="24"/>
        </w:rPr>
        <w:t>shows</w:t>
      </w:r>
      <w:r w:rsidRPr="007A5631">
        <w:rPr>
          <w:rFonts w:ascii="Roboto" w:eastAsia="Aptos" w:hAnsi="Roboto" w:cs="Aptos"/>
          <w:b w:val="0"/>
          <w:bCs w:val="0"/>
          <w:color w:val="000000"/>
          <w:sz w:val="24"/>
          <w:szCs w:val="24"/>
        </w:rPr>
        <w:t xml:space="preserve"> the centrality of digital environments to young people’s relational and sexual lives. RSE must equip </w:t>
      </w:r>
      <w:r w:rsidRPr="007A5631">
        <w:rPr>
          <w:rFonts w:ascii="Roboto" w:eastAsia="Aptos" w:hAnsi="Roboto" w:cs="Aptos"/>
          <w:b w:val="0"/>
          <w:bCs w:val="0"/>
          <w:color w:val="000000"/>
          <w:sz w:val="24"/>
          <w:szCs w:val="24"/>
        </w:rPr>
        <w:lastRenderedPageBreak/>
        <w:t>young people with the critical literacy and practical skills to recognise, respond to, seek support for and challenge technology-facilitated sexual violence, rather than treating these harms as peripheral or addressing them through awareness-raising alone (Woodley et al., 2024; Woodley, Green &amp; Jacques, 2025).</w:t>
      </w:r>
    </w:p>
    <w:p w14:paraId="00000037" w14:textId="77777777" w:rsidR="00443CD1" w:rsidRPr="007A5631" w:rsidRDefault="00810679" w:rsidP="007A5631">
      <w:pPr>
        <w:pStyle w:val="Heading1"/>
        <w:spacing w:before="0" w:line="276" w:lineRule="auto"/>
        <w:ind w:left="840" w:hanging="320"/>
        <w:rPr>
          <w:rFonts w:ascii="Roboto" w:hAnsi="Roboto"/>
        </w:rPr>
      </w:pPr>
      <w:bookmarkStart w:id="2" w:name="_heading=h.3t7rafue205s" w:colFirst="0" w:colLast="0"/>
      <w:bookmarkEnd w:id="2"/>
      <w:r w:rsidRPr="007A5631">
        <w:rPr>
          <w:rFonts w:ascii="Roboto" w:eastAsia="Aptos" w:hAnsi="Roboto" w:cs="Aptos"/>
          <w:b w:val="0"/>
          <w:bCs w:val="0"/>
          <w:color w:val="000000"/>
          <w:sz w:val="24"/>
          <w:szCs w:val="24"/>
        </w:rPr>
        <w:t>7.</w:t>
      </w:r>
      <w:r w:rsidRPr="007A5631">
        <w:rPr>
          <w:rFonts w:ascii="Roboto" w:eastAsia="Times New Roman" w:hAnsi="Roboto" w:cs="Times New Roman"/>
          <w:b w:val="0"/>
          <w:bCs w:val="0"/>
          <w:color w:val="000000"/>
          <w:sz w:val="14"/>
          <w:szCs w:val="14"/>
        </w:rPr>
        <w:t xml:space="preserve">    </w:t>
      </w:r>
      <w:r w:rsidRPr="007A5631">
        <w:rPr>
          <w:rFonts w:ascii="Roboto" w:eastAsia="Aptos" w:hAnsi="Roboto" w:cs="Aptos"/>
          <w:color w:val="000000"/>
          <w:sz w:val="24"/>
          <w:szCs w:val="24"/>
        </w:rPr>
        <w:t>Adopt a whole-school approach that actively engages parents and carers.</w:t>
      </w:r>
      <w:r w:rsidRPr="007A5631">
        <w:rPr>
          <w:rFonts w:ascii="Roboto" w:eastAsia="Aptos" w:hAnsi="Roboto" w:cs="Aptos"/>
          <w:b w:val="0"/>
          <w:bCs w:val="0"/>
          <w:color w:val="000000"/>
          <w:sz w:val="24"/>
          <w:szCs w:val="24"/>
        </w:rPr>
        <w:t xml:space="preserve"> Support schools to partner with, engage and support parents and carers through ongoing communication, education and engagement, in order to strengthen respectful relationships and the prevention of gender-based violence.</w:t>
      </w:r>
    </w:p>
    <w:p w14:paraId="00000038" w14:textId="77777777" w:rsidR="00443CD1" w:rsidRPr="007A5631" w:rsidRDefault="009470A7" w:rsidP="007A5631">
      <w:pPr>
        <w:spacing w:line="276" w:lineRule="auto"/>
        <w:rPr>
          <w:rFonts w:ascii="Roboto" w:hAnsi="Roboto"/>
        </w:rPr>
      </w:pPr>
      <w:r>
        <w:rPr>
          <w:rFonts w:ascii="Roboto" w:hAnsi="Roboto"/>
        </w:rPr>
        <w:pict w14:anchorId="666A022F">
          <v:rect id="_x0000_i1028" style="width:0;height:1.5pt" o:hrstd="t" o:hr="t" fillcolor="#a0a0a0" stroked="f"/>
        </w:pict>
      </w:r>
    </w:p>
    <w:p w14:paraId="00000039" w14:textId="77777777" w:rsidR="00443CD1" w:rsidRPr="007A5631" w:rsidRDefault="00443CD1" w:rsidP="007A5631">
      <w:pPr>
        <w:pStyle w:val="Heading1"/>
        <w:spacing w:line="276" w:lineRule="auto"/>
        <w:rPr>
          <w:rFonts w:ascii="Roboto" w:eastAsia="Aptos" w:hAnsi="Roboto" w:cs="Aptos"/>
        </w:rPr>
      </w:pPr>
    </w:p>
    <w:p w14:paraId="0000003A" w14:textId="77777777" w:rsidR="00443CD1" w:rsidRPr="007A5631" w:rsidRDefault="00810679" w:rsidP="007A5631">
      <w:pPr>
        <w:pStyle w:val="Heading1"/>
        <w:spacing w:line="276" w:lineRule="auto"/>
        <w:rPr>
          <w:rFonts w:ascii="Roboto" w:eastAsia="Aptos" w:hAnsi="Roboto" w:cs="Aptos"/>
        </w:rPr>
      </w:pPr>
      <w:r w:rsidRPr="007A5631">
        <w:rPr>
          <w:rFonts w:ascii="Roboto" w:eastAsia="Aptos" w:hAnsi="Roboto" w:cs="Aptos"/>
        </w:rPr>
        <w:t>Priority Area 3: Children and Young People in Their Own Right</w:t>
      </w:r>
    </w:p>
    <w:p w14:paraId="0000003B" w14:textId="77777777" w:rsidR="00443CD1" w:rsidRPr="007A5631" w:rsidRDefault="00810679" w:rsidP="007A5631">
      <w:pPr>
        <w:spacing w:after="160" w:line="276" w:lineRule="auto"/>
        <w:rPr>
          <w:rFonts w:ascii="Roboto" w:eastAsia="Arial" w:hAnsi="Roboto" w:cs="Arial"/>
        </w:rPr>
      </w:pPr>
      <w:r w:rsidRPr="007A5631">
        <w:rPr>
          <w:rFonts w:ascii="Roboto" w:eastAsia="Arial" w:hAnsi="Roboto" w:cs="Arial"/>
        </w:rPr>
        <w:t>Bloom-ED welcomes the focus on children and young people as a priority population in their own right. To strengthen this priority area, we recommend the following actions.</w:t>
      </w:r>
    </w:p>
    <w:p w14:paraId="0000003C" w14:textId="1BB94A91" w:rsidR="00443CD1" w:rsidRPr="007A5631" w:rsidRDefault="00810679" w:rsidP="007A5631">
      <w:pPr>
        <w:numPr>
          <w:ilvl w:val="0"/>
          <w:numId w:val="1"/>
        </w:numPr>
        <w:spacing w:after="200" w:line="276" w:lineRule="auto"/>
        <w:rPr>
          <w:rFonts w:ascii="Roboto" w:eastAsia="Arial" w:hAnsi="Roboto" w:cs="Arial"/>
        </w:rPr>
      </w:pPr>
      <w:r w:rsidRPr="007A5631">
        <w:rPr>
          <w:rFonts w:ascii="Roboto" w:eastAsia="Arial" w:hAnsi="Roboto" w:cs="Arial"/>
          <w:b/>
          <w:bCs/>
        </w:rPr>
        <w:t>Ensure accessible, community-based opportunities for children and young people to access comprehensive RSE, particularly those who are not engaged in mainstream schooling.</w:t>
      </w:r>
      <w:r w:rsidRPr="007A5631">
        <w:rPr>
          <w:rFonts w:ascii="Roboto" w:eastAsia="Arial" w:hAnsi="Roboto" w:cs="Arial"/>
        </w:rPr>
        <w:t xml:space="preserve"> Precarious, short-term and competitive funding is a persistent barrier to high-quality RSE delivery, undermining workforce stability, program continuity and the capacity to build trusted relationships with communities (Vrankovich, Hamilton &amp; Powell, 202</w:t>
      </w:r>
      <w:r w:rsidR="0086775D" w:rsidRPr="007A5631">
        <w:rPr>
          <w:rFonts w:ascii="Roboto" w:eastAsia="Arial" w:hAnsi="Roboto" w:cs="Arial"/>
        </w:rPr>
        <w:t>4</w:t>
      </w:r>
      <w:r w:rsidRPr="007A5631">
        <w:rPr>
          <w:rFonts w:ascii="Roboto" w:eastAsia="Arial" w:hAnsi="Roboto" w:cs="Arial"/>
        </w:rPr>
        <w:t xml:space="preserve">). While schools are a critical setting for prevention and early intervention, reliance on school-based delivery alone risks excluding young people who are disengaged from education, experiencing homelessness, involved in alternative education pathways or facing other barriers to participation. All young people should have equitable access to evidence-informed education that supports healthy relationships, safety, wellbeing and agency. Sustained multi-year investment would enable community-based providers to plan, retain skilled educators and deliver the scaffolded, ongoing education that effective prevention requires. Strategies should be meaningfully co-designed with young people for maximum </w:t>
      </w:r>
      <w:r w:rsidR="0076285D" w:rsidRPr="007A5631">
        <w:rPr>
          <w:rFonts w:ascii="Roboto" w:eastAsia="Arial" w:hAnsi="Roboto" w:cs="Arial"/>
        </w:rPr>
        <w:t>impact and</w:t>
      </w:r>
      <w:r w:rsidRPr="007A5631">
        <w:rPr>
          <w:rFonts w:ascii="Roboto" w:eastAsia="Arial" w:hAnsi="Roboto" w:cs="Arial"/>
        </w:rPr>
        <w:t xml:space="preserve"> may involve out-of-school or online initiatives. </w:t>
      </w:r>
    </w:p>
    <w:p w14:paraId="0000003D" w14:textId="1D695F79" w:rsidR="00443CD1" w:rsidRPr="007A5631" w:rsidRDefault="00810679" w:rsidP="007A5631">
      <w:pPr>
        <w:numPr>
          <w:ilvl w:val="0"/>
          <w:numId w:val="1"/>
        </w:numPr>
        <w:spacing w:after="200" w:line="276" w:lineRule="auto"/>
        <w:rPr>
          <w:rFonts w:ascii="Roboto" w:eastAsia="Arial" w:hAnsi="Roboto" w:cs="Arial"/>
        </w:rPr>
      </w:pPr>
      <w:r w:rsidRPr="007A5631">
        <w:rPr>
          <w:rFonts w:ascii="Roboto" w:eastAsia="Arial" w:hAnsi="Roboto" w:cs="Arial"/>
          <w:b/>
          <w:bCs/>
        </w:rPr>
        <w:t>Recognise RSE as a key mechanism for responding to emerging forms of harm affecting children and young people.</w:t>
      </w:r>
      <w:r w:rsidRPr="007A5631">
        <w:rPr>
          <w:rFonts w:ascii="Roboto" w:eastAsia="Arial" w:hAnsi="Roboto" w:cs="Arial"/>
        </w:rPr>
        <w:t xml:space="preserve"> As technologies, online environments and social norms continue to evolve, RSE provides an important platform for building young people’s critical thinking skills and capacity to safely navigate issues such as image-based abuse, sexual extortion, online </w:t>
      </w:r>
      <w:r w:rsidRPr="007A5631">
        <w:rPr>
          <w:rFonts w:ascii="Roboto" w:eastAsia="Arial" w:hAnsi="Roboto" w:cs="Arial"/>
        </w:rPr>
        <w:lastRenderedPageBreak/>
        <w:t>misogyny, harmful online content and technology-facilitated abuse. Education should move beyond awareness-raising alone and equip young people with practical skills to respond to, seek support for and challenge these harms.</w:t>
      </w:r>
    </w:p>
    <w:p w14:paraId="0000003E" w14:textId="4F124158" w:rsidR="00443CD1" w:rsidRPr="007A5631" w:rsidRDefault="00810679" w:rsidP="007A5631">
      <w:pPr>
        <w:numPr>
          <w:ilvl w:val="0"/>
          <w:numId w:val="1"/>
        </w:numPr>
        <w:spacing w:after="200" w:line="276" w:lineRule="auto"/>
        <w:rPr>
          <w:rFonts w:ascii="Roboto" w:eastAsia="Arial" w:hAnsi="Roboto" w:cs="Arial"/>
        </w:rPr>
      </w:pPr>
      <w:r w:rsidRPr="007A5631">
        <w:rPr>
          <w:rFonts w:ascii="Roboto" w:eastAsia="Arial" w:hAnsi="Roboto" w:cs="Arial"/>
          <w:b/>
          <w:bCs/>
        </w:rPr>
        <w:t>Invest in the co-design and resourcing of culturally safe, community-led RSE for Aboriginal and Torres Strait Islander children and young people.</w:t>
      </w:r>
      <w:r w:rsidRPr="007A5631">
        <w:rPr>
          <w:rFonts w:ascii="Roboto" w:eastAsia="Arial" w:hAnsi="Roboto" w:cs="Arial"/>
        </w:rPr>
        <w:t xml:space="preserve"> RSE for First Nations young people should be designed, governed and delivered with and by community, consistent with the principles of self-determination reflected in Our Ways – Strong Ways – </w:t>
      </w:r>
      <w:sdt>
        <w:sdtPr>
          <w:rPr>
            <w:rFonts w:ascii="Roboto" w:hAnsi="Roboto"/>
          </w:rPr>
          <w:tag w:val="goog_rdk_2"/>
          <w:id w:val="806133733"/>
        </w:sdtPr>
        <w:sdtEndPr/>
        <w:sdtContent/>
      </w:sdt>
      <w:r w:rsidRPr="007A5631">
        <w:rPr>
          <w:rFonts w:ascii="Roboto" w:eastAsia="Arial" w:hAnsi="Roboto" w:cs="Arial"/>
        </w:rPr>
        <w:t>Our Voices</w:t>
      </w:r>
      <w:r w:rsidR="003115F5">
        <w:rPr>
          <w:rFonts w:ascii="Roboto" w:eastAsia="Arial" w:hAnsi="Roboto" w:cs="Arial"/>
        </w:rPr>
        <w:t xml:space="preserve"> (2026)</w:t>
      </w:r>
      <w:r w:rsidRPr="007A5631">
        <w:rPr>
          <w:rFonts w:ascii="Roboto" w:eastAsia="Arial" w:hAnsi="Roboto" w:cs="Arial"/>
        </w:rPr>
        <w:t>. This requires dedicated, sustained resourcing rather than the adaptation of mainstream programs, and should recognise the strength of culture as a protective factor.</w:t>
      </w:r>
    </w:p>
    <w:p w14:paraId="0000003F" w14:textId="0F077EFE" w:rsidR="00443CD1" w:rsidRPr="007A5631" w:rsidRDefault="00810679" w:rsidP="007A5631">
      <w:pPr>
        <w:numPr>
          <w:ilvl w:val="0"/>
          <w:numId w:val="1"/>
        </w:numPr>
        <w:spacing w:after="200" w:line="276" w:lineRule="auto"/>
        <w:rPr>
          <w:rFonts w:ascii="Roboto" w:eastAsia="Arial" w:hAnsi="Roboto" w:cs="Arial"/>
        </w:rPr>
      </w:pPr>
      <w:r w:rsidRPr="007A5631">
        <w:rPr>
          <w:rFonts w:ascii="Roboto" w:eastAsia="Arial" w:hAnsi="Roboto" w:cs="Arial"/>
          <w:b/>
          <w:bCs/>
        </w:rPr>
        <w:t>Recognise the role RSE plays in preventing violence against people with disability and LGBTQA+ people, not only during childhood and adolescence but across the life course.</w:t>
      </w:r>
      <w:r w:rsidRPr="007A5631">
        <w:rPr>
          <w:rFonts w:ascii="Roboto" w:eastAsia="Arial" w:hAnsi="Roboto" w:cs="Arial"/>
        </w:rPr>
        <w:t xml:space="preserve"> People with disability and LGBTQA+ people experience disproportionately high rates of sexual violence, yet are frequently excluded from, or poorly served by, mainstream RSE (Andreassen, Quain &amp; Castell, 2024). Inclusive, accessible and affirming RSE is an important structural prevention measure for these communities.</w:t>
      </w:r>
    </w:p>
    <w:p w14:paraId="00000040" w14:textId="0B9E33D6" w:rsidR="00443CD1" w:rsidRPr="007A5631" w:rsidRDefault="00810679" w:rsidP="007A5631">
      <w:pPr>
        <w:numPr>
          <w:ilvl w:val="0"/>
          <w:numId w:val="1"/>
        </w:numPr>
        <w:spacing w:after="160" w:line="276" w:lineRule="auto"/>
        <w:rPr>
          <w:rFonts w:ascii="Roboto" w:eastAsia="Arial" w:hAnsi="Roboto" w:cs="Arial"/>
        </w:rPr>
      </w:pPr>
      <w:r w:rsidRPr="007A5631">
        <w:rPr>
          <w:rFonts w:ascii="Roboto" w:eastAsia="Arial" w:hAnsi="Roboto" w:cs="Arial"/>
          <w:b/>
          <w:bCs/>
        </w:rPr>
        <w:t>Invest in ongoing workforce development to ensure educators can effectively respond to emerging harms.</w:t>
      </w:r>
      <w:r w:rsidRPr="007A5631">
        <w:rPr>
          <w:rFonts w:ascii="Roboto" w:eastAsia="Arial" w:hAnsi="Roboto" w:cs="Arial"/>
        </w:rPr>
        <w:t xml:space="preserve"> The rapidly changing nature of online environments and gender-based violence means that one-off training is insufficient. Teachers and other professionals working with young people require sustained professional learning opportunities to remain informed about emerging issues and to facilitate conversations that are relevant, meaningful, evidence-informed and responsive to young </w:t>
      </w:r>
      <w:r w:rsidR="003E042C" w:rsidRPr="007A5631">
        <w:rPr>
          <w:rFonts w:ascii="Roboto" w:eastAsia="Arial" w:hAnsi="Roboto" w:cs="Arial"/>
        </w:rPr>
        <w:t>peoples</w:t>
      </w:r>
      <w:r w:rsidRPr="007A5631">
        <w:rPr>
          <w:rFonts w:ascii="Roboto" w:eastAsia="Arial" w:hAnsi="Roboto" w:cs="Arial"/>
        </w:rPr>
        <w:t xml:space="preserve"> lived experiences.</w:t>
      </w:r>
    </w:p>
    <w:p w14:paraId="00000041" w14:textId="77777777" w:rsidR="00443CD1" w:rsidRPr="007A5631" w:rsidRDefault="009470A7" w:rsidP="007A5631">
      <w:pPr>
        <w:spacing w:after="160" w:line="276" w:lineRule="auto"/>
        <w:rPr>
          <w:rFonts w:ascii="Roboto" w:eastAsia="Arial" w:hAnsi="Roboto" w:cs="Arial"/>
        </w:rPr>
      </w:pPr>
      <w:r>
        <w:rPr>
          <w:rFonts w:ascii="Roboto" w:hAnsi="Roboto"/>
        </w:rPr>
        <w:pict w14:anchorId="3A7F6F84">
          <v:rect id="_x0000_i1029" style="width:0;height:1.5pt" o:hrstd="t" o:hr="t" fillcolor="#a0a0a0" stroked="f"/>
        </w:pict>
      </w:r>
    </w:p>
    <w:p w14:paraId="00000042" w14:textId="77777777" w:rsidR="00443CD1" w:rsidRPr="007A5631" w:rsidRDefault="00810679" w:rsidP="007A5631">
      <w:pPr>
        <w:pStyle w:val="Heading1"/>
        <w:spacing w:line="276" w:lineRule="auto"/>
        <w:rPr>
          <w:rFonts w:ascii="Roboto" w:eastAsia="Aptos" w:hAnsi="Roboto" w:cs="Aptos"/>
        </w:rPr>
      </w:pPr>
      <w:bookmarkStart w:id="3" w:name="_heading=h.nwp9ikspvh30" w:colFirst="0" w:colLast="0"/>
      <w:bookmarkEnd w:id="3"/>
      <w:r w:rsidRPr="007A5631">
        <w:rPr>
          <w:rFonts w:ascii="Roboto" w:eastAsia="Aptos" w:hAnsi="Roboto" w:cs="Aptos"/>
        </w:rPr>
        <w:t>Closing</w:t>
      </w:r>
    </w:p>
    <w:p w14:paraId="00000043" w14:textId="7E425D61" w:rsidR="00443CD1" w:rsidRDefault="00810679" w:rsidP="007A5631">
      <w:pPr>
        <w:spacing w:after="160" w:line="276" w:lineRule="auto"/>
        <w:rPr>
          <w:rFonts w:ascii="Roboto" w:eastAsia="Aptos" w:hAnsi="Roboto" w:cs="Aptos"/>
        </w:rPr>
      </w:pPr>
      <w:r w:rsidRPr="007A5631">
        <w:rPr>
          <w:rFonts w:ascii="Roboto" w:eastAsia="Aptos" w:hAnsi="Roboto" w:cs="Aptos"/>
        </w:rPr>
        <w:t>Bloom-ED thanks the Department of Social Services for the opportunity to contribute to the Second Action Plan. Comprehensive, evidence-informed RSE is a practical, scalable and equitable primary prevention strategy that can reach almost every child and young person in Australia. We would welcome the opportunity to provide further evidence or to participate in subsequent consultation on the design and implementation of the Second Action Plan.</w:t>
      </w:r>
    </w:p>
    <w:p w14:paraId="65716316" w14:textId="4F41EFCC" w:rsidR="00C0153D" w:rsidRPr="00C0153D" w:rsidRDefault="00C0153D" w:rsidP="007A5631">
      <w:pPr>
        <w:spacing w:after="160" w:line="276" w:lineRule="auto"/>
        <w:rPr>
          <w:rFonts w:ascii="Roboto" w:eastAsia="Aptos" w:hAnsi="Roboto" w:cs="Aptos"/>
          <w:b/>
          <w:bCs/>
        </w:rPr>
      </w:pPr>
      <w:r w:rsidRPr="00C0153D">
        <w:rPr>
          <w:rFonts w:ascii="Roboto" w:eastAsia="Aptos" w:hAnsi="Roboto" w:cs="Aptos"/>
        </w:rPr>
        <w:t xml:space="preserve">Submission prepared by: </w:t>
      </w:r>
      <w:r w:rsidR="00143693">
        <w:rPr>
          <w:rFonts w:ascii="Roboto" w:eastAsia="Aptos" w:hAnsi="Roboto" w:cs="Aptos"/>
        </w:rPr>
        <w:t>[redacted]</w:t>
      </w:r>
      <w:r w:rsidRPr="00C0153D">
        <w:rPr>
          <w:rFonts w:ascii="Roboto" w:eastAsia="Aptos" w:hAnsi="Roboto" w:cs="Aptos"/>
        </w:rPr>
        <w:t xml:space="preserve"> on behalf of Bloom-ED</w:t>
      </w:r>
      <w:r w:rsidR="00166978">
        <w:rPr>
          <w:rFonts w:ascii="Roboto" w:eastAsia="Aptos" w:hAnsi="Roboto" w:cs="Aptos"/>
        </w:rPr>
        <w:t xml:space="preserve">. </w:t>
      </w:r>
    </w:p>
    <w:p w14:paraId="00000044" w14:textId="77777777" w:rsidR="00443CD1" w:rsidRPr="007A5631" w:rsidRDefault="009470A7" w:rsidP="007A5631">
      <w:pPr>
        <w:spacing w:after="160" w:line="276" w:lineRule="auto"/>
        <w:rPr>
          <w:rFonts w:ascii="Roboto" w:eastAsia="Aptos" w:hAnsi="Roboto" w:cs="Aptos"/>
        </w:rPr>
      </w:pPr>
      <w:r>
        <w:rPr>
          <w:rFonts w:ascii="Roboto" w:hAnsi="Roboto"/>
        </w:rPr>
        <w:pict w14:anchorId="31557DFC">
          <v:rect id="_x0000_i1030" style="width:0;height:1.5pt" o:hrstd="t" o:hr="t" fillcolor="#a0a0a0" stroked="f"/>
        </w:pict>
      </w:r>
    </w:p>
    <w:p w14:paraId="00000045" w14:textId="4F37598E" w:rsidR="00443CD1" w:rsidRPr="007A5631" w:rsidRDefault="00810679" w:rsidP="007A5631">
      <w:pPr>
        <w:pStyle w:val="Heading1"/>
        <w:spacing w:line="276" w:lineRule="auto"/>
        <w:rPr>
          <w:rFonts w:ascii="Roboto" w:eastAsia="Aptos" w:hAnsi="Roboto" w:cs="Aptos"/>
        </w:rPr>
      </w:pPr>
      <w:bookmarkStart w:id="4" w:name="_heading=h.plrmnw5sxv4j" w:colFirst="0" w:colLast="0"/>
      <w:bookmarkEnd w:id="4"/>
      <w:r w:rsidRPr="007A5631">
        <w:rPr>
          <w:rFonts w:ascii="Roboto" w:eastAsia="Aptos" w:hAnsi="Roboto" w:cs="Aptos"/>
        </w:rPr>
        <w:t>References we drew upon to support this submission</w:t>
      </w:r>
    </w:p>
    <w:p w14:paraId="00000046" w14:textId="77777777" w:rsidR="00443CD1" w:rsidRPr="007A5631" w:rsidRDefault="00810679" w:rsidP="007A5631">
      <w:pPr>
        <w:spacing w:after="120" w:line="276" w:lineRule="auto"/>
        <w:ind w:left="540" w:hanging="480"/>
        <w:rPr>
          <w:rFonts w:ascii="Roboto" w:eastAsia="Aptos" w:hAnsi="Roboto" w:cs="Aptos"/>
        </w:rPr>
      </w:pPr>
      <w:r w:rsidRPr="007A5631">
        <w:rPr>
          <w:rFonts w:ascii="Roboto" w:eastAsia="Aptos" w:hAnsi="Roboto" w:cs="Aptos"/>
        </w:rPr>
        <w:lastRenderedPageBreak/>
        <w:t xml:space="preserve">Andreassen, K., Quain, J., &amp; Castell, E. (2024). Stop leaving people with disability behind: Reviewing comprehensive sexuality education for people with disability. Health Education Journal, 83(8), 830–840. </w:t>
      </w:r>
      <w:hyperlink r:id="rId13">
        <w:r w:rsidR="00443CD1" w:rsidRPr="007A5631">
          <w:rPr>
            <w:rFonts w:ascii="Roboto" w:eastAsia="Aptos" w:hAnsi="Roboto" w:cs="Aptos"/>
            <w:color w:val="1155CC"/>
            <w:u w:val="single"/>
          </w:rPr>
          <w:t>https://doi.org/10.1177/00178969241269656</w:t>
        </w:r>
      </w:hyperlink>
      <w:r w:rsidRPr="007A5631">
        <w:rPr>
          <w:rFonts w:ascii="Roboto" w:eastAsia="Aptos" w:hAnsi="Roboto" w:cs="Aptos"/>
        </w:rPr>
        <w:t xml:space="preserve"> </w:t>
      </w:r>
    </w:p>
    <w:p w14:paraId="00000047" w14:textId="77777777" w:rsidR="00443CD1" w:rsidRPr="007A5631" w:rsidRDefault="00810679" w:rsidP="007A5631">
      <w:pPr>
        <w:spacing w:after="120" w:line="276" w:lineRule="auto"/>
        <w:ind w:left="540" w:hanging="480"/>
        <w:rPr>
          <w:rFonts w:ascii="Roboto" w:eastAsia="Aptos" w:hAnsi="Roboto" w:cs="Aptos"/>
        </w:rPr>
      </w:pPr>
      <w:r w:rsidRPr="007A5631">
        <w:rPr>
          <w:rFonts w:ascii="Roboto" w:eastAsia="Aptos" w:hAnsi="Roboto" w:cs="Aptos"/>
        </w:rPr>
        <w:t>Australia’s National Research Organisation for Women’s Safety (ANROWS). (2026). Evidence to action: Informing direction for the Second Action Plan — Consultation paper in support of the National Plan to End Violence against Women and Children 2022–2032. ANROWS.</w:t>
      </w:r>
    </w:p>
    <w:p w14:paraId="00000048" w14:textId="77777777" w:rsidR="00443CD1" w:rsidRPr="007A5631" w:rsidRDefault="00810679" w:rsidP="007A5631">
      <w:pPr>
        <w:spacing w:after="120" w:line="276" w:lineRule="auto"/>
        <w:ind w:left="540" w:hanging="480"/>
        <w:rPr>
          <w:rFonts w:ascii="Roboto" w:eastAsia="Aptos" w:hAnsi="Roboto" w:cs="Aptos"/>
        </w:rPr>
      </w:pPr>
      <w:r w:rsidRPr="007A5631">
        <w:rPr>
          <w:rFonts w:ascii="Roboto" w:eastAsia="Aptos" w:hAnsi="Roboto" w:cs="Aptos"/>
        </w:rPr>
        <w:t xml:space="preserve">Burns, S., Glasgow-Collins, R., Saltis, H., &amp; Hendriks, J. (2026). Implementation of a whole-school relationship and sexuality education project in Western Australian schools: Evaluation data from a multiple, embedded case study. Health Promotion Journal of Australia, 37(1), e70138. </w:t>
      </w:r>
      <w:hyperlink r:id="rId14">
        <w:r w:rsidR="00443CD1" w:rsidRPr="007A5631">
          <w:rPr>
            <w:rFonts w:ascii="Roboto" w:eastAsia="Aptos" w:hAnsi="Roboto" w:cs="Aptos"/>
            <w:color w:val="1155CC"/>
            <w:u w:val="single"/>
          </w:rPr>
          <w:t>https://doi.org/10.1002/hpja.70138</w:t>
        </w:r>
      </w:hyperlink>
      <w:r w:rsidRPr="007A5631">
        <w:rPr>
          <w:rFonts w:ascii="Roboto" w:eastAsia="Aptos" w:hAnsi="Roboto" w:cs="Aptos"/>
        </w:rPr>
        <w:t xml:space="preserve"> </w:t>
      </w:r>
    </w:p>
    <w:p w14:paraId="00000049" w14:textId="77777777" w:rsidR="00443CD1" w:rsidRPr="007A5631" w:rsidRDefault="00810679" w:rsidP="007A5631">
      <w:pPr>
        <w:spacing w:after="120" w:line="276" w:lineRule="auto"/>
        <w:ind w:left="540" w:hanging="480"/>
        <w:rPr>
          <w:rFonts w:ascii="Roboto" w:eastAsia="Aptos" w:hAnsi="Roboto" w:cs="Aptos"/>
        </w:rPr>
      </w:pPr>
      <w:r w:rsidRPr="007A5631">
        <w:rPr>
          <w:rFonts w:ascii="Roboto" w:eastAsia="Aptos" w:hAnsi="Roboto" w:cs="Aptos"/>
        </w:rPr>
        <w:t xml:space="preserve">Collier-Harris, C. A., &amp; Goldman, J. D. G. (2017). Is puberty education evident in Australia’s first national curriculum? Sex Education, 17(1), 57–72. </w:t>
      </w:r>
      <w:hyperlink r:id="rId15">
        <w:r w:rsidR="00443CD1" w:rsidRPr="007A5631">
          <w:rPr>
            <w:rFonts w:ascii="Roboto" w:eastAsia="Aptos" w:hAnsi="Roboto" w:cs="Aptos"/>
            <w:color w:val="1155CC"/>
            <w:u w:val="single"/>
          </w:rPr>
          <w:t>https://doi.org/10.1080/14681811.2016.1225259</w:t>
        </w:r>
      </w:hyperlink>
      <w:r w:rsidRPr="007A5631">
        <w:rPr>
          <w:rFonts w:ascii="Roboto" w:eastAsia="Aptos" w:hAnsi="Roboto" w:cs="Aptos"/>
        </w:rPr>
        <w:t xml:space="preserve"> </w:t>
      </w:r>
    </w:p>
    <w:p w14:paraId="0000004A" w14:textId="77777777" w:rsidR="00443CD1" w:rsidRPr="007A5631" w:rsidRDefault="00810679" w:rsidP="007A5631">
      <w:pPr>
        <w:spacing w:after="120" w:line="276" w:lineRule="auto"/>
        <w:ind w:left="540" w:hanging="480"/>
        <w:rPr>
          <w:rFonts w:ascii="Roboto" w:eastAsia="Aptos" w:hAnsi="Roboto" w:cs="Aptos"/>
        </w:rPr>
      </w:pPr>
      <w:r w:rsidRPr="007A5631">
        <w:rPr>
          <w:rFonts w:ascii="Roboto" w:eastAsia="Aptos" w:hAnsi="Roboto" w:cs="Aptos"/>
        </w:rPr>
        <w:t xml:space="preserve">Corbett, M. (2023). Beyond birds and bees: Using the Confluence Model to assess comprehensive sexuality education as primary prevention for sexual violence outcomes [Doctoral dissertation, Lehigh University]. </w:t>
      </w:r>
    </w:p>
    <w:p w14:paraId="4E03DE07" w14:textId="2F9CFB9A" w:rsidR="003115F5" w:rsidRDefault="003115F5" w:rsidP="003115F5">
      <w:pPr>
        <w:spacing w:after="120" w:line="276" w:lineRule="auto"/>
        <w:ind w:left="540" w:hanging="480"/>
        <w:rPr>
          <w:rFonts w:ascii="Roboto" w:eastAsia="Aptos" w:hAnsi="Roboto" w:cs="Aptos"/>
        </w:rPr>
      </w:pPr>
      <w:r w:rsidRPr="003115F5">
        <w:rPr>
          <w:rFonts w:ascii="Roboto" w:eastAsia="Aptos" w:hAnsi="Roboto" w:cs="Aptos"/>
        </w:rPr>
        <w:t>Commonwealth of Australia (Department of Social Services). (2026). Our Ways – Strong Ways – Our Voices: National Aboriginal and Torres Strait Islander Plan to End Family, Domestic and Sexual Violence 2026–2036. Commonwealth of Australia</w:t>
      </w:r>
    </w:p>
    <w:p w14:paraId="0000004B" w14:textId="6E806086" w:rsidR="00443CD1" w:rsidRPr="007A5631" w:rsidRDefault="00810679" w:rsidP="007A5631">
      <w:pPr>
        <w:spacing w:after="120" w:line="276" w:lineRule="auto"/>
        <w:ind w:left="540" w:hanging="480"/>
        <w:rPr>
          <w:rFonts w:ascii="Roboto" w:eastAsia="Aptos" w:hAnsi="Roboto" w:cs="Aptos"/>
        </w:rPr>
      </w:pPr>
      <w:r w:rsidRPr="007A5631">
        <w:rPr>
          <w:rFonts w:ascii="Roboto" w:eastAsia="Aptos" w:hAnsi="Roboto" w:cs="Aptos"/>
        </w:rPr>
        <w:t xml:space="preserve">DeGue, S., Valle, L. A., Holt, M. K., Massetti, G. M., Matjasko, J. L., &amp; Tharp, A. T. (2014). A systematic review of primary prevention strategies for sexual violence perpetration. Aggression and Violent Behavior, 19(4), 346–362. </w:t>
      </w:r>
      <w:hyperlink r:id="rId16">
        <w:r w:rsidR="00443CD1" w:rsidRPr="007A5631">
          <w:rPr>
            <w:rFonts w:ascii="Roboto" w:eastAsia="Aptos" w:hAnsi="Roboto" w:cs="Aptos"/>
            <w:color w:val="1155CC"/>
            <w:u w:val="single"/>
          </w:rPr>
          <w:t>https://doi.org/10.1016/j.avb.2014.05.004</w:t>
        </w:r>
      </w:hyperlink>
      <w:r w:rsidRPr="007A5631">
        <w:rPr>
          <w:rFonts w:ascii="Roboto" w:eastAsia="Aptos" w:hAnsi="Roboto" w:cs="Aptos"/>
        </w:rPr>
        <w:t xml:space="preserve"> </w:t>
      </w:r>
    </w:p>
    <w:p w14:paraId="0000004C" w14:textId="77777777" w:rsidR="00443CD1" w:rsidRPr="007A5631" w:rsidRDefault="00810679" w:rsidP="007A5631">
      <w:pPr>
        <w:spacing w:after="120" w:line="276" w:lineRule="auto"/>
        <w:ind w:left="540" w:hanging="480"/>
        <w:rPr>
          <w:rFonts w:ascii="Roboto" w:eastAsia="Aptos" w:hAnsi="Roboto" w:cs="Aptos"/>
        </w:rPr>
      </w:pPr>
      <w:r w:rsidRPr="007A5631">
        <w:rPr>
          <w:rFonts w:ascii="Roboto" w:eastAsia="Aptos" w:hAnsi="Roboto" w:cs="Aptos"/>
        </w:rPr>
        <w:t xml:space="preserve">Goldfarb, E. S., &amp; Lieberman, L. D. (2021). Three decades of research: The case for comprehensive sexuality education. Journal of Adolescent Health, 68(1), 13–27. </w:t>
      </w:r>
      <w:hyperlink r:id="rId17">
        <w:r w:rsidR="00443CD1" w:rsidRPr="007A5631">
          <w:rPr>
            <w:rFonts w:ascii="Roboto" w:eastAsia="Aptos" w:hAnsi="Roboto" w:cs="Aptos"/>
            <w:color w:val="1155CC"/>
            <w:u w:val="single"/>
          </w:rPr>
          <w:t>https://doi.org/10.1016/j.jadohealth.2020.07.036</w:t>
        </w:r>
      </w:hyperlink>
      <w:r w:rsidRPr="007A5631">
        <w:rPr>
          <w:rFonts w:ascii="Roboto" w:eastAsia="Aptos" w:hAnsi="Roboto" w:cs="Aptos"/>
        </w:rPr>
        <w:t xml:space="preserve"> </w:t>
      </w:r>
    </w:p>
    <w:p w14:paraId="0000004D" w14:textId="77777777" w:rsidR="00443CD1" w:rsidRPr="007A5631" w:rsidRDefault="00810679" w:rsidP="007A5631">
      <w:pPr>
        <w:spacing w:after="120" w:line="276" w:lineRule="auto"/>
        <w:ind w:left="540" w:hanging="480"/>
        <w:rPr>
          <w:rFonts w:ascii="Roboto" w:eastAsia="Aptos" w:hAnsi="Roboto" w:cs="Aptos"/>
        </w:rPr>
      </w:pPr>
      <w:r w:rsidRPr="007A5631">
        <w:rPr>
          <w:rFonts w:ascii="Roboto" w:eastAsia="Aptos" w:hAnsi="Roboto" w:cs="Aptos"/>
        </w:rPr>
        <w:t xml:space="preserve">Goldfarb, E., Lieberman, L., &amp; Conklin, K. (2026, in press). Promising approaches to comprehensive sex education: Evidence from three decades of research. Journal of Adolescent Health, 78, 19–34. </w:t>
      </w:r>
      <w:hyperlink r:id="rId18">
        <w:r w:rsidR="00443CD1" w:rsidRPr="007A5631">
          <w:rPr>
            <w:rFonts w:ascii="Roboto" w:eastAsia="Aptos" w:hAnsi="Roboto" w:cs="Aptos"/>
            <w:color w:val="1155CC"/>
            <w:u w:val="single"/>
          </w:rPr>
          <w:t>https://doi.org/10.1016/j.jadohealth.2025.06.034</w:t>
        </w:r>
      </w:hyperlink>
      <w:r w:rsidRPr="007A5631">
        <w:rPr>
          <w:rFonts w:ascii="Roboto" w:eastAsia="Aptos" w:hAnsi="Roboto" w:cs="Aptos"/>
        </w:rPr>
        <w:t xml:space="preserve"> </w:t>
      </w:r>
    </w:p>
    <w:p w14:paraId="0000004E" w14:textId="77777777" w:rsidR="00443CD1" w:rsidRPr="007A5631" w:rsidRDefault="00810679" w:rsidP="007A5631">
      <w:pPr>
        <w:spacing w:after="120" w:line="276" w:lineRule="auto"/>
        <w:ind w:left="540" w:hanging="480"/>
        <w:rPr>
          <w:rFonts w:ascii="Roboto" w:eastAsia="Aptos" w:hAnsi="Roboto" w:cs="Aptos"/>
        </w:rPr>
      </w:pPr>
      <w:r w:rsidRPr="007A5631">
        <w:rPr>
          <w:rFonts w:ascii="Roboto" w:eastAsia="Aptos" w:hAnsi="Roboto" w:cs="Aptos"/>
        </w:rPr>
        <w:t xml:space="preserve">Hendriks, J., Carter, A., &amp; Ford, J. V. (2025). Editorial: Sexuality education that prioritizes sexual wellbeing: Initiatives and impact. Frontiers in Education, 10. </w:t>
      </w:r>
      <w:hyperlink r:id="rId19">
        <w:r w:rsidR="00443CD1" w:rsidRPr="007A5631">
          <w:rPr>
            <w:rFonts w:ascii="Roboto" w:eastAsia="Aptos" w:hAnsi="Roboto" w:cs="Aptos"/>
            <w:color w:val="1155CC"/>
            <w:u w:val="single"/>
          </w:rPr>
          <w:t>https://doi.org/10.3389/feduc.2025.1720682</w:t>
        </w:r>
      </w:hyperlink>
      <w:r w:rsidRPr="007A5631">
        <w:rPr>
          <w:rFonts w:ascii="Roboto" w:eastAsia="Aptos" w:hAnsi="Roboto" w:cs="Aptos"/>
        </w:rPr>
        <w:t xml:space="preserve"> </w:t>
      </w:r>
    </w:p>
    <w:p w14:paraId="686400E7" w14:textId="10A36AF5" w:rsidR="00E43B3F" w:rsidRDefault="00E43B3F" w:rsidP="007A5631">
      <w:pPr>
        <w:spacing w:after="120" w:line="276" w:lineRule="auto"/>
        <w:ind w:left="540" w:hanging="480"/>
        <w:rPr>
          <w:rFonts w:ascii="Roboto" w:eastAsia="Aptos" w:hAnsi="Roboto" w:cs="Aptos"/>
        </w:rPr>
      </w:pPr>
      <w:r w:rsidRPr="00E43B3F">
        <w:rPr>
          <w:rFonts w:ascii="Roboto" w:eastAsia="Aptos" w:hAnsi="Roboto" w:cs="Aptos"/>
        </w:rPr>
        <w:lastRenderedPageBreak/>
        <w:t>Hooker, L., Ison, J., Henry, N., Fisher, C., Forsdike, K., Young, F., Korsmeyer, H., O’Sullivan, G., &amp; Taft, A. (2021). Primary prevention of sexual violence and harassment against women and girls: Combining evidence and practice knowledge - Final Report and Theory of Change. La Trobe University.</w:t>
      </w:r>
    </w:p>
    <w:p w14:paraId="0000004F" w14:textId="2DF6994E" w:rsidR="00443CD1" w:rsidRPr="007A5631" w:rsidRDefault="00810679" w:rsidP="007A5631">
      <w:pPr>
        <w:spacing w:after="120" w:line="276" w:lineRule="auto"/>
        <w:ind w:left="540" w:hanging="480"/>
        <w:rPr>
          <w:rFonts w:ascii="Roboto" w:eastAsia="Aptos" w:hAnsi="Roboto" w:cs="Aptos"/>
        </w:rPr>
      </w:pPr>
      <w:r w:rsidRPr="007A5631">
        <w:rPr>
          <w:rFonts w:ascii="Roboto" w:eastAsia="Aptos" w:hAnsi="Roboto" w:cs="Aptos"/>
        </w:rPr>
        <w:t xml:space="preserve">Kauer, S., Power, J., Bourne, A., &amp; Fisher, C. (2025). Associations between school-based relationships and sexuality education and young people’s sexual experiences. Sex Education, 25(4), 496–512. </w:t>
      </w:r>
      <w:hyperlink r:id="rId20">
        <w:r w:rsidR="00443CD1" w:rsidRPr="007A5631">
          <w:rPr>
            <w:rFonts w:ascii="Roboto" w:eastAsia="Aptos" w:hAnsi="Roboto" w:cs="Aptos"/>
            <w:color w:val="1155CC"/>
            <w:u w:val="single"/>
          </w:rPr>
          <w:t>https://doi.org/10.1080/14681811.2024.2359982</w:t>
        </w:r>
      </w:hyperlink>
      <w:r w:rsidRPr="007A5631">
        <w:rPr>
          <w:rFonts w:ascii="Roboto" w:eastAsia="Aptos" w:hAnsi="Roboto" w:cs="Aptos"/>
        </w:rPr>
        <w:t xml:space="preserve"> </w:t>
      </w:r>
    </w:p>
    <w:p w14:paraId="00000050" w14:textId="77777777" w:rsidR="00443CD1" w:rsidRPr="007A5631" w:rsidRDefault="00810679" w:rsidP="007A5631">
      <w:pPr>
        <w:spacing w:after="120" w:line="276" w:lineRule="auto"/>
        <w:ind w:left="540" w:hanging="480"/>
        <w:rPr>
          <w:rFonts w:ascii="Roboto" w:eastAsia="Aptos" w:hAnsi="Roboto" w:cs="Aptos"/>
        </w:rPr>
      </w:pPr>
      <w:r w:rsidRPr="007A5631">
        <w:rPr>
          <w:rFonts w:ascii="Roboto" w:eastAsia="Aptos" w:hAnsi="Roboto" w:cs="Aptos"/>
        </w:rPr>
        <w:t xml:space="preserve">McKay, E., Phianthanyakam, N., Trainattawan, W., Rydberg, J., &amp; Koren, A. (2026). Experiences and perceptions of LGBTQ+ inclusivity in school-based sex education among LGBTQ+ youth. Journal of Adolescent Health, 78(3), S50. </w:t>
      </w:r>
      <w:hyperlink r:id="rId21">
        <w:r w:rsidR="00443CD1" w:rsidRPr="007A5631">
          <w:rPr>
            <w:rFonts w:ascii="Roboto" w:eastAsia="Aptos" w:hAnsi="Roboto" w:cs="Aptos"/>
            <w:color w:val="1155CC"/>
            <w:u w:val="single"/>
          </w:rPr>
          <w:t>https://doi.org/10.1016/j.jadohealth.2025.12.091</w:t>
        </w:r>
      </w:hyperlink>
      <w:r w:rsidRPr="007A5631">
        <w:rPr>
          <w:rFonts w:ascii="Roboto" w:eastAsia="Aptos" w:hAnsi="Roboto" w:cs="Aptos"/>
        </w:rPr>
        <w:t xml:space="preserve"> </w:t>
      </w:r>
    </w:p>
    <w:p w14:paraId="00000051" w14:textId="77777777" w:rsidR="00443CD1" w:rsidRPr="007A5631" w:rsidRDefault="00810679" w:rsidP="007A5631">
      <w:pPr>
        <w:spacing w:after="120" w:line="276" w:lineRule="auto"/>
        <w:ind w:left="540" w:hanging="480"/>
        <w:rPr>
          <w:rFonts w:ascii="Roboto" w:eastAsia="Aptos" w:hAnsi="Roboto" w:cs="Aptos"/>
        </w:rPr>
      </w:pPr>
      <w:r w:rsidRPr="007A5631">
        <w:rPr>
          <w:rFonts w:ascii="Roboto" w:eastAsia="Aptos" w:hAnsi="Roboto" w:cs="Aptos"/>
        </w:rPr>
        <w:t xml:space="preserve">National Teacher Preparation Standards for Sexuality Education. (n.d.). Sexuality Information and Education Council of the United States (SIECUS). </w:t>
      </w:r>
      <w:hyperlink r:id="rId22">
        <w:r w:rsidR="00443CD1" w:rsidRPr="007A5631">
          <w:rPr>
            <w:rFonts w:ascii="Roboto" w:eastAsia="Aptos" w:hAnsi="Roboto" w:cs="Aptos"/>
            <w:color w:val="1155CC"/>
            <w:u w:val="single"/>
          </w:rPr>
          <w:t>https://siecus.org/wp-content/uploads/2024/05/teacher-standards-1.pdf</w:t>
        </w:r>
      </w:hyperlink>
      <w:r w:rsidRPr="007A5631">
        <w:rPr>
          <w:rFonts w:ascii="Roboto" w:eastAsia="Aptos" w:hAnsi="Roboto" w:cs="Aptos"/>
        </w:rPr>
        <w:t xml:space="preserve"> </w:t>
      </w:r>
    </w:p>
    <w:p w14:paraId="2F906950" w14:textId="6E19D593" w:rsidR="000449EF" w:rsidRDefault="000449EF" w:rsidP="007A5631">
      <w:pPr>
        <w:spacing w:after="120" w:line="276" w:lineRule="auto"/>
        <w:ind w:left="540" w:hanging="480"/>
        <w:rPr>
          <w:rFonts w:ascii="Roboto" w:eastAsia="Aptos" w:hAnsi="Roboto" w:cs="Aptos"/>
        </w:rPr>
      </w:pPr>
      <w:r w:rsidRPr="000449EF">
        <w:rPr>
          <w:rFonts w:ascii="Roboto" w:eastAsia="Aptos" w:hAnsi="Roboto" w:cs="Aptos"/>
        </w:rPr>
        <w:t xml:space="preserve">Porat, R., Gantman, A., Green, S. A., Pezzuto, J. H., &amp; Paluck, E. L. (2024). Preventing sexual violence: </w:t>
      </w:r>
      <w:r>
        <w:rPr>
          <w:rFonts w:ascii="Roboto" w:eastAsia="Aptos" w:hAnsi="Roboto" w:cs="Aptos"/>
        </w:rPr>
        <w:t>A</w:t>
      </w:r>
      <w:r w:rsidRPr="000449EF">
        <w:rPr>
          <w:rFonts w:ascii="Roboto" w:eastAsia="Aptos" w:hAnsi="Roboto" w:cs="Aptos"/>
        </w:rPr>
        <w:t xml:space="preserve"> behavioral problem without a behaviorally informed solution. </w:t>
      </w:r>
      <w:r w:rsidRPr="000449EF">
        <w:rPr>
          <w:rFonts w:ascii="Roboto" w:eastAsia="Aptos" w:hAnsi="Roboto" w:cs="Aptos"/>
          <w:i/>
          <w:iCs/>
        </w:rPr>
        <w:t xml:space="preserve">Psychological science in the public interest: </w:t>
      </w:r>
      <w:r>
        <w:rPr>
          <w:rFonts w:ascii="Roboto" w:eastAsia="Aptos" w:hAnsi="Roboto" w:cs="Aptos"/>
          <w:i/>
          <w:iCs/>
        </w:rPr>
        <w:t>A</w:t>
      </w:r>
      <w:r w:rsidRPr="000449EF">
        <w:rPr>
          <w:rFonts w:ascii="Roboto" w:eastAsia="Aptos" w:hAnsi="Roboto" w:cs="Aptos"/>
          <w:i/>
          <w:iCs/>
        </w:rPr>
        <w:t xml:space="preserve"> journal of the American Psychological Society</w:t>
      </w:r>
      <w:r w:rsidRPr="000449EF">
        <w:rPr>
          <w:rFonts w:ascii="Roboto" w:eastAsia="Aptos" w:hAnsi="Roboto" w:cs="Aptos"/>
        </w:rPr>
        <w:t>, </w:t>
      </w:r>
      <w:r w:rsidRPr="000449EF">
        <w:rPr>
          <w:rFonts w:ascii="Roboto" w:eastAsia="Aptos" w:hAnsi="Roboto" w:cs="Aptos"/>
          <w:i/>
          <w:iCs/>
        </w:rPr>
        <w:t>25</w:t>
      </w:r>
      <w:r w:rsidRPr="000449EF">
        <w:rPr>
          <w:rFonts w:ascii="Roboto" w:eastAsia="Aptos" w:hAnsi="Roboto" w:cs="Aptos"/>
        </w:rPr>
        <w:t xml:space="preserve">(1), 4–29. </w:t>
      </w:r>
      <w:hyperlink r:id="rId23" w:history="1">
        <w:r w:rsidRPr="00046BBA">
          <w:rPr>
            <w:rStyle w:val="Hyperlink"/>
            <w:rFonts w:ascii="Roboto" w:eastAsia="Aptos" w:hAnsi="Roboto" w:cs="Aptos"/>
          </w:rPr>
          <w:t>https://doi.org/10.1177/15291006231221978</w:t>
        </w:r>
      </w:hyperlink>
      <w:r>
        <w:rPr>
          <w:rFonts w:ascii="Roboto" w:eastAsia="Aptos" w:hAnsi="Roboto" w:cs="Aptos"/>
        </w:rPr>
        <w:t xml:space="preserve"> </w:t>
      </w:r>
    </w:p>
    <w:p w14:paraId="00000052" w14:textId="2806FFCF" w:rsidR="00443CD1" w:rsidRPr="007A5631" w:rsidRDefault="00810679" w:rsidP="007A5631">
      <w:pPr>
        <w:spacing w:after="120" w:line="276" w:lineRule="auto"/>
        <w:ind w:left="540" w:hanging="480"/>
        <w:rPr>
          <w:rFonts w:ascii="Roboto" w:eastAsia="Aptos" w:hAnsi="Roboto" w:cs="Aptos"/>
        </w:rPr>
      </w:pPr>
      <w:r w:rsidRPr="007A5631">
        <w:rPr>
          <w:rFonts w:ascii="Roboto" w:eastAsia="Aptos" w:hAnsi="Roboto" w:cs="Aptos"/>
        </w:rPr>
        <w:t xml:space="preserve">Pound, P., Denford, S., Shucksmith, J., Tanton, C., Johnson, A. M., Owen, J., Hutten, R., Mohan, L., Bonell, C., Abraham, C., &amp; Campbell, R. (2017). What is best practice in sex and relationship education? A synthesis of evidence, including stakeholders’ views. BMJ Open, 7, e014791. </w:t>
      </w:r>
      <w:hyperlink r:id="rId24">
        <w:r w:rsidR="00443CD1" w:rsidRPr="007A5631">
          <w:rPr>
            <w:rFonts w:ascii="Roboto" w:eastAsia="Aptos" w:hAnsi="Roboto" w:cs="Aptos"/>
            <w:color w:val="1155CC"/>
            <w:u w:val="single"/>
          </w:rPr>
          <w:t>https://doi.org/10.1136/bmjopen-2016-014791</w:t>
        </w:r>
      </w:hyperlink>
      <w:r w:rsidRPr="007A5631">
        <w:rPr>
          <w:rFonts w:ascii="Roboto" w:eastAsia="Aptos" w:hAnsi="Roboto" w:cs="Aptos"/>
        </w:rPr>
        <w:t xml:space="preserve"> </w:t>
      </w:r>
    </w:p>
    <w:p w14:paraId="00000053" w14:textId="77777777" w:rsidR="00443CD1" w:rsidRPr="007A5631" w:rsidRDefault="00810679" w:rsidP="007A5631">
      <w:pPr>
        <w:spacing w:after="120" w:line="276" w:lineRule="auto"/>
        <w:ind w:left="540" w:hanging="480"/>
        <w:rPr>
          <w:rFonts w:ascii="Roboto" w:eastAsia="Aptos" w:hAnsi="Roboto" w:cs="Aptos"/>
        </w:rPr>
      </w:pPr>
      <w:r w:rsidRPr="007A5631">
        <w:rPr>
          <w:rFonts w:ascii="Roboto" w:eastAsia="Aptos" w:hAnsi="Roboto" w:cs="Aptos"/>
        </w:rPr>
        <w:t xml:space="preserve">Power, J., Kauer, S., Duffus, B., &amp; Bourne, A. (2026). The 8th National Survey of Australian Secondary Students and Sexual Health 2025. Australian Research Centre in Sex, Health &amp; Society, La Trobe University. </w:t>
      </w:r>
      <w:hyperlink r:id="rId25">
        <w:r w:rsidR="00443CD1" w:rsidRPr="007A5631">
          <w:rPr>
            <w:rFonts w:ascii="Roboto" w:eastAsia="Aptos" w:hAnsi="Roboto" w:cs="Aptos"/>
            <w:color w:val="1155CC"/>
            <w:u w:val="single"/>
          </w:rPr>
          <w:t>https://www.latrobe.edu.au/arcshs/work/sexual-health/australian-survey-of-secondary-students</w:t>
        </w:r>
      </w:hyperlink>
      <w:r w:rsidRPr="007A5631">
        <w:rPr>
          <w:rFonts w:ascii="Roboto" w:eastAsia="Aptos" w:hAnsi="Roboto" w:cs="Aptos"/>
        </w:rPr>
        <w:t xml:space="preserve"> </w:t>
      </w:r>
    </w:p>
    <w:p w14:paraId="00000054" w14:textId="77777777" w:rsidR="00443CD1" w:rsidRPr="007A5631" w:rsidRDefault="00810679" w:rsidP="007A5631">
      <w:pPr>
        <w:spacing w:after="120" w:line="276" w:lineRule="auto"/>
        <w:ind w:left="540" w:hanging="480"/>
        <w:rPr>
          <w:rFonts w:ascii="Roboto" w:eastAsia="Aptos" w:hAnsi="Roboto" w:cs="Aptos"/>
        </w:rPr>
      </w:pPr>
      <w:r w:rsidRPr="007A5631">
        <w:rPr>
          <w:rFonts w:ascii="Roboto" w:eastAsia="Aptos" w:hAnsi="Roboto" w:cs="Aptos"/>
        </w:rPr>
        <w:t xml:space="preserve">Schneider, M., &amp; Hirsch, J. S. (2020). Comprehensive sexuality education as a primary prevention strategy for sexual violence perpetration. Trauma, Violence, &amp; Abuse, 21(3), 439–455. </w:t>
      </w:r>
      <w:hyperlink r:id="rId26">
        <w:r w:rsidR="00443CD1" w:rsidRPr="007A5631">
          <w:rPr>
            <w:rFonts w:ascii="Roboto" w:eastAsia="Aptos" w:hAnsi="Roboto" w:cs="Aptos"/>
            <w:color w:val="1155CC"/>
            <w:u w:val="single"/>
          </w:rPr>
          <w:t>https://doi.org/10.1177/1524838018772855</w:t>
        </w:r>
      </w:hyperlink>
      <w:r w:rsidRPr="007A5631">
        <w:rPr>
          <w:rFonts w:ascii="Roboto" w:eastAsia="Aptos" w:hAnsi="Roboto" w:cs="Aptos"/>
        </w:rPr>
        <w:t xml:space="preserve"> </w:t>
      </w:r>
    </w:p>
    <w:p w14:paraId="00000055" w14:textId="77777777" w:rsidR="00443CD1" w:rsidRPr="007A5631" w:rsidRDefault="00810679" w:rsidP="007A5631">
      <w:pPr>
        <w:spacing w:after="120" w:line="276" w:lineRule="auto"/>
        <w:ind w:left="540" w:hanging="480"/>
        <w:rPr>
          <w:rFonts w:ascii="Roboto" w:eastAsia="Aptos" w:hAnsi="Roboto" w:cs="Aptos"/>
        </w:rPr>
      </w:pPr>
      <w:r w:rsidRPr="007A5631">
        <w:rPr>
          <w:rFonts w:ascii="Roboto" w:eastAsia="Aptos" w:hAnsi="Roboto" w:cs="Aptos"/>
        </w:rPr>
        <w:t xml:space="preserve">Scull, T. M., Stump, K. N., Evans-Paulson, R., Dodson, C. V., &amp; Schoemann, A. M. (2025). Moving toward a more comprehensive standard for sex education: A latent class analysis and examination of young adult sexual health. Journal of Sex Research, 15, 1–14. </w:t>
      </w:r>
      <w:hyperlink r:id="rId27">
        <w:r w:rsidR="00443CD1" w:rsidRPr="007A5631">
          <w:rPr>
            <w:rFonts w:ascii="Roboto" w:eastAsia="Aptos" w:hAnsi="Roboto" w:cs="Aptos"/>
            <w:color w:val="1155CC"/>
            <w:u w:val="single"/>
          </w:rPr>
          <w:t>https://doi.org/10.1080/00224499.2025.2475549</w:t>
        </w:r>
      </w:hyperlink>
      <w:r w:rsidRPr="007A5631">
        <w:rPr>
          <w:rFonts w:ascii="Roboto" w:eastAsia="Aptos" w:hAnsi="Roboto" w:cs="Aptos"/>
        </w:rPr>
        <w:t xml:space="preserve"> </w:t>
      </w:r>
    </w:p>
    <w:p w14:paraId="00000056" w14:textId="77777777" w:rsidR="00443CD1" w:rsidRPr="007A5631" w:rsidRDefault="00810679" w:rsidP="007A5631">
      <w:pPr>
        <w:spacing w:after="120" w:line="276" w:lineRule="auto"/>
        <w:ind w:left="540" w:hanging="480"/>
        <w:rPr>
          <w:rFonts w:ascii="Roboto" w:eastAsia="Aptos" w:hAnsi="Roboto" w:cs="Aptos"/>
        </w:rPr>
      </w:pPr>
      <w:r w:rsidRPr="007A5631">
        <w:rPr>
          <w:rFonts w:ascii="Roboto" w:eastAsia="Aptos" w:hAnsi="Roboto" w:cs="Aptos"/>
        </w:rPr>
        <w:t xml:space="preserve">Tharp, A. T., DeGue, S., Valle, L. A., Brookmeyer, K. A., Massetti, G. M., &amp; Matjasko, J. L. (2012). A systematic qualitative review of risk and protective factors for </w:t>
      </w:r>
      <w:r w:rsidRPr="007A5631">
        <w:rPr>
          <w:rFonts w:ascii="Roboto" w:eastAsia="Aptos" w:hAnsi="Roboto" w:cs="Aptos"/>
        </w:rPr>
        <w:lastRenderedPageBreak/>
        <w:t xml:space="preserve">sexual violence perpetration. Trauma, Violence, &amp; Abuse, 14(2), 133–167. </w:t>
      </w:r>
      <w:hyperlink r:id="rId28">
        <w:r w:rsidR="00443CD1" w:rsidRPr="007A5631">
          <w:rPr>
            <w:rFonts w:ascii="Roboto" w:eastAsia="Aptos" w:hAnsi="Roboto" w:cs="Aptos"/>
            <w:color w:val="1155CC"/>
            <w:u w:val="single"/>
          </w:rPr>
          <w:t>https://doi.org/10.1177/1524838012470031</w:t>
        </w:r>
      </w:hyperlink>
      <w:r w:rsidRPr="007A5631">
        <w:rPr>
          <w:rFonts w:ascii="Roboto" w:eastAsia="Aptos" w:hAnsi="Roboto" w:cs="Aptos"/>
        </w:rPr>
        <w:t xml:space="preserve"> </w:t>
      </w:r>
    </w:p>
    <w:p w14:paraId="00000057" w14:textId="77777777" w:rsidR="00443CD1" w:rsidRPr="007A5631" w:rsidRDefault="00810679" w:rsidP="007A5631">
      <w:pPr>
        <w:spacing w:after="120" w:line="276" w:lineRule="auto"/>
        <w:ind w:left="540" w:hanging="480"/>
        <w:rPr>
          <w:rFonts w:ascii="Roboto" w:eastAsia="Aptos" w:hAnsi="Roboto" w:cs="Aptos"/>
        </w:rPr>
      </w:pPr>
      <w:r w:rsidRPr="007A5631">
        <w:rPr>
          <w:rFonts w:ascii="Roboto" w:eastAsia="Aptos" w:hAnsi="Roboto" w:cs="Aptos"/>
        </w:rPr>
        <w:t xml:space="preserve">United Nations Educational, Scientific and Cultural Organization (UNESCO). (2018). International technical guidance on sexuality education: An evidence-informed approach. </w:t>
      </w:r>
      <w:hyperlink r:id="rId29">
        <w:r w:rsidR="00443CD1" w:rsidRPr="007A5631">
          <w:rPr>
            <w:rFonts w:ascii="Roboto" w:eastAsia="Aptos" w:hAnsi="Roboto" w:cs="Aptos"/>
            <w:color w:val="1155CC"/>
            <w:u w:val="single"/>
          </w:rPr>
          <w:t>https://www.who.int/publications/m/item/9789231002595</w:t>
        </w:r>
      </w:hyperlink>
      <w:r w:rsidRPr="007A5631">
        <w:rPr>
          <w:rFonts w:ascii="Roboto" w:eastAsia="Aptos" w:hAnsi="Roboto" w:cs="Aptos"/>
        </w:rPr>
        <w:t xml:space="preserve"> </w:t>
      </w:r>
    </w:p>
    <w:p w14:paraId="74B5E5FE" w14:textId="77777777" w:rsidR="002F379B" w:rsidRPr="007A5631" w:rsidRDefault="002F379B" w:rsidP="002F379B">
      <w:pPr>
        <w:spacing w:after="120" w:line="276" w:lineRule="auto"/>
        <w:ind w:left="540" w:hanging="480"/>
        <w:rPr>
          <w:rFonts w:ascii="Roboto" w:eastAsia="Aptos" w:hAnsi="Roboto" w:cs="Aptos"/>
        </w:rPr>
      </w:pPr>
      <w:r w:rsidRPr="007A5631">
        <w:rPr>
          <w:rFonts w:ascii="Roboto" w:eastAsia="Aptos" w:hAnsi="Roboto" w:cs="Aptos"/>
        </w:rPr>
        <w:t>Vrankovich, S., Hamilton, G., &amp; Powell, A. (202</w:t>
      </w:r>
      <w:r>
        <w:rPr>
          <w:rFonts w:ascii="Roboto" w:eastAsia="Aptos" w:hAnsi="Roboto" w:cs="Aptos"/>
        </w:rPr>
        <w:t>4</w:t>
      </w:r>
      <w:r w:rsidRPr="007A5631">
        <w:rPr>
          <w:rFonts w:ascii="Roboto" w:eastAsia="Aptos" w:hAnsi="Roboto" w:cs="Aptos"/>
        </w:rPr>
        <w:t xml:space="preserve">). Young adult perspectives on sexuality education in Australia: Implications for sexual violence primary prevention. Sex Education, 25(5), 615–630. </w:t>
      </w:r>
      <w:hyperlink r:id="rId30">
        <w:r w:rsidRPr="007A5631">
          <w:rPr>
            <w:rFonts w:ascii="Roboto" w:eastAsia="Aptos" w:hAnsi="Roboto" w:cs="Aptos"/>
            <w:color w:val="1155CC"/>
            <w:u w:val="single"/>
          </w:rPr>
          <w:t>https://doi.org/10.1080/14681811.2024.2367216</w:t>
        </w:r>
      </w:hyperlink>
      <w:r w:rsidRPr="007A5631">
        <w:rPr>
          <w:rFonts w:ascii="Roboto" w:eastAsia="Aptos" w:hAnsi="Roboto" w:cs="Aptos"/>
        </w:rPr>
        <w:t xml:space="preserve"> </w:t>
      </w:r>
    </w:p>
    <w:p w14:paraId="00000058" w14:textId="74CF10D9" w:rsidR="00443CD1" w:rsidRPr="007A5631" w:rsidRDefault="00810679" w:rsidP="007A5631">
      <w:pPr>
        <w:spacing w:after="120" w:line="276" w:lineRule="auto"/>
        <w:ind w:left="540" w:hanging="480"/>
        <w:rPr>
          <w:rFonts w:ascii="Roboto" w:eastAsia="Aptos" w:hAnsi="Roboto" w:cs="Aptos"/>
        </w:rPr>
      </w:pPr>
      <w:r w:rsidRPr="007A5631">
        <w:rPr>
          <w:rFonts w:ascii="Roboto" w:eastAsia="Aptos" w:hAnsi="Roboto" w:cs="Aptos"/>
        </w:rPr>
        <w:t xml:space="preserve">Vrankovich, S., Hamilton, G., &amp; Powell, A. (2025). “For sustained change, we need everyone on board”: Australian outsourced provider perspectives on relationships and sexuality education for young people. Youth, 5(1), 14. </w:t>
      </w:r>
      <w:hyperlink r:id="rId31">
        <w:r w:rsidR="00443CD1" w:rsidRPr="007A5631">
          <w:rPr>
            <w:rFonts w:ascii="Roboto" w:eastAsia="Aptos" w:hAnsi="Roboto" w:cs="Aptos"/>
            <w:color w:val="1155CC"/>
            <w:u w:val="single"/>
          </w:rPr>
          <w:t>https://doi.org/10.3390/youth5010014</w:t>
        </w:r>
      </w:hyperlink>
      <w:r w:rsidRPr="007A5631">
        <w:rPr>
          <w:rFonts w:ascii="Roboto" w:eastAsia="Aptos" w:hAnsi="Roboto" w:cs="Aptos"/>
        </w:rPr>
        <w:t xml:space="preserve"> </w:t>
      </w:r>
    </w:p>
    <w:p w14:paraId="0000005A" w14:textId="77777777" w:rsidR="00443CD1" w:rsidRPr="007A5631" w:rsidRDefault="00810679" w:rsidP="007A5631">
      <w:pPr>
        <w:spacing w:after="120" w:line="276" w:lineRule="auto"/>
        <w:ind w:left="540" w:hanging="480"/>
        <w:rPr>
          <w:rFonts w:ascii="Roboto" w:eastAsia="Aptos" w:hAnsi="Roboto" w:cs="Aptos"/>
        </w:rPr>
      </w:pPr>
      <w:r w:rsidRPr="007A5631">
        <w:rPr>
          <w:rFonts w:ascii="Roboto" w:eastAsia="Aptos" w:hAnsi="Roboto" w:cs="Aptos"/>
        </w:rPr>
        <w:t xml:space="preserve">Vrankovich, S., Marson, K., Woodley, G., Quain, J., &amp; Saltis, H. (2026, in press). Sexuality education in an age of resistance: Reflections at the nexus of education, health and rights. Health Education Journal. </w:t>
      </w:r>
      <w:hyperlink r:id="rId32">
        <w:r w:rsidR="00443CD1" w:rsidRPr="007A5631">
          <w:rPr>
            <w:rFonts w:ascii="Roboto" w:eastAsia="Aptos" w:hAnsi="Roboto" w:cs="Aptos"/>
            <w:color w:val="1155CC"/>
            <w:u w:val="single"/>
          </w:rPr>
          <w:t>https://doi.org/10.1177/00178969261436255</w:t>
        </w:r>
      </w:hyperlink>
      <w:r w:rsidRPr="007A5631">
        <w:rPr>
          <w:rFonts w:ascii="Roboto" w:eastAsia="Aptos" w:hAnsi="Roboto" w:cs="Aptos"/>
        </w:rPr>
        <w:t xml:space="preserve"> </w:t>
      </w:r>
    </w:p>
    <w:p w14:paraId="0000005B" w14:textId="77777777" w:rsidR="00443CD1" w:rsidRPr="007A5631" w:rsidRDefault="00810679" w:rsidP="007A5631">
      <w:pPr>
        <w:spacing w:after="120" w:line="276" w:lineRule="auto"/>
        <w:ind w:left="540" w:hanging="480"/>
        <w:rPr>
          <w:rFonts w:ascii="Roboto" w:eastAsia="Aptos" w:hAnsi="Roboto" w:cs="Aptos"/>
        </w:rPr>
      </w:pPr>
      <w:r w:rsidRPr="007A5631">
        <w:rPr>
          <w:rFonts w:ascii="Roboto" w:eastAsia="Aptos" w:hAnsi="Roboto" w:cs="Aptos"/>
        </w:rPr>
        <w:t xml:space="preserve">Walsh, K., Zwi, K., Woolfenden, S., &amp; Shlonsky, A. (2015). School-based education programmes for the prevention of child sexual abuse. Cochrane Database of Systematic Reviews, 2015(4), CD004380. </w:t>
      </w:r>
      <w:hyperlink r:id="rId33">
        <w:r w:rsidR="00443CD1" w:rsidRPr="007A5631">
          <w:rPr>
            <w:rFonts w:ascii="Roboto" w:eastAsia="Aptos" w:hAnsi="Roboto" w:cs="Aptos"/>
            <w:color w:val="1155CC"/>
            <w:u w:val="single"/>
          </w:rPr>
          <w:t>https://doi.org/10.1002/14651858.CD004380.pub3</w:t>
        </w:r>
      </w:hyperlink>
      <w:r w:rsidRPr="007A5631">
        <w:rPr>
          <w:rFonts w:ascii="Roboto" w:eastAsia="Aptos" w:hAnsi="Roboto" w:cs="Aptos"/>
        </w:rPr>
        <w:t xml:space="preserve"> </w:t>
      </w:r>
    </w:p>
    <w:p w14:paraId="0000005C" w14:textId="77777777" w:rsidR="00443CD1" w:rsidRPr="007A5631" w:rsidRDefault="00810679" w:rsidP="007A5631">
      <w:pPr>
        <w:spacing w:after="120" w:line="276" w:lineRule="auto"/>
        <w:ind w:left="540" w:hanging="480"/>
        <w:rPr>
          <w:rFonts w:ascii="Roboto" w:eastAsia="Aptos" w:hAnsi="Roboto" w:cs="Aptos"/>
        </w:rPr>
      </w:pPr>
      <w:r w:rsidRPr="007A5631">
        <w:rPr>
          <w:rFonts w:ascii="Roboto" w:eastAsia="Aptos" w:hAnsi="Roboto" w:cs="Aptos"/>
        </w:rPr>
        <w:t xml:space="preserve">Woodley, G. N., Green, L., &amp; Jacques, C. (2025). ‘Send nudes?’: Teens’ perspectives of education around sexting, an argument for a balanced approach. Sexualities, 28(5–6), 1891–1909. </w:t>
      </w:r>
      <w:hyperlink r:id="rId34">
        <w:r w:rsidR="00443CD1" w:rsidRPr="007A5631">
          <w:rPr>
            <w:rFonts w:ascii="Roboto" w:eastAsia="Aptos" w:hAnsi="Roboto" w:cs="Aptos"/>
            <w:color w:val="1155CC"/>
            <w:u w:val="single"/>
          </w:rPr>
          <w:t>https://doi.org/10.1177/13634607241237675</w:t>
        </w:r>
      </w:hyperlink>
      <w:r w:rsidRPr="007A5631">
        <w:rPr>
          <w:rFonts w:ascii="Roboto" w:eastAsia="Aptos" w:hAnsi="Roboto" w:cs="Aptos"/>
        </w:rPr>
        <w:t xml:space="preserve"> </w:t>
      </w:r>
    </w:p>
    <w:p w14:paraId="0000005D" w14:textId="77777777" w:rsidR="00443CD1" w:rsidRPr="007A5631" w:rsidRDefault="00810679" w:rsidP="007A5631">
      <w:pPr>
        <w:spacing w:after="120" w:line="276" w:lineRule="auto"/>
        <w:ind w:left="540" w:hanging="480"/>
        <w:rPr>
          <w:rFonts w:ascii="Roboto" w:eastAsia="Aptos" w:hAnsi="Roboto" w:cs="Aptos"/>
        </w:rPr>
      </w:pPr>
      <w:r w:rsidRPr="007A5631">
        <w:rPr>
          <w:rFonts w:ascii="Roboto" w:eastAsia="Aptos" w:hAnsi="Roboto" w:cs="Aptos"/>
        </w:rPr>
        <w:t xml:space="preserve">Woodley, G., Cayley, G., Senior, I., See, H. W., &amp; Green, L. (2024). ‘[Do] I have to get it in writing or something?’ What happens when sexuality education is conceptualised through consent? Youth, 4(4), 1739–1756. </w:t>
      </w:r>
      <w:hyperlink r:id="rId35">
        <w:r w:rsidR="00443CD1" w:rsidRPr="007A5631">
          <w:rPr>
            <w:rFonts w:ascii="Roboto" w:eastAsia="Aptos" w:hAnsi="Roboto" w:cs="Aptos"/>
            <w:color w:val="1155CC"/>
            <w:u w:val="single"/>
          </w:rPr>
          <w:t>https://doi.org/10.3390/youth4040110</w:t>
        </w:r>
      </w:hyperlink>
      <w:r w:rsidRPr="007A5631">
        <w:rPr>
          <w:rFonts w:ascii="Roboto" w:eastAsia="Aptos" w:hAnsi="Roboto" w:cs="Aptos"/>
        </w:rPr>
        <w:t xml:space="preserve"> </w:t>
      </w:r>
    </w:p>
    <w:p w14:paraId="0000005E" w14:textId="77777777" w:rsidR="00443CD1" w:rsidRPr="007A5631" w:rsidRDefault="00810679" w:rsidP="007A5631">
      <w:pPr>
        <w:spacing w:after="120" w:line="276" w:lineRule="auto"/>
        <w:ind w:left="540" w:hanging="480"/>
        <w:rPr>
          <w:rFonts w:ascii="Roboto" w:eastAsia="Aptos" w:hAnsi="Roboto" w:cs="Aptos"/>
        </w:rPr>
      </w:pPr>
      <w:r w:rsidRPr="007A5631">
        <w:rPr>
          <w:rFonts w:ascii="Roboto" w:eastAsia="Aptos" w:hAnsi="Roboto" w:cs="Aptos"/>
        </w:rPr>
        <w:t xml:space="preserve">World Association for Sexual Health (WAS). (2025). Declaration on sexual justice. </w:t>
      </w:r>
      <w:hyperlink r:id="rId36">
        <w:r w:rsidR="00443CD1" w:rsidRPr="007A5631">
          <w:rPr>
            <w:rFonts w:ascii="Roboto" w:eastAsia="Aptos" w:hAnsi="Roboto" w:cs="Aptos"/>
            <w:color w:val="1155CC"/>
            <w:u w:val="single"/>
          </w:rPr>
          <w:t>https://www.worldsexualhealth.net/was-declaration-on-sexual-justice</w:t>
        </w:r>
      </w:hyperlink>
      <w:r w:rsidRPr="007A5631">
        <w:rPr>
          <w:rFonts w:ascii="Roboto" w:eastAsia="Aptos" w:hAnsi="Roboto" w:cs="Aptos"/>
        </w:rPr>
        <w:t xml:space="preserve"> </w:t>
      </w:r>
    </w:p>
    <w:p w14:paraId="0000005F" w14:textId="77777777" w:rsidR="00443CD1" w:rsidRPr="007A5631" w:rsidRDefault="00443CD1" w:rsidP="007A5631">
      <w:pPr>
        <w:spacing w:after="160" w:line="276" w:lineRule="auto"/>
        <w:rPr>
          <w:rFonts w:ascii="Roboto" w:eastAsia="Aptos" w:hAnsi="Roboto" w:cs="Aptos"/>
        </w:rPr>
      </w:pPr>
    </w:p>
    <w:p w14:paraId="00000060" w14:textId="77777777" w:rsidR="00443CD1" w:rsidRPr="007A5631" w:rsidRDefault="00810679" w:rsidP="007A5631">
      <w:pPr>
        <w:tabs>
          <w:tab w:val="left" w:pos="1311"/>
        </w:tabs>
        <w:spacing w:line="276" w:lineRule="auto"/>
        <w:rPr>
          <w:rFonts w:ascii="Roboto" w:eastAsia="Aptos" w:hAnsi="Roboto" w:cs="Aptos"/>
        </w:rPr>
      </w:pPr>
      <w:r w:rsidRPr="007A5631">
        <w:rPr>
          <w:rFonts w:ascii="Roboto" w:eastAsia="Aptos" w:hAnsi="Roboto" w:cs="Aptos"/>
          <w:sz w:val="28"/>
          <w:szCs w:val="28"/>
        </w:rPr>
        <w:tab/>
      </w:r>
    </w:p>
    <w:sectPr w:rsidR="00443CD1" w:rsidRPr="007A5631">
      <w:footerReference w:type="default" r:id="rId37"/>
      <w:pgSz w:w="11906" w:h="16838"/>
      <w:pgMar w:top="1440" w:right="1440" w:bottom="1440" w:left="1440" w:header="708" w:footer="708"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72E6F" w14:textId="77777777" w:rsidR="009470A7" w:rsidRDefault="009470A7">
      <w:r>
        <w:separator/>
      </w:r>
    </w:p>
  </w:endnote>
  <w:endnote w:type="continuationSeparator" w:id="0">
    <w:p w14:paraId="783E7693" w14:textId="77777777" w:rsidR="009470A7" w:rsidRDefault="00947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A244BC49-89E6-47A2-A064-33EFE5C37ACD}"/>
  </w:font>
  <w:font w:name="Roboto">
    <w:altName w:val="Arial"/>
    <w:charset w:val="00"/>
    <w:family w:val="auto"/>
    <w:pitch w:val="variable"/>
    <w:sig w:usb0="E0000AFF" w:usb1="5000217F" w:usb2="00000021" w:usb3="00000000" w:csb0="0000019F" w:csb1="00000000"/>
    <w:embedRegular r:id="rId2" w:fontKey="{CC102047-CB93-4120-B332-0326D27FEA2A}"/>
    <w:embedBold r:id="rId3" w:fontKey="{9CD61CE1-63C4-4791-BCAD-7A47B2EBEFDC}"/>
    <w:embedItalic r:id="rId4" w:fontKey="{8352DBF1-7D9D-427A-AFD3-460734765DB7}"/>
    <w:embedBoldItalic r:id="rId5" w:fontKey="{BC06EF57-5F01-480C-B1CF-9344DB6BE6FF}"/>
  </w:font>
  <w:font w:name="Aptos">
    <w:charset w:val="00"/>
    <w:family w:val="swiss"/>
    <w:pitch w:val="variable"/>
    <w:sig w:usb0="20000287" w:usb1="00000003" w:usb2="00000000" w:usb3="00000000" w:csb0="0000019F" w:csb1="00000000"/>
    <w:embedRegular r:id="rId6" w:fontKey="{DCCA9D50-610B-4262-AE6F-0E546298BD3B}"/>
    <w:embedBold r:id="rId7" w:fontKey="{8E0F6146-E6B3-4877-96E5-D4DDE4C2C9C4}"/>
    <w:embedItalic r:id="rId8" w:fontKey="{3283A39A-8F76-4E2E-A20A-E0D4D06A2CF1}"/>
  </w:font>
  <w:font w:name="Aptos Light">
    <w:charset w:val="00"/>
    <w:family w:val="swiss"/>
    <w:pitch w:val="variable"/>
    <w:sig w:usb0="20000287" w:usb1="00000003" w:usb2="00000000" w:usb3="00000000" w:csb0="0000019F" w:csb1="00000000"/>
    <w:embedRegular r:id="rId9" w:fontKey="{F18103CB-1D42-42A8-B953-29D92DECA146}"/>
  </w:font>
  <w:font w:name="Calibri">
    <w:panose1 w:val="020F0502020204030204"/>
    <w:charset w:val="00"/>
    <w:family w:val="swiss"/>
    <w:pitch w:val="variable"/>
    <w:sig w:usb0="E4002EFF" w:usb1="C200ACFF" w:usb2="00000009" w:usb3="00000000" w:csb0="000001FF" w:csb1="00000000"/>
    <w:embedRegular r:id="rId10" w:fontKey="{05D950D8-8F85-4D0E-8199-3CADE1F566BE}"/>
  </w:font>
  <w:font w:name="Cambria">
    <w:panose1 w:val="02040503050406030204"/>
    <w:charset w:val="00"/>
    <w:family w:val="roman"/>
    <w:pitch w:val="variable"/>
    <w:sig w:usb0="E00006FF" w:usb1="420024FF" w:usb2="02000000" w:usb3="00000000" w:csb0="0000019F" w:csb1="00000000"/>
    <w:embedRegular r:id="rId11" w:fontKey="{C70FC23E-01F0-422D-B69D-6AF44D3E5EA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61" w14:textId="58BEA262" w:rsidR="00443CD1" w:rsidRDefault="00810679">
    <w:pPr>
      <w:pBdr>
        <w:top w:val="nil"/>
        <w:left w:val="nil"/>
        <w:bottom w:val="nil"/>
        <w:right w:val="nil"/>
        <w:between w:val="nil"/>
      </w:pBdr>
      <w:tabs>
        <w:tab w:val="center" w:pos="4513"/>
        <w:tab w:val="right" w:pos="9026"/>
      </w:tabs>
      <w:jc w:val="center"/>
      <w:rPr>
        <w:color w:val="000000"/>
      </w:rPr>
    </w:pPr>
    <w:r>
      <w:rPr>
        <w:rFonts w:ascii="Aptos Light" w:eastAsia="Aptos Light" w:hAnsi="Aptos Light" w:cs="Aptos Light"/>
        <w:color w:val="000000"/>
        <w:sz w:val="16"/>
        <w:szCs w:val="16"/>
      </w:rPr>
      <w:fldChar w:fldCharType="begin"/>
    </w:r>
    <w:r>
      <w:rPr>
        <w:rFonts w:ascii="Aptos Light" w:eastAsia="Aptos Light" w:hAnsi="Aptos Light" w:cs="Aptos Light"/>
        <w:color w:val="000000"/>
        <w:sz w:val="16"/>
        <w:szCs w:val="16"/>
      </w:rPr>
      <w:instrText>PAGE</w:instrText>
    </w:r>
    <w:r>
      <w:rPr>
        <w:rFonts w:ascii="Aptos Light" w:eastAsia="Aptos Light" w:hAnsi="Aptos Light" w:cs="Aptos Light"/>
        <w:color w:val="000000"/>
        <w:sz w:val="16"/>
        <w:szCs w:val="16"/>
      </w:rPr>
      <w:fldChar w:fldCharType="separate"/>
    </w:r>
    <w:r w:rsidR="004F424E">
      <w:rPr>
        <w:rFonts w:ascii="Aptos Light" w:eastAsia="Aptos Light" w:hAnsi="Aptos Light" w:cs="Aptos Light"/>
        <w:noProof/>
        <w:color w:val="000000"/>
        <w:sz w:val="16"/>
        <w:szCs w:val="16"/>
      </w:rPr>
      <w:t>1</w:t>
    </w:r>
    <w:r>
      <w:rPr>
        <w:rFonts w:ascii="Aptos Light" w:eastAsia="Aptos Light" w:hAnsi="Aptos Light" w:cs="Aptos Light"/>
        <w:color w:val="000000"/>
        <w:sz w:val="16"/>
        <w:szCs w:val="16"/>
      </w:rPr>
      <w:fldChar w:fldCharType="end"/>
    </w:r>
  </w:p>
  <w:p w14:paraId="00000062" w14:textId="77777777" w:rsidR="00443CD1" w:rsidRDefault="00443CD1">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5866D" w14:textId="77777777" w:rsidR="009470A7" w:rsidRDefault="009470A7">
      <w:r>
        <w:separator/>
      </w:r>
    </w:p>
  </w:footnote>
  <w:footnote w:type="continuationSeparator" w:id="0">
    <w:p w14:paraId="6E19186C" w14:textId="77777777" w:rsidR="009470A7" w:rsidRDefault="009470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BB774B"/>
    <w:multiLevelType w:val="multilevel"/>
    <w:tmpl w:val="739828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0314DEB"/>
    <w:multiLevelType w:val="multilevel"/>
    <w:tmpl w:val="E66652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692196998">
    <w:abstractNumId w:val="0"/>
  </w:num>
  <w:num w:numId="2" w16cid:durableId="16568370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3CD1"/>
    <w:rsid w:val="000449EF"/>
    <w:rsid w:val="000F1B63"/>
    <w:rsid w:val="0014099D"/>
    <w:rsid w:val="00143693"/>
    <w:rsid w:val="00155215"/>
    <w:rsid w:val="00164EA5"/>
    <w:rsid w:val="00166978"/>
    <w:rsid w:val="00205F84"/>
    <w:rsid w:val="002B2161"/>
    <w:rsid w:val="002D52FB"/>
    <w:rsid w:val="002F379B"/>
    <w:rsid w:val="003115F5"/>
    <w:rsid w:val="00317E6D"/>
    <w:rsid w:val="00343806"/>
    <w:rsid w:val="003B0DA6"/>
    <w:rsid w:val="003B57F2"/>
    <w:rsid w:val="003E042C"/>
    <w:rsid w:val="00402363"/>
    <w:rsid w:val="00443CD1"/>
    <w:rsid w:val="004F424E"/>
    <w:rsid w:val="006E52D9"/>
    <w:rsid w:val="0076285D"/>
    <w:rsid w:val="007A5631"/>
    <w:rsid w:val="007B7C19"/>
    <w:rsid w:val="00810679"/>
    <w:rsid w:val="0086775D"/>
    <w:rsid w:val="008D539C"/>
    <w:rsid w:val="009470A7"/>
    <w:rsid w:val="00A12854"/>
    <w:rsid w:val="00A24224"/>
    <w:rsid w:val="00A777AF"/>
    <w:rsid w:val="00AE0FBB"/>
    <w:rsid w:val="00B02EE2"/>
    <w:rsid w:val="00B81DE2"/>
    <w:rsid w:val="00BC4955"/>
    <w:rsid w:val="00BD3176"/>
    <w:rsid w:val="00BE4673"/>
    <w:rsid w:val="00BF66B3"/>
    <w:rsid w:val="00C0153D"/>
    <w:rsid w:val="00C10309"/>
    <w:rsid w:val="00C30E48"/>
    <w:rsid w:val="00CA7BF9"/>
    <w:rsid w:val="00D41D6D"/>
    <w:rsid w:val="00D4470E"/>
    <w:rsid w:val="00D6514D"/>
    <w:rsid w:val="00DA407A"/>
    <w:rsid w:val="00DB029D"/>
    <w:rsid w:val="00DF7783"/>
    <w:rsid w:val="00E42DC0"/>
    <w:rsid w:val="00E43B3F"/>
    <w:rsid w:val="00E43C42"/>
    <w:rsid w:val="00E6383E"/>
    <w:rsid w:val="00E93B1E"/>
    <w:rsid w:val="00F170BE"/>
    <w:rsid w:val="00F665B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EAAA9"/>
  <w15:docId w15:val="{23861D91-A12A-4C92-839D-44B91A972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320" w:after="160"/>
      <w:outlineLvl w:val="0"/>
    </w:pPr>
    <w:rPr>
      <w:rFonts w:ascii="Arial" w:eastAsia="Arial" w:hAnsi="Arial" w:cs="Arial"/>
      <w:b/>
      <w:bCs/>
      <w:color w:val="2E5DA0"/>
      <w:sz w:val="28"/>
      <w:szCs w:val="28"/>
    </w:rPr>
  </w:style>
  <w:style w:type="paragraph" w:styleId="Heading2">
    <w:name w:val="heading 2"/>
    <w:basedOn w:val="Normal"/>
    <w:next w:val="Normal"/>
    <w:uiPriority w:val="9"/>
    <w:semiHidden/>
    <w:unhideWhenUsed/>
    <w:qFormat/>
    <w:pPr>
      <w:pBdr>
        <w:top w:val="nil"/>
        <w:left w:val="nil"/>
        <w:bottom w:val="nil"/>
        <w:right w:val="nil"/>
        <w:between w:val="nil"/>
      </w:pBdr>
      <w:spacing w:before="200" w:after="100"/>
      <w:outlineLvl w:val="1"/>
    </w:pPr>
    <w:rPr>
      <w:rFonts w:ascii="Arial" w:eastAsia="Arial" w:hAnsi="Arial" w:cs="Arial"/>
      <w:b/>
      <w:bCs/>
      <w:i/>
      <w:iCs/>
      <w:color w:val="000000"/>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rFonts w:ascii="Arial" w:eastAsia="Arial" w:hAnsi="Arial" w:cs="Arial"/>
      <w:color w:val="1F4D78"/>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rFonts w:ascii="Arial" w:eastAsia="Arial" w:hAnsi="Arial" w:cs="Arial"/>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rFonts w:ascii="Arial" w:eastAsia="Arial" w:hAnsi="Arial" w:cs="Arial"/>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rFonts w:ascii="Arial" w:eastAsia="Arial" w:hAnsi="Arial" w:cs="Arial"/>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rFonts w:ascii="Arial" w:eastAsia="Arial" w:hAnsi="Arial" w:cs="Arial"/>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semiHidden/>
    <w:unhideWhenUsed/>
    <w:rsid w:val="00317E6D"/>
    <w:pPr>
      <w:tabs>
        <w:tab w:val="center" w:pos="4513"/>
        <w:tab w:val="right" w:pos="9026"/>
      </w:tabs>
    </w:pPr>
  </w:style>
  <w:style w:type="character" w:customStyle="1" w:styleId="HeaderChar">
    <w:name w:val="Header Char"/>
    <w:basedOn w:val="DefaultParagraphFont"/>
    <w:link w:val="Header"/>
    <w:uiPriority w:val="99"/>
    <w:semiHidden/>
    <w:rsid w:val="00317E6D"/>
  </w:style>
  <w:style w:type="paragraph" w:styleId="Footer">
    <w:name w:val="footer"/>
    <w:basedOn w:val="Normal"/>
    <w:link w:val="FooterChar"/>
    <w:uiPriority w:val="99"/>
    <w:semiHidden/>
    <w:unhideWhenUsed/>
    <w:rsid w:val="00317E6D"/>
    <w:pPr>
      <w:tabs>
        <w:tab w:val="center" w:pos="4513"/>
        <w:tab w:val="right" w:pos="9026"/>
      </w:tabs>
    </w:pPr>
  </w:style>
  <w:style w:type="character" w:customStyle="1" w:styleId="FooterChar">
    <w:name w:val="Footer Char"/>
    <w:basedOn w:val="DefaultParagraphFont"/>
    <w:link w:val="Footer"/>
    <w:uiPriority w:val="99"/>
    <w:semiHidden/>
    <w:rsid w:val="00317E6D"/>
  </w:style>
  <w:style w:type="character" w:styleId="Hyperlink">
    <w:name w:val="Hyperlink"/>
    <w:basedOn w:val="DefaultParagraphFont"/>
    <w:uiPriority w:val="99"/>
    <w:unhideWhenUsed/>
    <w:rsid w:val="000449EF"/>
    <w:rPr>
      <w:color w:val="0000FF" w:themeColor="hyperlink"/>
      <w:u w:val="single"/>
    </w:rPr>
  </w:style>
  <w:style w:type="character" w:styleId="UnresolvedMention">
    <w:name w:val="Unresolved Mention"/>
    <w:basedOn w:val="DefaultParagraphFont"/>
    <w:uiPriority w:val="99"/>
    <w:semiHidden/>
    <w:unhideWhenUsed/>
    <w:rsid w:val="000449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1177/00178969241269656" TargetMode="External"/><Relationship Id="rId18" Type="http://schemas.openxmlformats.org/officeDocument/2006/relationships/hyperlink" Target="https://doi.org/10.1016/j.jadohealth.2025.06.034" TargetMode="External"/><Relationship Id="rId26" Type="http://schemas.openxmlformats.org/officeDocument/2006/relationships/hyperlink" Target="https://doi.org/10.1177/1524838018772855" TargetMode="External"/><Relationship Id="rId39" Type="http://schemas.openxmlformats.org/officeDocument/2006/relationships/theme" Target="theme/theme1.xml"/><Relationship Id="rId21" Type="http://schemas.openxmlformats.org/officeDocument/2006/relationships/hyperlink" Target="https://doi.org/10.1016/j.jadohealth.2025.12.091" TargetMode="External"/><Relationship Id="rId34" Type="http://schemas.openxmlformats.org/officeDocument/2006/relationships/hyperlink" Target="https://doi.org/10.1177/13634607241237675" TargetMode="External"/><Relationship Id="rId7" Type="http://schemas.openxmlformats.org/officeDocument/2006/relationships/settings" Target="settings.xml"/><Relationship Id="rId12" Type="http://schemas.openxmlformats.org/officeDocument/2006/relationships/hyperlink" Target="https://www.bloom-ed.org" TargetMode="External"/><Relationship Id="rId17" Type="http://schemas.openxmlformats.org/officeDocument/2006/relationships/hyperlink" Target="https://doi.org/10.1016/j.jadohealth.2020.07.036" TargetMode="External"/><Relationship Id="rId25" Type="http://schemas.openxmlformats.org/officeDocument/2006/relationships/hyperlink" Target="https://www.latrobe.edu.au/arcshs/work/sexual-health/australian-survey-of-secondary-students" TargetMode="External"/><Relationship Id="rId33" Type="http://schemas.openxmlformats.org/officeDocument/2006/relationships/hyperlink" Target="https://doi.org/10.1002/14651858.CD004380.pub3"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doi.org/10.1016/j.avb.2014.05.004" TargetMode="External"/><Relationship Id="rId20" Type="http://schemas.openxmlformats.org/officeDocument/2006/relationships/hyperlink" Target="https://doi.org/10.1080/14681811.2024.2359982" TargetMode="External"/><Relationship Id="rId29" Type="http://schemas.openxmlformats.org/officeDocument/2006/relationships/hyperlink" Target="https://www.who.int/publications/m/item/978923100259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doi.org/10.1136/bmjopen-2016-014791" TargetMode="External"/><Relationship Id="rId32" Type="http://schemas.openxmlformats.org/officeDocument/2006/relationships/hyperlink" Target="https://doi.org/10.1177/00178969261436255" TargetMode="External"/><Relationship Id="rId37"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doi.org/10.1080/14681811.2016.1225259" TargetMode="External"/><Relationship Id="rId23" Type="http://schemas.openxmlformats.org/officeDocument/2006/relationships/hyperlink" Target="https://doi.org/10.1177/15291006231221978" TargetMode="External"/><Relationship Id="rId28" Type="http://schemas.openxmlformats.org/officeDocument/2006/relationships/hyperlink" Target="https://doi.org/10.1177/1524838012470031" TargetMode="External"/><Relationship Id="rId36" Type="http://schemas.openxmlformats.org/officeDocument/2006/relationships/hyperlink" Target="https://www.worldsexualhealth.net/was-declaration-on-sexual-justice" TargetMode="External"/><Relationship Id="rId10" Type="http://schemas.openxmlformats.org/officeDocument/2006/relationships/endnotes" Target="endnotes.xml"/><Relationship Id="rId19" Type="http://schemas.openxmlformats.org/officeDocument/2006/relationships/hyperlink" Target="https://doi.org/10.3389/feduc.2025.1720682" TargetMode="External"/><Relationship Id="rId31" Type="http://schemas.openxmlformats.org/officeDocument/2006/relationships/hyperlink" Target="https://doi.org/10.3390/youth5010014"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02/hpja.70138" TargetMode="External"/><Relationship Id="rId22" Type="http://schemas.openxmlformats.org/officeDocument/2006/relationships/hyperlink" Target="https://siecus.org/wp-content/uploads/2024/05/teacher-standards-1.pdf" TargetMode="External"/><Relationship Id="rId27" Type="http://schemas.openxmlformats.org/officeDocument/2006/relationships/hyperlink" Target="https://doi.org/10.1080/00224499.2025.2475549" TargetMode="External"/><Relationship Id="rId30" Type="http://schemas.openxmlformats.org/officeDocument/2006/relationships/hyperlink" Target="https://doi.org/10.1080/14681811.2024.2367216" TargetMode="External"/><Relationship Id="rId35" Type="http://schemas.openxmlformats.org/officeDocument/2006/relationships/hyperlink" Target="https://doi.org/10.3390/youth4040110"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98e874f-9f92-475f-aa86-16aa745540d3">
      <Terms xmlns="http://schemas.microsoft.com/office/infopath/2007/PartnerControls"/>
    </lcf76f155ced4ddcb4097134ff3c332f>
    <TaxCatchAll xmlns="dd68a603-366f-42c7-8d1c-7821293e08bc" xsi:nil="true"/>
    <Notes xmlns="998e874f-9f92-475f-aa86-16aa745540d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FMhzQ3zd8AYrwJNw5aewj8pc4g==">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</go:docsCustomData>
</go:gDocsCustomXmlDataStorage>
</file>

<file path=customXml/itemProps1.xml><?xml version="1.0" encoding="utf-8"?>
<ds:datastoreItem xmlns:ds="http://schemas.openxmlformats.org/officeDocument/2006/customXml" ds:itemID="{B8268AE0-9D5C-4145-AEF8-700C8A69560E}"/>
</file>

<file path=customXml/itemProps2.xml><?xml version="1.0" encoding="utf-8"?>
<ds:datastoreItem xmlns:ds="http://schemas.openxmlformats.org/officeDocument/2006/customXml" ds:itemID="{CDF04935-FC53-4CC0-A864-58F7991AC9B6}">
  <ds:schemaRefs>
    <ds:schemaRef ds:uri="http://schemas.microsoft.com/office/2006/metadata/properties"/>
    <ds:schemaRef ds:uri="http://schemas.microsoft.com/office/infopath/2007/PartnerControls"/>
    <ds:schemaRef ds:uri="35b4fb7e-4edf-47d2-b3c7-e026b1944d91"/>
    <ds:schemaRef ds:uri="98e05cdd-491b-4307-a627-1c075f451ee0"/>
  </ds:schemaRefs>
</ds:datastoreItem>
</file>

<file path=customXml/itemProps3.xml><?xml version="1.0" encoding="utf-8"?>
<ds:datastoreItem xmlns:ds="http://schemas.openxmlformats.org/officeDocument/2006/customXml" ds:itemID="{EFC9FBF8-386F-4E21-B713-D61F02C03B05}">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9aee26d8-97c2-4fad-8900-96735f6dc73f}" enabled="0" method="" siteId="{9aee26d8-97c2-4fad-8900-96735f6dc73f}"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11</Pages>
  <Words>4004</Words>
  <Characters>22823</Characters>
  <Application>Microsoft Office Word</Application>
  <DocSecurity>4</DocSecurity>
  <Lines>190</Lines>
  <Paragraphs>53</Paragraphs>
  <ScaleCrop>false</ScaleCrop>
  <Company/>
  <LinksUpToDate>false</LinksUpToDate>
  <CharactersWithSpaces>26774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BROOME, Lily</cp:lastModifiedBy>
  <cp:revision>2</cp:revision>
  <dcterms:created xsi:type="dcterms:W3CDTF">2026-09-02T06:37:00Z</dcterms:created>
  <dcterms:modified xsi:type="dcterms:W3CDTF">2026-09-02T06:37:00Z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y fmtid="{D5CDD505-2E9C-101B-9397-08002B2CF9AE}" pid="3" name="MediaServiceImageTags">
    <vt:lpwstr/>
  </property>
</Properties>
</file>