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E7D86" w14:textId="2A8646FA" w:rsidR="0023679E" w:rsidRDefault="00F81028">
      <w:pPr>
        <w:rPr>
          <w:b/>
          <w:bCs/>
        </w:rPr>
      </w:pPr>
      <w:proofErr w:type="spellStart"/>
      <w:r w:rsidRPr="00F81028">
        <w:rPr>
          <w:b/>
          <w:bCs/>
        </w:rPr>
        <w:t>Capyble</w:t>
      </w:r>
      <w:proofErr w:type="spellEnd"/>
    </w:p>
    <w:p w14:paraId="30A7EAC1" w14:textId="7A4E43C4" w:rsidR="00F81028" w:rsidRDefault="00F81028">
      <w:pPr>
        <w:rPr>
          <w:b/>
          <w:bCs/>
        </w:rPr>
      </w:pPr>
      <w:r w:rsidRPr="00F81028">
        <w:rPr>
          <w:b/>
          <w:bCs/>
        </w:rPr>
        <w:t>Feedback for Priority Area 1: Victim-survivors</w:t>
      </w:r>
    </w:p>
    <w:p w14:paraId="04863FD6" w14:textId="1C840001" w:rsidR="00F81028" w:rsidRDefault="00F81028" w:rsidP="00F81028">
      <w:proofErr w:type="spellStart"/>
      <w:r>
        <w:t>Capyble</w:t>
      </w:r>
      <w:proofErr w:type="spellEnd"/>
      <w:r>
        <w:t xml:space="preserve"> is an Australian profit-for-purpose company that provides workplace diagnostics and education to help prevent gender-based violence. We work at the point where most working-age adults can be reached, which is their workplace. Over the last two years we have interviewed more than 60 victim-survivors about their experiences at work, under a safe storytelling method with dynamic consent, and our contribution to this priority area comes from what they told us.</w:t>
      </w:r>
    </w:p>
    <w:p w14:paraId="48B552B5" w14:textId="0F00D6D8" w:rsidR="00F81028" w:rsidRDefault="00F81028" w:rsidP="00F81028">
      <w:r>
        <w:t xml:space="preserve">The clearest system mismatch is that workplaces are treated as places for bystander response and post-incident repair, when they should be considered places of primary prevention and safety. In our programs, the barriers victim-survivors cite most are stigma, shame, and a belief that the workplace's systems cannot </w:t>
      </w:r>
      <w:proofErr w:type="gramStart"/>
      <w:r>
        <w:t>actually help</w:t>
      </w:r>
      <w:proofErr w:type="gramEnd"/>
      <w:r>
        <w:t xml:space="preserve"> them. Even when systems are available to support them, the cost of admitting that you are experiencing violence is often still too high, particularly regarding to career progression. As one interviewee who requested anonymity for fear of reprisal said in a program last year, “even though we have DFV leave, if I ask for </w:t>
      </w:r>
      <w:proofErr w:type="gramStart"/>
      <w:r>
        <w:t>support</w:t>
      </w:r>
      <w:proofErr w:type="gramEnd"/>
      <w:r>
        <w:t xml:space="preserve"> I won’t get my position renewed. I’ll be seen as a complainer, particularly if I access work cover for being assaulted on work property”. These are not problems solved by deeper focus on bystanders and effective response, but deep preventative problems that require dismantling of behaviours and beliefs. The single strongest positive intervention that most victim-survivors have noted to us is a single manager or colleague who believed them and stayed connected with them. Weak cultures of support, low individual knowledge and leadership qualities that align with the Man Box compound the harm, and workplace expectations, knowledge and procedures have not caught up enough to reduce it.</w:t>
      </w:r>
    </w:p>
    <w:p w14:paraId="0A892441" w14:textId="2E3EE3F4" w:rsidR="00F81028" w:rsidRDefault="00F81028" w:rsidP="00F81028">
      <w:r>
        <w:t xml:space="preserve">A person experiencing violence is an employee, and a customer of several businesses, in a single day. That reframing deserves far more emphasis in the Second Action Plan, from enforcement through to primary prevention. Where there are no commonly enforced penalties for failing to provide effective response systems (leave, protection from victimisation, and a lack of any trained HR or first responders), and where failing those obligations carries no consequence, victim-survivors have no reason to trust those supports enough to use them. It is for this reason that we advocate for stronger expectations of wider business leaders, particularly those making decisions about leave, pay, team culture and work location at an executive level. </w:t>
      </w:r>
    </w:p>
    <w:p w14:paraId="195BF837" w14:textId="77777777" w:rsidR="00F81028" w:rsidRDefault="00F81028" w:rsidP="00F81028">
      <w:proofErr w:type="spellStart"/>
      <w:r>
        <w:t>Capyble’s</w:t>
      </w:r>
      <w:proofErr w:type="spellEnd"/>
      <w:r>
        <w:t xml:space="preserve"> core recommendation from working with victim-survivors is that we need to treat people experiencing violence as intersecting with many workplaces, including their own, every day. We need to support them by placing stronger, enforced standards </w:t>
      </w:r>
      <w:r>
        <w:lastRenderedPageBreak/>
        <w:t>on the workplace for acting to prevent violence and being capable to support those experiencing as it intersects with their place of work.</w:t>
      </w:r>
    </w:p>
    <w:p w14:paraId="68291881" w14:textId="69660974" w:rsidR="00F81028" w:rsidRPr="00F81028" w:rsidRDefault="00F81028" w:rsidP="00F81028">
      <w:pPr>
        <w:rPr>
          <w:b/>
          <w:bCs/>
        </w:rPr>
      </w:pPr>
      <w:r w:rsidRPr="00F81028">
        <w:rPr>
          <w:b/>
          <w:bCs/>
        </w:rPr>
        <w:t>Feedback for Priority Area 2: Prevention and early intervention</w:t>
      </w:r>
    </w:p>
    <w:p w14:paraId="2A15FFD2" w14:textId="0A859271" w:rsidR="00F81028" w:rsidRDefault="00F81028" w:rsidP="00F81028">
      <w:r>
        <w:t>The single biggest difference is a clear community expectation that gender-based violence is not accepted or endorsed, carried in the everyday places people already belong, including their workplace. Expectations change behaviour when they are visible and shared, not when they arrive as a policy. Our strongest uptake comes from workplaces that rest on a positive community. When we brought Polished Spaces to gyms, two gyms with 1,500 members between them joined the pilot straight away. See, Hear, Believe, our survivor-led program built with the LGBTQ Domestic Violence Awareness Foundation, has reached 180,000 users, and at Queensland Health staff have worn its lanyards and kept engaging with the training for two years since launch, at eight to ten times the completion of comparable non-mandatory training. People take part when prevention belongs to a community they value.</w:t>
      </w:r>
    </w:p>
    <w:p w14:paraId="14422E4E" w14:textId="414FB0B9" w:rsidR="00F81028" w:rsidRDefault="00F81028" w:rsidP="00F81028">
      <w:r>
        <w:t xml:space="preserve">This shows how existing efforts can be strengthened. Prevention is strongest when a community owns it rather than has it delivered to them, and that ownership shows us where the gaps sit. In the first Polished Spaces workshops, gym owners reported high confidence in supporting someone affected by violence, and low confidence in their policies and procedures, and in the systems around them. Their understanding of family, domestic and sexual violence was limited, as was their sense of what </w:t>
      </w:r>
      <w:proofErr w:type="gramStart"/>
      <w:r>
        <w:t>actually shifts</w:t>
      </w:r>
      <w:proofErr w:type="gramEnd"/>
      <w:r>
        <w:t xml:space="preserve"> the male behaviour linked to the Man Box. The willingness is there at the individual and community level. The capability and the knowledge are missing at the organisational and institutional level. Strengthening prevention means pairing that community willingness with capability, so people who already want to help know what to do and have the systems to back them.</w:t>
      </w:r>
    </w:p>
    <w:p w14:paraId="2AF8EBF5" w14:textId="293B8179" w:rsidR="00F81028" w:rsidRDefault="00F81028" w:rsidP="00F81028">
      <w:r>
        <w:t xml:space="preserve">The most promising approach we have seen is prevention that a community leads and owns, built with lived experience and embedded in the daily work where people already are. It reaches people that mandated training does not. Polished Man engaged 60 men through a single funded event at one gym, a blended workout and community day about preventing violence, with little advertising and one corporate sponsor. Small and local, and owned by the people in the room, it did what a compliance module cannot. To expand this, the most useful thing government could do is fund community-led grants for small and medium businesses to run their own prevention, rather than expecting them to buy generic training they will not finish. </w:t>
      </w:r>
    </w:p>
    <w:p w14:paraId="19AA90EB" w14:textId="77777777" w:rsidR="00F81028" w:rsidRDefault="00F81028" w:rsidP="00F81028">
      <w:r>
        <w:t xml:space="preserve">The largest driver of workplace engagement we see is not family, domestic and sexual violence obligations. It is executives and directors worried about personal liability under </w:t>
      </w:r>
      <w:proofErr w:type="spellStart"/>
      <w:r>
        <w:t>Respect@Work</w:t>
      </w:r>
      <w:proofErr w:type="spellEnd"/>
      <w:r>
        <w:t xml:space="preserve">. Connecting the National Plan's prevention agenda to the positive duty, </w:t>
      </w:r>
      <w:r>
        <w:lastRenderedPageBreak/>
        <w:t xml:space="preserve">and funding communities to deliver against it, would turn a </w:t>
      </w:r>
      <w:proofErr w:type="gramStart"/>
      <w:r>
        <w:t>concern employers</w:t>
      </w:r>
      <w:proofErr w:type="gramEnd"/>
      <w:r>
        <w:t xml:space="preserve"> already feel into prevention that reaches their people.</w:t>
      </w:r>
    </w:p>
    <w:p w14:paraId="1D35D55E" w14:textId="60D72D4D" w:rsidR="00F81028" w:rsidRPr="00F81028" w:rsidRDefault="00F81028" w:rsidP="00F81028">
      <w:pPr>
        <w:rPr>
          <w:b/>
          <w:bCs/>
        </w:rPr>
      </w:pPr>
      <w:r w:rsidRPr="00F81028">
        <w:rPr>
          <w:b/>
          <w:bCs/>
        </w:rPr>
        <w:t>Feedback for Priority Area 4: People who use violence</w:t>
      </w:r>
    </w:p>
    <w:p w14:paraId="2AD7F8AF" w14:textId="39F1D05E" w:rsidR="00F81028" w:rsidRDefault="00F81028" w:rsidP="00F81028">
      <w:r>
        <w:t>Our feedback for this area is mainly to support and provide in practice opinion on the key point the consultation paper makes; people who use violence pass through many ordinary settings, including workplaces, long before harm escalates. Most men who use violence never reach a formal behaviour change program. Shame, stigma, and the absence of a trusted entry point keep them away. If we wait for the justice system or a crisis, these early opportunities have already been missed.</w:t>
      </w:r>
    </w:p>
    <w:p w14:paraId="5FB0F6DF" w14:textId="0CD3877C" w:rsidR="00F81028" w:rsidRDefault="00F81028" w:rsidP="00F81028">
      <w:r>
        <w:t xml:space="preserve">If we cannot reach them when they are ""the promising sales leader"" we will not reach them when they are ""the person we had to </w:t>
      </w:r>
      <w:proofErr w:type="gramStart"/>
      <w:r>
        <w:t>let</w:t>
      </w:r>
      <w:proofErr w:type="gramEnd"/>
      <w:r>
        <w:t xml:space="preserve"> go"".</w:t>
      </w:r>
    </w:p>
    <w:p w14:paraId="2E4C6CB5" w14:textId="2A0151A7" w:rsidR="00F81028" w:rsidRDefault="00F81028" w:rsidP="00F81028">
      <w:r>
        <w:t>Reaching men earlier means reaching them where they already belong, through people they already trust, and offering a way other than through blame or court mandated appearances. Boys and young men disengage from the manosphere when they gain supportive relationships and positive role models, in environments that meet their need for belonging while offering a different set of norms. Participants of our male leadership programs have commonly noted a lack of male role models and peers in this space and highlighted community connections with other men wanting to make a change in their workplaces as one of the most valued outcomes of their work. Men change when they see other men living differently and hear stories they recognise.</w:t>
      </w:r>
    </w:p>
    <w:p w14:paraId="412DDBF6" w14:textId="0FA63097" w:rsidR="00F81028" w:rsidRDefault="00F81028" w:rsidP="00F81028">
      <w:r>
        <w:t>We've been testing this with our new Polished Spaces program. Polished Spaces carries that lens into gyms, places that already compete on being safe and respectful spaces. With Polished Man, we work with gym owners to shift rigid masculine norms and to build the skills to act at three moments: before harm, at an early warning sign, and at the point of a disclosure. The trained owner becomes a visible, trusted signal to other men. The program has just begun (July 2026</w:t>
      </w:r>
      <w:proofErr w:type="gramStart"/>
      <w:r>
        <w:t>)</w:t>
      </w:r>
      <w:proofErr w:type="gramEnd"/>
      <w:r>
        <w:t xml:space="preserve"> and we would welcome sharing findings with the department as the work matures as well as being connected with other organisations running similar programs for collaboration.</w:t>
      </w:r>
    </w:p>
    <w:p w14:paraId="6FB1963B" w14:textId="77777777" w:rsidR="00F81028" w:rsidRDefault="00F81028" w:rsidP="00F81028">
      <w:r>
        <w:t xml:space="preserve">Recommendation: continue and expand backing for prevention that reaches men in the community and workplace settings they trust, before crisis or court. Especially focus on interventions that offer alternatives to rigid masculine norms and use lived experience to connect </w:t>
      </w:r>
      <w:proofErr w:type="gramStart"/>
      <w:r>
        <w:t>men, and</w:t>
      </w:r>
      <w:proofErr w:type="gramEnd"/>
      <w:r>
        <w:t xml:space="preserve"> build the capacity of those settings to notice people at risk of using violence and connect them safely to support.</w:t>
      </w:r>
    </w:p>
    <w:p w14:paraId="63CFD223" w14:textId="56317BB3" w:rsidR="00F81028" w:rsidRPr="00F81028" w:rsidRDefault="00F81028" w:rsidP="00F81028">
      <w:pPr>
        <w:rPr>
          <w:b/>
          <w:bCs/>
        </w:rPr>
      </w:pPr>
      <w:r w:rsidRPr="00F81028">
        <w:rPr>
          <w:b/>
          <w:bCs/>
        </w:rPr>
        <w:t>Feedback for Priority Area 5: System Integration and Workforce</w:t>
      </w:r>
    </w:p>
    <w:p w14:paraId="484F0453" w14:textId="43637292" w:rsidR="00F81028" w:rsidRDefault="00F81028" w:rsidP="00F81028">
      <w:r>
        <w:t>Our submission would like to highlight two core gaps in the current system.</w:t>
      </w:r>
    </w:p>
    <w:p w14:paraId="4CCC0438" w14:textId="592F1E22" w:rsidR="00F81028" w:rsidRDefault="00F81028" w:rsidP="00F81028">
      <w:r>
        <w:t xml:space="preserve">First, the workforce. The First Action Plan commits to building the capability of mainstream services to identify and support people experiencing violence, which is </w:t>
      </w:r>
      <w:r>
        <w:lastRenderedPageBreak/>
        <w:t xml:space="preserve">welcome. Mainstream is defined as non-specialist services such as health, justice and community services. Employers, managers and HR sit outside that definition, even though they meet both victim-survivors and people using violence every day. They are a non-specialist workforce that can be built into the prevention and early-intervention continuum, given clear standards and clear pathways to specialist services. The aim is earlier, better-directed connections into the specialist system, not workplaces trying to do the specialist system's job. </w:t>
      </w:r>
    </w:p>
    <w:p w14:paraId="0272AC1C" w14:textId="7FA3E90C" w:rsidR="00F81028" w:rsidRDefault="00F81028" w:rsidP="00F81028">
      <w:r>
        <w:t xml:space="preserve">This workforce can be reached. Particularly the underserved frontline workforce of generalist HR and operations </w:t>
      </w:r>
      <w:proofErr w:type="spellStart"/>
      <w:r>
        <w:t>personel</w:t>
      </w:r>
      <w:proofErr w:type="spellEnd"/>
      <w:r>
        <w:t xml:space="preserve"> who are the main triage point for workplace disclosures. Our non-mandatory, online workplace programs are completed at around 49 per cent when they are embedded through workshops and everyday artefacts. This shows capability here can be built and sustained rather than mandated once and forgotten. This is still not as high as face to face, non-mandatory completion but it is 5-10 times higher than the industry eLearning average. From user feedback, we’ve attributed this to two core components. First, the eLearning is created using survivor stories that are captured safely and using dynamic consent so they can be withdrawn and changed at any time. These stories provide longer watch times than expert advice and longer watch times than higher budget, non-survivor led content we’ve created. Second, eLearning feedback has been best when it is not in isolation. Singular programs are not providing ongoing belief change or engagement but interwoven programs that can be viewed alongside posters, lanyards, face to face events and broader campaigns are. </w:t>
      </w:r>
    </w:p>
    <w:p w14:paraId="5A7CF84A" w14:textId="4E306460" w:rsidR="00F81028" w:rsidRDefault="00F81028" w:rsidP="00F81028">
      <w:r>
        <w:t xml:space="preserve">The second system and workforce related gap is measurement. It is hard to tell how well prevention is working, because it is not yet measured consistently. The National Plan's Outcomes Framework tracks the prevalence of workplace sexual harassment, which has sat at 33 per cent since the 2018 baseline. That tells us how common harm is, but not how well any single organisation is preventing it, and the consultation paper notes that the positive duty meant to drive that capability has not yet been evaluated for its effect. </w:t>
      </w:r>
    </w:p>
    <w:p w14:paraId="598B6187" w14:textId="318789D2" w:rsidR="00F81028" w:rsidRDefault="00F81028" w:rsidP="00F81028">
      <w:r>
        <w:t xml:space="preserve">There is a clear opportunity here. We have built a benchmarked assessment of workplace prevention capability, mapped to the Australian Human Rights Commission's seven Standards, which shows that organisational capability can be measured and that most organisations start from a low base. </w:t>
      </w:r>
      <w:proofErr w:type="gramStart"/>
      <w:r>
        <w:t>In particular it</w:t>
      </w:r>
      <w:proofErr w:type="gramEnd"/>
      <w:r>
        <w:t xml:space="preserve"> shows a lack of enforcement from procurement and a lack of support in workplaces enacting effective workplace interventions beyond domestic and family violence leave. A shared measure of this kind would let government see what is working, direct support to where it helps, and hold to account, over time, the few organisations that do nothing. We set out that accountability side under </w:t>
      </w:r>
      <w:proofErr w:type="gramStart"/>
      <w:r>
        <w:t>Other</w:t>
      </w:r>
      <w:proofErr w:type="gramEnd"/>
      <w:r>
        <w:t xml:space="preserve"> areas of action.</w:t>
      </w:r>
    </w:p>
    <w:p w14:paraId="14C54708" w14:textId="77777777" w:rsidR="00F81028" w:rsidRDefault="00F81028" w:rsidP="00F81028">
      <w:r>
        <w:lastRenderedPageBreak/>
        <w:t>Recommendation: fund a consistent, benchmarked way to measure workplace prevention capability, mapped to the AHRC Standards, and build employers and HR into the non-specialist prevention workforce with defined referral pathways.</w:t>
      </w:r>
    </w:p>
    <w:p w14:paraId="7095607D" w14:textId="2483B05A" w:rsidR="00F81028" w:rsidRPr="00F81028" w:rsidRDefault="00F81028" w:rsidP="00F81028">
      <w:pPr>
        <w:rPr>
          <w:b/>
          <w:bCs/>
        </w:rPr>
      </w:pPr>
      <w:r w:rsidRPr="00F81028">
        <w:rPr>
          <w:b/>
          <w:bCs/>
        </w:rPr>
        <w:t>Are there any other actions you think should be a priority to stop family, domestic and sexual violence?</w:t>
      </w:r>
    </w:p>
    <w:p w14:paraId="746AAEEF" w14:textId="6B1140EA" w:rsidR="00F81028" w:rsidRDefault="00F81028" w:rsidP="00F81028">
      <w:r>
        <w:t xml:space="preserve">The clearest opportunity is structural. The workplace appears nowhere in the five priority areas as a </w:t>
      </w:r>
      <w:proofErr w:type="gramStart"/>
      <w:r>
        <w:t>setting in its own right</w:t>
      </w:r>
      <w:proofErr w:type="gramEnd"/>
      <w:r>
        <w:t xml:space="preserve">. It surfaces only as one word inside a sub-question under prevention. Leaving it there keeps a quiet assumption in place, that family, domestic and sexual violence belongs to the domestic </w:t>
      </w:r>
      <w:proofErr w:type="gramStart"/>
      <w:r>
        <w:t>sphere</w:t>
      </w:r>
      <w:proofErr w:type="gramEnd"/>
      <w:r>
        <w:t xml:space="preserve"> and the workplace is at most a bystander. People live this violence as employees and as customers, across many workplaces in a single day, and the materials, technology, physical spaces and support systems that abuse runs through are often in an employer's direct </w:t>
      </w:r>
      <w:proofErr w:type="gramStart"/>
      <w:r>
        <w:t>control, and</w:t>
      </w:r>
      <w:proofErr w:type="gramEnd"/>
      <w:r>
        <w:t xml:space="preserve"> often sit inside how the business delivers its core service. The Second Action Plan should name the workplace as a priority </w:t>
      </w:r>
      <w:proofErr w:type="gramStart"/>
      <w:r>
        <w:t>area in its own right, not</w:t>
      </w:r>
      <w:proofErr w:type="gramEnd"/>
      <w:r>
        <w:t xml:space="preserve"> a sub-question under another.</w:t>
      </w:r>
    </w:p>
    <w:p w14:paraId="341FEAB6" w14:textId="0FF43125" w:rsidR="00F81028" w:rsidRDefault="00F81028" w:rsidP="00F81028">
      <w:r>
        <w:t>Three further priorities cut across the areas above.</w:t>
      </w:r>
    </w:p>
    <w:p w14:paraId="477C1AB0" w14:textId="77777777" w:rsidR="00F81028" w:rsidRDefault="00F81028" w:rsidP="00F81028">
      <w:r>
        <w:t xml:space="preserve">1. Policy coherence. The National Plan and the </w:t>
      </w:r>
      <w:proofErr w:type="spellStart"/>
      <w:r>
        <w:t>Respect@Work</w:t>
      </w:r>
      <w:proofErr w:type="spellEnd"/>
      <w:r>
        <w:t xml:space="preserve"> positive duty are pursuing the same outcome in workplaces through separate machinery. The Second Action Plan should join them at the governance level, so the Australian Human Rights Commission's enforcement of the positive duty and the National Plan's prevention agenda pull in the same direction and report against shared measures.</w:t>
      </w:r>
    </w:p>
    <w:p w14:paraId="7F18B238" w14:textId="77777777" w:rsidR="00F81028" w:rsidRDefault="00F81028" w:rsidP="00F81028">
      <w:r>
        <w:t>2. Support to comply, with accountability for those who do not. Most employers want to do the right thing, and many simply do not know what is expected. The Government's own study found that many workers and employers were unaware that paid family and domestic violence leave exists. The first task is to make the expectation clear and to help organisations meet it. Alongside that, there should be a consequence for organisations that do nothing. The Commonwealth already ties procurement eligibility to compliance with the Workplace Gender Equality Act for larger employers, so the mechanism exists. The Second Action Plan could extend it, so that evidence of effective prevention and response to gender-based violence becomes a factor in government contracts. For the organisations that will not act on encouragement alone, procurement is where accountability can sit.</w:t>
      </w:r>
    </w:p>
    <w:p w14:paraId="0D87BC7F" w14:textId="260E0DB8" w:rsidR="00F81028" w:rsidRPr="00F81028" w:rsidRDefault="00F81028" w:rsidP="00F81028">
      <w:r>
        <w:t xml:space="preserve">3. How lived experience is used. The current plan establishes strong mechanisms for lived-experience voice, including the Lived Experience Advisory Council and the Domestic, Family and Sexual Violence Commission. It says nothing about paying the people who provide that expertise. Repeated unpaid consultation is extractive, and it wears people out. </w:t>
      </w:r>
      <w:proofErr w:type="spellStart"/>
      <w:r>
        <w:t>Capyble</w:t>
      </w:r>
      <w:proofErr w:type="spellEnd"/>
      <w:r>
        <w:t xml:space="preserve"> licenses knowledge from survivors and frontline experts, who are paid for their contributions, and splits revenue three ways between the </w:t>
      </w:r>
      <w:r>
        <w:lastRenderedPageBreak/>
        <w:t>company, the experts who guide our frameworks, and the survivors whose insights inform the content. We offer this as a practice standard the Second Action Plan could adopt: lived-experience contributors should be paid, and their consent treated as ongoing rather than assumed.</w:t>
      </w:r>
    </w:p>
    <w:sectPr w:rsidR="00F81028" w:rsidRPr="00F810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28"/>
    <w:rsid w:val="00022A23"/>
    <w:rsid w:val="0023679E"/>
    <w:rsid w:val="00C112DD"/>
    <w:rsid w:val="00D807DD"/>
    <w:rsid w:val="00E74AB5"/>
    <w:rsid w:val="00F810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B80FF"/>
  <w15:chartTrackingRefBased/>
  <w15:docId w15:val="{67E69809-6175-4924-A560-97AA73CB1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0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0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0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0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0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0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0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0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0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0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0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0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0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0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0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0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0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028"/>
    <w:rPr>
      <w:rFonts w:eastAsiaTheme="majorEastAsia" w:cstheme="majorBidi"/>
      <w:color w:val="272727" w:themeColor="text1" w:themeTint="D8"/>
    </w:rPr>
  </w:style>
  <w:style w:type="paragraph" w:styleId="Title">
    <w:name w:val="Title"/>
    <w:basedOn w:val="Normal"/>
    <w:next w:val="Normal"/>
    <w:link w:val="TitleChar"/>
    <w:uiPriority w:val="10"/>
    <w:qFormat/>
    <w:rsid w:val="00F81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0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0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0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028"/>
    <w:pPr>
      <w:spacing w:before="160"/>
      <w:jc w:val="center"/>
    </w:pPr>
    <w:rPr>
      <w:i/>
      <w:iCs/>
      <w:color w:val="404040" w:themeColor="text1" w:themeTint="BF"/>
    </w:rPr>
  </w:style>
  <w:style w:type="character" w:customStyle="1" w:styleId="QuoteChar">
    <w:name w:val="Quote Char"/>
    <w:basedOn w:val="DefaultParagraphFont"/>
    <w:link w:val="Quote"/>
    <w:uiPriority w:val="29"/>
    <w:rsid w:val="00F81028"/>
    <w:rPr>
      <w:i/>
      <w:iCs/>
      <w:color w:val="404040" w:themeColor="text1" w:themeTint="BF"/>
    </w:rPr>
  </w:style>
  <w:style w:type="paragraph" w:styleId="ListParagraph">
    <w:name w:val="List Paragraph"/>
    <w:basedOn w:val="Normal"/>
    <w:uiPriority w:val="34"/>
    <w:qFormat/>
    <w:rsid w:val="00F81028"/>
    <w:pPr>
      <w:ind w:left="720"/>
      <w:contextualSpacing/>
    </w:pPr>
  </w:style>
  <w:style w:type="character" w:styleId="IntenseEmphasis">
    <w:name w:val="Intense Emphasis"/>
    <w:basedOn w:val="DefaultParagraphFont"/>
    <w:uiPriority w:val="21"/>
    <w:qFormat/>
    <w:rsid w:val="00F81028"/>
    <w:rPr>
      <w:i/>
      <w:iCs/>
      <w:color w:val="0F4761" w:themeColor="accent1" w:themeShade="BF"/>
    </w:rPr>
  </w:style>
  <w:style w:type="paragraph" w:styleId="IntenseQuote">
    <w:name w:val="Intense Quote"/>
    <w:basedOn w:val="Normal"/>
    <w:next w:val="Normal"/>
    <w:link w:val="IntenseQuoteChar"/>
    <w:uiPriority w:val="30"/>
    <w:qFormat/>
    <w:rsid w:val="00F810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028"/>
    <w:rPr>
      <w:i/>
      <w:iCs/>
      <w:color w:val="0F4761" w:themeColor="accent1" w:themeShade="BF"/>
    </w:rPr>
  </w:style>
  <w:style w:type="character" w:styleId="IntenseReference">
    <w:name w:val="Intense Reference"/>
    <w:basedOn w:val="DefaultParagraphFont"/>
    <w:uiPriority w:val="32"/>
    <w:qFormat/>
    <w:rsid w:val="00F810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48523F-F9C1-4E4E-80BD-561795506DAC}"/>
</file>

<file path=customXml/itemProps2.xml><?xml version="1.0" encoding="utf-8"?>
<ds:datastoreItem xmlns:ds="http://schemas.openxmlformats.org/officeDocument/2006/customXml" ds:itemID="{6CFC0978-0442-427C-9773-D1C61E7E7B19}"/>
</file>

<file path=customXml/itemProps3.xml><?xml version="1.0" encoding="utf-8"?>
<ds:datastoreItem xmlns:ds="http://schemas.openxmlformats.org/officeDocument/2006/customXml" ds:itemID="{E87861B8-EA35-4DDD-AB11-4F127B4793D8}"/>
</file>

<file path=docProps/app.xml><?xml version="1.0" encoding="utf-8"?>
<Properties xmlns="http://schemas.openxmlformats.org/officeDocument/2006/extended-properties" xmlns:vt="http://schemas.openxmlformats.org/officeDocument/2006/docPropsVTypes">
  <Template>Normal.dotm</Template>
  <TotalTime>2</TotalTime>
  <Pages>6</Pages>
  <Words>2221</Words>
  <Characters>12664</Characters>
  <Application>Microsoft Office Word</Application>
  <DocSecurity>0</DocSecurity>
  <Lines>105</Lines>
  <Paragraphs>29</Paragraphs>
  <ScaleCrop>false</ScaleCrop>
  <Company/>
  <LinksUpToDate>false</LinksUpToDate>
  <CharactersWithSpaces>14856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2026-09-04T06:31:00Z</dcterms:created>
  <dcterms:modified xsi:type="dcterms:W3CDTF">2026-09-04T06:33:00Z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