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9DD3C5" w14:textId="71EE0AD5" w:rsidR="007B0C47" w:rsidRDefault="007B0C47">
      <w:pPr>
        <w:pStyle w:val="Title"/>
      </w:pPr>
      <w:r>
        <w:rPr>
          <w:sz w:val="36"/>
          <w:szCs w:val="36"/>
        </w:rPr>
        <w:t>Submission to the Second Action Plan Consultation</w:t>
      </w:r>
    </w:p>
    <w:p w14:paraId="6803B695" w14:textId="77777777" w:rsidR="007B0C47" w:rsidRDefault="007B0C47" w:rsidP="009D4CEA">
      <w:pPr>
        <w:pStyle w:val="Heading3"/>
        <w:rPr>
          <w:kern w:val="2"/>
          <w14:ligatures w14:val="standardContextual"/>
        </w:rPr>
      </w:pPr>
      <w:r>
        <w:t>Evidence to action: informing direction for the Second Action Plan</w:t>
      </w:r>
    </w:p>
    <w:p w14:paraId="07291017" w14:textId="77777777" w:rsidR="007B0C47" w:rsidRDefault="007B0C47">
      <w:pPr>
        <w:rPr>
          <w:kern w:val="2"/>
          <w14:ligatures w14:val="standardContextual"/>
        </w:rPr>
      </w:pPr>
      <w:r>
        <w:t>Consultation Paper in support of the National Plan to End Violence against Women and Children 2022–2032</w:t>
      </w:r>
    </w:p>
    <w:p w14:paraId="1AE0446E" w14:textId="77777777" w:rsidR="007B0C47" w:rsidRDefault="007B0C47">
      <w:pPr>
        <w:rPr>
          <w:kern w:val="2"/>
          <w14:ligatures w14:val="standardContextual"/>
        </w:rPr>
      </w:pPr>
    </w:p>
    <w:p w14:paraId="22CC1721" w14:textId="77777777" w:rsidR="00AC2171" w:rsidRDefault="00AC2171">
      <w:pPr>
        <w:pStyle w:val="Heading2"/>
        <w:rPr>
          <w:kern w:val="2"/>
          <w:szCs w:val="28"/>
          <w14:ligatures w14:val="standardContextual"/>
        </w:rPr>
      </w:pPr>
      <w:r>
        <w:t>About Cardinia Shire Council</w:t>
      </w:r>
    </w:p>
    <w:p w14:paraId="27B3B199" w14:textId="6042A95C" w:rsidR="00AC2171" w:rsidRDefault="00AC2171">
      <w:r>
        <w:t xml:space="preserve">Cardinia Shire Council is a fast-growing local government area in Melbourne’s </w:t>
      </w:r>
      <w:proofErr w:type="gramStart"/>
      <w:r>
        <w:t>south east</w:t>
      </w:r>
      <w:proofErr w:type="gramEnd"/>
      <w:r>
        <w:t>, located on the urban-rural fringe and supporting a diverse mix of townships, growth-area communities and rural communities. The Shire’s population has grown rapidly over recent decades, with the 2021 Census recording 118,194 residents, a median age of 34 years, 32,066 families and an average household size of 2.8 people</w:t>
      </w:r>
      <w:r w:rsidR="0032441C">
        <w:t>. 34.8% of Cardinia Shire residents are under the age of 25.</w:t>
      </w:r>
      <w:r>
        <w:t xml:space="preserve"> </w:t>
      </w:r>
    </w:p>
    <w:p w14:paraId="03666781" w14:textId="77777777" w:rsidR="00650A9E" w:rsidRDefault="00650A9E">
      <w:pPr>
        <w:rPr>
          <w:kern w:val="2"/>
          <w14:ligatures w14:val="standardContextual"/>
        </w:rPr>
      </w:pPr>
    </w:p>
    <w:p w14:paraId="45AAB504" w14:textId="4962EC1A" w:rsidR="00AC2171" w:rsidRDefault="00AC2171">
      <w:r>
        <w:t xml:space="preserve">Family violence remains a significant and persistent issue </w:t>
      </w:r>
      <w:r w:rsidR="000E4C93">
        <w:t>in</w:t>
      </w:r>
      <w:r>
        <w:t xml:space="preserve"> Cardinia Shire. The Crime Statistics Agency’s Victorian Family Violence Database identifies family violence as a major statewide concern, with 106,430 police-recorded family violence incidents across Victoria in 2024–25, an 8 per cent increase on the previous year.</w:t>
      </w:r>
      <w:r w:rsidR="008903EF">
        <w:t xml:space="preserve"> For Cardinia Shire this means </w:t>
      </w:r>
      <w:r w:rsidR="00EC2D39">
        <w:t>there were</w:t>
      </w:r>
      <w:r w:rsidR="008903EF">
        <w:t xml:space="preserve"> 20</w:t>
      </w:r>
      <w:r w:rsidR="00EC2D39">
        <w:t>11</w:t>
      </w:r>
      <w:r w:rsidR="008903EF">
        <w:t xml:space="preserve"> </w:t>
      </w:r>
      <w:r w:rsidR="00E94581">
        <w:t xml:space="preserve">family </w:t>
      </w:r>
      <w:r w:rsidR="00FC186D">
        <w:t>incidents,</w:t>
      </w:r>
      <w:r w:rsidR="008903EF">
        <w:t xml:space="preserve"> </w:t>
      </w:r>
      <w:r w:rsidR="004E6371">
        <w:t xml:space="preserve">or 5 incidents recorded every single day </w:t>
      </w:r>
      <w:r w:rsidR="00116DD8">
        <w:t>from March 2025 to March 2026</w:t>
      </w:r>
      <w:r w:rsidR="00EC2D39">
        <w:t xml:space="preserve"> which has a sustained impact on the victim, perpetrator and the families around them.</w:t>
      </w:r>
      <w:r>
        <w:t xml:space="preserve"> These figures reinforce the need for </w:t>
      </w:r>
      <w:r w:rsidR="00FC186D">
        <w:t>sustained</w:t>
      </w:r>
      <w:r>
        <w:t xml:space="preserve"> place-based prevention and early intervention that is matched to local growth, community diversity and service demand.</w:t>
      </w:r>
    </w:p>
    <w:p w14:paraId="0D0BBAA1" w14:textId="77777777" w:rsidR="004E27C0" w:rsidRDefault="004E27C0">
      <w:pPr>
        <w:rPr>
          <w:kern w:val="2"/>
          <w14:ligatures w14:val="standardContextual"/>
        </w:rPr>
      </w:pPr>
    </w:p>
    <w:p w14:paraId="61F2396A" w14:textId="045EFD86" w:rsidR="00AC2171" w:rsidRDefault="00AC2171">
      <w:pPr>
        <w:rPr>
          <w:kern w:val="2"/>
          <w14:ligatures w14:val="standardContextual"/>
        </w:rPr>
      </w:pPr>
      <w:r>
        <w:t xml:space="preserve">Council has an important role in shaping the conditions that support safety, equity and wellbeing across the municipality. </w:t>
      </w:r>
      <w:r w:rsidR="004D7771">
        <w:t xml:space="preserve">To combat the increasing impacts of family violence in Cardinia Shire we </w:t>
      </w:r>
      <w:r w:rsidR="00645FEB">
        <w:t>initiated</w:t>
      </w:r>
      <w:r w:rsidR="00CA66BB">
        <w:t xml:space="preserve"> </w:t>
      </w:r>
      <w:r w:rsidR="00645FEB">
        <w:t>a</w:t>
      </w:r>
      <w:r w:rsidR="00CA66BB">
        <w:t xml:space="preserve"> local partnership,</w:t>
      </w:r>
      <w:r>
        <w:t xml:space="preserve"> Together We Can,</w:t>
      </w:r>
      <w:r w:rsidR="00645FEB">
        <w:t xml:space="preserve"> over ten years ago.</w:t>
      </w:r>
      <w:r>
        <w:t xml:space="preserve"> </w:t>
      </w:r>
      <w:r w:rsidR="006C2D2E">
        <w:t xml:space="preserve">Our communities need </w:t>
      </w:r>
      <w:r w:rsidR="00E310C1">
        <w:t xml:space="preserve">practical, </w:t>
      </w:r>
      <w:r w:rsidR="006C2D2E">
        <w:t>long term</w:t>
      </w:r>
      <w:r w:rsidR="000052AC">
        <w:t xml:space="preserve">, evidence based </w:t>
      </w:r>
      <w:r w:rsidR="006C2D2E">
        <w:t>primary prevention and early intervention programs</w:t>
      </w:r>
      <w:r w:rsidR="00E310C1">
        <w:t xml:space="preserve"> to reduce the incidence of family violence. </w:t>
      </w:r>
      <w:r w:rsidR="00E44D67">
        <w:t>Prevention is better than a cure.</w:t>
      </w:r>
    </w:p>
    <w:p w14:paraId="70E93286" w14:textId="77777777" w:rsidR="007B0C47" w:rsidRDefault="007B0C47">
      <w:pPr>
        <w:pStyle w:val="Heading2"/>
        <w:rPr>
          <w:kern w:val="2"/>
          <w:szCs w:val="28"/>
          <w14:ligatures w14:val="standardContextual"/>
        </w:rPr>
      </w:pPr>
      <w:r>
        <w:t>About Together We Can</w:t>
      </w:r>
    </w:p>
    <w:p w14:paraId="273881A0" w14:textId="77777777" w:rsidR="007B0C47" w:rsidRDefault="007B0C47">
      <w:bookmarkStart w:id="0" w:name="_Toc162361109"/>
      <w:r>
        <w:t>Together We Can (TWC) was established as a Cardinia Shire collective impact initiative in 2015 to respond to increasing reported cases of family violence and was publicly launched in April 2016.</w:t>
      </w:r>
    </w:p>
    <w:p w14:paraId="02171C03" w14:textId="77777777" w:rsidR="007B0C47" w:rsidRDefault="007B0C47">
      <w:r>
        <w:rPr>
          <w:rFonts w:asciiTheme="minorHAnsi" w:hAnsiTheme="minorHAnsi"/>
        </w:rPr>
        <w:t>TWC</w:t>
      </w:r>
      <w:r w:rsidRPr="00184DB6">
        <w:rPr>
          <w:rFonts w:asciiTheme="minorHAnsi" w:hAnsiTheme="minorHAnsi"/>
        </w:rPr>
        <w:t xml:space="preserve"> aligns with the long-term goals of Cardinia </w:t>
      </w:r>
      <w:r>
        <w:t>Shire’s</w:t>
      </w:r>
      <w:r w:rsidRPr="00184DB6">
        <w:rPr>
          <w:rFonts w:asciiTheme="minorHAnsi" w:hAnsiTheme="minorHAnsi"/>
        </w:rPr>
        <w:t xml:space="preserve"> Liveability Plan to </w:t>
      </w:r>
      <w:r>
        <w:t>reduce family violence.</w:t>
      </w:r>
      <w:r w:rsidRPr="00184DB6">
        <w:rPr>
          <w:rFonts w:asciiTheme="minorHAnsi" w:hAnsiTheme="minorHAnsi"/>
        </w:rPr>
        <w:t xml:space="preserve"> Over the last 10 years the partnership has evolved</w:t>
      </w:r>
      <w:r>
        <w:t>;</w:t>
      </w:r>
      <w:r w:rsidRPr="00184DB6">
        <w:rPr>
          <w:rFonts w:asciiTheme="minorHAnsi" w:hAnsiTheme="minorHAnsi"/>
        </w:rPr>
        <w:t xml:space="preserve"> however</w:t>
      </w:r>
      <w:r>
        <w:t>,</w:t>
      </w:r>
      <w:r w:rsidRPr="00184DB6">
        <w:rPr>
          <w:rFonts w:asciiTheme="minorHAnsi" w:hAnsiTheme="minorHAnsi"/>
        </w:rPr>
        <w:t xml:space="preserve"> </w:t>
      </w:r>
      <w:r>
        <w:t xml:space="preserve">it </w:t>
      </w:r>
      <w:r w:rsidRPr="00184DB6">
        <w:rPr>
          <w:rFonts w:asciiTheme="minorHAnsi" w:hAnsiTheme="minorHAnsi"/>
        </w:rPr>
        <w:t xml:space="preserve">continues to </w:t>
      </w:r>
      <w:r>
        <w:t>maintain</w:t>
      </w:r>
      <w:r w:rsidRPr="00184DB6">
        <w:rPr>
          <w:rFonts w:asciiTheme="minorHAnsi" w:hAnsiTheme="minorHAnsi"/>
        </w:rPr>
        <w:t xml:space="preserve"> a strong focus on primary prevention. The objectives of the partnership are to</w:t>
      </w:r>
      <w:r>
        <w:t>:</w:t>
      </w:r>
    </w:p>
    <w:p w14:paraId="73B5F600" w14:textId="77777777" w:rsidR="00184DB6" w:rsidRPr="00184DB6" w:rsidRDefault="00184DB6" w:rsidP="007B0C47">
      <w:pPr>
        <w:rPr>
          <w:rFonts w:asciiTheme="minorHAnsi" w:hAnsiTheme="minorHAnsi"/>
        </w:rPr>
      </w:pPr>
    </w:p>
    <w:p w14:paraId="7D323CB0" w14:textId="77777777" w:rsidR="007B0C47" w:rsidRDefault="007B0C47" w:rsidP="007B0C47">
      <w:pPr>
        <w:pStyle w:val="ListParagraph"/>
        <w:numPr>
          <w:ilvl w:val="0"/>
          <w:numId w:val="37"/>
        </w:numPr>
      </w:pPr>
      <w:bookmarkStart w:id="1" w:name="_Toc162361111"/>
      <w:bookmarkEnd w:id="0"/>
      <w:r w:rsidRPr="007B0C47">
        <w:rPr>
          <w:rStyle w:val="Heading2Char"/>
          <w:rFonts w:asciiTheme="minorHAnsi" w:hAnsiTheme="minorHAnsi"/>
          <w:sz w:val="24"/>
          <w:szCs w:val="24"/>
        </w:rPr>
        <w:t xml:space="preserve">Improve community and organisational awareness and attitudes to gender </w:t>
      </w:r>
      <w:r>
        <w:rPr>
          <w:rStyle w:val="Heading2Char"/>
          <w:rFonts w:ascii="Franklin Gothic Book" w:hAnsi="Franklin Gothic Book"/>
          <w:sz w:val="24"/>
          <w:szCs w:val="24"/>
        </w:rPr>
        <w:t>equity</w:t>
      </w:r>
      <w:r w:rsidRPr="007B0C47">
        <w:rPr>
          <w:rStyle w:val="Heading2Char"/>
          <w:rFonts w:asciiTheme="minorHAnsi" w:hAnsiTheme="minorHAnsi"/>
          <w:sz w:val="24"/>
          <w:szCs w:val="24"/>
        </w:rPr>
        <w:t xml:space="preserve"> and family violence.</w:t>
      </w:r>
    </w:p>
    <w:p w14:paraId="45DED3D6" w14:textId="2EC282F8" w:rsidR="00E23ED0" w:rsidRPr="007B0C47" w:rsidRDefault="00E23ED0" w:rsidP="007B0C47">
      <w:pPr>
        <w:pStyle w:val="ListParagraph"/>
        <w:numPr>
          <w:ilvl w:val="0"/>
          <w:numId w:val="37"/>
        </w:numPr>
        <w:rPr>
          <w:rStyle w:val="Heading2Char"/>
          <w:rFonts w:asciiTheme="minorHAnsi" w:hAnsiTheme="minorHAnsi"/>
          <w:sz w:val="24"/>
          <w:szCs w:val="24"/>
        </w:rPr>
      </w:pPr>
      <w:r w:rsidRPr="007B0C47">
        <w:rPr>
          <w:rStyle w:val="Heading2Char"/>
          <w:rFonts w:asciiTheme="minorHAnsi" w:hAnsiTheme="minorHAnsi"/>
          <w:sz w:val="24"/>
          <w:szCs w:val="24"/>
        </w:rPr>
        <w:t xml:space="preserve">Increase </w:t>
      </w:r>
      <w:r w:rsidR="00184DB6" w:rsidRPr="007B0C47">
        <w:rPr>
          <w:rStyle w:val="Heading2Char"/>
          <w:rFonts w:asciiTheme="minorHAnsi" w:hAnsiTheme="minorHAnsi"/>
          <w:sz w:val="24"/>
          <w:szCs w:val="24"/>
        </w:rPr>
        <w:t xml:space="preserve">the </w:t>
      </w:r>
      <w:r w:rsidRPr="007B0C47">
        <w:rPr>
          <w:rStyle w:val="Heading2Char"/>
          <w:rFonts w:asciiTheme="minorHAnsi" w:hAnsiTheme="minorHAnsi"/>
          <w:sz w:val="24"/>
          <w:szCs w:val="24"/>
        </w:rPr>
        <w:t xml:space="preserve">capacity of individuals, organisations, and communities to </w:t>
      </w:r>
      <w:r w:rsidR="00184DB6" w:rsidRPr="007B0C47">
        <w:rPr>
          <w:rStyle w:val="Heading2Char"/>
          <w:rFonts w:asciiTheme="minorHAnsi" w:hAnsiTheme="minorHAnsi"/>
          <w:sz w:val="24"/>
          <w:szCs w:val="24"/>
        </w:rPr>
        <w:t xml:space="preserve">prevent discrimination and harm from gender-based violence, especially for those facing multiple forms of disadvantage. </w:t>
      </w:r>
      <w:bookmarkEnd w:id="1"/>
    </w:p>
    <w:p w14:paraId="676F5323" w14:textId="11960406" w:rsidR="00E23ED0" w:rsidRPr="007B0C47" w:rsidRDefault="00184DB6" w:rsidP="007B0C47">
      <w:pPr>
        <w:pStyle w:val="ListParagraph"/>
        <w:numPr>
          <w:ilvl w:val="0"/>
          <w:numId w:val="37"/>
        </w:numPr>
        <w:rPr>
          <w:rStyle w:val="Heading2Char"/>
          <w:rFonts w:asciiTheme="minorHAnsi" w:hAnsiTheme="minorHAnsi"/>
          <w:sz w:val="24"/>
          <w:szCs w:val="24"/>
        </w:rPr>
      </w:pPr>
      <w:r w:rsidRPr="007B0C47">
        <w:rPr>
          <w:rStyle w:val="Heading2Char"/>
          <w:rFonts w:asciiTheme="minorHAnsi" w:hAnsiTheme="minorHAnsi"/>
          <w:sz w:val="24"/>
          <w:szCs w:val="24"/>
        </w:rPr>
        <w:t xml:space="preserve">Increase local access to and awareness of social support and services for individuals at risk of experiencing or perpetrating family violence. </w:t>
      </w:r>
    </w:p>
    <w:p w14:paraId="70D657CC" w14:textId="77777777" w:rsidR="00184DB6" w:rsidRPr="00184DB6" w:rsidRDefault="00184DB6" w:rsidP="007B0C47">
      <w:pPr>
        <w:rPr>
          <w:rStyle w:val="Heading2Char"/>
          <w:rFonts w:asciiTheme="minorHAnsi" w:hAnsiTheme="minorHAnsi"/>
          <w:sz w:val="24"/>
          <w:szCs w:val="24"/>
        </w:rPr>
      </w:pPr>
    </w:p>
    <w:p w14:paraId="71467545" w14:textId="77777777" w:rsidR="007B0C47" w:rsidRDefault="007B0C47">
      <w:r>
        <w:rPr>
          <w:rStyle w:val="Heading2Char"/>
          <w:rFonts w:asciiTheme="minorHAnsi" w:hAnsiTheme="minorHAnsi"/>
          <w:sz w:val="24"/>
          <w:szCs w:val="24"/>
        </w:rPr>
        <w:t>TWC</w:t>
      </w:r>
      <w:r w:rsidRPr="00184DB6">
        <w:rPr>
          <w:rStyle w:val="Heading2Char"/>
          <w:rFonts w:asciiTheme="minorHAnsi" w:hAnsiTheme="minorHAnsi"/>
          <w:sz w:val="24"/>
          <w:szCs w:val="24"/>
        </w:rPr>
        <w:t xml:space="preserve"> members represent a range of community settings</w:t>
      </w:r>
      <w:r>
        <w:t>,</w:t>
      </w:r>
      <w:r w:rsidRPr="00184DB6">
        <w:rPr>
          <w:rStyle w:val="Heading2Char"/>
          <w:rFonts w:asciiTheme="minorHAnsi" w:hAnsiTheme="minorHAnsi"/>
          <w:sz w:val="24"/>
          <w:szCs w:val="24"/>
        </w:rPr>
        <w:t xml:space="preserve"> including </w:t>
      </w:r>
      <w:r>
        <w:t>libraries</w:t>
      </w:r>
      <w:r w:rsidRPr="00184DB6">
        <w:rPr>
          <w:rStyle w:val="Heading2Char"/>
          <w:rFonts w:asciiTheme="minorHAnsi" w:hAnsiTheme="minorHAnsi"/>
          <w:sz w:val="24"/>
          <w:szCs w:val="24"/>
        </w:rPr>
        <w:t>, sports facilities, early years, disability and youth services</w:t>
      </w:r>
      <w:r>
        <w:t>,</w:t>
      </w:r>
      <w:r w:rsidRPr="00184DB6">
        <w:rPr>
          <w:rStyle w:val="Heading2Char"/>
          <w:rFonts w:asciiTheme="minorHAnsi" w:hAnsiTheme="minorHAnsi"/>
          <w:sz w:val="24"/>
          <w:szCs w:val="24"/>
        </w:rPr>
        <w:t xml:space="preserve"> as well as </w:t>
      </w:r>
      <w:r>
        <w:t>frontline</w:t>
      </w:r>
      <w:r w:rsidRPr="00184DB6">
        <w:rPr>
          <w:rStyle w:val="Heading2Char"/>
          <w:rFonts w:asciiTheme="minorHAnsi" w:hAnsiTheme="minorHAnsi"/>
          <w:sz w:val="24"/>
          <w:szCs w:val="24"/>
        </w:rPr>
        <w:t xml:space="preserve"> family violence response services</w:t>
      </w:r>
      <w:r>
        <w:t>.</w:t>
      </w:r>
      <w:r w:rsidRPr="00184DB6">
        <w:rPr>
          <w:rStyle w:val="Heading2Char"/>
          <w:rFonts w:asciiTheme="minorHAnsi" w:hAnsiTheme="minorHAnsi"/>
          <w:sz w:val="24"/>
          <w:szCs w:val="24"/>
        </w:rPr>
        <w:t xml:space="preserve"> The program is facilitated and fully funded by Council.</w:t>
      </w:r>
    </w:p>
    <w:p w14:paraId="406D4037" w14:textId="77777777" w:rsidR="00F95311" w:rsidRPr="00184DB6" w:rsidRDefault="00F95311" w:rsidP="007B0C47">
      <w:pPr>
        <w:rPr>
          <w:rFonts w:asciiTheme="minorHAnsi" w:hAnsiTheme="minorHAnsi"/>
          <w:i/>
          <w:iCs/>
          <w:color w:val="2A3F65"/>
          <w:sz w:val="28"/>
          <w:szCs w:val="28"/>
          <w:lang w:eastAsia="en-US"/>
        </w:rPr>
      </w:pPr>
    </w:p>
    <w:p w14:paraId="144FAF09" w14:textId="13C2868A" w:rsidR="007B0C47" w:rsidRDefault="007B0C47">
      <w:r>
        <w:rPr>
          <w:rFonts w:asciiTheme="minorHAnsi" w:hAnsiTheme="minorHAnsi"/>
        </w:rPr>
        <w:t>The TWC partnership recognises that c</w:t>
      </w:r>
      <w:r w:rsidRPr="00184DB6">
        <w:rPr>
          <w:rFonts w:asciiTheme="minorHAnsi" w:hAnsiTheme="minorHAnsi"/>
        </w:rPr>
        <w:t xml:space="preserve">reating change is not the sole responsibility of individual governments, agencies, organisations or individual people. Change over time takes a collective effort </w:t>
      </w:r>
      <w:r>
        <w:lastRenderedPageBreak/>
        <w:t>across</w:t>
      </w:r>
      <w:r w:rsidRPr="00184DB6">
        <w:rPr>
          <w:rFonts w:asciiTheme="minorHAnsi" w:hAnsiTheme="minorHAnsi"/>
        </w:rPr>
        <w:t xml:space="preserve"> multiple </w:t>
      </w:r>
      <w:r w:rsidR="004F766A" w:rsidRPr="00184DB6">
        <w:rPr>
          <w:rFonts w:asciiTheme="minorHAnsi" w:hAnsiTheme="minorHAnsi"/>
        </w:rPr>
        <w:t>fronts</w:t>
      </w:r>
      <w:r w:rsidR="004F766A">
        <w:t xml:space="preserve"> and</w:t>
      </w:r>
      <w:r w:rsidRPr="00184DB6">
        <w:rPr>
          <w:rFonts w:asciiTheme="minorHAnsi" w:hAnsiTheme="minorHAnsi"/>
        </w:rPr>
        <w:t xml:space="preserve"> evaluating effectiveness and implementing best practice </w:t>
      </w:r>
      <w:r>
        <w:t>are</w:t>
      </w:r>
      <w:r w:rsidRPr="00184DB6">
        <w:rPr>
          <w:rFonts w:asciiTheme="minorHAnsi" w:hAnsiTheme="minorHAnsi"/>
        </w:rPr>
        <w:t xml:space="preserve"> dependent on available resources, skilled and supported practitioners, evaluation support</w:t>
      </w:r>
      <w:r>
        <w:t>,</w:t>
      </w:r>
      <w:r w:rsidRPr="00184DB6">
        <w:rPr>
          <w:rFonts w:asciiTheme="minorHAnsi" w:hAnsiTheme="minorHAnsi"/>
        </w:rPr>
        <w:t xml:space="preserve"> and coordinated and accessible shared relevant data.</w:t>
      </w:r>
    </w:p>
    <w:p w14:paraId="3505C32F" w14:textId="77777777" w:rsidR="007B0C47" w:rsidRDefault="007B0C47">
      <w:pPr>
        <w:rPr>
          <w:kern w:val="2"/>
          <w14:ligatures w14:val="standardContextual"/>
        </w:rPr>
      </w:pPr>
    </w:p>
    <w:p w14:paraId="1BF438CE" w14:textId="77777777" w:rsidR="007B0C47" w:rsidRDefault="007B0C47">
      <w:pPr>
        <w:pStyle w:val="Heading2"/>
        <w:rPr>
          <w:kern w:val="2"/>
          <w:szCs w:val="28"/>
          <w14:ligatures w14:val="standardContextual"/>
        </w:rPr>
      </w:pPr>
      <w:r>
        <w:t>Purpose of this submission</w:t>
      </w:r>
    </w:p>
    <w:p w14:paraId="1DCB3BC7" w14:textId="393E8DDB" w:rsidR="007B0C47" w:rsidRDefault="007B0C47">
      <w:pPr>
        <w:rPr>
          <w:kern w:val="2"/>
          <w14:ligatures w14:val="standardContextual"/>
        </w:rPr>
      </w:pPr>
      <w:r>
        <w:t xml:space="preserve">This submission provides practice-informed feedback to support the development of the Second Action Plan under the National Plan to End Violence against Women and Children 2022–2032. It draws on TWC’s </w:t>
      </w:r>
      <w:r w:rsidR="00C814FF">
        <w:t xml:space="preserve">hands on, </w:t>
      </w:r>
      <w:r>
        <w:t>place-based prevention work and the experience of working across local government, community organisations, services and community settings to prevent family violence and strengthen community capability.</w:t>
      </w:r>
    </w:p>
    <w:p w14:paraId="4319491C" w14:textId="56A8A3F0" w:rsidR="007B0C47" w:rsidRDefault="007B0C47">
      <w:pPr>
        <w:rPr>
          <w:kern w:val="2"/>
          <w14:ligatures w14:val="standardContextual"/>
        </w:rPr>
      </w:pPr>
      <w:r>
        <w:t xml:space="preserve">The submission </w:t>
      </w:r>
      <w:r w:rsidR="001E3E55">
        <w:t xml:space="preserve">highlights areas within priorities 2, 3 and 4 </w:t>
      </w:r>
      <w:r>
        <w:t>where the Second Action Plan can strengthen the translation of evidence into action, particularly through clearer definitions, stronger prevention infrastructure, cross-sector coordination, sustained investment, local data and practical support for implementation.</w:t>
      </w:r>
    </w:p>
    <w:p w14:paraId="2F5BA5F9" w14:textId="77777777" w:rsidR="00D27E7E" w:rsidRPr="00184DB6" w:rsidRDefault="00D27E7E" w:rsidP="004251B1">
      <w:pPr>
        <w:ind w:left="284"/>
        <w:rPr>
          <w:rFonts w:asciiTheme="minorHAnsi" w:hAnsiTheme="minorHAnsi"/>
        </w:rPr>
      </w:pPr>
    </w:p>
    <w:p w14:paraId="7E3202C0" w14:textId="77777777" w:rsidR="007B0C47" w:rsidRDefault="007B0C47" w:rsidP="007B0C47">
      <w:pPr>
        <w:pStyle w:val="Heading2"/>
        <w:spacing w:before="240"/>
      </w:pPr>
      <w:r>
        <w:t>Key feedback</w:t>
      </w:r>
    </w:p>
    <w:p w14:paraId="4D37DA86" w14:textId="77777777" w:rsidR="00184DB6" w:rsidRPr="00184DB6" w:rsidRDefault="00184DB6" w:rsidP="00466993">
      <w:pPr>
        <w:rPr>
          <w:rFonts w:asciiTheme="minorHAnsi" w:hAnsiTheme="minorHAnsi"/>
          <w:b/>
          <w:bCs/>
        </w:rPr>
      </w:pPr>
    </w:p>
    <w:p w14:paraId="5119A30F" w14:textId="77777777" w:rsidR="007B0C47" w:rsidRDefault="007B0C47">
      <w:pPr>
        <w:pStyle w:val="Heading2"/>
      </w:pPr>
      <w:r w:rsidRPr="00184DB6">
        <w:rPr>
          <w:rFonts w:asciiTheme="minorHAnsi" w:hAnsiTheme="minorHAnsi"/>
          <w:b/>
          <w:bCs/>
        </w:rPr>
        <w:t>1. Prevention and early intervention need clearer definitions and stronger resourcing</w:t>
      </w:r>
    </w:p>
    <w:p w14:paraId="090CC0C4" w14:textId="776507E7" w:rsidR="00466993" w:rsidRPr="00184DB6" w:rsidRDefault="00466993" w:rsidP="00466993">
      <w:pPr>
        <w:rPr>
          <w:rFonts w:asciiTheme="minorHAnsi" w:hAnsiTheme="minorHAnsi"/>
        </w:rPr>
      </w:pPr>
      <w:r w:rsidRPr="00184DB6">
        <w:rPr>
          <w:rFonts w:asciiTheme="minorHAnsi" w:hAnsiTheme="minorHAnsi"/>
        </w:rPr>
        <w:t xml:space="preserve">The </w:t>
      </w:r>
      <w:r w:rsidR="006D3EFE">
        <w:rPr>
          <w:rFonts w:asciiTheme="minorHAnsi" w:hAnsiTheme="minorHAnsi"/>
        </w:rPr>
        <w:t xml:space="preserve">second National Action Plan </w:t>
      </w:r>
      <w:r w:rsidRPr="00184DB6">
        <w:rPr>
          <w:rFonts w:asciiTheme="minorHAnsi" w:hAnsiTheme="minorHAnsi"/>
        </w:rPr>
        <w:t xml:space="preserve">would benefit from more explicit distinction between prevention, early intervention and response. Prevention should be framed as proactive, long-term work that addresses the attitudes, behaviours, systems and structures that enable violence. Early intervention should be understood as responding to early indicators of harm, risk or disclosure. This distinction matters because signs of increased early help-seeking </w:t>
      </w:r>
      <w:r w:rsidR="00FA182E">
        <w:rPr>
          <w:rFonts w:asciiTheme="minorHAnsi" w:hAnsiTheme="minorHAnsi"/>
        </w:rPr>
        <w:t xml:space="preserve">are distinctly different to increased response reporting. Increases in early intervention </w:t>
      </w:r>
      <w:r w:rsidRPr="00184DB6">
        <w:rPr>
          <w:rFonts w:asciiTheme="minorHAnsi" w:hAnsiTheme="minorHAnsi"/>
        </w:rPr>
        <w:t>may reflect improved awareness and trust, while increases in crisis response indicate the system is still failing women and children</w:t>
      </w:r>
      <w:r w:rsidR="00FA182E">
        <w:rPr>
          <w:rFonts w:asciiTheme="minorHAnsi" w:hAnsiTheme="minorHAnsi"/>
        </w:rPr>
        <w:t xml:space="preserve"> in preventing family violence.</w:t>
      </w:r>
    </w:p>
    <w:p w14:paraId="494BCEEF" w14:textId="77777777" w:rsidR="00466993" w:rsidRPr="00184DB6" w:rsidRDefault="00466993" w:rsidP="00466993">
      <w:pPr>
        <w:rPr>
          <w:rFonts w:asciiTheme="minorHAnsi" w:hAnsiTheme="minorHAnsi"/>
        </w:rPr>
      </w:pPr>
      <w:r w:rsidRPr="00184DB6">
        <w:rPr>
          <w:rFonts w:asciiTheme="minorHAnsi" w:hAnsiTheme="minorHAnsi"/>
        </w:rPr>
        <w:t>The Second Action Plan should strengthen the role, capacity and resourcing of prevention workforces. The current evidence cited on prevention appears limited in its ability to guide practical implementation. More attention is needed to who is resourced to deliver prevention, how community-based prevention components are sustained, and how prevention initiatives are evaluated over time.</w:t>
      </w:r>
    </w:p>
    <w:p w14:paraId="1C73825A" w14:textId="77777777" w:rsidR="00466993" w:rsidRPr="00184DB6" w:rsidRDefault="00466993" w:rsidP="00466993">
      <w:pPr>
        <w:rPr>
          <w:rFonts w:asciiTheme="minorHAnsi" w:hAnsiTheme="minorHAnsi"/>
        </w:rPr>
      </w:pPr>
    </w:p>
    <w:p w14:paraId="01973844" w14:textId="0D1D023D" w:rsidR="007B0C47" w:rsidRDefault="007B0C47">
      <w:pPr>
        <w:pStyle w:val="Heading2"/>
      </w:pPr>
      <w:r w:rsidRPr="00184DB6">
        <w:rPr>
          <w:rFonts w:asciiTheme="minorHAnsi" w:hAnsiTheme="minorHAnsi"/>
          <w:b/>
          <w:bCs/>
        </w:rPr>
        <w:t>2. Men and boys should be engaged through positive, strengths-based approaches</w:t>
      </w:r>
      <w:r w:rsidR="009D7CDA">
        <w:rPr>
          <w:rFonts w:asciiTheme="minorHAnsi" w:hAnsiTheme="minorHAnsi"/>
          <w:b/>
          <w:bCs/>
        </w:rPr>
        <w:t xml:space="preserve"> at all life stages.</w:t>
      </w:r>
    </w:p>
    <w:p w14:paraId="68F8BEF5" w14:textId="45BD5694" w:rsidR="00466993" w:rsidRPr="00184DB6" w:rsidRDefault="00466993" w:rsidP="00466993">
      <w:pPr>
        <w:rPr>
          <w:rFonts w:asciiTheme="minorHAnsi" w:hAnsiTheme="minorHAnsi"/>
        </w:rPr>
      </w:pPr>
      <w:r w:rsidRPr="00184DB6">
        <w:rPr>
          <w:rFonts w:asciiTheme="minorHAnsi" w:hAnsiTheme="minorHAnsi"/>
        </w:rPr>
        <w:t>The</w:t>
      </w:r>
      <w:r w:rsidR="008A7D61">
        <w:rPr>
          <w:rFonts w:asciiTheme="minorHAnsi" w:hAnsiTheme="minorHAnsi"/>
        </w:rPr>
        <w:t xml:space="preserve"> three points noted in the </w:t>
      </w:r>
      <w:r w:rsidR="006430F3">
        <w:rPr>
          <w:rFonts w:asciiTheme="minorHAnsi" w:hAnsiTheme="minorHAnsi"/>
        </w:rPr>
        <w:t xml:space="preserve">Evidence to action discussion paper, </w:t>
      </w:r>
      <w:r w:rsidR="008A7D61" w:rsidRPr="006430F3">
        <w:rPr>
          <w:rFonts w:asciiTheme="minorHAnsi" w:hAnsiTheme="minorHAnsi"/>
          <w:i/>
          <w:iCs/>
        </w:rPr>
        <w:t>Priority Area 2 Prevention and early intervention ‘</w:t>
      </w:r>
      <w:r w:rsidR="00BA31B3" w:rsidRPr="006430F3">
        <w:rPr>
          <w:rFonts w:asciiTheme="minorHAnsi" w:hAnsiTheme="minorHAnsi"/>
          <w:i/>
          <w:iCs/>
        </w:rPr>
        <w:t>W</w:t>
      </w:r>
      <w:r w:rsidR="008A7D61" w:rsidRPr="006430F3">
        <w:rPr>
          <w:rFonts w:asciiTheme="minorHAnsi" w:hAnsiTheme="minorHAnsi"/>
          <w:i/>
          <w:iCs/>
        </w:rPr>
        <w:t>here we are making progress’</w:t>
      </w:r>
      <w:r w:rsidR="006430F3">
        <w:rPr>
          <w:rFonts w:asciiTheme="minorHAnsi" w:hAnsiTheme="minorHAnsi"/>
          <w:i/>
          <w:iCs/>
        </w:rPr>
        <w:t xml:space="preserve"> </w:t>
      </w:r>
      <w:r w:rsidRPr="00184DB6">
        <w:rPr>
          <w:rFonts w:asciiTheme="minorHAnsi" w:hAnsiTheme="minorHAnsi"/>
        </w:rPr>
        <w:t xml:space="preserve">on father figures, positive male role models, </w:t>
      </w:r>
      <w:r w:rsidR="00360E95">
        <w:rPr>
          <w:rFonts w:asciiTheme="minorHAnsi" w:hAnsiTheme="minorHAnsi"/>
        </w:rPr>
        <w:t>new</w:t>
      </w:r>
      <w:r w:rsidRPr="00184DB6">
        <w:rPr>
          <w:rFonts w:asciiTheme="minorHAnsi" w:hAnsiTheme="minorHAnsi"/>
        </w:rPr>
        <w:t xml:space="preserve"> fathers and online environments points to an important opportunity. Men and boys should have access across all ages and life stages to healthy, prosocial information, relationships and role models. This should not be framed only as a response to the manosphere or online misogyny. </w:t>
      </w:r>
      <w:r w:rsidRPr="00FB56B1">
        <w:rPr>
          <w:rFonts w:asciiTheme="minorHAnsi" w:hAnsiTheme="minorHAnsi"/>
        </w:rPr>
        <w:t>It should be pursued because men’s health, wellbeing, connection, parenting and respectful relationships are important in their own right.</w:t>
      </w:r>
    </w:p>
    <w:p w14:paraId="02A1C003" w14:textId="77777777" w:rsidR="008C5667" w:rsidRPr="008C5667" w:rsidRDefault="00466993" w:rsidP="008C5667">
      <w:pPr>
        <w:rPr>
          <w:rFonts w:asciiTheme="minorHAnsi" w:hAnsiTheme="minorHAnsi"/>
        </w:rPr>
      </w:pPr>
      <w:r w:rsidRPr="00184DB6">
        <w:rPr>
          <w:rFonts w:asciiTheme="minorHAnsi" w:hAnsiTheme="minorHAnsi"/>
        </w:rPr>
        <w:t xml:space="preserve">Future action should include co-designed work with men and boys, including fathers, to build positive identity, emotional literacy, healthy relationships and respectful parenting. </w:t>
      </w:r>
      <w:r w:rsidR="008C5667" w:rsidRPr="008C5667">
        <w:rPr>
          <w:rFonts w:asciiTheme="minorHAnsi" w:hAnsiTheme="minorHAnsi"/>
        </w:rPr>
        <w:t>This could include greater investment in parenting programs for fathers, building on the strengths, skills and experiences that men bring to parenthood. Evidence suggests that fathers who are actively engaged in their parenting role are more likely to demonstrate emotional regulation, seek support when needed, and less likely to use violence. This work could be complemented by community-based male role modelling and safe online and offline spaces that promote healthy, respectful alternatives to harmful narratives.</w:t>
      </w:r>
    </w:p>
    <w:p w14:paraId="28C58B42" w14:textId="77777777" w:rsidR="008C5667" w:rsidRDefault="008C5667" w:rsidP="00466993">
      <w:pPr>
        <w:rPr>
          <w:rFonts w:asciiTheme="minorHAnsi" w:hAnsiTheme="minorHAnsi"/>
        </w:rPr>
      </w:pPr>
    </w:p>
    <w:p w14:paraId="2437D295" w14:textId="72846DCB" w:rsidR="007B0C47" w:rsidRDefault="007B0C47" w:rsidP="007B0C47">
      <w:pPr>
        <w:pStyle w:val="Heading2"/>
      </w:pPr>
      <w:r>
        <w:rPr>
          <w:rFonts w:asciiTheme="minorHAnsi" w:hAnsiTheme="minorHAnsi"/>
          <w:b/>
          <w:bCs/>
        </w:rPr>
        <w:t>3</w:t>
      </w:r>
      <w:r w:rsidRPr="00184DB6">
        <w:rPr>
          <w:rFonts w:asciiTheme="minorHAnsi" w:hAnsiTheme="minorHAnsi"/>
          <w:b/>
          <w:bCs/>
        </w:rPr>
        <w:t xml:space="preserve">. Earlier </w:t>
      </w:r>
      <w:r w:rsidR="003D4B6E">
        <w:rPr>
          <w:rFonts w:asciiTheme="minorHAnsi" w:hAnsiTheme="minorHAnsi"/>
          <w:b/>
          <w:bCs/>
        </w:rPr>
        <w:t xml:space="preserve">identification and </w:t>
      </w:r>
      <w:r w:rsidRPr="00184DB6">
        <w:rPr>
          <w:rFonts w:asciiTheme="minorHAnsi" w:hAnsiTheme="minorHAnsi"/>
          <w:b/>
          <w:bCs/>
        </w:rPr>
        <w:t>intervention with people using violence should be expanded</w:t>
      </w:r>
      <w:r w:rsidR="003D4B6E">
        <w:rPr>
          <w:rFonts w:asciiTheme="minorHAnsi" w:hAnsiTheme="minorHAnsi"/>
          <w:b/>
          <w:bCs/>
        </w:rPr>
        <w:t xml:space="preserve"> and resourced.</w:t>
      </w:r>
    </w:p>
    <w:p w14:paraId="0C965F8B" w14:textId="556CDAF0" w:rsidR="007B0C47" w:rsidRPr="00184DB6" w:rsidRDefault="00D87037" w:rsidP="007B0C47">
      <w:pPr>
        <w:rPr>
          <w:rFonts w:asciiTheme="minorHAnsi" w:hAnsiTheme="minorHAnsi"/>
        </w:rPr>
      </w:pPr>
      <w:r>
        <w:rPr>
          <w:rFonts w:asciiTheme="minorHAnsi" w:hAnsiTheme="minorHAnsi"/>
        </w:rPr>
        <w:t>A central question that the Second National Action plan should address is</w:t>
      </w:r>
      <w:r w:rsidR="0088046E">
        <w:rPr>
          <w:rFonts w:asciiTheme="minorHAnsi" w:hAnsiTheme="minorHAnsi"/>
        </w:rPr>
        <w:t>:</w:t>
      </w:r>
      <w:r w:rsidR="007B0C47" w:rsidRPr="00184DB6">
        <w:rPr>
          <w:rFonts w:asciiTheme="minorHAnsi" w:hAnsiTheme="minorHAnsi"/>
        </w:rPr>
        <w:t xml:space="preserve"> </w:t>
      </w:r>
      <w:r w:rsidR="0088046E">
        <w:rPr>
          <w:rFonts w:asciiTheme="minorHAnsi" w:hAnsiTheme="minorHAnsi"/>
        </w:rPr>
        <w:t>A</w:t>
      </w:r>
      <w:r w:rsidR="007B0C47" w:rsidRPr="00184DB6">
        <w:rPr>
          <w:rFonts w:asciiTheme="minorHAnsi" w:hAnsiTheme="minorHAnsi"/>
        </w:rPr>
        <w:t>re men recognising harmful behaviour and seeking support, or does the burden continue to fall on women and children to seek help and protect themselves? The Second Action Plan should focus more strongly on earlier identification and engagement of people using violence before harm escalates. This includes greater availability, tailoring and quality of programs for people using violence, and clearer pathways through health, education, workplaces, families, communities and justice systems.</w:t>
      </w:r>
    </w:p>
    <w:p w14:paraId="7FDC20EC" w14:textId="6962E7B4" w:rsidR="007B0C47" w:rsidRDefault="00C737D6" w:rsidP="007B0C47">
      <w:r>
        <w:rPr>
          <w:rFonts w:asciiTheme="minorHAnsi" w:hAnsiTheme="minorHAnsi"/>
        </w:rPr>
        <w:t>Parents and in particular,</w:t>
      </w:r>
      <w:r w:rsidR="007B0C47" w:rsidRPr="00184DB6">
        <w:rPr>
          <w:rFonts w:asciiTheme="minorHAnsi" w:hAnsiTheme="minorHAnsi"/>
        </w:rPr>
        <w:t xml:space="preserve"> fathers should be a</w:t>
      </w:r>
      <w:r w:rsidR="007E7BD0">
        <w:rPr>
          <w:rFonts w:asciiTheme="minorHAnsi" w:hAnsiTheme="minorHAnsi"/>
        </w:rPr>
        <w:t xml:space="preserve"> strong</w:t>
      </w:r>
      <w:r w:rsidR="007B0C47" w:rsidRPr="00184DB6">
        <w:rPr>
          <w:rFonts w:asciiTheme="minorHAnsi" w:hAnsiTheme="minorHAnsi"/>
        </w:rPr>
        <w:t xml:space="preserve"> focus, given the highlighted evidence </w:t>
      </w:r>
      <w:r>
        <w:rPr>
          <w:rFonts w:asciiTheme="minorHAnsi" w:hAnsiTheme="minorHAnsi"/>
        </w:rPr>
        <w:t>showing</w:t>
      </w:r>
      <w:r w:rsidR="00601067" w:rsidRPr="00184DB6">
        <w:rPr>
          <w:rFonts w:asciiTheme="minorHAnsi" w:hAnsiTheme="minorHAnsi"/>
        </w:rPr>
        <w:t xml:space="preserve"> </w:t>
      </w:r>
      <w:r w:rsidR="00617992">
        <w:rPr>
          <w:rFonts w:asciiTheme="minorHAnsi" w:hAnsiTheme="minorHAnsi"/>
        </w:rPr>
        <w:t xml:space="preserve">that </w:t>
      </w:r>
      <w:r w:rsidR="007B0C47" w:rsidRPr="00184DB6">
        <w:rPr>
          <w:rFonts w:asciiTheme="minorHAnsi" w:hAnsiTheme="minorHAnsi"/>
        </w:rPr>
        <w:t xml:space="preserve">parenthood </w:t>
      </w:r>
      <w:r w:rsidR="00617992">
        <w:rPr>
          <w:rFonts w:asciiTheme="minorHAnsi" w:hAnsiTheme="minorHAnsi"/>
        </w:rPr>
        <w:t>i</w:t>
      </w:r>
      <w:r w:rsidR="00617992" w:rsidRPr="00184DB6">
        <w:rPr>
          <w:rFonts w:asciiTheme="minorHAnsi" w:hAnsiTheme="minorHAnsi"/>
        </w:rPr>
        <w:t xml:space="preserve">s </w:t>
      </w:r>
      <w:r w:rsidR="007B0C47" w:rsidRPr="00184DB6">
        <w:rPr>
          <w:rFonts w:asciiTheme="minorHAnsi" w:hAnsiTheme="minorHAnsi"/>
        </w:rPr>
        <w:t>a risk factor and the protective role of positive father figures. Early intervention should include practical, accessible supports that help men and fathers build safe, respectful parenting and relationship skills</w:t>
      </w:r>
      <w:r w:rsidR="00617992">
        <w:rPr>
          <w:rFonts w:asciiTheme="minorHAnsi" w:hAnsiTheme="minorHAnsi"/>
        </w:rPr>
        <w:t xml:space="preserve"> across the parenting journey</w:t>
      </w:r>
      <w:r w:rsidR="007B0C47" w:rsidRPr="00184DB6">
        <w:rPr>
          <w:rFonts w:asciiTheme="minorHAnsi" w:hAnsiTheme="minorHAnsi"/>
        </w:rPr>
        <w:t>.</w:t>
      </w:r>
    </w:p>
    <w:p w14:paraId="494CD944" w14:textId="77777777" w:rsidR="007B0C47" w:rsidRPr="00184DB6" w:rsidRDefault="007B0C47" w:rsidP="00466993">
      <w:pPr>
        <w:rPr>
          <w:rFonts w:asciiTheme="minorHAnsi" w:hAnsiTheme="minorHAnsi"/>
        </w:rPr>
      </w:pPr>
    </w:p>
    <w:p w14:paraId="71B85349" w14:textId="77777777" w:rsidR="00466993" w:rsidRPr="00184DB6" w:rsidRDefault="00466993" w:rsidP="00466993">
      <w:pPr>
        <w:rPr>
          <w:rFonts w:asciiTheme="minorHAnsi" w:hAnsiTheme="minorHAnsi"/>
        </w:rPr>
      </w:pPr>
    </w:p>
    <w:p w14:paraId="3D038C80" w14:textId="6093A14F" w:rsidR="007B0C47" w:rsidRPr="007B0C47" w:rsidRDefault="007B0C47">
      <w:pPr>
        <w:pStyle w:val="Heading2"/>
      </w:pPr>
      <w:r>
        <w:rPr>
          <w:rFonts w:asciiTheme="minorHAnsi" w:hAnsiTheme="minorHAnsi"/>
          <w:b/>
          <w:bCs/>
        </w:rPr>
        <w:t>4</w:t>
      </w:r>
      <w:r w:rsidRPr="007B0C47">
        <w:rPr>
          <w:rFonts w:asciiTheme="minorHAnsi" w:hAnsiTheme="minorHAnsi"/>
          <w:b/>
          <w:bCs/>
        </w:rPr>
        <w:t>. Children and young people need stronger recognition, information and support</w:t>
      </w:r>
    </w:p>
    <w:p w14:paraId="20A0A2E0" w14:textId="794D9154" w:rsidR="007B0C47" w:rsidRPr="007B0C47" w:rsidRDefault="007B0C47">
      <w:r w:rsidRPr="007B0C47">
        <w:rPr>
          <w:rFonts w:asciiTheme="minorHAnsi" w:hAnsiTheme="minorHAnsi"/>
        </w:rPr>
        <w:t xml:space="preserve">The </w:t>
      </w:r>
      <w:r w:rsidR="00D83BD3">
        <w:rPr>
          <w:rFonts w:asciiTheme="minorHAnsi" w:hAnsiTheme="minorHAnsi"/>
        </w:rPr>
        <w:t>Evidence to action consultation paper</w:t>
      </w:r>
      <w:r w:rsidRPr="007B0C47">
        <w:rPr>
          <w:rFonts w:asciiTheme="minorHAnsi" w:hAnsiTheme="minorHAnsi"/>
        </w:rPr>
        <w:t xml:space="preserve"> strongly supports recognising children and young people as victim-survivors in their own right. Children and young people commonly report not being believed or being dismissed when they disclose violence. Responses should therefore focus on listening to children, recognising their rights and developmental needs, and ensuring they are not treated only as secondary victims attached to an adult.</w:t>
      </w:r>
    </w:p>
    <w:p w14:paraId="4D9CC3C3" w14:textId="77777777" w:rsidR="007B0C47" w:rsidRPr="007B0C47" w:rsidRDefault="007B0C47">
      <w:r w:rsidRPr="007B0C47">
        <w:rPr>
          <w:rFonts w:asciiTheme="minorHAnsi" w:hAnsiTheme="minorHAnsi"/>
        </w:rPr>
        <w:t>The Second Action Plan should prioritise work with children and young people to create, design and communicate information about domestic, family and sexual violence, their rights and how to access meaningful help. This should include more direct discussions with young people about what abuse is, what it can look like, how coercive control and technology-facilitated abuse operate, and where support can be found.</w:t>
      </w:r>
    </w:p>
    <w:p w14:paraId="489B32A5" w14:textId="77777777" w:rsidR="00466993" w:rsidRPr="00184DB6" w:rsidRDefault="00466993" w:rsidP="00466993">
      <w:pPr>
        <w:rPr>
          <w:rFonts w:asciiTheme="minorHAnsi" w:hAnsiTheme="minorHAnsi"/>
        </w:rPr>
      </w:pPr>
    </w:p>
    <w:p w14:paraId="16ED4B4B" w14:textId="77777777" w:rsidR="00466993" w:rsidRPr="00184DB6" w:rsidRDefault="00466993" w:rsidP="00466993">
      <w:pPr>
        <w:rPr>
          <w:rFonts w:asciiTheme="minorHAnsi" w:hAnsiTheme="minorHAnsi"/>
          <w:b/>
          <w:bCs/>
        </w:rPr>
      </w:pPr>
    </w:p>
    <w:p w14:paraId="66EAD041" w14:textId="77777777" w:rsidR="007B0C47" w:rsidRDefault="007B0C47">
      <w:pPr>
        <w:pStyle w:val="Heading2"/>
      </w:pPr>
      <w:r>
        <w:t>Summary of recommendations</w:t>
      </w:r>
    </w:p>
    <w:p w14:paraId="737AEF21" w14:textId="2083A7E3" w:rsidR="00466993" w:rsidRPr="00184DB6" w:rsidRDefault="00466993" w:rsidP="00466993">
      <w:pPr>
        <w:rPr>
          <w:rFonts w:asciiTheme="minorHAnsi" w:hAnsiTheme="minorHAnsi"/>
        </w:rPr>
      </w:pPr>
      <w:r w:rsidRPr="00184DB6">
        <w:rPr>
          <w:rFonts w:asciiTheme="minorHAnsi" w:hAnsiTheme="minorHAnsi"/>
        </w:rPr>
        <w:t>The Second Action Plan should place prevention at the centre of national action, while clearly distinguishing it from early intervention and response. Prevention must be long-term, adequately resourced and embedded across the places where people live, work, learn and connect. Early intervention should be strengthened as part of response pathways, with greater investment in accessible programs for people using violence, young people, fathers and families before harm escalates.</w:t>
      </w:r>
    </w:p>
    <w:p w14:paraId="7455FD96" w14:textId="77777777" w:rsidR="00466993" w:rsidRPr="00184DB6" w:rsidRDefault="00466993" w:rsidP="00466993">
      <w:pPr>
        <w:rPr>
          <w:rFonts w:asciiTheme="minorHAnsi" w:hAnsiTheme="minorHAnsi"/>
        </w:rPr>
      </w:pPr>
    </w:p>
    <w:p w14:paraId="4E34B707" w14:textId="77777777" w:rsidR="00466993" w:rsidRPr="00184DB6" w:rsidRDefault="00466993" w:rsidP="00466993">
      <w:pPr>
        <w:rPr>
          <w:rFonts w:asciiTheme="minorHAnsi" w:hAnsiTheme="minorHAnsi"/>
        </w:rPr>
      </w:pPr>
      <w:r w:rsidRPr="00184DB6">
        <w:rPr>
          <w:rFonts w:asciiTheme="minorHAnsi" w:hAnsiTheme="minorHAnsi"/>
        </w:rPr>
        <w:t>The plan should also strengthen whole-of-community capability. Respectful relationships education is important, but children and young people should not be expected to resolve adult-created problems alone. Parents, families, schools, workplaces, services and communities need practical tools, training and support to recognise violence, respond safely, model respectful relationships and create protective environments.</w:t>
      </w:r>
    </w:p>
    <w:p w14:paraId="27ADAC6C" w14:textId="77777777" w:rsidR="00466993" w:rsidRPr="00184DB6" w:rsidRDefault="00466993" w:rsidP="00466993">
      <w:pPr>
        <w:rPr>
          <w:rFonts w:asciiTheme="minorHAnsi" w:hAnsiTheme="minorHAnsi"/>
        </w:rPr>
      </w:pPr>
    </w:p>
    <w:p w14:paraId="575E7310" w14:textId="388E786A" w:rsidR="00466993" w:rsidRPr="00184DB6" w:rsidRDefault="00466993" w:rsidP="00466993">
      <w:pPr>
        <w:rPr>
          <w:rFonts w:asciiTheme="minorHAnsi" w:hAnsiTheme="minorHAnsi"/>
        </w:rPr>
      </w:pPr>
      <w:r w:rsidRPr="00184DB6">
        <w:rPr>
          <w:rFonts w:asciiTheme="minorHAnsi" w:hAnsiTheme="minorHAnsi"/>
        </w:rPr>
        <w:t xml:space="preserve">Greater focus is needed on positive, co-designed engagement with men and boys. This should include support for fathers </w:t>
      </w:r>
      <w:r w:rsidR="00FB56B1">
        <w:rPr>
          <w:rFonts w:asciiTheme="minorHAnsi" w:hAnsiTheme="minorHAnsi"/>
        </w:rPr>
        <w:t>throughout their parenting journey</w:t>
      </w:r>
      <w:r w:rsidRPr="00184DB6">
        <w:rPr>
          <w:rFonts w:asciiTheme="minorHAnsi" w:hAnsiTheme="minorHAnsi"/>
        </w:rPr>
        <w:t>, positive male role modelling, healthy online and offline spaces, and programs that build emotional literacy, respectful relationships and safe parenting. This work should be pursued as a proactive investment in wellbeing and safety, not only as a reaction to harmful online narratives.</w:t>
      </w:r>
      <w:r w:rsidR="00FB56B1">
        <w:rPr>
          <w:rFonts w:asciiTheme="minorHAnsi" w:hAnsiTheme="minorHAnsi"/>
        </w:rPr>
        <w:t xml:space="preserve"> This work requires a targeted </w:t>
      </w:r>
      <w:r w:rsidR="00323B5C">
        <w:rPr>
          <w:rFonts w:asciiTheme="minorHAnsi" w:hAnsiTheme="minorHAnsi"/>
        </w:rPr>
        <w:t xml:space="preserve">approach to increasing </w:t>
      </w:r>
      <w:r w:rsidR="00323B5C">
        <w:rPr>
          <w:rFonts w:asciiTheme="minorHAnsi" w:hAnsiTheme="minorHAnsi"/>
        </w:rPr>
        <w:lastRenderedPageBreak/>
        <w:t xml:space="preserve">male representation in all aspects of the family violence workforce. </w:t>
      </w:r>
      <w:r w:rsidR="004F766A">
        <w:rPr>
          <w:rFonts w:asciiTheme="minorHAnsi" w:hAnsiTheme="minorHAnsi"/>
        </w:rPr>
        <w:t>When</w:t>
      </w:r>
      <w:r w:rsidR="00323B5C">
        <w:rPr>
          <w:rFonts w:asciiTheme="minorHAnsi" w:hAnsiTheme="minorHAnsi"/>
        </w:rPr>
        <w:t xml:space="preserve"> men are </w:t>
      </w:r>
      <w:r w:rsidR="004F766A">
        <w:rPr>
          <w:rFonts w:asciiTheme="minorHAnsi" w:hAnsiTheme="minorHAnsi"/>
        </w:rPr>
        <w:t xml:space="preserve">better </w:t>
      </w:r>
      <w:r w:rsidR="00323B5C">
        <w:rPr>
          <w:rFonts w:asciiTheme="minorHAnsi" w:hAnsiTheme="minorHAnsi"/>
        </w:rPr>
        <w:t xml:space="preserve">represented in </w:t>
      </w:r>
      <w:r w:rsidR="004F766A">
        <w:rPr>
          <w:rFonts w:asciiTheme="minorHAnsi" w:hAnsiTheme="minorHAnsi"/>
        </w:rPr>
        <w:t>the prevention workforce,</w:t>
      </w:r>
      <w:r w:rsidR="00323B5C">
        <w:rPr>
          <w:rFonts w:asciiTheme="minorHAnsi" w:hAnsiTheme="minorHAnsi"/>
        </w:rPr>
        <w:t xml:space="preserve"> they are more likely to engage.</w:t>
      </w:r>
    </w:p>
    <w:p w14:paraId="4D1547CB" w14:textId="77777777" w:rsidR="00466993" w:rsidRPr="00184DB6" w:rsidRDefault="00466993" w:rsidP="00466993">
      <w:pPr>
        <w:rPr>
          <w:rFonts w:asciiTheme="minorHAnsi" w:hAnsiTheme="minorHAnsi"/>
        </w:rPr>
      </w:pPr>
    </w:p>
    <w:p w14:paraId="5D711FC0" w14:textId="3C0F982D" w:rsidR="00466993" w:rsidRPr="00184DB6" w:rsidRDefault="007B0C47" w:rsidP="00466993">
      <w:pPr>
        <w:rPr>
          <w:rFonts w:asciiTheme="minorHAnsi" w:hAnsiTheme="minorHAnsi"/>
        </w:rPr>
      </w:pPr>
      <w:r>
        <w:rPr>
          <w:rFonts w:asciiTheme="minorHAnsi" w:hAnsiTheme="minorHAnsi"/>
        </w:rPr>
        <w:t>Finally, c</w:t>
      </w:r>
      <w:r w:rsidR="00466993" w:rsidRPr="00184DB6">
        <w:rPr>
          <w:rFonts w:asciiTheme="minorHAnsi" w:hAnsiTheme="minorHAnsi"/>
        </w:rPr>
        <w:t xml:space="preserve">hildren and young people must be recognised and supported as </w:t>
      </w:r>
      <w:r w:rsidR="004F766A" w:rsidRPr="00184DB6">
        <w:rPr>
          <w:rFonts w:asciiTheme="minorHAnsi" w:hAnsiTheme="minorHAnsi"/>
        </w:rPr>
        <w:t>victim-survivors</w:t>
      </w:r>
      <w:r w:rsidR="00466993" w:rsidRPr="00184DB6">
        <w:rPr>
          <w:rFonts w:asciiTheme="minorHAnsi" w:hAnsiTheme="minorHAnsi"/>
        </w:rPr>
        <w:t>. They should be involved in designing information, services and responses that explain what violence is, what rights they have and how to access meaningful help. Responses should ensure children are believed, supported and protected, and that their needs are not overlooked within adult-focused systems.</w:t>
      </w:r>
    </w:p>
    <w:p w14:paraId="1B0532FC" w14:textId="77777777" w:rsidR="00466993" w:rsidRPr="00184DB6" w:rsidRDefault="00466993" w:rsidP="00466993">
      <w:pPr>
        <w:rPr>
          <w:rFonts w:asciiTheme="minorHAnsi" w:hAnsiTheme="minorHAnsi"/>
        </w:rPr>
      </w:pPr>
    </w:p>
    <w:p w14:paraId="0D35FEF2" w14:textId="77777777" w:rsidR="007B0C47" w:rsidRDefault="007B0C47">
      <w:pPr>
        <w:rPr>
          <w:kern w:val="2"/>
          <w14:ligatures w14:val="standardContextual"/>
        </w:rPr>
      </w:pPr>
    </w:p>
    <w:p w14:paraId="77284123" w14:textId="77777777" w:rsidR="007B0C47" w:rsidRDefault="007B0C47">
      <w:pPr>
        <w:pStyle w:val="Heading2"/>
        <w:rPr>
          <w:kern w:val="2"/>
          <w:szCs w:val="28"/>
          <w14:ligatures w14:val="standardContextual"/>
        </w:rPr>
      </w:pPr>
      <w:r>
        <w:t>Conclusion</w:t>
      </w:r>
    </w:p>
    <w:p w14:paraId="242CCF12" w14:textId="1BB56C67" w:rsidR="007B0C47" w:rsidRDefault="00E310C1">
      <w:r>
        <w:t>Cardinia Shire Council</w:t>
      </w:r>
      <w:r w:rsidR="007B0C47">
        <w:t xml:space="preserve"> welcomes the opportunity to contribute to the development of the Second Action Plan. The next phase of national action should support practical, sustained and locally adaptable implementation that enables communities, services and systems to work together to prevent violence before it occurs, intervene earlier where risk is emerging, and strengthen safety and wellbeing for women, children and communities.</w:t>
      </w:r>
    </w:p>
    <w:p w14:paraId="77D976AF" w14:textId="77777777" w:rsidR="004F766A" w:rsidRDefault="004F766A"/>
    <w:p w14:paraId="4D2E620C" w14:textId="77777777" w:rsidR="00B9071F" w:rsidRPr="00746F9C" w:rsidRDefault="00B9071F" w:rsidP="00746F9C">
      <w:r>
        <w:rPr>
          <w:noProof/>
        </w:rPr>
        <w:drawing>
          <wp:anchor distT="0" distB="0" distL="114300" distR="114300" simplePos="0" relativeHeight="251658240" behindDoc="1" locked="1" layoutInCell="1" allowOverlap="1" wp14:anchorId="07745362" wp14:editId="4683D41E">
            <wp:simplePos x="0" y="0"/>
            <wp:positionH relativeFrom="page">
              <wp:posOffset>8961755</wp:posOffset>
            </wp:positionH>
            <wp:positionV relativeFrom="topMargin">
              <wp:posOffset>360045</wp:posOffset>
            </wp:positionV>
            <wp:extent cx="1353600" cy="712800"/>
            <wp:effectExtent l="0" t="0" r="0" b="0"/>
            <wp:wrapNone/>
            <wp:docPr id="3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colour 123_294 coated.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353600" cy="712800"/>
                    </a:xfrm>
                    <a:prstGeom prst="rect">
                      <a:avLst/>
                    </a:prstGeom>
                  </pic:spPr>
                </pic:pic>
              </a:graphicData>
            </a:graphic>
            <wp14:sizeRelH relativeFrom="page">
              <wp14:pctWidth>0</wp14:pctWidth>
            </wp14:sizeRelH>
            <wp14:sizeRelV relativeFrom="page">
              <wp14:pctHeight>0</wp14:pctHeight>
            </wp14:sizeRelV>
          </wp:anchor>
        </w:drawing>
      </w:r>
    </w:p>
    <w:p w14:paraId="27A712CF" w14:textId="77777777" w:rsidR="004F766A" w:rsidRDefault="004F766A">
      <w:pPr>
        <w:rPr>
          <w:kern w:val="2"/>
          <w14:ligatures w14:val="standardContextual"/>
        </w:rPr>
      </w:pPr>
    </w:p>
    <w:p w14:paraId="2D0FE0DF" w14:textId="77777777" w:rsidR="00ED787B" w:rsidRPr="00ED787B" w:rsidRDefault="00ED787B" w:rsidP="00ED787B"/>
    <w:p w14:paraId="10C60992" w14:textId="77777777" w:rsidR="00ED787B" w:rsidRPr="00ED787B" w:rsidRDefault="00ED787B" w:rsidP="00ED787B"/>
    <w:p w14:paraId="32B2ED21" w14:textId="77777777" w:rsidR="00ED787B" w:rsidRPr="00ED787B" w:rsidRDefault="00ED787B" w:rsidP="00ED787B"/>
    <w:p w14:paraId="502EBFB2" w14:textId="77777777" w:rsidR="00ED787B" w:rsidRPr="00ED787B" w:rsidRDefault="00ED787B" w:rsidP="00ED787B"/>
    <w:p w14:paraId="4E44F4FA" w14:textId="77777777" w:rsidR="00ED787B" w:rsidRPr="00ED787B" w:rsidRDefault="00ED787B" w:rsidP="00ED787B"/>
    <w:p w14:paraId="5B9AB451" w14:textId="77777777" w:rsidR="00ED787B" w:rsidRPr="00ED787B" w:rsidRDefault="00ED787B" w:rsidP="00ED787B"/>
    <w:p w14:paraId="19FFC943" w14:textId="77777777" w:rsidR="00ED787B" w:rsidRPr="00ED787B" w:rsidRDefault="00ED787B" w:rsidP="00ED787B"/>
    <w:p w14:paraId="0E45D49B" w14:textId="77777777" w:rsidR="00ED787B" w:rsidRDefault="00ED787B" w:rsidP="00ED787B"/>
    <w:p w14:paraId="49D0B3A8" w14:textId="77777777" w:rsidR="00FC186D" w:rsidRDefault="00FC186D" w:rsidP="00ED787B"/>
    <w:p w14:paraId="3483E310" w14:textId="77777777" w:rsidR="00FC186D" w:rsidRDefault="00FC186D" w:rsidP="00ED787B"/>
    <w:p w14:paraId="276AD628" w14:textId="77777777" w:rsidR="00FC186D" w:rsidRPr="00ED787B" w:rsidRDefault="00FC186D" w:rsidP="00ED787B"/>
    <w:p w14:paraId="083E3E98" w14:textId="77777777" w:rsidR="00ED787B" w:rsidRPr="00ED787B" w:rsidRDefault="00ED787B" w:rsidP="00ED787B"/>
    <w:p w14:paraId="6ACE32B2" w14:textId="77777777" w:rsidR="00ED787B" w:rsidRDefault="00ED787B" w:rsidP="00ED787B">
      <w:pPr>
        <w:rPr>
          <w:kern w:val="2"/>
          <w14:ligatures w14:val="standardContextual"/>
        </w:rPr>
      </w:pPr>
    </w:p>
    <w:p w14:paraId="127BC580" w14:textId="77777777" w:rsidR="00ED787B" w:rsidRDefault="00ED787B" w:rsidP="00BB5D33">
      <w:r>
        <w:t>Prepared by:</w:t>
      </w:r>
    </w:p>
    <w:p w14:paraId="31546B2F" w14:textId="77777777" w:rsidR="00ED787B" w:rsidRDefault="00ED787B" w:rsidP="00BB5D33"/>
    <w:p w14:paraId="0EA0BFF2" w14:textId="77777777" w:rsidR="00ED787B" w:rsidRPr="00BB5D33" w:rsidRDefault="00ED787B" w:rsidP="00BB5D33">
      <w:pPr>
        <w:rPr>
          <w:rStyle w:val="Strong"/>
        </w:rPr>
      </w:pPr>
      <w:r w:rsidRPr="00BB5D33">
        <w:rPr>
          <w:rStyle w:val="Strong"/>
        </w:rPr>
        <w:t>Cardinia Shire Council</w:t>
      </w:r>
    </w:p>
    <w:p w14:paraId="47F06089" w14:textId="6FE3325C" w:rsidR="00ED787B" w:rsidRDefault="00FC186D" w:rsidP="00BB5D33">
      <w:r>
        <w:t>Community and Family Services</w:t>
      </w:r>
      <w:r w:rsidR="00ED787B">
        <w:t xml:space="preserve"> Unit</w:t>
      </w:r>
    </w:p>
    <w:p w14:paraId="60117E6C" w14:textId="77777777" w:rsidR="00FC186D" w:rsidRDefault="00ED787B" w:rsidP="00FC186D">
      <w:r>
        <w:t xml:space="preserve">in association with </w:t>
      </w:r>
      <w:r w:rsidR="00FC186D">
        <w:t>Together We Can.</w:t>
      </w:r>
    </w:p>
    <w:p w14:paraId="218DD138" w14:textId="77777777" w:rsidR="00FC186D" w:rsidRDefault="00FC186D" w:rsidP="00FC186D"/>
    <w:p w14:paraId="7B71446C" w14:textId="1A2BE8C7" w:rsidR="00ED787B" w:rsidRDefault="00ED787B" w:rsidP="00FC186D">
      <w:r>
        <w:t xml:space="preserve">Published </w:t>
      </w:r>
      <w:sdt>
        <w:sdtPr>
          <w:alias w:val="Date"/>
          <w:tag w:val="Date"/>
          <w:id w:val="1074392414"/>
          <w:placeholder>
            <w:docPart w:val="9F6F9A29B8A147E39E4919328CB0F6A1"/>
          </w:placeholder>
          <w:date w:fullDate="2026-07-17T00:00:00Z">
            <w:dateFormat w:val="MMMM yyyy"/>
            <w:lid w:val="en-AU"/>
            <w:storeMappedDataAs w:val="dateTime"/>
            <w:calendar w:val="gregorian"/>
          </w:date>
        </w:sdtPr>
        <w:sdtEndPr/>
        <w:sdtContent>
          <w:r w:rsidR="00FC186D">
            <w:t>July 2026</w:t>
          </w:r>
        </w:sdtContent>
      </w:sdt>
    </w:p>
    <w:p w14:paraId="435AD041" w14:textId="77777777" w:rsidR="00ED787B" w:rsidRDefault="00ED787B" w:rsidP="00BB5D33"/>
    <w:p w14:paraId="0DF4328C" w14:textId="03C99D9C" w:rsidR="00ED787B" w:rsidRDefault="00ED787B" w:rsidP="00BB5D33">
      <w:r>
        <w:t xml:space="preserve">© Cardinia Shire Council </w:t>
      </w:r>
      <w:sdt>
        <w:sdtPr>
          <w:alias w:val="Year"/>
          <w:tag w:val="Year"/>
          <w:id w:val="-1991007672"/>
          <w:placeholder>
            <w:docPart w:val="65D15230AF214054A8FE10B05AA7373D"/>
          </w:placeholder>
          <w:date w:fullDate="2026-07-17T00:00:00Z">
            <w:dateFormat w:val="yyyy"/>
            <w:lid w:val="en-AU"/>
            <w:storeMappedDataAs w:val="dateTime"/>
            <w:calendar w:val="gregorian"/>
          </w:date>
        </w:sdtPr>
        <w:sdtEndPr/>
        <w:sdtContent>
          <w:r w:rsidR="00FC186D">
            <w:t>2026</w:t>
          </w:r>
        </w:sdtContent>
      </w:sdt>
    </w:p>
    <w:p w14:paraId="6C43CBAB" w14:textId="77777777" w:rsidR="00ED787B" w:rsidRDefault="00ED787B" w:rsidP="00BB5D33">
      <w:r>
        <w:t>ABN: 32 210 906 807</w:t>
      </w:r>
    </w:p>
    <w:p w14:paraId="7FE962C4" w14:textId="77777777" w:rsidR="00ED787B" w:rsidRDefault="00ED787B" w:rsidP="00BB5D33">
      <w:r>
        <w:t>20 Siding Avenue, Officer</w:t>
      </w:r>
    </w:p>
    <w:p w14:paraId="377EFEF3" w14:textId="77777777" w:rsidR="00ED787B" w:rsidRDefault="00ED787B" w:rsidP="00BB5D33"/>
    <w:p w14:paraId="1E0792F6" w14:textId="77777777" w:rsidR="00ED787B" w:rsidRDefault="00ED787B" w:rsidP="00BB5D33">
      <w:r>
        <w:t>PO Box 7, Pakenham Vic 3810</w:t>
      </w:r>
    </w:p>
    <w:p w14:paraId="239DA350" w14:textId="77777777" w:rsidR="00ED787B" w:rsidRDefault="00ED787B" w:rsidP="00BB5D33">
      <w:r>
        <w:t>(DX 81006)</w:t>
      </w:r>
    </w:p>
    <w:p w14:paraId="718EF386" w14:textId="77777777" w:rsidR="00ED787B" w:rsidRDefault="00ED787B" w:rsidP="00BB5D33"/>
    <w:p w14:paraId="1421561E" w14:textId="77777777" w:rsidR="00ED787B" w:rsidRDefault="00ED787B" w:rsidP="00BB5D33">
      <w:r>
        <w:t>Phone:</w:t>
      </w:r>
      <w:r>
        <w:tab/>
        <w:t>1300 787 624</w:t>
      </w:r>
    </w:p>
    <w:p w14:paraId="5DF168E1" w14:textId="77777777" w:rsidR="00ED787B" w:rsidRDefault="00ED787B" w:rsidP="00BB5D33">
      <w:r>
        <w:t>Email:</w:t>
      </w:r>
      <w:r>
        <w:tab/>
        <w:t>mail@cardinia.vic.gov.au</w:t>
      </w:r>
    </w:p>
    <w:p w14:paraId="1151717C" w14:textId="1167D214" w:rsidR="00ED787B" w:rsidRDefault="00ED787B" w:rsidP="00BB5D33">
      <w:r>
        <w:t>Web:</w:t>
      </w:r>
      <w:r>
        <w:tab/>
      </w:r>
      <w:hyperlink r:id="rId15" w:history="1">
        <w:r w:rsidRPr="005915DD">
          <w:rPr>
            <w:rStyle w:val="Hyperlink"/>
          </w:rPr>
          <w:t>cardinia.vic.gov.au</w:t>
        </w:r>
      </w:hyperlink>
    </w:p>
    <w:p w14:paraId="3D068167" w14:textId="7C7B4B2E" w:rsidR="00ED787B" w:rsidRPr="00ED787B" w:rsidRDefault="00ED787B" w:rsidP="00ED787B">
      <w:r>
        <w:br w:type="page"/>
      </w:r>
    </w:p>
    <w:sectPr w:rsidR="00ED787B" w:rsidRPr="00ED787B" w:rsidSect="00FC186D">
      <w:headerReference w:type="even" r:id="rId16"/>
      <w:headerReference w:type="default" r:id="rId17"/>
      <w:footerReference w:type="even" r:id="rId18"/>
      <w:footerReference w:type="default" r:id="rId19"/>
      <w:headerReference w:type="first" r:id="rId20"/>
      <w:footerReference w:type="first" r:id="rId21"/>
      <w:pgSz w:w="11906" w:h="16838" w:code="9"/>
      <w:pgMar w:top="2127" w:right="991" w:bottom="1440" w:left="1560" w:header="709" w:footer="782"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4D67FD" w14:textId="77777777" w:rsidR="00D3463A" w:rsidRDefault="00D3463A" w:rsidP="00756052">
      <w:r>
        <w:separator/>
      </w:r>
    </w:p>
    <w:p w14:paraId="499B0DA1" w14:textId="77777777" w:rsidR="00D3463A" w:rsidRDefault="00D3463A"/>
  </w:endnote>
  <w:endnote w:type="continuationSeparator" w:id="0">
    <w:p w14:paraId="6DDD2DF3" w14:textId="77777777" w:rsidR="00D3463A" w:rsidRDefault="00D3463A" w:rsidP="00756052">
      <w:r>
        <w:continuationSeparator/>
      </w:r>
    </w:p>
    <w:p w14:paraId="5938ABBA" w14:textId="77777777" w:rsidR="00D3463A" w:rsidRDefault="00D3463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Franklin Gothic Book">
    <w:charset w:val="00"/>
    <w:family w:val="swiss"/>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Demi">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Franklin Gothic Medium">
    <w:panose1 w:val="020B06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28483" w14:textId="13BAC04D" w:rsidR="00690649" w:rsidRDefault="007B0C47" w:rsidP="00756052">
    <w:r>
      <w:rPr>
        <w:noProof/>
      </w:rPr>
      <mc:AlternateContent>
        <mc:Choice Requires="wps">
          <w:drawing>
            <wp:anchor distT="0" distB="0" distL="0" distR="0" simplePos="0" relativeHeight="251658244" behindDoc="0" locked="0" layoutInCell="1" allowOverlap="1" wp14:anchorId="7E6FF80D" wp14:editId="61B72B28">
              <wp:simplePos x="635" y="635"/>
              <wp:positionH relativeFrom="page">
                <wp:align>center</wp:align>
              </wp:positionH>
              <wp:positionV relativeFrom="page">
                <wp:align>bottom</wp:align>
              </wp:positionV>
              <wp:extent cx="3724275" cy="345440"/>
              <wp:effectExtent l="0" t="0" r="9525" b="0"/>
              <wp:wrapNone/>
              <wp:docPr id="662278243" name="Text Box 5" descr="OFFICIAL – This document is a record of a Council action or decis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724275" cy="345440"/>
                      </a:xfrm>
                      <a:prstGeom prst="rect">
                        <a:avLst/>
                      </a:prstGeom>
                      <a:noFill/>
                      <a:ln>
                        <a:noFill/>
                      </a:ln>
                    </wps:spPr>
                    <wps:txbx>
                      <w:txbxContent>
                        <w:p w14:paraId="28B737FD" w14:textId="17EBBFCD" w:rsidR="007B0C47" w:rsidRPr="007B0C47" w:rsidRDefault="007B0C47" w:rsidP="007B0C47">
                          <w:pPr>
                            <w:rPr>
                              <w:rFonts w:ascii="Aptos" w:eastAsia="Aptos" w:hAnsi="Aptos" w:cs="Aptos"/>
                              <w:noProof/>
                              <w:color w:val="000000"/>
                              <w:sz w:val="20"/>
                              <w:szCs w:val="20"/>
                            </w:rPr>
                          </w:pPr>
                          <w:r w:rsidRPr="007B0C47">
                            <w:rPr>
                              <w:rFonts w:ascii="Aptos" w:eastAsia="Aptos" w:hAnsi="Aptos" w:cs="Aptos"/>
                              <w:noProof/>
                              <w:color w:val="000000"/>
                              <w:sz w:val="20"/>
                              <w:szCs w:val="20"/>
                            </w:rPr>
                            <w:t>OFFICIAL – This document is a record of a Council action or decision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E6FF80D" id="_x0000_t202" coordsize="21600,21600" o:spt="202" path="m,l,21600r21600,l21600,xe">
              <v:stroke joinstyle="miter"/>
              <v:path gradientshapeok="t" o:connecttype="rect"/>
            </v:shapetype>
            <v:shape id="Text Box 5" o:spid="_x0000_s1028" type="#_x0000_t202" alt="OFFICIAL – This document is a record of a Council action or decision" style="position:absolute;margin-left:0;margin-top:0;width:293.25pt;height:27.2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" filled="f" stroked="f">
              <v:textbox style="mso-fit-shape-to-text:t" inset="0,0,0,15pt">
                <w:txbxContent>
                  <w:p w14:paraId="28B737FD" w14:textId="17EBBFCD" w:rsidR="007B0C47" w:rsidRPr="007B0C47" w:rsidRDefault="007B0C47" w:rsidP="007B0C47">
                    <w:pPr>
                      <w:rPr>
                        <w:rFonts w:ascii="Aptos" w:eastAsia="Aptos" w:hAnsi="Aptos" w:cs="Aptos"/>
                        <w:noProof/>
                        <w:color w:val="000000"/>
                        <w:sz w:val="20"/>
                        <w:szCs w:val="20"/>
                      </w:rPr>
                    </w:pPr>
                    <w:r w:rsidRPr="007B0C47">
                      <w:rPr>
                        <w:rFonts w:ascii="Aptos" w:eastAsia="Aptos" w:hAnsi="Aptos" w:cs="Aptos"/>
                        <w:noProof/>
                        <w:color w:val="000000"/>
                        <w:sz w:val="20"/>
                        <w:szCs w:val="20"/>
                      </w:rPr>
                      <w:t>OFFICIAL – This document is a record of a Council action or decision</w:t>
                    </w:r>
                  </w:p>
                </w:txbxContent>
              </v:textbox>
              <w10:wrap anchorx="page" anchory="page"/>
            </v:shape>
          </w:pict>
        </mc:Fallback>
      </mc:AlternateContent>
    </w:r>
    <w:r w:rsidR="00690649" w:rsidRPr="00277B0C">
      <w:t>Cardinia Shire Council</w:t>
    </w:r>
    <w:r w:rsidR="00690649" w:rsidRPr="00277B0C">
      <w:tab/>
      <w:t>[document title field]</w:t>
    </w:r>
    <w:r w:rsidR="00690649" w:rsidRPr="00277B0C">
      <w:tab/>
    </w:r>
    <w:r w:rsidR="00690649">
      <w:tab/>
    </w:r>
    <w:r w:rsidR="00690649" w:rsidRPr="00277B0C">
      <w:fldChar w:fldCharType="begin"/>
    </w:r>
    <w:r w:rsidR="00690649" w:rsidRPr="00277B0C">
      <w:instrText xml:space="preserve"> PAGE   \* MERGEFORMAT </w:instrText>
    </w:r>
    <w:r w:rsidR="00690649" w:rsidRPr="00277B0C">
      <w:fldChar w:fldCharType="separate"/>
    </w:r>
    <w:r w:rsidR="00690649">
      <w:rPr>
        <w:noProof/>
      </w:rPr>
      <w:t>2</w:t>
    </w:r>
    <w:r w:rsidR="00690649" w:rsidRPr="00277B0C">
      <w:fldChar w:fldCharType="end"/>
    </w:r>
  </w:p>
  <w:p w14:paraId="60D25E6B" w14:textId="77777777" w:rsidR="0023345A" w:rsidRDefault="0023345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45B10" w14:textId="48172C37" w:rsidR="00E420C1" w:rsidRDefault="007B0C47" w:rsidP="00E420C1">
    <w:pPr>
      <w:pStyle w:val="Footer"/>
      <w:tabs>
        <w:tab w:val="clear" w:pos="4320"/>
        <w:tab w:val="clear" w:pos="8820"/>
      </w:tabs>
    </w:pPr>
    <w:r>
      <w:rPr>
        <w:noProof/>
      </w:rPr>
      <mc:AlternateContent>
        <mc:Choice Requires="wps">
          <w:drawing>
            <wp:anchor distT="0" distB="0" distL="0" distR="0" simplePos="0" relativeHeight="251658245" behindDoc="0" locked="0" layoutInCell="1" allowOverlap="1" wp14:anchorId="3C0810F9" wp14:editId="2ACD79FA">
              <wp:simplePos x="990600" y="10067925"/>
              <wp:positionH relativeFrom="page">
                <wp:align>center</wp:align>
              </wp:positionH>
              <wp:positionV relativeFrom="page">
                <wp:align>bottom</wp:align>
              </wp:positionV>
              <wp:extent cx="3724275" cy="345440"/>
              <wp:effectExtent l="0" t="0" r="9525" b="0"/>
              <wp:wrapNone/>
              <wp:docPr id="259102803" name="Text Box 6" descr="OFFICIAL – This document is a record of a Council action or decis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724275" cy="345440"/>
                      </a:xfrm>
                      <a:prstGeom prst="rect">
                        <a:avLst/>
                      </a:prstGeom>
                      <a:noFill/>
                      <a:ln>
                        <a:noFill/>
                      </a:ln>
                    </wps:spPr>
                    <wps:txbx>
                      <w:txbxContent>
                        <w:p w14:paraId="0293C700" w14:textId="7A460345" w:rsidR="007B0C47" w:rsidRPr="007B0C47" w:rsidRDefault="007B0C47" w:rsidP="007B0C47">
                          <w:pPr>
                            <w:rPr>
                              <w:rFonts w:ascii="Aptos" w:eastAsia="Aptos" w:hAnsi="Aptos" w:cs="Aptos"/>
                              <w:noProof/>
                              <w:color w:val="000000"/>
                              <w:sz w:val="20"/>
                              <w:szCs w:val="20"/>
                            </w:rPr>
                          </w:pPr>
                          <w:r w:rsidRPr="007B0C47">
                            <w:rPr>
                              <w:rFonts w:ascii="Aptos" w:eastAsia="Aptos" w:hAnsi="Aptos" w:cs="Aptos"/>
                              <w:noProof/>
                              <w:color w:val="000000"/>
                              <w:sz w:val="20"/>
                              <w:szCs w:val="20"/>
                            </w:rPr>
                            <w:t>OFFICIAL – This document is a record of a Council action or decision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C0810F9" id="_x0000_t202" coordsize="21600,21600" o:spt="202" path="m,l,21600r21600,l21600,xe">
              <v:stroke joinstyle="miter"/>
              <v:path gradientshapeok="t" o:connecttype="rect"/>
            </v:shapetype>
            <v:shape id="Text Box 6" o:spid="_x0000_s1029" type="#_x0000_t202" alt="OFFICIAL – This document is a record of a Council action or decision" style="position:absolute;margin-left:0;margin-top:0;width:293.25pt;height:27.2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" filled="f" stroked="f">
              <v:textbox style="mso-fit-shape-to-text:t" inset="0,0,0,15pt">
                <w:txbxContent>
                  <w:p w14:paraId="0293C700" w14:textId="7A460345" w:rsidR="007B0C47" w:rsidRPr="007B0C47" w:rsidRDefault="007B0C47" w:rsidP="007B0C47">
                    <w:pPr>
                      <w:rPr>
                        <w:rFonts w:ascii="Aptos" w:eastAsia="Aptos" w:hAnsi="Aptos" w:cs="Aptos"/>
                        <w:noProof/>
                        <w:color w:val="000000"/>
                        <w:sz w:val="20"/>
                        <w:szCs w:val="20"/>
                      </w:rPr>
                    </w:pPr>
                    <w:r w:rsidRPr="007B0C47">
                      <w:rPr>
                        <w:rFonts w:ascii="Aptos" w:eastAsia="Aptos" w:hAnsi="Aptos" w:cs="Aptos"/>
                        <w:noProof/>
                        <w:color w:val="000000"/>
                        <w:sz w:val="20"/>
                        <w:szCs w:val="20"/>
                      </w:rPr>
                      <w:t>OFFICIAL – This document is a record of a Council action or decision</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E3032" w14:textId="30A342C2" w:rsidR="00E420C1" w:rsidRDefault="007B0C47">
    <w:pPr>
      <w:pStyle w:val="Footer"/>
    </w:pPr>
    <w:r>
      <w:rPr>
        <w:noProof/>
      </w:rPr>
      <mc:AlternateContent>
        <mc:Choice Requires="wps">
          <w:drawing>
            <wp:anchor distT="0" distB="0" distL="0" distR="0" simplePos="0" relativeHeight="251658243" behindDoc="0" locked="0" layoutInCell="1" allowOverlap="1" wp14:anchorId="0244DDA1" wp14:editId="14396FE6">
              <wp:simplePos x="635" y="635"/>
              <wp:positionH relativeFrom="page">
                <wp:align>center</wp:align>
              </wp:positionH>
              <wp:positionV relativeFrom="page">
                <wp:align>bottom</wp:align>
              </wp:positionV>
              <wp:extent cx="3724275" cy="345440"/>
              <wp:effectExtent l="0" t="0" r="9525" b="0"/>
              <wp:wrapNone/>
              <wp:docPr id="1492013013" name="Text Box 4" descr="OFFICIAL – This document is a record of a Council action or decis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724275" cy="345440"/>
                      </a:xfrm>
                      <a:prstGeom prst="rect">
                        <a:avLst/>
                      </a:prstGeom>
                      <a:noFill/>
                      <a:ln>
                        <a:noFill/>
                      </a:ln>
                    </wps:spPr>
                    <wps:txbx>
                      <w:txbxContent>
                        <w:p w14:paraId="57A3C2AA" w14:textId="406FCF65" w:rsidR="007B0C47" w:rsidRPr="007B0C47" w:rsidRDefault="007B0C47" w:rsidP="007B0C47">
                          <w:pPr>
                            <w:rPr>
                              <w:rFonts w:ascii="Aptos" w:eastAsia="Aptos" w:hAnsi="Aptos" w:cs="Aptos"/>
                              <w:noProof/>
                              <w:color w:val="000000"/>
                              <w:sz w:val="20"/>
                              <w:szCs w:val="20"/>
                            </w:rPr>
                          </w:pPr>
                          <w:r w:rsidRPr="007B0C47">
                            <w:rPr>
                              <w:rFonts w:ascii="Aptos" w:eastAsia="Aptos" w:hAnsi="Aptos" w:cs="Aptos"/>
                              <w:noProof/>
                              <w:color w:val="000000"/>
                              <w:sz w:val="20"/>
                              <w:szCs w:val="20"/>
                            </w:rPr>
                            <w:t>OFFICIAL – This document is a record of a Council action or decision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244DDA1" id="_x0000_t202" coordsize="21600,21600" o:spt="202" path="m,l,21600r21600,l21600,xe">
              <v:stroke joinstyle="miter"/>
              <v:path gradientshapeok="t" o:connecttype="rect"/>
            </v:shapetype>
            <v:shape id="Text Box 4" o:spid="_x0000_s1031" type="#_x0000_t202" alt="OFFICIAL – This document is a record of a Council action or decision" style="position:absolute;margin-left:0;margin-top:0;width:293.25pt;height:27.2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" filled="f" stroked="f">
              <v:textbox style="mso-fit-shape-to-text:t" inset="0,0,0,15pt">
                <w:txbxContent>
                  <w:p w14:paraId="57A3C2AA" w14:textId="406FCF65" w:rsidR="007B0C47" w:rsidRPr="007B0C47" w:rsidRDefault="007B0C47" w:rsidP="007B0C47">
                    <w:pPr>
                      <w:rPr>
                        <w:rFonts w:ascii="Aptos" w:eastAsia="Aptos" w:hAnsi="Aptos" w:cs="Aptos"/>
                        <w:noProof/>
                        <w:color w:val="000000"/>
                        <w:sz w:val="20"/>
                        <w:szCs w:val="20"/>
                      </w:rPr>
                    </w:pPr>
                    <w:r w:rsidRPr="007B0C47">
                      <w:rPr>
                        <w:rFonts w:ascii="Aptos" w:eastAsia="Aptos" w:hAnsi="Aptos" w:cs="Aptos"/>
                        <w:noProof/>
                        <w:color w:val="000000"/>
                        <w:sz w:val="20"/>
                        <w:szCs w:val="20"/>
                      </w:rPr>
                      <w:t>OFFICIAL – This document is a record of a Council action or decision</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CDE1DE" w14:textId="77777777" w:rsidR="00D3463A" w:rsidRDefault="00D3463A" w:rsidP="00756052">
      <w:r>
        <w:separator/>
      </w:r>
    </w:p>
    <w:p w14:paraId="1B5EDE7D" w14:textId="77777777" w:rsidR="00D3463A" w:rsidRDefault="00D3463A"/>
  </w:footnote>
  <w:footnote w:type="continuationSeparator" w:id="0">
    <w:p w14:paraId="499DB6A5" w14:textId="77777777" w:rsidR="00D3463A" w:rsidRDefault="00D3463A" w:rsidP="00756052">
      <w:r>
        <w:continuationSeparator/>
      </w:r>
    </w:p>
    <w:p w14:paraId="4274B527" w14:textId="77777777" w:rsidR="00D3463A" w:rsidRDefault="00D3463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BBB645" w14:textId="2DF5B3F5" w:rsidR="00E420C1" w:rsidRDefault="007B0C47">
    <w:pPr>
      <w:pStyle w:val="Header"/>
    </w:pPr>
    <w:r>
      <w:rPr>
        <w:noProof/>
      </w:rPr>
      <mc:AlternateContent>
        <mc:Choice Requires="wps">
          <w:drawing>
            <wp:anchor distT="0" distB="0" distL="0" distR="0" simplePos="0" relativeHeight="251658241" behindDoc="0" locked="0" layoutInCell="1" allowOverlap="1" wp14:anchorId="46057B85" wp14:editId="5AEB30C1">
              <wp:simplePos x="635" y="635"/>
              <wp:positionH relativeFrom="page">
                <wp:align>center</wp:align>
              </wp:positionH>
              <wp:positionV relativeFrom="page">
                <wp:align>top</wp:align>
              </wp:positionV>
              <wp:extent cx="726440" cy="407670"/>
              <wp:effectExtent l="0" t="0" r="16510" b="11430"/>
              <wp:wrapNone/>
              <wp:docPr id="1654444700"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26440" cy="407670"/>
                      </a:xfrm>
                      <a:prstGeom prst="rect">
                        <a:avLst/>
                      </a:prstGeom>
                      <a:noFill/>
                      <a:ln>
                        <a:noFill/>
                      </a:ln>
                    </wps:spPr>
                    <wps:txbx>
                      <w:txbxContent>
                        <w:p w14:paraId="7B43862B" w14:textId="687F2C8F" w:rsidR="007B0C47" w:rsidRPr="007B0C47" w:rsidRDefault="007B0C47" w:rsidP="007B0C47">
                          <w:pPr>
                            <w:rPr>
                              <w:rFonts w:ascii="Aptos" w:eastAsia="Aptos" w:hAnsi="Aptos" w:cs="Aptos"/>
                              <w:noProof/>
                              <w:color w:val="FF0000"/>
                              <w:sz w:val="28"/>
                              <w:szCs w:val="28"/>
                            </w:rPr>
                          </w:pPr>
                          <w:r w:rsidRPr="007B0C47">
                            <w:rPr>
                              <w:rFonts w:ascii="Aptos" w:eastAsia="Aptos" w:hAnsi="Aptos" w:cs="Aptos"/>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6057B85" id="_x0000_t202" coordsize="21600,21600" o:spt="202" path="m,l,21600r21600,l21600,xe">
              <v:stroke joinstyle="miter"/>
              <v:path gradientshapeok="t" o:connecttype="rect"/>
            </v:shapetype>
            <v:shape id="Text Box 2" o:spid="_x0000_s1026" type="#_x0000_t202" alt="OFFICIAL" style="position:absolute;margin-left:0;margin-top:0;width:57.2pt;height:32.1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" filled="f" stroked="f">
              <v:textbox style="mso-fit-shape-to-text:t" inset="0,15pt,0,0">
                <w:txbxContent>
                  <w:p w14:paraId="7B43862B" w14:textId="687F2C8F" w:rsidR="007B0C47" w:rsidRPr="007B0C47" w:rsidRDefault="007B0C47" w:rsidP="007B0C47">
                    <w:pPr>
                      <w:rPr>
                        <w:rFonts w:ascii="Aptos" w:eastAsia="Aptos" w:hAnsi="Aptos" w:cs="Aptos"/>
                        <w:noProof/>
                        <w:color w:val="FF0000"/>
                        <w:sz w:val="28"/>
                        <w:szCs w:val="28"/>
                      </w:rPr>
                    </w:pPr>
                    <w:r w:rsidRPr="007B0C47">
                      <w:rPr>
                        <w:rFonts w:ascii="Aptos" w:eastAsia="Aptos" w:hAnsi="Aptos" w:cs="Aptos"/>
                        <w:noProof/>
                        <w:color w:val="FF0000"/>
                        <w:sz w:val="28"/>
                        <w:szCs w:val="28"/>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5AB88" w14:textId="209FE9F5" w:rsidR="00B9071F" w:rsidRPr="00746F9C" w:rsidRDefault="00FC186D" w:rsidP="00746F9C">
    <w:r>
      <w:rPr>
        <w:noProof/>
      </w:rPr>
      <w:drawing>
        <wp:anchor distT="0" distB="0" distL="114300" distR="114300" simplePos="0" relativeHeight="251658247" behindDoc="1" locked="1" layoutInCell="1" allowOverlap="1" wp14:anchorId="31DF1A45" wp14:editId="56FFA0BB">
          <wp:simplePos x="0" y="0"/>
          <wp:positionH relativeFrom="column">
            <wp:posOffset>4495165</wp:posOffset>
          </wp:positionH>
          <wp:positionV relativeFrom="page">
            <wp:posOffset>447675</wp:posOffset>
          </wp:positionV>
          <wp:extent cx="1351915" cy="712470"/>
          <wp:effectExtent l="0" t="0" r="635" b="0"/>
          <wp:wrapNone/>
          <wp:docPr id="32146856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colour 123_294 coated.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51915" cy="712470"/>
                  </a:xfrm>
                  <a:prstGeom prst="rect">
                    <a:avLst/>
                  </a:prstGeom>
                </pic:spPr>
              </pic:pic>
            </a:graphicData>
          </a:graphic>
          <wp14:sizeRelH relativeFrom="page">
            <wp14:pctWidth>0</wp14:pctWidth>
          </wp14:sizeRelH>
          <wp14:sizeRelV relativeFrom="page">
            <wp14:pctHeight>0</wp14:pctHeight>
          </wp14:sizeRelV>
        </wp:anchor>
      </w:drawing>
    </w:r>
    <w:r w:rsidR="00B9071F">
      <w:rPr>
        <w:noProof/>
      </w:rPr>
      <w:drawing>
        <wp:anchor distT="0" distB="0" distL="114300" distR="114300" simplePos="0" relativeHeight="251658246" behindDoc="1" locked="1" layoutInCell="1" allowOverlap="1" wp14:anchorId="73023FCB" wp14:editId="38564236">
          <wp:simplePos x="0" y="0"/>
          <wp:positionH relativeFrom="page">
            <wp:posOffset>8961755</wp:posOffset>
          </wp:positionH>
          <wp:positionV relativeFrom="topMargin">
            <wp:posOffset>360045</wp:posOffset>
          </wp:positionV>
          <wp:extent cx="1353600" cy="712800"/>
          <wp:effectExtent l="0" t="0" r="0" b="0"/>
          <wp:wrapNone/>
          <wp:docPr id="135991805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colour 123_294 coated.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53600" cy="712800"/>
                  </a:xfrm>
                  <a:prstGeom prst="rect">
                    <a:avLst/>
                  </a:prstGeom>
                </pic:spPr>
              </pic:pic>
            </a:graphicData>
          </a:graphic>
          <wp14:sizeRelH relativeFrom="page">
            <wp14:pctWidth>0</wp14:pctWidth>
          </wp14:sizeRelH>
          <wp14:sizeRelV relativeFrom="page">
            <wp14:pctHeight>0</wp14:pctHeight>
          </wp14:sizeRelV>
        </wp:anchor>
      </w:drawing>
    </w:r>
  </w:p>
  <w:p w14:paraId="73D895DA" w14:textId="058BB716" w:rsidR="00E420C1" w:rsidRDefault="007B0C47">
    <w:pPr>
      <w:pStyle w:val="Header"/>
    </w:pPr>
    <w:r>
      <w:rPr>
        <w:noProof/>
      </w:rPr>
      <mc:AlternateContent>
        <mc:Choice Requires="wps">
          <w:drawing>
            <wp:anchor distT="0" distB="0" distL="0" distR="0" simplePos="0" relativeHeight="251658242" behindDoc="0" locked="0" layoutInCell="1" allowOverlap="1" wp14:anchorId="5BFB840F" wp14:editId="597EDCD5">
              <wp:simplePos x="990600" y="447675"/>
              <wp:positionH relativeFrom="page">
                <wp:align>center</wp:align>
              </wp:positionH>
              <wp:positionV relativeFrom="page">
                <wp:align>top</wp:align>
              </wp:positionV>
              <wp:extent cx="726440" cy="407670"/>
              <wp:effectExtent l="0" t="0" r="16510" b="11430"/>
              <wp:wrapNone/>
              <wp:docPr id="220348565"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26440" cy="407670"/>
                      </a:xfrm>
                      <a:prstGeom prst="rect">
                        <a:avLst/>
                      </a:prstGeom>
                      <a:noFill/>
                      <a:ln>
                        <a:noFill/>
                      </a:ln>
                    </wps:spPr>
                    <wps:txbx>
                      <w:txbxContent>
                        <w:p w14:paraId="50D479E6" w14:textId="025541E7" w:rsidR="007B0C47" w:rsidRPr="007B0C47" w:rsidRDefault="007B0C47" w:rsidP="007B0C47">
                          <w:pPr>
                            <w:rPr>
                              <w:rFonts w:ascii="Aptos" w:eastAsia="Aptos" w:hAnsi="Aptos" w:cs="Aptos"/>
                              <w:noProof/>
                              <w:color w:val="FF0000"/>
                              <w:sz w:val="28"/>
                              <w:szCs w:val="28"/>
                            </w:rPr>
                          </w:pPr>
                          <w:r w:rsidRPr="007B0C47">
                            <w:rPr>
                              <w:rFonts w:ascii="Aptos" w:eastAsia="Aptos" w:hAnsi="Aptos" w:cs="Aptos"/>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BFB840F" id="_x0000_t202" coordsize="21600,21600" o:spt="202" path="m,l,21600r21600,l21600,xe">
              <v:stroke joinstyle="miter"/>
              <v:path gradientshapeok="t" o:connecttype="rect"/>
            </v:shapetype>
            <v:shape id="Text Box 3" o:spid="_x0000_s1027" type="#_x0000_t202" alt="OFFICIAL" style="position:absolute;margin-left:0;margin-top:0;width:57.2pt;height:32.1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" filled="f" stroked="f">
              <v:textbox style="mso-fit-shape-to-text:t" inset="0,15pt,0,0">
                <w:txbxContent>
                  <w:p w14:paraId="50D479E6" w14:textId="025541E7" w:rsidR="007B0C47" w:rsidRPr="007B0C47" w:rsidRDefault="007B0C47" w:rsidP="007B0C47">
                    <w:pPr>
                      <w:rPr>
                        <w:rFonts w:ascii="Aptos" w:eastAsia="Aptos" w:hAnsi="Aptos" w:cs="Aptos"/>
                        <w:noProof/>
                        <w:color w:val="FF0000"/>
                        <w:sz w:val="28"/>
                        <w:szCs w:val="28"/>
                      </w:rPr>
                    </w:pPr>
                    <w:r w:rsidRPr="007B0C47">
                      <w:rPr>
                        <w:rFonts w:ascii="Aptos" w:eastAsia="Aptos" w:hAnsi="Aptos" w:cs="Aptos"/>
                        <w:noProof/>
                        <w:color w:val="FF0000"/>
                        <w:sz w:val="28"/>
                        <w:szCs w:val="28"/>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79C34" w14:textId="2382F5C7" w:rsidR="00E420C1" w:rsidRDefault="007B0C47">
    <w:pPr>
      <w:pStyle w:val="Header"/>
    </w:pPr>
    <w:r>
      <w:rPr>
        <w:noProof/>
      </w:rPr>
      <mc:AlternateContent>
        <mc:Choice Requires="wps">
          <w:drawing>
            <wp:anchor distT="0" distB="0" distL="0" distR="0" simplePos="0" relativeHeight="251658240" behindDoc="0" locked="0" layoutInCell="1" allowOverlap="1" wp14:anchorId="721B972D" wp14:editId="441C9AEE">
              <wp:simplePos x="635" y="635"/>
              <wp:positionH relativeFrom="page">
                <wp:align>center</wp:align>
              </wp:positionH>
              <wp:positionV relativeFrom="page">
                <wp:align>top</wp:align>
              </wp:positionV>
              <wp:extent cx="726440" cy="407670"/>
              <wp:effectExtent l="0" t="0" r="16510" b="11430"/>
              <wp:wrapNone/>
              <wp:docPr id="294563203"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26440" cy="407670"/>
                      </a:xfrm>
                      <a:prstGeom prst="rect">
                        <a:avLst/>
                      </a:prstGeom>
                      <a:noFill/>
                      <a:ln>
                        <a:noFill/>
                      </a:ln>
                    </wps:spPr>
                    <wps:txbx>
                      <w:txbxContent>
                        <w:p w14:paraId="34AB41BA" w14:textId="2905403B" w:rsidR="007B0C47" w:rsidRPr="007B0C47" w:rsidRDefault="007B0C47" w:rsidP="007B0C47">
                          <w:pPr>
                            <w:rPr>
                              <w:rFonts w:ascii="Aptos" w:eastAsia="Aptos" w:hAnsi="Aptos" w:cs="Aptos"/>
                              <w:noProof/>
                              <w:color w:val="FF0000"/>
                              <w:sz w:val="28"/>
                              <w:szCs w:val="28"/>
                            </w:rPr>
                          </w:pPr>
                          <w:r w:rsidRPr="007B0C47">
                            <w:rPr>
                              <w:rFonts w:ascii="Aptos" w:eastAsia="Aptos" w:hAnsi="Aptos" w:cs="Aptos"/>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21B972D" id="_x0000_t202" coordsize="21600,21600" o:spt="202" path="m,l,21600r21600,l21600,xe">
              <v:stroke joinstyle="miter"/>
              <v:path gradientshapeok="t" o:connecttype="rect"/>
            </v:shapetype>
            <v:shape id="Text Box 1" o:spid="_x0000_s1030" type="#_x0000_t202" alt="OFFICIAL" style="position:absolute;margin-left:0;margin-top:0;width:57.2pt;height:32.1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" filled="f" stroked="f">
              <v:textbox style="mso-fit-shape-to-text:t" inset="0,15pt,0,0">
                <w:txbxContent>
                  <w:p w14:paraId="34AB41BA" w14:textId="2905403B" w:rsidR="007B0C47" w:rsidRPr="007B0C47" w:rsidRDefault="007B0C47" w:rsidP="007B0C47">
                    <w:pPr>
                      <w:rPr>
                        <w:rFonts w:ascii="Aptos" w:eastAsia="Aptos" w:hAnsi="Aptos" w:cs="Aptos"/>
                        <w:noProof/>
                        <w:color w:val="FF0000"/>
                        <w:sz w:val="28"/>
                        <w:szCs w:val="28"/>
                      </w:rPr>
                    </w:pPr>
                    <w:r w:rsidRPr="007B0C47">
                      <w:rPr>
                        <w:rFonts w:ascii="Aptos" w:eastAsia="Aptos" w:hAnsi="Aptos" w:cs="Aptos"/>
                        <w:noProof/>
                        <w:color w:val="FF0000"/>
                        <w:sz w:val="28"/>
                        <w:szCs w:val="28"/>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892332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8485A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10A829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56437D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80882F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926CCB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BA6A9C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38C5C4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870EF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FAA435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5C0273"/>
    <w:multiLevelType w:val="multilevel"/>
    <w:tmpl w:val="0C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00C11B99"/>
    <w:multiLevelType w:val="multilevel"/>
    <w:tmpl w:val="A1B2D560"/>
    <w:styleLink w:val="CSCMultilevelnumberedlist"/>
    <w:lvl w:ilvl="0">
      <w:start w:val="1"/>
      <w:numFmt w:val="decimal"/>
      <w:pStyle w:val="Numberedlistmultilevel"/>
      <w:lvlText w:val="%1."/>
      <w:lvlJc w:val="left"/>
      <w:pPr>
        <w:ind w:left="357" w:hanging="357"/>
      </w:pPr>
      <w:rPr>
        <w:rFonts w:hint="default"/>
      </w:rPr>
    </w:lvl>
    <w:lvl w:ilvl="1">
      <w:start w:val="1"/>
      <w:numFmt w:val="lowerLetter"/>
      <w:pStyle w:val="Numberlevel2CSC"/>
      <w:lvlText w:val="%2."/>
      <w:lvlJc w:val="left"/>
      <w:pPr>
        <w:ind w:left="714" w:hanging="357"/>
      </w:pPr>
      <w:rPr>
        <w:rFonts w:hint="default"/>
      </w:rPr>
    </w:lvl>
    <w:lvl w:ilvl="2">
      <w:start w:val="1"/>
      <w:numFmt w:val="lowerRoman"/>
      <w:pStyle w:val="Numberlevel3CSC"/>
      <w:lvlText w:val="%3."/>
      <w:lvlJc w:val="left"/>
      <w:pPr>
        <w:ind w:left="1071" w:hanging="357"/>
      </w:pPr>
      <w:rPr>
        <w:rFonts w:hint="default"/>
      </w:rPr>
    </w:lvl>
    <w:lvl w:ilvl="3">
      <w:start w:val="1"/>
      <w:numFmt w:val="bullet"/>
      <w:pStyle w:val="Numberlevel4CSC"/>
      <w:lvlText w:val="–"/>
      <w:lvlJc w:val="left"/>
      <w:pPr>
        <w:ind w:left="1428" w:hanging="357"/>
      </w:pPr>
      <w:rPr>
        <w:rFonts w:ascii="Franklin Gothic Book" w:hAnsi="Franklin Gothic Book" w:hint="default"/>
        <w:sz w:val="22"/>
      </w:rPr>
    </w:lvl>
    <w:lvl w:ilvl="4">
      <w:start w:val="1"/>
      <w:numFmt w:val="none"/>
      <w:lvlText w:val=""/>
      <w:lvlJc w:val="left"/>
      <w:pPr>
        <w:ind w:left="1785" w:hanging="357"/>
      </w:pPr>
      <w:rPr>
        <w:rFonts w:hint="default"/>
      </w:rPr>
    </w:lvl>
    <w:lvl w:ilvl="5">
      <w:start w:val="1"/>
      <w:numFmt w:val="none"/>
      <w:lvlText w:val=""/>
      <w:lvlJc w:val="left"/>
      <w:pPr>
        <w:ind w:left="2142" w:hanging="357"/>
      </w:pPr>
      <w:rPr>
        <w:rFonts w:hint="default"/>
      </w:rPr>
    </w:lvl>
    <w:lvl w:ilvl="6">
      <w:start w:val="1"/>
      <w:numFmt w:val="none"/>
      <w:lvlText w:val=""/>
      <w:lvlJc w:val="left"/>
      <w:pPr>
        <w:ind w:left="2499" w:hanging="357"/>
      </w:pPr>
      <w:rPr>
        <w:rFonts w:hint="default"/>
      </w:rPr>
    </w:lvl>
    <w:lvl w:ilvl="7">
      <w:start w:val="1"/>
      <w:numFmt w:val="none"/>
      <w:lvlText w:val=""/>
      <w:lvlJc w:val="left"/>
      <w:pPr>
        <w:ind w:left="2856" w:hanging="357"/>
      </w:pPr>
      <w:rPr>
        <w:rFonts w:hint="default"/>
      </w:rPr>
    </w:lvl>
    <w:lvl w:ilvl="8">
      <w:start w:val="1"/>
      <w:numFmt w:val="none"/>
      <w:lvlText w:val=""/>
      <w:lvlJc w:val="left"/>
      <w:pPr>
        <w:ind w:left="3213" w:hanging="357"/>
      </w:pPr>
      <w:rPr>
        <w:rFonts w:hint="default"/>
      </w:rPr>
    </w:lvl>
  </w:abstractNum>
  <w:abstractNum w:abstractNumId="12" w15:restartNumberingAfterBreak="0">
    <w:nsid w:val="0309298B"/>
    <w:multiLevelType w:val="multilevel"/>
    <w:tmpl w:val="99D29796"/>
    <w:styleLink w:val="CSCFigureheadinglist"/>
    <w:lvl w:ilvl="0">
      <w:start w:val="1"/>
      <w:numFmt w:val="decimal"/>
      <w:pStyle w:val="Figureheading"/>
      <w:lvlText w:val="Figure %1."/>
      <w:lvlJc w:val="left"/>
      <w:pPr>
        <w:ind w:left="1134" w:hanging="1134"/>
      </w:pPr>
      <w:rPr>
        <w:rFonts w:hint="default"/>
      </w:rPr>
    </w:lvl>
    <w:lvl w:ilvl="1">
      <w:start w:val="1"/>
      <w:numFmt w:val="none"/>
      <w:lvlText w:val=""/>
      <w:lvlJc w:val="left"/>
      <w:pPr>
        <w:ind w:left="1134" w:hanging="1134"/>
      </w:pPr>
      <w:rPr>
        <w:rFonts w:hint="default"/>
      </w:rPr>
    </w:lvl>
    <w:lvl w:ilvl="2">
      <w:start w:val="1"/>
      <w:numFmt w:val="none"/>
      <w:lvlText w:val=""/>
      <w:lvlJc w:val="left"/>
      <w:pPr>
        <w:ind w:left="1134" w:hanging="1134"/>
      </w:pPr>
      <w:rPr>
        <w:rFonts w:hint="default"/>
      </w:rPr>
    </w:lvl>
    <w:lvl w:ilvl="3">
      <w:start w:val="1"/>
      <w:numFmt w:val="none"/>
      <w:lvlText w:val=""/>
      <w:lvlJc w:val="left"/>
      <w:pPr>
        <w:ind w:left="1134" w:hanging="1134"/>
      </w:pPr>
      <w:rPr>
        <w:rFonts w:hint="default"/>
      </w:rPr>
    </w:lvl>
    <w:lvl w:ilvl="4">
      <w:start w:val="1"/>
      <w:numFmt w:val="none"/>
      <w:lvlText w:val=""/>
      <w:lvlJc w:val="left"/>
      <w:pPr>
        <w:ind w:left="1134" w:hanging="1134"/>
      </w:pPr>
      <w:rPr>
        <w:rFonts w:hint="default"/>
      </w:rPr>
    </w:lvl>
    <w:lvl w:ilvl="5">
      <w:start w:val="1"/>
      <w:numFmt w:val="none"/>
      <w:lvlText w:val=""/>
      <w:lvlJc w:val="left"/>
      <w:pPr>
        <w:ind w:left="1134" w:hanging="1134"/>
      </w:pPr>
      <w:rPr>
        <w:rFonts w:hint="default"/>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13" w15:restartNumberingAfterBreak="0">
    <w:nsid w:val="03336B9A"/>
    <w:multiLevelType w:val="multilevel"/>
    <w:tmpl w:val="9B126840"/>
    <w:numStyleLink w:val="CSCTableheadinglist"/>
  </w:abstractNum>
  <w:abstractNum w:abstractNumId="14" w15:restartNumberingAfterBreak="0">
    <w:nsid w:val="077A74B0"/>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0FA27BA8"/>
    <w:multiLevelType w:val="multilevel"/>
    <w:tmpl w:val="9B126840"/>
    <w:styleLink w:val="CSCTableheadinglist"/>
    <w:lvl w:ilvl="0">
      <w:start w:val="1"/>
      <w:numFmt w:val="decimal"/>
      <w:pStyle w:val="Tableheading"/>
      <w:lvlText w:val="Table %1."/>
      <w:lvlJc w:val="left"/>
      <w:pPr>
        <w:ind w:left="1134" w:hanging="1134"/>
      </w:pPr>
      <w:rPr>
        <w:rFonts w:hint="default"/>
      </w:rPr>
    </w:lvl>
    <w:lvl w:ilvl="1">
      <w:start w:val="1"/>
      <w:numFmt w:val="none"/>
      <w:lvlText w:val=""/>
      <w:lvlJc w:val="left"/>
      <w:pPr>
        <w:ind w:left="1134" w:hanging="1134"/>
      </w:pPr>
      <w:rPr>
        <w:rFonts w:hint="default"/>
      </w:rPr>
    </w:lvl>
    <w:lvl w:ilvl="2">
      <w:start w:val="1"/>
      <w:numFmt w:val="none"/>
      <w:lvlText w:val=""/>
      <w:lvlJc w:val="left"/>
      <w:pPr>
        <w:ind w:left="1134" w:hanging="1134"/>
      </w:pPr>
      <w:rPr>
        <w:rFonts w:hint="default"/>
      </w:rPr>
    </w:lvl>
    <w:lvl w:ilvl="3">
      <w:start w:val="1"/>
      <w:numFmt w:val="none"/>
      <w:lvlText w:val=""/>
      <w:lvlJc w:val="left"/>
      <w:pPr>
        <w:ind w:left="1134" w:hanging="1134"/>
      </w:pPr>
      <w:rPr>
        <w:rFonts w:hint="default"/>
      </w:rPr>
    </w:lvl>
    <w:lvl w:ilvl="4">
      <w:start w:val="1"/>
      <w:numFmt w:val="none"/>
      <w:lvlText w:val=""/>
      <w:lvlJc w:val="left"/>
      <w:pPr>
        <w:ind w:left="1134" w:hanging="1134"/>
      </w:pPr>
      <w:rPr>
        <w:rFonts w:hint="default"/>
      </w:rPr>
    </w:lvl>
    <w:lvl w:ilvl="5">
      <w:start w:val="1"/>
      <w:numFmt w:val="none"/>
      <w:lvlText w:val=""/>
      <w:lvlJc w:val="left"/>
      <w:pPr>
        <w:ind w:left="1134" w:hanging="1134"/>
      </w:pPr>
      <w:rPr>
        <w:rFonts w:hint="default"/>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16" w15:restartNumberingAfterBreak="0">
    <w:nsid w:val="19590E06"/>
    <w:multiLevelType w:val="multilevel"/>
    <w:tmpl w:val="388CB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96E39CA"/>
    <w:multiLevelType w:val="multilevel"/>
    <w:tmpl w:val="39D87EF0"/>
    <w:styleLink w:val="CSCHeadinglistnumberstyle"/>
    <w:lvl w:ilvl="0">
      <w:start w:val="1"/>
      <w:numFmt w:val="decimal"/>
      <w:lvlText w:val="%1"/>
      <w:lvlJc w:val="left"/>
      <w:pPr>
        <w:ind w:left="1134" w:hanging="1134"/>
      </w:pPr>
      <w:rPr>
        <w:rFonts w:hint="default"/>
      </w:rPr>
    </w:lvl>
    <w:lvl w:ilvl="1">
      <w:start w:val="1"/>
      <w:numFmt w:val="decimal"/>
      <w:lvlText w:val="%1.%2"/>
      <w:lvlJc w:val="left"/>
      <w:pPr>
        <w:ind w:left="1134" w:hanging="1134"/>
      </w:pPr>
      <w:rPr>
        <w:rFonts w:hint="default"/>
      </w:rPr>
    </w:lvl>
    <w:lvl w:ilvl="2">
      <w:start w:val="1"/>
      <w:numFmt w:val="decimal"/>
      <w:lvlText w:val="%1.%2.%3"/>
      <w:lvlJc w:val="left"/>
      <w:pPr>
        <w:ind w:left="1134" w:hanging="1134"/>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8" w15:restartNumberingAfterBreak="0">
    <w:nsid w:val="1B0542E6"/>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1B245FAF"/>
    <w:multiLevelType w:val="multilevel"/>
    <w:tmpl w:val="59600C02"/>
    <w:lvl w:ilvl="0">
      <w:start w:val="1"/>
      <w:numFmt w:val="decimal"/>
      <w:lvlText w:val="%1."/>
      <w:lvlJc w:val="left"/>
      <w:pPr>
        <w:tabs>
          <w:tab w:val="num" w:pos="357"/>
        </w:tabs>
        <w:ind w:left="357" w:hanging="357"/>
      </w:pPr>
      <w:rPr>
        <w:rFonts w:hint="default"/>
        <w:b w:val="0"/>
        <w:i w:val="0"/>
        <w:sz w:val="20"/>
      </w:rPr>
    </w:lvl>
    <w:lvl w:ilvl="1">
      <w:start w:val="1"/>
      <w:numFmt w:val="lowerLetter"/>
      <w:lvlText w:val="%2."/>
      <w:lvlJc w:val="left"/>
      <w:pPr>
        <w:tabs>
          <w:tab w:val="num" w:pos="714"/>
        </w:tabs>
        <w:ind w:left="714" w:hanging="357"/>
      </w:pPr>
      <w:rPr>
        <w:rFonts w:hint="default"/>
      </w:rPr>
    </w:lvl>
    <w:lvl w:ilvl="2">
      <w:start w:val="1"/>
      <w:numFmt w:val="none"/>
      <w:lvlText w:val=""/>
      <w:lvlJc w:val="left"/>
      <w:pPr>
        <w:tabs>
          <w:tab w:val="num" w:pos="1071"/>
        </w:tabs>
        <w:ind w:left="1071" w:hanging="357"/>
      </w:pPr>
      <w:rPr>
        <w:rFonts w:hint="default"/>
      </w:rPr>
    </w:lvl>
    <w:lvl w:ilvl="3">
      <w:start w:val="1"/>
      <w:numFmt w:val="none"/>
      <w:lvlText w:val=""/>
      <w:lvlJc w:val="left"/>
      <w:pPr>
        <w:tabs>
          <w:tab w:val="num" w:pos="1428"/>
        </w:tabs>
        <w:ind w:left="1428" w:hanging="357"/>
      </w:pPr>
      <w:rPr>
        <w:rFonts w:hint="default"/>
      </w:rPr>
    </w:lvl>
    <w:lvl w:ilvl="4">
      <w:start w:val="1"/>
      <w:numFmt w:val="none"/>
      <w:lvlText w:val="%5"/>
      <w:lvlJc w:val="left"/>
      <w:pPr>
        <w:tabs>
          <w:tab w:val="num" w:pos="1785"/>
        </w:tabs>
        <w:ind w:left="1785" w:hanging="357"/>
      </w:pPr>
      <w:rPr>
        <w:rFonts w:hint="default"/>
      </w:rPr>
    </w:lvl>
    <w:lvl w:ilvl="5">
      <w:start w:val="1"/>
      <w:numFmt w:val="none"/>
      <w:lvlText w:val=""/>
      <w:lvlJc w:val="left"/>
      <w:pPr>
        <w:tabs>
          <w:tab w:val="num" w:pos="2142"/>
        </w:tabs>
        <w:ind w:left="2142" w:hanging="357"/>
      </w:pPr>
      <w:rPr>
        <w:rFonts w:hint="default"/>
      </w:rPr>
    </w:lvl>
    <w:lvl w:ilvl="6">
      <w:start w:val="1"/>
      <w:numFmt w:val="none"/>
      <w:lvlText w:val=""/>
      <w:lvlJc w:val="left"/>
      <w:pPr>
        <w:tabs>
          <w:tab w:val="num" w:pos="2499"/>
        </w:tabs>
        <w:ind w:left="2499" w:hanging="357"/>
      </w:pPr>
      <w:rPr>
        <w:rFonts w:hint="default"/>
      </w:rPr>
    </w:lvl>
    <w:lvl w:ilvl="7">
      <w:start w:val="1"/>
      <w:numFmt w:val="none"/>
      <w:lvlText w:val=""/>
      <w:lvlJc w:val="left"/>
      <w:pPr>
        <w:tabs>
          <w:tab w:val="num" w:pos="2856"/>
        </w:tabs>
        <w:ind w:left="2856" w:hanging="357"/>
      </w:pPr>
      <w:rPr>
        <w:rFonts w:hint="default"/>
      </w:rPr>
    </w:lvl>
    <w:lvl w:ilvl="8">
      <w:start w:val="1"/>
      <w:numFmt w:val="none"/>
      <w:lvlText w:val=""/>
      <w:lvlJc w:val="left"/>
      <w:pPr>
        <w:tabs>
          <w:tab w:val="num" w:pos="3213"/>
        </w:tabs>
        <w:ind w:left="3213" w:hanging="357"/>
      </w:pPr>
      <w:rPr>
        <w:rFonts w:hint="default"/>
      </w:rPr>
    </w:lvl>
  </w:abstractNum>
  <w:abstractNum w:abstractNumId="20" w15:restartNumberingAfterBreak="0">
    <w:nsid w:val="256A06D6"/>
    <w:multiLevelType w:val="hybridMultilevel"/>
    <w:tmpl w:val="E6247C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8677402"/>
    <w:multiLevelType w:val="hybridMultilevel"/>
    <w:tmpl w:val="9732D4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E8E7B7A"/>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FD75E24"/>
    <w:multiLevelType w:val="hybridMultilevel"/>
    <w:tmpl w:val="B7C242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3E55C87"/>
    <w:multiLevelType w:val="multilevel"/>
    <w:tmpl w:val="866EB94A"/>
    <w:styleLink w:val="CSCBulletlist"/>
    <w:lvl w:ilvl="0">
      <w:start w:val="1"/>
      <w:numFmt w:val="bullet"/>
      <w:pStyle w:val="Bulletlistmultilevel"/>
      <w:lvlText w:val=""/>
      <w:lvlJc w:val="left"/>
      <w:pPr>
        <w:ind w:left="357" w:hanging="357"/>
      </w:pPr>
      <w:rPr>
        <w:rFonts w:ascii="Symbol" w:hAnsi="Symbol" w:hint="default"/>
      </w:rPr>
    </w:lvl>
    <w:lvl w:ilvl="1">
      <w:start w:val="1"/>
      <w:numFmt w:val="bullet"/>
      <w:pStyle w:val="Bulletlevel2CSC"/>
      <w:lvlText w:val="–"/>
      <w:lvlJc w:val="left"/>
      <w:pPr>
        <w:ind w:left="714" w:hanging="357"/>
      </w:pPr>
      <w:rPr>
        <w:rFonts w:ascii="Franklin Gothic Book" w:hAnsi="Franklin Gothic Book" w:hint="default"/>
      </w:rPr>
    </w:lvl>
    <w:lvl w:ilvl="2">
      <w:start w:val="1"/>
      <w:numFmt w:val="bullet"/>
      <w:pStyle w:val="Bulletlevel3CSC"/>
      <w:lvlText w:val=""/>
      <w:lvlJc w:val="left"/>
      <w:pPr>
        <w:ind w:left="1071" w:hanging="357"/>
      </w:pPr>
      <w:rPr>
        <w:rFonts w:ascii="Symbol" w:hAnsi="Symbol" w:hint="default"/>
      </w:rPr>
    </w:lvl>
    <w:lvl w:ilvl="3">
      <w:start w:val="1"/>
      <w:numFmt w:val="none"/>
      <w:lvlText w:val=""/>
      <w:lvlJc w:val="left"/>
      <w:pPr>
        <w:ind w:left="1428" w:hanging="357"/>
      </w:pPr>
      <w:rPr>
        <w:rFonts w:hint="default"/>
      </w:rPr>
    </w:lvl>
    <w:lvl w:ilvl="4">
      <w:start w:val="1"/>
      <w:numFmt w:val="none"/>
      <w:lvlText w:val=""/>
      <w:lvlJc w:val="left"/>
      <w:pPr>
        <w:ind w:left="1785" w:hanging="357"/>
      </w:pPr>
      <w:rPr>
        <w:rFonts w:hint="default"/>
      </w:rPr>
    </w:lvl>
    <w:lvl w:ilvl="5">
      <w:start w:val="1"/>
      <w:numFmt w:val="none"/>
      <w:lvlText w:val=""/>
      <w:lvlJc w:val="left"/>
      <w:pPr>
        <w:ind w:left="2142" w:hanging="357"/>
      </w:pPr>
      <w:rPr>
        <w:rFonts w:hint="default"/>
      </w:rPr>
    </w:lvl>
    <w:lvl w:ilvl="6">
      <w:start w:val="1"/>
      <w:numFmt w:val="none"/>
      <w:lvlText w:val=""/>
      <w:lvlJc w:val="left"/>
      <w:pPr>
        <w:ind w:left="2499" w:hanging="357"/>
      </w:pPr>
      <w:rPr>
        <w:rFonts w:hint="default"/>
      </w:rPr>
    </w:lvl>
    <w:lvl w:ilvl="7">
      <w:start w:val="1"/>
      <w:numFmt w:val="none"/>
      <w:lvlText w:val=""/>
      <w:lvlJc w:val="left"/>
      <w:pPr>
        <w:ind w:left="2856" w:hanging="357"/>
      </w:pPr>
      <w:rPr>
        <w:rFonts w:hint="default"/>
      </w:rPr>
    </w:lvl>
    <w:lvl w:ilvl="8">
      <w:start w:val="1"/>
      <w:numFmt w:val="none"/>
      <w:lvlText w:val=""/>
      <w:lvlJc w:val="left"/>
      <w:pPr>
        <w:ind w:left="3213" w:hanging="357"/>
      </w:pPr>
      <w:rPr>
        <w:rFonts w:hint="default"/>
      </w:rPr>
    </w:lvl>
  </w:abstractNum>
  <w:abstractNum w:abstractNumId="25" w15:restartNumberingAfterBreak="0">
    <w:nsid w:val="44A81E2D"/>
    <w:multiLevelType w:val="hybridMultilevel"/>
    <w:tmpl w:val="C7BE7F34"/>
    <w:lvl w:ilvl="0" w:tplc="0C090001">
      <w:start w:val="1"/>
      <w:numFmt w:val="bullet"/>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26" w15:restartNumberingAfterBreak="0">
    <w:nsid w:val="491277E8"/>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57940D5D"/>
    <w:multiLevelType w:val="multilevel"/>
    <w:tmpl w:val="01A0D0D2"/>
    <w:lvl w:ilvl="0">
      <w:start w:val="1"/>
      <w:numFmt w:val="bullet"/>
      <w:lvlText w:val=""/>
      <w:lvlJc w:val="left"/>
      <w:pPr>
        <w:ind w:left="357" w:hanging="357"/>
      </w:pPr>
      <w:rPr>
        <w:rFonts w:ascii="Symbol" w:hAnsi="Symbol" w:hint="default"/>
        <w:sz w:val="22"/>
      </w:rPr>
    </w:lvl>
    <w:lvl w:ilvl="1">
      <w:start w:val="1"/>
      <w:numFmt w:val="bullet"/>
      <w:lvlText w:val="–"/>
      <w:lvlJc w:val="left"/>
      <w:pPr>
        <w:ind w:left="714" w:hanging="357"/>
      </w:pPr>
      <w:rPr>
        <w:rFonts w:ascii="Franklin Gothic Book" w:hAnsi="Franklin Gothic Book" w:hint="default"/>
        <w:sz w:val="22"/>
      </w:rPr>
    </w:lvl>
    <w:lvl w:ilvl="2">
      <w:start w:val="1"/>
      <w:numFmt w:val="bullet"/>
      <w:lvlText w:val=""/>
      <w:lvlJc w:val="left"/>
      <w:pPr>
        <w:ind w:left="1071" w:hanging="357"/>
      </w:pPr>
      <w:rPr>
        <w:rFonts w:ascii="Symbol" w:hAnsi="Symbol" w:hint="default"/>
        <w:sz w:val="22"/>
      </w:rPr>
    </w:lvl>
    <w:lvl w:ilvl="3">
      <w:start w:val="1"/>
      <w:numFmt w:val="none"/>
      <w:lvlText w:val=""/>
      <w:lvlJc w:val="left"/>
      <w:pPr>
        <w:ind w:left="1428" w:hanging="357"/>
      </w:pPr>
      <w:rPr>
        <w:rFonts w:hint="default"/>
      </w:rPr>
    </w:lvl>
    <w:lvl w:ilvl="4">
      <w:start w:val="1"/>
      <w:numFmt w:val="none"/>
      <w:lvlText w:val=""/>
      <w:lvlJc w:val="left"/>
      <w:pPr>
        <w:ind w:left="1785" w:hanging="357"/>
      </w:pPr>
      <w:rPr>
        <w:rFonts w:hint="default"/>
      </w:rPr>
    </w:lvl>
    <w:lvl w:ilvl="5">
      <w:start w:val="1"/>
      <w:numFmt w:val="none"/>
      <w:lvlText w:val=""/>
      <w:lvlJc w:val="left"/>
      <w:pPr>
        <w:ind w:left="2142" w:hanging="357"/>
      </w:pPr>
      <w:rPr>
        <w:rFonts w:hint="default"/>
      </w:rPr>
    </w:lvl>
    <w:lvl w:ilvl="6">
      <w:start w:val="1"/>
      <w:numFmt w:val="none"/>
      <w:lvlText w:val=""/>
      <w:lvlJc w:val="left"/>
      <w:pPr>
        <w:ind w:left="2499" w:hanging="357"/>
      </w:pPr>
      <w:rPr>
        <w:rFonts w:hint="default"/>
      </w:rPr>
    </w:lvl>
    <w:lvl w:ilvl="7">
      <w:start w:val="1"/>
      <w:numFmt w:val="none"/>
      <w:lvlText w:val=""/>
      <w:lvlJc w:val="left"/>
      <w:pPr>
        <w:ind w:left="2856" w:hanging="357"/>
      </w:pPr>
      <w:rPr>
        <w:rFonts w:hint="default"/>
      </w:rPr>
    </w:lvl>
    <w:lvl w:ilvl="8">
      <w:start w:val="1"/>
      <w:numFmt w:val="none"/>
      <w:lvlText w:val=""/>
      <w:lvlJc w:val="left"/>
      <w:pPr>
        <w:ind w:left="3213" w:hanging="357"/>
      </w:pPr>
      <w:rPr>
        <w:rFonts w:hint="default"/>
      </w:rPr>
    </w:lvl>
  </w:abstractNum>
  <w:abstractNum w:abstractNumId="28" w15:restartNumberingAfterBreak="0">
    <w:nsid w:val="5EAF1FC8"/>
    <w:multiLevelType w:val="multilevel"/>
    <w:tmpl w:val="01A0D0D2"/>
    <w:lvl w:ilvl="0">
      <w:start w:val="1"/>
      <w:numFmt w:val="bullet"/>
      <w:lvlText w:val=""/>
      <w:lvlJc w:val="left"/>
      <w:pPr>
        <w:ind w:left="357" w:hanging="357"/>
      </w:pPr>
      <w:rPr>
        <w:rFonts w:ascii="Symbol" w:hAnsi="Symbol" w:hint="default"/>
        <w:sz w:val="22"/>
      </w:rPr>
    </w:lvl>
    <w:lvl w:ilvl="1">
      <w:start w:val="1"/>
      <w:numFmt w:val="bullet"/>
      <w:lvlText w:val="–"/>
      <w:lvlJc w:val="left"/>
      <w:pPr>
        <w:ind w:left="714" w:hanging="357"/>
      </w:pPr>
      <w:rPr>
        <w:rFonts w:ascii="Franklin Gothic Book" w:hAnsi="Franklin Gothic Book" w:hint="default"/>
        <w:sz w:val="22"/>
      </w:rPr>
    </w:lvl>
    <w:lvl w:ilvl="2">
      <w:start w:val="1"/>
      <w:numFmt w:val="bullet"/>
      <w:lvlText w:val=""/>
      <w:lvlJc w:val="left"/>
      <w:pPr>
        <w:ind w:left="1071" w:hanging="357"/>
      </w:pPr>
      <w:rPr>
        <w:rFonts w:ascii="Symbol" w:hAnsi="Symbol" w:hint="default"/>
        <w:sz w:val="22"/>
      </w:rPr>
    </w:lvl>
    <w:lvl w:ilvl="3">
      <w:start w:val="1"/>
      <w:numFmt w:val="none"/>
      <w:lvlText w:val=""/>
      <w:lvlJc w:val="left"/>
      <w:pPr>
        <w:ind w:left="1428" w:hanging="357"/>
      </w:pPr>
      <w:rPr>
        <w:rFonts w:hint="default"/>
      </w:rPr>
    </w:lvl>
    <w:lvl w:ilvl="4">
      <w:start w:val="1"/>
      <w:numFmt w:val="none"/>
      <w:lvlText w:val=""/>
      <w:lvlJc w:val="left"/>
      <w:pPr>
        <w:ind w:left="1785" w:hanging="357"/>
      </w:pPr>
      <w:rPr>
        <w:rFonts w:hint="default"/>
      </w:rPr>
    </w:lvl>
    <w:lvl w:ilvl="5">
      <w:start w:val="1"/>
      <w:numFmt w:val="none"/>
      <w:lvlText w:val=""/>
      <w:lvlJc w:val="left"/>
      <w:pPr>
        <w:ind w:left="2142" w:hanging="357"/>
      </w:pPr>
      <w:rPr>
        <w:rFonts w:hint="default"/>
      </w:rPr>
    </w:lvl>
    <w:lvl w:ilvl="6">
      <w:start w:val="1"/>
      <w:numFmt w:val="none"/>
      <w:lvlText w:val=""/>
      <w:lvlJc w:val="left"/>
      <w:pPr>
        <w:ind w:left="2499" w:hanging="357"/>
      </w:pPr>
      <w:rPr>
        <w:rFonts w:hint="default"/>
      </w:rPr>
    </w:lvl>
    <w:lvl w:ilvl="7">
      <w:start w:val="1"/>
      <w:numFmt w:val="none"/>
      <w:lvlText w:val=""/>
      <w:lvlJc w:val="left"/>
      <w:pPr>
        <w:ind w:left="2856" w:hanging="357"/>
      </w:pPr>
      <w:rPr>
        <w:rFonts w:hint="default"/>
      </w:rPr>
    </w:lvl>
    <w:lvl w:ilvl="8">
      <w:start w:val="1"/>
      <w:numFmt w:val="none"/>
      <w:lvlText w:val=""/>
      <w:lvlJc w:val="left"/>
      <w:pPr>
        <w:ind w:left="3213" w:hanging="357"/>
      </w:pPr>
      <w:rPr>
        <w:rFonts w:hint="default"/>
      </w:rPr>
    </w:lvl>
  </w:abstractNum>
  <w:abstractNum w:abstractNumId="29" w15:restartNumberingAfterBreak="0">
    <w:nsid w:val="623D15F2"/>
    <w:multiLevelType w:val="multilevel"/>
    <w:tmpl w:val="54E40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DE24CE8"/>
    <w:multiLevelType w:val="multilevel"/>
    <w:tmpl w:val="C7C2E33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1" w15:restartNumberingAfterBreak="0">
    <w:nsid w:val="6EEA4848"/>
    <w:multiLevelType w:val="hybridMultilevel"/>
    <w:tmpl w:val="5E8CA11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75550767"/>
    <w:multiLevelType w:val="hybridMultilevel"/>
    <w:tmpl w:val="5D96A8C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3" w15:restartNumberingAfterBreak="0">
    <w:nsid w:val="79EF0E4E"/>
    <w:multiLevelType w:val="multilevel"/>
    <w:tmpl w:val="CF34B204"/>
    <w:lvl w:ilvl="0">
      <w:start w:val="1"/>
      <w:numFmt w:val="bullet"/>
      <w:lvlText w:val=""/>
      <w:lvlJc w:val="left"/>
      <w:pPr>
        <w:ind w:left="187" w:hanging="187"/>
      </w:pPr>
      <w:rPr>
        <w:rFonts w:ascii="Symbol" w:hAnsi="Symbol" w:hint="default"/>
        <w:sz w:val="20"/>
      </w:rPr>
    </w:lvl>
    <w:lvl w:ilvl="1">
      <w:start w:val="1"/>
      <w:numFmt w:val="bullet"/>
      <w:lvlText w:val="–"/>
      <w:lvlJc w:val="left"/>
      <w:pPr>
        <w:ind w:left="374" w:hanging="187"/>
      </w:pPr>
      <w:rPr>
        <w:rFonts w:ascii="Franklin Gothic Book" w:hAnsi="Franklin Gothic Book" w:hint="default"/>
      </w:rPr>
    </w:lvl>
    <w:lvl w:ilvl="2">
      <w:start w:val="1"/>
      <w:numFmt w:val="none"/>
      <w:lvlText w:val=""/>
      <w:lvlJc w:val="left"/>
      <w:pPr>
        <w:ind w:left="561" w:hanging="187"/>
      </w:pPr>
      <w:rPr>
        <w:rFonts w:hint="default"/>
      </w:rPr>
    </w:lvl>
    <w:lvl w:ilvl="3">
      <w:start w:val="1"/>
      <w:numFmt w:val="none"/>
      <w:lvlText w:val=""/>
      <w:lvlJc w:val="left"/>
      <w:pPr>
        <w:ind w:left="748" w:hanging="187"/>
      </w:pPr>
      <w:rPr>
        <w:rFonts w:hint="default"/>
      </w:rPr>
    </w:lvl>
    <w:lvl w:ilvl="4">
      <w:start w:val="1"/>
      <w:numFmt w:val="none"/>
      <w:lvlText w:val=""/>
      <w:lvlJc w:val="left"/>
      <w:pPr>
        <w:ind w:left="935" w:hanging="187"/>
      </w:pPr>
      <w:rPr>
        <w:rFonts w:hint="default"/>
      </w:rPr>
    </w:lvl>
    <w:lvl w:ilvl="5">
      <w:start w:val="1"/>
      <w:numFmt w:val="none"/>
      <w:lvlText w:val=""/>
      <w:lvlJc w:val="left"/>
      <w:pPr>
        <w:ind w:left="1122" w:hanging="187"/>
      </w:pPr>
      <w:rPr>
        <w:rFonts w:hint="default"/>
      </w:rPr>
    </w:lvl>
    <w:lvl w:ilvl="6">
      <w:start w:val="1"/>
      <w:numFmt w:val="none"/>
      <w:lvlText w:val=""/>
      <w:lvlJc w:val="left"/>
      <w:pPr>
        <w:ind w:left="1309" w:hanging="187"/>
      </w:pPr>
      <w:rPr>
        <w:rFonts w:hint="default"/>
      </w:rPr>
    </w:lvl>
    <w:lvl w:ilvl="7">
      <w:start w:val="1"/>
      <w:numFmt w:val="none"/>
      <w:lvlText w:val=""/>
      <w:lvlJc w:val="left"/>
      <w:pPr>
        <w:ind w:left="1496" w:hanging="187"/>
      </w:pPr>
      <w:rPr>
        <w:rFonts w:hint="default"/>
      </w:rPr>
    </w:lvl>
    <w:lvl w:ilvl="8">
      <w:start w:val="1"/>
      <w:numFmt w:val="none"/>
      <w:lvlText w:val=""/>
      <w:lvlJc w:val="left"/>
      <w:pPr>
        <w:ind w:left="1683" w:hanging="187"/>
      </w:pPr>
      <w:rPr>
        <w:rFonts w:hint="default"/>
      </w:rPr>
    </w:lvl>
  </w:abstractNum>
  <w:abstractNum w:abstractNumId="34" w15:restartNumberingAfterBreak="0">
    <w:nsid w:val="7A712720"/>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7BC34ABB"/>
    <w:multiLevelType w:val="multilevel"/>
    <w:tmpl w:val="DDCC9C7E"/>
    <w:lvl w:ilvl="0">
      <w:start w:val="1"/>
      <w:numFmt w:val="decimal"/>
      <w:lvlText w:val="%1."/>
      <w:lvlJc w:val="left"/>
      <w:pPr>
        <w:ind w:left="187" w:hanging="187"/>
      </w:pPr>
      <w:rPr>
        <w:rFonts w:hint="default"/>
      </w:rPr>
    </w:lvl>
    <w:lvl w:ilvl="1">
      <w:start w:val="1"/>
      <w:numFmt w:val="lowerLetter"/>
      <w:lvlText w:val="%2."/>
      <w:lvlJc w:val="left"/>
      <w:pPr>
        <w:ind w:left="374" w:hanging="187"/>
      </w:pPr>
      <w:rPr>
        <w:rFonts w:hint="default"/>
      </w:rPr>
    </w:lvl>
    <w:lvl w:ilvl="2">
      <w:start w:val="1"/>
      <w:numFmt w:val="none"/>
      <w:lvlText w:val=""/>
      <w:lvlJc w:val="left"/>
      <w:pPr>
        <w:ind w:left="561" w:hanging="187"/>
      </w:pPr>
      <w:rPr>
        <w:rFonts w:hint="default"/>
      </w:rPr>
    </w:lvl>
    <w:lvl w:ilvl="3">
      <w:start w:val="1"/>
      <w:numFmt w:val="none"/>
      <w:lvlText w:val=""/>
      <w:lvlJc w:val="left"/>
      <w:pPr>
        <w:ind w:left="748" w:hanging="187"/>
      </w:pPr>
      <w:rPr>
        <w:rFonts w:hint="default"/>
      </w:rPr>
    </w:lvl>
    <w:lvl w:ilvl="4">
      <w:start w:val="1"/>
      <w:numFmt w:val="none"/>
      <w:lvlText w:val=""/>
      <w:lvlJc w:val="left"/>
      <w:pPr>
        <w:ind w:left="935" w:hanging="187"/>
      </w:pPr>
      <w:rPr>
        <w:rFonts w:hint="default"/>
      </w:rPr>
    </w:lvl>
    <w:lvl w:ilvl="5">
      <w:start w:val="1"/>
      <w:numFmt w:val="none"/>
      <w:lvlText w:val=""/>
      <w:lvlJc w:val="left"/>
      <w:pPr>
        <w:ind w:left="1122" w:hanging="187"/>
      </w:pPr>
      <w:rPr>
        <w:rFonts w:hint="default"/>
      </w:rPr>
    </w:lvl>
    <w:lvl w:ilvl="6">
      <w:start w:val="1"/>
      <w:numFmt w:val="none"/>
      <w:lvlText w:val=""/>
      <w:lvlJc w:val="left"/>
      <w:pPr>
        <w:ind w:left="1309" w:hanging="187"/>
      </w:pPr>
      <w:rPr>
        <w:rFonts w:hint="default"/>
      </w:rPr>
    </w:lvl>
    <w:lvl w:ilvl="7">
      <w:start w:val="1"/>
      <w:numFmt w:val="none"/>
      <w:lvlText w:val=""/>
      <w:lvlJc w:val="left"/>
      <w:pPr>
        <w:ind w:left="1496" w:hanging="187"/>
      </w:pPr>
      <w:rPr>
        <w:rFonts w:hint="default"/>
      </w:rPr>
    </w:lvl>
    <w:lvl w:ilvl="8">
      <w:start w:val="1"/>
      <w:numFmt w:val="none"/>
      <w:lvlText w:val=""/>
      <w:lvlJc w:val="left"/>
      <w:pPr>
        <w:ind w:left="1683" w:hanging="187"/>
      </w:pPr>
      <w:rPr>
        <w:rFonts w:hint="default"/>
      </w:rPr>
    </w:lvl>
  </w:abstractNum>
  <w:num w:numId="1" w16cid:durableId="1960449525">
    <w:abstractNumId w:val="30"/>
  </w:num>
  <w:num w:numId="2" w16cid:durableId="550577011">
    <w:abstractNumId w:val="19"/>
  </w:num>
  <w:num w:numId="3" w16cid:durableId="1116633958">
    <w:abstractNumId w:val="12"/>
  </w:num>
  <w:num w:numId="4" w16cid:durableId="770004142">
    <w:abstractNumId w:val="12"/>
  </w:num>
  <w:num w:numId="5" w16cid:durableId="134103689">
    <w:abstractNumId w:val="15"/>
  </w:num>
  <w:num w:numId="6" w16cid:durableId="830104622">
    <w:abstractNumId w:val="15"/>
  </w:num>
  <w:num w:numId="7" w16cid:durableId="1054037762">
    <w:abstractNumId w:val="17"/>
  </w:num>
  <w:num w:numId="8" w16cid:durableId="1632056009">
    <w:abstractNumId w:val="28"/>
  </w:num>
  <w:num w:numId="9" w16cid:durableId="502623216">
    <w:abstractNumId w:val="11"/>
  </w:num>
  <w:num w:numId="10" w16cid:durableId="728652704">
    <w:abstractNumId w:val="33"/>
  </w:num>
  <w:num w:numId="11" w16cid:durableId="773867408">
    <w:abstractNumId w:val="35"/>
  </w:num>
  <w:num w:numId="12" w16cid:durableId="564949120">
    <w:abstractNumId w:val="27"/>
  </w:num>
  <w:num w:numId="13" w16cid:durableId="1781417041">
    <w:abstractNumId w:val="20"/>
  </w:num>
  <w:num w:numId="14" w16cid:durableId="270742557">
    <w:abstractNumId w:val="24"/>
  </w:num>
  <w:num w:numId="15" w16cid:durableId="175153692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52877192">
    <w:abstractNumId w:val="13"/>
  </w:num>
  <w:num w:numId="17" w16cid:durableId="115638061">
    <w:abstractNumId w:val="22"/>
  </w:num>
  <w:num w:numId="18" w16cid:durableId="1622808976">
    <w:abstractNumId w:val="34"/>
  </w:num>
  <w:num w:numId="19" w16cid:durableId="2038576002">
    <w:abstractNumId w:val="18"/>
  </w:num>
  <w:num w:numId="20" w16cid:durableId="63339278">
    <w:abstractNumId w:val="26"/>
  </w:num>
  <w:num w:numId="21" w16cid:durableId="476655445">
    <w:abstractNumId w:val="14"/>
  </w:num>
  <w:num w:numId="22" w16cid:durableId="37777903">
    <w:abstractNumId w:val="10"/>
  </w:num>
  <w:num w:numId="23" w16cid:durableId="1272056006">
    <w:abstractNumId w:val="9"/>
  </w:num>
  <w:num w:numId="24" w16cid:durableId="30081654">
    <w:abstractNumId w:val="7"/>
  </w:num>
  <w:num w:numId="25" w16cid:durableId="2098554560">
    <w:abstractNumId w:val="6"/>
  </w:num>
  <w:num w:numId="26" w16cid:durableId="1456943399">
    <w:abstractNumId w:val="5"/>
  </w:num>
  <w:num w:numId="27" w16cid:durableId="575671567">
    <w:abstractNumId w:val="4"/>
  </w:num>
  <w:num w:numId="28" w16cid:durableId="1680153291">
    <w:abstractNumId w:val="8"/>
  </w:num>
  <w:num w:numId="29" w16cid:durableId="1863468522">
    <w:abstractNumId w:val="3"/>
  </w:num>
  <w:num w:numId="30" w16cid:durableId="2110007491">
    <w:abstractNumId w:val="2"/>
  </w:num>
  <w:num w:numId="31" w16cid:durableId="2032293844">
    <w:abstractNumId w:val="1"/>
  </w:num>
  <w:num w:numId="32" w16cid:durableId="1789085340">
    <w:abstractNumId w:val="0"/>
  </w:num>
  <w:num w:numId="33" w16cid:durableId="1536504381">
    <w:abstractNumId w:val="29"/>
  </w:num>
  <w:num w:numId="34" w16cid:durableId="770205607">
    <w:abstractNumId w:val="25"/>
  </w:num>
  <w:num w:numId="35" w16cid:durableId="2039893360">
    <w:abstractNumId w:val="32"/>
  </w:num>
  <w:num w:numId="36" w16cid:durableId="1094011309">
    <w:abstractNumId w:val="21"/>
  </w:num>
  <w:num w:numId="37" w16cid:durableId="872310405">
    <w:abstractNumId w:val="23"/>
  </w:num>
  <w:num w:numId="38" w16cid:durableId="551386937">
    <w:abstractNumId w:val="16"/>
  </w:num>
  <w:num w:numId="39" w16cid:durableId="508644346">
    <w:abstractNumId w:val="3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7004" w:allStyles="0" w:customStyles="0" w:latentStyles="1" w:stylesInUse="0" w:headingStyles="0" w:numberingStyles="0" w:tableStyles="0" w:directFormattingOnRuns="0" w:directFormattingOnParagraphs="0" w:directFormattingOnNumbering="0" w:directFormattingOnTables="0" w:clearFormatting="1" w:top3HeadingStyles="1" w:visibleStyles="1" w:alternateStyleNames="0"/>
  <w:defaultTabStop w:val="714"/>
  <w:drawingGridHorizontalSpacing w:val="11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noExtraLine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6993"/>
    <w:rsid w:val="00002076"/>
    <w:rsid w:val="00003EF1"/>
    <w:rsid w:val="000052AC"/>
    <w:rsid w:val="000065FA"/>
    <w:rsid w:val="0000717B"/>
    <w:rsid w:val="0001029C"/>
    <w:rsid w:val="00027AC5"/>
    <w:rsid w:val="000300C4"/>
    <w:rsid w:val="00033AC3"/>
    <w:rsid w:val="00034D73"/>
    <w:rsid w:val="000353BD"/>
    <w:rsid w:val="000405A2"/>
    <w:rsid w:val="00045C32"/>
    <w:rsid w:val="00046498"/>
    <w:rsid w:val="00047F61"/>
    <w:rsid w:val="00055C7A"/>
    <w:rsid w:val="00061FAB"/>
    <w:rsid w:val="00063725"/>
    <w:rsid w:val="00063997"/>
    <w:rsid w:val="00064395"/>
    <w:rsid w:val="00065254"/>
    <w:rsid w:val="00065C0D"/>
    <w:rsid w:val="00074A01"/>
    <w:rsid w:val="0008005A"/>
    <w:rsid w:val="0008026E"/>
    <w:rsid w:val="00082AD3"/>
    <w:rsid w:val="000851DC"/>
    <w:rsid w:val="00086589"/>
    <w:rsid w:val="000927A6"/>
    <w:rsid w:val="00092F88"/>
    <w:rsid w:val="00092FBA"/>
    <w:rsid w:val="00093396"/>
    <w:rsid w:val="0009420D"/>
    <w:rsid w:val="000A1287"/>
    <w:rsid w:val="000A4852"/>
    <w:rsid w:val="000A4C5C"/>
    <w:rsid w:val="000A5213"/>
    <w:rsid w:val="000A70D6"/>
    <w:rsid w:val="000A78FB"/>
    <w:rsid w:val="000B7550"/>
    <w:rsid w:val="000B7EF0"/>
    <w:rsid w:val="000C1A4E"/>
    <w:rsid w:val="000C3551"/>
    <w:rsid w:val="000C47D8"/>
    <w:rsid w:val="000C530B"/>
    <w:rsid w:val="000C670F"/>
    <w:rsid w:val="000C76E1"/>
    <w:rsid w:val="000D01A0"/>
    <w:rsid w:val="000D0D69"/>
    <w:rsid w:val="000D11EA"/>
    <w:rsid w:val="000D270A"/>
    <w:rsid w:val="000D6123"/>
    <w:rsid w:val="000D6D93"/>
    <w:rsid w:val="000D754D"/>
    <w:rsid w:val="000E0692"/>
    <w:rsid w:val="000E22BF"/>
    <w:rsid w:val="000E4C93"/>
    <w:rsid w:val="000E5081"/>
    <w:rsid w:val="000E59DC"/>
    <w:rsid w:val="000E6D4A"/>
    <w:rsid w:val="000F454B"/>
    <w:rsid w:val="000F5A18"/>
    <w:rsid w:val="000F743D"/>
    <w:rsid w:val="001010FC"/>
    <w:rsid w:val="00101C0B"/>
    <w:rsid w:val="001024FB"/>
    <w:rsid w:val="00104139"/>
    <w:rsid w:val="00104333"/>
    <w:rsid w:val="00104E81"/>
    <w:rsid w:val="0010681D"/>
    <w:rsid w:val="00107681"/>
    <w:rsid w:val="0011176C"/>
    <w:rsid w:val="00111D08"/>
    <w:rsid w:val="00111E78"/>
    <w:rsid w:val="00116DD8"/>
    <w:rsid w:val="00117201"/>
    <w:rsid w:val="001225DB"/>
    <w:rsid w:val="00124147"/>
    <w:rsid w:val="00125CF9"/>
    <w:rsid w:val="00130D42"/>
    <w:rsid w:val="001314F3"/>
    <w:rsid w:val="00131F04"/>
    <w:rsid w:val="001321F7"/>
    <w:rsid w:val="001334D0"/>
    <w:rsid w:val="00135F1E"/>
    <w:rsid w:val="00140935"/>
    <w:rsid w:val="0014484B"/>
    <w:rsid w:val="00150264"/>
    <w:rsid w:val="0015243E"/>
    <w:rsid w:val="0015476D"/>
    <w:rsid w:val="001573ED"/>
    <w:rsid w:val="0015784C"/>
    <w:rsid w:val="00161C68"/>
    <w:rsid w:val="00165585"/>
    <w:rsid w:val="0016623A"/>
    <w:rsid w:val="001702E8"/>
    <w:rsid w:val="001712ED"/>
    <w:rsid w:val="00173DCB"/>
    <w:rsid w:val="001742EE"/>
    <w:rsid w:val="001811D4"/>
    <w:rsid w:val="0018257D"/>
    <w:rsid w:val="00184DB6"/>
    <w:rsid w:val="00186C9B"/>
    <w:rsid w:val="0019007C"/>
    <w:rsid w:val="00190FD2"/>
    <w:rsid w:val="00192FC5"/>
    <w:rsid w:val="0019322A"/>
    <w:rsid w:val="00193ED9"/>
    <w:rsid w:val="00193F41"/>
    <w:rsid w:val="00196370"/>
    <w:rsid w:val="001963E4"/>
    <w:rsid w:val="00196BF3"/>
    <w:rsid w:val="00196C5A"/>
    <w:rsid w:val="00197026"/>
    <w:rsid w:val="00197301"/>
    <w:rsid w:val="001A1329"/>
    <w:rsid w:val="001A161D"/>
    <w:rsid w:val="001A1BF4"/>
    <w:rsid w:val="001A2C3C"/>
    <w:rsid w:val="001A3C7A"/>
    <w:rsid w:val="001A5713"/>
    <w:rsid w:val="001A5F85"/>
    <w:rsid w:val="001A6967"/>
    <w:rsid w:val="001B1822"/>
    <w:rsid w:val="001B18D1"/>
    <w:rsid w:val="001B4169"/>
    <w:rsid w:val="001B5F72"/>
    <w:rsid w:val="001B6B91"/>
    <w:rsid w:val="001B70DC"/>
    <w:rsid w:val="001B7D9D"/>
    <w:rsid w:val="001C4795"/>
    <w:rsid w:val="001C567C"/>
    <w:rsid w:val="001D02F6"/>
    <w:rsid w:val="001D2F95"/>
    <w:rsid w:val="001D78B1"/>
    <w:rsid w:val="001E0F6C"/>
    <w:rsid w:val="001E1022"/>
    <w:rsid w:val="001E3E55"/>
    <w:rsid w:val="001E7B39"/>
    <w:rsid w:val="001F03C8"/>
    <w:rsid w:val="001F0D0B"/>
    <w:rsid w:val="001F0E8F"/>
    <w:rsid w:val="001F151C"/>
    <w:rsid w:val="001F27BF"/>
    <w:rsid w:val="001F71EC"/>
    <w:rsid w:val="001F7A98"/>
    <w:rsid w:val="001F7AFC"/>
    <w:rsid w:val="00201284"/>
    <w:rsid w:val="00202FFD"/>
    <w:rsid w:val="0020484E"/>
    <w:rsid w:val="002122F6"/>
    <w:rsid w:val="0021486E"/>
    <w:rsid w:val="00216144"/>
    <w:rsid w:val="002174D6"/>
    <w:rsid w:val="002179B8"/>
    <w:rsid w:val="00221B33"/>
    <w:rsid w:val="00223B8D"/>
    <w:rsid w:val="00223D30"/>
    <w:rsid w:val="00223D74"/>
    <w:rsid w:val="00225383"/>
    <w:rsid w:val="0022626D"/>
    <w:rsid w:val="002302F9"/>
    <w:rsid w:val="0023048B"/>
    <w:rsid w:val="00231236"/>
    <w:rsid w:val="0023345A"/>
    <w:rsid w:val="002349BF"/>
    <w:rsid w:val="00235C8A"/>
    <w:rsid w:val="00236758"/>
    <w:rsid w:val="00243AFA"/>
    <w:rsid w:val="00245897"/>
    <w:rsid w:val="002504C0"/>
    <w:rsid w:val="00255ACC"/>
    <w:rsid w:val="0025629D"/>
    <w:rsid w:val="00260450"/>
    <w:rsid w:val="002625AA"/>
    <w:rsid w:val="002626F9"/>
    <w:rsid w:val="00265994"/>
    <w:rsid w:val="00267E49"/>
    <w:rsid w:val="002701AD"/>
    <w:rsid w:val="00272B4E"/>
    <w:rsid w:val="002807FA"/>
    <w:rsid w:val="00283A4B"/>
    <w:rsid w:val="00284355"/>
    <w:rsid w:val="00287645"/>
    <w:rsid w:val="00287D46"/>
    <w:rsid w:val="002933AA"/>
    <w:rsid w:val="002A10B2"/>
    <w:rsid w:val="002A2271"/>
    <w:rsid w:val="002A51E8"/>
    <w:rsid w:val="002A5D54"/>
    <w:rsid w:val="002B0EC7"/>
    <w:rsid w:val="002B0F23"/>
    <w:rsid w:val="002B525B"/>
    <w:rsid w:val="002B6F17"/>
    <w:rsid w:val="002B7DA3"/>
    <w:rsid w:val="002C05FC"/>
    <w:rsid w:val="002C320C"/>
    <w:rsid w:val="002D3AC4"/>
    <w:rsid w:val="002E187E"/>
    <w:rsid w:val="002E27A0"/>
    <w:rsid w:val="002E2C5C"/>
    <w:rsid w:val="002F017E"/>
    <w:rsid w:val="002F334D"/>
    <w:rsid w:val="002F4399"/>
    <w:rsid w:val="003003DB"/>
    <w:rsid w:val="0030112F"/>
    <w:rsid w:val="00302AFC"/>
    <w:rsid w:val="003053F2"/>
    <w:rsid w:val="003107E8"/>
    <w:rsid w:val="0031176A"/>
    <w:rsid w:val="0031393E"/>
    <w:rsid w:val="003140CF"/>
    <w:rsid w:val="003158FA"/>
    <w:rsid w:val="00317081"/>
    <w:rsid w:val="003202C7"/>
    <w:rsid w:val="00321320"/>
    <w:rsid w:val="003226F2"/>
    <w:rsid w:val="00323B5C"/>
    <w:rsid w:val="0032441C"/>
    <w:rsid w:val="0033294F"/>
    <w:rsid w:val="0033359C"/>
    <w:rsid w:val="00333962"/>
    <w:rsid w:val="00333B16"/>
    <w:rsid w:val="003356D7"/>
    <w:rsid w:val="00335D6F"/>
    <w:rsid w:val="00337557"/>
    <w:rsid w:val="00340478"/>
    <w:rsid w:val="00341533"/>
    <w:rsid w:val="00341AFA"/>
    <w:rsid w:val="00345DAD"/>
    <w:rsid w:val="00350473"/>
    <w:rsid w:val="003509B8"/>
    <w:rsid w:val="00350C3B"/>
    <w:rsid w:val="00351C08"/>
    <w:rsid w:val="003534C9"/>
    <w:rsid w:val="00357C44"/>
    <w:rsid w:val="00357EEF"/>
    <w:rsid w:val="00360E95"/>
    <w:rsid w:val="00361F26"/>
    <w:rsid w:val="00362802"/>
    <w:rsid w:val="00365B1D"/>
    <w:rsid w:val="003722B8"/>
    <w:rsid w:val="003723B1"/>
    <w:rsid w:val="0037449C"/>
    <w:rsid w:val="00375014"/>
    <w:rsid w:val="0037724B"/>
    <w:rsid w:val="00377949"/>
    <w:rsid w:val="00377D70"/>
    <w:rsid w:val="003840D5"/>
    <w:rsid w:val="00384D04"/>
    <w:rsid w:val="00384D5A"/>
    <w:rsid w:val="00385839"/>
    <w:rsid w:val="003879CA"/>
    <w:rsid w:val="0039028A"/>
    <w:rsid w:val="00393168"/>
    <w:rsid w:val="0039368B"/>
    <w:rsid w:val="00393AC8"/>
    <w:rsid w:val="003951C0"/>
    <w:rsid w:val="00395CC3"/>
    <w:rsid w:val="003A17B0"/>
    <w:rsid w:val="003A3E48"/>
    <w:rsid w:val="003A3FE3"/>
    <w:rsid w:val="003A5A10"/>
    <w:rsid w:val="003A5F99"/>
    <w:rsid w:val="003A608A"/>
    <w:rsid w:val="003A65EC"/>
    <w:rsid w:val="003A76E1"/>
    <w:rsid w:val="003B478F"/>
    <w:rsid w:val="003B7C59"/>
    <w:rsid w:val="003C26EF"/>
    <w:rsid w:val="003C37E0"/>
    <w:rsid w:val="003C7B87"/>
    <w:rsid w:val="003D0278"/>
    <w:rsid w:val="003D06BD"/>
    <w:rsid w:val="003D4B6E"/>
    <w:rsid w:val="003D4F97"/>
    <w:rsid w:val="003D5D07"/>
    <w:rsid w:val="003D7A80"/>
    <w:rsid w:val="003E0907"/>
    <w:rsid w:val="003E23A7"/>
    <w:rsid w:val="003E58BF"/>
    <w:rsid w:val="003E659E"/>
    <w:rsid w:val="003E67D6"/>
    <w:rsid w:val="003E6DE1"/>
    <w:rsid w:val="003F24A1"/>
    <w:rsid w:val="003F75DF"/>
    <w:rsid w:val="00400226"/>
    <w:rsid w:val="0040072B"/>
    <w:rsid w:val="00400A70"/>
    <w:rsid w:val="0040164F"/>
    <w:rsid w:val="00402027"/>
    <w:rsid w:val="00402A24"/>
    <w:rsid w:val="00405D93"/>
    <w:rsid w:val="004061BD"/>
    <w:rsid w:val="00407AB5"/>
    <w:rsid w:val="004117B5"/>
    <w:rsid w:val="004126AD"/>
    <w:rsid w:val="00412B8C"/>
    <w:rsid w:val="004156EF"/>
    <w:rsid w:val="00420C4D"/>
    <w:rsid w:val="00421C46"/>
    <w:rsid w:val="004221B7"/>
    <w:rsid w:val="00422964"/>
    <w:rsid w:val="004251B1"/>
    <w:rsid w:val="00430C02"/>
    <w:rsid w:val="00431399"/>
    <w:rsid w:val="0043235C"/>
    <w:rsid w:val="004328F2"/>
    <w:rsid w:val="0043375F"/>
    <w:rsid w:val="00434B77"/>
    <w:rsid w:val="0043745E"/>
    <w:rsid w:val="00437C9B"/>
    <w:rsid w:val="00443B76"/>
    <w:rsid w:val="004475BB"/>
    <w:rsid w:val="0045133A"/>
    <w:rsid w:val="00451530"/>
    <w:rsid w:val="004545E7"/>
    <w:rsid w:val="0046071D"/>
    <w:rsid w:val="00461AE2"/>
    <w:rsid w:val="00463134"/>
    <w:rsid w:val="00465919"/>
    <w:rsid w:val="00466993"/>
    <w:rsid w:val="00474E1C"/>
    <w:rsid w:val="00475601"/>
    <w:rsid w:val="00486829"/>
    <w:rsid w:val="0049015B"/>
    <w:rsid w:val="0049161A"/>
    <w:rsid w:val="00494B2B"/>
    <w:rsid w:val="00495D95"/>
    <w:rsid w:val="00497911"/>
    <w:rsid w:val="004A0784"/>
    <w:rsid w:val="004A0CE3"/>
    <w:rsid w:val="004A1AB0"/>
    <w:rsid w:val="004A7BBE"/>
    <w:rsid w:val="004B04D7"/>
    <w:rsid w:val="004B0C4B"/>
    <w:rsid w:val="004B2EEE"/>
    <w:rsid w:val="004B5FC4"/>
    <w:rsid w:val="004B7502"/>
    <w:rsid w:val="004B7585"/>
    <w:rsid w:val="004C1D0D"/>
    <w:rsid w:val="004C6B4A"/>
    <w:rsid w:val="004C7240"/>
    <w:rsid w:val="004C7F7B"/>
    <w:rsid w:val="004D5EA5"/>
    <w:rsid w:val="004D7771"/>
    <w:rsid w:val="004D7B36"/>
    <w:rsid w:val="004E0D59"/>
    <w:rsid w:val="004E27C0"/>
    <w:rsid w:val="004E444D"/>
    <w:rsid w:val="004E4A89"/>
    <w:rsid w:val="004E4D48"/>
    <w:rsid w:val="004E6371"/>
    <w:rsid w:val="004E6995"/>
    <w:rsid w:val="004E7872"/>
    <w:rsid w:val="004F19B8"/>
    <w:rsid w:val="004F2511"/>
    <w:rsid w:val="004F544A"/>
    <w:rsid w:val="004F5C35"/>
    <w:rsid w:val="004F766A"/>
    <w:rsid w:val="00500D48"/>
    <w:rsid w:val="00501BAF"/>
    <w:rsid w:val="00504664"/>
    <w:rsid w:val="00507905"/>
    <w:rsid w:val="005107D2"/>
    <w:rsid w:val="00510FC5"/>
    <w:rsid w:val="0051166A"/>
    <w:rsid w:val="00512815"/>
    <w:rsid w:val="00515C02"/>
    <w:rsid w:val="00517B3C"/>
    <w:rsid w:val="005208F7"/>
    <w:rsid w:val="0053449E"/>
    <w:rsid w:val="00536EF9"/>
    <w:rsid w:val="005479E6"/>
    <w:rsid w:val="00551934"/>
    <w:rsid w:val="0055572D"/>
    <w:rsid w:val="00557157"/>
    <w:rsid w:val="00561E68"/>
    <w:rsid w:val="00561E73"/>
    <w:rsid w:val="0057114E"/>
    <w:rsid w:val="00572CC6"/>
    <w:rsid w:val="00573CFA"/>
    <w:rsid w:val="00575ED2"/>
    <w:rsid w:val="00576835"/>
    <w:rsid w:val="005774D2"/>
    <w:rsid w:val="00584754"/>
    <w:rsid w:val="00584D21"/>
    <w:rsid w:val="00587270"/>
    <w:rsid w:val="00590368"/>
    <w:rsid w:val="00593D87"/>
    <w:rsid w:val="0059528D"/>
    <w:rsid w:val="00597F25"/>
    <w:rsid w:val="005A0990"/>
    <w:rsid w:val="005A0E08"/>
    <w:rsid w:val="005A1E6D"/>
    <w:rsid w:val="005A361D"/>
    <w:rsid w:val="005B0EE1"/>
    <w:rsid w:val="005B1D98"/>
    <w:rsid w:val="005B1E2E"/>
    <w:rsid w:val="005B2C4A"/>
    <w:rsid w:val="005B2D52"/>
    <w:rsid w:val="005B30E6"/>
    <w:rsid w:val="005B381D"/>
    <w:rsid w:val="005B41AC"/>
    <w:rsid w:val="005B6907"/>
    <w:rsid w:val="005C1C51"/>
    <w:rsid w:val="005C2049"/>
    <w:rsid w:val="005C287F"/>
    <w:rsid w:val="005C4E39"/>
    <w:rsid w:val="005C60EA"/>
    <w:rsid w:val="005C7D4C"/>
    <w:rsid w:val="005D0DB0"/>
    <w:rsid w:val="005D13A0"/>
    <w:rsid w:val="005D19E9"/>
    <w:rsid w:val="005D1C2C"/>
    <w:rsid w:val="005D1DDD"/>
    <w:rsid w:val="005D1DED"/>
    <w:rsid w:val="005D2085"/>
    <w:rsid w:val="005D2894"/>
    <w:rsid w:val="005D3F5A"/>
    <w:rsid w:val="005D4F00"/>
    <w:rsid w:val="005D5501"/>
    <w:rsid w:val="005D63BA"/>
    <w:rsid w:val="005D6D8A"/>
    <w:rsid w:val="005E067A"/>
    <w:rsid w:val="005E1FFD"/>
    <w:rsid w:val="005E4993"/>
    <w:rsid w:val="005E6A56"/>
    <w:rsid w:val="005E7E82"/>
    <w:rsid w:val="005F2251"/>
    <w:rsid w:val="005F6A0E"/>
    <w:rsid w:val="005F6DB6"/>
    <w:rsid w:val="00601067"/>
    <w:rsid w:val="00601110"/>
    <w:rsid w:val="00601A0B"/>
    <w:rsid w:val="00601DAE"/>
    <w:rsid w:val="006023A4"/>
    <w:rsid w:val="00604D3A"/>
    <w:rsid w:val="006112CA"/>
    <w:rsid w:val="00613ABD"/>
    <w:rsid w:val="00614CED"/>
    <w:rsid w:val="00616750"/>
    <w:rsid w:val="00617890"/>
    <w:rsid w:val="00617992"/>
    <w:rsid w:val="006231CB"/>
    <w:rsid w:val="006257FC"/>
    <w:rsid w:val="00625916"/>
    <w:rsid w:val="00625EBA"/>
    <w:rsid w:val="006267BA"/>
    <w:rsid w:val="00630270"/>
    <w:rsid w:val="0063231F"/>
    <w:rsid w:val="00632EC4"/>
    <w:rsid w:val="0063597E"/>
    <w:rsid w:val="006361E3"/>
    <w:rsid w:val="0063666E"/>
    <w:rsid w:val="00637BDF"/>
    <w:rsid w:val="00643088"/>
    <w:rsid w:val="006430F3"/>
    <w:rsid w:val="00645FEB"/>
    <w:rsid w:val="00650A9E"/>
    <w:rsid w:val="00652D02"/>
    <w:rsid w:val="00655516"/>
    <w:rsid w:val="00656AEB"/>
    <w:rsid w:val="00661FCE"/>
    <w:rsid w:val="00663D93"/>
    <w:rsid w:val="006666B2"/>
    <w:rsid w:val="0066743F"/>
    <w:rsid w:val="00670610"/>
    <w:rsid w:val="00671007"/>
    <w:rsid w:val="0067111E"/>
    <w:rsid w:val="006719E7"/>
    <w:rsid w:val="006727E4"/>
    <w:rsid w:val="00672BB0"/>
    <w:rsid w:val="00673A5B"/>
    <w:rsid w:val="0067651F"/>
    <w:rsid w:val="006767D9"/>
    <w:rsid w:val="00683B04"/>
    <w:rsid w:val="006873F7"/>
    <w:rsid w:val="0068744B"/>
    <w:rsid w:val="00690649"/>
    <w:rsid w:val="006911EB"/>
    <w:rsid w:val="00694D70"/>
    <w:rsid w:val="00694F3D"/>
    <w:rsid w:val="006951D1"/>
    <w:rsid w:val="00695E65"/>
    <w:rsid w:val="006A2F2F"/>
    <w:rsid w:val="006A4F5A"/>
    <w:rsid w:val="006A56F1"/>
    <w:rsid w:val="006B0415"/>
    <w:rsid w:val="006B3637"/>
    <w:rsid w:val="006B3FB9"/>
    <w:rsid w:val="006B71B5"/>
    <w:rsid w:val="006C1C35"/>
    <w:rsid w:val="006C2D2E"/>
    <w:rsid w:val="006C3BB4"/>
    <w:rsid w:val="006C3DED"/>
    <w:rsid w:val="006C4230"/>
    <w:rsid w:val="006D095A"/>
    <w:rsid w:val="006D3928"/>
    <w:rsid w:val="006D3EFE"/>
    <w:rsid w:val="006D61AD"/>
    <w:rsid w:val="006E0E6D"/>
    <w:rsid w:val="006E1C25"/>
    <w:rsid w:val="006E1FE1"/>
    <w:rsid w:val="006E36AC"/>
    <w:rsid w:val="006E44C2"/>
    <w:rsid w:val="006E468C"/>
    <w:rsid w:val="006E66A1"/>
    <w:rsid w:val="006F0BD6"/>
    <w:rsid w:val="006F41B2"/>
    <w:rsid w:val="006F4332"/>
    <w:rsid w:val="006F5371"/>
    <w:rsid w:val="006F676E"/>
    <w:rsid w:val="00704AEA"/>
    <w:rsid w:val="007071F8"/>
    <w:rsid w:val="007152CA"/>
    <w:rsid w:val="007218DF"/>
    <w:rsid w:val="00722ACC"/>
    <w:rsid w:val="0072340D"/>
    <w:rsid w:val="00723EE1"/>
    <w:rsid w:val="0072540B"/>
    <w:rsid w:val="00726554"/>
    <w:rsid w:val="007302A6"/>
    <w:rsid w:val="00732391"/>
    <w:rsid w:val="007324D5"/>
    <w:rsid w:val="00732636"/>
    <w:rsid w:val="00732E19"/>
    <w:rsid w:val="00734AA9"/>
    <w:rsid w:val="007359F2"/>
    <w:rsid w:val="0073671E"/>
    <w:rsid w:val="0073790F"/>
    <w:rsid w:val="00737E17"/>
    <w:rsid w:val="007415A6"/>
    <w:rsid w:val="0074337D"/>
    <w:rsid w:val="00743962"/>
    <w:rsid w:val="00746227"/>
    <w:rsid w:val="00746661"/>
    <w:rsid w:val="00746F9C"/>
    <w:rsid w:val="00746FF0"/>
    <w:rsid w:val="00751EAB"/>
    <w:rsid w:val="0075344B"/>
    <w:rsid w:val="00753738"/>
    <w:rsid w:val="00756052"/>
    <w:rsid w:val="0075635E"/>
    <w:rsid w:val="00757E5E"/>
    <w:rsid w:val="00761933"/>
    <w:rsid w:val="00761CFB"/>
    <w:rsid w:val="0076254F"/>
    <w:rsid w:val="00762AA7"/>
    <w:rsid w:val="00763A14"/>
    <w:rsid w:val="0076509F"/>
    <w:rsid w:val="00765E1E"/>
    <w:rsid w:val="00765EE5"/>
    <w:rsid w:val="007661B8"/>
    <w:rsid w:val="00772B41"/>
    <w:rsid w:val="007741B6"/>
    <w:rsid w:val="0077522E"/>
    <w:rsid w:val="007753B1"/>
    <w:rsid w:val="00775E6C"/>
    <w:rsid w:val="007822E7"/>
    <w:rsid w:val="00785116"/>
    <w:rsid w:val="007861D2"/>
    <w:rsid w:val="00786CDD"/>
    <w:rsid w:val="007878E6"/>
    <w:rsid w:val="00787979"/>
    <w:rsid w:val="0079043F"/>
    <w:rsid w:val="0079524E"/>
    <w:rsid w:val="0079703C"/>
    <w:rsid w:val="007A235E"/>
    <w:rsid w:val="007A23F4"/>
    <w:rsid w:val="007A37D5"/>
    <w:rsid w:val="007A4ED4"/>
    <w:rsid w:val="007A5A1C"/>
    <w:rsid w:val="007A7F45"/>
    <w:rsid w:val="007B0C47"/>
    <w:rsid w:val="007B1E49"/>
    <w:rsid w:val="007B219E"/>
    <w:rsid w:val="007B2B95"/>
    <w:rsid w:val="007B5458"/>
    <w:rsid w:val="007B5DC9"/>
    <w:rsid w:val="007C0A89"/>
    <w:rsid w:val="007C234A"/>
    <w:rsid w:val="007C264B"/>
    <w:rsid w:val="007C33EF"/>
    <w:rsid w:val="007C3DB5"/>
    <w:rsid w:val="007C3FBE"/>
    <w:rsid w:val="007D0CDF"/>
    <w:rsid w:val="007D1234"/>
    <w:rsid w:val="007D24E6"/>
    <w:rsid w:val="007D40B7"/>
    <w:rsid w:val="007D469A"/>
    <w:rsid w:val="007D4B42"/>
    <w:rsid w:val="007D4FE1"/>
    <w:rsid w:val="007D58D7"/>
    <w:rsid w:val="007E0BD2"/>
    <w:rsid w:val="007E2EE7"/>
    <w:rsid w:val="007E3B54"/>
    <w:rsid w:val="007E7BD0"/>
    <w:rsid w:val="007E7F87"/>
    <w:rsid w:val="007F2190"/>
    <w:rsid w:val="007F2A36"/>
    <w:rsid w:val="007F2ABC"/>
    <w:rsid w:val="007F32D0"/>
    <w:rsid w:val="007F56A8"/>
    <w:rsid w:val="00801F27"/>
    <w:rsid w:val="00804D89"/>
    <w:rsid w:val="008050E9"/>
    <w:rsid w:val="00810D5B"/>
    <w:rsid w:val="00811BD9"/>
    <w:rsid w:val="00814BA2"/>
    <w:rsid w:val="00815103"/>
    <w:rsid w:val="00815BB2"/>
    <w:rsid w:val="008164C1"/>
    <w:rsid w:val="00817AF4"/>
    <w:rsid w:val="00820592"/>
    <w:rsid w:val="0082076E"/>
    <w:rsid w:val="00821292"/>
    <w:rsid w:val="008215E2"/>
    <w:rsid w:val="00823F7A"/>
    <w:rsid w:val="00825180"/>
    <w:rsid w:val="00827A8C"/>
    <w:rsid w:val="00830C51"/>
    <w:rsid w:val="00830F31"/>
    <w:rsid w:val="0083390E"/>
    <w:rsid w:val="0083440D"/>
    <w:rsid w:val="008418F1"/>
    <w:rsid w:val="0084436F"/>
    <w:rsid w:val="00845AE9"/>
    <w:rsid w:val="00845EEB"/>
    <w:rsid w:val="00847EEB"/>
    <w:rsid w:val="0085039E"/>
    <w:rsid w:val="0085216F"/>
    <w:rsid w:val="008521A4"/>
    <w:rsid w:val="0085329C"/>
    <w:rsid w:val="008545CA"/>
    <w:rsid w:val="00855CAF"/>
    <w:rsid w:val="008602FA"/>
    <w:rsid w:val="008610AC"/>
    <w:rsid w:val="00862933"/>
    <w:rsid w:val="00866F71"/>
    <w:rsid w:val="0086743E"/>
    <w:rsid w:val="00871E8F"/>
    <w:rsid w:val="00873533"/>
    <w:rsid w:val="00873666"/>
    <w:rsid w:val="0088046E"/>
    <w:rsid w:val="00883CB5"/>
    <w:rsid w:val="00886497"/>
    <w:rsid w:val="008875CD"/>
    <w:rsid w:val="008903EF"/>
    <w:rsid w:val="008909F4"/>
    <w:rsid w:val="00893CE5"/>
    <w:rsid w:val="008955A8"/>
    <w:rsid w:val="008959B6"/>
    <w:rsid w:val="00895B10"/>
    <w:rsid w:val="008A721E"/>
    <w:rsid w:val="008A7D61"/>
    <w:rsid w:val="008B4717"/>
    <w:rsid w:val="008B4E34"/>
    <w:rsid w:val="008B6F12"/>
    <w:rsid w:val="008B6FCA"/>
    <w:rsid w:val="008C5667"/>
    <w:rsid w:val="008C5961"/>
    <w:rsid w:val="008C5D4B"/>
    <w:rsid w:val="008C7F57"/>
    <w:rsid w:val="008D32BA"/>
    <w:rsid w:val="008D3BDF"/>
    <w:rsid w:val="008D6D44"/>
    <w:rsid w:val="008E08E4"/>
    <w:rsid w:val="008E0F30"/>
    <w:rsid w:val="008E7EAE"/>
    <w:rsid w:val="008F3314"/>
    <w:rsid w:val="008F387E"/>
    <w:rsid w:val="008F3DB2"/>
    <w:rsid w:val="008F3E83"/>
    <w:rsid w:val="008F406F"/>
    <w:rsid w:val="00905516"/>
    <w:rsid w:val="0090576B"/>
    <w:rsid w:val="00910363"/>
    <w:rsid w:val="00911DC8"/>
    <w:rsid w:val="00914982"/>
    <w:rsid w:val="00914B24"/>
    <w:rsid w:val="00915B61"/>
    <w:rsid w:val="00915F86"/>
    <w:rsid w:val="0092120C"/>
    <w:rsid w:val="00922171"/>
    <w:rsid w:val="009247EA"/>
    <w:rsid w:val="00926645"/>
    <w:rsid w:val="00931AD2"/>
    <w:rsid w:val="00933321"/>
    <w:rsid w:val="00933E64"/>
    <w:rsid w:val="00935609"/>
    <w:rsid w:val="009457AC"/>
    <w:rsid w:val="009478F7"/>
    <w:rsid w:val="00951AF2"/>
    <w:rsid w:val="00952141"/>
    <w:rsid w:val="00954AD2"/>
    <w:rsid w:val="00955271"/>
    <w:rsid w:val="00956282"/>
    <w:rsid w:val="0095679D"/>
    <w:rsid w:val="00957848"/>
    <w:rsid w:val="00960533"/>
    <w:rsid w:val="0096384E"/>
    <w:rsid w:val="00965336"/>
    <w:rsid w:val="009669C3"/>
    <w:rsid w:val="00967B26"/>
    <w:rsid w:val="00970B10"/>
    <w:rsid w:val="009736B4"/>
    <w:rsid w:val="0097525D"/>
    <w:rsid w:val="00983405"/>
    <w:rsid w:val="0098392F"/>
    <w:rsid w:val="00991236"/>
    <w:rsid w:val="00996263"/>
    <w:rsid w:val="009966E5"/>
    <w:rsid w:val="00996B54"/>
    <w:rsid w:val="00997DF0"/>
    <w:rsid w:val="009A1B7C"/>
    <w:rsid w:val="009A1E5F"/>
    <w:rsid w:val="009A20A2"/>
    <w:rsid w:val="009A3425"/>
    <w:rsid w:val="009A34A1"/>
    <w:rsid w:val="009A6D51"/>
    <w:rsid w:val="009B19C4"/>
    <w:rsid w:val="009B3CAA"/>
    <w:rsid w:val="009B41B6"/>
    <w:rsid w:val="009B5EA0"/>
    <w:rsid w:val="009B5ED3"/>
    <w:rsid w:val="009C00C1"/>
    <w:rsid w:val="009C2AEA"/>
    <w:rsid w:val="009C2BE0"/>
    <w:rsid w:val="009C6EA1"/>
    <w:rsid w:val="009D0241"/>
    <w:rsid w:val="009D4CEA"/>
    <w:rsid w:val="009D7CDA"/>
    <w:rsid w:val="009E0FF6"/>
    <w:rsid w:val="009E4E1E"/>
    <w:rsid w:val="009E5749"/>
    <w:rsid w:val="009E5B1B"/>
    <w:rsid w:val="009E62C8"/>
    <w:rsid w:val="009F1141"/>
    <w:rsid w:val="009F4536"/>
    <w:rsid w:val="009F59C3"/>
    <w:rsid w:val="009F75E4"/>
    <w:rsid w:val="00A00EDD"/>
    <w:rsid w:val="00A017C9"/>
    <w:rsid w:val="00A0328C"/>
    <w:rsid w:val="00A06BAE"/>
    <w:rsid w:val="00A10212"/>
    <w:rsid w:val="00A10AEC"/>
    <w:rsid w:val="00A11121"/>
    <w:rsid w:val="00A12A31"/>
    <w:rsid w:val="00A132C2"/>
    <w:rsid w:val="00A13EA2"/>
    <w:rsid w:val="00A17C99"/>
    <w:rsid w:val="00A20432"/>
    <w:rsid w:val="00A2123A"/>
    <w:rsid w:val="00A22538"/>
    <w:rsid w:val="00A22A48"/>
    <w:rsid w:val="00A23231"/>
    <w:rsid w:val="00A23774"/>
    <w:rsid w:val="00A238AD"/>
    <w:rsid w:val="00A267CB"/>
    <w:rsid w:val="00A26BA1"/>
    <w:rsid w:val="00A31EE7"/>
    <w:rsid w:val="00A34B90"/>
    <w:rsid w:val="00A34D17"/>
    <w:rsid w:val="00A36CE1"/>
    <w:rsid w:val="00A40CF4"/>
    <w:rsid w:val="00A40DAF"/>
    <w:rsid w:val="00A437B7"/>
    <w:rsid w:val="00A45845"/>
    <w:rsid w:val="00A47791"/>
    <w:rsid w:val="00A50567"/>
    <w:rsid w:val="00A5158B"/>
    <w:rsid w:val="00A51E8C"/>
    <w:rsid w:val="00A52875"/>
    <w:rsid w:val="00A52D0B"/>
    <w:rsid w:val="00A5487A"/>
    <w:rsid w:val="00A54E8C"/>
    <w:rsid w:val="00A60F53"/>
    <w:rsid w:val="00A62160"/>
    <w:rsid w:val="00A622B2"/>
    <w:rsid w:val="00A65FBB"/>
    <w:rsid w:val="00A664D1"/>
    <w:rsid w:val="00A72ACC"/>
    <w:rsid w:val="00A73037"/>
    <w:rsid w:val="00A74DE5"/>
    <w:rsid w:val="00A76F08"/>
    <w:rsid w:val="00A77D00"/>
    <w:rsid w:val="00A81CF4"/>
    <w:rsid w:val="00A822AF"/>
    <w:rsid w:val="00A823AD"/>
    <w:rsid w:val="00A851B0"/>
    <w:rsid w:val="00A858E7"/>
    <w:rsid w:val="00A862FD"/>
    <w:rsid w:val="00A86769"/>
    <w:rsid w:val="00A9143D"/>
    <w:rsid w:val="00A9540A"/>
    <w:rsid w:val="00A96056"/>
    <w:rsid w:val="00A96716"/>
    <w:rsid w:val="00AA0A7B"/>
    <w:rsid w:val="00AA169C"/>
    <w:rsid w:val="00AA2983"/>
    <w:rsid w:val="00AA2D9F"/>
    <w:rsid w:val="00AA3E55"/>
    <w:rsid w:val="00AA4938"/>
    <w:rsid w:val="00AA5530"/>
    <w:rsid w:val="00AA56AB"/>
    <w:rsid w:val="00AA61EC"/>
    <w:rsid w:val="00AA7553"/>
    <w:rsid w:val="00AB0823"/>
    <w:rsid w:val="00AB2EC3"/>
    <w:rsid w:val="00AB5E1C"/>
    <w:rsid w:val="00AC2171"/>
    <w:rsid w:val="00AC3709"/>
    <w:rsid w:val="00AC57AF"/>
    <w:rsid w:val="00AC584D"/>
    <w:rsid w:val="00AC6E92"/>
    <w:rsid w:val="00AD26FF"/>
    <w:rsid w:val="00AD2A30"/>
    <w:rsid w:val="00AD3D2B"/>
    <w:rsid w:val="00AD4FBD"/>
    <w:rsid w:val="00AD5BD7"/>
    <w:rsid w:val="00AE02B0"/>
    <w:rsid w:val="00AE51F6"/>
    <w:rsid w:val="00AE52EF"/>
    <w:rsid w:val="00AE72CF"/>
    <w:rsid w:val="00AF017A"/>
    <w:rsid w:val="00AF307A"/>
    <w:rsid w:val="00AF39C7"/>
    <w:rsid w:val="00AF4C18"/>
    <w:rsid w:val="00AF5B0B"/>
    <w:rsid w:val="00B0086E"/>
    <w:rsid w:val="00B0495F"/>
    <w:rsid w:val="00B060A7"/>
    <w:rsid w:val="00B0699C"/>
    <w:rsid w:val="00B10E8B"/>
    <w:rsid w:val="00B116DD"/>
    <w:rsid w:val="00B118CA"/>
    <w:rsid w:val="00B1285A"/>
    <w:rsid w:val="00B12FDF"/>
    <w:rsid w:val="00B14F4D"/>
    <w:rsid w:val="00B1525C"/>
    <w:rsid w:val="00B158DA"/>
    <w:rsid w:val="00B15D32"/>
    <w:rsid w:val="00B17AAC"/>
    <w:rsid w:val="00B21A2E"/>
    <w:rsid w:val="00B22206"/>
    <w:rsid w:val="00B22366"/>
    <w:rsid w:val="00B315E9"/>
    <w:rsid w:val="00B34CC1"/>
    <w:rsid w:val="00B34DAF"/>
    <w:rsid w:val="00B35A70"/>
    <w:rsid w:val="00B36D39"/>
    <w:rsid w:val="00B430C4"/>
    <w:rsid w:val="00B44859"/>
    <w:rsid w:val="00B50B15"/>
    <w:rsid w:val="00B510C3"/>
    <w:rsid w:val="00B51186"/>
    <w:rsid w:val="00B51847"/>
    <w:rsid w:val="00B525ED"/>
    <w:rsid w:val="00B54DE4"/>
    <w:rsid w:val="00B610BB"/>
    <w:rsid w:val="00B6253A"/>
    <w:rsid w:val="00B628C0"/>
    <w:rsid w:val="00B64078"/>
    <w:rsid w:val="00B643D1"/>
    <w:rsid w:val="00B65477"/>
    <w:rsid w:val="00B67F61"/>
    <w:rsid w:val="00B709F6"/>
    <w:rsid w:val="00B71628"/>
    <w:rsid w:val="00B7232E"/>
    <w:rsid w:val="00B7382A"/>
    <w:rsid w:val="00B74F3E"/>
    <w:rsid w:val="00B756E6"/>
    <w:rsid w:val="00B76BB3"/>
    <w:rsid w:val="00B7743B"/>
    <w:rsid w:val="00B806B8"/>
    <w:rsid w:val="00B80F0E"/>
    <w:rsid w:val="00B843BC"/>
    <w:rsid w:val="00B8496A"/>
    <w:rsid w:val="00B84C4A"/>
    <w:rsid w:val="00B85545"/>
    <w:rsid w:val="00B87CA6"/>
    <w:rsid w:val="00B9071F"/>
    <w:rsid w:val="00B95955"/>
    <w:rsid w:val="00B9610A"/>
    <w:rsid w:val="00B97B6E"/>
    <w:rsid w:val="00BA2F89"/>
    <w:rsid w:val="00BA31B3"/>
    <w:rsid w:val="00BA5821"/>
    <w:rsid w:val="00BB07DC"/>
    <w:rsid w:val="00BB22A5"/>
    <w:rsid w:val="00BB5D33"/>
    <w:rsid w:val="00BB717E"/>
    <w:rsid w:val="00BB777A"/>
    <w:rsid w:val="00BC0824"/>
    <w:rsid w:val="00BC2A1E"/>
    <w:rsid w:val="00BC31E7"/>
    <w:rsid w:val="00BC4BA1"/>
    <w:rsid w:val="00BC6C21"/>
    <w:rsid w:val="00BD0333"/>
    <w:rsid w:val="00BD1F78"/>
    <w:rsid w:val="00BD219E"/>
    <w:rsid w:val="00BD287D"/>
    <w:rsid w:val="00BD718D"/>
    <w:rsid w:val="00BE59F9"/>
    <w:rsid w:val="00BE6DC9"/>
    <w:rsid w:val="00BF3F02"/>
    <w:rsid w:val="00BF3F69"/>
    <w:rsid w:val="00BF4D6B"/>
    <w:rsid w:val="00BF5E84"/>
    <w:rsid w:val="00BF78ED"/>
    <w:rsid w:val="00BF7BA9"/>
    <w:rsid w:val="00C00985"/>
    <w:rsid w:val="00C01B46"/>
    <w:rsid w:val="00C06896"/>
    <w:rsid w:val="00C07E62"/>
    <w:rsid w:val="00C12190"/>
    <w:rsid w:val="00C1603A"/>
    <w:rsid w:val="00C17459"/>
    <w:rsid w:val="00C234A2"/>
    <w:rsid w:val="00C23728"/>
    <w:rsid w:val="00C3185F"/>
    <w:rsid w:val="00C325CC"/>
    <w:rsid w:val="00C34879"/>
    <w:rsid w:val="00C34D1A"/>
    <w:rsid w:val="00C36C71"/>
    <w:rsid w:val="00C40755"/>
    <w:rsid w:val="00C51C46"/>
    <w:rsid w:val="00C61E7F"/>
    <w:rsid w:val="00C71B0F"/>
    <w:rsid w:val="00C72FB3"/>
    <w:rsid w:val="00C737D6"/>
    <w:rsid w:val="00C73F1D"/>
    <w:rsid w:val="00C76549"/>
    <w:rsid w:val="00C76C14"/>
    <w:rsid w:val="00C80E99"/>
    <w:rsid w:val="00C80EAB"/>
    <w:rsid w:val="00C814FF"/>
    <w:rsid w:val="00C81B56"/>
    <w:rsid w:val="00C8208D"/>
    <w:rsid w:val="00C8226D"/>
    <w:rsid w:val="00C82783"/>
    <w:rsid w:val="00C83C7A"/>
    <w:rsid w:val="00C84F08"/>
    <w:rsid w:val="00C86082"/>
    <w:rsid w:val="00C87E52"/>
    <w:rsid w:val="00C90F39"/>
    <w:rsid w:val="00C92F17"/>
    <w:rsid w:val="00C97172"/>
    <w:rsid w:val="00C976D0"/>
    <w:rsid w:val="00CA1758"/>
    <w:rsid w:val="00CA1BC4"/>
    <w:rsid w:val="00CA1EEB"/>
    <w:rsid w:val="00CA217B"/>
    <w:rsid w:val="00CA35DB"/>
    <w:rsid w:val="00CA5145"/>
    <w:rsid w:val="00CA57AD"/>
    <w:rsid w:val="00CA587A"/>
    <w:rsid w:val="00CA5D8A"/>
    <w:rsid w:val="00CA5DA8"/>
    <w:rsid w:val="00CA66AE"/>
    <w:rsid w:val="00CA66BB"/>
    <w:rsid w:val="00CA7CA1"/>
    <w:rsid w:val="00CB1EEF"/>
    <w:rsid w:val="00CB41C4"/>
    <w:rsid w:val="00CC00B4"/>
    <w:rsid w:val="00CC2A4B"/>
    <w:rsid w:val="00CC562C"/>
    <w:rsid w:val="00CC5916"/>
    <w:rsid w:val="00CC70A6"/>
    <w:rsid w:val="00CD01A7"/>
    <w:rsid w:val="00CE3984"/>
    <w:rsid w:val="00CE47BF"/>
    <w:rsid w:val="00CE530D"/>
    <w:rsid w:val="00CE5CF6"/>
    <w:rsid w:val="00CE6FB5"/>
    <w:rsid w:val="00CF201A"/>
    <w:rsid w:val="00CF3016"/>
    <w:rsid w:val="00CF357F"/>
    <w:rsid w:val="00CF619E"/>
    <w:rsid w:val="00CF742D"/>
    <w:rsid w:val="00CF7C14"/>
    <w:rsid w:val="00D00334"/>
    <w:rsid w:val="00D00907"/>
    <w:rsid w:val="00D01374"/>
    <w:rsid w:val="00D026CE"/>
    <w:rsid w:val="00D03E99"/>
    <w:rsid w:val="00D03F7B"/>
    <w:rsid w:val="00D054A9"/>
    <w:rsid w:val="00D128AD"/>
    <w:rsid w:val="00D13F20"/>
    <w:rsid w:val="00D15CFA"/>
    <w:rsid w:val="00D162E4"/>
    <w:rsid w:val="00D16AB6"/>
    <w:rsid w:val="00D16F5D"/>
    <w:rsid w:val="00D173E1"/>
    <w:rsid w:val="00D20844"/>
    <w:rsid w:val="00D22CB2"/>
    <w:rsid w:val="00D22F65"/>
    <w:rsid w:val="00D24FE4"/>
    <w:rsid w:val="00D27E7E"/>
    <w:rsid w:val="00D3463A"/>
    <w:rsid w:val="00D34A70"/>
    <w:rsid w:val="00D3539D"/>
    <w:rsid w:val="00D35D01"/>
    <w:rsid w:val="00D40E52"/>
    <w:rsid w:val="00D41693"/>
    <w:rsid w:val="00D4170C"/>
    <w:rsid w:val="00D42D4E"/>
    <w:rsid w:val="00D4363D"/>
    <w:rsid w:val="00D4461C"/>
    <w:rsid w:val="00D45130"/>
    <w:rsid w:val="00D470EC"/>
    <w:rsid w:val="00D51B1A"/>
    <w:rsid w:val="00D62348"/>
    <w:rsid w:val="00D63CE6"/>
    <w:rsid w:val="00D712A5"/>
    <w:rsid w:val="00D729CD"/>
    <w:rsid w:val="00D76764"/>
    <w:rsid w:val="00D82804"/>
    <w:rsid w:val="00D82B3C"/>
    <w:rsid w:val="00D83BD3"/>
    <w:rsid w:val="00D87037"/>
    <w:rsid w:val="00D9252A"/>
    <w:rsid w:val="00DA0D3D"/>
    <w:rsid w:val="00DA339F"/>
    <w:rsid w:val="00DA616C"/>
    <w:rsid w:val="00DA684D"/>
    <w:rsid w:val="00DB0713"/>
    <w:rsid w:val="00DB1778"/>
    <w:rsid w:val="00DB2DF5"/>
    <w:rsid w:val="00DB7471"/>
    <w:rsid w:val="00DD017A"/>
    <w:rsid w:val="00DD37FB"/>
    <w:rsid w:val="00DE2EEC"/>
    <w:rsid w:val="00DE395C"/>
    <w:rsid w:val="00DE3D9A"/>
    <w:rsid w:val="00DE4DA9"/>
    <w:rsid w:val="00DE6380"/>
    <w:rsid w:val="00DE7E2C"/>
    <w:rsid w:val="00DF0E43"/>
    <w:rsid w:val="00DF4CBF"/>
    <w:rsid w:val="00DF561D"/>
    <w:rsid w:val="00DF68A8"/>
    <w:rsid w:val="00DF74CA"/>
    <w:rsid w:val="00DF791A"/>
    <w:rsid w:val="00E004BA"/>
    <w:rsid w:val="00E01C75"/>
    <w:rsid w:val="00E02442"/>
    <w:rsid w:val="00E0420F"/>
    <w:rsid w:val="00E04834"/>
    <w:rsid w:val="00E07A46"/>
    <w:rsid w:val="00E07B2D"/>
    <w:rsid w:val="00E10124"/>
    <w:rsid w:val="00E10693"/>
    <w:rsid w:val="00E11770"/>
    <w:rsid w:val="00E13C2E"/>
    <w:rsid w:val="00E167AD"/>
    <w:rsid w:val="00E17953"/>
    <w:rsid w:val="00E20530"/>
    <w:rsid w:val="00E20589"/>
    <w:rsid w:val="00E20AB5"/>
    <w:rsid w:val="00E21185"/>
    <w:rsid w:val="00E23D66"/>
    <w:rsid w:val="00E23ED0"/>
    <w:rsid w:val="00E274A5"/>
    <w:rsid w:val="00E27DA1"/>
    <w:rsid w:val="00E30C15"/>
    <w:rsid w:val="00E310C1"/>
    <w:rsid w:val="00E31563"/>
    <w:rsid w:val="00E355C2"/>
    <w:rsid w:val="00E35C7B"/>
    <w:rsid w:val="00E36C3F"/>
    <w:rsid w:val="00E400B1"/>
    <w:rsid w:val="00E420C1"/>
    <w:rsid w:val="00E42132"/>
    <w:rsid w:val="00E43302"/>
    <w:rsid w:val="00E44D67"/>
    <w:rsid w:val="00E4608E"/>
    <w:rsid w:val="00E46740"/>
    <w:rsid w:val="00E504EE"/>
    <w:rsid w:val="00E507BF"/>
    <w:rsid w:val="00E522D6"/>
    <w:rsid w:val="00E52CD1"/>
    <w:rsid w:val="00E53ABC"/>
    <w:rsid w:val="00E55273"/>
    <w:rsid w:val="00E5656D"/>
    <w:rsid w:val="00E56BEE"/>
    <w:rsid w:val="00E60668"/>
    <w:rsid w:val="00E61196"/>
    <w:rsid w:val="00E65A52"/>
    <w:rsid w:val="00E66449"/>
    <w:rsid w:val="00E70B76"/>
    <w:rsid w:val="00E714C1"/>
    <w:rsid w:val="00E7395F"/>
    <w:rsid w:val="00E743AB"/>
    <w:rsid w:val="00E74B15"/>
    <w:rsid w:val="00E80CE0"/>
    <w:rsid w:val="00E80EC3"/>
    <w:rsid w:val="00E83A6F"/>
    <w:rsid w:val="00E86184"/>
    <w:rsid w:val="00E9028E"/>
    <w:rsid w:val="00E92D14"/>
    <w:rsid w:val="00E92F1C"/>
    <w:rsid w:val="00E94581"/>
    <w:rsid w:val="00E950AF"/>
    <w:rsid w:val="00E979AF"/>
    <w:rsid w:val="00E97FCF"/>
    <w:rsid w:val="00EA5359"/>
    <w:rsid w:val="00EA7DAF"/>
    <w:rsid w:val="00EB1AD4"/>
    <w:rsid w:val="00EB2230"/>
    <w:rsid w:val="00EB2530"/>
    <w:rsid w:val="00EB27A2"/>
    <w:rsid w:val="00EB4AE5"/>
    <w:rsid w:val="00EB6A86"/>
    <w:rsid w:val="00EC0CE9"/>
    <w:rsid w:val="00EC0E3E"/>
    <w:rsid w:val="00EC2D39"/>
    <w:rsid w:val="00EC52FC"/>
    <w:rsid w:val="00ED13A5"/>
    <w:rsid w:val="00ED271E"/>
    <w:rsid w:val="00ED44C4"/>
    <w:rsid w:val="00ED4913"/>
    <w:rsid w:val="00ED4B8C"/>
    <w:rsid w:val="00ED51C4"/>
    <w:rsid w:val="00ED5663"/>
    <w:rsid w:val="00ED787B"/>
    <w:rsid w:val="00EE43FF"/>
    <w:rsid w:val="00EE51E0"/>
    <w:rsid w:val="00EE6285"/>
    <w:rsid w:val="00EE65A6"/>
    <w:rsid w:val="00EF01AB"/>
    <w:rsid w:val="00EF0C8E"/>
    <w:rsid w:val="00EF3A68"/>
    <w:rsid w:val="00F02AD2"/>
    <w:rsid w:val="00F044AA"/>
    <w:rsid w:val="00F051C6"/>
    <w:rsid w:val="00F076B3"/>
    <w:rsid w:val="00F10B16"/>
    <w:rsid w:val="00F1138E"/>
    <w:rsid w:val="00F137C3"/>
    <w:rsid w:val="00F158AD"/>
    <w:rsid w:val="00F16B8E"/>
    <w:rsid w:val="00F17D5B"/>
    <w:rsid w:val="00F17EE1"/>
    <w:rsid w:val="00F219F7"/>
    <w:rsid w:val="00F23367"/>
    <w:rsid w:val="00F2411D"/>
    <w:rsid w:val="00F249E5"/>
    <w:rsid w:val="00F24CDF"/>
    <w:rsid w:val="00F27DF6"/>
    <w:rsid w:val="00F34ACA"/>
    <w:rsid w:val="00F40A14"/>
    <w:rsid w:val="00F40AB1"/>
    <w:rsid w:val="00F40DAB"/>
    <w:rsid w:val="00F41949"/>
    <w:rsid w:val="00F42D5C"/>
    <w:rsid w:val="00F43129"/>
    <w:rsid w:val="00F4495A"/>
    <w:rsid w:val="00F45EAB"/>
    <w:rsid w:val="00F46274"/>
    <w:rsid w:val="00F52C91"/>
    <w:rsid w:val="00F53462"/>
    <w:rsid w:val="00F54FDA"/>
    <w:rsid w:val="00F61E6B"/>
    <w:rsid w:val="00F63C48"/>
    <w:rsid w:val="00F6486E"/>
    <w:rsid w:val="00F66EDE"/>
    <w:rsid w:val="00F67852"/>
    <w:rsid w:val="00F6793B"/>
    <w:rsid w:val="00F70017"/>
    <w:rsid w:val="00F70523"/>
    <w:rsid w:val="00F7187C"/>
    <w:rsid w:val="00F7202D"/>
    <w:rsid w:val="00F76C7C"/>
    <w:rsid w:val="00F81D3E"/>
    <w:rsid w:val="00F82E7F"/>
    <w:rsid w:val="00F83843"/>
    <w:rsid w:val="00F83D52"/>
    <w:rsid w:val="00F85213"/>
    <w:rsid w:val="00F9032A"/>
    <w:rsid w:val="00F95311"/>
    <w:rsid w:val="00F9538B"/>
    <w:rsid w:val="00F972B3"/>
    <w:rsid w:val="00FA182E"/>
    <w:rsid w:val="00FA195B"/>
    <w:rsid w:val="00FA5407"/>
    <w:rsid w:val="00FA544D"/>
    <w:rsid w:val="00FA590E"/>
    <w:rsid w:val="00FA6D68"/>
    <w:rsid w:val="00FA6E5B"/>
    <w:rsid w:val="00FB1973"/>
    <w:rsid w:val="00FB248E"/>
    <w:rsid w:val="00FB388C"/>
    <w:rsid w:val="00FB3BFA"/>
    <w:rsid w:val="00FB40F3"/>
    <w:rsid w:val="00FB56B1"/>
    <w:rsid w:val="00FB696D"/>
    <w:rsid w:val="00FB7782"/>
    <w:rsid w:val="00FC0000"/>
    <w:rsid w:val="00FC0F15"/>
    <w:rsid w:val="00FC186D"/>
    <w:rsid w:val="00FC570F"/>
    <w:rsid w:val="00FC5E69"/>
    <w:rsid w:val="00FC6AAD"/>
    <w:rsid w:val="00FC6D54"/>
    <w:rsid w:val="00FC70CA"/>
    <w:rsid w:val="00FC7EC0"/>
    <w:rsid w:val="00FD24D4"/>
    <w:rsid w:val="00FD25A4"/>
    <w:rsid w:val="00FD3465"/>
    <w:rsid w:val="00FD40FA"/>
    <w:rsid w:val="00FE11E6"/>
    <w:rsid w:val="00FE1B8E"/>
    <w:rsid w:val="00FE2FD2"/>
    <w:rsid w:val="00FE4B8C"/>
    <w:rsid w:val="00FE6791"/>
    <w:rsid w:val="00FF12CA"/>
    <w:rsid w:val="00FF15A7"/>
    <w:rsid w:val="00FF1E85"/>
    <w:rsid w:val="00FF2B59"/>
    <w:rsid w:val="00FF3C97"/>
    <w:rsid w:val="00FF5BFB"/>
    <w:rsid w:val="00FF7E35"/>
    <w:rsid w:val="15C2DF4D"/>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7707D8"/>
  <w14:discardImageEditingData/>
  <w15:chartTrackingRefBased/>
  <w15:docId w15:val="{F3117F09-2693-45C0-9F0C-AE3CF20776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Franklin Gothic Book" w:eastAsia="Times New Roman" w:hAnsi="Franklin Gothic Book" w:cs="Times New Roman"/>
        <w:sz w:val="22"/>
        <w:szCs w:val="22"/>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10" w:unhideWhenUsed="1" w:qFormat="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4" w:unhideWhenUsed="1" w:qFormat="1"/>
    <w:lsdException w:name="FollowedHyperlink" w:semiHidden="1" w:unhideWhenUsed="1" w:qFormat="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Theme" w:locked="1" w:semiHidden="1" w:unhideWhenUsed="1"/>
    <w:lsdException w:name="Placeholder Text" w:semiHidden="1" w:uiPriority="99" w:unhideWhenUsed="1"/>
    <w:lsdException w:name="No Spacing" w:semiHidden="1" w:uiPriority="3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locked="1"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locked="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locked="1"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locked="1"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locked="1"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locked="1"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locked="1"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qFormat="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51C46"/>
  </w:style>
  <w:style w:type="paragraph" w:styleId="Heading1">
    <w:name w:val="heading 1"/>
    <w:next w:val="Normal"/>
    <w:link w:val="Heading1Char"/>
    <w:qFormat/>
    <w:rsid w:val="00DB0713"/>
    <w:pPr>
      <w:keepNext/>
      <w:spacing w:before="120" w:after="60"/>
      <w:outlineLvl w:val="0"/>
    </w:pPr>
    <w:rPr>
      <w:rFonts w:ascii="Franklin Gothic Demi" w:eastAsiaTheme="majorEastAsia" w:hAnsi="Franklin Gothic Demi" w:cstheme="majorBidi"/>
      <w:sz w:val="36"/>
      <w:szCs w:val="28"/>
      <w:lang w:eastAsia="en-US"/>
    </w:rPr>
  </w:style>
  <w:style w:type="paragraph" w:styleId="Heading2">
    <w:name w:val="heading 2"/>
    <w:basedOn w:val="Heading1"/>
    <w:next w:val="Normal"/>
    <w:link w:val="Heading2Char"/>
    <w:uiPriority w:val="9"/>
    <w:qFormat/>
    <w:rsid w:val="00743962"/>
    <w:pPr>
      <w:outlineLvl w:val="1"/>
    </w:pPr>
    <w:rPr>
      <w:sz w:val="28"/>
      <w:szCs w:val="26"/>
    </w:rPr>
  </w:style>
  <w:style w:type="paragraph" w:styleId="Heading3">
    <w:name w:val="heading 3"/>
    <w:basedOn w:val="Heading1"/>
    <w:next w:val="Normal"/>
    <w:link w:val="Heading3Char"/>
    <w:qFormat/>
    <w:rsid w:val="00743962"/>
    <w:pPr>
      <w:outlineLvl w:val="2"/>
    </w:pPr>
    <w:rPr>
      <w:i/>
      <w:sz w:val="28"/>
      <w:szCs w:val="22"/>
    </w:rPr>
  </w:style>
  <w:style w:type="paragraph" w:styleId="Heading4">
    <w:name w:val="heading 4"/>
    <w:basedOn w:val="Heading1"/>
    <w:next w:val="Normal"/>
    <w:link w:val="Heading4Char"/>
    <w:semiHidden/>
    <w:rsid w:val="00E04834"/>
    <w:pPr>
      <w:outlineLvl w:val="3"/>
    </w:pPr>
    <w:rPr>
      <w:sz w:val="22"/>
      <w:szCs w:val="22"/>
    </w:rPr>
  </w:style>
  <w:style w:type="paragraph" w:styleId="Heading5">
    <w:name w:val="heading 5"/>
    <w:basedOn w:val="Normal"/>
    <w:next w:val="Normal"/>
    <w:link w:val="Heading5Char"/>
    <w:semiHidden/>
    <w:rsid w:val="007A235E"/>
    <w:pPr>
      <w:numPr>
        <w:ilvl w:val="4"/>
        <w:numId w:val="1"/>
      </w:numPr>
      <w:outlineLvl w:val="4"/>
    </w:pPr>
    <w:rPr>
      <w:i/>
      <w:sz w:val="20"/>
      <w:szCs w:val="20"/>
    </w:rPr>
  </w:style>
  <w:style w:type="paragraph" w:styleId="Heading6">
    <w:name w:val="heading 6"/>
    <w:basedOn w:val="Normal"/>
    <w:next w:val="Normal"/>
    <w:link w:val="Heading6Char"/>
    <w:semiHidden/>
    <w:rsid w:val="00E04834"/>
    <w:pPr>
      <w:numPr>
        <w:ilvl w:val="5"/>
        <w:numId w:val="1"/>
      </w:numPr>
      <w:outlineLvl w:val="5"/>
    </w:pPr>
  </w:style>
  <w:style w:type="paragraph" w:styleId="Heading7">
    <w:name w:val="heading 7"/>
    <w:basedOn w:val="Normal"/>
    <w:next w:val="Normal"/>
    <w:link w:val="Heading7Char"/>
    <w:semiHidden/>
    <w:rsid w:val="00E04834"/>
    <w:pPr>
      <w:numPr>
        <w:ilvl w:val="6"/>
        <w:numId w:val="1"/>
      </w:numPr>
      <w:outlineLvl w:val="6"/>
    </w:pPr>
  </w:style>
  <w:style w:type="paragraph" w:styleId="Heading8">
    <w:name w:val="heading 8"/>
    <w:basedOn w:val="Normal"/>
    <w:next w:val="Normal"/>
    <w:link w:val="Heading8Char"/>
    <w:semiHidden/>
    <w:rsid w:val="00E04834"/>
    <w:pPr>
      <w:keepNext/>
      <w:numPr>
        <w:ilvl w:val="7"/>
        <w:numId w:val="1"/>
      </w:numPr>
      <w:outlineLvl w:val="7"/>
    </w:pPr>
  </w:style>
  <w:style w:type="paragraph" w:styleId="Heading9">
    <w:name w:val="heading 9"/>
    <w:basedOn w:val="Normal"/>
    <w:next w:val="Normal"/>
    <w:link w:val="Heading9Char"/>
    <w:semiHidden/>
    <w:rsid w:val="00E04834"/>
    <w:pPr>
      <w:keepNext/>
      <w:numPr>
        <w:ilvl w:val="8"/>
        <w:numId w:val="1"/>
      </w:numPr>
      <w:tabs>
        <w:tab w:val="left" w:pos="851"/>
        <w:tab w:val="right" w:pos="9781"/>
      </w:tabs>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B0713"/>
    <w:rPr>
      <w:rFonts w:ascii="Franklin Gothic Demi" w:eastAsiaTheme="majorEastAsia" w:hAnsi="Franklin Gothic Demi" w:cstheme="majorBidi"/>
      <w:sz w:val="36"/>
      <w:szCs w:val="28"/>
      <w:lang w:eastAsia="en-US"/>
    </w:rPr>
  </w:style>
  <w:style w:type="character" w:customStyle="1" w:styleId="Heading2Char">
    <w:name w:val="Heading 2 Char"/>
    <w:basedOn w:val="DefaultParagraphFont"/>
    <w:link w:val="Heading2"/>
    <w:uiPriority w:val="9"/>
    <w:rsid w:val="00743962"/>
    <w:rPr>
      <w:rFonts w:ascii="Franklin Gothic Demi" w:eastAsiaTheme="majorEastAsia" w:hAnsi="Franklin Gothic Demi" w:cstheme="majorBidi"/>
      <w:sz w:val="28"/>
      <w:szCs w:val="26"/>
      <w:lang w:eastAsia="en-US"/>
    </w:rPr>
  </w:style>
  <w:style w:type="character" w:customStyle="1" w:styleId="Heading3Char">
    <w:name w:val="Heading 3 Char"/>
    <w:basedOn w:val="DefaultParagraphFont"/>
    <w:link w:val="Heading3"/>
    <w:rsid w:val="00743962"/>
    <w:rPr>
      <w:rFonts w:ascii="Franklin Gothic Demi" w:eastAsiaTheme="majorEastAsia" w:hAnsi="Franklin Gothic Demi" w:cstheme="majorBidi"/>
      <w:i/>
      <w:sz w:val="28"/>
      <w:lang w:eastAsia="en-US"/>
    </w:rPr>
  </w:style>
  <w:style w:type="character" w:customStyle="1" w:styleId="Heading4Char">
    <w:name w:val="Heading 4 Char"/>
    <w:basedOn w:val="DefaultParagraphFont"/>
    <w:link w:val="Heading4"/>
    <w:semiHidden/>
    <w:rsid w:val="006267BA"/>
    <w:rPr>
      <w:rFonts w:ascii="Franklin Gothic Demi" w:eastAsiaTheme="majorEastAsia" w:hAnsi="Franklin Gothic Demi" w:cstheme="majorBidi"/>
      <w:lang w:eastAsia="en-US"/>
    </w:rPr>
  </w:style>
  <w:style w:type="character" w:customStyle="1" w:styleId="Heading5Char">
    <w:name w:val="Heading 5 Char"/>
    <w:basedOn w:val="DefaultParagraphFont"/>
    <w:link w:val="Heading5"/>
    <w:semiHidden/>
    <w:rsid w:val="00CA5145"/>
    <w:rPr>
      <w:i/>
      <w:sz w:val="20"/>
      <w:szCs w:val="20"/>
    </w:rPr>
  </w:style>
  <w:style w:type="character" w:customStyle="1" w:styleId="Heading6Char">
    <w:name w:val="Heading 6 Char"/>
    <w:basedOn w:val="DefaultParagraphFont"/>
    <w:link w:val="Heading6"/>
    <w:semiHidden/>
    <w:rsid w:val="00CA5145"/>
  </w:style>
  <w:style w:type="character" w:customStyle="1" w:styleId="Heading7Char">
    <w:name w:val="Heading 7 Char"/>
    <w:basedOn w:val="DefaultParagraphFont"/>
    <w:link w:val="Heading7"/>
    <w:semiHidden/>
    <w:rsid w:val="00CA5145"/>
  </w:style>
  <w:style w:type="character" w:customStyle="1" w:styleId="Heading8Char">
    <w:name w:val="Heading 8 Char"/>
    <w:basedOn w:val="DefaultParagraphFont"/>
    <w:link w:val="Heading8"/>
    <w:semiHidden/>
    <w:rsid w:val="00CA5145"/>
  </w:style>
  <w:style w:type="character" w:customStyle="1" w:styleId="Heading9Char">
    <w:name w:val="Heading 9 Char"/>
    <w:basedOn w:val="DefaultParagraphFont"/>
    <w:link w:val="Heading9"/>
    <w:semiHidden/>
    <w:rsid w:val="00CA5145"/>
  </w:style>
  <w:style w:type="paragraph" w:customStyle="1" w:styleId="Numberedlistmultilevel">
    <w:name w:val="Numbered list multilevel"/>
    <w:basedOn w:val="Normal"/>
    <w:uiPriority w:val="1"/>
    <w:qFormat/>
    <w:rsid w:val="00743962"/>
    <w:pPr>
      <w:numPr>
        <w:numId w:val="9"/>
      </w:numPr>
    </w:pPr>
  </w:style>
  <w:style w:type="paragraph" w:styleId="ListParagraph">
    <w:name w:val="List Paragraph"/>
    <w:basedOn w:val="Normal"/>
    <w:uiPriority w:val="34"/>
    <w:qFormat/>
    <w:rsid w:val="00C234A2"/>
    <w:pPr>
      <w:tabs>
        <w:tab w:val="left" w:pos="357"/>
      </w:tabs>
      <w:ind w:left="357" w:hanging="357"/>
      <w:contextualSpacing/>
    </w:pPr>
  </w:style>
  <w:style w:type="table" w:customStyle="1" w:styleId="CSCGridblue">
    <w:name w:val="CSC Grid blue"/>
    <w:basedOn w:val="TableNormal"/>
    <w:uiPriority w:val="99"/>
    <w:rsid w:val="00E5656D"/>
    <w:rPr>
      <w:sz w:val="20"/>
      <w:szCs w:val="20"/>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8" w:type="dxa"/>
        <w:bottom w:w="108" w:type="dxa"/>
      </w:tblCellMar>
    </w:tblPr>
    <w:trPr>
      <w:cantSplit/>
    </w:trPr>
    <w:tblStylePr w:type="firstRow">
      <w:pPr>
        <w:jc w:val="left"/>
      </w:pPr>
      <w:rPr>
        <w:rFonts w:ascii="Franklin Gothic Demi" w:hAnsi="Franklin Gothic Demi"/>
        <w:b/>
        <w:color w:val="FFFFFF" w:themeColor="background1"/>
        <w:sz w:val="20"/>
      </w:rPr>
      <w:tblPr/>
      <w:tcPr>
        <w:shd w:val="clear" w:color="auto" w:fill="031F73" w:themeFill="text2"/>
      </w:tcPr>
    </w:tblStylePr>
    <w:tblStylePr w:type="lastRow">
      <w:rPr>
        <w:rFonts w:ascii="Franklin Gothic Demi" w:hAnsi="Franklin Gothic Demi"/>
        <w:sz w:val="20"/>
      </w:rPr>
    </w:tblStylePr>
    <w:tblStylePr w:type="firstCol">
      <w:rPr>
        <w:rFonts w:ascii="Franklin Gothic Demi" w:hAnsi="Franklin Gothic Demi"/>
        <w:sz w:val="20"/>
      </w:rPr>
    </w:tblStylePr>
    <w:tblStylePr w:type="lastCol">
      <w:rPr>
        <w:rFonts w:ascii="Franklin Gothic Demi" w:hAnsi="Franklin Gothic Demi"/>
        <w:sz w:val="20"/>
      </w:rPr>
    </w:tblStylePr>
    <w:tblStylePr w:type="band1Vert">
      <w:rPr>
        <w:rFonts w:ascii="Franklin Gothic Demi" w:hAnsi="Franklin Gothic Demi"/>
        <w:sz w:val="20"/>
      </w:rPr>
    </w:tblStylePr>
    <w:tblStylePr w:type="band2Vert">
      <w:rPr>
        <w:rFonts w:ascii="Franklin Gothic Demi" w:hAnsi="Franklin Gothic Demi"/>
        <w:sz w:val="20"/>
      </w:rPr>
    </w:tblStylePr>
    <w:tblStylePr w:type="band1Horz">
      <w:rPr>
        <w:rFonts w:ascii="Franklin Gothic Demi" w:hAnsi="Franklin Gothic Demi"/>
        <w:sz w:val="20"/>
      </w:rPr>
    </w:tblStylePr>
    <w:tblStylePr w:type="band2Horz">
      <w:rPr>
        <w:rFonts w:ascii="Franklin Gothic Demi" w:hAnsi="Franklin Gothic Demi"/>
        <w:sz w:val="20"/>
      </w:rPr>
      <w:tblPr/>
      <w:tcPr>
        <w:shd w:val="clear" w:color="auto" w:fill="B2C4FD" w:themeFill="text2" w:themeFillTint="33"/>
      </w:tcPr>
    </w:tblStylePr>
    <w:tblStylePr w:type="neCell">
      <w:rPr>
        <w:rFonts w:ascii="Franklin Gothic Demi" w:hAnsi="Franklin Gothic Demi"/>
        <w:sz w:val="20"/>
      </w:rPr>
    </w:tblStylePr>
    <w:tblStylePr w:type="nwCell">
      <w:rPr>
        <w:rFonts w:ascii="Franklin Gothic Demi" w:hAnsi="Franklin Gothic Demi"/>
        <w:sz w:val="20"/>
      </w:rPr>
    </w:tblStylePr>
    <w:tblStylePr w:type="seCell">
      <w:rPr>
        <w:rFonts w:ascii="Franklin Gothic Demi" w:hAnsi="Franklin Gothic Demi"/>
        <w:sz w:val="20"/>
      </w:rPr>
    </w:tblStylePr>
    <w:tblStylePr w:type="swCell">
      <w:rPr>
        <w:rFonts w:ascii="Franklin Gothic Demi" w:hAnsi="Franklin Gothic Demi"/>
        <w:sz w:val="20"/>
      </w:rPr>
    </w:tblStylePr>
  </w:style>
  <w:style w:type="table" w:customStyle="1" w:styleId="CSCGridyellow">
    <w:name w:val="CSC Grid yellow"/>
    <w:basedOn w:val="TableNormal"/>
    <w:uiPriority w:val="99"/>
    <w:rsid w:val="00E5656D"/>
    <w:rPr>
      <w:sz w:val="20"/>
      <w:szCs w:val="20"/>
    </w:rPr>
    <w:tblPr>
      <w:tblStyleRowBandSize w:val="1"/>
      <w:tblStyleColBandSize w:val="1"/>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08" w:type="dxa"/>
        <w:bottom w:w="108" w:type="dxa"/>
      </w:tblCellMar>
    </w:tblPr>
    <w:trPr>
      <w:cantSplit/>
    </w:trPr>
    <w:tblStylePr w:type="firstRow">
      <w:rPr>
        <w:rFonts w:ascii="Franklin Gothic Demi" w:hAnsi="Franklin Gothic Demi"/>
        <w:b/>
        <w:color w:val="000000" w:themeColor="text1"/>
        <w:sz w:val="20"/>
      </w:rPr>
      <w:tblPr/>
      <w:tcPr>
        <w:shd w:val="clear" w:color="auto" w:fill="EBB700" w:themeFill="background2"/>
      </w:tcPr>
    </w:tblStylePr>
    <w:tblStylePr w:type="lastRow">
      <w:rPr>
        <w:rFonts w:ascii="Franklin Gothic Demi" w:hAnsi="Franklin Gothic Demi"/>
        <w:sz w:val="20"/>
      </w:rPr>
    </w:tblStylePr>
    <w:tblStylePr w:type="firstCol">
      <w:rPr>
        <w:rFonts w:ascii="Franklin Gothic Demi" w:hAnsi="Franklin Gothic Demi"/>
        <w:sz w:val="20"/>
      </w:rPr>
    </w:tblStylePr>
    <w:tblStylePr w:type="lastCol">
      <w:rPr>
        <w:rFonts w:ascii="Franklin Gothic Demi" w:hAnsi="Franklin Gothic Demi"/>
        <w:sz w:val="20"/>
      </w:rPr>
    </w:tblStylePr>
    <w:tblStylePr w:type="band1Vert">
      <w:rPr>
        <w:rFonts w:ascii="Franklin Gothic Demi" w:hAnsi="Franklin Gothic Demi"/>
        <w:sz w:val="20"/>
      </w:rPr>
    </w:tblStylePr>
    <w:tblStylePr w:type="band2Vert">
      <w:rPr>
        <w:rFonts w:ascii="Franklin Gothic Demi" w:hAnsi="Franklin Gothic Demi"/>
        <w:sz w:val="20"/>
      </w:rPr>
    </w:tblStylePr>
    <w:tblStylePr w:type="band1Horz">
      <w:rPr>
        <w:rFonts w:asciiTheme="minorHAnsi" w:hAnsiTheme="minorHAnsi"/>
        <w:sz w:val="20"/>
      </w:rPr>
    </w:tblStylePr>
    <w:tblStylePr w:type="band2Horz">
      <w:rPr>
        <w:rFonts w:asciiTheme="minorHAnsi" w:hAnsiTheme="minorHAnsi"/>
        <w:sz w:val="20"/>
      </w:rPr>
      <w:tblPr/>
      <w:tcPr>
        <w:shd w:val="clear" w:color="auto" w:fill="FFF2C8" w:themeFill="background2" w:themeFillTint="33"/>
      </w:tcPr>
    </w:tblStylePr>
    <w:tblStylePr w:type="neCell">
      <w:rPr>
        <w:rFonts w:ascii="Franklin Gothic Demi" w:hAnsi="Franklin Gothic Demi"/>
        <w:sz w:val="20"/>
      </w:rPr>
    </w:tblStylePr>
    <w:tblStylePr w:type="nwCell">
      <w:rPr>
        <w:rFonts w:ascii="Franklin Gothic Demi" w:hAnsi="Franklin Gothic Demi"/>
        <w:sz w:val="20"/>
      </w:rPr>
    </w:tblStylePr>
    <w:tblStylePr w:type="seCell">
      <w:rPr>
        <w:rFonts w:ascii="Franklin Gothic Demi" w:hAnsi="Franklin Gothic Demi"/>
        <w:sz w:val="20"/>
      </w:rPr>
    </w:tblStylePr>
    <w:tblStylePr w:type="swCell">
      <w:rPr>
        <w:rFonts w:ascii="Franklin Gothic Demi" w:hAnsi="Franklin Gothic Demi"/>
        <w:sz w:val="20"/>
      </w:rPr>
    </w:tblStylePr>
  </w:style>
  <w:style w:type="table" w:customStyle="1" w:styleId="CSCHeaderblue">
    <w:name w:val="CSC Header blue"/>
    <w:basedOn w:val="TableNormal"/>
    <w:uiPriority w:val="99"/>
    <w:rsid w:val="00E5656D"/>
    <w:rPr>
      <w:sz w:val="20"/>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8" w:type="dxa"/>
        <w:bottom w:w="108" w:type="dxa"/>
      </w:tblCellMar>
    </w:tblPr>
    <w:tblStylePr w:type="firstRow">
      <w:rPr>
        <w:rFonts w:ascii="Franklin Gothic Demi" w:hAnsi="Franklin Gothic Demi"/>
        <w:b/>
        <w:sz w:val="20"/>
      </w:rPr>
      <w:tblPr/>
      <w:tcPr>
        <w:shd w:val="clear" w:color="auto" w:fill="031F73" w:themeFill="text2"/>
      </w:tcPr>
    </w:tblStylePr>
    <w:tblStylePr w:type="lastRow">
      <w:rPr>
        <w:rFonts w:ascii="Franklin Gothic Demi" w:hAnsi="Franklin Gothic Demi"/>
        <w:sz w:val="20"/>
      </w:rPr>
    </w:tblStylePr>
    <w:tblStylePr w:type="firstCol">
      <w:rPr>
        <w:rFonts w:ascii="Franklin Gothic Demi" w:hAnsi="Franklin Gothic Demi"/>
        <w:sz w:val="20"/>
      </w:rPr>
    </w:tblStylePr>
    <w:tblStylePr w:type="lastCol">
      <w:rPr>
        <w:rFonts w:ascii="Franklin Gothic Demi" w:hAnsi="Franklin Gothic Demi"/>
        <w:sz w:val="20"/>
      </w:rPr>
    </w:tblStylePr>
    <w:tblStylePr w:type="band1Vert">
      <w:rPr>
        <w:rFonts w:ascii="Franklin Gothic Demi" w:hAnsi="Franklin Gothic Demi"/>
        <w:sz w:val="20"/>
      </w:rPr>
    </w:tblStylePr>
    <w:tblStylePr w:type="band2Vert">
      <w:rPr>
        <w:rFonts w:ascii="Franklin Gothic Demi" w:hAnsi="Franklin Gothic Demi"/>
        <w:sz w:val="20"/>
      </w:rPr>
    </w:tblStylePr>
    <w:tblStylePr w:type="band1Horz">
      <w:rPr>
        <w:rFonts w:ascii="Franklin Gothic Demi" w:hAnsi="Franklin Gothic Demi"/>
        <w:sz w:val="20"/>
      </w:rPr>
    </w:tblStylePr>
    <w:tblStylePr w:type="band2Horz">
      <w:rPr>
        <w:rFonts w:ascii="Franklin Gothic Demi" w:hAnsi="Franklin Gothic Demi"/>
        <w:sz w:val="20"/>
      </w:rPr>
    </w:tblStylePr>
    <w:tblStylePr w:type="neCell">
      <w:rPr>
        <w:rFonts w:ascii="Franklin Gothic Demi" w:hAnsi="Franklin Gothic Demi"/>
        <w:sz w:val="20"/>
      </w:rPr>
    </w:tblStylePr>
    <w:tblStylePr w:type="nwCell">
      <w:rPr>
        <w:rFonts w:ascii="Franklin Gothic Demi" w:hAnsi="Franklin Gothic Demi"/>
        <w:sz w:val="20"/>
      </w:rPr>
    </w:tblStylePr>
    <w:tblStylePr w:type="seCell">
      <w:rPr>
        <w:rFonts w:ascii="Franklin Gothic Demi" w:hAnsi="Franklin Gothic Demi"/>
        <w:sz w:val="20"/>
      </w:rPr>
    </w:tblStylePr>
    <w:tblStylePr w:type="swCell">
      <w:rPr>
        <w:rFonts w:ascii="Franklin Gothic Demi" w:hAnsi="Franklin Gothic Demi"/>
        <w:sz w:val="20"/>
      </w:rPr>
    </w:tblStylePr>
  </w:style>
  <w:style w:type="table" w:customStyle="1" w:styleId="CSCHeaderyellow">
    <w:name w:val="CSC Header yellow"/>
    <w:basedOn w:val="TableNormal"/>
    <w:uiPriority w:val="99"/>
    <w:rsid w:val="00E5656D"/>
    <w:rPr>
      <w:sz w:val="20"/>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8" w:type="dxa"/>
        <w:bottom w:w="108" w:type="dxa"/>
      </w:tblCellMar>
    </w:tblPr>
    <w:tblStylePr w:type="firstRow">
      <w:rPr>
        <w:rFonts w:ascii="Franklin Gothic Demi" w:hAnsi="Franklin Gothic Demi"/>
        <w:b/>
        <w:sz w:val="20"/>
      </w:rPr>
      <w:tblPr/>
      <w:tcPr>
        <w:shd w:val="clear" w:color="auto" w:fill="EBB700" w:themeFill="background2"/>
      </w:tcPr>
    </w:tblStylePr>
    <w:tblStylePr w:type="lastRow">
      <w:rPr>
        <w:rFonts w:ascii="Franklin Gothic Demi" w:hAnsi="Franklin Gothic Demi"/>
        <w:sz w:val="20"/>
      </w:rPr>
    </w:tblStylePr>
    <w:tblStylePr w:type="firstCol">
      <w:rPr>
        <w:rFonts w:ascii="Franklin Gothic Demi" w:hAnsi="Franklin Gothic Demi"/>
        <w:sz w:val="20"/>
      </w:rPr>
    </w:tblStylePr>
    <w:tblStylePr w:type="lastCol">
      <w:rPr>
        <w:rFonts w:ascii="Franklin Gothic Demi" w:hAnsi="Franklin Gothic Demi"/>
        <w:sz w:val="20"/>
      </w:rPr>
    </w:tblStylePr>
    <w:tblStylePr w:type="band1Vert">
      <w:rPr>
        <w:rFonts w:ascii="Franklin Gothic Demi" w:hAnsi="Franklin Gothic Demi"/>
        <w:sz w:val="20"/>
      </w:rPr>
    </w:tblStylePr>
    <w:tblStylePr w:type="band2Vert">
      <w:rPr>
        <w:rFonts w:ascii="Franklin Gothic Demi" w:hAnsi="Franklin Gothic Demi"/>
        <w:sz w:val="20"/>
      </w:rPr>
    </w:tblStylePr>
    <w:tblStylePr w:type="band1Horz">
      <w:rPr>
        <w:rFonts w:ascii="Franklin Gothic Demi" w:hAnsi="Franklin Gothic Demi"/>
        <w:sz w:val="20"/>
      </w:rPr>
    </w:tblStylePr>
    <w:tblStylePr w:type="band2Horz">
      <w:rPr>
        <w:rFonts w:ascii="Franklin Gothic Demi" w:hAnsi="Franklin Gothic Demi"/>
        <w:sz w:val="20"/>
      </w:rPr>
    </w:tblStylePr>
    <w:tblStylePr w:type="neCell">
      <w:rPr>
        <w:rFonts w:ascii="Franklin Gothic Demi" w:hAnsi="Franklin Gothic Demi"/>
        <w:sz w:val="20"/>
      </w:rPr>
    </w:tblStylePr>
    <w:tblStylePr w:type="nwCell">
      <w:rPr>
        <w:rFonts w:ascii="Franklin Gothic Demi" w:hAnsi="Franklin Gothic Demi"/>
        <w:sz w:val="20"/>
      </w:rPr>
    </w:tblStylePr>
    <w:tblStylePr w:type="seCell">
      <w:rPr>
        <w:rFonts w:ascii="Franklin Gothic Demi" w:hAnsi="Franklin Gothic Demi"/>
        <w:sz w:val="20"/>
      </w:rPr>
    </w:tblStylePr>
    <w:tblStylePr w:type="swCell">
      <w:rPr>
        <w:rFonts w:ascii="Franklin Gothic Demi" w:hAnsi="Franklin Gothic Demi"/>
        <w:sz w:val="20"/>
      </w:rPr>
    </w:tblStylePr>
  </w:style>
  <w:style w:type="paragraph" w:styleId="Date">
    <w:name w:val="Date"/>
    <w:basedOn w:val="Normal"/>
    <w:next w:val="Normal"/>
    <w:link w:val="DateChar"/>
    <w:semiHidden/>
    <w:rsid w:val="00E04834"/>
  </w:style>
  <w:style w:type="character" w:customStyle="1" w:styleId="DateChar">
    <w:name w:val="Date Char"/>
    <w:basedOn w:val="DefaultParagraphFont"/>
    <w:link w:val="Date"/>
    <w:semiHidden/>
    <w:rsid w:val="006267BA"/>
  </w:style>
  <w:style w:type="character" w:styleId="Emphasis">
    <w:name w:val="Emphasis"/>
    <w:uiPriority w:val="2"/>
    <w:qFormat/>
    <w:rsid w:val="00E04834"/>
    <w:rPr>
      <w:i/>
      <w:iCs/>
    </w:rPr>
  </w:style>
  <w:style w:type="character" w:styleId="FollowedHyperlink">
    <w:name w:val="FollowedHyperlink"/>
    <w:basedOn w:val="DefaultParagraphFont"/>
    <w:uiPriority w:val="4"/>
    <w:qFormat/>
    <w:rsid w:val="00E04834"/>
    <w:rPr>
      <w:color w:val="800080" w:themeColor="followedHyperlink"/>
      <w:u w:val="single"/>
    </w:rPr>
  </w:style>
  <w:style w:type="paragraph" w:styleId="Footer">
    <w:name w:val="footer"/>
    <w:basedOn w:val="Normal"/>
    <w:link w:val="FooterChar"/>
    <w:uiPriority w:val="10"/>
    <w:qFormat/>
    <w:rsid w:val="000B7550"/>
    <w:pPr>
      <w:tabs>
        <w:tab w:val="center" w:pos="4320"/>
        <w:tab w:val="right" w:pos="8820"/>
      </w:tabs>
    </w:pPr>
    <w:rPr>
      <w:sz w:val="18"/>
      <w:szCs w:val="20"/>
      <w:lang w:eastAsia="en-US"/>
    </w:rPr>
  </w:style>
  <w:style w:type="character" w:customStyle="1" w:styleId="FooterChar">
    <w:name w:val="Footer Char"/>
    <w:basedOn w:val="DefaultParagraphFont"/>
    <w:link w:val="Footer"/>
    <w:uiPriority w:val="10"/>
    <w:rsid w:val="000B7550"/>
    <w:rPr>
      <w:sz w:val="18"/>
      <w:szCs w:val="20"/>
      <w:lang w:eastAsia="en-US"/>
    </w:rPr>
  </w:style>
  <w:style w:type="paragraph" w:customStyle="1" w:styleId="Footerbold">
    <w:name w:val="Footer bold"/>
    <w:basedOn w:val="Footer"/>
    <w:link w:val="FooterboldChar"/>
    <w:uiPriority w:val="10"/>
    <w:qFormat/>
    <w:rsid w:val="000B7550"/>
    <w:rPr>
      <w:b/>
    </w:rPr>
  </w:style>
  <w:style w:type="character" w:customStyle="1" w:styleId="FooterboldChar">
    <w:name w:val="Footer bold Char"/>
    <w:basedOn w:val="FooterChar"/>
    <w:link w:val="Footerbold"/>
    <w:uiPriority w:val="10"/>
    <w:rsid w:val="000B7550"/>
    <w:rPr>
      <w:b/>
      <w:sz w:val="18"/>
      <w:szCs w:val="20"/>
      <w:lang w:eastAsia="en-US"/>
    </w:rPr>
  </w:style>
  <w:style w:type="character" w:styleId="Hyperlink">
    <w:name w:val="Hyperlink"/>
    <w:uiPriority w:val="4"/>
    <w:qFormat/>
    <w:rsid w:val="00E04834"/>
    <w:rPr>
      <w:color w:val="0000FF" w:themeColor="hyperlink"/>
      <w:u w:val="single"/>
    </w:rPr>
  </w:style>
  <w:style w:type="character" w:styleId="PageNumber">
    <w:name w:val="page number"/>
    <w:basedOn w:val="DefaultParagraphFont"/>
    <w:uiPriority w:val="10"/>
    <w:qFormat/>
    <w:rsid w:val="000B7550"/>
    <w:rPr>
      <w:rFonts w:ascii="Franklin Gothic Book" w:hAnsi="Franklin Gothic Book"/>
      <w:sz w:val="18"/>
    </w:rPr>
  </w:style>
  <w:style w:type="character" w:styleId="Strong">
    <w:name w:val="Strong"/>
    <w:uiPriority w:val="2"/>
    <w:qFormat/>
    <w:rsid w:val="00E04834"/>
    <w:rPr>
      <w:b/>
      <w:bCs/>
    </w:rPr>
  </w:style>
  <w:style w:type="paragraph" w:styleId="Title">
    <w:name w:val="Title"/>
    <w:next w:val="Normal"/>
    <w:link w:val="TitleChar"/>
    <w:uiPriority w:val="10"/>
    <w:qFormat/>
    <w:rsid w:val="00E04834"/>
    <w:pPr>
      <w:spacing w:before="240" w:after="60"/>
    </w:pPr>
    <w:rPr>
      <w:rFonts w:ascii="Franklin Gothic Medium" w:eastAsiaTheme="majorEastAsia" w:hAnsi="Franklin Gothic Medium" w:cs="Arial"/>
      <w:bCs/>
      <w:kern w:val="28"/>
      <w:sz w:val="64"/>
      <w:szCs w:val="64"/>
      <w:lang w:eastAsia="en-US"/>
    </w:rPr>
  </w:style>
  <w:style w:type="character" w:customStyle="1" w:styleId="TitleChar">
    <w:name w:val="Title Char"/>
    <w:basedOn w:val="DefaultParagraphFont"/>
    <w:link w:val="Title"/>
    <w:uiPriority w:val="10"/>
    <w:rsid w:val="007324D5"/>
    <w:rPr>
      <w:rFonts w:ascii="Franklin Gothic Medium" w:eastAsiaTheme="majorEastAsia" w:hAnsi="Franklin Gothic Medium" w:cs="Arial"/>
      <w:bCs/>
      <w:kern w:val="28"/>
      <w:sz w:val="64"/>
      <w:szCs w:val="64"/>
      <w:lang w:eastAsia="en-US"/>
    </w:rPr>
  </w:style>
  <w:style w:type="paragraph" w:styleId="Subtitle">
    <w:name w:val="Subtitle"/>
    <w:basedOn w:val="Title"/>
    <w:next w:val="Normal"/>
    <w:link w:val="SubtitleChar"/>
    <w:uiPriority w:val="6"/>
    <w:semiHidden/>
    <w:rsid w:val="005B30E6"/>
    <w:rPr>
      <w:rFonts w:ascii="Franklin Gothic Book" w:hAnsi="Franklin Gothic Book" w:cstheme="majorBidi"/>
      <w:sz w:val="36"/>
      <w:szCs w:val="36"/>
    </w:rPr>
  </w:style>
  <w:style w:type="character" w:customStyle="1" w:styleId="SubtitleChar">
    <w:name w:val="Subtitle Char"/>
    <w:basedOn w:val="DefaultParagraphFont"/>
    <w:link w:val="Subtitle"/>
    <w:uiPriority w:val="6"/>
    <w:semiHidden/>
    <w:rsid w:val="005B30E6"/>
    <w:rPr>
      <w:rFonts w:eastAsiaTheme="majorEastAsia" w:cstheme="majorBidi"/>
      <w:bCs/>
      <w:kern w:val="28"/>
      <w:sz w:val="36"/>
      <w:szCs w:val="36"/>
      <w:lang w:eastAsia="en-US"/>
    </w:rPr>
  </w:style>
  <w:style w:type="table" w:styleId="TableGrid">
    <w:name w:val="Table Grid"/>
    <w:aliases w:val="CSC Table Grid"/>
    <w:basedOn w:val="TableNormal"/>
    <w:rsid w:val="00E5656D"/>
    <w:rPr>
      <w:sz w:val="20"/>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8" w:type="dxa"/>
        <w:bottom w:w="108" w:type="dxa"/>
      </w:tblCellMar>
    </w:tblPr>
    <w:tblStylePr w:type="firstRow">
      <w:rPr>
        <w:rFonts w:ascii="Franklin Gothic Demi" w:hAnsi="Franklin Gothic Demi"/>
        <w:b/>
        <w:sz w:val="20"/>
      </w:rPr>
    </w:tblStylePr>
    <w:tblStylePr w:type="lastRow">
      <w:rPr>
        <w:rFonts w:ascii="Franklin Gothic Demi" w:hAnsi="Franklin Gothic Demi"/>
        <w:sz w:val="20"/>
      </w:rPr>
    </w:tblStylePr>
    <w:tblStylePr w:type="firstCol">
      <w:rPr>
        <w:rFonts w:ascii="Franklin Gothic Demi" w:hAnsi="Franklin Gothic Demi"/>
        <w:sz w:val="20"/>
      </w:rPr>
    </w:tblStylePr>
    <w:tblStylePr w:type="lastCol">
      <w:rPr>
        <w:rFonts w:ascii="Franklin Gothic Demi" w:hAnsi="Franklin Gothic Demi"/>
        <w:sz w:val="20"/>
      </w:rPr>
    </w:tblStylePr>
    <w:tblStylePr w:type="band1Vert">
      <w:rPr>
        <w:rFonts w:ascii="Franklin Gothic Demi" w:hAnsi="Franklin Gothic Demi"/>
        <w:sz w:val="20"/>
      </w:rPr>
    </w:tblStylePr>
    <w:tblStylePr w:type="band2Vert">
      <w:rPr>
        <w:rFonts w:ascii="Franklin Gothic Demi" w:hAnsi="Franklin Gothic Demi"/>
        <w:sz w:val="20"/>
      </w:rPr>
    </w:tblStylePr>
    <w:tblStylePr w:type="band1Horz">
      <w:rPr>
        <w:rFonts w:ascii="Franklin Gothic Demi" w:hAnsi="Franklin Gothic Demi"/>
        <w:sz w:val="20"/>
      </w:rPr>
    </w:tblStylePr>
    <w:tblStylePr w:type="band2Horz">
      <w:rPr>
        <w:rFonts w:ascii="Franklin Gothic Demi" w:hAnsi="Franklin Gothic Demi"/>
        <w:sz w:val="20"/>
      </w:rPr>
    </w:tblStylePr>
    <w:tblStylePr w:type="neCell">
      <w:rPr>
        <w:rFonts w:ascii="Franklin Gothic Demi" w:hAnsi="Franklin Gothic Demi"/>
        <w:sz w:val="20"/>
      </w:rPr>
    </w:tblStylePr>
    <w:tblStylePr w:type="nwCell">
      <w:rPr>
        <w:rFonts w:ascii="Franklin Gothic Demi" w:hAnsi="Franklin Gothic Demi"/>
        <w:sz w:val="20"/>
      </w:rPr>
    </w:tblStylePr>
    <w:tblStylePr w:type="seCell">
      <w:rPr>
        <w:rFonts w:ascii="Franklin Gothic Demi" w:hAnsi="Franklin Gothic Demi"/>
        <w:sz w:val="20"/>
      </w:rPr>
    </w:tblStylePr>
    <w:tblStylePr w:type="swCell">
      <w:rPr>
        <w:rFonts w:ascii="Franklin Gothic Demi" w:hAnsi="Franklin Gothic Demi"/>
        <w:sz w:val="20"/>
      </w:rPr>
    </w:tblStylePr>
  </w:style>
  <w:style w:type="paragraph" w:customStyle="1" w:styleId="Tablelegend">
    <w:name w:val="Table legend"/>
    <w:basedOn w:val="Normal"/>
    <w:semiHidden/>
    <w:locked/>
    <w:rsid w:val="002504C0"/>
    <w:rPr>
      <w:rFonts w:eastAsiaTheme="majorEastAsia"/>
    </w:rPr>
  </w:style>
  <w:style w:type="paragraph" w:styleId="TOC1">
    <w:name w:val="toc 1"/>
    <w:basedOn w:val="Normal"/>
    <w:next w:val="Normal"/>
    <w:autoRedefine/>
    <w:uiPriority w:val="9"/>
    <w:semiHidden/>
    <w:rsid w:val="00B0699C"/>
    <w:pPr>
      <w:tabs>
        <w:tab w:val="left" w:pos="720"/>
        <w:tab w:val="right" w:pos="9072"/>
      </w:tabs>
      <w:spacing w:after="100"/>
      <w:ind w:left="720" w:hanging="720"/>
    </w:pPr>
    <w:rPr>
      <w:b/>
    </w:rPr>
  </w:style>
  <w:style w:type="paragraph" w:styleId="TOC2">
    <w:name w:val="toc 2"/>
    <w:basedOn w:val="Normal"/>
    <w:next w:val="Normal"/>
    <w:autoRedefine/>
    <w:uiPriority w:val="9"/>
    <w:semiHidden/>
    <w:rsid w:val="00B0699C"/>
    <w:pPr>
      <w:tabs>
        <w:tab w:val="left" w:pos="720"/>
        <w:tab w:val="right" w:pos="9072"/>
      </w:tabs>
      <w:spacing w:after="100"/>
      <w:ind w:left="720" w:hanging="720"/>
    </w:pPr>
  </w:style>
  <w:style w:type="paragraph" w:customStyle="1" w:styleId="Appendixheading">
    <w:name w:val="Appendix heading"/>
    <w:next w:val="Normal"/>
    <w:uiPriority w:val="9"/>
    <w:semiHidden/>
    <w:rsid w:val="00B430C4"/>
    <w:rPr>
      <w:rFonts w:ascii="Franklin Gothic Demi" w:eastAsiaTheme="majorEastAsia" w:hAnsi="Franklin Gothic Demi" w:cstheme="majorBidi"/>
      <w:sz w:val="36"/>
      <w:lang w:eastAsia="en-US"/>
    </w:rPr>
  </w:style>
  <w:style w:type="paragraph" w:styleId="NormalWeb">
    <w:name w:val="Normal (Web)"/>
    <w:basedOn w:val="Normal"/>
    <w:semiHidden/>
    <w:rsid w:val="007A235E"/>
    <w:rPr>
      <w:szCs w:val="24"/>
    </w:rPr>
  </w:style>
  <w:style w:type="paragraph" w:styleId="BalloonText">
    <w:name w:val="Balloon Text"/>
    <w:basedOn w:val="Normal"/>
    <w:link w:val="BalloonTextChar"/>
    <w:semiHidden/>
    <w:rsid w:val="00B430C4"/>
    <w:rPr>
      <w:rFonts w:cs="Tahoma"/>
      <w:sz w:val="16"/>
      <w:szCs w:val="16"/>
    </w:rPr>
  </w:style>
  <w:style w:type="character" w:customStyle="1" w:styleId="BalloonTextChar">
    <w:name w:val="Balloon Text Char"/>
    <w:basedOn w:val="DefaultParagraphFont"/>
    <w:link w:val="BalloonText"/>
    <w:semiHidden/>
    <w:rsid w:val="00B430C4"/>
    <w:rPr>
      <w:rFonts w:cs="Tahoma"/>
      <w:sz w:val="16"/>
      <w:szCs w:val="16"/>
    </w:rPr>
  </w:style>
  <w:style w:type="paragraph" w:styleId="Caption">
    <w:name w:val="caption"/>
    <w:basedOn w:val="Normal"/>
    <w:next w:val="Normal"/>
    <w:uiPriority w:val="8"/>
    <w:semiHidden/>
    <w:rsid w:val="00BD287D"/>
    <w:rPr>
      <w:bCs/>
      <w:i/>
      <w:sz w:val="20"/>
      <w:szCs w:val="18"/>
    </w:rPr>
  </w:style>
  <w:style w:type="character" w:styleId="EndnoteReference">
    <w:name w:val="endnote reference"/>
    <w:basedOn w:val="DefaultParagraphFont"/>
    <w:semiHidden/>
    <w:rsid w:val="00BD287D"/>
    <w:rPr>
      <w:vertAlign w:val="superscript"/>
    </w:rPr>
  </w:style>
  <w:style w:type="paragraph" w:styleId="EndnoteText">
    <w:name w:val="endnote text"/>
    <w:basedOn w:val="Normal"/>
    <w:link w:val="EndnoteTextChar"/>
    <w:semiHidden/>
    <w:rsid w:val="00BD287D"/>
    <w:rPr>
      <w:sz w:val="20"/>
      <w:szCs w:val="20"/>
    </w:rPr>
  </w:style>
  <w:style w:type="character" w:customStyle="1" w:styleId="EndnoteTextChar">
    <w:name w:val="Endnote Text Char"/>
    <w:basedOn w:val="DefaultParagraphFont"/>
    <w:link w:val="EndnoteText"/>
    <w:semiHidden/>
    <w:rsid w:val="00BD287D"/>
    <w:rPr>
      <w:sz w:val="20"/>
      <w:szCs w:val="20"/>
    </w:rPr>
  </w:style>
  <w:style w:type="paragraph" w:customStyle="1" w:styleId="Figureheading">
    <w:name w:val="Figure heading"/>
    <w:basedOn w:val="Normal"/>
    <w:next w:val="Normal"/>
    <w:uiPriority w:val="7"/>
    <w:semiHidden/>
    <w:rsid w:val="009A34A1"/>
    <w:pPr>
      <w:keepNext/>
      <w:numPr>
        <w:numId w:val="4"/>
      </w:numPr>
      <w:tabs>
        <w:tab w:val="left" w:pos="1134"/>
      </w:tabs>
      <w:spacing w:after="120"/>
    </w:pPr>
    <w:rPr>
      <w:rFonts w:ascii="Franklin Gothic Medium" w:eastAsiaTheme="majorEastAsia" w:hAnsi="Franklin Gothic Medium"/>
      <w:i/>
    </w:rPr>
  </w:style>
  <w:style w:type="character" w:styleId="FootnoteReference">
    <w:name w:val="footnote reference"/>
    <w:basedOn w:val="DefaultParagraphFont"/>
    <w:uiPriority w:val="8"/>
    <w:semiHidden/>
    <w:rsid w:val="005B30E6"/>
    <w:rPr>
      <w:rFonts w:ascii="Franklin Gothic Book" w:hAnsi="Franklin Gothic Book"/>
      <w:sz w:val="20"/>
      <w:vertAlign w:val="superscript"/>
    </w:rPr>
  </w:style>
  <w:style w:type="paragraph" w:styleId="FootnoteText">
    <w:name w:val="footnote text"/>
    <w:basedOn w:val="Normal"/>
    <w:link w:val="FootnoteTextChar"/>
    <w:uiPriority w:val="8"/>
    <w:semiHidden/>
    <w:rsid w:val="00BD287D"/>
    <w:pPr>
      <w:autoSpaceDE w:val="0"/>
      <w:autoSpaceDN w:val="0"/>
      <w:adjustRightInd w:val="0"/>
    </w:pPr>
    <w:rPr>
      <w:color w:val="000000"/>
      <w:sz w:val="18"/>
      <w:szCs w:val="20"/>
    </w:rPr>
  </w:style>
  <w:style w:type="character" w:customStyle="1" w:styleId="FootnoteTextChar">
    <w:name w:val="Footnote Text Char"/>
    <w:basedOn w:val="DefaultParagraphFont"/>
    <w:link w:val="FootnoteText"/>
    <w:uiPriority w:val="8"/>
    <w:semiHidden/>
    <w:rsid w:val="00683B04"/>
    <w:rPr>
      <w:color w:val="000000"/>
      <w:sz w:val="18"/>
      <w:szCs w:val="20"/>
    </w:rPr>
  </w:style>
  <w:style w:type="paragraph" w:styleId="Header">
    <w:name w:val="header"/>
    <w:basedOn w:val="Normal"/>
    <w:link w:val="HeaderChar"/>
    <w:uiPriority w:val="99"/>
    <w:semiHidden/>
    <w:rsid w:val="00BD287D"/>
    <w:pPr>
      <w:tabs>
        <w:tab w:val="center" w:pos="4513"/>
        <w:tab w:val="right" w:pos="9026"/>
      </w:tabs>
    </w:pPr>
  </w:style>
  <w:style w:type="character" w:customStyle="1" w:styleId="HeaderChar">
    <w:name w:val="Header Char"/>
    <w:basedOn w:val="DefaultParagraphFont"/>
    <w:link w:val="Header"/>
    <w:uiPriority w:val="99"/>
    <w:semiHidden/>
    <w:rsid w:val="00BD287D"/>
  </w:style>
  <w:style w:type="paragraph" w:customStyle="1" w:styleId="NonTOCHeading1">
    <w:name w:val="Non TOC Heading 1"/>
    <w:next w:val="Normal"/>
    <w:uiPriority w:val="9"/>
    <w:semiHidden/>
    <w:rsid w:val="00862933"/>
    <w:pPr>
      <w:keepNext/>
      <w:spacing w:before="120" w:after="60"/>
    </w:pPr>
    <w:rPr>
      <w:rFonts w:ascii="Franklin Gothic Demi" w:eastAsiaTheme="majorEastAsia" w:hAnsi="Franklin Gothic Demi"/>
      <w:sz w:val="36"/>
    </w:rPr>
  </w:style>
  <w:style w:type="paragraph" w:customStyle="1" w:styleId="NonTOCHeading2">
    <w:name w:val="Non TOC Heading 2"/>
    <w:basedOn w:val="Normal"/>
    <w:next w:val="Normal"/>
    <w:uiPriority w:val="9"/>
    <w:semiHidden/>
    <w:rsid w:val="00862933"/>
    <w:pPr>
      <w:keepNext/>
      <w:spacing w:before="120" w:after="60"/>
    </w:pPr>
    <w:rPr>
      <w:rFonts w:ascii="Franklin Gothic Demi" w:eastAsiaTheme="majorEastAsia" w:hAnsi="Franklin Gothic Demi" w:cstheme="majorBidi"/>
      <w:sz w:val="28"/>
      <w:szCs w:val="26"/>
      <w:lang w:eastAsia="en-US"/>
    </w:rPr>
  </w:style>
  <w:style w:type="paragraph" w:customStyle="1" w:styleId="Normalimprint">
    <w:name w:val="Normal imprint"/>
    <w:basedOn w:val="Normal"/>
    <w:next w:val="Normal"/>
    <w:semiHidden/>
    <w:rsid w:val="00BD287D"/>
    <w:pPr>
      <w:spacing w:after="7200"/>
    </w:pPr>
  </w:style>
  <w:style w:type="paragraph" w:customStyle="1" w:styleId="Indentedquote">
    <w:name w:val="Indented quote"/>
    <w:basedOn w:val="Normal"/>
    <w:next w:val="Normal"/>
    <w:uiPriority w:val="8"/>
    <w:semiHidden/>
    <w:rsid w:val="0020484E"/>
    <w:pPr>
      <w:ind w:left="714" w:right="1786"/>
    </w:pPr>
  </w:style>
  <w:style w:type="character" w:styleId="PlaceholderText">
    <w:name w:val="Placeholder Text"/>
    <w:basedOn w:val="DefaultParagraphFont"/>
    <w:uiPriority w:val="99"/>
    <w:semiHidden/>
    <w:rsid w:val="00BD287D"/>
    <w:rPr>
      <w:color w:val="808080"/>
    </w:rPr>
  </w:style>
  <w:style w:type="paragraph" w:customStyle="1" w:styleId="Referencelist">
    <w:name w:val="Reference list"/>
    <w:basedOn w:val="Normal"/>
    <w:uiPriority w:val="8"/>
    <w:semiHidden/>
    <w:rsid w:val="00BD287D"/>
    <w:pPr>
      <w:ind w:left="714" w:hanging="714"/>
    </w:pPr>
  </w:style>
  <w:style w:type="paragraph" w:customStyle="1" w:styleId="ReferenceTitle">
    <w:name w:val="Reference Title"/>
    <w:basedOn w:val="Normal"/>
    <w:next w:val="Normal"/>
    <w:link w:val="ReferenceTitleChar"/>
    <w:uiPriority w:val="8"/>
    <w:semiHidden/>
    <w:rsid w:val="00BD287D"/>
    <w:rPr>
      <w:i/>
      <w:szCs w:val="20"/>
    </w:rPr>
  </w:style>
  <w:style w:type="character" w:customStyle="1" w:styleId="ReferenceTitleChar">
    <w:name w:val="Reference Title Char"/>
    <w:basedOn w:val="DefaultParagraphFont"/>
    <w:link w:val="ReferenceTitle"/>
    <w:uiPriority w:val="8"/>
    <w:semiHidden/>
    <w:rsid w:val="00683B04"/>
    <w:rPr>
      <w:i/>
      <w:szCs w:val="20"/>
    </w:rPr>
  </w:style>
  <w:style w:type="paragraph" w:customStyle="1" w:styleId="Signatorysname">
    <w:name w:val="Signatory's name"/>
    <w:basedOn w:val="Normal"/>
    <w:next w:val="Normal"/>
    <w:semiHidden/>
    <w:rsid w:val="00002076"/>
    <w:pPr>
      <w:spacing w:before="960" w:after="60"/>
    </w:pPr>
    <w:rPr>
      <w:rFonts w:ascii="Franklin Gothic Medium" w:hAnsi="Franklin Gothic Medium"/>
      <w:lang w:eastAsia="en-US"/>
    </w:rPr>
  </w:style>
  <w:style w:type="paragraph" w:customStyle="1" w:styleId="Source">
    <w:name w:val="Source"/>
    <w:basedOn w:val="Normal"/>
    <w:next w:val="Normal"/>
    <w:uiPriority w:val="8"/>
    <w:semiHidden/>
    <w:rsid w:val="00BD287D"/>
    <w:pPr>
      <w:spacing w:after="60"/>
      <w:jc w:val="right"/>
    </w:pPr>
    <w:rPr>
      <w:rFonts w:eastAsiaTheme="majorEastAsia"/>
      <w:i/>
      <w:noProof/>
    </w:rPr>
  </w:style>
  <w:style w:type="paragraph" w:customStyle="1" w:styleId="Tableheading">
    <w:name w:val="Table heading"/>
    <w:next w:val="Normal"/>
    <w:uiPriority w:val="7"/>
    <w:semiHidden/>
    <w:rsid w:val="00862933"/>
    <w:pPr>
      <w:keepNext/>
      <w:numPr>
        <w:numId w:val="16"/>
      </w:numPr>
      <w:tabs>
        <w:tab w:val="left" w:pos="1134"/>
      </w:tabs>
      <w:spacing w:after="120"/>
    </w:pPr>
    <w:rPr>
      <w:rFonts w:ascii="Franklin Gothic Medium" w:eastAsiaTheme="majorEastAsia" w:hAnsi="Franklin Gothic Medium"/>
      <w:i/>
    </w:rPr>
  </w:style>
  <w:style w:type="paragraph" w:styleId="Bibliography">
    <w:name w:val="Bibliography"/>
    <w:basedOn w:val="Normal"/>
    <w:next w:val="Normal"/>
    <w:uiPriority w:val="37"/>
    <w:semiHidden/>
    <w:rsid w:val="00B430C4"/>
  </w:style>
  <w:style w:type="paragraph" w:styleId="NormalIndent">
    <w:name w:val="Normal Indent"/>
    <w:basedOn w:val="Normal"/>
    <w:semiHidden/>
    <w:rsid w:val="0020484E"/>
    <w:pPr>
      <w:ind w:left="357"/>
    </w:pPr>
  </w:style>
  <w:style w:type="numbering" w:customStyle="1" w:styleId="CSCFigureheadinglist">
    <w:name w:val="CSC Figure heading list"/>
    <w:uiPriority w:val="99"/>
    <w:rsid w:val="005479E6"/>
    <w:pPr>
      <w:numPr>
        <w:numId w:val="3"/>
      </w:numPr>
    </w:pPr>
  </w:style>
  <w:style w:type="numbering" w:customStyle="1" w:styleId="CSCTableheadinglist">
    <w:name w:val="CSC Table heading list"/>
    <w:uiPriority w:val="99"/>
    <w:rsid w:val="005479E6"/>
    <w:pPr>
      <w:numPr>
        <w:numId w:val="5"/>
      </w:numPr>
    </w:pPr>
  </w:style>
  <w:style w:type="numbering" w:customStyle="1" w:styleId="CSCHeadinglistnumberstyle">
    <w:name w:val="CSC Heading list number style"/>
    <w:uiPriority w:val="99"/>
    <w:rsid w:val="00763A14"/>
    <w:pPr>
      <w:numPr>
        <w:numId w:val="7"/>
      </w:numPr>
    </w:pPr>
  </w:style>
  <w:style w:type="paragraph" w:customStyle="1" w:styleId="Bulletlistmultilevel">
    <w:name w:val="Bullet list multilevel"/>
    <w:basedOn w:val="Normal"/>
    <w:uiPriority w:val="1"/>
    <w:qFormat/>
    <w:rsid w:val="00C17459"/>
    <w:pPr>
      <w:numPr>
        <w:numId w:val="14"/>
      </w:numPr>
    </w:pPr>
  </w:style>
  <w:style w:type="paragraph" w:customStyle="1" w:styleId="Bulletlevel2CSC">
    <w:name w:val="Bullet level 2 CSC"/>
    <w:basedOn w:val="Normal"/>
    <w:semiHidden/>
    <w:qFormat/>
    <w:rsid w:val="00C17459"/>
    <w:pPr>
      <w:numPr>
        <w:ilvl w:val="1"/>
        <w:numId w:val="14"/>
      </w:numPr>
      <w:spacing w:after="60"/>
    </w:pPr>
  </w:style>
  <w:style w:type="paragraph" w:customStyle="1" w:styleId="Bulletlevel3CSC">
    <w:name w:val="Bullet level 3 CSC"/>
    <w:basedOn w:val="Normal"/>
    <w:semiHidden/>
    <w:qFormat/>
    <w:rsid w:val="00C17459"/>
    <w:pPr>
      <w:numPr>
        <w:ilvl w:val="2"/>
        <w:numId w:val="14"/>
      </w:numPr>
      <w:spacing w:after="60"/>
    </w:pPr>
  </w:style>
  <w:style w:type="table" w:styleId="MediumGrid3-Accent1">
    <w:name w:val="Medium Grid 3 Accent 1"/>
    <w:basedOn w:val="TableNormal"/>
    <w:uiPriority w:val="69"/>
    <w:rsid w:val="00BF3F02"/>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CB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1BB00"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1BB00"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1BB00"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1BB00"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FA6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FA61" w:themeFill="accent1" w:themeFillTint="7F"/>
      </w:tcPr>
    </w:tblStylePr>
  </w:style>
  <w:style w:type="paragraph" w:customStyle="1" w:styleId="Numberlevel2CSC">
    <w:name w:val="Number level 2 CSC"/>
    <w:basedOn w:val="Normal"/>
    <w:semiHidden/>
    <w:qFormat/>
    <w:rsid w:val="00B843BC"/>
    <w:pPr>
      <w:numPr>
        <w:ilvl w:val="1"/>
        <w:numId w:val="9"/>
      </w:numPr>
      <w:spacing w:after="60"/>
    </w:pPr>
  </w:style>
  <w:style w:type="paragraph" w:customStyle="1" w:styleId="Numberlevel3CSC">
    <w:name w:val="Number level 3 CSC"/>
    <w:basedOn w:val="Normal"/>
    <w:semiHidden/>
    <w:qFormat/>
    <w:rsid w:val="00B843BC"/>
    <w:pPr>
      <w:numPr>
        <w:ilvl w:val="2"/>
        <w:numId w:val="9"/>
      </w:numPr>
      <w:spacing w:after="60"/>
    </w:pPr>
  </w:style>
  <w:style w:type="numbering" w:customStyle="1" w:styleId="CSCMultilevelnumberedlist">
    <w:name w:val="CSC Multilevel numbered list"/>
    <w:uiPriority w:val="99"/>
    <w:rsid w:val="00B843BC"/>
    <w:pPr>
      <w:numPr>
        <w:numId w:val="9"/>
      </w:numPr>
    </w:pPr>
  </w:style>
  <w:style w:type="paragraph" w:customStyle="1" w:styleId="Numberlevel4CSC">
    <w:name w:val="Number level 4 CSC"/>
    <w:basedOn w:val="Normal"/>
    <w:semiHidden/>
    <w:qFormat/>
    <w:rsid w:val="00B843BC"/>
    <w:pPr>
      <w:numPr>
        <w:ilvl w:val="3"/>
        <w:numId w:val="9"/>
      </w:numPr>
      <w:spacing w:after="60"/>
      <w:ind w:left="1429"/>
    </w:pPr>
  </w:style>
  <w:style w:type="paragraph" w:customStyle="1" w:styleId="REsubjectline">
    <w:name w:val="RE: subject line"/>
    <w:basedOn w:val="Normal"/>
    <w:next w:val="Normal"/>
    <w:semiHidden/>
    <w:rsid w:val="009F1141"/>
    <w:rPr>
      <w:rFonts w:ascii="Franklin Gothic Medium" w:hAnsi="Franklin Gothic Medium"/>
    </w:rPr>
  </w:style>
  <w:style w:type="paragraph" w:customStyle="1" w:styleId="Recipientname">
    <w:name w:val="Recipient name"/>
    <w:basedOn w:val="Normal"/>
    <w:next w:val="Normal"/>
    <w:semiHidden/>
    <w:rsid w:val="003722B8"/>
    <w:pPr>
      <w:spacing w:before="720"/>
    </w:pPr>
  </w:style>
  <w:style w:type="paragraph" w:customStyle="1" w:styleId="Refnumber">
    <w:name w:val="Ref number"/>
    <w:basedOn w:val="Normal"/>
    <w:next w:val="Normal"/>
    <w:semiHidden/>
    <w:rsid w:val="003722B8"/>
    <w:pPr>
      <w:spacing w:after="360"/>
      <w:contextualSpacing/>
    </w:pPr>
    <w:rPr>
      <w:sz w:val="18"/>
    </w:rPr>
  </w:style>
  <w:style w:type="paragraph" w:customStyle="1" w:styleId="Addresseedetails">
    <w:name w:val="Addressee details"/>
    <w:basedOn w:val="Normal"/>
    <w:semiHidden/>
    <w:rsid w:val="003722B8"/>
    <w:pPr>
      <w:spacing w:after="60"/>
    </w:pPr>
  </w:style>
  <w:style w:type="table" w:styleId="DarkList-Accent6">
    <w:name w:val="Dark List Accent 6"/>
    <w:basedOn w:val="TableNormal"/>
    <w:uiPriority w:val="70"/>
    <w:locked/>
    <w:rsid w:val="00BF3F02"/>
    <w:rPr>
      <w:color w:val="FFFFFF" w:themeColor="background1"/>
    </w:rPr>
    <w:tblPr>
      <w:tblStyleRowBandSize w:val="1"/>
      <w:tblStyleColBandSize w:val="1"/>
    </w:tblPr>
    <w:tcPr>
      <w:shd w:val="clear" w:color="auto" w:fill="0073CF"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6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00559B"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00559B" w:themeFill="accent6" w:themeFillShade="BF"/>
      </w:tcPr>
    </w:tblStylePr>
    <w:tblStylePr w:type="band1Vert">
      <w:tblPr/>
      <w:tcPr>
        <w:tcBorders>
          <w:top w:val="nil"/>
          <w:left w:val="nil"/>
          <w:bottom w:val="nil"/>
          <w:right w:val="nil"/>
          <w:insideH w:val="nil"/>
          <w:insideV w:val="nil"/>
        </w:tcBorders>
        <w:shd w:val="clear" w:color="auto" w:fill="00559B" w:themeFill="accent6" w:themeFillShade="BF"/>
      </w:tcPr>
    </w:tblStylePr>
    <w:tblStylePr w:type="band1Horz">
      <w:tblPr/>
      <w:tcPr>
        <w:tcBorders>
          <w:top w:val="nil"/>
          <w:left w:val="nil"/>
          <w:bottom w:val="nil"/>
          <w:right w:val="nil"/>
          <w:insideH w:val="nil"/>
          <w:insideV w:val="nil"/>
        </w:tcBorders>
        <w:shd w:val="clear" w:color="auto" w:fill="00559B" w:themeFill="accent6" w:themeFillShade="BF"/>
      </w:tcPr>
    </w:tblStylePr>
  </w:style>
  <w:style w:type="numbering" w:customStyle="1" w:styleId="CSCBulletlist">
    <w:name w:val="CSC Bullet list"/>
    <w:basedOn w:val="NoList"/>
    <w:uiPriority w:val="99"/>
    <w:rsid w:val="00C17459"/>
    <w:pPr>
      <w:numPr>
        <w:numId w:val="14"/>
      </w:numPr>
    </w:pPr>
  </w:style>
  <w:style w:type="table" w:styleId="MediumGrid3-Accent6">
    <w:name w:val="Medium Grid 3 Accent 6"/>
    <w:basedOn w:val="TableNormal"/>
    <w:uiPriority w:val="69"/>
    <w:rsid w:val="00BF3F02"/>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4DDFF"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3CF"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3CF"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3CF"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3CF"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8BBF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8BBFF" w:themeFill="accent6" w:themeFillTint="7F"/>
      </w:tcPr>
    </w:tblStylePr>
  </w:style>
  <w:style w:type="paragraph" w:styleId="EnvelopeAddress">
    <w:name w:val="envelope address"/>
    <w:basedOn w:val="Normal"/>
    <w:semiHidden/>
    <w:rsid w:val="005B30E6"/>
    <w:pPr>
      <w:framePr w:w="7920" w:h="1980" w:hRule="exact" w:hSpace="180" w:wrap="auto" w:hAnchor="page" w:xAlign="center" w:yAlign="bottom"/>
      <w:ind w:left="2880"/>
    </w:pPr>
    <w:rPr>
      <w:rFonts w:eastAsiaTheme="majorEastAsia" w:cstheme="majorBidi"/>
      <w:sz w:val="24"/>
      <w:szCs w:val="24"/>
    </w:rPr>
  </w:style>
  <w:style w:type="paragraph" w:styleId="EnvelopeReturn">
    <w:name w:val="envelope return"/>
    <w:basedOn w:val="Normal"/>
    <w:semiHidden/>
    <w:rsid w:val="005B30E6"/>
    <w:rPr>
      <w:rFonts w:eastAsiaTheme="majorEastAsia" w:cstheme="majorBidi"/>
      <w:sz w:val="20"/>
      <w:szCs w:val="20"/>
    </w:rPr>
  </w:style>
  <w:style w:type="paragraph" w:styleId="Index1">
    <w:name w:val="index 1"/>
    <w:basedOn w:val="Normal"/>
    <w:next w:val="Normal"/>
    <w:autoRedefine/>
    <w:semiHidden/>
    <w:rsid w:val="005B30E6"/>
    <w:pPr>
      <w:ind w:left="220" w:hanging="220"/>
    </w:pPr>
  </w:style>
  <w:style w:type="paragraph" w:styleId="IndexHeading">
    <w:name w:val="index heading"/>
    <w:basedOn w:val="Normal"/>
    <w:next w:val="Index1"/>
    <w:semiHidden/>
    <w:rsid w:val="005B30E6"/>
    <w:rPr>
      <w:rFonts w:eastAsiaTheme="majorEastAsia" w:cstheme="majorBidi"/>
      <w:b/>
      <w:bCs/>
    </w:rPr>
  </w:style>
  <w:style w:type="table" w:styleId="MediumGrid2">
    <w:name w:val="Medium Grid 2"/>
    <w:basedOn w:val="TableNormal"/>
    <w:uiPriority w:val="68"/>
    <w:rsid w:val="005B30E6"/>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5B30E6"/>
    <w:rPr>
      <w:rFonts w:eastAsiaTheme="majorEastAsia" w:cstheme="majorBidi"/>
      <w:color w:val="000000" w:themeColor="text1"/>
    </w:rPr>
    <w:tblPr>
      <w:tblStyleRowBandSize w:val="1"/>
      <w:tblStyleColBandSize w:val="1"/>
      <w:tblBorders>
        <w:top w:val="single" w:sz="8" w:space="0" w:color="C1BB00" w:themeColor="accent1"/>
        <w:left w:val="single" w:sz="8" w:space="0" w:color="C1BB00" w:themeColor="accent1"/>
        <w:bottom w:val="single" w:sz="8" w:space="0" w:color="C1BB00" w:themeColor="accent1"/>
        <w:right w:val="single" w:sz="8" w:space="0" w:color="C1BB00" w:themeColor="accent1"/>
        <w:insideH w:val="single" w:sz="8" w:space="0" w:color="C1BB00" w:themeColor="accent1"/>
        <w:insideV w:val="single" w:sz="8" w:space="0" w:color="C1BB00" w:themeColor="accent1"/>
      </w:tblBorders>
    </w:tblPr>
    <w:tcPr>
      <w:shd w:val="clear" w:color="auto" w:fill="FFFCB0" w:themeFill="accent1" w:themeFillTint="3F"/>
    </w:tcPr>
    <w:tblStylePr w:type="firstRow">
      <w:rPr>
        <w:b/>
        <w:bCs/>
        <w:color w:val="000000" w:themeColor="text1"/>
      </w:rPr>
      <w:tblPr/>
      <w:tcPr>
        <w:shd w:val="clear" w:color="auto" w:fill="FFFED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DBF" w:themeFill="accent1" w:themeFillTint="33"/>
      </w:tcPr>
    </w:tblStylePr>
    <w:tblStylePr w:type="band1Vert">
      <w:tblPr/>
      <w:tcPr>
        <w:shd w:val="clear" w:color="auto" w:fill="FFFA61" w:themeFill="accent1" w:themeFillTint="7F"/>
      </w:tcPr>
    </w:tblStylePr>
    <w:tblStylePr w:type="band1Horz">
      <w:tblPr/>
      <w:tcPr>
        <w:tcBorders>
          <w:insideH w:val="single" w:sz="6" w:space="0" w:color="C1BB00" w:themeColor="accent1"/>
          <w:insideV w:val="single" w:sz="6" w:space="0" w:color="C1BB00" w:themeColor="accent1"/>
        </w:tcBorders>
        <w:shd w:val="clear" w:color="auto" w:fill="FFFA6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5B30E6"/>
    <w:rPr>
      <w:rFonts w:eastAsiaTheme="majorEastAsia" w:cstheme="majorBidi"/>
      <w:color w:val="000000" w:themeColor="text1"/>
    </w:rPr>
    <w:tblPr>
      <w:tblStyleRowBandSize w:val="1"/>
      <w:tblStyleColBandSize w:val="1"/>
      <w:tblBorders>
        <w:top w:val="single" w:sz="8" w:space="0" w:color="53682B" w:themeColor="accent2"/>
        <w:left w:val="single" w:sz="8" w:space="0" w:color="53682B" w:themeColor="accent2"/>
        <w:bottom w:val="single" w:sz="8" w:space="0" w:color="53682B" w:themeColor="accent2"/>
        <w:right w:val="single" w:sz="8" w:space="0" w:color="53682B" w:themeColor="accent2"/>
        <w:insideH w:val="single" w:sz="8" w:space="0" w:color="53682B" w:themeColor="accent2"/>
        <w:insideV w:val="single" w:sz="8" w:space="0" w:color="53682B" w:themeColor="accent2"/>
      </w:tblBorders>
    </w:tblPr>
    <w:tcPr>
      <w:shd w:val="clear" w:color="auto" w:fill="D7E4BF" w:themeFill="accent2" w:themeFillTint="3F"/>
    </w:tcPr>
    <w:tblStylePr w:type="firstRow">
      <w:rPr>
        <w:b/>
        <w:bCs/>
        <w:color w:val="000000" w:themeColor="text1"/>
      </w:rPr>
      <w:tblPr/>
      <w:tcPr>
        <w:shd w:val="clear" w:color="auto" w:fill="EFF4E5"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E9CB" w:themeFill="accent2" w:themeFillTint="33"/>
      </w:tcPr>
    </w:tblStylePr>
    <w:tblStylePr w:type="band1Vert">
      <w:tblPr/>
      <w:tcPr>
        <w:shd w:val="clear" w:color="auto" w:fill="B0CA7E" w:themeFill="accent2" w:themeFillTint="7F"/>
      </w:tcPr>
    </w:tblStylePr>
    <w:tblStylePr w:type="band1Horz">
      <w:tblPr/>
      <w:tcPr>
        <w:tcBorders>
          <w:insideH w:val="single" w:sz="6" w:space="0" w:color="53682B" w:themeColor="accent2"/>
          <w:insideV w:val="single" w:sz="6" w:space="0" w:color="53682B" w:themeColor="accent2"/>
        </w:tcBorders>
        <w:shd w:val="clear" w:color="auto" w:fill="B0CA7E"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5B30E6"/>
    <w:rPr>
      <w:rFonts w:eastAsiaTheme="majorEastAsia" w:cstheme="majorBidi"/>
      <w:color w:val="000000" w:themeColor="text1"/>
    </w:rPr>
    <w:tblPr>
      <w:tblStyleRowBandSize w:val="1"/>
      <w:tblStyleColBandSize w:val="1"/>
      <w:tblBorders>
        <w:top w:val="single" w:sz="8" w:space="0" w:color="C75B12" w:themeColor="accent3"/>
        <w:left w:val="single" w:sz="8" w:space="0" w:color="C75B12" w:themeColor="accent3"/>
        <w:bottom w:val="single" w:sz="8" w:space="0" w:color="C75B12" w:themeColor="accent3"/>
        <w:right w:val="single" w:sz="8" w:space="0" w:color="C75B12" w:themeColor="accent3"/>
        <w:insideH w:val="single" w:sz="8" w:space="0" w:color="C75B12" w:themeColor="accent3"/>
        <w:insideV w:val="single" w:sz="8" w:space="0" w:color="C75B12" w:themeColor="accent3"/>
      </w:tblBorders>
    </w:tblPr>
    <w:tcPr>
      <w:shd w:val="clear" w:color="auto" w:fill="F9D4BC" w:themeFill="accent3" w:themeFillTint="3F"/>
    </w:tcPr>
    <w:tblStylePr w:type="firstRow">
      <w:rPr>
        <w:b/>
        <w:bCs/>
        <w:color w:val="000000" w:themeColor="text1"/>
      </w:rPr>
      <w:tblPr/>
      <w:tcPr>
        <w:shd w:val="clear" w:color="auto" w:fill="FCEEE4"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DCC9" w:themeFill="accent3" w:themeFillTint="33"/>
      </w:tcPr>
    </w:tblStylePr>
    <w:tblStylePr w:type="band1Vert">
      <w:tblPr/>
      <w:tcPr>
        <w:shd w:val="clear" w:color="auto" w:fill="F3A979" w:themeFill="accent3" w:themeFillTint="7F"/>
      </w:tcPr>
    </w:tblStylePr>
    <w:tblStylePr w:type="band1Horz">
      <w:tblPr/>
      <w:tcPr>
        <w:tcBorders>
          <w:insideH w:val="single" w:sz="6" w:space="0" w:color="C75B12" w:themeColor="accent3"/>
          <w:insideV w:val="single" w:sz="6" w:space="0" w:color="C75B12" w:themeColor="accent3"/>
        </w:tcBorders>
        <w:shd w:val="clear" w:color="auto" w:fill="F3A979"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5B30E6"/>
    <w:rPr>
      <w:rFonts w:eastAsiaTheme="majorEastAsia" w:cstheme="majorBidi"/>
      <w:color w:val="000000" w:themeColor="text1"/>
    </w:rPr>
    <w:tblPr>
      <w:tblStyleRowBandSize w:val="1"/>
      <w:tblStyleColBandSize w:val="1"/>
      <w:tblBorders>
        <w:top w:val="single" w:sz="8" w:space="0" w:color="A22B38" w:themeColor="accent4"/>
        <w:left w:val="single" w:sz="8" w:space="0" w:color="A22B38" w:themeColor="accent4"/>
        <w:bottom w:val="single" w:sz="8" w:space="0" w:color="A22B38" w:themeColor="accent4"/>
        <w:right w:val="single" w:sz="8" w:space="0" w:color="A22B38" w:themeColor="accent4"/>
        <w:insideH w:val="single" w:sz="8" w:space="0" w:color="A22B38" w:themeColor="accent4"/>
        <w:insideV w:val="single" w:sz="8" w:space="0" w:color="A22B38" w:themeColor="accent4"/>
      </w:tblBorders>
    </w:tblPr>
    <w:tcPr>
      <w:shd w:val="clear" w:color="auto" w:fill="EFC3C7" w:themeFill="accent4" w:themeFillTint="3F"/>
    </w:tcPr>
    <w:tblStylePr w:type="firstRow">
      <w:rPr>
        <w:b/>
        <w:bCs/>
        <w:color w:val="000000" w:themeColor="text1"/>
      </w:rPr>
      <w:tblPr/>
      <w:tcPr>
        <w:shd w:val="clear" w:color="auto" w:fill="F8E7E9"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D2" w:themeFill="accent4" w:themeFillTint="33"/>
      </w:tcPr>
    </w:tblStylePr>
    <w:tblStylePr w:type="band1Vert">
      <w:tblPr/>
      <w:tcPr>
        <w:shd w:val="clear" w:color="auto" w:fill="DF8690" w:themeFill="accent4" w:themeFillTint="7F"/>
      </w:tcPr>
    </w:tblStylePr>
    <w:tblStylePr w:type="band1Horz">
      <w:tblPr/>
      <w:tcPr>
        <w:tcBorders>
          <w:insideH w:val="single" w:sz="6" w:space="0" w:color="A22B38" w:themeColor="accent4"/>
          <w:insideV w:val="single" w:sz="6" w:space="0" w:color="A22B38" w:themeColor="accent4"/>
        </w:tcBorders>
        <w:shd w:val="clear" w:color="auto" w:fill="DF869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5B30E6"/>
    <w:rPr>
      <w:rFonts w:eastAsiaTheme="majorEastAsia" w:cstheme="majorBidi"/>
      <w:color w:val="000000" w:themeColor="text1"/>
    </w:rPr>
    <w:tblPr>
      <w:tblStyleRowBandSize w:val="1"/>
      <w:tblStyleColBandSize w:val="1"/>
      <w:tblBorders>
        <w:top w:val="single" w:sz="8" w:space="0" w:color="5E2750" w:themeColor="accent5"/>
        <w:left w:val="single" w:sz="8" w:space="0" w:color="5E2750" w:themeColor="accent5"/>
        <w:bottom w:val="single" w:sz="8" w:space="0" w:color="5E2750" w:themeColor="accent5"/>
        <w:right w:val="single" w:sz="8" w:space="0" w:color="5E2750" w:themeColor="accent5"/>
        <w:insideH w:val="single" w:sz="8" w:space="0" w:color="5E2750" w:themeColor="accent5"/>
        <w:insideV w:val="single" w:sz="8" w:space="0" w:color="5E2750" w:themeColor="accent5"/>
      </w:tblBorders>
    </w:tblPr>
    <w:tcPr>
      <w:shd w:val="clear" w:color="auto" w:fill="E3BDD9" w:themeFill="accent5" w:themeFillTint="3F"/>
    </w:tcPr>
    <w:tblStylePr w:type="firstRow">
      <w:rPr>
        <w:b/>
        <w:bCs/>
        <w:color w:val="000000" w:themeColor="text1"/>
      </w:rPr>
      <w:tblPr/>
      <w:tcPr>
        <w:shd w:val="clear" w:color="auto" w:fill="F4E4F0"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8C9E0" w:themeFill="accent5" w:themeFillTint="33"/>
      </w:tcPr>
    </w:tblStylePr>
    <w:tblStylePr w:type="band1Vert">
      <w:tblPr/>
      <w:tcPr>
        <w:shd w:val="clear" w:color="auto" w:fill="C77AB4" w:themeFill="accent5" w:themeFillTint="7F"/>
      </w:tcPr>
    </w:tblStylePr>
    <w:tblStylePr w:type="band1Horz">
      <w:tblPr/>
      <w:tcPr>
        <w:tcBorders>
          <w:insideH w:val="single" w:sz="6" w:space="0" w:color="5E2750" w:themeColor="accent5"/>
          <w:insideV w:val="single" w:sz="6" w:space="0" w:color="5E2750" w:themeColor="accent5"/>
        </w:tcBorders>
        <w:shd w:val="clear" w:color="auto" w:fill="C77AB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5B30E6"/>
    <w:rPr>
      <w:rFonts w:eastAsiaTheme="majorEastAsia" w:cstheme="majorBidi"/>
      <w:color w:val="000000" w:themeColor="text1"/>
    </w:rPr>
    <w:tblPr>
      <w:tblStyleRowBandSize w:val="1"/>
      <w:tblStyleColBandSize w:val="1"/>
      <w:tblBorders>
        <w:top w:val="single" w:sz="8" w:space="0" w:color="0073CF" w:themeColor="accent6"/>
        <w:left w:val="single" w:sz="8" w:space="0" w:color="0073CF" w:themeColor="accent6"/>
        <w:bottom w:val="single" w:sz="8" w:space="0" w:color="0073CF" w:themeColor="accent6"/>
        <w:right w:val="single" w:sz="8" w:space="0" w:color="0073CF" w:themeColor="accent6"/>
        <w:insideH w:val="single" w:sz="8" w:space="0" w:color="0073CF" w:themeColor="accent6"/>
        <w:insideV w:val="single" w:sz="8" w:space="0" w:color="0073CF" w:themeColor="accent6"/>
      </w:tblBorders>
    </w:tblPr>
    <w:tcPr>
      <w:shd w:val="clear" w:color="auto" w:fill="B4DDFF" w:themeFill="accent6" w:themeFillTint="3F"/>
    </w:tcPr>
    <w:tblStylePr w:type="firstRow">
      <w:rPr>
        <w:b/>
        <w:bCs/>
        <w:color w:val="000000" w:themeColor="text1"/>
      </w:rPr>
      <w:tblPr/>
      <w:tcPr>
        <w:shd w:val="clear" w:color="auto" w:fill="E1F1FF"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2E3FF" w:themeFill="accent6" w:themeFillTint="33"/>
      </w:tcPr>
    </w:tblStylePr>
    <w:tblStylePr w:type="band1Vert">
      <w:tblPr/>
      <w:tcPr>
        <w:shd w:val="clear" w:color="auto" w:fill="68BBFF" w:themeFill="accent6" w:themeFillTint="7F"/>
      </w:tcPr>
    </w:tblStylePr>
    <w:tblStylePr w:type="band1Horz">
      <w:tblPr/>
      <w:tcPr>
        <w:tcBorders>
          <w:insideH w:val="single" w:sz="6" w:space="0" w:color="0073CF" w:themeColor="accent6"/>
          <w:insideV w:val="single" w:sz="6" w:space="0" w:color="0073CF" w:themeColor="accent6"/>
        </w:tcBorders>
        <w:shd w:val="clear" w:color="auto" w:fill="68BBFF" w:themeFill="accent6" w:themeFillTint="7F"/>
      </w:tcPr>
    </w:tblStylePr>
    <w:tblStylePr w:type="nwCell">
      <w:tblPr/>
      <w:tcPr>
        <w:shd w:val="clear" w:color="auto" w:fill="FFFFFF" w:themeFill="background1"/>
      </w:tcPr>
    </w:tblStylePr>
  </w:style>
  <w:style w:type="table" w:styleId="MediumList2">
    <w:name w:val="Medium List 2"/>
    <w:basedOn w:val="TableNormal"/>
    <w:uiPriority w:val="66"/>
    <w:rsid w:val="005B30E6"/>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5B30E6"/>
    <w:rPr>
      <w:rFonts w:eastAsiaTheme="majorEastAsia" w:cstheme="majorBidi"/>
      <w:color w:val="000000" w:themeColor="text1"/>
    </w:rPr>
    <w:tblPr>
      <w:tblStyleRowBandSize w:val="1"/>
      <w:tblStyleColBandSize w:val="1"/>
      <w:tblBorders>
        <w:top w:val="single" w:sz="8" w:space="0" w:color="C1BB00" w:themeColor="accent1"/>
        <w:left w:val="single" w:sz="8" w:space="0" w:color="C1BB00" w:themeColor="accent1"/>
        <w:bottom w:val="single" w:sz="8" w:space="0" w:color="C1BB00" w:themeColor="accent1"/>
        <w:right w:val="single" w:sz="8" w:space="0" w:color="C1BB00" w:themeColor="accent1"/>
      </w:tblBorders>
    </w:tblPr>
    <w:tblStylePr w:type="firstRow">
      <w:rPr>
        <w:sz w:val="24"/>
        <w:szCs w:val="24"/>
      </w:rPr>
      <w:tblPr/>
      <w:tcPr>
        <w:tcBorders>
          <w:top w:val="nil"/>
          <w:left w:val="nil"/>
          <w:bottom w:val="single" w:sz="24" w:space="0" w:color="C1BB00" w:themeColor="accent1"/>
          <w:right w:val="nil"/>
          <w:insideH w:val="nil"/>
          <w:insideV w:val="nil"/>
        </w:tcBorders>
        <w:shd w:val="clear" w:color="auto" w:fill="FFFFFF" w:themeFill="background1"/>
      </w:tcPr>
    </w:tblStylePr>
    <w:tblStylePr w:type="lastRow">
      <w:tblPr/>
      <w:tcPr>
        <w:tcBorders>
          <w:top w:val="single" w:sz="8" w:space="0" w:color="C1BB00"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1BB00" w:themeColor="accent1"/>
          <w:insideH w:val="nil"/>
          <w:insideV w:val="nil"/>
        </w:tcBorders>
        <w:shd w:val="clear" w:color="auto" w:fill="FFFFFF" w:themeFill="background1"/>
      </w:tcPr>
    </w:tblStylePr>
    <w:tblStylePr w:type="lastCol">
      <w:tblPr/>
      <w:tcPr>
        <w:tcBorders>
          <w:top w:val="nil"/>
          <w:left w:val="single" w:sz="8" w:space="0" w:color="C1BB00"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CB0" w:themeFill="accent1" w:themeFillTint="3F"/>
      </w:tcPr>
    </w:tblStylePr>
    <w:tblStylePr w:type="band1Horz">
      <w:tblPr/>
      <w:tcPr>
        <w:tcBorders>
          <w:top w:val="nil"/>
          <w:bottom w:val="nil"/>
          <w:insideH w:val="nil"/>
          <w:insideV w:val="nil"/>
        </w:tcBorders>
        <w:shd w:val="clear" w:color="auto" w:fill="FFFCB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5B30E6"/>
    <w:rPr>
      <w:rFonts w:eastAsiaTheme="majorEastAsia" w:cstheme="majorBidi"/>
      <w:color w:val="000000" w:themeColor="text1"/>
    </w:rPr>
    <w:tblPr>
      <w:tblStyleRowBandSize w:val="1"/>
      <w:tblStyleColBandSize w:val="1"/>
      <w:tblBorders>
        <w:top w:val="single" w:sz="8" w:space="0" w:color="53682B" w:themeColor="accent2"/>
        <w:left w:val="single" w:sz="8" w:space="0" w:color="53682B" w:themeColor="accent2"/>
        <w:bottom w:val="single" w:sz="8" w:space="0" w:color="53682B" w:themeColor="accent2"/>
        <w:right w:val="single" w:sz="8" w:space="0" w:color="53682B" w:themeColor="accent2"/>
      </w:tblBorders>
    </w:tblPr>
    <w:tblStylePr w:type="firstRow">
      <w:rPr>
        <w:sz w:val="24"/>
        <w:szCs w:val="24"/>
      </w:rPr>
      <w:tblPr/>
      <w:tcPr>
        <w:tcBorders>
          <w:top w:val="nil"/>
          <w:left w:val="nil"/>
          <w:bottom w:val="single" w:sz="24" w:space="0" w:color="53682B" w:themeColor="accent2"/>
          <w:right w:val="nil"/>
          <w:insideH w:val="nil"/>
          <w:insideV w:val="nil"/>
        </w:tcBorders>
        <w:shd w:val="clear" w:color="auto" w:fill="FFFFFF" w:themeFill="background1"/>
      </w:tcPr>
    </w:tblStylePr>
    <w:tblStylePr w:type="lastRow">
      <w:tblPr/>
      <w:tcPr>
        <w:tcBorders>
          <w:top w:val="single" w:sz="8" w:space="0" w:color="53682B"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3682B" w:themeColor="accent2"/>
          <w:insideH w:val="nil"/>
          <w:insideV w:val="nil"/>
        </w:tcBorders>
        <w:shd w:val="clear" w:color="auto" w:fill="FFFFFF" w:themeFill="background1"/>
      </w:tcPr>
    </w:tblStylePr>
    <w:tblStylePr w:type="lastCol">
      <w:tblPr/>
      <w:tcPr>
        <w:tcBorders>
          <w:top w:val="nil"/>
          <w:left w:val="single" w:sz="8" w:space="0" w:color="53682B"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E4BF" w:themeFill="accent2" w:themeFillTint="3F"/>
      </w:tcPr>
    </w:tblStylePr>
    <w:tblStylePr w:type="band1Horz">
      <w:tblPr/>
      <w:tcPr>
        <w:tcBorders>
          <w:top w:val="nil"/>
          <w:bottom w:val="nil"/>
          <w:insideH w:val="nil"/>
          <w:insideV w:val="nil"/>
        </w:tcBorders>
        <w:shd w:val="clear" w:color="auto" w:fill="D7E4B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5B30E6"/>
    <w:rPr>
      <w:rFonts w:eastAsiaTheme="majorEastAsia" w:cstheme="majorBidi"/>
      <w:color w:val="000000" w:themeColor="text1"/>
    </w:rPr>
    <w:tblPr>
      <w:tblStyleRowBandSize w:val="1"/>
      <w:tblStyleColBandSize w:val="1"/>
      <w:tblBorders>
        <w:top w:val="single" w:sz="8" w:space="0" w:color="C75B12" w:themeColor="accent3"/>
        <w:left w:val="single" w:sz="8" w:space="0" w:color="C75B12" w:themeColor="accent3"/>
        <w:bottom w:val="single" w:sz="8" w:space="0" w:color="C75B12" w:themeColor="accent3"/>
        <w:right w:val="single" w:sz="8" w:space="0" w:color="C75B12" w:themeColor="accent3"/>
      </w:tblBorders>
    </w:tblPr>
    <w:tblStylePr w:type="firstRow">
      <w:rPr>
        <w:sz w:val="24"/>
        <w:szCs w:val="24"/>
      </w:rPr>
      <w:tblPr/>
      <w:tcPr>
        <w:tcBorders>
          <w:top w:val="nil"/>
          <w:left w:val="nil"/>
          <w:bottom w:val="single" w:sz="24" w:space="0" w:color="C75B12" w:themeColor="accent3"/>
          <w:right w:val="nil"/>
          <w:insideH w:val="nil"/>
          <w:insideV w:val="nil"/>
        </w:tcBorders>
        <w:shd w:val="clear" w:color="auto" w:fill="FFFFFF" w:themeFill="background1"/>
      </w:tcPr>
    </w:tblStylePr>
    <w:tblStylePr w:type="lastRow">
      <w:tblPr/>
      <w:tcPr>
        <w:tcBorders>
          <w:top w:val="single" w:sz="8" w:space="0" w:color="C75B1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75B12" w:themeColor="accent3"/>
          <w:insideH w:val="nil"/>
          <w:insideV w:val="nil"/>
        </w:tcBorders>
        <w:shd w:val="clear" w:color="auto" w:fill="FFFFFF" w:themeFill="background1"/>
      </w:tcPr>
    </w:tblStylePr>
    <w:tblStylePr w:type="lastCol">
      <w:tblPr/>
      <w:tcPr>
        <w:tcBorders>
          <w:top w:val="nil"/>
          <w:left w:val="single" w:sz="8" w:space="0" w:color="C75B1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4BC" w:themeFill="accent3" w:themeFillTint="3F"/>
      </w:tcPr>
    </w:tblStylePr>
    <w:tblStylePr w:type="band1Horz">
      <w:tblPr/>
      <w:tcPr>
        <w:tcBorders>
          <w:top w:val="nil"/>
          <w:bottom w:val="nil"/>
          <w:insideH w:val="nil"/>
          <w:insideV w:val="nil"/>
        </w:tcBorders>
        <w:shd w:val="clear" w:color="auto" w:fill="F9D4BC"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5B30E6"/>
    <w:rPr>
      <w:rFonts w:eastAsiaTheme="majorEastAsia" w:cstheme="majorBidi"/>
      <w:color w:val="000000" w:themeColor="text1"/>
    </w:rPr>
    <w:tblPr>
      <w:tblStyleRowBandSize w:val="1"/>
      <w:tblStyleColBandSize w:val="1"/>
      <w:tblBorders>
        <w:top w:val="single" w:sz="8" w:space="0" w:color="A22B38" w:themeColor="accent4"/>
        <w:left w:val="single" w:sz="8" w:space="0" w:color="A22B38" w:themeColor="accent4"/>
        <w:bottom w:val="single" w:sz="8" w:space="0" w:color="A22B38" w:themeColor="accent4"/>
        <w:right w:val="single" w:sz="8" w:space="0" w:color="A22B38" w:themeColor="accent4"/>
      </w:tblBorders>
    </w:tblPr>
    <w:tblStylePr w:type="firstRow">
      <w:rPr>
        <w:sz w:val="24"/>
        <w:szCs w:val="24"/>
      </w:rPr>
      <w:tblPr/>
      <w:tcPr>
        <w:tcBorders>
          <w:top w:val="nil"/>
          <w:left w:val="nil"/>
          <w:bottom w:val="single" w:sz="24" w:space="0" w:color="A22B38" w:themeColor="accent4"/>
          <w:right w:val="nil"/>
          <w:insideH w:val="nil"/>
          <w:insideV w:val="nil"/>
        </w:tcBorders>
        <w:shd w:val="clear" w:color="auto" w:fill="FFFFFF" w:themeFill="background1"/>
      </w:tcPr>
    </w:tblStylePr>
    <w:tblStylePr w:type="lastRow">
      <w:tblPr/>
      <w:tcPr>
        <w:tcBorders>
          <w:top w:val="single" w:sz="8" w:space="0" w:color="A22B38"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22B38" w:themeColor="accent4"/>
          <w:insideH w:val="nil"/>
          <w:insideV w:val="nil"/>
        </w:tcBorders>
        <w:shd w:val="clear" w:color="auto" w:fill="FFFFFF" w:themeFill="background1"/>
      </w:tcPr>
    </w:tblStylePr>
    <w:tblStylePr w:type="lastCol">
      <w:tblPr/>
      <w:tcPr>
        <w:tcBorders>
          <w:top w:val="nil"/>
          <w:left w:val="single" w:sz="8" w:space="0" w:color="A22B38"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C7" w:themeFill="accent4" w:themeFillTint="3F"/>
      </w:tcPr>
    </w:tblStylePr>
    <w:tblStylePr w:type="band1Horz">
      <w:tblPr/>
      <w:tcPr>
        <w:tcBorders>
          <w:top w:val="nil"/>
          <w:bottom w:val="nil"/>
          <w:insideH w:val="nil"/>
          <w:insideV w:val="nil"/>
        </w:tcBorders>
        <w:shd w:val="clear" w:color="auto" w:fill="EFC3C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5B30E6"/>
    <w:rPr>
      <w:rFonts w:eastAsiaTheme="majorEastAsia" w:cstheme="majorBidi"/>
      <w:color w:val="000000" w:themeColor="text1"/>
    </w:rPr>
    <w:tblPr>
      <w:tblStyleRowBandSize w:val="1"/>
      <w:tblStyleColBandSize w:val="1"/>
      <w:tblBorders>
        <w:top w:val="single" w:sz="8" w:space="0" w:color="5E2750" w:themeColor="accent5"/>
        <w:left w:val="single" w:sz="8" w:space="0" w:color="5E2750" w:themeColor="accent5"/>
        <w:bottom w:val="single" w:sz="8" w:space="0" w:color="5E2750" w:themeColor="accent5"/>
        <w:right w:val="single" w:sz="8" w:space="0" w:color="5E2750" w:themeColor="accent5"/>
      </w:tblBorders>
    </w:tblPr>
    <w:tblStylePr w:type="firstRow">
      <w:rPr>
        <w:sz w:val="24"/>
        <w:szCs w:val="24"/>
      </w:rPr>
      <w:tblPr/>
      <w:tcPr>
        <w:tcBorders>
          <w:top w:val="nil"/>
          <w:left w:val="nil"/>
          <w:bottom w:val="single" w:sz="24" w:space="0" w:color="5E2750" w:themeColor="accent5"/>
          <w:right w:val="nil"/>
          <w:insideH w:val="nil"/>
          <w:insideV w:val="nil"/>
        </w:tcBorders>
        <w:shd w:val="clear" w:color="auto" w:fill="FFFFFF" w:themeFill="background1"/>
      </w:tcPr>
    </w:tblStylePr>
    <w:tblStylePr w:type="lastRow">
      <w:tblPr/>
      <w:tcPr>
        <w:tcBorders>
          <w:top w:val="single" w:sz="8" w:space="0" w:color="5E275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E2750" w:themeColor="accent5"/>
          <w:insideH w:val="nil"/>
          <w:insideV w:val="nil"/>
        </w:tcBorders>
        <w:shd w:val="clear" w:color="auto" w:fill="FFFFFF" w:themeFill="background1"/>
      </w:tcPr>
    </w:tblStylePr>
    <w:tblStylePr w:type="lastCol">
      <w:tblPr/>
      <w:tcPr>
        <w:tcBorders>
          <w:top w:val="nil"/>
          <w:left w:val="single" w:sz="8" w:space="0" w:color="5E275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3BDD9" w:themeFill="accent5" w:themeFillTint="3F"/>
      </w:tcPr>
    </w:tblStylePr>
    <w:tblStylePr w:type="band1Horz">
      <w:tblPr/>
      <w:tcPr>
        <w:tcBorders>
          <w:top w:val="nil"/>
          <w:bottom w:val="nil"/>
          <w:insideH w:val="nil"/>
          <w:insideV w:val="nil"/>
        </w:tcBorders>
        <w:shd w:val="clear" w:color="auto" w:fill="E3BDD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5B30E6"/>
    <w:rPr>
      <w:rFonts w:eastAsiaTheme="majorEastAsia" w:cstheme="majorBidi"/>
      <w:color w:val="000000" w:themeColor="text1"/>
    </w:rPr>
    <w:tblPr>
      <w:tblStyleRowBandSize w:val="1"/>
      <w:tblStyleColBandSize w:val="1"/>
      <w:tblBorders>
        <w:top w:val="single" w:sz="8" w:space="0" w:color="0073CF" w:themeColor="accent6"/>
        <w:left w:val="single" w:sz="8" w:space="0" w:color="0073CF" w:themeColor="accent6"/>
        <w:bottom w:val="single" w:sz="8" w:space="0" w:color="0073CF" w:themeColor="accent6"/>
        <w:right w:val="single" w:sz="8" w:space="0" w:color="0073CF" w:themeColor="accent6"/>
      </w:tblBorders>
    </w:tblPr>
    <w:tblStylePr w:type="firstRow">
      <w:rPr>
        <w:sz w:val="24"/>
        <w:szCs w:val="24"/>
      </w:rPr>
      <w:tblPr/>
      <w:tcPr>
        <w:tcBorders>
          <w:top w:val="nil"/>
          <w:left w:val="nil"/>
          <w:bottom w:val="single" w:sz="24" w:space="0" w:color="0073CF" w:themeColor="accent6"/>
          <w:right w:val="nil"/>
          <w:insideH w:val="nil"/>
          <w:insideV w:val="nil"/>
        </w:tcBorders>
        <w:shd w:val="clear" w:color="auto" w:fill="FFFFFF" w:themeFill="background1"/>
      </w:tcPr>
    </w:tblStylePr>
    <w:tblStylePr w:type="lastRow">
      <w:tblPr/>
      <w:tcPr>
        <w:tcBorders>
          <w:top w:val="single" w:sz="8" w:space="0" w:color="0073CF"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3CF" w:themeColor="accent6"/>
          <w:insideH w:val="nil"/>
          <w:insideV w:val="nil"/>
        </w:tcBorders>
        <w:shd w:val="clear" w:color="auto" w:fill="FFFFFF" w:themeFill="background1"/>
      </w:tcPr>
    </w:tblStylePr>
    <w:tblStylePr w:type="lastCol">
      <w:tblPr/>
      <w:tcPr>
        <w:tcBorders>
          <w:top w:val="nil"/>
          <w:left w:val="single" w:sz="8" w:space="0" w:color="0073CF"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4DDFF" w:themeFill="accent6" w:themeFillTint="3F"/>
      </w:tcPr>
    </w:tblStylePr>
    <w:tblStylePr w:type="band1Horz">
      <w:tblPr/>
      <w:tcPr>
        <w:tcBorders>
          <w:top w:val="nil"/>
          <w:bottom w:val="nil"/>
          <w:insideH w:val="nil"/>
          <w:insideV w:val="nil"/>
        </w:tcBorders>
        <w:shd w:val="clear" w:color="auto" w:fill="B4DDFF" w:themeFill="accent6" w:themeFillTint="3F"/>
      </w:tcPr>
    </w:tblStylePr>
    <w:tblStylePr w:type="nwCell">
      <w:tblPr/>
      <w:tcPr>
        <w:shd w:val="clear" w:color="auto" w:fill="FFFFFF" w:themeFill="background1"/>
      </w:tcPr>
    </w:tblStylePr>
    <w:tblStylePr w:type="swCell">
      <w:tblPr/>
      <w:tcPr>
        <w:tcBorders>
          <w:top w:val="nil"/>
        </w:tcBorders>
      </w:tcPr>
    </w:tblStylePr>
  </w:style>
  <w:style w:type="paragraph" w:styleId="MessageHeader">
    <w:name w:val="Message Header"/>
    <w:basedOn w:val="Normal"/>
    <w:link w:val="MessageHeaderChar"/>
    <w:semiHidden/>
    <w:rsid w:val="005B30E6"/>
    <w:pPr>
      <w:pBdr>
        <w:top w:val="single" w:sz="6" w:space="1" w:color="auto"/>
        <w:left w:val="single" w:sz="6" w:space="1" w:color="auto"/>
        <w:bottom w:val="single" w:sz="6" w:space="1" w:color="auto"/>
        <w:right w:val="single" w:sz="6" w:space="1" w:color="auto"/>
      </w:pBdr>
      <w:shd w:val="pct20" w:color="auto" w:fill="auto"/>
      <w:ind w:left="1134" w:hanging="1134"/>
    </w:pPr>
    <w:rPr>
      <w:rFonts w:eastAsiaTheme="majorEastAsia" w:cstheme="majorBidi"/>
      <w:sz w:val="24"/>
      <w:szCs w:val="24"/>
    </w:rPr>
  </w:style>
  <w:style w:type="character" w:customStyle="1" w:styleId="MessageHeaderChar">
    <w:name w:val="Message Header Char"/>
    <w:basedOn w:val="DefaultParagraphFont"/>
    <w:link w:val="MessageHeader"/>
    <w:semiHidden/>
    <w:rsid w:val="005B30E6"/>
    <w:rPr>
      <w:rFonts w:eastAsiaTheme="majorEastAsia" w:cstheme="majorBidi"/>
      <w:sz w:val="24"/>
      <w:szCs w:val="24"/>
      <w:shd w:val="pct20" w:color="auto" w:fill="auto"/>
    </w:rPr>
  </w:style>
  <w:style w:type="paragraph" w:styleId="TOAHeading">
    <w:name w:val="toa heading"/>
    <w:basedOn w:val="Normal"/>
    <w:next w:val="Normal"/>
    <w:semiHidden/>
    <w:rsid w:val="005B30E6"/>
    <w:pPr>
      <w:spacing w:before="120"/>
    </w:pPr>
    <w:rPr>
      <w:rFonts w:eastAsiaTheme="majorEastAsia" w:cstheme="majorBidi"/>
      <w:b/>
      <w:bCs/>
      <w:sz w:val="24"/>
      <w:szCs w:val="24"/>
    </w:rPr>
  </w:style>
  <w:style w:type="paragraph" w:styleId="TOCHeading">
    <w:name w:val="TOC Heading"/>
    <w:basedOn w:val="Heading1"/>
    <w:next w:val="Normal"/>
    <w:uiPriority w:val="39"/>
    <w:semiHidden/>
    <w:qFormat/>
    <w:rsid w:val="005B30E6"/>
    <w:pPr>
      <w:keepLines/>
      <w:spacing w:before="480" w:after="0"/>
      <w:outlineLvl w:val="9"/>
    </w:pPr>
    <w:rPr>
      <w:rFonts w:ascii="Franklin Gothic Book" w:hAnsi="Franklin Gothic Book"/>
      <w:b/>
      <w:bCs/>
      <w:color w:val="908B00" w:themeColor="accent1" w:themeShade="BF"/>
      <w:sz w:val="28"/>
      <w:lang w:eastAsia="en-AU"/>
    </w:rPr>
  </w:style>
  <w:style w:type="table" w:customStyle="1" w:styleId="CSCNogridblue">
    <w:name w:val="CSC No grid blue"/>
    <w:basedOn w:val="TableNormal"/>
    <w:uiPriority w:val="99"/>
    <w:rsid w:val="00E5656D"/>
    <w:tblPr>
      <w:tblStyleRowBandSize w:val="1"/>
    </w:tblPr>
    <w:tcPr>
      <w:tcMar>
        <w:top w:w="108" w:type="dxa"/>
        <w:bottom w:w="108" w:type="dxa"/>
      </w:tcMar>
    </w:tcPr>
    <w:tblStylePr w:type="firstRow">
      <w:rPr>
        <w:rFonts w:ascii="Franklin Gothic Demi" w:hAnsi="Franklin Gothic Demi"/>
        <w:b/>
        <w:sz w:val="20"/>
      </w:rPr>
      <w:tblPr/>
      <w:tcPr>
        <w:shd w:val="clear" w:color="auto" w:fill="031F73" w:themeFill="text2"/>
      </w:tcPr>
    </w:tblStylePr>
    <w:tblStylePr w:type="lastRow">
      <w:rPr>
        <w:rFonts w:ascii="Franklin Gothic Demi" w:hAnsi="Franklin Gothic Demi"/>
        <w:sz w:val="20"/>
      </w:rPr>
    </w:tblStylePr>
    <w:tblStylePr w:type="firstCol">
      <w:rPr>
        <w:rFonts w:ascii="Franklin Gothic Demi" w:hAnsi="Franklin Gothic Demi"/>
        <w:sz w:val="20"/>
      </w:rPr>
    </w:tblStylePr>
    <w:tblStylePr w:type="lastCol">
      <w:rPr>
        <w:rFonts w:ascii="Franklin Gothic Demi" w:hAnsi="Franklin Gothic Demi"/>
        <w:sz w:val="20"/>
      </w:rPr>
    </w:tblStylePr>
    <w:tblStylePr w:type="band1Vert">
      <w:rPr>
        <w:rFonts w:ascii="Franklin Gothic Demi" w:hAnsi="Franklin Gothic Demi"/>
        <w:sz w:val="20"/>
      </w:rPr>
    </w:tblStylePr>
    <w:tblStylePr w:type="band2Vert">
      <w:rPr>
        <w:rFonts w:ascii="Franklin Gothic Demi" w:hAnsi="Franklin Gothic Demi"/>
        <w:sz w:val="20"/>
      </w:rPr>
    </w:tblStylePr>
    <w:tblStylePr w:type="band1Horz">
      <w:rPr>
        <w:rFonts w:ascii="Franklin Gothic Demi" w:hAnsi="Franklin Gothic Demi"/>
        <w:sz w:val="20"/>
      </w:rPr>
    </w:tblStylePr>
    <w:tblStylePr w:type="band2Horz">
      <w:rPr>
        <w:rFonts w:ascii="Franklin Gothic Demi" w:hAnsi="Franklin Gothic Demi"/>
        <w:sz w:val="20"/>
      </w:rPr>
      <w:tblPr/>
      <w:tcPr>
        <w:shd w:val="clear" w:color="auto" w:fill="B2C4FD" w:themeFill="text2" w:themeFillTint="33"/>
      </w:tcPr>
    </w:tblStylePr>
    <w:tblStylePr w:type="neCell">
      <w:rPr>
        <w:rFonts w:ascii="Franklin Gothic Demi" w:hAnsi="Franklin Gothic Demi"/>
        <w:sz w:val="20"/>
      </w:rPr>
    </w:tblStylePr>
    <w:tblStylePr w:type="nwCell">
      <w:rPr>
        <w:rFonts w:ascii="Franklin Gothic Demi" w:hAnsi="Franklin Gothic Demi"/>
        <w:sz w:val="20"/>
      </w:rPr>
    </w:tblStylePr>
    <w:tblStylePr w:type="seCell">
      <w:rPr>
        <w:rFonts w:ascii="Franklin Gothic Demi" w:hAnsi="Franklin Gothic Demi"/>
        <w:sz w:val="20"/>
      </w:rPr>
    </w:tblStylePr>
    <w:tblStylePr w:type="swCell">
      <w:rPr>
        <w:rFonts w:ascii="Franklin Gothic Demi" w:hAnsi="Franklin Gothic Demi"/>
        <w:sz w:val="20"/>
      </w:rPr>
    </w:tblStylePr>
  </w:style>
  <w:style w:type="table" w:customStyle="1" w:styleId="CSCNogridyellow">
    <w:name w:val="CSC No grid yellow"/>
    <w:basedOn w:val="TableNormal"/>
    <w:uiPriority w:val="99"/>
    <w:rsid w:val="00E5656D"/>
    <w:tblPr>
      <w:tblStyleRowBandSize w:val="1"/>
    </w:tblPr>
    <w:tcPr>
      <w:tcMar>
        <w:top w:w="108" w:type="dxa"/>
        <w:bottom w:w="108" w:type="dxa"/>
      </w:tcMar>
    </w:tcPr>
    <w:tblStylePr w:type="firstRow">
      <w:rPr>
        <w:rFonts w:ascii="Franklin Gothic Demi" w:hAnsi="Franklin Gothic Demi"/>
        <w:b/>
        <w:sz w:val="20"/>
      </w:rPr>
      <w:tblPr/>
      <w:tcPr>
        <w:shd w:val="clear" w:color="auto" w:fill="EBB700" w:themeFill="background2"/>
      </w:tcPr>
    </w:tblStylePr>
    <w:tblStylePr w:type="lastRow">
      <w:rPr>
        <w:rFonts w:ascii="Franklin Gothic Demi" w:hAnsi="Franklin Gothic Demi"/>
        <w:sz w:val="20"/>
      </w:rPr>
    </w:tblStylePr>
    <w:tblStylePr w:type="firstCol">
      <w:rPr>
        <w:rFonts w:ascii="Franklin Gothic Demi" w:hAnsi="Franklin Gothic Demi"/>
        <w:sz w:val="20"/>
      </w:rPr>
    </w:tblStylePr>
    <w:tblStylePr w:type="lastCol">
      <w:rPr>
        <w:rFonts w:ascii="Franklin Gothic Demi" w:hAnsi="Franklin Gothic Demi"/>
        <w:sz w:val="20"/>
      </w:rPr>
    </w:tblStylePr>
    <w:tblStylePr w:type="band1Vert">
      <w:rPr>
        <w:rFonts w:ascii="Franklin Gothic Demi" w:hAnsi="Franklin Gothic Demi"/>
        <w:sz w:val="20"/>
      </w:rPr>
    </w:tblStylePr>
    <w:tblStylePr w:type="band2Vert">
      <w:rPr>
        <w:rFonts w:ascii="Franklin Gothic Demi" w:hAnsi="Franklin Gothic Demi"/>
        <w:sz w:val="20"/>
      </w:rPr>
    </w:tblStylePr>
    <w:tblStylePr w:type="band1Horz">
      <w:rPr>
        <w:rFonts w:ascii="Franklin Gothic Demi" w:hAnsi="Franklin Gothic Demi"/>
        <w:sz w:val="20"/>
      </w:rPr>
    </w:tblStylePr>
    <w:tblStylePr w:type="band2Horz">
      <w:rPr>
        <w:rFonts w:ascii="Franklin Gothic Demi" w:hAnsi="Franklin Gothic Demi"/>
        <w:sz w:val="20"/>
      </w:rPr>
      <w:tblPr/>
      <w:tcPr>
        <w:shd w:val="clear" w:color="auto" w:fill="FFF2C8" w:themeFill="background2" w:themeFillTint="33"/>
      </w:tcPr>
    </w:tblStylePr>
    <w:tblStylePr w:type="neCell">
      <w:rPr>
        <w:rFonts w:ascii="Franklin Gothic Demi" w:hAnsi="Franklin Gothic Demi"/>
        <w:sz w:val="20"/>
      </w:rPr>
    </w:tblStylePr>
    <w:tblStylePr w:type="nwCell">
      <w:rPr>
        <w:rFonts w:ascii="Franklin Gothic Demi" w:hAnsi="Franklin Gothic Demi"/>
        <w:sz w:val="20"/>
      </w:rPr>
    </w:tblStylePr>
    <w:tblStylePr w:type="seCell">
      <w:rPr>
        <w:rFonts w:ascii="Franklin Gothic Demi" w:hAnsi="Franklin Gothic Demi"/>
        <w:sz w:val="20"/>
      </w:rPr>
    </w:tblStylePr>
    <w:tblStylePr w:type="swCell">
      <w:rPr>
        <w:rFonts w:ascii="Franklin Gothic Demi" w:hAnsi="Franklin Gothic Demi"/>
        <w:sz w:val="20"/>
      </w:rPr>
    </w:tblStylePr>
  </w:style>
  <w:style w:type="table" w:customStyle="1" w:styleId="CSCTableAubergine">
    <w:name w:val="CSC Table Aubergine"/>
    <w:basedOn w:val="TableNormal"/>
    <w:uiPriority w:val="99"/>
    <w:rsid w:val="00E5656D"/>
    <w:rPr>
      <w:sz w:val="20"/>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8" w:type="dxa"/>
        <w:bottom w:w="108" w:type="dxa"/>
      </w:tblCellMar>
    </w:tblPr>
    <w:tcPr>
      <w:tcMar>
        <w:top w:w="108" w:type="dxa"/>
        <w:bottom w:w="108" w:type="dxa"/>
      </w:tcMar>
    </w:tcPr>
    <w:tblStylePr w:type="firstRow">
      <w:rPr>
        <w:rFonts w:ascii="Franklin Gothic Demi" w:hAnsi="Franklin Gothic Demi"/>
        <w:b/>
        <w:sz w:val="20"/>
      </w:rPr>
      <w:tblPr/>
      <w:tcPr>
        <w:shd w:val="clear" w:color="auto" w:fill="5E2750" w:themeFill="accent5"/>
      </w:tcPr>
    </w:tblStylePr>
    <w:tblStylePr w:type="lastRow">
      <w:rPr>
        <w:rFonts w:ascii="Franklin Gothic Demi" w:hAnsi="Franklin Gothic Demi"/>
        <w:sz w:val="20"/>
      </w:rPr>
    </w:tblStylePr>
    <w:tblStylePr w:type="firstCol">
      <w:rPr>
        <w:rFonts w:ascii="Franklin Gothic Demi" w:hAnsi="Franklin Gothic Demi"/>
        <w:sz w:val="20"/>
      </w:rPr>
    </w:tblStylePr>
    <w:tblStylePr w:type="lastCol">
      <w:rPr>
        <w:rFonts w:ascii="Franklin Gothic Demi" w:hAnsi="Franklin Gothic Demi"/>
        <w:sz w:val="20"/>
      </w:rPr>
    </w:tblStylePr>
    <w:tblStylePr w:type="band1Vert">
      <w:rPr>
        <w:rFonts w:ascii="Franklin Gothic Demi" w:hAnsi="Franklin Gothic Demi"/>
        <w:sz w:val="20"/>
      </w:rPr>
    </w:tblStylePr>
    <w:tblStylePr w:type="band2Vert">
      <w:rPr>
        <w:rFonts w:ascii="Franklin Gothic Demi" w:hAnsi="Franklin Gothic Demi"/>
        <w:sz w:val="20"/>
      </w:rPr>
    </w:tblStylePr>
    <w:tblStylePr w:type="band1Horz">
      <w:rPr>
        <w:rFonts w:ascii="Franklin Gothic Demi" w:hAnsi="Franklin Gothic Demi"/>
        <w:sz w:val="20"/>
      </w:rPr>
    </w:tblStylePr>
    <w:tblStylePr w:type="band2Horz">
      <w:rPr>
        <w:rFonts w:ascii="Franklin Gothic Demi" w:hAnsi="Franklin Gothic Demi"/>
        <w:sz w:val="20"/>
      </w:rPr>
      <w:tblPr/>
      <w:tcPr>
        <w:shd w:val="clear" w:color="auto" w:fill="E8C9E0" w:themeFill="accent5" w:themeFillTint="33"/>
      </w:tcPr>
    </w:tblStylePr>
    <w:tblStylePr w:type="neCell">
      <w:rPr>
        <w:rFonts w:ascii="Franklin Gothic Demi" w:hAnsi="Franklin Gothic Demi"/>
        <w:sz w:val="20"/>
      </w:rPr>
    </w:tblStylePr>
    <w:tblStylePr w:type="nwCell">
      <w:rPr>
        <w:rFonts w:ascii="Franklin Gothic Demi" w:hAnsi="Franklin Gothic Demi"/>
        <w:sz w:val="20"/>
      </w:rPr>
    </w:tblStylePr>
    <w:tblStylePr w:type="seCell">
      <w:rPr>
        <w:rFonts w:ascii="Franklin Gothic Demi" w:hAnsi="Franklin Gothic Demi"/>
        <w:sz w:val="20"/>
      </w:rPr>
    </w:tblStylePr>
    <w:tblStylePr w:type="swCell">
      <w:rPr>
        <w:rFonts w:ascii="Franklin Gothic Demi" w:hAnsi="Franklin Gothic Demi"/>
        <w:sz w:val="20"/>
      </w:rPr>
    </w:tblStylePr>
  </w:style>
  <w:style w:type="table" w:customStyle="1" w:styleId="CSCTableBluewren">
    <w:name w:val="CSC Table Blue wren"/>
    <w:basedOn w:val="TableNormal"/>
    <w:uiPriority w:val="99"/>
    <w:rsid w:val="00E5656D"/>
    <w:rPr>
      <w:sz w:val="20"/>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8" w:type="dxa"/>
        <w:bottom w:w="108" w:type="dxa"/>
      </w:tblCellMar>
    </w:tblPr>
    <w:tcPr>
      <w:tcMar>
        <w:top w:w="108" w:type="dxa"/>
        <w:bottom w:w="108" w:type="dxa"/>
      </w:tcMar>
    </w:tcPr>
    <w:tblStylePr w:type="firstRow">
      <w:rPr>
        <w:rFonts w:ascii="Franklin Gothic Demi" w:hAnsi="Franklin Gothic Demi"/>
        <w:b/>
        <w:color w:val="FFFFFF" w:themeColor="background1"/>
        <w:sz w:val="20"/>
      </w:rPr>
      <w:tblPr/>
      <w:tcPr>
        <w:shd w:val="clear" w:color="auto" w:fill="0073CF" w:themeFill="accent6"/>
      </w:tcPr>
    </w:tblStylePr>
    <w:tblStylePr w:type="lastRow">
      <w:rPr>
        <w:rFonts w:ascii="Franklin Gothic Demi" w:hAnsi="Franklin Gothic Demi"/>
        <w:sz w:val="20"/>
      </w:rPr>
    </w:tblStylePr>
    <w:tblStylePr w:type="firstCol">
      <w:rPr>
        <w:rFonts w:ascii="Franklin Gothic Demi" w:hAnsi="Franklin Gothic Demi"/>
        <w:sz w:val="20"/>
      </w:rPr>
    </w:tblStylePr>
    <w:tblStylePr w:type="lastCol">
      <w:rPr>
        <w:rFonts w:ascii="Franklin Gothic Demi" w:hAnsi="Franklin Gothic Demi"/>
        <w:sz w:val="20"/>
      </w:rPr>
    </w:tblStylePr>
    <w:tblStylePr w:type="band1Vert">
      <w:rPr>
        <w:rFonts w:ascii="Franklin Gothic Demi" w:hAnsi="Franklin Gothic Demi"/>
        <w:sz w:val="20"/>
      </w:rPr>
    </w:tblStylePr>
    <w:tblStylePr w:type="band2Vert">
      <w:rPr>
        <w:rFonts w:ascii="Franklin Gothic Demi" w:hAnsi="Franklin Gothic Demi"/>
        <w:sz w:val="20"/>
      </w:rPr>
    </w:tblStylePr>
    <w:tblStylePr w:type="band1Horz">
      <w:rPr>
        <w:rFonts w:ascii="Franklin Gothic Demi" w:hAnsi="Franklin Gothic Demi"/>
        <w:sz w:val="20"/>
      </w:rPr>
    </w:tblStylePr>
    <w:tblStylePr w:type="band2Horz">
      <w:rPr>
        <w:rFonts w:ascii="Franklin Gothic Demi" w:hAnsi="Franklin Gothic Demi"/>
        <w:sz w:val="20"/>
      </w:rPr>
      <w:tblPr/>
      <w:tcPr>
        <w:shd w:val="clear" w:color="auto" w:fill="C2E3FF" w:themeFill="accent6" w:themeFillTint="33"/>
      </w:tcPr>
    </w:tblStylePr>
    <w:tblStylePr w:type="neCell">
      <w:rPr>
        <w:rFonts w:ascii="Franklin Gothic Demi" w:hAnsi="Franklin Gothic Demi"/>
        <w:sz w:val="20"/>
      </w:rPr>
    </w:tblStylePr>
    <w:tblStylePr w:type="nwCell">
      <w:rPr>
        <w:rFonts w:ascii="Franklin Gothic Demi" w:hAnsi="Franklin Gothic Demi"/>
        <w:sz w:val="20"/>
      </w:rPr>
    </w:tblStylePr>
    <w:tblStylePr w:type="seCell">
      <w:rPr>
        <w:rFonts w:ascii="Franklin Gothic Demi" w:hAnsi="Franklin Gothic Demi"/>
        <w:sz w:val="20"/>
      </w:rPr>
    </w:tblStylePr>
    <w:tblStylePr w:type="swCell">
      <w:rPr>
        <w:rFonts w:ascii="Franklin Gothic Demi" w:hAnsi="Franklin Gothic Demi"/>
        <w:sz w:val="20"/>
      </w:rPr>
    </w:tblStylePr>
  </w:style>
  <w:style w:type="table" w:customStyle="1" w:styleId="CSCTableCapsicum">
    <w:name w:val="CSC Table Capsicum"/>
    <w:basedOn w:val="TableNormal"/>
    <w:uiPriority w:val="99"/>
    <w:rsid w:val="00E5656D"/>
    <w:rPr>
      <w:sz w:val="20"/>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8" w:type="dxa"/>
        <w:bottom w:w="108" w:type="dxa"/>
      </w:tblCellMar>
    </w:tblPr>
    <w:tcPr>
      <w:tcMar>
        <w:top w:w="108" w:type="dxa"/>
        <w:bottom w:w="108" w:type="dxa"/>
      </w:tcMar>
    </w:tcPr>
    <w:tblStylePr w:type="firstRow">
      <w:rPr>
        <w:rFonts w:ascii="Franklin Gothic Demi" w:hAnsi="Franklin Gothic Demi"/>
        <w:b/>
        <w:color w:val="FFFFFF" w:themeColor="background1"/>
        <w:sz w:val="20"/>
      </w:rPr>
      <w:tblPr/>
      <w:tcPr>
        <w:shd w:val="clear" w:color="auto" w:fill="A22B38" w:themeFill="accent4"/>
      </w:tcPr>
    </w:tblStylePr>
    <w:tblStylePr w:type="lastRow">
      <w:rPr>
        <w:rFonts w:ascii="Franklin Gothic Demi" w:hAnsi="Franklin Gothic Demi"/>
        <w:sz w:val="20"/>
      </w:rPr>
    </w:tblStylePr>
    <w:tblStylePr w:type="firstCol">
      <w:rPr>
        <w:rFonts w:ascii="Franklin Gothic Demi" w:hAnsi="Franklin Gothic Demi"/>
        <w:sz w:val="20"/>
      </w:rPr>
    </w:tblStylePr>
    <w:tblStylePr w:type="lastCol">
      <w:rPr>
        <w:rFonts w:ascii="Franklin Gothic Demi" w:hAnsi="Franklin Gothic Demi"/>
        <w:sz w:val="20"/>
      </w:rPr>
    </w:tblStylePr>
    <w:tblStylePr w:type="band1Vert">
      <w:rPr>
        <w:rFonts w:ascii="Franklin Gothic Demi" w:hAnsi="Franklin Gothic Demi"/>
        <w:sz w:val="20"/>
      </w:rPr>
    </w:tblStylePr>
    <w:tblStylePr w:type="band2Vert">
      <w:rPr>
        <w:rFonts w:ascii="Franklin Gothic Demi" w:hAnsi="Franklin Gothic Demi"/>
        <w:sz w:val="20"/>
      </w:rPr>
    </w:tblStylePr>
    <w:tblStylePr w:type="band1Horz">
      <w:rPr>
        <w:rFonts w:ascii="Franklin Gothic Demi" w:hAnsi="Franklin Gothic Demi"/>
        <w:sz w:val="20"/>
      </w:rPr>
    </w:tblStylePr>
    <w:tblStylePr w:type="band2Horz">
      <w:rPr>
        <w:rFonts w:ascii="Franklin Gothic Demi" w:hAnsi="Franklin Gothic Demi"/>
        <w:sz w:val="20"/>
      </w:rPr>
      <w:tblPr/>
      <w:tcPr>
        <w:shd w:val="clear" w:color="auto" w:fill="F2CED2" w:themeFill="accent4" w:themeFillTint="33"/>
      </w:tcPr>
    </w:tblStylePr>
    <w:tblStylePr w:type="neCell">
      <w:rPr>
        <w:rFonts w:ascii="Franklin Gothic Demi" w:hAnsi="Franklin Gothic Demi"/>
        <w:sz w:val="20"/>
      </w:rPr>
    </w:tblStylePr>
    <w:tblStylePr w:type="nwCell">
      <w:rPr>
        <w:rFonts w:ascii="Franklin Gothic Demi" w:hAnsi="Franklin Gothic Demi"/>
        <w:sz w:val="20"/>
      </w:rPr>
    </w:tblStylePr>
    <w:tblStylePr w:type="seCell">
      <w:rPr>
        <w:rFonts w:ascii="Franklin Gothic Demi" w:hAnsi="Franklin Gothic Demi"/>
        <w:sz w:val="20"/>
      </w:rPr>
    </w:tblStylePr>
    <w:tblStylePr w:type="swCell">
      <w:rPr>
        <w:rFonts w:ascii="Franklin Gothic Demi" w:hAnsi="Franklin Gothic Demi"/>
        <w:sz w:val="20"/>
      </w:rPr>
    </w:tblStylePr>
  </w:style>
  <w:style w:type="table" w:customStyle="1" w:styleId="CSCTableLime">
    <w:name w:val="CSC Table Lime"/>
    <w:basedOn w:val="TableNormal"/>
    <w:uiPriority w:val="99"/>
    <w:rsid w:val="00E5656D"/>
    <w:rPr>
      <w:sz w:val="20"/>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8" w:type="dxa"/>
        <w:bottom w:w="108" w:type="dxa"/>
      </w:tblCellMar>
    </w:tblPr>
    <w:tcPr>
      <w:tcMar>
        <w:top w:w="108" w:type="dxa"/>
        <w:bottom w:w="108" w:type="dxa"/>
      </w:tcMar>
    </w:tcPr>
    <w:tblStylePr w:type="firstRow">
      <w:rPr>
        <w:rFonts w:ascii="Franklin Gothic Demi" w:hAnsi="Franklin Gothic Demi"/>
        <w:b/>
        <w:sz w:val="20"/>
      </w:rPr>
      <w:tblPr/>
      <w:tcPr>
        <w:shd w:val="clear" w:color="auto" w:fill="C1BB00" w:themeFill="accent1"/>
      </w:tcPr>
    </w:tblStylePr>
    <w:tblStylePr w:type="lastRow">
      <w:rPr>
        <w:rFonts w:ascii="Franklin Gothic Demi" w:hAnsi="Franklin Gothic Demi"/>
        <w:sz w:val="20"/>
      </w:rPr>
    </w:tblStylePr>
    <w:tblStylePr w:type="firstCol">
      <w:rPr>
        <w:rFonts w:ascii="Franklin Gothic Demi" w:hAnsi="Franklin Gothic Demi"/>
        <w:sz w:val="20"/>
      </w:rPr>
    </w:tblStylePr>
    <w:tblStylePr w:type="lastCol">
      <w:rPr>
        <w:rFonts w:ascii="Franklin Gothic Demi" w:hAnsi="Franklin Gothic Demi"/>
        <w:sz w:val="20"/>
      </w:rPr>
    </w:tblStylePr>
    <w:tblStylePr w:type="band1Vert">
      <w:rPr>
        <w:rFonts w:ascii="Franklin Gothic Demi" w:hAnsi="Franklin Gothic Demi"/>
        <w:sz w:val="20"/>
      </w:rPr>
    </w:tblStylePr>
    <w:tblStylePr w:type="band2Vert">
      <w:rPr>
        <w:rFonts w:ascii="Franklin Gothic Demi" w:hAnsi="Franklin Gothic Demi"/>
        <w:sz w:val="20"/>
      </w:rPr>
    </w:tblStylePr>
    <w:tblStylePr w:type="band1Horz">
      <w:rPr>
        <w:rFonts w:ascii="Franklin Gothic Demi" w:hAnsi="Franklin Gothic Demi"/>
        <w:sz w:val="20"/>
      </w:rPr>
    </w:tblStylePr>
    <w:tblStylePr w:type="band2Horz">
      <w:rPr>
        <w:rFonts w:ascii="Franklin Gothic Demi" w:hAnsi="Franklin Gothic Demi"/>
        <w:sz w:val="20"/>
      </w:rPr>
      <w:tblPr/>
      <w:tcPr>
        <w:shd w:val="clear" w:color="auto" w:fill="FFFDBF" w:themeFill="accent1" w:themeFillTint="33"/>
      </w:tcPr>
    </w:tblStylePr>
    <w:tblStylePr w:type="neCell">
      <w:rPr>
        <w:rFonts w:ascii="Franklin Gothic Demi" w:hAnsi="Franklin Gothic Demi"/>
        <w:sz w:val="20"/>
      </w:rPr>
    </w:tblStylePr>
    <w:tblStylePr w:type="nwCell">
      <w:rPr>
        <w:rFonts w:ascii="Franklin Gothic Demi" w:hAnsi="Franklin Gothic Demi"/>
        <w:sz w:val="20"/>
      </w:rPr>
    </w:tblStylePr>
    <w:tblStylePr w:type="seCell">
      <w:rPr>
        <w:rFonts w:ascii="Franklin Gothic Demi" w:hAnsi="Franklin Gothic Demi"/>
        <w:sz w:val="20"/>
      </w:rPr>
    </w:tblStylePr>
    <w:tblStylePr w:type="swCell">
      <w:rPr>
        <w:rFonts w:ascii="Franklin Gothic Demi" w:hAnsi="Franklin Gothic Demi"/>
        <w:sz w:val="20"/>
      </w:rPr>
    </w:tblStylePr>
  </w:style>
  <w:style w:type="table" w:customStyle="1" w:styleId="CSCTableOlive">
    <w:name w:val="CSC Table Olive"/>
    <w:basedOn w:val="TableNormal"/>
    <w:uiPriority w:val="99"/>
    <w:rsid w:val="00E5656D"/>
    <w:rPr>
      <w:sz w:val="20"/>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8" w:type="dxa"/>
        <w:bottom w:w="108" w:type="dxa"/>
      </w:tblCellMar>
    </w:tblPr>
    <w:tcPr>
      <w:tcMar>
        <w:top w:w="108" w:type="dxa"/>
        <w:bottom w:w="108" w:type="dxa"/>
      </w:tcMar>
    </w:tcPr>
    <w:tblStylePr w:type="firstRow">
      <w:rPr>
        <w:rFonts w:ascii="Franklin Gothic Demi" w:hAnsi="Franklin Gothic Demi"/>
        <w:b/>
        <w:color w:val="FFFFFF" w:themeColor="background1"/>
        <w:sz w:val="20"/>
      </w:rPr>
      <w:tblPr/>
      <w:tcPr>
        <w:shd w:val="clear" w:color="auto" w:fill="53682B" w:themeFill="accent2"/>
      </w:tcPr>
    </w:tblStylePr>
    <w:tblStylePr w:type="lastRow">
      <w:rPr>
        <w:rFonts w:ascii="Franklin Gothic Demi" w:hAnsi="Franklin Gothic Demi"/>
        <w:sz w:val="20"/>
      </w:rPr>
    </w:tblStylePr>
    <w:tblStylePr w:type="firstCol">
      <w:rPr>
        <w:rFonts w:ascii="Franklin Gothic Demi" w:hAnsi="Franklin Gothic Demi"/>
        <w:sz w:val="20"/>
      </w:rPr>
    </w:tblStylePr>
    <w:tblStylePr w:type="lastCol">
      <w:rPr>
        <w:rFonts w:ascii="Franklin Gothic Demi" w:hAnsi="Franklin Gothic Demi"/>
        <w:sz w:val="20"/>
      </w:rPr>
    </w:tblStylePr>
    <w:tblStylePr w:type="band1Vert">
      <w:rPr>
        <w:rFonts w:ascii="Franklin Gothic Demi" w:hAnsi="Franklin Gothic Demi"/>
        <w:sz w:val="20"/>
      </w:rPr>
    </w:tblStylePr>
    <w:tblStylePr w:type="band2Vert">
      <w:rPr>
        <w:rFonts w:ascii="Franklin Gothic Demi" w:hAnsi="Franklin Gothic Demi"/>
        <w:sz w:val="20"/>
      </w:rPr>
    </w:tblStylePr>
    <w:tblStylePr w:type="band1Horz">
      <w:rPr>
        <w:rFonts w:ascii="Franklin Gothic Demi" w:hAnsi="Franklin Gothic Demi"/>
        <w:sz w:val="20"/>
      </w:rPr>
    </w:tblStylePr>
    <w:tblStylePr w:type="band2Horz">
      <w:rPr>
        <w:rFonts w:ascii="Franklin Gothic Demi" w:hAnsi="Franklin Gothic Demi"/>
        <w:sz w:val="20"/>
      </w:rPr>
      <w:tblPr/>
      <w:tcPr>
        <w:shd w:val="clear" w:color="auto" w:fill="DFE9CB" w:themeFill="accent2" w:themeFillTint="33"/>
      </w:tcPr>
    </w:tblStylePr>
    <w:tblStylePr w:type="neCell">
      <w:rPr>
        <w:rFonts w:ascii="Franklin Gothic Demi" w:hAnsi="Franklin Gothic Demi"/>
        <w:sz w:val="20"/>
      </w:rPr>
    </w:tblStylePr>
    <w:tblStylePr w:type="nwCell">
      <w:rPr>
        <w:rFonts w:ascii="Franklin Gothic Demi" w:hAnsi="Franklin Gothic Demi"/>
        <w:sz w:val="20"/>
      </w:rPr>
    </w:tblStylePr>
    <w:tblStylePr w:type="seCell">
      <w:rPr>
        <w:rFonts w:ascii="Franklin Gothic Demi" w:hAnsi="Franklin Gothic Demi"/>
        <w:sz w:val="20"/>
      </w:rPr>
    </w:tblStylePr>
    <w:tblStylePr w:type="swCell">
      <w:rPr>
        <w:rFonts w:ascii="Franklin Gothic Demi" w:hAnsi="Franklin Gothic Demi"/>
        <w:sz w:val="20"/>
      </w:rPr>
    </w:tblStylePr>
  </w:style>
  <w:style w:type="table" w:customStyle="1" w:styleId="CSCTableSweetpotato">
    <w:name w:val="CSC Table Sweet potato"/>
    <w:basedOn w:val="TableNormal"/>
    <w:uiPriority w:val="99"/>
    <w:rsid w:val="00E5656D"/>
    <w:rPr>
      <w:sz w:val="20"/>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8" w:type="dxa"/>
        <w:bottom w:w="108" w:type="dxa"/>
      </w:tblCellMar>
    </w:tblPr>
    <w:tcPr>
      <w:tcMar>
        <w:top w:w="108" w:type="dxa"/>
        <w:bottom w:w="108" w:type="dxa"/>
      </w:tcMar>
    </w:tcPr>
    <w:tblStylePr w:type="firstRow">
      <w:rPr>
        <w:rFonts w:ascii="Franklin Gothic Demi" w:hAnsi="Franklin Gothic Demi"/>
        <w:b/>
        <w:color w:val="FFFFFF" w:themeColor="background1"/>
        <w:sz w:val="20"/>
      </w:rPr>
      <w:tblPr/>
      <w:tcPr>
        <w:shd w:val="clear" w:color="auto" w:fill="C75B12" w:themeFill="accent3"/>
      </w:tcPr>
    </w:tblStylePr>
    <w:tblStylePr w:type="lastRow">
      <w:rPr>
        <w:rFonts w:ascii="Franklin Gothic Demi" w:hAnsi="Franklin Gothic Demi"/>
        <w:sz w:val="20"/>
      </w:rPr>
    </w:tblStylePr>
    <w:tblStylePr w:type="firstCol">
      <w:rPr>
        <w:rFonts w:ascii="Franklin Gothic Demi" w:hAnsi="Franklin Gothic Demi"/>
        <w:sz w:val="20"/>
      </w:rPr>
    </w:tblStylePr>
    <w:tblStylePr w:type="lastCol">
      <w:rPr>
        <w:rFonts w:ascii="Franklin Gothic Demi" w:hAnsi="Franklin Gothic Demi"/>
        <w:sz w:val="20"/>
      </w:rPr>
    </w:tblStylePr>
    <w:tblStylePr w:type="band1Vert">
      <w:rPr>
        <w:rFonts w:ascii="Franklin Gothic Demi" w:hAnsi="Franklin Gothic Demi"/>
        <w:sz w:val="20"/>
      </w:rPr>
    </w:tblStylePr>
    <w:tblStylePr w:type="band2Vert">
      <w:rPr>
        <w:rFonts w:ascii="Franklin Gothic Demi" w:hAnsi="Franklin Gothic Demi"/>
        <w:sz w:val="20"/>
      </w:rPr>
    </w:tblStylePr>
    <w:tblStylePr w:type="band1Horz">
      <w:rPr>
        <w:rFonts w:ascii="Franklin Gothic Demi" w:hAnsi="Franklin Gothic Demi"/>
        <w:sz w:val="20"/>
      </w:rPr>
    </w:tblStylePr>
    <w:tblStylePr w:type="band2Horz">
      <w:rPr>
        <w:rFonts w:ascii="Franklin Gothic Demi" w:hAnsi="Franklin Gothic Demi"/>
        <w:sz w:val="20"/>
      </w:rPr>
      <w:tblPr/>
      <w:tcPr>
        <w:shd w:val="clear" w:color="auto" w:fill="FADCC9" w:themeFill="accent3" w:themeFillTint="33"/>
        <w:tcMar>
          <w:top w:w="108" w:type="dxa"/>
          <w:left w:w="108" w:type="dxa"/>
          <w:bottom w:w="108" w:type="dxa"/>
          <w:right w:w="108" w:type="dxa"/>
        </w:tcMar>
      </w:tcPr>
    </w:tblStylePr>
    <w:tblStylePr w:type="neCell">
      <w:rPr>
        <w:rFonts w:ascii="Franklin Gothic Demi" w:hAnsi="Franklin Gothic Demi"/>
        <w:sz w:val="20"/>
      </w:rPr>
    </w:tblStylePr>
    <w:tblStylePr w:type="nwCell">
      <w:rPr>
        <w:rFonts w:ascii="Franklin Gothic Demi" w:hAnsi="Franklin Gothic Demi"/>
        <w:sz w:val="20"/>
      </w:rPr>
    </w:tblStylePr>
    <w:tblStylePr w:type="seCell">
      <w:rPr>
        <w:rFonts w:ascii="Franklin Gothic Demi" w:hAnsi="Franklin Gothic Demi"/>
        <w:sz w:val="20"/>
      </w:rPr>
    </w:tblStylePr>
    <w:tblStylePr w:type="swCell">
      <w:rPr>
        <w:rFonts w:ascii="Franklin Gothic Demi" w:hAnsi="Franklin Gothic Demi"/>
        <w:sz w:val="20"/>
      </w:rPr>
    </w:tblStylePr>
  </w:style>
  <w:style w:type="paragraph" w:styleId="Quote">
    <w:name w:val="Quote"/>
    <w:basedOn w:val="Normal"/>
    <w:next w:val="Normal"/>
    <w:link w:val="QuoteChar"/>
    <w:uiPriority w:val="29"/>
    <w:semiHidden/>
    <w:rsid w:val="00466993"/>
    <w:pPr>
      <w:spacing w:before="160" w:after="160"/>
      <w:jc w:val="center"/>
    </w:pPr>
    <w:rPr>
      <w:i/>
      <w:iCs/>
      <w:color w:val="404040" w:themeColor="text1" w:themeTint="BF"/>
    </w:rPr>
  </w:style>
  <w:style w:type="character" w:customStyle="1" w:styleId="QuoteChar">
    <w:name w:val="Quote Char"/>
    <w:basedOn w:val="DefaultParagraphFont"/>
    <w:link w:val="Quote"/>
    <w:uiPriority w:val="29"/>
    <w:semiHidden/>
    <w:rsid w:val="00466993"/>
    <w:rPr>
      <w:i/>
      <w:iCs/>
      <w:color w:val="404040" w:themeColor="text1" w:themeTint="BF"/>
    </w:rPr>
  </w:style>
  <w:style w:type="character" w:styleId="IntenseEmphasis">
    <w:name w:val="Intense Emphasis"/>
    <w:basedOn w:val="DefaultParagraphFont"/>
    <w:uiPriority w:val="21"/>
    <w:qFormat/>
    <w:rsid w:val="00466993"/>
    <w:rPr>
      <w:i/>
      <w:iCs/>
      <w:color w:val="908B00" w:themeColor="accent1" w:themeShade="BF"/>
    </w:rPr>
  </w:style>
  <w:style w:type="paragraph" w:styleId="IntenseQuote">
    <w:name w:val="Intense Quote"/>
    <w:basedOn w:val="Normal"/>
    <w:next w:val="Normal"/>
    <w:link w:val="IntenseQuoteChar"/>
    <w:uiPriority w:val="30"/>
    <w:semiHidden/>
    <w:rsid w:val="00466993"/>
    <w:pPr>
      <w:pBdr>
        <w:top w:val="single" w:sz="4" w:space="10" w:color="908B00" w:themeColor="accent1" w:themeShade="BF"/>
        <w:bottom w:val="single" w:sz="4" w:space="10" w:color="908B00" w:themeColor="accent1" w:themeShade="BF"/>
      </w:pBdr>
      <w:spacing w:before="360" w:after="360"/>
      <w:ind w:left="864" w:right="864"/>
      <w:jc w:val="center"/>
    </w:pPr>
    <w:rPr>
      <w:i/>
      <w:iCs/>
      <w:color w:val="908B00" w:themeColor="accent1" w:themeShade="BF"/>
    </w:rPr>
  </w:style>
  <w:style w:type="character" w:customStyle="1" w:styleId="IntenseQuoteChar">
    <w:name w:val="Intense Quote Char"/>
    <w:basedOn w:val="DefaultParagraphFont"/>
    <w:link w:val="IntenseQuote"/>
    <w:uiPriority w:val="30"/>
    <w:semiHidden/>
    <w:rsid w:val="00466993"/>
    <w:rPr>
      <w:i/>
      <w:iCs/>
      <w:color w:val="908B00" w:themeColor="accent1" w:themeShade="BF"/>
    </w:rPr>
  </w:style>
  <w:style w:type="character" w:styleId="IntenseReference">
    <w:name w:val="Intense Reference"/>
    <w:basedOn w:val="DefaultParagraphFont"/>
    <w:uiPriority w:val="32"/>
    <w:semiHidden/>
    <w:rsid w:val="00466993"/>
    <w:rPr>
      <w:b/>
      <w:bCs/>
      <w:smallCaps/>
      <w:color w:val="908B00" w:themeColor="accent1" w:themeShade="BF"/>
      <w:spacing w:val="5"/>
    </w:rPr>
  </w:style>
  <w:style w:type="paragraph" w:styleId="Revision">
    <w:name w:val="Revision"/>
    <w:hidden/>
    <w:uiPriority w:val="99"/>
    <w:semiHidden/>
    <w:rsid w:val="00BC4BA1"/>
  </w:style>
  <w:style w:type="character" w:styleId="CommentReference">
    <w:name w:val="annotation reference"/>
    <w:basedOn w:val="DefaultParagraphFont"/>
    <w:semiHidden/>
    <w:unhideWhenUsed/>
    <w:rsid w:val="00500D48"/>
    <w:rPr>
      <w:sz w:val="16"/>
      <w:szCs w:val="16"/>
    </w:rPr>
  </w:style>
  <w:style w:type="paragraph" w:styleId="CommentText">
    <w:name w:val="annotation text"/>
    <w:basedOn w:val="Normal"/>
    <w:link w:val="CommentTextChar"/>
    <w:unhideWhenUsed/>
    <w:rsid w:val="00500D48"/>
    <w:rPr>
      <w:sz w:val="20"/>
      <w:szCs w:val="20"/>
    </w:rPr>
  </w:style>
  <w:style w:type="character" w:customStyle="1" w:styleId="CommentTextChar">
    <w:name w:val="Comment Text Char"/>
    <w:basedOn w:val="DefaultParagraphFont"/>
    <w:link w:val="CommentText"/>
    <w:rsid w:val="00500D48"/>
    <w:rPr>
      <w:sz w:val="20"/>
      <w:szCs w:val="20"/>
    </w:rPr>
  </w:style>
  <w:style w:type="paragraph" w:styleId="CommentSubject">
    <w:name w:val="annotation subject"/>
    <w:basedOn w:val="CommentText"/>
    <w:next w:val="CommentText"/>
    <w:link w:val="CommentSubjectChar"/>
    <w:semiHidden/>
    <w:unhideWhenUsed/>
    <w:rsid w:val="00500D48"/>
    <w:rPr>
      <w:b/>
      <w:bCs/>
    </w:rPr>
  </w:style>
  <w:style w:type="character" w:customStyle="1" w:styleId="CommentSubjectChar">
    <w:name w:val="Comment Subject Char"/>
    <w:basedOn w:val="CommentTextChar"/>
    <w:link w:val="CommentSubject"/>
    <w:semiHidden/>
    <w:rsid w:val="00500D48"/>
    <w:rPr>
      <w:b/>
      <w:bCs/>
      <w:sz w:val="20"/>
      <w:szCs w:val="20"/>
    </w:rPr>
  </w:style>
  <w:style w:type="character" w:styleId="Mention">
    <w:name w:val="Mention"/>
    <w:basedOn w:val="DefaultParagraphFont"/>
    <w:uiPriority w:val="99"/>
    <w:unhideWhenUsed/>
    <w:rsid w:val="003B478F"/>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eader" Target="header2.xml"/><Relationship Id="rId20" Type="http://schemas.openxmlformats.org/officeDocument/2006/relationships/header" Target="header3.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www.cardinia.vic.gov.au" TargetMode="External"/><Relationship Id="rId23" Type="http://schemas.openxmlformats.org/officeDocument/2006/relationships/glossaryDocument" Target="glossary/document.xml"/><Relationship Id="rId10" Type="http://schemas.openxmlformats.org/officeDocument/2006/relationships/settings" Target="setting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F6F9A29B8A147E39E4919328CB0F6A1"/>
        <w:category>
          <w:name w:val="General"/>
          <w:gallery w:val="placeholder"/>
        </w:category>
        <w:types>
          <w:type w:val="bbPlcHdr"/>
        </w:types>
        <w:behaviors>
          <w:behavior w:val="content"/>
        </w:behaviors>
        <w:guid w:val="{C86CFAB4-7016-4667-8A13-1F88DAA9C87A}"/>
      </w:docPartPr>
      <w:docPartBody>
        <w:p w:rsidR="00925DD3" w:rsidRDefault="003C23C1" w:rsidP="003C23C1">
          <w:pPr>
            <w:pStyle w:val="9F6F9A29B8A147E39E4919328CB0F6A1"/>
          </w:pPr>
          <w:r>
            <w:rPr>
              <w:rStyle w:val="PlaceholderText"/>
            </w:rPr>
            <w:t>Select</w:t>
          </w:r>
          <w:r w:rsidRPr="008810D1">
            <w:rPr>
              <w:rStyle w:val="PlaceholderText"/>
            </w:rPr>
            <w:t xml:space="preserve"> </w:t>
          </w:r>
          <w:r>
            <w:rPr>
              <w:rStyle w:val="PlaceholderText"/>
            </w:rPr>
            <w:t>date, it will appear as ‘month, year’</w:t>
          </w:r>
        </w:p>
      </w:docPartBody>
    </w:docPart>
    <w:docPart>
      <w:docPartPr>
        <w:name w:val="65D15230AF214054A8FE10B05AA7373D"/>
        <w:category>
          <w:name w:val="General"/>
          <w:gallery w:val="placeholder"/>
        </w:category>
        <w:types>
          <w:type w:val="bbPlcHdr"/>
        </w:types>
        <w:behaviors>
          <w:behavior w:val="content"/>
        </w:behaviors>
        <w:guid w:val="{A4B7BA69-0439-4FF6-8ED9-C1AEB26084B4}"/>
      </w:docPartPr>
      <w:docPartBody>
        <w:p w:rsidR="00925DD3" w:rsidRDefault="003C23C1" w:rsidP="003C23C1">
          <w:pPr>
            <w:pStyle w:val="65D15230AF214054A8FE10B05AA7373D"/>
          </w:pPr>
          <w:r>
            <w:rPr>
              <w:rStyle w:val="PlaceholderText"/>
            </w:rPr>
            <w:t>select date, only the year will appear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Franklin Gothic Book">
    <w:charset w:val="00"/>
    <w:family w:val="swiss"/>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Demi">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Franklin Gothic Medium">
    <w:panose1 w:val="020B06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23C1"/>
    <w:rsid w:val="000A78FB"/>
    <w:rsid w:val="000B12F4"/>
    <w:rsid w:val="000E6D4A"/>
    <w:rsid w:val="002B6BFF"/>
    <w:rsid w:val="003C23C1"/>
    <w:rsid w:val="00564795"/>
    <w:rsid w:val="007D1234"/>
    <w:rsid w:val="008602FA"/>
    <w:rsid w:val="00925DD3"/>
    <w:rsid w:val="00B31D41"/>
    <w:rsid w:val="00B94CF4"/>
    <w:rsid w:val="00E52CD1"/>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C23C1"/>
    <w:rPr>
      <w:color w:val="808080"/>
    </w:rPr>
  </w:style>
  <w:style w:type="paragraph" w:customStyle="1" w:styleId="9F6F9A29B8A147E39E4919328CB0F6A1">
    <w:name w:val="9F6F9A29B8A147E39E4919328CB0F6A1"/>
    <w:rsid w:val="003C23C1"/>
  </w:style>
  <w:style w:type="paragraph" w:customStyle="1" w:styleId="65D15230AF214054A8FE10B05AA7373D">
    <w:name w:val="65D15230AF214054A8FE10B05AA7373D"/>
    <w:rsid w:val="003C23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cardinia">
  <a:themeElements>
    <a:clrScheme name="Cardinia full palette">
      <a:dk1>
        <a:sysClr val="windowText" lastClr="000000"/>
      </a:dk1>
      <a:lt1>
        <a:sysClr val="window" lastClr="FFFFFF"/>
      </a:lt1>
      <a:dk2>
        <a:srgbClr val="031F73"/>
      </a:dk2>
      <a:lt2>
        <a:srgbClr val="EBB700"/>
      </a:lt2>
      <a:accent1>
        <a:srgbClr val="C1BB00"/>
      </a:accent1>
      <a:accent2>
        <a:srgbClr val="53682B"/>
      </a:accent2>
      <a:accent3>
        <a:srgbClr val="C75B12"/>
      </a:accent3>
      <a:accent4>
        <a:srgbClr val="A22B38"/>
      </a:accent4>
      <a:accent5>
        <a:srgbClr val="5E2750"/>
      </a:accent5>
      <a:accent6>
        <a:srgbClr val="0073CF"/>
      </a:accent6>
      <a:hlink>
        <a:srgbClr val="0000FF"/>
      </a:hlink>
      <a:folHlink>
        <a:srgbClr val="800080"/>
      </a:folHlink>
    </a:clrScheme>
    <a:fontScheme name="Cardinia">
      <a:majorFont>
        <a:latin typeface="Franklin Gothic Demi"/>
        <a:ea typeface=""/>
        <a:cs typeface=""/>
      </a:majorFont>
      <a:minorFont>
        <a:latin typeface="Franklin Gothic Book"/>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2013-03-12T00:00:00</PublishDate>
  <Abstract/>
  <CompanyAddress/>
  <CompanyPhone/>
  <CompanyFax/>
  <CompanyEmail/>
</CoverPage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FB7776D50AC9C9429F45CBB78018DFD0" ma:contentTypeVersion="12" ma:contentTypeDescription="Create a new document." ma:contentTypeScope="" ma:versionID="192e16d54d8f8d8b186a1c50e658e80b">
  <xsd:schema xmlns:xsd="http://www.w3.org/2001/XMLSchema" xmlns:xs="http://www.w3.org/2001/XMLSchema" xmlns:p="http://schemas.microsoft.com/office/2006/metadata/properties" xmlns:ns2="998e874f-9f92-475f-aa86-16aa745540d3" xmlns:ns3="dd68a603-366f-42c7-8d1c-7821293e08bc" targetNamespace="http://schemas.microsoft.com/office/2006/metadata/properties" ma:root="true" ma:fieldsID="ac86a9c799595bd6f56260cf530be251" ns2:_="" ns3:_="">
    <xsd:import namespace="998e874f-9f92-475f-aa86-16aa745540d3"/>
    <xsd:import namespace="dd68a603-366f-42c7-8d1c-7821293e08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Not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8e874f-9f92-475f-aa86-16aa745540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Notes" ma:index="18" nillable="true" ma:displayName="Notes" ma:format="Dropdown" ma:internalName="Notes">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68a603-366f-42c7-8d1c-7821293e08b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62ad170-5dd1-49f8-a2ff-c9ad3b912813}" ma:internalName="TaxCatchAll" ma:showField="CatchAllData" ma:web="dd68a603-366f-42c7-8d1c-7821293e08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tns:customPropertyEditors xmlns:tns="http://schemas.microsoft.com/office/2006/customDocumentInformationPanel">
  <tns:showOnOpen>false</tns:showOnOpen>
  <tns:defaultPropertyEditorNamespace>Standard properties</tns:defaultPropertyEditorNamespace>
</tns:customPropertyEditor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998e874f-9f92-475f-aa86-16aa745540d3">
      <Terms xmlns="http://schemas.microsoft.com/office/infopath/2007/PartnerControls"/>
    </lcf76f155ced4ddcb4097134ff3c332f>
    <TaxCatchAll xmlns="dd68a603-366f-42c7-8d1c-7821293e08bc">
      <Value>14</Value>
    </TaxCatchAll>
    <Notes xmlns="998e874f-9f92-475f-aa86-16aa745540d3" xsi:nil="true"/>
  </documentManagement>
</p:properties>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B9EE535-878F-478B-8DCD-EA721AE55BBB}">
  <ds:schemaRefs>
    <ds:schemaRef ds:uri="http://schemas.microsoft.com/sharepoint/events"/>
  </ds:schemaRefs>
</ds:datastoreItem>
</file>

<file path=customXml/itemProps3.xml><?xml version="1.0" encoding="utf-8"?>
<ds:datastoreItem xmlns:ds="http://schemas.openxmlformats.org/officeDocument/2006/customXml" ds:itemID="{D5309DFE-82A4-4001-9F37-2EE1E9B1CBB0}"/>
</file>

<file path=customXml/itemProps4.xml><?xml version="1.0" encoding="utf-8"?>
<ds:datastoreItem xmlns:ds="http://schemas.openxmlformats.org/officeDocument/2006/customXml" ds:itemID="{A8B15553-D5EC-4F1D-86A3-D78A9F2120D6}">
  <ds:schemaRefs>
    <ds:schemaRef ds:uri="http://schemas.microsoft.com/office/2006/customDocumentInformationPanel"/>
  </ds:schemaRefs>
</ds:datastoreItem>
</file>

<file path=customXml/itemProps5.xml><?xml version="1.0" encoding="utf-8"?>
<ds:datastoreItem xmlns:ds="http://schemas.openxmlformats.org/officeDocument/2006/customXml" ds:itemID="{A1FA7704-795D-40C2-8D15-7A27EBD1BC36}">
  <ds:schemaRefs>
    <ds:schemaRef ds:uri="http://schemas.microsoft.com/office/2006/metadata/properties"/>
    <ds:schemaRef ds:uri="http://schemas.microsoft.com/office/infopath/2007/PartnerControls"/>
    <ds:schemaRef ds:uri="7d660651-1772-45e8-be16-d7c52c5f1021"/>
    <ds:schemaRef ds:uri="74714077-0f82-47f0-b42b-31bc94c0c524"/>
  </ds:schemaRefs>
</ds:datastoreItem>
</file>

<file path=customXml/itemProps6.xml><?xml version="1.0" encoding="utf-8"?>
<ds:datastoreItem xmlns:ds="http://schemas.openxmlformats.org/officeDocument/2006/customXml" ds:itemID="{196FFEEE-878A-47DE-AA00-A3D0EE5A06E3}">
  <ds:schemaRefs>
    <ds:schemaRef ds:uri="http://schemas.openxmlformats.org/officeDocument/2006/bibliography"/>
  </ds:schemaRefs>
</ds:datastoreItem>
</file>

<file path=customXml/itemProps7.xml><?xml version="1.0" encoding="utf-8"?>
<ds:datastoreItem xmlns:ds="http://schemas.openxmlformats.org/officeDocument/2006/customXml" ds:itemID="{9A5BDA33-C3CF-49E5-A593-8B1748C47B4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1740</Words>
  <Characters>9924</Characters>
  <Application>Microsoft Office Word</Application>
  <DocSecurity>4</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Cardinia Shire Council</Company>
  <LinksUpToDate>false</LinksUpToDate>
  <CharactersWithSpaces>11641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Bronwyn Fleming</dc:creator>
  <cp:keywords>[SEC=OFFICIAL]</cp:keywords>
  <dc:description/>
  <cp:lastModifiedBy>BROOME, Lily</cp:lastModifiedBy>
  <cp:revision>2</cp:revision>
  <cp:lastPrinted>2014-03-03T02:33:00Z</cp:lastPrinted>
  <dcterms:created xsi:type="dcterms:W3CDTF">2026-09-03T05:22:00Z</dcterms:created>
  <dcterms:modified xsi:type="dcterms:W3CDTF">2026-09-03T05:22:00Z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0x010100FB7776D50AC9C9429F45CBB78018DFD0</vt:lpwstr>
  </property>
  <property fmtid="{D5CDD505-2E9C-101B-9397-08002B2CF9AE}" pid="3" name="ClassificationContentMarkingHeaderShapeIds">
    <vt:lpwstr>118ead83,629cd29c,d224095</vt:lpwstr>
  </property>
  <property fmtid="{D5CDD505-2E9C-101B-9397-08002B2CF9AE}" pid="4" name="ClassificationContentMarkingHeaderFontProps">
    <vt:lpwstr>#ff0000,14,Aptos</vt:lpwstr>
  </property>
  <property fmtid="{D5CDD505-2E9C-101B-9397-08002B2CF9AE}" pid="5" name="ClassificationContentMarkingHeaderText">
    <vt:lpwstr>OFFICIAL</vt:lpwstr>
  </property>
  <property fmtid="{D5CDD505-2E9C-101B-9397-08002B2CF9AE}" pid="6" name="ClassificationContentMarkingFooterShapeIds">
    <vt:lpwstr>58ee4fd5,27799063,f719853</vt:lpwstr>
  </property>
  <property fmtid="{D5CDD505-2E9C-101B-9397-08002B2CF9AE}" pid="7" name="ClassificationContentMarkingFooterFontProps">
    <vt:lpwstr>#000000,10,Aptos</vt:lpwstr>
  </property>
  <property fmtid="{D5CDD505-2E9C-101B-9397-08002B2CF9AE}" pid="8" name="ClassificationContentMarkingFooterText">
    <vt:lpwstr>OFFICIAL – This document is a record of a Council action or decision</vt:lpwstr>
  </property>
  <property fmtid="{D5CDD505-2E9C-101B-9397-08002B2CF9AE}" pid="9" name="RevIMBCS">
    <vt:lpwstr>14;#Planning (Business Plan)|aeca1183-09bb-4124-8d99-51a469fbf210</vt:lpwstr>
  </property>
  <property fmtid="{D5CDD505-2E9C-101B-9397-08002B2CF9AE}" pid="10" name="_dlc_DocIdItemGuid">
    <vt:lpwstr>fbee6ad9-cfa9-4f7b-a901-53ee280802e4</vt:lpwstr>
  </property>
  <property fmtid="{D5CDD505-2E9C-101B-9397-08002B2CF9AE}" pid="11" name="MediaServiceImageTags">
    <vt:lpwstr/>
  </property>
  <property fmtid="{D5CDD505-2E9C-101B-9397-08002B2CF9AE}" pid="12" name="PMHMAC">
    <vt:lpwstr>v=2024.1;a=SHA256;h=F63E4C6B529F78516618366F7D12958C666DBC53D8DD5905BABC477913FA611D</vt:lpwstr>
  </property>
  <property fmtid="{D5CDD505-2E9C-101B-9397-08002B2CF9AE}" pid="13" name="PM_Qualifier">
    <vt:lpwstr/>
  </property>
  <property fmtid="{D5CDD505-2E9C-101B-9397-08002B2CF9AE}" pid="14" name="PM_Hash_Salt_Prev">
    <vt:lpwstr>4155B58C7304463A5654E7C7F3755F64</vt:lpwstr>
  </property>
  <property fmtid="{D5CDD505-2E9C-101B-9397-08002B2CF9AE}" pid="15" name="PM_Originator_Hash_SHA1">
    <vt:lpwstr>35CFCA95B72BFDFF162C67E98ACA1794419867A5</vt:lpwstr>
  </property>
  <property fmtid="{D5CDD505-2E9C-101B-9397-08002B2CF9AE}" pid="16" name="PM_Namespace">
    <vt:lpwstr>gov.au</vt:lpwstr>
  </property>
  <property fmtid="{D5CDD505-2E9C-101B-9397-08002B2CF9AE}" pid="17" name="PM_Version">
    <vt:lpwstr>2018.4</vt:lpwstr>
  </property>
  <property fmtid="{D5CDD505-2E9C-101B-9397-08002B2CF9AE}" pid="18" name="PM_SecurityClassification">
    <vt:lpwstr>OFFICIAL</vt:lpwstr>
  </property>
  <property fmtid="{D5CDD505-2E9C-101B-9397-08002B2CF9AE}" pid="19" name="PM_ProtectiveMarkingValue_Header">
    <vt:lpwstr>OFFICIAL</vt:lpwstr>
  </property>
  <property fmtid="{D5CDD505-2E9C-101B-9397-08002B2CF9AE}" pid="20" name="PM_OriginationTimeStamp">
    <vt:lpwstr>2026-07-27T00:38:05Z</vt:lpwstr>
  </property>
  <property fmtid="{D5CDD505-2E9C-101B-9397-08002B2CF9AE}" pid="21" name="MSIP_Label_eb34d90b-fc41-464d-af60-f74d721d0790_Name">
    <vt:lpwstr>OFFICIAL</vt:lpwstr>
  </property>
  <property fmtid="{D5CDD505-2E9C-101B-9397-08002B2CF9AE}" pid="22" name="PM_Note">
    <vt:lpwstr/>
  </property>
  <property fmtid="{D5CDD505-2E9C-101B-9397-08002B2CF9AE}" pid="23" name="PM_Markers">
    <vt:lpwstr/>
  </property>
  <property fmtid="{D5CDD505-2E9C-101B-9397-08002B2CF9AE}" pid="24" name="PM_Caveats_Count">
    <vt:lpwstr>0</vt:lpwstr>
  </property>
  <property fmtid="{D5CDD505-2E9C-101B-9397-08002B2CF9AE}" pid="25" name="PM_DownTo">
    <vt:lpwstr/>
  </property>
  <property fmtid="{D5CDD505-2E9C-101B-9397-08002B2CF9AE}" pid="26" name="PM_DisplayValueSecClassificationWithQualifier">
    <vt:lpwstr>OFFICIAL</vt:lpwstr>
  </property>
  <property fmtid="{D5CDD505-2E9C-101B-9397-08002B2CF9AE}" pid="27" name="PM_Expires">
    <vt:lpwstr/>
  </property>
  <property fmtid="{D5CDD505-2E9C-101B-9397-08002B2CF9AE}" pid="28" name="PM_InsertionValue">
    <vt:lpwstr>OFFICIAL</vt:lpwstr>
  </property>
  <property fmtid="{D5CDD505-2E9C-101B-9397-08002B2CF9AE}" pid="29" name="PM_DowngradeTo">
    <vt:lpwstr/>
  </property>
  <property fmtid="{D5CDD505-2E9C-101B-9397-08002B2CF9AE}" pid="30" name="MSIP_Label_eb34d90b-fc41-464d-af60-f74d721d0790_SiteId">
    <vt:lpwstr>61e36dd1-ca6e-4d61-aa0a-2b4eb88317a3</vt:lpwstr>
  </property>
  <property fmtid="{D5CDD505-2E9C-101B-9397-08002B2CF9AE}" pid="31" name="MSIP_Label_eb34d90b-fc41-464d-af60-f74d721d0790_ContentBits">
    <vt:lpwstr>3</vt:lpwstr>
  </property>
  <property fmtid="{D5CDD505-2E9C-101B-9397-08002B2CF9AE}" pid="32" name="MSIP_Label_eb34d90b-fc41-464d-af60-f74d721d0790_Enabled">
    <vt:lpwstr>true</vt:lpwstr>
  </property>
  <property fmtid="{D5CDD505-2E9C-101B-9397-08002B2CF9AE}" pid="33" name="MSIP_Label_eb34d90b-fc41-464d-af60-f74d721d0790_SetDate">
    <vt:lpwstr>2026-07-27T00:38:05Z</vt:lpwstr>
  </property>
  <property fmtid="{D5CDD505-2E9C-101B-9397-08002B2CF9AE}" pid="34" name="MSIP_Label_eb34d90b-fc41-464d-af60-f74d721d0790_Method">
    <vt:lpwstr>Privileged</vt:lpwstr>
  </property>
  <property fmtid="{D5CDD505-2E9C-101B-9397-08002B2CF9AE}" pid="35" name="MSIP_Label_eb34d90b-fc41-464d-af60-f74d721d0790_ActionId">
    <vt:lpwstr>e69c16c2ae4b4ac5a32b5827cc159205</vt:lpwstr>
  </property>
  <property fmtid="{D5CDD505-2E9C-101B-9397-08002B2CF9AE}" pid="36" name="PM_Originating_FileId">
    <vt:lpwstr>BF8059F3D1B64E9C96D009A45BAE6AD5</vt:lpwstr>
  </property>
  <property fmtid="{D5CDD505-2E9C-101B-9397-08002B2CF9AE}" pid="37" name="PM_ProtectiveMarkingValue_Footer">
    <vt:lpwstr>OFFICIAL</vt:lpwstr>
  </property>
  <property fmtid="{D5CDD505-2E9C-101B-9397-08002B2CF9AE}" pid="38" name="PM_Display">
    <vt:lpwstr>OFFICIAL</vt:lpwstr>
  </property>
  <property fmtid="{D5CDD505-2E9C-101B-9397-08002B2CF9AE}" pid="39" name="PM_OriginatorUserAccountName_SHA256">
    <vt:lpwstr>4B92F43780EAD91A67DA9D6DED5510B0E3B6AFCE3047A556F5C8F85D11601B22</vt:lpwstr>
  </property>
  <property fmtid="{D5CDD505-2E9C-101B-9397-08002B2CF9AE}" pid="40" name="PM_OriginatorDomainName_SHA256">
    <vt:lpwstr>E83A2A66C4061446A7E3732E8D44762184B6B377D962B96C83DC624302585857</vt:lpwstr>
  </property>
  <property fmtid="{D5CDD505-2E9C-101B-9397-08002B2CF9AE}" pid="41" name="PMUuid">
    <vt:lpwstr>v=2022.2;d=gov.au;g=46DD6D7C-8107-577B-BC6E-F348953B2E44</vt:lpwstr>
  </property>
  <property fmtid="{D5CDD505-2E9C-101B-9397-08002B2CF9AE}" pid="42" name="PM_Hash_Version">
    <vt:lpwstr>2024.1</vt:lpwstr>
  </property>
  <property fmtid="{D5CDD505-2E9C-101B-9397-08002B2CF9AE}" pid="43" name="PM_Hash_Salt">
    <vt:lpwstr>622CF9E0C00C10B9FEF1A6E3277A569E</vt:lpwstr>
  </property>
  <property fmtid="{D5CDD505-2E9C-101B-9397-08002B2CF9AE}" pid="44" name="PM_Hash_SHA1">
    <vt:lpwstr>17B59C7D9433891B742A4B8EDEE501285A2ABFA9</vt:lpwstr>
  </property>
</Properties>
</file>