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3916A" w14:textId="6021A2AA" w:rsidR="0023679E" w:rsidRDefault="006D0863">
      <w:pPr>
        <w:rPr>
          <w:b/>
          <w:bCs/>
        </w:rPr>
      </w:pPr>
      <w:r w:rsidRPr="006D0863">
        <w:rPr>
          <w:b/>
          <w:bCs/>
        </w:rPr>
        <w:t>Carers NSW</w:t>
      </w:r>
    </w:p>
    <w:p w14:paraId="56302F12" w14:textId="07F95B43" w:rsidR="006D0863" w:rsidRDefault="006D0863">
      <w:pPr>
        <w:rPr>
          <w:b/>
          <w:bCs/>
        </w:rPr>
      </w:pPr>
      <w:r w:rsidRPr="006D0863">
        <w:rPr>
          <w:b/>
          <w:bCs/>
        </w:rPr>
        <w:t>Feedback for Priority Area 1: Victim-survivors</w:t>
      </w:r>
    </w:p>
    <w:p w14:paraId="64240650" w14:textId="77777777" w:rsidR="006D0863" w:rsidRDefault="006D0863">
      <w:r w:rsidRPr="006D0863">
        <w:t>Carers NSW recommends that the Second Action Plan recognise carers as people who may also experience violence, abuse and coercive control. Barriers to disclosure include guilt, fear of consequences for the person receiving care, financial dependence, social isolation and limited recognition of violence within caring relationships. Improving awareness, early identification and referral pathways across health, disability, aged care, mental health and carer support services will help ensure carers can access appropriate support while maintaining the safety and wellbeing of everyone involved.</w:t>
      </w:r>
      <w:r w:rsidRPr="006D0863">
        <w:t xml:space="preserve"> </w:t>
      </w:r>
    </w:p>
    <w:p w14:paraId="689F5BDF" w14:textId="73BE3C81" w:rsidR="006D0863" w:rsidRDefault="006D0863">
      <w:r w:rsidRPr="006D0863">
        <w:rPr>
          <w:b/>
          <w:bCs/>
        </w:rPr>
        <w:t>Feedback for Priority Area 2: Prevention and early intervention</w:t>
      </w:r>
    </w:p>
    <w:p w14:paraId="54DB2453" w14:textId="77777777" w:rsidR="006D0863" w:rsidRDefault="006D0863">
      <w:r w:rsidRPr="006D0863">
        <w:t>Prevention efforts should recognise that violence can also occur towards carers within caring relationships. Early intervention should include awareness raising, workforce training and practical support for carers, alongside promoting safe caring relationships through education and cross-sector collaboration. Strengthening recognition of carers' experiences will support earlier help-seeking and reduce the escalation of harm.</w:t>
      </w:r>
    </w:p>
    <w:p w14:paraId="7C4B6EE1" w14:textId="166AE80F" w:rsidR="006D0863" w:rsidRPr="006D0863" w:rsidRDefault="006D0863">
      <w:pPr>
        <w:rPr>
          <w:b/>
          <w:bCs/>
        </w:rPr>
      </w:pPr>
      <w:r w:rsidRPr="006D0863">
        <w:rPr>
          <w:b/>
          <w:bCs/>
        </w:rPr>
        <w:t>Feedback for Priority Area 3: Children and young people in their own right</w:t>
      </w:r>
    </w:p>
    <w:p w14:paraId="73649207" w14:textId="77777777" w:rsidR="006D0863" w:rsidRDefault="006D0863">
      <w:r w:rsidRPr="006D0863">
        <w:t>Carers NSW supports approaches that recognise the needs of children and young people affected by violence, including young carers. Services should identify young carers early, ensure their voices are heard, and provide age-appropriate support that recognises the impact of both caring responsibilities and violence within the family.</w:t>
      </w:r>
    </w:p>
    <w:p w14:paraId="4A346CEF" w14:textId="170BA8AB" w:rsidR="006D0863" w:rsidRPr="006D0863" w:rsidRDefault="006D0863">
      <w:pPr>
        <w:rPr>
          <w:b/>
          <w:bCs/>
        </w:rPr>
      </w:pPr>
      <w:r w:rsidRPr="006D0863">
        <w:rPr>
          <w:b/>
          <w:bCs/>
        </w:rPr>
        <w:t>Feedback for Priority Area 4: People who use violence</w:t>
      </w:r>
    </w:p>
    <w:p w14:paraId="009263B2" w14:textId="77777777" w:rsidR="006D0863" w:rsidRDefault="006D0863">
      <w:r w:rsidRPr="006D0863">
        <w:t>Responses to people who use violence should recognise the complexity of caring relationships, particularly where disability, dementia or mental illness may influence behaviours. Coordinated responses should prioritise victim safety while ensuring access to appropriate health, disability and behavioural supports that reduce the risk of future harm.</w:t>
      </w:r>
    </w:p>
    <w:p w14:paraId="3295BE0A" w14:textId="72A660D4" w:rsidR="006D0863" w:rsidRPr="006D0863" w:rsidRDefault="006D0863">
      <w:pPr>
        <w:rPr>
          <w:b/>
          <w:bCs/>
        </w:rPr>
      </w:pPr>
      <w:r w:rsidRPr="006D0863">
        <w:rPr>
          <w:b/>
          <w:bCs/>
        </w:rPr>
        <w:t>Feedback for Priority Area 5: System Integration and Workforce</w:t>
      </w:r>
    </w:p>
    <w:p w14:paraId="13A7D1C3" w14:textId="0B075006" w:rsidR="006D0863" w:rsidRPr="006D0863" w:rsidRDefault="006D0863">
      <w:r w:rsidRPr="006D0863">
        <w:t>Stronger collaboration between family, domestic and sexual violence, health, disability, aged care, mental health and carer support sectors is needed to improve recognition and responses to violence experienced by carers. Workforce training, clear referral pathways and improved data collection will strengthen early identification and ensure carers are not overlooked within existing service systems.</w:t>
      </w:r>
    </w:p>
    <w:sectPr w:rsidR="006D0863" w:rsidRPr="006D08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63"/>
    <w:rsid w:val="00022A23"/>
    <w:rsid w:val="0023679E"/>
    <w:rsid w:val="00394999"/>
    <w:rsid w:val="006D0863"/>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DCA56"/>
  <w15:chartTrackingRefBased/>
  <w15:docId w15:val="{21570087-EDF7-432F-8CAE-4BDC63BDE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08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08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08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08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08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08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08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08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08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8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08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08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08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08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08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08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08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0863"/>
    <w:rPr>
      <w:rFonts w:eastAsiaTheme="majorEastAsia" w:cstheme="majorBidi"/>
      <w:color w:val="272727" w:themeColor="text1" w:themeTint="D8"/>
    </w:rPr>
  </w:style>
  <w:style w:type="paragraph" w:styleId="Title">
    <w:name w:val="Title"/>
    <w:basedOn w:val="Normal"/>
    <w:next w:val="Normal"/>
    <w:link w:val="TitleChar"/>
    <w:uiPriority w:val="10"/>
    <w:qFormat/>
    <w:rsid w:val="006D08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08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08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08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0863"/>
    <w:pPr>
      <w:spacing w:before="160"/>
      <w:jc w:val="center"/>
    </w:pPr>
    <w:rPr>
      <w:i/>
      <w:iCs/>
      <w:color w:val="404040" w:themeColor="text1" w:themeTint="BF"/>
    </w:rPr>
  </w:style>
  <w:style w:type="character" w:customStyle="1" w:styleId="QuoteChar">
    <w:name w:val="Quote Char"/>
    <w:basedOn w:val="DefaultParagraphFont"/>
    <w:link w:val="Quote"/>
    <w:uiPriority w:val="29"/>
    <w:rsid w:val="006D0863"/>
    <w:rPr>
      <w:i/>
      <w:iCs/>
      <w:color w:val="404040" w:themeColor="text1" w:themeTint="BF"/>
    </w:rPr>
  </w:style>
  <w:style w:type="paragraph" w:styleId="ListParagraph">
    <w:name w:val="List Paragraph"/>
    <w:basedOn w:val="Normal"/>
    <w:uiPriority w:val="34"/>
    <w:qFormat/>
    <w:rsid w:val="006D0863"/>
    <w:pPr>
      <w:ind w:left="720"/>
      <w:contextualSpacing/>
    </w:pPr>
  </w:style>
  <w:style w:type="character" w:styleId="IntenseEmphasis">
    <w:name w:val="Intense Emphasis"/>
    <w:basedOn w:val="DefaultParagraphFont"/>
    <w:uiPriority w:val="21"/>
    <w:qFormat/>
    <w:rsid w:val="006D0863"/>
    <w:rPr>
      <w:i/>
      <w:iCs/>
      <w:color w:val="0F4761" w:themeColor="accent1" w:themeShade="BF"/>
    </w:rPr>
  </w:style>
  <w:style w:type="paragraph" w:styleId="IntenseQuote">
    <w:name w:val="Intense Quote"/>
    <w:basedOn w:val="Normal"/>
    <w:next w:val="Normal"/>
    <w:link w:val="IntenseQuoteChar"/>
    <w:uiPriority w:val="30"/>
    <w:qFormat/>
    <w:rsid w:val="006D08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0863"/>
    <w:rPr>
      <w:i/>
      <w:iCs/>
      <w:color w:val="0F4761" w:themeColor="accent1" w:themeShade="BF"/>
    </w:rPr>
  </w:style>
  <w:style w:type="character" w:styleId="IntenseReference">
    <w:name w:val="Intense Reference"/>
    <w:basedOn w:val="DefaultParagraphFont"/>
    <w:uiPriority w:val="32"/>
    <w:qFormat/>
    <w:rsid w:val="006D08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5BBECD-B7F6-476C-A92F-D0DA4281382A}"/>
</file>

<file path=customXml/itemProps2.xml><?xml version="1.0" encoding="utf-8"?>
<ds:datastoreItem xmlns:ds="http://schemas.openxmlformats.org/officeDocument/2006/customXml" ds:itemID="{5C079CF6-C650-409E-A338-18282665FF08}"/>
</file>

<file path=customXml/itemProps3.xml><?xml version="1.0" encoding="utf-8"?>
<ds:datastoreItem xmlns:ds="http://schemas.openxmlformats.org/officeDocument/2006/customXml" ds:itemID="{DD9B632A-6399-471D-A9F1-8CEBE64E8C24}"/>
</file>

<file path=docProps/app.xml><?xml version="1.0" encoding="utf-8"?>
<Properties xmlns="http://schemas.openxmlformats.org/officeDocument/2006/extended-properties" xmlns:vt="http://schemas.openxmlformats.org/officeDocument/2006/docPropsVTypes">
  <Template>Normal.dotm</Template>
  <TotalTime>2</TotalTime>
  <Pages>1</Pages>
  <Words>362</Words>
  <Characters>2064</Characters>
  <Application>Microsoft Office Word</Application>
  <DocSecurity>0</DocSecurity>
  <Lines>17</Lines>
  <Paragraphs>4</Paragraphs>
  <ScaleCrop>false</ScaleCrop>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2026-09-07T00:55:00Z</dcterms:created>
  <dcterms:modified xsi:type="dcterms:W3CDTF">2026-09-07T00:57:00Z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