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65CB" w14:textId="34081D40" w:rsidR="0023679E" w:rsidRDefault="0021185A">
      <w:pPr>
        <w:rPr>
          <w:b/>
          <w:bCs/>
        </w:rPr>
      </w:pPr>
      <w:r>
        <w:rPr>
          <w:b/>
          <w:bCs/>
        </w:rPr>
        <w:t xml:space="preserve">Challenge DV </w:t>
      </w:r>
    </w:p>
    <w:p w14:paraId="3FD6AC46" w14:textId="74150E00" w:rsidR="0021185A" w:rsidRDefault="0021185A">
      <w:pPr>
        <w:rPr>
          <w:b/>
          <w:bCs/>
        </w:rPr>
      </w:pPr>
      <w:r w:rsidRPr="0021185A">
        <w:rPr>
          <w:b/>
          <w:bCs/>
        </w:rPr>
        <w:t>Feedback for Priority Area 2: Prevention and early intervention</w:t>
      </w:r>
    </w:p>
    <w:p w14:paraId="68E199C9" w14:textId="62CB448A" w:rsidR="0021185A" w:rsidRDefault="0021185A" w:rsidP="0021185A">
      <w:r>
        <w:t>Priority Area 2: Prevention and Early Intervention</w:t>
      </w:r>
    </w:p>
    <w:p w14:paraId="31D5B353" w14:textId="77777777" w:rsidR="0021185A" w:rsidRDefault="0021185A" w:rsidP="0021185A">
      <w:r>
        <w:t>What would make the biggest difference</w:t>
      </w:r>
    </w:p>
    <w:p w14:paraId="6E4D41EE" w14:textId="77777777" w:rsidR="0021185A" w:rsidRDefault="0021185A" w:rsidP="0021185A">
      <w:r>
        <w:t>The greatest impact will come from sustained, practical prevention delivered repeatedly across the settings that shape attitudes and behaviour. Workplaces, schools, sporting clubs and community organisations are critical because they influence culture, provide visible leadership and create opportunities for early intervention before harm escalates. Workplaces are often one of the first places where warning signs become visible.</w:t>
      </w:r>
    </w:p>
    <w:p w14:paraId="24E72BF1" w14:textId="77777777" w:rsidR="0021185A" w:rsidRDefault="0021185A" w:rsidP="0021185A">
      <w:r>
        <w:t>Our experience demonstrates that sustained prevention requires repeated education, practical skill-building, active bystanders, visible leadership, safe referral pathways and culture change. The Second Action Plan should support connected approaches that embed these elements across everyday settings.</w:t>
      </w:r>
    </w:p>
    <w:p w14:paraId="538D865B" w14:textId="77777777" w:rsidR="0021185A" w:rsidRDefault="0021185A" w:rsidP="0021185A">
      <w:r>
        <w:t>Community participation initiatives such as Darkness to Daylight also play an important role by turning awareness into shared commitment and action across schools, workplaces and the broader community.</w:t>
      </w:r>
    </w:p>
    <w:p w14:paraId="776827AC" w14:textId="77777777" w:rsidR="0021185A" w:rsidRDefault="0021185A" w:rsidP="0021185A">
      <w:r>
        <w:t>How existing prevention efforts can be strengthened</w:t>
      </w:r>
    </w:p>
    <w:p w14:paraId="71C6F0C9" w14:textId="77777777" w:rsidR="0021185A" w:rsidRDefault="0021185A" w:rsidP="0021185A">
      <w:r>
        <w:t>Existing efforts can be strengthened by moving from one-off activities to connected, capability-building approaches that support implementation over time.</w:t>
      </w:r>
    </w:p>
    <w:p w14:paraId="7810403C" w14:textId="77777777" w:rsidR="0021185A" w:rsidRDefault="0021185A" w:rsidP="0021185A">
      <w:r>
        <w:t>Recent focus group and survey findings indicate that while awareness of domestic and family violence is high, many workplaces and community settings still lack confidence to recognise patterns of coercive control, identify technology-facilitated abuse and intervene early and safely.</w:t>
      </w:r>
    </w:p>
    <w:p w14:paraId="227D2952" w14:textId="77777777" w:rsidR="0021185A" w:rsidRDefault="0021185A" w:rsidP="0021185A">
      <w:r>
        <w:t>The main barriers identified were limited time, uncertainty about safe responses, low confidence in recognising warning signs, unclear referral pathways and a need for role-specific training.</w:t>
      </w:r>
    </w:p>
    <w:p w14:paraId="36A6FB71" w14:textId="77777777" w:rsidR="0021185A" w:rsidRDefault="0021185A" w:rsidP="0021185A">
      <w:r>
        <w:t>Supporting people to recognise and respond</w:t>
      </w:r>
    </w:p>
    <w:p w14:paraId="3F08F0EC" w14:textId="77777777" w:rsidR="0021185A" w:rsidRDefault="0021185A" w:rsidP="0021185A">
      <w:r>
        <w:t>Everyday settings are better able to respond when people understand what harmful attitudes and behaviours look like, including non-physical abuse, coercive and controlling behaviours and technology-facilitated abuse, know the limits of their role, and have practical guidance on safe response and referral.</w:t>
      </w:r>
    </w:p>
    <w:p w14:paraId="550F6387" w14:textId="77777777" w:rsidR="0021185A" w:rsidRDefault="0021185A" w:rsidP="0021185A">
      <w:r>
        <w:t>Recognise, Respond and Refer training helps build that confidence across teachers, managers, coaches, volunteers and other trusted contacts, while community participation initiatives help translate awareness into visible commitment and broader culture change.</w:t>
      </w:r>
    </w:p>
    <w:p w14:paraId="4A6A0B0F" w14:textId="77777777" w:rsidR="0021185A" w:rsidRDefault="0021185A" w:rsidP="0021185A">
      <w:r>
        <w:lastRenderedPageBreak/>
        <w:t>Promising approaches and what is needed</w:t>
      </w:r>
    </w:p>
    <w:p w14:paraId="61371032" w14:textId="77777777" w:rsidR="0021185A" w:rsidRDefault="0021185A" w:rsidP="0021185A">
      <w:r>
        <w:t>The most promising approaches are those that combine reach, practicality and implementation support, particularly across non-specialist settings.</w:t>
      </w:r>
    </w:p>
    <w:p w14:paraId="18752E86" w14:textId="77777777" w:rsidR="0021185A" w:rsidRDefault="0021185A" w:rsidP="0021185A">
      <w:r>
        <w:t>•</w:t>
      </w:r>
      <w:r>
        <w:tab/>
        <w:t>blended education models that combine face-to-face training, e-learning, webinars and practical resources;</w:t>
      </w:r>
    </w:p>
    <w:p w14:paraId="628694C8" w14:textId="77777777" w:rsidR="0021185A" w:rsidRDefault="0021185A" w:rsidP="0021185A">
      <w:r>
        <w:t>•</w:t>
      </w:r>
      <w:r>
        <w:tab/>
        <w:t>school and sporting club programs that engage young people alongside the adults and community structures around them;</w:t>
      </w:r>
    </w:p>
    <w:p w14:paraId="6006AF25" w14:textId="77777777" w:rsidR="0021185A" w:rsidRDefault="0021185A" w:rsidP="0021185A">
      <w:r>
        <w:t>•</w:t>
      </w:r>
      <w:r>
        <w:tab/>
        <w:t>practical Recognise, Respond and Refer frameworks that strengthen confidence in non-specialist settings.</w:t>
      </w:r>
    </w:p>
    <w:p w14:paraId="7B7A0D42" w14:textId="77777777" w:rsidR="0021185A" w:rsidRDefault="0021185A" w:rsidP="0021185A">
      <w:r>
        <w:t>To expand these approaches, organisations need sustained investment, implementation support and evaluation that measures changes in knowledge, confidence, practice and community capability over time.</w:t>
      </w:r>
    </w:p>
    <w:p w14:paraId="145B8F9F" w14:textId="77777777" w:rsidR="0021185A" w:rsidRDefault="0021185A" w:rsidP="0021185A">
      <w:r>
        <w:t>Recommendations</w:t>
      </w:r>
    </w:p>
    <w:p w14:paraId="17A176F2" w14:textId="77777777" w:rsidR="0021185A" w:rsidRDefault="0021185A" w:rsidP="0021185A">
      <w:r>
        <w:t>1. Fund sustained prevention education in everyday community settings</w:t>
      </w:r>
    </w:p>
    <w:p w14:paraId="285CCD86" w14:textId="77777777" w:rsidR="0021185A" w:rsidRDefault="0021185A" w:rsidP="0021185A">
      <w:r>
        <w:t>Commit to long-term prevention education across workplaces, schools, sporting clubs and communities rather than one-off awareness campaigns.</w:t>
      </w:r>
    </w:p>
    <w:p w14:paraId="0B455C95" w14:textId="77777777" w:rsidR="0021185A" w:rsidRDefault="0021185A" w:rsidP="0021185A">
      <w:r>
        <w:t>2. Strengthen community capability to Recognise, Respond and Refer</w:t>
      </w:r>
    </w:p>
    <w:p w14:paraId="7EFD7DDE" w14:textId="77777777" w:rsidR="0021185A" w:rsidRDefault="0021185A" w:rsidP="0021185A">
      <w:r>
        <w:t>Provide practical education, tools and referral pathways so non-specialist settings can identify warning signs, including patterns of coercive control, respond safely and connect people to specialist support.</w:t>
      </w:r>
    </w:p>
    <w:p w14:paraId="5DD2A143" w14:textId="77777777" w:rsidR="0021185A" w:rsidRDefault="0021185A" w:rsidP="0021185A">
      <w:r>
        <w:t>3. Increase investment in prevention initiatives for young people, boys and men</w:t>
      </w:r>
    </w:p>
    <w:p w14:paraId="74816BAA" w14:textId="77777777" w:rsidR="0021185A" w:rsidRDefault="0021185A" w:rsidP="0021185A">
      <w:r>
        <w:t>Expand age-appropriate prevention initiatives for young people, boys and men, including responses to online misogyny and technology-facilitated abuse.</w:t>
      </w:r>
    </w:p>
    <w:p w14:paraId="240C6147" w14:textId="77777777" w:rsidR="0021185A" w:rsidRDefault="0021185A" w:rsidP="0021185A">
      <w:r>
        <w:t>4. Recognise workplaces as critical prevention and early intervention environments</w:t>
      </w:r>
    </w:p>
    <w:p w14:paraId="09FCB8D6" w14:textId="77777777" w:rsidR="0021185A" w:rsidRDefault="0021185A" w:rsidP="0021185A">
      <w:r>
        <w:t>Recognise workplaces as prevention and early intervention environments and support action on education, leadership, policy implementation and safe support pathways. Workplaces are often one of the first places where warning signs become visible.</w:t>
      </w:r>
    </w:p>
    <w:p w14:paraId="3F4BADA1" w14:textId="77777777" w:rsidR="0021185A" w:rsidRDefault="0021185A" w:rsidP="0021185A">
      <w:r>
        <w:t>5. Strengthen evaluation of community-based prevention programs</w:t>
      </w:r>
    </w:p>
    <w:p w14:paraId="5550C2B1" w14:textId="77777777" w:rsidR="0021185A" w:rsidRDefault="0021185A" w:rsidP="0021185A">
      <w:r>
        <w:t>Evaluate community-based prevention through changes in knowledge, confidence, organisational practice, bystander capability and referral awareness, not just participation numbers.</w:t>
      </w:r>
    </w:p>
    <w:p w14:paraId="1649EBE7" w14:textId="77777777" w:rsidR="0021185A" w:rsidRDefault="0021185A" w:rsidP="0021185A">
      <w:r>
        <w:t>Conclusion</w:t>
      </w:r>
    </w:p>
    <w:p w14:paraId="2CEBAA1A" w14:textId="77777777" w:rsidR="0021185A" w:rsidRDefault="0021185A" w:rsidP="0021185A">
      <w:r>
        <w:lastRenderedPageBreak/>
        <w:t>Challenge DV welcomes the consultation’s focus on prevention and early intervention in the places where people live, work, learn and connect.</w:t>
      </w:r>
    </w:p>
    <w:p w14:paraId="7C6CB480" w14:textId="015CDE5D" w:rsidR="0021185A" w:rsidRPr="0021185A" w:rsidRDefault="0021185A" w:rsidP="0021185A">
      <w:r>
        <w:t>Our experience shows that communities are willing to play a role, but need practical education, leadership, safe response capability and clear referral pathways to turn awareness into action. The Second Action Plan is an opportunity to embed prevention more deeply across everyday life and strengthen capability across non-specialist settings.</w:t>
      </w:r>
    </w:p>
    <w:sectPr w:rsidR="0021185A" w:rsidRPr="002118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85A"/>
    <w:rsid w:val="00022A23"/>
    <w:rsid w:val="0021185A"/>
    <w:rsid w:val="0023679E"/>
    <w:rsid w:val="00C31ED0"/>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B12E"/>
  <w15:chartTrackingRefBased/>
  <w15:docId w15:val="{5E3E9A57-41D9-47CC-9AC0-31209106A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8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8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8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8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8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8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8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8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8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8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8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8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8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8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8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8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8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85A"/>
    <w:rPr>
      <w:rFonts w:eastAsiaTheme="majorEastAsia" w:cstheme="majorBidi"/>
      <w:color w:val="272727" w:themeColor="text1" w:themeTint="D8"/>
    </w:rPr>
  </w:style>
  <w:style w:type="paragraph" w:styleId="Title">
    <w:name w:val="Title"/>
    <w:basedOn w:val="Normal"/>
    <w:next w:val="Normal"/>
    <w:link w:val="TitleChar"/>
    <w:uiPriority w:val="10"/>
    <w:qFormat/>
    <w:rsid w:val="002118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8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8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8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85A"/>
    <w:pPr>
      <w:spacing w:before="160"/>
      <w:jc w:val="center"/>
    </w:pPr>
    <w:rPr>
      <w:i/>
      <w:iCs/>
      <w:color w:val="404040" w:themeColor="text1" w:themeTint="BF"/>
    </w:rPr>
  </w:style>
  <w:style w:type="character" w:customStyle="1" w:styleId="QuoteChar">
    <w:name w:val="Quote Char"/>
    <w:basedOn w:val="DefaultParagraphFont"/>
    <w:link w:val="Quote"/>
    <w:uiPriority w:val="29"/>
    <w:rsid w:val="0021185A"/>
    <w:rPr>
      <w:i/>
      <w:iCs/>
      <w:color w:val="404040" w:themeColor="text1" w:themeTint="BF"/>
    </w:rPr>
  </w:style>
  <w:style w:type="paragraph" w:styleId="ListParagraph">
    <w:name w:val="List Paragraph"/>
    <w:basedOn w:val="Normal"/>
    <w:uiPriority w:val="34"/>
    <w:qFormat/>
    <w:rsid w:val="0021185A"/>
    <w:pPr>
      <w:ind w:left="720"/>
      <w:contextualSpacing/>
    </w:pPr>
  </w:style>
  <w:style w:type="character" w:styleId="IntenseEmphasis">
    <w:name w:val="Intense Emphasis"/>
    <w:basedOn w:val="DefaultParagraphFont"/>
    <w:uiPriority w:val="21"/>
    <w:qFormat/>
    <w:rsid w:val="0021185A"/>
    <w:rPr>
      <w:i/>
      <w:iCs/>
      <w:color w:val="0F4761" w:themeColor="accent1" w:themeShade="BF"/>
    </w:rPr>
  </w:style>
  <w:style w:type="paragraph" w:styleId="IntenseQuote">
    <w:name w:val="Intense Quote"/>
    <w:basedOn w:val="Normal"/>
    <w:next w:val="Normal"/>
    <w:link w:val="IntenseQuoteChar"/>
    <w:uiPriority w:val="30"/>
    <w:qFormat/>
    <w:rsid w:val="002118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85A"/>
    <w:rPr>
      <w:i/>
      <w:iCs/>
      <w:color w:val="0F4761" w:themeColor="accent1" w:themeShade="BF"/>
    </w:rPr>
  </w:style>
  <w:style w:type="character" w:styleId="IntenseReference">
    <w:name w:val="Intense Reference"/>
    <w:basedOn w:val="DefaultParagraphFont"/>
    <w:uiPriority w:val="32"/>
    <w:qFormat/>
    <w:rsid w:val="002118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0F7A81-6815-4E87-B871-161D33E961EF}"/>
</file>

<file path=customXml/itemProps2.xml><?xml version="1.0" encoding="utf-8"?>
<ds:datastoreItem xmlns:ds="http://schemas.openxmlformats.org/officeDocument/2006/customXml" ds:itemID="{1347F992-A477-4252-99A6-2C2820B4FB3F}"/>
</file>

<file path=customXml/itemProps3.xml><?xml version="1.0" encoding="utf-8"?>
<ds:datastoreItem xmlns:ds="http://schemas.openxmlformats.org/officeDocument/2006/customXml" ds:itemID="{33AD2A53-2AB0-495C-8176-2832E76A68AF}"/>
</file>

<file path=docProps/app.xml><?xml version="1.0" encoding="utf-8"?>
<Properties xmlns="http://schemas.openxmlformats.org/officeDocument/2006/extended-properties" xmlns:vt="http://schemas.openxmlformats.org/officeDocument/2006/docPropsVTypes">
  <Template>Normal.dotm</Template>
  <TotalTime>1</TotalTime>
  <Pages>3</Pages>
  <Words>734</Words>
  <Characters>4189</Characters>
  <Application>Microsoft Office Word</Application>
  <DocSecurity>0</DocSecurity>
  <Lines>34</Lines>
  <Paragraphs>9</Paragraphs>
  <ScaleCrop>false</ScaleCrop>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2026-09-02T06:17:00Z</dcterms:created>
  <dcterms:modified xsi:type="dcterms:W3CDTF">2026-09-02T06:18:00Z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