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BD67A" w14:textId="27317B3E" w:rsidR="0023679E" w:rsidRDefault="009F6B1B">
      <w:pPr>
        <w:rPr>
          <w:b/>
          <w:bCs/>
        </w:rPr>
      </w:pPr>
      <w:r w:rsidRPr="009F6B1B">
        <w:rPr>
          <w:b/>
          <w:bCs/>
        </w:rPr>
        <w:t>Curtin University</w:t>
      </w:r>
    </w:p>
    <w:p w14:paraId="4E48E6E8" w14:textId="4404E775" w:rsidR="009F6B1B" w:rsidRDefault="009F6B1B">
      <w:pPr>
        <w:rPr>
          <w:b/>
          <w:bCs/>
        </w:rPr>
      </w:pPr>
      <w:r w:rsidRPr="009F6B1B">
        <w:rPr>
          <w:b/>
          <w:bCs/>
        </w:rPr>
        <w:t>Feedback for Priority Area 1: Victim-survivors</w:t>
      </w:r>
    </w:p>
    <w:p w14:paraId="469BDDBC" w14:textId="0DCA41A2" w:rsidR="009F6B1B" w:rsidRDefault="009F6B1B" w:rsidP="009F6B1B">
      <w:r>
        <w:t xml:space="preserve">(Priority Area 1: Victim-survivors of domestic, family and sexual violence) - </w:t>
      </w:r>
    </w:p>
    <w:p w14:paraId="2D708AD9" w14:textId="77777777" w:rsidR="009F6B1B" w:rsidRDefault="009F6B1B" w:rsidP="009F6B1B">
      <w:r>
        <w:t>In relation to victim-survivors of domestic, family and sexual violence, workplaces should be recognised as part of a 'no wrong door' system. Many victim-survivors may first disclose to someone at work or may seek workplace adjustments before approaching specialist services. Employers should therefore be supported to provide trauma-informed responses, confidential referral options, safety planning and practical adjustments without requiring burdening evidence or repeated disclosure.</w:t>
      </w:r>
    </w:p>
    <w:p w14:paraId="6D1C7773" w14:textId="3AB55045" w:rsidR="009F6B1B" w:rsidRPr="009F6B1B" w:rsidRDefault="009F6B1B" w:rsidP="009F6B1B">
      <w:pPr>
        <w:rPr>
          <w:b/>
          <w:bCs/>
        </w:rPr>
      </w:pPr>
      <w:r w:rsidRPr="009F6B1B">
        <w:rPr>
          <w:b/>
          <w:bCs/>
        </w:rPr>
        <w:t>Feedback for Priority Area 2: Prevention and early intervention</w:t>
      </w:r>
    </w:p>
    <w:p w14:paraId="77F625E6" w14:textId="58D52F5F" w:rsidR="009F6B1B" w:rsidRDefault="009F6B1B" w:rsidP="009F6B1B">
      <w:r>
        <w:t xml:space="preserve">(Priority Area 2: Prevention and early intervention) - </w:t>
      </w:r>
    </w:p>
    <w:p w14:paraId="34F33AC3" w14:textId="77777777" w:rsidR="009F6B1B" w:rsidRDefault="009F6B1B" w:rsidP="009F6B1B">
      <w:r>
        <w:t>For prevention and early intervention, the Second Action Plan should strengthen workplace capability to recognise coercive control, technology-facilitated abuse and early warning signs. Workplace education should move beyond one-off compliance training and contribute to cultural change. This includes challenging gender inequality, promoting respectful workplace norms, supporting bystander confidence and ensuring that managers understand how to respond safely and appropriately.</w:t>
      </w:r>
    </w:p>
    <w:p w14:paraId="1EAA49A4" w14:textId="40295A71" w:rsidR="009F6B1B" w:rsidRPr="009F6B1B" w:rsidRDefault="009F6B1B" w:rsidP="009F6B1B">
      <w:pPr>
        <w:rPr>
          <w:b/>
          <w:bCs/>
        </w:rPr>
      </w:pPr>
      <w:r w:rsidRPr="009F6B1B">
        <w:rPr>
          <w:b/>
          <w:bCs/>
        </w:rPr>
        <w:t>Feedback for Priority Area 4: People who use violence</w:t>
      </w:r>
    </w:p>
    <w:p w14:paraId="08C08D98" w14:textId="0D7F65EA" w:rsidR="009F6B1B" w:rsidRDefault="009F6B1B" w:rsidP="009F6B1B">
      <w:r>
        <w:t xml:space="preserve">(Priority Area 4: People who use violence) - </w:t>
      </w:r>
    </w:p>
    <w:p w14:paraId="2405662C" w14:textId="77777777" w:rsidR="009F6B1B" w:rsidRDefault="009F6B1B" w:rsidP="009F6B1B">
      <w:r>
        <w:t>For people who use violence, the National Plan should help employers address harmful conduct where it intersects with work. Appropriate responses may include conduct processes, risk management, referral pathways and coordination with specialist services.</w:t>
      </w:r>
    </w:p>
    <w:p w14:paraId="2FCD5303" w14:textId="13770230" w:rsidR="009F6B1B" w:rsidRPr="009F6B1B" w:rsidRDefault="009F6B1B" w:rsidP="009F6B1B">
      <w:pPr>
        <w:rPr>
          <w:b/>
          <w:bCs/>
        </w:rPr>
      </w:pPr>
      <w:r w:rsidRPr="009F6B1B">
        <w:rPr>
          <w:b/>
          <w:bCs/>
        </w:rPr>
        <w:t>Feedback for Priority Area 5: System Integration and Workforce</w:t>
      </w:r>
    </w:p>
    <w:p w14:paraId="74C4ECF7" w14:textId="579B9552" w:rsidR="009F6B1B" w:rsidRDefault="009F6B1B" w:rsidP="009F6B1B">
      <w:r>
        <w:t xml:space="preserve">(Priority Area 5: System integration and workforce) - </w:t>
      </w:r>
    </w:p>
    <w:p w14:paraId="7B0C8E9D" w14:textId="77777777" w:rsidR="009F6B1B" w:rsidRDefault="009F6B1B" w:rsidP="009F6B1B">
      <w:r>
        <w:t>For system integration and workforce, workplaces should be connected to broader service, legal, health and community systems. Stronger collaboration between employers, unions, specialist FDV services, community legal centres and government agencies would improve referral pathways, reduce duplication, build trust and support consistent practice. System integration is particularly important for small and medium-sized enterprises, which may lack internal specialist capacity.</w:t>
      </w:r>
    </w:p>
    <w:p w14:paraId="3558F2E1" w14:textId="0EBEF1BA" w:rsidR="009F6B1B" w:rsidRPr="009F6B1B" w:rsidRDefault="009F6B1B" w:rsidP="009F6B1B">
      <w:pPr>
        <w:rPr>
          <w:b/>
          <w:bCs/>
        </w:rPr>
      </w:pPr>
      <w:r w:rsidRPr="009F6B1B">
        <w:rPr>
          <w:b/>
          <w:bCs/>
        </w:rPr>
        <w:t>Are there any other actions you think should be a priority to stop family, domestic and sexual violence?</w:t>
      </w:r>
    </w:p>
    <w:p w14:paraId="09C75244" w14:textId="4E4C1A20" w:rsidR="009F6B1B" w:rsidRDefault="009F6B1B" w:rsidP="009F6B1B">
      <w:r>
        <w:t>No.</w:t>
      </w:r>
      <w:r>
        <w:tab/>
        <w:t>Recommendation and purpose</w:t>
      </w:r>
    </w:p>
    <w:p w14:paraId="3EABBDFD" w14:textId="77777777" w:rsidR="009F6B1B" w:rsidRDefault="009F6B1B" w:rsidP="009F6B1B">
      <w:r>
        <w:lastRenderedPageBreak/>
        <w:t>1</w:t>
      </w:r>
      <w:r>
        <w:tab/>
        <w:t>Establish a National Workplace FDV Capability Framework</w:t>
      </w:r>
      <w:r>
        <w:tab/>
      </w:r>
    </w:p>
    <w:p w14:paraId="08938BED" w14:textId="5893283F" w:rsidR="009F6B1B" w:rsidRDefault="009F6B1B" w:rsidP="009F6B1B">
      <w:r>
        <w:t>Create nationally consistent standards for policies, confidentiality, risk assessment, safety planning, referral pathways, training and reporting.</w:t>
      </w:r>
    </w:p>
    <w:p w14:paraId="1F6BAD49" w14:textId="77777777" w:rsidR="009F6B1B" w:rsidRDefault="009F6B1B" w:rsidP="009F6B1B">
      <w:r>
        <w:t>2</w:t>
      </w:r>
      <w:r>
        <w:tab/>
        <w:t>Fund sustained workplace awareness and education</w:t>
      </w:r>
      <w:r>
        <w:tab/>
      </w:r>
    </w:p>
    <w:p w14:paraId="33C322DA" w14:textId="207BE4F0" w:rsidR="009F6B1B" w:rsidRDefault="009F6B1B" w:rsidP="009F6B1B">
      <w:r>
        <w:t xml:space="preserve">Improve understanding of FDV </w:t>
      </w:r>
      <w:proofErr w:type="gramStart"/>
      <w:r>
        <w:t>leave,</w:t>
      </w:r>
      <w:proofErr w:type="gramEnd"/>
      <w:r>
        <w:t xml:space="preserve"> coercive control, technology-facilitated abuse, workplace rights and available supports.</w:t>
      </w:r>
    </w:p>
    <w:p w14:paraId="601CCB54" w14:textId="77777777" w:rsidR="009F6B1B" w:rsidRDefault="009F6B1B" w:rsidP="009F6B1B">
      <w:r>
        <w:t>3</w:t>
      </w:r>
      <w:r>
        <w:tab/>
        <w:t>Introduce trauma-informed manager and human resource (HR) training</w:t>
      </w:r>
      <w:r>
        <w:tab/>
      </w:r>
    </w:p>
    <w:p w14:paraId="6942C2E1" w14:textId="4C0A7BD1" w:rsidR="009F6B1B" w:rsidRDefault="009F6B1B" w:rsidP="009F6B1B">
      <w:r>
        <w:t xml:space="preserve">Equip managers and HR personnel to respond safely to disclosures, avoid </w:t>
      </w:r>
      <w:proofErr w:type="spellStart"/>
      <w:r>
        <w:t>retraumatisation</w:t>
      </w:r>
      <w:proofErr w:type="spellEnd"/>
      <w:r>
        <w:t xml:space="preserve"> and connect workers with specialist support.</w:t>
      </w:r>
    </w:p>
    <w:p w14:paraId="413B279A" w14:textId="77777777" w:rsidR="009F6B1B" w:rsidRDefault="009F6B1B" w:rsidP="009F6B1B">
      <w:r>
        <w:t>4</w:t>
      </w:r>
      <w:r>
        <w:tab/>
        <w:t>Embed FDV within work health and safety frameworks</w:t>
      </w:r>
      <w:r>
        <w:tab/>
      </w:r>
    </w:p>
    <w:p w14:paraId="47079B2F" w14:textId="493CD658" w:rsidR="009F6B1B" w:rsidRDefault="009F6B1B" w:rsidP="009F6B1B">
      <w:r>
        <w:t>Recognise FDV as a psychosocial hazard where it affects work and strengthens capability for risk assessment and prevention.</w:t>
      </w:r>
    </w:p>
    <w:p w14:paraId="09D94154" w14:textId="77777777" w:rsidR="009F6B1B" w:rsidRDefault="009F6B1B" w:rsidP="009F6B1B">
      <w:r>
        <w:t>5</w:t>
      </w:r>
      <w:r>
        <w:tab/>
        <w:t>Strengthen privacy and confidentiality safeguards</w:t>
      </w:r>
      <w:r>
        <w:tab/>
      </w:r>
    </w:p>
    <w:p w14:paraId="55841C07" w14:textId="3DF7CA81" w:rsidR="009F6B1B" w:rsidRDefault="009F6B1B" w:rsidP="009F6B1B">
      <w:r>
        <w:t>Develop guidance for payroll, record keeping, disclosure management, information sharing and protection of sensitive information.</w:t>
      </w:r>
    </w:p>
    <w:p w14:paraId="48342377" w14:textId="77777777" w:rsidR="009F6B1B" w:rsidRDefault="009F6B1B" w:rsidP="009F6B1B">
      <w:r>
        <w:t>6</w:t>
      </w:r>
      <w:r>
        <w:tab/>
        <w:t>Improve access for casual and insecure workers</w:t>
      </w:r>
      <w:r>
        <w:tab/>
      </w:r>
    </w:p>
    <w:p w14:paraId="501DA4E4" w14:textId="66209D37" w:rsidR="009F6B1B" w:rsidRDefault="009F6B1B" w:rsidP="009F6B1B">
      <w:r>
        <w:t>Ensure workers can access support without fear of roster loss, adverse treatment or unclear entitlement calculations.</w:t>
      </w:r>
    </w:p>
    <w:p w14:paraId="1C4B95BF" w14:textId="77777777" w:rsidR="009F6B1B" w:rsidRDefault="009F6B1B" w:rsidP="009F6B1B">
      <w:r>
        <w:t>7</w:t>
      </w:r>
      <w:r>
        <w:tab/>
        <w:t>Address remote and hybrid work risks2</w:t>
      </w:r>
    </w:p>
    <w:p w14:paraId="4EC08866" w14:textId="0C3C2578" w:rsidR="009F6B1B" w:rsidRDefault="009F6B1B" w:rsidP="009F6B1B">
      <w:r>
        <w:t>Provide practical guidance on safe communication, technology-facilitated abuse, isolation and support pathways outside visible workplace cues.</w:t>
      </w:r>
    </w:p>
    <w:p w14:paraId="14D7EFEA" w14:textId="7A7621F1" w:rsidR="009F6B1B" w:rsidRDefault="009F6B1B" w:rsidP="009F6B1B">
      <w:r>
        <w:t>8</w:t>
      </w:r>
      <w:r>
        <w:tab/>
        <w:t>Strengthen perpetrator accountability in workplaces</w:t>
      </w:r>
      <w:r>
        <w:tab/>
        <w:t>Support organisations to recognise misuse of workplace resources and implement appropriate conduct, referral and accountability mechanisms.</w:t>
      </w:r>
    </w:p>
    <w:p w14:paraId="2FED9AEC" w14:textId="210100FB" w:rsidR="009F6B1B" w:rsidRDefault="009F6B1B" w:rsidP="009F6B1B">
      <w:r>
        <w:t>9</w:t>
      </w:r>
      <w:r>
        <w:tab/>
        <w:t>Support small businesses with practical tools and advice</w:t>
      </w:r>
      <w:r>
        <w:tab/>
        <w:t>Provide implementation toolkits, model policies, specialist advisory services and scalable training options for smaller employers.</w:t>
      </w:r>
    </w:p>
    <w:p w14:paraId="57647705" w14:textId="3E8F5C59" w:rsidR="009F6B1B" w:rsidRPr="009F6B1B" w:rsidRDefault="009F6B1B" w:rsidP="009F6B1B">
      <w:r>
        <w:t>10</w:t>
      </w:r>
      <w:r>
        <w:tab/>
        <w:t>Create national monitoring and evaluation mechanisms</w:t>
      </w:r>
      <w:r>
        <w:tab/>
        <w:t>Collect de-identified information on awareness, access, uptake, barriers, workplace capability and support practices to inform continuous improvement.</w:t>
      </w:r>
    </w:p>
    <w:sectPr w:rsidR="009F6B1B" w:rsidRPr="009F6B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1B"/>
    <w:rsid w:val="00022A23"/>
    <w:rsid w:val="0023679E"/>
    <w:rsid w:val="00945327"/>
    <w:rsid w:val="009F6B1B"/>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AEF05"/>
  <w15:chartTrackingRefBased/>
  <w15:docId w15:val="{CC2CA1A0-ADC2-4569-BAA2-B549B578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B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B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B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B1B"/>
    <w:rPr>
      <w:rFonts w:eastAsiaTheme="majorEastAsia" w:cstheme="majorBidi"/>
      <w:color w:val="272727" w:themeColor="text1" w:themeTint="D8"/>
    </w:rPr>
  </w:style>
  <w:style w:type="paragraph" w:styleId="Title">
    <w:name w:val="Title"/>
    <w:basedOn w:val="Normal"/>
    <w:next w:val="Normal"/>
    <w:link w:val="TitleChar"/>
    <w:uiPriority w:val="10"/>
    <w:qFormat/>
    <w:rsid w:val="009F6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B1B"/>
    <w:pPr>
      <w:spacing w:before="160"/>
      <w:jc w:val="center"/>
    </w:pPr>
    <w:rPr>
      <w:i/>
      <w:iCs/>
      <w:color w:val="404040" w:themeColor="text1" w:themeTint="BF"/>
    </w:rPr>
  </w:style>
  <w:style w:type="character" w:customStyle="1" w:styleId="QuoteChar">
    <w:name w:val="Quote Char"/>
    <w:basedOn w:val="DefaultParagraphFont"/>
    <w:link w:val="Quote"/>
    <w:uiPriority w:val="29"/>
    <w:rsid w:val="009F6B1B"/>
    <w:rPr>
      <w:i/>
      <w:iCs/>
      <w:color w:val="404040" w:themeColor="text1" w:themeTint="BF"/>
    </w:rPr>
  </w:style>
  <w:style w:type="paragraph" w:styleId="ListParagraph">
    <w:name w:val="List Paragraph"/>
    <w:basedOn w:val="Normal"/>
    <w:uiPriority w:val="34"/>
    <w:qFormat/>
    <w:rsid w:val="009F6B1B"/>
    <w:pPr>
      <w:ind w:left="720"/>
      <w:contextualSpacing/>
    </w:pPr>
  </w:style>
  <w:style w:type="character" w:styleId="IntenseEmphasis">
    <w:name w:val="Intense Emphasis"/>
    <w:basedOn w:val="DefaultParagraphFont"/>
    <w:uiPriority w:val="21"/>
    <w:qFormat/>
    <w:rsid w:val="009F6B1B"/>
    <w:rPr>
      <w:i/>
      <w:iCs/>
      <w:color w:val="0F4761" w:themeColor="accent1" w:themeShade="BF"/>
    </w:rPr>
  </w:style>
  <w:style w:type="paragraph" w:styleId="IntenseQuote">
    <w:name w:val="Intense Quote"/>
    <w:basedOn w:val="Normal"/>
    <w:next w:val="Normal"/>
    <w:link w:val="IntenseQuoteChar"/>
    <w:uiPriority w:val="30"/>
    <w:qFormat/>
    <w:rsid w:val="009F6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B1B"/>
    <w:rPr>
      <w:i/>
      <w:iCs/>
      <w:color w:val="0F4761" w:themeColor="accent1" w:themeShade="BF"/>
    </w:rPr>
  </w:style>
  <w:style w:type="character" w:styleId="IntenseReference">
    <w:name w:val="Intense Reference"/>
    <w:basedOn w:val="DefaultParagraphFont"/>
    <w:uiPriority w:val="32"/>
    <w:qFormat/>
    <w:rsid w:val="009F6B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DEFFAA-C94B-469E-9A94-BA0FEF69C125}"/>
</file>

<file path=customXml/itemProps2.xml><?xml version="1.0" encoding="utf-8"?>
<ds:datastoreItem xmlns:ds="http://schemas.openxmlformats.org/officeDocument/2006/customXml" ds:itemID="{EB5BB7F5-317E-461D-8109-A5171A05A6D4}"/>
</file>

<file path=customXml/itemProps3.xml><?xml version="1.0" encoding="utf-8"?>
<ds:datastoreItem xmlns:ds="http://schemas.openxmlformats.org/officeDocument/2006/customXml" ds:itemID="{A2BA2F5C-CAE4-4A1B-9568-544819F5F686}"/>
</file>

<file path=docProps/app.xml><?xml version="1.0" encoding="utf-8"?>
<Properties xmlns="http://schemas.openxmlformats.org/officeDocument/2006/extended-properties" xmlns:vt="http://schemas.openxmlformats.org/officeDocument/2006/docPropsVTypes">
  <Template>Normal.dotm</Template>
  <TotalTime>2</TotalTime>
  <Pages>2</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2026-09-04T01:27:00Z</dcterms:created>
  <dcterms:modified xsi:type="dcterms:W3CDTF">2026-09-04T01:29:00Z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