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222991" w14:textId="7B3B03D2" w:rsidR="0023679E" w:rsidRDefault="00845EF6">
      <w:pPr>
        <w:rPr>
          <w:b/>
          <w:bCs/>
        </w:rPr>
      </w:pPr>
      <w:r w:rsidRPr="00845EF6">
        <w:rPr>
          <w:b/>
          <w:bCs/>
        </w:rPr>
        <w:t>Cycle Breaker Mission</w:t>
      </w:r>
    </w:p>
    <w:p w14:paraId="22701449" w14:textId="32FEFFED" w:rsidR="00845EF6" w:rsidRDefault="00845EF6">
      <w:pPr>
        <w:rPr>
          <w:b/>
          <w:bCs/>
        </w:rPr>
      </w:pPr>
      <w:r w:rsidRPr="00845EF6">
        <w:rPr>
          <w:b/>
          <w:bCs/>
        </w:rPr>
        <w:t>Feedback for Priority Area 1: Victim-survivors</w:t>
      </w:r>
    </w:p>
    <w:p w14:paraId="0E3EC2B1" w14:textId="57047FB5" w:rsidR="00845EF6" w:rsidRDefault="00845EF6" w:rsidP="00845EF6">
      <w:r>
        <w:t>Cycle Breaker Mission believes the greatest opportunity for reform is improving how victim-survivors experience systems after disclosure. For many women and children, the violence does not end when they leave the relationship. Instead, they enter a complex network of courts, police, child protection, schools, housing, financial systems and support services that are often fragmented, difficult to navigate and can unintentionally create further trauma.</w:t>
      </w:r>
    </w:p>
    <w:p w14:paraId="0F6BD36E" w14:textId="62A41493" w:rsidR="00845EF6" w:rsidRDefault="00845EF6" w:rsidP="00845EF6">
      <w:r>
        <w:t xml:space="preserve">Many victim survivors cannot afford legal representation due to financial abuse, frozen assets, debt or ongoing litigation. As a result, they </w:t>
      </w:r>
      <w:proofErr w:type="spellStart"/>
      <w:r>
        <w:t>self represent</w:t>
      </w:r>
      <w:proofErr w:type="spellEnd"/>
      <w:r>
        <w:t xml:space="preserve"> in court while managing trauma, parenting responsibilities and ongoing coercive control. There is a significant gap in non-legal court navigation services that provide practical guidance, emotional support, referrals and trauma-informed preparation before, during and after legal proceedings. Investment in these services would improve safety, participation and justice outcomes.</w:t>
      </w:r>
    </w:p>
    <w:p w14:paraId="6FA53B63" w14:textId="4BB632BA" w:rsidR="00845EF6" w:rsidRDefault="00845EF6" w:rsidP="00845EF6">
      <w:r>
        <w:t>Trauma responses are also frequently misunderstood by professionals. Hypervigilance may be interpreted as paranoia, distress as instability, assertive parenting as controlling behaviour, and protective actions as parental alienation. These misunderstandings can influence decision making across multiple systems and compound existing trauma. Mandatory trauma informed training across police, courts, education, health and child protection is essential.</w:t>
      </w:r>
    </w:p>
    <w:p w14:paraId="3FD11948" w14:textId="27C4F5EB" w:rsidR="00845EF6" w:rsidRDefault="00845EF6" w:rsidP="00845EF6">
      <w:r>
        <w:t>The Second Action Plan should also strengthen responses to post separation abuse, recognising that coercive control often continues through family law proceedings, financial abuse, systems abuse, technology facilitated abuse, misuse of child contact arrangements and ongoing intimidation. These forms of abuse require coordinated, evidence informed responses that hold perpetrators accountable rather than expecting victim survivors to continually prove their experiences.</w:t>
      </w:r>
    </w:p>
    <w:p w14:paraId="5AAC2740" w14:textId="77777777" w:rsidR="00845EF6" w:rsidRDefault="00845EF6" w:rsidP="00845EF6">
      <w:r>
        <w:t>Long term recovery also requires investment beyond crisis responses. Counselling, mentoring, peer support, financial capability, housing stability and community connection are essential to rebuilding safe and independent lives.</w:t>
      </w:r>
    </w:p>
    <w:p w14:paraId="2D70E7CF" w14:textId="4A6645CC" w:rsidR="00845EF6" w:rsidRPr="00845EF6" w:rsidRDefault="00845EF6" w:rsidP="00845EF6">
      <w:pPr>
        <w:rPr>
          <w:b/>
          <w:bCs/>
        </w:rPr>
      </w:pPr>
      <w:r w:rsidRPr="00845EF6">
        <w:rPr>
          <w:b/>
          <w:bCs/>
        </w:rPr>
        <w:t>Feedback for Priority Area 2: Prevention and early intervention</w:t>
      </w:r>
    </w:p>
    <w:p w14:paraId="53C3C2A9" w14:textId="196AB365" w:rsidR="00845EF6" w:rsidRDefault="00845EF6" w:rsidP="00845EF6">
      <w:r>
        <w:t>Ending family, domestic and sexual violence requires sustained investment in primary prevention alongside stronger early intervention. Prevention should move beyond awareness campaigns and focus on changing attitudes, behaviours and social norms across communities, schools, workplaces, sporting organisations and faith communities.</w:t>
      </w:r>
    </w:p>
    <w:p w14:paraId="180FAFA1" w14:textId="77777777" w:rsidR="00845EF6" w:rsidRDefault="00845EF6" w:rsidP="00845EF6">
      <w:r>
        <w:lastRenderedPageBreak/>
        <w:t xml:space="preserve">Healthy relationships, emotional regulation, respectful communication, consent and gender equality should be taught from an early age in </w:t>
      </w:r>
      <w:proofErr w:type="gramStart"/>
      <w:r>
        <w:t>age appropriate</w:t>
      </w:r>
      <w:proofErr w:type="gramEnd"/>
      <w:r>
        <w:t xml:space="preserve"> ways and reinforced throughout education. Parents, carers and educators also need practical resources to recognise early warning signs of coercive control, technology facilitated abuse and unhealthy relationship behaviours.</w:t>
      </w:r>
    </w:p>
    <w:p w14:paraId="2CD16BFC" w14:textId="77777777" w:rsidR="00845EF6" w:rsidRDefault="00845EF6" w:rsidP="00845EF6">
      <w:r>
        <w:t>Workplaces have an increasingly important role in prevention. Many victim survivors spend significant time at work, making employers well placed to identify concerns, provide safe referrals and implement supportive workplace policies. Workforce education should extend beyond leave entitlements to include recognising coercive control, responding safely to disclosures and understanding ongoing risks following separation.</w:t>
      </w:r>
    </w:p>
    <w:p w14:paraId="79287ABC" w14:textId="77777777" w:rsidR="00845EF6" w:rsidRDefault="00845EF6" w:rsidP="00845EF6">
      <w:r>
        <w:t>Early intervention services should be easily accessible without requiring victims to reach crisis point before receiving support. Community-based support hubs, mentoring, counselling and lived experience peer programs create trusted pathways for people who may not yet engage with specialist services.</w:t>
      </w:r>
    </w:p>
    <w:p w14:paraId="20F9767C" w14:textId="77777777" w:rsidR="00845EF6" w:rsidRDefault="00845EF6" w:rsidP="00845EF6">
      <w:r>
        <w:t>Prevention efforts should also address emerging issues including technology-facilitated abuse, financial abuse, online misogyny, image-based abuse and increasing misuse of artificial intelligence and digital technologies to monitor, threaten or impersonate victim survivors.</w:t>
      </w:r>
    </w:p>
    <w:p w14:paraId="3287C455" w14:textId="77777777" w:rsidR="00845EF6" w:rsidRDefault="00845EF6" w:rsidP="00845EF6">
      <w:r>
        <w:t>Lived experience leadership should be embedded throughout prevention initiatives to ensure education reflects the realities of abuse and recovery.</w:t>
      </w:r>
    </w:p>
    <w:p w14:paraId="5FA698D2" w14:textId="2F9953AB" w:rsidR="00845EF6" w:rsidRPr="00845EF6" w:rsidRDefault="00845EF6" w:rsidP="00845EF6">
      <w:pPr>
        <w:rPr>
          <w:b/>
          <w:bCs/>
        </w:rPr>
      </w:pPr>
      <w:r w:rsidRPr="00845EF6">
        <w:rPr>
          <w:b/>
          <w:bCs/>
        </w:rPr>
        <w:t>Feedback for Priority Area 3: Children and young people in their own right</w:t>
      </w:r>
    </w:p>
    <w:p w14:paraId="1D433403" w14:textId="1D83AD93" w:rsidR="00845EF6" w:rsidRDefault="00845EF6" w:rsidP="00845EF6">
      <w:r>
        <w:t xml:space="preserve">Children should be recognised as victim-survivors </w:t>
      </w:r>
      <w:proofErr w:type="gramStart"/>
      <w:r>
        <w:t>in their own right rather</w:t>
      </w:r>
      <w:proofErr w:type="gramEnd"/>
      <w:r>
        <w:t xml:space="preserve"> than being viewed solely through the experiences of their parents. Exposure to domestic and family violence can have lifelong impacts on mental health, education, relationships, development and future wellbeing, even where children are not directly physically assaulted.</w:t>
      </w:r>
    </w:p>
    <w:p w14:paraId="362F1D13" w14:textId="77777777" w:rsidR="00845EF6" w:rsidRDefault="00845EF6" w:rsidP="00845EF6">
      <w:r>
        <w:t>Schools, health professionals, child protection, courts and community services need greater capability to recognise the impacts of trauma and respond consistently. Trauma informed approaches should become standard practice across education and child-serving systems.</w:t>
      </w:r>
    </w:p>
    <w:p w14:paraId="487B2E67" w14:textId="77777777" w:rsidR="00845EF6" w:rsidRDefault="00845EF6" w:rsidP="00845EF6">
      <w:r>
        <w:t xml:space="preserve">Family law processes should place greater emphasis on </w:t>
      </w:r>
      <w:proofErr w:type="gramStart"/>
      <w:r>
        <w:t>children's</w:t>
      </w:r>
      <w:proofErr w:type="gramEnd"/>
      <w:r>
        <w:t xml:space="preserve"> lived experiences and safety. There should be increased recognition that maintaining relationships with both parents is not always in a child's best interests where coercive control, ongoing abuse or family violence remain present. Protective parenting should not be confused with parental alienation without careful assessment of family violence risks.</w:t>
      </w:r>
    </w:p>
    <w:p w14:paraId="38B010B7" w14:textId="77777777" w:rsidR="00845EF6" w:rsidRDefault="00845EF6" w:rsidP="00845EF6">
      <w:r>
        <w:lastRenderedPageBreak/>
        <w:t>Children also need access to specialised counselling, therapeutic support and recovery programs that extend beyond immediate crisis responses. Long-term recovery should include stable housing, consistent schooling, opportunities for social connection and ongoing mental health support.</w:t>
      </w:r>
    </w:p>
    <w:p w14:paraId="557E1A84" w14:textId="77777777" w:rsidR="00845EF6" w:rsidRDefault="00845EF6" w:rsidP="00845EF6">
      <w:r>
        <w:t>Technology facilitated abuse affecting children and young people is an increasing concern. The Second Action Plan should strengthen education around healthy online relationships, digital safety, image-based abuse, coercion through social media and adolescent dating violence.</w:t>
      </w:r>
    </w:p>
    <w:p w14:paraId="093F2A72" w14:textId="77777777" w:rsidR="00845EF6" w:rsidRDefault="00845EF6" w:rsidP="00845EF6">
      <w:r>
        <w:t>Young people with lived experience should be meaningfully involved in designing services, policies and education programs that affect them in safe, supported and age-appropriate ways.</w:t>
      </w:r>
    </w:p>
    <w:p w14:paraId="190038E3" w14:textId="45E3F53A" w:rsidR="00845EF6" w:rsidRPr="00845EF6" w:rsidRDefault="00845EF6" w:rsidP="00845EF6">
      <w:pPr>
        <w:rPr>
          <w:b/>
          <w:bCs/>
        </w:rPr>
      </w:pPr>
      <w:r w:rsidRPr="00845EF6">
        <w:rPr>
          <w:b/>
          <w:bCs/>
        </w:rPr>
        <w:t>Feedback for Priority Area 4: People who use violence</w:t>
      </w:r>
    </w:p>
    <w:p w14:paraId="61CC1238" w14:textId="574BFB9A" w:rsidR="00845EF6" w:rsidRDefault="00845EF6" w:rsidP="00845EF6">
      <w:r>
        <w:t>Effective responses to people who use violence must prioritise victim survivor safety while strengthening accountability and opportunities for behaviour change. Violence should never be explained or excused by alcohol, mental health, relationship conflict or stress alone. These factors may increase risk in some circumstances but do not remove personal responsibility for abusive behaviour.</w:t>
      </w:r>
    </w:p>
    <w:p w14:paraId="6CE3C722" w14:textId="77777777" w:rsidR="00845EF6" w:rsidRDefault="00845EF6" w:rsidP="00845EF6">
      <w:r>
        <w:t>Interventions should address coercive control, entitlement, gender inequality and patterns of abusive behaviour rather than focusing solely on physical violence. Responses should continue after separation, recognising that many perpetrators shift to systems abuse, financial abuse, litigation abuse, stalking or technology-facilitated abuse once relationships end.</w:t>
      </w:r>
    </w:p>
    <w:p w14:paraId="795B468E" w14:textId="77777777" w:rsidR="00845EF6" w:rsidRDefault="00845EF6" w:rsidP="00845EF6">
      <w:r>
        <w:t>Behaviour change programs should be evidence-informed, culturally safe and integrated with ongoing risk assessment and victim-survivor support. Success should be measured by increased safety for victim-survivors rather than simply program completion.</w:t>
      </w:r>
    </w:p>
    <w:p w14:paraId="3DAEA24F" w14:textId="77777777" w:rsidR="00845EF6" w:rsidRDefault="00845EF6" w:rsidP="00845EF6">
      <w:r>
        <w:t>Professionals across police, courts, health, education and community services require greater capability to identify coercive control, assess ongoing risk and respond consistently. Information sharing between agencies should improve while maintaining appropriate privacy safeguards.</w:t>
      </w:r>
    </w:p>
    <w:p w14:paraId="12FDB3DD" w14:textId="77777777" w:rsidR="00845EF6" w:rsidRDefault="00845EF6" w:rsidP="00845EF6">
      <w:r>
        <w:t>Communities also play an important role in prevention. Friends, families, workplaces, sporting clubs and faith communities should be supported to recognise concerning behaviours, challenge harmful attitudes and encourage accountability before violence escalates.</w:t>
      </w:r>
    </w:p>
    <w:p w14:paraId="0B1C434B" w14:textId="520A5E87" w:rsidR="00845EF6" w:rsidRPr="00845EF6" w:rsidRDefault="00845EF6" w:rsidP="00845EF6">
      <w:pPr>
        <w:rPr>
          <w:b/>
          <w:bCs/>
        </w:rPr>
      </w:pPr>
      <w:r w:rsidRPr="00845EF6">
        <w:rPr>
          <w:b/>
          <w:bCs/>
        </w:rPr>
        <w:t>Feedback for Priority Area 5: System Integration and Workforce</w:t>
      </w:r>
    </w:p>
    <w:p w14:paraId="6F9579C0" w14:textId="29E9D850" w:rsidR="00845EF6" w:rsidRDefault="00845EF6" w:rsidP="00845EF6">
      <w:r>
        <w:lastRenderedPageBreak/>
        <w:t xml:space="preserve">Victim-survivors consistently describe the service system as fragmented and difficult to navigate. They are often required to repeatedly disclose traumatic experiences across multiple agencies while receiving inconsistent advice and support. Greater integration between courts, police, housing, education, health, financial services and specialist domestic and family violence services </w:t>
      </w:r>
      <w:proofErr w:type="gramStart"/>
      <w:r>
        <w:t>is</w:t>
      </w:r>
      <w:proofErr w:type="gramEnd"/>
      <w:r>
        <w:t xml:space="preserve"> essential.</w:t>
      </w:r>
    </w:p>
    <w:p w14:paraId="546CBEC6" w14:textId="77777777" w:rsidR="00845EF6" w:rsidRDefault="00845EF6" w:rsidP="00845EF6">
      <w:r>
        <w:t>One of the most significant system gaps is the absence of dedicated non-legal court navigation services. Many victim survivors attend court without legal representation and require practical guidance, emotional support and assistance understanding complex legal processes. Court navigation services should become a nationally recognised component of the service system.</w:t>
      </w:r>
    </w:p>
    <w:p w14:paraId="6ADF8DDD" w14:textId="77777777" w:rsidR="00845EF6" w:rsidRDefault="00845EF6" w:rsidP="00845EF6">
      <w:r>
        <w:t>Trauma-informed practice should become a core capability across all sectors interacting with victim survivors. Training should include understanding trauma responses, coercive control, post-separation abuse, technology-facilitated abuse, cultural safety and avoiding practices that unintentionally re-traumatise victim survivors.</w:t>
      </w:r>
    </w:p>
    <w:p w14:paraId="1D52529F" w14:textId="77777777" w:rsidR="00845EF6" w:rsidRDefault="00845EF6" w:rsidP="00845EF6">
      <w:r>
        <w:t>The workforce should also include paid lived experience leadership across governance, policy development, research, service design, training and evaluation. Lived experience should be recognised as professional expertise that complements clinical and academic knowledge.</w:t>
      </w:r>
    </w:p>
    <w:p w14:paraId="78460ECB" w14:textId="77777777" w:rsidR="00845EF6" w:rsidRDefault="00845EF6" w:rsidP="00845EF6">
      <w:r>
        <w:t>System success should be measured through long term outcomes rather than service outputs alone. Evaluation should include safety, housing stability, financial independence, child wellbeing, employment, recovery, reduced re-engagement with crisis services and improved experiences of justice systems.</w:t>
      </w:r>
    </w:p>
    <w:p w14:paraId="02251C00" w14:textId="66C827B9" w:rsidR="00845EF6" w:rsidRPr="00845EF6" w:rsidRDefault="00845EF6" w:rsidP="00845EF6">
      <w:pPr>
        <w:rPr>
          <w:b/>
          <w:bCs/>
        </w:rPr>
      </w:pPr>
      <w:r w:rsidRPr="00845EF6">
        <w:rPr>
          <w:b/>
          <w:bCs/>
        </w:rPr>
        <w:t>Are there any other actions you think should be a priority to stop family, domestic and sexual violence?</w:t>
      </w:r>
    </w:p>
    <w:p w14:paraId="7A3850A3" w14:textId="32B26DA5" w:rsidR="00845EF6" w:rsidRDefault="00845EF6" w:rsidP="00845EF6">
      <w:r>
        <w:t xml:space="preserve">The Second Action Plan should recognise that recovery from family, domestic and sexual violence is often a </w:t>
      </w:r>
      <w:proofErr w:type="gramStart"/>
      <w:r>
        <w:t>long term</w:t>
      </w:r>
      <w:proofErr w:type="gramEnd"/>
      <w:r>
        <w:t xml:space="preserve"> process rather than a short-term crisis. Funding models should better support recovery over several years, including counselling, mentoring, peer support, financial capability, employment pathways, housing stability and social connection.</w:t>
      </w:r>
    </w:p>
    <w:p w14:paraId="5D7A63DD" w14:textId="77777777" w:rsidR="00845EF6" w:rsidRDefault="00845EF6" w:rsidP="00845EF6">
      <w:r>
        <w:t>Greater investment is also needed in lived experience leadership. People with lived and living experience should be involved throughout policy development, research, governance, workforce education and service design as paid partners rather than consulted only after decisions have been made.</w:t>
      </w:r>
    </w:p>
    <w:p w14:paraId="35B0D861" w14:textId="6FA8B7E8" w:rsidR="00845EF6" w:rsidRPr="00845EF6" w:rsidRDefault="00845EF6" w:rsidP="00845EF6">
      <w:r>
        <w:t xml:space="preserve">Finally, the Second Action Plan should recognise the critical role of grassroots organisations. Smaller community organisations often provide trusted, flexible and innovative support that reaches people who may not engage with larger services. </w:t>
      </w:r>
      <w:r>
        <w:lastRenderedPageBreak/>
        <w:t>Sustainable funding pathways should enable these organisations to contribute to a coordinated national response while maintaining their local connections and lived experience expertise.</w:t>
      </w:r>
    </w:p>
    <w:sectPr w:rsidR="00845EF6" w:rsidRPr="00845EF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EF6"/>
    <w:rsid w:val="00022A23"/>
    <w:rsid w:val="0023679E"/>
    <w:rsid w:val="00845EF6"/>
    <w:rsid w:val="009A34F5"/>
    <w:rsid w:val="00D807DD"/>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56E25"/>
  <w15:chartTrackingRefBased/>
  <w15:docId w15:val="{7023C86D-2C38-432C-958A-40580A768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5E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45E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45E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45E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45E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45E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5E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5E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5E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5E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45E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45E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5E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5E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5E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5E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5E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5EF6"/>
    <w:rPr>
      <w:rFonts w:eastAsiaTheme="majorEastAsia" w:cstheme="majorBidi"/>
      <w:color w:val="272727" w:themeColor="text1" w:themeTint="D8"/>
    </w:rPr>
  </w:style>
  <w:style w:type="paragraph" w:styleId="Title">
    <w:name w:val="Title"/>
    <w:basedOn w:val="Normal"/>
    <w:next w:val="Normal"/>
    <w:link w:val="TitleChar"/>
    <w:uiPriority w:val="10"/>
    <w:qFormat/>
    <w:rsid w:val="00845E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5E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5E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5E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5EF6"/>
    <w:pPr>
      <w:spacing w:before="160"/>
      <w:jc w:val="center"/>
    </w:pPr>
    <w:rPr>
      <w:i/>
      <w:iCs/>
      <w:color w:val="404040" w:themeColor="text1" w:themeTint="BF"/>
    </w:rPr>
  </w:style>
  <w:style w:type="character" w:customStyle="1" w:styleId="QuoteChar">
    <w:name w:val="Quote Char"/>
    <w:basedOn w:val="DefaultParagraphFont"/>
    <w:link w:val="Quote"/>
    <w:uiPriority w:val="29"/>
    <w:rsid w:val="00845EF6"/>
    <w:rPr>
      <w:i/>
      <w:iCs/>
      <w:color w:val="404040" w:themeColor="text1" w:themeTint="BF"/>
    </w:rPr>
  </w:style>
  <w:style w:type="paragraph" w:styleId="ListParagraph">
    <w:name w:val="List Paragraph"/>
    <w:basedOn w:val="Normal"/>
    <w:uiPriority w:val="34"/>
    <w:qFormat/>
    <w:rsid w:val="00845EF6"/>
    <w:pPr>
      <w:ind w:left="720"/>
      <w:contextualSpacing/>
    </w:pPr>
  </w:style>
  <w:style w:type="character" w:styleId="IntenseEmphasis">
    <w:name w:val="Intense Emphasis"/>
    <w:basedOn w:val="DefaultParagraphFont"/>
    <w:uiPriority w:val="21"/>
    <w:qFormat/>
    <w:rsid w:val="00845EF6"/>
    <w:rPr>
      <w:i/>
      <w:iCs/>
      <w:color w:val="0F4761" w:themeColor="accent1" w:themeShade="BF"/>
    </w:rPr>
  </w:style>
  <w:style w:type="paragraph" w:styleId="IntenseQuote">
    <w:name w:val="Intense Quote"/>
    <w:basedOn w:val="Normal"/>
    <w:next w:val="Normal"/>
    <w:link w:val="IntenseQuoteChar"/>
    <w:uiPriority w:val="30"/>
    <w:qFormat/>
    <w:rsid w:val="00845E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5EF6"/>
    <w:rPr>
      <w:i/>
      <w:iCs/>
      <w:color w:val="0F4761" w:themeColor="accent1" w:themeShade="BF"/>
    </w:rPr>
  </w:style>
  <w:style w:type="character" w:styleId="IntenseReference">
    <w:name w:val="Intense Reference"/>
    <w:basedOn w:val="DefaultParagraphFont"/>
    <w:uiPriority w:val="32"/>
    <w:qFormat/>
    <w:rsid w:val="00845EF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9596D3B-327C-4590-8090-5A31386FF3A7}"/>
</file>

<file path=customXml/itemProps2.xml><?xml version="1.0" encoding="utf-8"?>
<ds:datastoreItem xmlns:ds="http://schemas.openxmlformats.org/officeDocument/2006/customXml" ds:itemID="{80121795-0E42-4B2C-8057-0B01CC7A4DEF}"/>
</file>

<file path=customXml/itemProps3.xml><?xml version="1.0" encoding="utf-8"?>
<ds:datastoreItem xmlns:ds="http://schemas.openxmlformats.org/officeDocument/2006/customXml" ds:itemID="{2E0858E4-4F5E-47DC-A74F-DCAF702DBFBE}"/>
</file>

<file path=docProps/app.xml><?xml version="1.0" encoding="utf-8"?>
<Properties xmlns="http://schemas.openxmlformats.org/officeDocument/2006/extended-properties" xmlns:vt="http://schemas.openxmlformats.org/officeDocument/2006/docPropsVTypes">
  <Template>Normal.dotm</Template>
  <TotalTime>2</TotalTime>
  <Pages>5</Pages>
  <Words>1569</Words>
  <Characters>8947</Characters>
  <Application>Microsoft Office Word</Application>
  <DocSecurity>0</DocSecurity>
  <Lines>74</Lines>
  <Paragraphs>20</Paragraphs>
  <ScaleCrop>false</ScaleCrop>
  <Company/>
  <LinksUpToDate>false</LinksUpToDate>
  <CharactersWithSpaces>10496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2026-09-04T05:37:00Z</dcterms:created>
  <dcterms:modified xsi:type="dcterms:W3CDTF">2026-09-04T05:39:00Z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