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F7E7D" w14:textId="31020E31" w:rsidR="0023679E" w:rsidRDefault="00477664">
      <w:pPr>
        <w:rPr>
          <w:b/>
          <w:bCs/>
        </w:rPr>
      </w:pPr>
      <w:proofErr w:type="spellStart"/>
      <w:r w:rsidRPr="00477664">
        <w:rPr>
          <w:b/>
          <w:bCs/>
        </w:rPr>
        <w:t>Dialoge</w:t>
      </w:r>
      <w:proofErr w:type="spellEnd"/>
      <w:r w:rsidRPr="00477664">
        <w:rPr>
          <w:b/>
          <w:bCs/>
        </w:rPr>
        <w:t xml:space="preserve"> in Growth: The Relational Justice Project</w:t>
      </w:r>
    </w:p>
    <w:p w14:paraId="601642DF" w14:textId="4E8935EA" w:rsidR="00477664" w:rsidRDefault="00477664">
      <w:pPr>
        <w:rPr>
          <w:b/>
          <w:bCs/>
        </w:rPr>
      </w:pPr>
      <w:r w:rsidRPr="00477664">
        <w:rPr>
          <w:b/>
          <w:bCs/>
        </w:rPr>
        <w:t>Feedback for Priority Area 1: Victim-survivors</w:t>
      </w:r>
    </w:p>
    <w:p w14:paraId="16CFB6CD" w14:textId="1C6C5D5D" w:rsidR="00477664" w:rsidRDefault="00477664" w:rsidP="00477664">
      <w:r>
        <w:t>Principles applied. Relational harm is real harm; evidence requires equity and integrity; institutions must be accountable for avoidable relational harm.</w:t>
      </w:r>
    </w:p>
    <w:p w14:paraId="7A6C4881" w14:textId="044679FA" w:rsidR="00477664" w:rsidRDefault="00477664" w:rsidP="00477664">
      <w:r>
        <w:t>Victim-survivor support should be available according to experienced harm and need, not restricted by a gendered identity template or victim-perpetrator binary. Services should retain specialist responses to the gendered and lethal forms of violence identified in population evidence while ensuring that men, children, LGBTIQA+ people and others whose experience does not fit the dominant narrative can obtain recognition, safety and recovery support.</w:t>
      </w:r>
    </w:p>
    <w:p w14:paraId="63B336E9" w14:textId="77777777" w:rsidR="00477664" w:rsidRDefault="00477664" w:rsidP="00477664">
      <w:r>
        <w:t>High-risk cross-jurisdictional matters should have a designated implementation lead, an accessible evidence-correction process and fixed-time review of decisions that substantially alter care or family relationships. High risk includes threats to physical or psychological safety and serious risks of avoidable relationship rupture. Both require end-to-end case management, implementation tracking and outcome measurement.</w:t>
      </w:r>
    </w:p>
    <w:p w14:paraId="73D458D4" w14:textId="62F0E95A" w:rsidR="00477664" w:rsidRPr="00477664" w:rsidRDefault="00477664" w:rsidP="00477664">
      <w:pPr>
        <w:rPr>
          <w:b/>
          <w:bCs/>
        </w:rPr>
      </w:pPr>
      <w:r w:rsidRPr="00477664">
        <w:rPr>
          <w:b/>
          <w:bCs/>
        </w:rPr>
        <w:t>Feedback for Priority Area 2: Prevention and early intervention</w:t>
      </w:r>
    </w:p>
    <w:p w14:paraId="08C9FBD3" w14:textId="4F351B4E" w:rsidR="00477664" w:rsidRDefault="00477664" w:rsidP="00477664">
      <w:r>
        <w:t>Principles applied. Family relationships are social infrastructure; relational harm is real harm; evidence requires equity and integrity.</w:t>
      </w:r>
    </w:p>
    <w:p w14:paraId="56345811" w14:textId="43655FFE" w:rsidR="00477664" w:rsidRDefault="00477664" w:rsidP="00477664">
      <w:r>
        <w:t>Primary prevention should address gendered attitudes where evidence supports that focus, but it should not define relational violence through gender alone. Relational literacy should teach how power is exercised through fear, dependency, money, sex, technology, institutions, children and control of valued relationships.</w:t>
      </w:r>
    </w:p>
    <w:p w14:paraId="759C5826" w14:textId="77777777" w:rsidR="00477664" w:rsidRDefault="00477664" w:rsidP="00477664">
      <w:r>
        <w:t>Early triage should identify immediate danger, patterns of coercion, alienating conduct, systems abuse, risks created by delay, relationships requiring protection and information requiring urgent verification. It should direct a matter to an intervention proportionate to assessed conduct and risk rather than to the institution first approached.</w:t>
      </w:r>
    </w:p>
    <w:p w14:paraId="21D7D91A" w14:textId="3A68C41E" w:rsidR="00477664" w:rsidRPr="00477664" w:rsidRDefault="00477664" w:rsidP="00477664">
      <w:pPr>
        <w:rPr>
          <w:b/>
          <w:bCs/>
        </w:rPr>
      </w:pPr>
      <w:r w:rsidRPr="00477664">
        <w:rPr>
          <w:b/>
          <w:bCs/>
        </w:rPr>
        <w:t>Feedback for Priority Area 3: Children and young people in their own right</w:t>
      </w:r>
    </w:p>
    <w:p w14:paraId="3755D48B" w14:textId="603898CD" w:rsidR="00477664" w:rsidRDefault="00477664" w:rsidP="00477664">
      <w:r>
        <w:t>Principles applied. Family relationships are social infrastructure; relational harm is real harm; evidence requires equity and integrity.</w:t>
      </w:r>
    </w:p>
    <w:p w14:paraId="737E6E7D" w14:textId="764ACB82" w:rsidR="00477664" w:rsidRDefault="00477664" w:rsidP="00477664">
      <w:r>
        <w:t>Primary prevention should address gendered attitudes where evidence supports that focus, but it should not define relational violence through gender alone. Relational literacy should teach how power is exercised through fear, dependency, money, sex, technology, institutions, children and control of valued relationships.</w:t>
      </w:r>
    </w:p>
    <w:p w14:paraId="2C88CFFA" w14:textId="77777777" w:rsidR="00477664" w:rsidRDefault="00477664" w:rsidP="00477664">
      <w:r>
        <w:lastRenderedPageBreak/>
        <w:t>Early triage should identify immediate danger, patterns of coercion, alienating conduct, systems abuse, risks created by delay, relationships requiring protection and information requiring urgent verification. It should direct a matter to an intervention proportionate to assessed conduct and risk rather than to the institution first approached.</w:t>
      </w:r>
    </w:p>
    <w:p w14:paraId="5C48CA8D" w14:textId="592AD800" w:rsidR="00477664" w:rsidRPr="00477664" w:rsidRDefault="00477664" w:rsidP="00477664">
      <w:pPr>
        <w:rPr>
          <w:b/>
          <w:bCs/>
        </w:rPr>
      </w:pPr>
      <w:r w:rsidRPr="00477664">
        <w:rPr>
          <w:b/>
          <w:bCs/>
        </w:rPr>
        <w:t>Feedback for Priority Area 4: People who use violence</w:t>
      </w:r>
    </w:p>
    <w:p w14:paraId="54619896" w14:textId="179F7B45" w:rsidR="00477664" w:rsidRDefault="00477664" w:rsidP="00477664">
      <w:r>
        <w:t>Principles applied. Relational harm is real harm; evidence requires equity and integrity.</w:t>
      </w:r>
    </w:p>
    <w:p w14:paraId="6BF1A288" w14:textId="5BAD65D8" w:rsidR="00477664" w:rsidRDefault="00477664" w:rsidP="00477664">
      <w:r>
        <w:t>The Plan should stop using men and people who use violence as near-synonyms. Behaviour-change responses should remain available and accountable for men, but women who use violence, coercive control, systems abuse or alienating conduct must also be identified and offered or required to undertake appropriate intervention.</w:t>
      </w:r>
    </w:p>
    <w:p w14:paraId="3EB46512" w14:textId="77777777" w:rsidR="00477664" w:rsidRDefault="00477664" w:rsidP="00477664">
      <w:r>
        <w:t>Conduct-based assessment strengthens accountability because it prevents gender, procedural position, allegation or distress from operating as proof or exemption. It also gives men a credible place in prevention: not as a collectively accused class, but as participants responsible for their own conduct and capable of supporting relational change.</w:t>
      </w:r>
    </w:p>
    <w:p w14:paraId="01002378" w14:textId="2B436991" w:rsidR="00477664" w:rsidRPr="00477664" w:rsidRDefault="00477664" w:rsidP="00477664">
      <w:pPr>
        <w:rPr>
          <w:b/>
          <w:bCs/>
        </w:rPr>
      </w:pPr>
      <w:r w:rsidRPr="00477664">
        <w:rPr>
          <w:b/>
          <w:bCs/>
        </w:rPr>
        <w:t>Feedback for Priority Area 5: System Integration and Workforce</w:t>
      </w:r>
    </w:p>
    <w:p w14:paraId="6A1FCDE8" w14:textId="5435A3A3" w:rsidR="00477664" w:rsidRDefault="00477664" w:rsidP="00477664">
      <w:r>
        <w:t>Principles applied. Evidence requires equity and integrity; institutions must be accountable for avoidable relational harm.</w:t>
      </w:r>
    </w:p>
    <w:p w14:paraId="4DD7E9C9" w14:textId="28D37464" w:rsidR="00477664" w:rsidRDefault="00477664" w:rsidP="00477664">
      <w:r>
        <w:t>Integrated systems require a common discipline, not a single institutional narrative. Shared information must retain its source and evidentiary status. Workforces should be trained to recognise gendered and non-gendered patterns without stereotyping individual cases; assess domestic-violence coercion and parental alienation without predetermined credibility; distinguish justified estrangement from coercive interference; and consider the relational consequences of action, inaction and delay.</w:t>
      </w:r>
    </w:p>
    <w:p w14:paraId="39B63909" w14:textId="77777777" w:rsidR="00477664" w:rsidRDefault="00477664" w:rsidP="00477664">
      <w:r>
        <w:t>Information sharing should lead to an owned implementation and review plan. Shared jurisdiction should not mean unowned responsibility.</w:t>
      </w:r>
    </w:p>
    <w:p w14:paraId="6949B379" w14:textId="56CBD006" w:rsidR="00477664" w:rsidRPr="00477664" w:rsidRDefault="00477664" w:rsidP="00477664">
      <w:pPr>
        <w:rPr>
          <w:b/>
          <w:bCs/>
        </w:rPr>
      </w:pPr>
      <w:r w:rsidRPr="00477664">
        <w:rPr>
          <w:b/>
          <w:bCs/>
        </w:rPr>
        <w:t>Are there any other actions you think should be a priority to stop family, domestic and sexual violence?</w:t>
      </w:r>
    </w:p>
    <w:p w14:paraId="6F30A653" w14:textId="1EB6E3B1" w:rsidR="00477664" w:rsidRDefault="00477664" w:rsidP="00477664">
      <w:r>
        <w:t>Relational justice is not another service stream within the consultation's existing framework. It is a different organising principle for the exercise of public power, individual responsibility, and accountability for family relationships. It holds individual responsibility and institutional accountability together. Its governing rule is to secure safety through the least relationally disruptive effective intervention, while keeping institutions responsible for implementation, review and foreseeable consequences.</w:t>
      </w:r>
    </w:p>
    <w:p w14:paraId="3869A3FB" w14:textId="77777777" w:rsidR="00477664" w:rsidRDefault="00477664" w:rsidP="00477664"/>
    <w:p w14:paraId="5E7A77AE" w14:textId="63F86320" w:rsidR="00477664" w:rsidRDefault="00477664" w:rsidP="00477664">
      <w:r>
        <w:lastRenderedPageBreak/>
        <w:t>These principles apply directly to violence and abuse against women and children. They address the institutional-accountability gap that arises when a person encounters several agencies, but no agency remains responsible for the combined response or its consequences.</w:t>
      </w:r>
    </w:p>
    <w:p w14:paraId="1B4E2DE6" w14:textId="77777777" w:rsidR="00477664" w:rsidRDefault="00477664" w:rsidP="00477664">
      <w:r>
        <w:t>1. Family relationships are social infrastructure</w:t>
      </w:r>
    </w:p>
    <w:p w14:paraId="35EADB8E" w14:textId="4AFFA083" w:rsidR="00477664" w:rsidRDefault="00477664" w:rsidP="00477664">
      <w:r>
        <w:t>Safe and meaningful family relationships are not merely private interests. They support care, identity, belonging and social cohesion.</w:t>
      </w:r>
    </w:p>
    <w:p w14:paraId="0DF59BAC" w14:textId="77777777" w:rsidR="00477664" w:rsidRDefault="00477664" w:rsidP="00477664">
      <w:r>
        <w:t>Policy consequence. Substantial state disruption of a beneficial family relationship requires evidence, reasons, proportionality and review.</w:t>
      </w:r>
    </w:p>
    <w:p w14:paraId="2261DB18" w14:textId="77777777" w:rsidR="00477664" w:rsidRDefault="00477664" w:rsidP="00477664">
      <w:r>
        <w:t>2. Family relationships retain continuity across family configurations</w:t>
      </w:r>
    </w:p>
    <w:p w14:paraId="02130D91" w14:textId="4BBD8BEB" w:rsidR="00477664" w:rsidRDefault="00477664" w:rsidP="00477664">
      <w:r>
        <w:t>Separation and family restructuring change family arrangements, but do not automatically extinguish the significance of existing relationships. Relationships may require protection, adaptation, staged repair, indirect preservation or, where unacceptable risk exists, cessation.</w:t>
      </w:r>
    </w:p>
    <w:p w14:paraId="2FFC297A" w14:textId="77777777" w:rsidR="00477664" w:rsidRDefault="00477664" w:rsidP="00477664">
      <w:r>
        <w:t>Policy consequence. Separation changes the form of family relationships but does not, without evidence of unacceptable risk, make them disposable.</w:t>
      </w:r>
    </w:p>
    <w:p w14:paraId="77CFF0D4" w14:textId="77777777" w:rsidR="00477664" w:rsidRDefault="00477664" w:rsidP="00477664">
      <w:r>
        <w:t>3. Relational harm is real harm</w:t>
      </w:r>
    </w:p>
    <w:p w14:paraId="4785A605" w14:textId="41AD9767" w:rsidR="00477664" w:rsidRDefault="00477664" w:rsidP="00477664">
      <w:r>
        <w:t>Violence, coercive control, intimidation, manipulation of relationships, unjustified severance, institutional delay, procedural exclusion and the use of legal or administrative processes as instruments of harm can damage identity, belonging, memory, continuity and intergenerational connection. These harms are not identical in prevalence, severity or consequence; each must nevertheless be visible and assessable.</w:t>
      </w:r>
    </w:p>
    <w:p w14:paraId="6D3EE75A" w14:textId="77777777" w:rsidR="00477664" w:rsidRDefault="00477664" w:rsidP="00477664">
      <w:r>
        <w:t>Policy consequence. Assessment must consider violence and coercion as well as avoidable severance, manipulation of relationships, process abuse, institutional delay and procedural exclusion.</w:t>
      </w:r>
    </w:p>
    <w:p w14:paraId="213E6A39" w14:textId="77777777" w:rsidR="00477664" w:rsidRDefault="00477664" w:rsidP="00477664">
      <w:r>
        <w:t>4. Evidence requires equity and integrity</w:t>
      </w:r>
    </w:p>
    <w:p w14:paraId="5FAF80CF" w14:textId="3B962CE0" w:rsidR="00477664" w:rsidRDefault="00477664" w:rsidP="00477664">
      <w:r>
        <w:t>Conduct, context and consequences—not labels—should guide decisions. Claims of domestic violence, coercive control, parental alienation and other relational harms must be assessed impartially, using evidentiary standards appropriate to the conduct alleged and applied consistently.</w:t>
      </w:r>
    </w:p>
    <w:p w14:paraId="6AED7D4F" w14:textId="77777777" w:rsidR="00477664" w:rsidRDefault="00477664" w:rsidP="00477664">
      <w:r>
        <w:t xml:space="preserve">Policy consequence. Material claims must carry source attribution and evidentiary status, remain contestable and be capable of correction </w:t>
      </w:r>
      <w:proofErr w:type="gramStart"/>
      <w:r>
        <w:t>where</w:t>
      </w:r>
      <w:proofErr w:type="gramEnd"/>
      <w:r>
        <w:t xml:space="preserve"> inaccurate.</w:t>
      </w:r>
    </w:p>
    <w:p w14:paraId="33ED200F" w14:textId="77777777" w:rsidR="00477664" w:rsidRDefault="00477664" w:rsidP="00477664">
      <w:r>
        <w:t>5. Institutions must be accountable for avoidable relational harm</w:t>
      </w:r>
    </w:p>
    <w:p w14:paraId="60C23874" w14:textId="0B445AC8" w:rsidR="00477664" w:rsidRDefault="00477664" w:rsidP="00477664">
      <w:r>
        <w:lastRenderedPageBreak/>
        <w:t>Courts, police, child-protection authorities and services alter family relationships through decisions, omissions, delays and enforcement practices. Relational power carries relational responsibility.</w:t>
      </w:r>
    </w:p>
    <w:p w14:paraId="18F937D6" w14:textId="15FCA0B8" w:rsidR="00477664" w:rsidRPr="00477664" w:rsidRDefault="00477664" w:rsidP="00477664">
      <w:r>
        <w:t>Policy consequence. An institution making or supervising a decision that alters family relationships must identify responsibility for implementation, enforcement, review and response to foreseeable consequences."</w:t>
      </w:r>
    </w:p>
    <w:sectPr w:rsidR="00477664" w:rsidRPr="004776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664"/>
    <w:rsid w:val="00022A23"/>
    <w:rsid w:val="0023679E"/>
    <w:rsid w:val="00477664"/>
    <w:rsid w:val="00B224E2"/>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B6BE"/>
  <w15:chartTrackingRefBased/>
  <w15:docId w15:val="{2C5A1BC4-EB6C-4FF1-8934-1F1AB109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664"/>
    <w:rPr>
      <w:rFonts w:eastAsiaTheme="majorEastAsia" w:cstheme="majorBidi"/>
      <w:color w:val="272727" w:themeColor="text1" w:themeTint="D8"/>
    </w:rPr>
  </w:style>
  <w:style w:type="paragraph" w:styleId="Title">
    <w:name w:val="Title"/>
    <w:basedOn w:val="Normal"/>
    <w:next w:val="Normal"/>
    <w:link w:val="TitleChar"/>
    <w:uiPriority w:val="10"/>
    <w:qFormat/>
    <w:rsid w:val="00477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664"/>
    <w:pPr>
      <w:spacing w:before="160"/>
      <w:jc w:val="center"/>
    </w:pPr>
    <w:rPr>
      <w:i/>
      <w:iCs/>
      <w:color w:val="404040" w:themeColor="text1" w:themeTint="BF"/>
    </w:rPr>
  </w:style>
  <w:style w:type="character" w:customStyle="1" w:styleId="QuoteChar">
    <w:name w:val="Quote Char"/>
    <w:basedOn w:val="DefaultParagraphFont"/>
    <w:link w:val="Quote"/>
    <w:uiPriority w:val="29"/>
    <w:rsid w:val="00477664"/>
    <w:rPr>
      <w:i/>
      <w:iCs/>
      <w:color w:val="404040" w:themeColor="text1" w:themeTint="BF"/>
    </w:rPr>
  </w:style>
  <w:style w:type="paragraph" w:styleId="ListParagraph">
    <w:name w:val="List Paragraph"/>
    <w:basedOn w:val="Normal"/>
    <w:uiPriority w:val="34"/>
    <w:qFormat/>
    <w:rsid w:val="00477664"/>
    <w:pPr>
      <w:ind w:left="720"/>
      <w:contextualSpacing/>
    </w:pPr>
  </w:style>
  <w:style w:type="character" w:styleId="IntenseEmphasis">
    <w:name w:val="Intense Emphasis"/>
    <w:basedOn w:val="DefaultParagraphFont"/>
    <w:uiPriority w:val="21"/>
    <w:qFormat/>
    <w:rsid w:val="00477664"/>
    <w:rPr>
      <w:i/>
      <w:iCs/>
      <w:color w:val="0F4761" w:themeColor="accent1" w:themeShade="BF"/>
    </w:rPr>
  </w:style>
  <w:style w:type="paragraph" w:styleId="IntenseQuote">
    <w:name w:val="Intense Quote"/>
    <w:basedOn w:val="Normal"/>
    <w:next w:val="Normal"/>
    <w:link w:val="IntenseQuoteChar"/>
    <w:uiPriority w:val="30"/>
    <w:qFormat/>
    <w:rsid w:val="00477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664"/>
    <w:rPr>
      <w:i/>
      <w:iCs/>
      <w:color w:val="0F4761" w:themeColor="accent1" w:themeShade="BF"/>
    </w:rPr>
  </w:style>
  <w:style w:type="character" w:styleId="IntenseReference">
    <w:name w:val="Intense Reference"/>
    <w:basedOn w:val="DefaultParagraphFont"/>
    <w:uiPriority w:val="32"/>
    <w:qFormat/>
    <w:rsid w:val="004776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8E396C-8F6E-472A-AD46-5172AA7F9CFF}"/>
</file>

<file path=customXml/itemProps2.xml><?xml version="1.0" encoding="utf-8"?>
<ds:datastoreItem xmlns:ds="http://schemas.openxmlformats.org/officeDocument/2006/customXml" ds:itemID="{721BDA43-2E25-4CC4-BDDC-47AB57FBAD2F}"/>
</file>

<file path=customXml/itemProps3.xml><?xml version="1.0" encoding="utf-8"?>
<ds:datastoreItem xmlns:ds="http://schemas.openxmlformats.org/officeDocument/2006/customXml" ds:itemID="{F94562AA-3B55-444C-9B19-5B7084F806CE}"/>
</file>

<file path=docProps/app.xml><?xml version="1.0" encoding="utf-8"?>
<Properties xmlns="http://schemas.openxmlformats.org/officeDocument/2006/extended-properties" xmlns:vt="http://schemas.openxmlformats.org/officeDocument/2006/docPropsVTypes">
  <Template>Normal.dotm</Template>
  <TotalTime>3</TotalTime>
  <Pages>4</Pages>
  <Words>1167</Words>
  <Characters>6658</Characters>
  <Application>Microsoft Office Word</Application>
  <DocSecurity>0</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2026-09-04T01:09:00Z</dcterms:created>
  <dcterms:modified xsi:type="dcterms:W3CDTF">2026-09-04T01:12:00Z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