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B67887" w14:textId="77777777" w:rsidR="002A6700" w:rsidRDefault="00F55323">
      <w:pPr>
        <w:pBdr>
          <w:bottom w:val="single" w:sz="18" w:space="10" w:color="FBB033"/>
        </w:pBdr>
        <w:spacing w:after="200"/>
      </w:pPr>
      <w:r>
        <w:rPr>
          <w:noProof/>
        </w:rPr>
        <w:drawing>
          <wp:inline distT="0" distB="0" distL="0" distR="0" wp14:anchorId="3D0594BA" wp14:editId="1A2769C8">
            <wp:extent cx="1466850" cy="6858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
                    <a:srcRect/>
                    <a:stretch>
                      <a:fillRect/>
                    </a:stretch>
                  </pic:blipFill>
                  <pic:spPr bwMode="auto">
                    <a:xfrm>
                      <a:off x="0" y="0"/>
                      <a:ext cx="1466850" cy="685800"/>
                    </a:xfrm>
                    <a:prstGeom prst="rect">
                      <a:avLst/>
                    </a:prstGeom>
                  </pic:spPr>
                </pic:pic>
              </a:graphicData>
            </a:graphic>
          </wp:inline>
        </w:drawing>
      </w:r>
    </w:p>
    <w:p w14:paraId="193AAC49" w14:textId="77777777" w:rsidR="002A6700" w:rsidRDefault="00F55323">
      <w:pPr>
        <w:spacing w:before="240" w:after="40"/>
      </w:pPr>
      <w:r>
        <w:rPr>
          <w:b/>
          <w:bCs/>
          <w:color w:val="5A4099"/>
          <w:sz w:val="40"/>
          <w:szCs w:val="40"/>
        </w:rPr>
        <w:t>Submission to the Second Action Plan Consultation</w:t>
      </w:r>
    </w:p>
    <w:p w14:paraId="7AF02CCE" w14:textId="77777777" w:rsidR="002A6700" w:rsidRDefault="00F55323">
      <w:pPr>
        <w:spacing w:after="40"/>
      </w:pPr>
      <w:r>
        <w:rPr>
          <w:i/>
          <w:iCs/>
          <w:color w:val="3A3A3A"/>
          <w:sz w:val="24"/>
          <w:szCs w:val="24"/>
        </w:rPr>
        <w:t>National Plan to End Violence against Women and Children 2022–2032</w:t>
      </w:r>
    </w:p>
    <w:p w14:paraId="6AF3D531" w14:textId="77777777" w:rsidR="002A6700" w:rsidRDefault="00F55323">
      <w:pPr>
        <w:spacing w:after="300"/>
      </w:pPr>
      <w:r>
        <w:rPr>
          <w:color w:val="3A3A3A"/>
          <w:sz w:val="22"/>
          <w:szCs w:val="22"/>
        </w:rPr>
        <w:t>Prepared by Goldfields Women's Refuge Inc. (GWR) — Kalgoorlie-Boulder, Western Australia</w:t>
      </w:r>
    </w:p>
    <w:p w14:paraId="2746AA78" w14:textId="77777777" w:rsidR="002A6700" w:rsidRDefault="00F55323">
      <w:pPr>
        <w:pStyle w:val="Heading1"/>
        <w:pBdr>
          <w:bottom w:val="single" w:sz="6" w:space="4" w:color="FBB033"/>
        </w:pBdr>
        <w:spacing w:before="360" w:after="160"/>
      </w:pPr>
      <w:r>
        <w:rPr>
          <w:b/>
          <w:bCs/>
          <w:color w:val="5A4099"/>
          <w:sz w:val="28"/>
          <w:szCs w:val="28"/>
        </w:rPr>
        <w:t>About Goldfields Women's Refuge Inc.</w:t>
      </w:r>
    </w:p>
    <w:p w14:paraId="5D068633" w14:textId="77777777" w:rsidR="002A6700" w:rsidRDefault="00F55323">
      <w:pPr>
        <w:spacing w:after="160" w:line="276" w:lineRule="auto"/>
      </w:pPr>
      <w:r>
        <w:rPr>
          <w:color w:val="3A3A3A"/>
          <w:sz w:val="22"/>
          <w:szCs w:val="22"/>
        </w:rPr>
        <w:t>Goldfields Women's Refuge Inc. (GWR) has provided specialist family and domestic violence (FDV) services to the Kalgoorlie-Boulder region and broader Goldfields-Esperance since 1979. GWR operates Finlayson House (crisis accommodation), Lesley Grill House and transitional housing, Safe at Home, Community Outreach, Safe on Country, and Monica's Place (a social enterprise op shop). This submission draws on GWR's frontline experience delivering FDV services in a large, geographically remote region with a significant Aboriginal and Torres Strait Islander population, and reflects on the evidence and priority areas set out in ANROWS' consultation paper, Evidence to action: informing direction for the Second Action Plan (May 2026).</w:t>
      </w:r>
    </w:p>
    <w:p w14:paraId="5E572CBD" w14:textId="77777777" w:rsidR="002A6700" w:rsidRDefault="00F55323">
      <w:pPr>
        <w:spacing w:after="160" w:line="276" w:lineRule="auto"/>
      </w:pPr>
      <w:r>
        <w:rPr>
          <w:color w:val="3A3A3A"/>
          <w:sz w:val="22"/>
          <w:szCs w:val="22"/>
        </w:rPr>
        <w:t>GWR welcomes the opportunity to contribute to the Second Action Plan and offers the following observations and recommendations, organised against the five proposed priority areas, with particular attention to the issues of regional and remote service delivery, First Nations safety, children and young people, and workforce sustainability that are central to GWR's day-to-day practice.</w:t>
      </w:r>
    </w:p>
    <w:p w14:paraId="515C432C" w14:textId="77777777" w:rsidR="002A6700" w:rsidRDefault="00F55323">
      <w:pPr>
        <w:pStyle w:val="Heading1"/>
        <w:pBdr>
          <w:bottom w:val="single" w:sz="6" w:space="4" w:color="FBB033"/>
        </w:pBdr>
        <w:spacing w:before="360" w:after="160"/>
      </w:pPr>
      <w:r>
        <w:rPr>
          <w:b/>
          <w:bCs/>
          <w:color w:val="5A4099"/>
          <w:sz w:val="28"/>
          <w:szCs w:val="28"/>
        </w:rPr>
        <w:t>Priority Area 1: Victim-Survivors</w:t>
      </w:r>
    </w:p>
    <w:p w14:paraId="5B89DA21" w14:textId="77777777" w:rsidR="002A6700" w:rsidRDefault="00F55323">
      <w:pPr>
        <w:spacing w:after="160" w:line="276" w:lineRule="auto"/>
      </w:pPr>
      <w:r>
        <w:rPr>
          <w:color w:val="3A3A3A"/>
          <w:sz w:val="22"/>
          <w:szCs w:val="22"/>
        </w:rPr>
        <w:t>The Consultation Paper acknowledges that national prevalence data does not adequately capture the experiences of people in very remote areas, and that tailored research and monitoring approaches are needed for these populations. This is directly relevant to the Goldfields, where service data, rather than population survey data, is often the only available evidence of local need.</w:t>
      </w:r>
    </w:p>
    <w:p w14:paraId="52821A73" w14:textId="77777777" w:rsidR="002A6700" w:rsidRDefault="00F55323">
      <w:pPr>
        <w:spacing w:before="200" w:after="80"/>
      </w:pPr>
      <w:r>
        <w:rPr>
          <w:b/>
          <w:bCs/>
          <w:i/>
          <w:iCs/>
          <w:color w:val="5A4099"/>
          <w:sz w:val="22"/>
          <w:szCs w:val="22"/>
        </w:rPr>
        <w:t>GWR observations</w:t>
      </w:r>
    </w:p>
    <w:p w14:paraId="643D8E48" w14:textId="77777777" w:rsidR="002A6700" w:rsidRDefault="00F55323">
      <w:pPr>
        <w:pStyle w:val="ListParagraph"/>
        <w:numPr>
          <w:ilvl w:val="0"/>
          <w:numId w:val="2"/>
        </w:numPr>
        <w:spacing w:after="100" w:line="276" w:lineRule="auto"/>
      </w:pPr>
      <w:r>
        <w:rPr>
          <w:color w:val="3A3A3A"/>
          <w:sz w:val="22"/>
          <w:szCs w:val="22"/>
        </w:rPr>
        <w:t>Victim-survivors in the Goldfields face compounding barriers not fully reflected in national data: distance from services, housing scarcity, limited crisis accommodation turnover, and reduced access to specialist legal, health and justice responses compared to metropolitan areas.</w:t>
      </w:r>
    </w:p>
    <w:p w14:paraId="28885E90" w14:textId="77777777" w:rsidR="002A6700" w:rsidRDefault="00F55323">
      <w:pPr>
        <w:pStyle w:val="ListParagraph"/>
        <w:numPr>
          <w:ilvl w:val="0"/>
          <w:numId w:val="2"/>
        </w:numPr>
        <w:spacing w:after="100" w:line="276" w:lineRule="auto"/>
      </w:pPr>
      <w:r>
        <w:rPr>
          <w:color w:val="3A3A3A"/>
          <w:sz w:val="22"/>
          <w:szCs w:val="22"/>
        </w:rPr>
        <w:t>Coercive control and technology-facilitated abuse are increasingly present in GWR's casework, consistent with the Paper's finding that these forms of harm remain inconsistently measured and understood nationally.</w:t>
      </w:r>
    </w:p>
    <w:p w14:paraId="12A07E33" w14:textId="77777777" w:rsidR="002A6700" w:rsidRDefault="00F55323">
      <w:pPr>
        <w:pStyle w:val="ListParagraph"/>
        <w:numPr>
          <w:ilvl w:val="0"/>
          <w:numId w:val="2"/>
        </w:numPr>
        <w:spacing w:after="100" w:line="276" w:lineRule="auto"/>
      </w:pPr>
      <w:r>
        <w:rPr>
          <w:color w:val="3A3A3A"/>
          <w:sz w:val="22"/>
          <w:szCs w:val="22"/>
        </w:rPr>
        <w:t>System abuse — including misuse of the Family Court, tenancy and PATS (Patient Assisted Travel Scheme) systems — is a recurring issue for GWR clients and is consistent with the Paper's call to "systematically address systems abuse across sectors."</w:t>
      </w:r>
    </w:p>
    <w:p w14:paraId="321633BC" w14:textId="77777777" w:rsidR="002A6700" w:rsidRDefault="00F55323">
      <w:pPr>
        <w:pStyle w:val="ListParagraph"/>
        <w:numPr>
          <w:ilvl w:val="0"/>
          <w:numId w:val="2"/>
        </w:numPr>
        <w:spacing w:after="100" w:line="276" w:lineRule="auto"/>
      </w:pPr>
      <w:r>
        <w:rPr>
          <w:color w:val="3A3A3A"/>
          <w:sz w:val="22"/>
          <w:szCs w:val="22"/>
        </w:rPr>
        <w:t xml:space="preserve">GWR's direct experience of the decommissioning of a centralised, cross-agency triage and information-sharing portal (spanning police, health and child protection) illustrates a broader systems risk: specialist services are being removed from centralised triage and risk-information processes without co-design or consultation, and without transition planning. The practical effect is that critical risk information — including flags for mental health and substance use held by referring agencies — is no longer reliably available to the specialist service at the point of intake. This directly undermines risk assessment and </w:t>
      </w:r>
      <w:r>
        <w:rPr>
          <w:color w:val="3A3A3A"/>
          <w:sz w:val="22"/>
          <w:szCs w:val="22"/>
        </w:rPr>
        <w:lastRenderedPageBreak/>
        <w:t>safety planning, and forces a shift from a proactive, outreach-based service model to a reactive, intake-only model, with real potential for women who need help to be turned away and women who do not require crisis accommodation to be prioritised in error.</w:t>
      </w:r>
    </w:p>
    <w:p w14:paraId="18CB7889" w14:textId="77777777" w:rsidR="002A6700" w:rsidRDefault="00F55323">
      <w:pPr>
        <w:spacing w:before="200" w:after="80"/>
      </w:pPr>
      <w:r>
        <w:rPr>
          <w:b/>
          <w:bCs/>
          <w:i/>
          <w:iCs/>
          <w:color w:val="5A4099"/>
          <w:sz w:val="22"/>
          <w:szCs w:val="22"/>
        </w:rPr>
        <w:t>GWR recommendations</w:t>
      </w:r>
    </w:p>
    <w:p w14:paraId="50DBCCF3" w14:textId="77777777" w:rsidR="002A6700" w:rsidRDefault="00F55323">
      <w:pPr>
        <w:pStyle w:val="ListParagraph"/>
        <w:numPr>
          <w:ilvl w:val="0"/>
          <w:numId w:val="3"/>
        </w:numPr>
        <w:spacing w:after="100" w:line="276" w:lineRule="auto"/>
      </w:pPr>
      <w:r>
        <w:rPr>
          <w:color w:val="3A3A3A"/>
          <w:sz w:val="22"/>
          <w:szCs w:val="22"/>
        </w:rPr>
        <w:t>Fund dedicated regional and remote data collection mechanisms so that service-level evidence from organisations such as GWR is formally incorporated into national monitoring of the Second Action Plan, addressing the acknowledged gap in survey coverage of remote populations.</w:t>
      </w:r>
    </w:p>
    <w:p w14:paraId="1B52746D" w14:textId="77777777" w:rsidR="002A6700" w:rsidRDefault="00F55323">
      <w:pPr>
        <w:pStyle w:val="ListParagraph"/>
        <w:numPr>
          <w:ilvl w:val="0"/>
          <w:numId w:val="3"/>
        </w:numPr>
        <w:spacing w:after="100" w:line="276" w:lineRule="auto"/>
      </w:pPr>
      <w:r>
        <w:rPr>
          <w:color w:val="3A3A3A"/>
          <w:sz w:val="22"/>
          <w:szCs w:val="22"/>
        </w:rPr>
        <w:t>Resource specialist regional responses to coercive control and technology-facilitated abuse, including training for regional police and court staff.</w:t>
      </w:r>
    </w:p>
    <w:p w14:paraId="45492D86" w14:textId="77777777" w:rsidR="002A6700" w:rsidRDefault="00F55323">
      <w:pPr>
        <w:pStyle w:val="ListParagraph"/>
        <w:numPr>
          <w:ilvl w:val="0"/>
          <w:numId w:val="3"/>
        </w:numPr>
        <w:spacing w:after="100" w:line="276" w:lineRule="auto"/>
      </w:pPr>
      <w:r>
        <w:rPr>
          <w:color w:val="3A3A3A"/>
          <w:sz w:val="22"/>
          <w:szCs w:val="22"/>
        </w:rPr>
        <w:t>Support advocacy pathways that address systems abuse experienced through housing, PATS and family law processes in regional settings.</w:t>
      </w:r>
    </w:p>
    <w:p w14:paraId="236442CD" w14:textId="77777777" w:rsidR="002A6700" w:rsidRDefault="00F55323">
      <w:pPr>
        <w:pStyle w:val="ListParagraph"/>
        <w:numPr>
          <w:ilvl w:val="0"/>
          <w:numId w:val="3"/>
        </w:numPr>
        <w:spacing w:after="100" w:line="276" w:lineRule="auto"/>
      </w:pPr>
      <w:r>
        <w:rPr>
          <w:color w:val="3A3A3A"/>
          <w:sz w:val="22"/>
          <w:szCs w:val="22"/>
        </w:rPr>
        <w:t>Require co-design and formal consultation with specialist FDV services before any centralisation, restructuring or decommissioning of cross-agency triage and information-sharing systems, with mandatory transition planning and continuity of access to critical risk information (including mental health and substance use flags) so that specialist services are not forced into reactive, intake-only models by default.</w:t>
      </w:r>
    </w:p>
    <w:p w14:paraId="58637322" w14:textId="77777777" w:rsidR="002A6700" w:rsidRDefault="00F55323">
      <w:pPr>
        <w:pStyle w:val="Heading2"/>
        <w:spacing w:before="280" w:after="120"/>
      </w:pPr>
      <w:r>
        <w:rPr>
          <w:b/>
          <w:bCs/>
          <w:color w:val="5A4099"/>
          <w:sz w:val="24"/>
          <w:szCs w:val="24"/>
        </w:rPr>
        <w:t>First Nations safety (cross-cutting priority)</w:t>
      </w:r>
    </w:p>
    <w:p w14:paraId="7A44D62F" w14:textId="77777777" w:rsidR="002A6700" w:rsidRDefault="00F55323">
      <w:pPr>
        <w:spacing w:after="160" w:line="276" w:lineRule="auto"/>
      </w:pPr>
      <w:r>
        <w:rPr>
          <w:color w:val="3A3A3A"/>
          <w:sz w:val="22"/>
          <w:szCs w:val="22"/>
        </w:rPr>
        <w:t>The Paper documents that Aboriginal and Torres Strait Islander women are approximately 3% of the adult female population but comprise an average of 16% of adult female homicide victims annually since 1989–90, and are hospitalised for assault-related injuries at 32 times the rate of non-Indigenous women. It also finds that policing responses to Aboriginal and Torres Strait Islander women are frequently inadequate, and that non-Indigenous men are a significant source of violence against Aboriginal women. These findings are highly consistent with GWR's experience delivering Safe on Country.</w:t>
      </w:r>
    </w:p>
    <w:p w14:paraId="3DD9CC6D" w14:textId="77777777" w:rsidR="002A6700" w:rsidRDefault="00F55323">
      <w:pPr>
        <w:spacing w:before="200" w:after="80"/>
      </w:pPr>
      <w:r>
        <w:rPr>
          <w:b/>
          <w:bCs/>
          <w:i/>
          <w:iCs/>
          <w:color w:val="5A4099"/>
          <w:sz w:val="22"/>
          <w:szCs w:val="22"/>
        </w:rPr>
        <w:t>GWR recommendations</w:t>
      </w:r>
    </w:p>
    <w:p w14:paraId="6784351B" w14:textId="77777777" w:rsidR="002A6700" w:rsidRDefault="00F55323">
      <w:pPr>
        <w:pStyle w:val="ListParagraph"/>
        <w:numPr>
          <w:ilvl w:val="0"/>
          <w:numId w:val="3"/>
        </w:numPr>
        <w:spacing w:after="100" w:line="276" w:lineRule="auto"/>
      </w:pPr>
      <w:r>
        <w:rPr>
          <w:color w:val="3A3A3A"/>
          <w:sz w:val="22"/>
          <w:szCs w:val="22"/>
        </w:rPr>
        <w:t>Recognise and resource Aboriginal Community Controlled and community-led programs, such as Safe on Country, as core rather than supplementary elements of the regional service system, consistent with the Paper's call to scale culturally safe, self-determined responses.</w:t>
      </w:r>
    </w:p>
    <w:p w14:paraId="55F63FE6" w14:textId="77777777" w:rsidR="002A6700" w:rsidRDefault="00F55323">
      <w:pPr>
        <w:pStyle w:val="ListParagraph"/>
        <w:numPr>
          <w:ilvl w:val="0"/>
          <w:numId w:val="3"/>
        </w:numPr>
        <w:spacing w:after="100" w:line="276" w:lineRule="auto"/>
      </w:pPr>
      <w:r>
        <w:rPr>
          <w:color w:val="3A3A3A"/>
          <w:sz w:val="22"/>
          <w:szCs w:val="22"/>
        </w:rPr>
        <w:t>Invest in structured partnerships between specialist FDV services and WA Police in regional centres to address documented failures in police response to Aboriginal and Torres Strait Islander women.</w:t>
      </w:r>
    </w:p>
    <w:p w14:paraId="62FE3464" w14:textId="77777777" w:rsidR="002A6700" w:rsidRDefault="00F55323">
      <w:pPr>
        <w:pStyle w:val="ListParagraph"/>
        <w:numPr>
          <w:ilvl w:val="0"/>
          <w:numId w:val="3"/>
        </w:numPr>
        <w:spacing w:after="100" w:line="276" w:lineRule="auto"/>
      </w:pPr>
      <w:r>
        <w:rPr>
          <w:color w:val="3A3A3A"/>
          <w:sz w:val="22"/>
          <w:szCs w:val="22"/>
        </w:rPr>
        <w:t>Ensure fear of child removal is explicitly addressed in workforce training and practice guidance, given its documented role in discouraging help-seeking.</w:t>
      </w:r>
    </w:p>
    <w:p w14:paraId="4D2CD85D" w14:textId="77777777" w:rsidR="002A6700" w:rsidRDefault="00F55323">
      <w:pPr>
        <w:pStyle w:val="Heading1"/>
        <w:pBdr>
          <w:bottom w:val="single" w:sz="6" w:space="4" w:color="FBB033"/>
        </w:pBdr>
        <w:spacing w:before="360" w:after="160"/>
      </w:pPr>
      <w:r>
        <w:rPr>
          <w:b/>
          <w:bCs/>
          <w:color w:val="5A4099"/>
          <w:sz w:val="28"/>
          <w:szCs w:val="28"/>
        </w:rPr>
        <w:t>Priority Area 2: Prevention and Early Intervention</w:t>
      </w:r>
    </w:p>
    <w:p w14:paraId="4C75412D" w14:textId="77777777" w:rsidR="002A6700" w:rsidRDefault="00F55323">
      <w:pPr>
        <w:spacing w:after="160" w:line="276" w:lineRule="auto"/>
      </w:pPr>
      <w:r>
        <w:rPr>
          <w:color w:val="3A3A3A"/>
          <w:sz w:val="22"/>
          <w:szCs w:val="22"/>
        </w:rPr>
        <w:t>The Paper notes that most men who use violence never engage with formal behaviour change programs, and that long-term, sustained prevention programs beginning in early childhood are more effective than one-off awareness campaigns, which can produce backlash effects.</w:t>
      </w:r>
    </w:p>
    <w:p w14:paraId="49522993" w14:textId="77777777" w:rsidR="002A6700" w:rsidRDefault="00F55323">
      <w:pPr>
        <w:spacing w:before="200" w:after="80"/>
      </w:pPr>
      <w:r>
        <w:rPr>
          <w:b/>
          <w:bCs/>
          <w:i/>
          <w:iCs/>
          <w:color w:val="5A4099"/>
          <w:sz w:val="22"/>
          <w:szCs w:val="22"/>
        </w:rPr>
        <w:t>GWR observations</w:t>
      </w:r>
    </w:p>
    <w:p w14:paraId="7011B827" w14:textId="77777777" w:rsidR="002A6700" w:rsidRDefault="00F55323">
      <w:pPr>
        <w:pStyle w:val="ListParagraph"/>
        <w:numPr>
          <w:ilvl w:val="0"/>
          <w:numId w:val="2"/>
        </w:numPr>
        <w:spacing w:after="100" w:line="276" w:lineRule="auto"/>
      </w:pPr>
      <w:r>
        <w:rPr>
          <w:color w:val="3A3A3A"/>
          <w:sz w:val="22"/>
          <w:szCs w:val="22"/>
        </w:rPr>
        <w:t>Regional areas such as the Goldfields have limited access to men's behaviour change programs and early intervention pathways outside the justice system, consistent with the Paper's finding that most people who use violence never reach formal intervention.</w:t>
      </w:r>
    </w:p>
    <w:p w14:paraId="72D2A281" w14:textId="77777777" w:rsidR="002A6700" w:rsidRDefault="00F55323">
      <w:pPr>
        <w:pStyle w:val="ListParagraph"/>
        <w:numPr>
          <w:ilvl w:val="0"/>
          <w:numId w:val="2"/>
        </w:numPr>
        <w:spacing w:after="100" w:line="276" w:lineRule="auto"/>
      </w:pPr>
      <w:r>
        <w:rPr>
          <w:color w:val="3A3A3A"/>
          <w:sz w:val="22"/>
          <w:szCs w:val="22"/>
        </w:rPr>
        <w:t>Structural risk factors identified in the Paper — harmful alcohol and substance use, gambling, and housing insecurity — are prominent and interacting factors in GWR's regional casework.</w:t>
      </w:r>
    </w:p>
    <w:p w14:paraId="15B13643" w14:textId="77777777" w:rsidR="002A6700" w:rsidRDefault="00F55323">
      <w:pPr>
        <w:spacing w:before="200" w:after="80"/>
      </w:pPr>
      <w:r>
        <w:rPr>
          <w:b/>
          <w:bCs/>
          <w:i/>
          <w:iCs/>
          <w:color w:val="5A4099"/>
          <w:sz w:val="22"/>
          <w:szCs w:val="22"/>
        </w:rPr>
        <w:lastRenderedPageBreak/>
        <w:t>GWR recommendations</w:t>
      </w:r>
    </w:p>
    <w:p w14:paraId="4A7B6482" w14:textId="77777777" w:rsidR="002A6700" w:rsidRDefault="00F55323">
      <w:pPr>
        <w:pStyle w:val="ListParagraph"/>
        <w:numPr>
          <w:ilvl w:val="0"/>
          <w:numId w:val="3"/>
        </w:numPr>
        <w:spacing w:after="100" w:line="276" w:lineRule="auto"/>
      </w:pPr>
      <w:r>
        <w:rPr>
          <w:color w:val="3A3A3A"/>
          <w:sz w:val="22"/>
          <w:szCs w:val="22"/>
        </w:rPr>
        <w:t>Fund accessible, regionally based early intervention and behaviour change pathways, including outreach models suited to dispersed regional and remote populations.</w:t>
      </w:r>
    </w:p>
    <w:p w14:paraId="7ACBA398" w14:textId="77777777" w:rsidR="002A6700" w:rsidRDefault="00F55323">
      <w:pPr>
        <w:pStyle w:val="ListParagraph"/>
        <w:numPr>
          <w:ilvl w:val="0"/>
          <w:numId w:val="3"/>
        </w:numPr>
        <w:spacing w:after="100" w:line="276" w:lineRule="auto"/>
      </w:pPr>
      <w:r>
        <w:rPr>
          <w:color w:val="3A3A3A"/>
          <w:sz w:val="22"/>
          <w:szCs w:val="22"/>
        </w:rPr>
        <w:t>Support coordinated regional responses that address alcohol, gambling and housing instability alongside FDV risk, rather than as separate service systems.</w:t>
      </w:r>
    </w:p>
    <w:p w14:paraId="714FEC49" w14:textId="77777777" w:rsidR="002A6700" w:rsidRDefault="00F55323">
      <w:pPr>
        <w:pStyle w:val="Heading1"/>
        <w:pBdr>
          <w:bottom w:val="single" w:sz="6" w:space="4" w:color="FBB033"/>
        </w:pBdr>
        <w:spacing w:before="360" w:after="160"/>
      </w:pPr>
      <w:r>
        <w:rPr>
          <w:b/>
          <w:bCs/>
          <w:color w:val="5A4099"/>
          <w:sz w:val="28"/>
          <w:szCs w:val="28"/>
        </w:rPr>
        <w:t>Priority Area 3: Children and Young People in Their Own Right</w:t>
      </w:r>
    </w:p>
    <w:p w14:paraId="2228A648" w14:textId="77777777" w:rsidR="002A6700" w:rsidRDefault="00F55323">
      <w:pPr>
        <w:spacing w:after="160" w:line="276" w:lineRule="auto"/>
      </w:pPr>
      <w:r>
        <w:rPr>
          <w:color w:val="3A3A3A"/>
          <w:sz w:val="22"/>
          <w:szCs w:val="22"/>
        </w:rPr>
        <w:t>The Paper's finding that 76% of filicide cases occurred in the context of a known history of domestic and family violence, and that children's trauma responses are frequently pathologised or criminalised rather than recognised as responses to violence, reinforces the direction of GWR's own workforce development, including its Children's Support Worker position description and case documentation practice.</w:t>
      </w:r>
    </w:p>
    <w:p w14:paraId="0C7FD214" w14:textId="77777777" w:rsidR="002A6700" w:rsidRDefault="00F55323">
      <w:pPr>
        <w:spacing w:before="200" w:after="80"/>
      </w:pPr>
      <w:r>
        <w:rPr>
          <w:b/>
          <w:bCs/>
          <w:i/>
          <w:iCs/>
          <w:color w:val="5A4099"/>
          <w:sz w:val="22"/>
          <w:szCs w:val="22"/>
        </w:rPr>
        <w:t>GWR recommendations</w:t>
      </w:r>
    </w:p>
    <w:p w14:paraId="1EAB0C67" w14:textId="77777777" w:rsidR="002A6700" w:rsidRDefault="00F55323">
      <w:pPr>
        <w:pStyle w:val="ListParagraph"/>
        <w:numPr>
          <w:ilvl w:val="0"/>
          <w:numId w:val="3"/>
        </w:numPr>
        <w:spacing w:after="100" w:line="276" w:lineRule="auto"/>
      </w:pPr>
      <w:r>
        <w:rPr>
          <w:color w:val="3A3A3A"/>
          <w:sz w:val="22"/>
          <w:szCs w:val="22"/>
        </w:rPr>
        <w:t>Fund dedicated, developmentally appropriate child practitioner roles within regional specialist services, recognising that children are frequently unable to access this support where adult-centric funding models prevail.</w:t>
      </w:r>
    </w:p>
    <w:p w14:paraId="23079BAB" w14:textId="77777777" w:rsidR="002A6700" w:rsidRDefault="00F55323">
      <w:pPr>
        <w:pStyle w:val="ListParagraph"/>
        <w:numPr>
          <w:ilvl w:val="0"/>
          <w:numId w:val="3"/>
        </w:numPr>
        <w:spacing w:after="100" w:line="276" w:lineRule="auto"/>
      </w:pPr>
      <w:r>
        <w:rPr>
          <w:color w:val="3A3A3A"/>
          <w:sz w:val="22"/>
          <w:szCs w:val="22"/>
        </w:rPr>
        <w:t>Support the development of national practice standards for engaging children and young people as victim-survivors in their own right, with regional and remote applicability built in from the outset rather than retrofitted.</w:t>
      </w:r>
    </w:p>
    <w:p w14:paraId="75EBB733" w14:textId="77777777" w:rsidR="002A6700" w:rsidRDefault="00F55323">
      <w:pPr>
        <w:pStyle w:val="Heading1"/>
        <w:pBdr>
          <w:bottom w:val="single" w:sz="6" w:space="4" w:color="FBB033"/>
        </w:pBdr>
        <w:spacing w:before="360" w:after="160"/>
      </w:pPr>
      <w:r>
        <w:rPr>
          <w:b/>
          <w:bCs/>
          <w:color w:val="5A4099"/>
          <w:sz w:val="28"/>
          <w:szCs w:val="28"/>
        </w:rPr>
        <w:t>Priority Area 4: People Who Use Violence</w:t>
      </w:r>
    </w:p>
    <w:p w14:paraId="6EE015B0" w14:textId="77777777" w:rsidR="002A6700" w:rsidRDefault="00F55323">
      <w:pPr>
        <w:spacing w:after="160" w:line="276" w:lineRule="auto"/>
      </w:pPr>
      <w:r>
        <w:rPr>
          <w:color w:val="3A3A3A"/>
          <w:sz w:val="22"/>
          <w:szCs w:val="22"/>
        </w:rPr>
        <w:t>GWR supports the Paper's emphasis on encouraging earlier engagement by people who use violence and strengthening accountability pathways, while noting that regional areas face particular constraints in service availability.</w:t>
      </w:r>
    </w:p>
    <w:p w14:paraId="25ACEC03" w14:textId="77777777" w:rsidR="002A6700" w:rsidRDefault="00F55323">
      <w:pPr>
        <w:spacing w:before="200" w:after="80"/>
      </w:pPr>
      <w:r>
        <w:rPr>
          <w:b/>
          <w:bCs/>
          <w:i/>
          <w:iCs/>
          <w:color w:val="5A4099"/>
          <w:sz w:val="22"/>
          <w:szCs w:val="22"/>
        </w:rPr>
        <w:t>GWR recommendation</w:t>
      </w:r>
    </w:p>
    <w:p w14:paraId="75E6F84B" w14:textId="77777777" w:rsidR="002A6700" w:rsidRDefault="00F55323">
      <w:pPr>
        <w:pStyle w:val="ListParagraph"/>
        <w:numPr>
          <w:ilvl w:val="0"/>
          <w:numId w:val="3"/>
        </w:numPr>
        <w:spacing w:after="100" w:line="276" w:lineRule="auto"/>
      </w:pPr>
      <w:r>
        <w:rPr>
          <w:color w:val="3A3A3A"/>
          <w:sz w:val="22"/>
          <w:szCs w:val="22"/>
        </w:rPr>
        <w:t>Ensure any national investment in behaviour change and accountability programs includes a funded regional and remote delivery model, rather than assuming co-location with existing metropolitan infrastructure.</w:t>
      </w:r>
    </w:p>
    <w:p w14:paraId="38D040D8" w14:textId="77777777" w:rsidR="002A6700" w:rsidRDefault="00F55323">
      <w:pPr>
        <w:pStyle w:val="Heading1"/>
        <w:pBdr>
          <w:bottom w:val="single" w:sz="6" w:space="4" w:color="FBB033"/>
        </w:pBdr>
        <w:spacing w:before="360" w:after="160"/>
      </w:pPr>
      <w:r>
        <w:rPr>
          <w:b/>
          <w:bCs/>
          <w:color w:val="5A4099"/>
          <w:sz w:val="28"/>
          <w:szCs w:val="28"/>
        </w:rPr>
        <w:t>Priority Area 5: System Integration and Workforce</w:t>
      </w:r>
    </w:p>
    <w:p w14:paraId="28547204" w14:textId="77777777" w:rsidR="002A6700" w:rsidRDefault="00F55323">
      <w:pPr>
        <w:spacing w:after="160" w:line="276" w:lineRule="auto"/>
      </w:pPr>
      <w:r>
        <w:rPr>
          <w:color w:val="3A3A3A"/>
          <w:sz w:val="22"/>
          <w:szCs w:val="22"/>
        </w:rPr>
        <w:t>The Paper identifies vicarious trauma, workforce capability, and cross-sector coordination as national priorities. These findings closely mirror GWR's own internal workforce development work, including supervision policy grounded in Signs of Safety and appreciative inquiry, and training on vicarious trauma for refuge staff.</w:t>
      </w:r>
    </w:p>
    <w:p w14:paraId="4AA6CB3C" w14:textId="77777777" w:rsidR="002A6700" w:rsidRDefault="00F55323">
      <w:pPr>
        <w:spacing w:before="200" w:after="80"/>
      </w:pPr>
      <w:r>
        <w:rPr>
          <w:b/>
          <w:bCs/>
          <w:i/>
          <w:iCs/>
          <w:color w:val="5A4099"/>
          <w:sz w:val="22"/>
          <w:szCs w:val="22"/>
        </w:rPr>
        <w:t>GWR observations</w:t>
      </w:r>
    </w:p>
    <w:p w14:paraId="7BCF9715" w14:textId="77777777" w:rsidR="002A6700" w:rsidRDefault="00F55323">
      <w:pPr>
        <w:pStyle w:val="ListParagraph"/>
        <w:numPr>
          <w:ilvl w:val="0"/>
          <w:numId w:val="2"/>
        </w:numPr>
        <w:spacing w:after="100" w:line="276" w:lineRule="auto"/>
      </w:pPr>
      <w:r>
        <w:rPr>
          <w:color w:val="3A3A3A"/>
          <w:sz w:val="22"/>
          <w:szCs w:val="22"/>
        </w:rPr>
        <w:t>Specialist regional services such as GWR are frequently required to fill workforce and system-integration gaps (health, housing, justice, child protection) that are better resourced in metropolitan settings, without corresponding additional resourcing.</w:t>
      </w:r>
    </w:p>
    <w:p w14:paraId="65E3FC1C" w14:textId="77777777" w:rsidR="002A6700" w:rsidRDefault="00F55323">
      <w:pPr>
        <w:pStyle w:val="ListParagraph"/>
        <w:numPr>
          <w:ilvl w:val="0"/>
          <w:numId w:val="2"/>
        </w:numPr>
        <w:spacing w:after="100" w:line="276" w:lineRule="auto"/>
      </w:pPr>
      <w:r>
        <w:rPr>
          <w:color w:val="3A3A3A"/>
          <w:sz w:val="22"/>
          <w:szCs w:val="22"/>
        </w:rPr>
        <w:t xml:space="preserve">In the absence of adequate acute mental health, serious mental illness, and aged care services in regional and remote areas, GWR and comparable regional FDV specialist services are routinely used as a de facto stop-gap for these systems — supporting clients whose presenting need is acute or complex mental illness, or aged care and cognitive decline, because no appropriate regional provider exists or is accessible. This occurs without corresponding funding, clinical governance, or workforce training, and </w:t>
      </w:r>
      <w:r>
        <w:rPr>
          <w:color w:val="3A3A3A"/>
          <w:sz w:val="22"/>
          <w:szCs w:val="22"/>
        </w:rPr>
        <w:lastRenderedPageBreak/>
        <w:t>places FDV-trained staff in a position of managing risk well outside their scope and mandate, while displacing capacity that should be directed to FDV response.</w:t>
      </w:r>
    </w:p>
    <w:p w14:paraId="764BA532" w14:textId="77777777" w:rsidR="002A6700" w:rsidRDefault="00F55323">
      <w:pPr>
        <w:pStyle w:val="ListParagraph"/>
        <w:numPr>
          <w:ilvl w:val="0"/>
          <w:numId w:val="2"/>
        </w:numPr>
        <w:spacing w:after="100" w:line="276" w:lineRule="auto"/>
      </w:pPr>
      <w:r>
        <w:rPr>
          <w:color w:val="3A3A3A"/>
          <w:sz w:val="22"/>
          <w:szCs w:val="22"/>
        </w:rPr>
        <w:t>GWR has had to seek mining sector philanthropic funding to pilot a psychologist position to respond to the scale of mental health need among clients — a clinical role that should be core-funded as standard within every specialist refuge in Australia, not something a regional service secures on an ad hoc basis through corporate goodwill.</w:t>
      </w:r>
    </w:p>
    <w:p w14:paraId="4F0D6600" w14:textId="77777777" w:rsidR="002A6700" w:rsidRDefault="00F55323">
      <w:pPr>
        <w:pStyle w:val="ListParagraph"/>
        <w:numPr>
          <w:ilvl w:val="0"/>
          <w:numId w:val="2"/>
        </w:numPr>
        <w:spacing w:after="100" w:line="276" w:lineRule="auto"/>
      </w:pPr>
      <w:r>
        <w:rPr>
          <w:color w:val="3A3A3A"/>
          <w:sz w:val="22"/>
          <w:szCs w:val="22"/>
        </w:rPr>
        <w:t>GWR's day-to-day operational sustainability currently depends substantially on funds raised through community fundraising and its social enterprise (including its op shop and community fundraising events), rather than on core government funding. This is the only reason current demand is being met at all; it is not a sustainable or appropriate basis for delivering essential FDV crisis and recovery services, and it should be read as a direct indicator of core underfunding rather than evidence of a viable funding model.</w:t>
      </w:r>
    </w:p>
    <w:p w14:paraId="500EEB23" w14:textId="77777777" w:rsidR="002A6700" w:rsidRDefault="00F55323">
      <w:pPr>
        <w:pStyle w:val="ListParagraph"/>
        <w:numPr>
          <w:ilvl w:val="0"/>
          <w:numId w:val="2"/>
        </w:numPr>
        <w:spacing w:after="100" w:line="276" w:lineRule="auto"/>
      </w:pPr>
      <w:r>
        <w:rPr>
          <w:color w:val="3A3A3A"/>
          <w:sz w:val="22"/>
          <w:szCs w:val="22"/>
        </w:rPr>
        <w:t>Recruitment and retention of specialist and gender-matched practitioners is a particular challenge in regional Western Australia, consistent with the Paper's finding that specialised staffing determines service feasibility.</w:t>
      </w:r>
    </w:p>
    <w:p w14:paraId="675F6F16" w14:textId="77777777" w:rsidR="002A6700" w:rsidRDefault="00F55323">
      <w:pPr>
        <w:pStyle w:val="ListParagraph"/>
        <w:numPr>
          <w:ilvl w:val="0"/>
          <w:numId w:val="2"/>
        </w:numPr>
        <w:spacing w:after="100" w:line="276" w:lineRule="auto"/>
      </w:pPr>
      <w:r>
        <w:rPr>
          <w:color w:val="3A3A3A"/>
          <w:sz w:val="22"/>
          <w:szCs w:val="22"/>
        </w:rPr>
        <w:t>There is no single, nationally agreed definition of family and domestic violence used consistently across Commonwealth, state and territory government departments. Different departments and jurisdictions define FDV differently for funding, legal, data and service-eligibility purposes. In practice this is onerous for frontline services, who must translate a client's circumstances across multiple, inconsistent definitions to establish eligibility for different forms of support, and it directly gets in the way of services being able to manage and support women promptly, rather than being a technical or administrative inconvenience.</w:t>
      </w:r>
    </w:p>
    <w:p w14:paraId="533582DF" w14:textId="77777777" w:rsidR="002A6700" w:rsidRDefault="00F55323">
      <w:pPr>
        <w:pStyle w:val="ListParagraph"/>
        <w:numPr>
          <w:ilvl w:val="0"/>
          <w:numId w:val="2"/>
        </w:numPr>
        <w:spacing w:after="100" w:line="276" w:lineRule="auto"/>
      </w:pPr>
      <w:r>
        <w:rPr>
          <w:color w:val="3A3A3A"/>
          <w:sz w:val="22"/>
          <w:szCs w:val="22"/>
        </w:rPr>
        <w:t>GWR, like most regional and remote refuges, supports a highly mobile client population who frequently move across state and territory borders to escape a person using violence or to access services, family or safe accommodation. Because risk assessment tools, thresholds and processes differ from jurisdiction to jurisdiction, a woman's risk profile is not reliably carried with her when she crosses a border. Risk that has been identified and documented in one state can be lost, downgraded, or reassessed inconsistently in another, meaning cross-border movement — often the safest available option for a woman fleeing violence — can itself become a point at which risk is not appropriately identified or addressed.</w:t>
      </w:r>
    </w:p>
    <w:p w14:paraId="46EA83B9" w14:textId="77777777" w:rsidR="002A6700" w:rsidRDefault="00F55323">
      <w:pPr>
        <w:spacing w:before="200" w:after="80"/>
      </w:pPr>
      <w:r>
        <w:rPr>
          <w:b/>
          <w:bCs/>
          <w:i/>
          <w:iCs/>
          <w:color w:val="5A4099"/>
          <w:sz w:val="22"/>
          <w:szCs w:val="22"/>
        </w:rPr>
        <w:t>GWR recommendations</w:t>
      </w:r>
    </w:p>
    <w:p w14:paraId="2DCC1A76" w14:textId="77777777" w:rsidR="002A6700" w:rsidRDefault="00F55323">
      <w:pPr>
        <w:pStyle w:val="ListParagraph"/>
        <w:numPr>
          <w:ilvl w:val="0"/>
          <w:numId w:val="3"/>
        </w:numPr>
        <w:spacing w:after="100" w:line="276" w:lineRule="auto"/>
      </w:pPr>
      <w:r>
        <w:rPr>
          <w:color w:val="3A3A3A"/>
          <w:sz w:val="22"/>
          <w:szCs w:val="22"/>
        </w:rPr>
        <w:t>Fund a regional loading or equivalent mechanism within national FDV workforce investment to reflect the higher relative cost and difficulty of recruiting, training and retaining specialist staff in regional and remote Australia.</w:t>
      </w:r>
    </w:p>
    <w:p w14:paraId="0A1FFAEF" w14:textId="77777777" w:rsidR="002A6700" w:rsidRDefault="00F55323">
      <w:pPr>
        <w:pStyle w:val="ListParagraph"/>
        <w:numPr>
          <w:ilvl w:val="0"/>
          <w:numId w:val="3"/>
        </w:numPr>
        <w:spacing w:after="100" w:line="276" w:lineRule="auto"/>
      </w:pPr>
      <w:r>
        <w:rPr>
          <w:color w:val="3A3A3A"/>
          <w:sz w:val="22"/>
          <w:szCs w:val="22"/>
        </w:rPr>
        <w:t>Support formal cross-sector coordination structures (health, housing, justice, child protection) in regional centres, resourced specifically for that purpose rather than relying on informal relationships.</w:t>
      </w:r>
    </w:p>
    <w:p w14:paraId="07EA630B" w14:textId="77777777" w:rsidR="002A6700" w:rsidRDefault="00F55323">
      <w:pPr>
        <w:pStyle w:val="ListParagraph"/>
        <w:numPr>
          <w:ilvl w:val="0"/>
          <w:numId w:val="3"/>
        </w:numPr>
        <w:spacing w:after="100" w:line="276" w:lineRule="auto"/>
      </w:pPr>
      <w:r>
        <w:rPr>
          <w:color w:val="3A3A3A"/>
          <w:sz w:val="22"/>
          <w:szCs w:val="22"/>
        </w:rPr>
        <w:t>Continue to invest in vicarious trauma support and supervision models for the specialist workforce, recognising the cumulative and compounding impact of frontline FDV work in under-resourced regional settings.</w:t>
      </w:r>
    </w:p>
    <w:p w14:paraId="45E643A9" w14:textId="77777777" w:rsidR="002A6700" w:rsidRDefault="00F55323">
      <w:pPr>
        <w:pStyle w:val="ListParagraph"/>
        <w:numPr>
          <w:ilvl w:val="0"/>
          <w:numId w:val="3"/>
        </w:numPr>
        <w:spacing w:after="100" w:line="276" w:lineRule="auto"/>
      </w:pPr>
      <w:r>
        <w:rPr>
          <w:color w:val="3A3A3A"/>
          <w:sz w:val="22"/>
          <w:szCs w:val="22"/>
        </w:rPr>
        <w:t>Address the practice of regional FDV specialist services being used as an unfunded stop-gap for acute mental health, serious mental illness, and aged care systems, by investing directly in regional acute mental health and aged care provision, and by establishing clear referral pathways, shared clinical governance, and cross-sector funding agreements so that FDV services are not left managing risk that sits outside their mandate and training.</w:t>
      </w:r>
    </w:p>
    <w:p w14:paraId="2DBE79BF" w14:textId="77777777" w:rsidR="002A6700" w:rsidRDefault="00F55323">
      <w:pPr>
        <w:pStyle w:val="ListParagraph"/>
        <w:numPr>
          <w:ilvl w:val="0"/>
          <w:numId w:val="3"/>
        </w:numPr>
        <w:spacing w:after="100" w:line="276" w:lineRule="auto"/>
      </w:pPr>
      <w:r>
        <w:rPr>
          <w:color w:val="3A3A3A"/>
          <w:sz w:val="22"/>
          <w:szCs w:val="22"/>
        </w:rPr>
        <w:t>Core-fund a permanent psychologist or equivalent mental health clinician position within every specialist FDV refuge in Australia, rather than requiring individual services to secure this capability through one-off philanthropic or corporate funding, as GWR has had to do through mining sector support for a pilot role.</w:t>
      </w:r>
    </w:p>
    <w:p w14:paraId="7F515592" w14:textId="77777777" w:rsidR="002A6700" w:rsidRDefault="00F55323">
      <w:pPr>
        <w:pStyle w:val="ListParagraph"/>
        <w:numPr>
          <w:ilvl w:val="0"/>
          <w:numId w:val="3"/>
        </w:numPr>
        <w:spacing w:after="100" w:line="276" w:lineRule="auto"/>
      </w:pPr>
      <w:r>
        <w:rPr>
          <w:color w:val="3A3A3A"/>
          <w:sz w:val="22"/>
          <w:szCs w:val="22"/>
        </w:rPr>
        <w:lastRenderedPageBreak/>
        <w:t>Ensure core government funding for specialist FDV services is sufficient to meet baseline demand without structural reliance on community fundraising or social enterprise income, and treat current reliance on these sources by services such as GWR as direct evidence of a funding shortfall requiring correction, not as a demonstrated funding model to be sustained.</w:t>
      </w:r>
    </w:p>
    <w:p w14:paraId="6E4CC34A" w14:textId="77777777" w:rsidR="002A6700" w:rsidRDefault="00F55323">
      <w:pPr>
        <w:pStyle w:val="ListParagraph"/>
        <w:numPr>
          <w:ilvl w:val="0"/>
          <w:numId w:val="3"/>
        </w:numPr>
        <w:spacing w:after="100" w:line="276" w:lineRule="auto"/>
      </w:pPr>
      <w:r>
        <w:rPr>
          <w:color w:val="3A3A3A"/>
          <w:sz w:val="22"/>
          <w:szCs w:val="22"/>
        </w:rPr>
        <w:t>Establish a single, nationally agreed definition of family and domestic violence for use consistently across Commonwealth, state and territory government departments for funding, legal, data and service-eligibility purposes, so that frontline services are not required to translate a woman's circumstances across multiple, inconsistent definitions in order to establish what support she can access.</w:t>
      </w:r>
    </w:p>
    <w:p w14:paraId="11ECD476" w14:textId="77777777" w:rsidR="002A6700" w:rsidRDefault="00F55323">
      <w:pPr>
        <w:pStyle w:val="ListParagraph"/>
        <w:numPr>
          <w:ilvl w:val="0"/>
          <w:numId w:val="3"/>
        </w:numPr>
        <w:spacing w:after="100" w:line="276" w:lineRule="auto"/>
      </w:pPr>
      <w:r>
        <w:rPr>
          <w:color w:val="3A3A3A"/>
          <w:sz w:val="22"/>
          <w:szCs w:val="22"/>
        </w:rPr>
        <w:t>Adopt a nationally consistent risk assessment framework and process that travels with a woman across state and territory borders, so that risk identified and documented in one jurisdiction is carried into, and recognised by, the next, rather than being lost, downgraded or reassessed inconsistently — recognising that regional and remote services in particular support a highly mobile population for whom crossing a border is often the safest available option and should not become a point at which risk goes unaddressed.</w:t>
      </w:r>
    </w:p>
    <w:p w14:paraId="459F7FF8" w14:textId="77777777" w:rsidR="002A6700" w:rsidRDefault="00F55323">
      <w:pPr>
        <w:pStyle w:val="Heading2"/>
        <w:spacing w:before="280" w:after="120"/>
      </w:pPr>
      <w:r>
        <w:rPr>
          <w:b/>
          <w:bCs/>
          <w:color w:val="5A4099"/>
          <w:sz w:val="24"/>
          <w:szCs w:val="24"/>
        </w:rPr>
        <w:t>Data systems, risk identification and perpetrator accountability</w:t>
      </w:r>
    </w:p>
    <w:p w14:paraId="12FD236A" w14:textId="77777777" w:rsidR="002A6700" w:rsidRDefault="00F55323">
      <w:pPr>
        <w:spacing w:after="160" w:line="276" w:lineRule="auto"/>
      </w:pPr>
      <w:r>
        <w:rPr>
          <w:color w:val="3A3A3A"/>
          <w:sz w:val="22"/>
          <w:szCs w:val="22"/>
        </w:rPr>
        <w:t>Data collection is itself an identified gap area for GWR and comparable specialist services. The AIHW's Specialist Homelessness Information Platform (SHIP), the sector-standard national reporting tool, is designed and funded as a data collection instrument to support national reporting, not as an intervention tool or a means of measuring practice effectiveness. This leaves a structural gap between what the sector is required to report and what frontline services actually need at the point of practice: an integrated, perpetrator-facing, pattern-based risk identification and case management capability.</w:t>
      </w:r>
    </w:p>
    <w:p w14:paraId="14445694" w14:textId="77777777" w:rsidR="002A6700" w:rsidRDefault="00F55323">
      <w:pPr>
        <w:spacing w:before="200" w:after="80"/>
      </w:pPr>
      <w:r>
        <w:rPr>
          <w:b/>
          <w:bCs/>
          <w:i/>
          <w:iCs/>
          <w:color w:val="5A4099"/>
          <w:sz w:val="22"/>
          <w:szCs w:val="22"/>
        </w:rPr>
        <w:t>GWR observations</w:t>
      </w:r>
    </w:p>
    <w:p w14:paraId="1CBA20AB" w14:textId="77777777" w:rsidR="002A6700" w:rsidRDefault="00F55323">
      <w:pPr>
        <w:pStyle w:val="ListParagraph"/>
        <w:numPr>
          <w:ilvl w:val="0"/>
          <w:numId w:val="2"/>
        </w:numPr>
        <w:spacing w:after="100" w:line="276" w:lineRule="auto"/>
      </w:pPr>
      <w:r>
        <w:rPr>
          <w:color w:val="3A3A3A"/>
          <w:sz w:val="22"/>
          <w:szCs w:val="22"/>
        </w:rPr>
        <w:t>There is no nationally funded, standard case management platform for specialist FDV services that combines clinical and triage functions, perpetrator-facing risk identification, and dedicated case management for children. To close this gap, GWR has had to commission its own integrated case management system, funded through community support, rather than through core government funding — despite this functionality being a baseline requirement for safe, evidence-informed specialist practice rather than an optional extra.</w:t>
      </w:r>
    </w:p>
    <w:p w14:paraId="2B83FCBD" w14:textId="77777777" w:rsidR="002A6700" w:rsidRDefault="00F55323">
      <w:pPr>
        <w:pStyle w:val="ListParagraph"/>
        <w:numPr>
          <w:ilvl w:val="0"/>
          <w:numId w:val="2"/>
        </w:numPr>
        <w:spacing w:after="100" w:line="276" w:lineRule="auto"/>
      </w:pPr>
      <w:r>
        <w:rPr>
          <w:color w:val="3A3A3A"/>
          <w:sz w:val="22"/>
          <w:szCs w:val="22"/>
        </w:rPr>
        <w:t>Existing state-based systems that specialist services rely on and interact with, including WA Police and the Department of Communities (Child Protection), are structured around discrete, individual incidents rather than behavioural patterns over time. Because these systems record and respond to each incident in isolation, they do not surface the cumulative pattern of a person's use of violence across incidents, relationships or jurisdictions. This incident-by-incident structure allows people who use violence to avoid the accountability that a connected, pattern-based view of their behaviour would otherwise support.</w:t>
      </w:r>
    </w:p>
    <w:p w14:paraId="0183B67B" w14:textId="77777777" w:rsidR="002A6700" w:rsidRDefault="00F55323">
      <w:pPr>
        <w:pStyle w:val="ListParagraph"/>
        <w:numPr>
          <w:ilvl w:val="0"/>
          <w:numId w:val="2"/>
        </w:numPr>
        <w:spacing w:after="100" w:line="276" w:lineRule="auto"/>
      </w:pPr>
      <w:r>
        <w:rPr>
          <w:color w:val="3A3A3A"/>
          <w:sz w:val="22"/>
          <w:szCs w:val="22"/>
        </w:rPr>
        <w:t>Australia's information-sharing landscape is fragmented across jurisdictions and purposes rather than genuinely national. State and territory schemes (for example, Victoria's Family Violence Information Sharing Scheme and comparable emerging schemes in other jurisdictions) operate under different legislation, thresholds and consent models, and do not interoperate. National mechanisms that do exist — the Attorney-General's Department's family law information-sharing framework, the National Domestic Violence Order Scheme, and AIHW's research-focused data linkage work — each serve a narrow, specific purpose and none functions as a live, cross-jurisdictional risk information tool for frontline specialist services. The result is that a service's ability to see risk-relevant information depends on which state it operates in and which agencies happen to be willing to share, rather than on the level of risk involved.</w:t>
      </w:r>
    </w:p>
    <w:p w14:paraId="34FC3BAA" w14:textId="77777777" w:rsidR="002A6700" w:rsidRDefault="00F55323">
      <w:pPr>
        <w:pStyle w:val="ListParagraph"/>
        <w:numPr>
          <w:ilvl w:val="0"/>
          <w:numId w:val="2"/>
        </w:numPr>
        <w:spacing w:after="100" w:line="276" w:lineRule="auto"/>
      </w:pPr>
      <w:r>
        <w:rPr>
          <w:color w:val="3A3A3A"/>
          <w:sz w:val="22"/>
          <w:szCs w:val="22"/>
        </w:rPr>
        <w:t xml:space="preserve">The underlying design choice in most current schemes is a consent-based model, which is appropriate as a default but breaks down precisely in the highest-risk cases — where a victim-survivor cannot safely consent, does not disclose full information, or where relevant risk history sits with an agency that was </w:t>
      </w:r>
      <w:r>
        <w:rPr>
          <w:color w:val="3A3A3A"/>
          <w:sz w:val="22"/>
          <w:szCs w:val="22"/>
        </w:rPr>
        <w:lastRenderedPageBreak/>
        <w:t>never asked. A small number of jurisdictions have moved to legislated, threshold-based duty-to-share models for defined risk information; this distinction matters more to practical safety outcomes than the existence of a scheme in name only.</w:t>
      </w:r>
    </w:p>
    <w:p w14:paraId="4B89BE54" w14:textId="77777777" w:rsidR="002A6700" w:rsidRDefault="00F55323">
      <w:pPr>
        <w:spacing w:before="200" w:after="80"/>
      </w:pPr>
      <w:r>
        <w:rPr>
          <w:b/>
          <w:bCs/>
          <w:i/>
          <w:iCs/>
          <w:color w:val="5A4099"/>
          <w:sz w:val="22"/>
          <w:szCs w:val="22"/>
        </w:rPr>
        <w:t>GWR recommendations</w:t>
      </w:r>
    </w:p>
    <w:p w14:paraId="7E576C20" w14:textId="77777777" w:rsidR="002A6700" w:rsidRDefault="00F55323">
      <w:pPr>
        <w:pStyle w:val="ListParagraph"/>
        <w:numPr>
          <w:ilvl w:val="0"/>
          <w:numId w:val="3"/>
        </w:numPr>
        <w:spacing w:after="100" w:line="276" w:lineRule="auto"/>
      </w:pPr>
      <w:r>
        <w:rPr>
          <w:color w:val="3A3A3A"/>
          <w:sz w:val="22"/>
          <w:szCs w:val="22"/>
        </w:rPr>
        <w:t>Fund the national development of a standard, perpetrator-facing, pattern-based risk identification and case management platform for specialist FDV services — including dedicated case management functionality for children — as a core, nationally funded capability for every refuge, rather than requiring individual services to commission this independently through community fundraising.</w:t>
      </w:r>
    </w:p>
    <w:p w14:paraId="7ADBF46B" w14:textId="77777777" w:rsidR="002A6700" w:rsidRDefault="00F55323">
      <w:pPr>
        <w:pStyle w:val="ListParagraph"/>
        <w:numPr>
          <w:ilvl w:val="0"/>
          <w:numId w:val="3"/>
        </w:numPr>
        <w:spacing w:after="100" w:line="276" w:lineRule="auto"/>
      </w:pPr>
      <w:r>
        <w:rPr>
          <w:color w:val="3A3A3A"/>
          <w:sz w:val="22"/>
          <w:szCs w:val="22"/>
        </w:rPr>
        <w:t>Recognise that SHIP's role is national data collection, and invest separately in a case management and effectiveness-measurement layer that sits alongside SHIP, so that the data the sector is required to collect can also be used to measure intervention effectiveness and inform practice, rather than serving reporting purposes only.</w:t>
      </w:r>
    </w:p>
    <w:p w14:paraId="633CA32E" w14:textId="77777777" w:rsidR="002A6700" w:rsidRDefault="00F55323">
      <w:pPr>
        <w:pStyle w:val="ListParagraph"/>
        <w:numPr>
          <w:ilvl w:val="0"/>
          <w:numId w:val="3"/>
        </w:numPr>
        <w:spacing w:after="100" w:line="276" w:lineRule="auto"/>
      </w:pPr>
      <w:r>
        <w:rPr>
          <w:color w:val="3A3A3A"/>
          <w:sz w:val="22"/>
          <w:szCs w:val="22"/>
        </w:rPr>
        <w:t>Reform incident-based data systems held by police and child protection agencies so they track patterns of behaviour by people who use violence across incidents, relationships and jurisdictions over time, closing the accountability gap created by treating each incident in isolation. This pattern-based approach to risk should be established as a standard expectation across all specialist FDV services and the agencies they interact with, not left to individual services or jurisdictions to develop independently.</w:t>
      </w:r>
    </w:p>
    <w:p w14:paraId="284D14B9" w14:textId="77777777" w:rsidR="002A6700" w:rsidRDefault="00F55323">
      <w:pPr>
        <w:pStyle w:val="ListParagraph"/>
        <w:numPr>
          <w:ilvl w:val="0"/>
          <w:numId w:val="3"/>
        </w:numPr>
        <w:spacing w:after="100" w:line="276" w:lineRule="auto"/>
      </w:pPr>
      <w:r>
        <w:rPr>
          <w:color w:val="3A3A3A"/>
          <w:sz w:val="22"/>
          <w:szCs w:val="22"/>
        </w:rPr>
        <w:t>Adopt a nationally consistent risk framework (comparable to Victoria's Multi-Agency Risk Assessment and Management framework) so that risk is defined and thresholds for sharing are triggered consistently across jurisdictions, and legislate a threshold-based duty to share defined risk information in high-risk cases rather than relying solely on consent, which is well suited to lower-risk cases but does not function where consent cannot safely be sought.</w:t>
      </w:r>
    </w:p>
    <w:p w14:paraId="3020BE19" w14:textId="77777777" w:rsidR="002A6700" w:rsidRDefault="00F55323">
      <w:pPr>
        <w:pStyle w:val="ListParagraph"/>
        <w:numPr>
          <w:ilvl w:val="0"/>
          <w:numId w:val="3"/>
        </w:numPr>
        <w:spacing w:after="100" w:line="276" w:lineRule="auto"/>
      </w:pPr>
      <w:r>
        <w:rPr>
          <w:color w:val="3A3A3A"/>
          <w:sz w:val="22"/>
          <w:szCs w:val="22"/>
        </w:rPr>
        <w:t>Share a minimal, standardised set of risk flags (such as current protection order status, known weapons access, and escalation history) between authorised services rather than full case files, so that frontline risk assessment is strengthened without requiring wholesale disclosure of clinical or case records.</w:t>
      </w:r>
    </w:p>
    <w:p w14:paraId="73298418" w14:textId="77777777" w:rsidR="002A6700" w:rsidRDefault="00F55323">
      <w:pPr>
        <w:pStyle w:val="ListParagraph"/>
        <w:numPr>
          <w:ilvl w:val="0"/>
          <w:numId w:val="3"/>
        </w:numPr>
        <w:spacing w:after="100" w:line="276" w:lineRule="auto"/>
      </w:pPr>
      <w:r>
        <w:rPr>
          <w:color w:val="3A3A3A"/>
          <w:sz w:val="22"/>
          <w:szCs w:val="22"/>
        </w:rPr>
        <w:t>Design any national perpetrator information system so that the record of risk is attached to the person using violence and travels with them across incidents, relationships and jurisdictions, rather than requiring victim-survivors to be re-identified and re-risk-assessed each time they engage a new service or move location.</w:t>
      </w:r>
    </w:p>
    <w:p w14:paraId="1ABD83B5" w14:textId="77777777" w:rsidR="002A6700" w:rsidRDefault="00F55323">
      <w:pPr>
        <w:pStyle w:val="ListParagraph"/>
        <w:numPr>
          <w:ilvl w:val="0"/>
          <w:numId w:val="3"/>
        </w:numPr>
        <w:spacing w:after="100" w:line="276" w:lineRule="auto"/>
      </w:pPr>
      <w:r>
        <w:rPr>
          <w:color w:val="3A3A3A"/>
          <w:sz w:val="22"/>
          <w:szCs w:val="22"/>
        </w:rPr>
        <w:t>Establish clear, split national governance for FDV information systems rather than assuming a single agency can hold the whole function: the Domestic, Family and Sexual Violence Commission should set national standards, minimum data requirements and mandatory consultation requirements before any jurisdiction changes an information-sharing scheme; the technical, real-time, cross-jurisdictional infrastructure should build on the Australian Criminal Intelligence Commission's existing National Criminal Intelligence System architecture (extending the Commonwealth's emerging cross-government perpetrator data asset) rather than being built from scratch; and AIHW should continue to hold the research and monitoring layer, kept clearly separate from live operational risk-sharing. Any such system must include a genuine multi-sector governance layer so that community-based specialist services have a real interface into national risk information, rather than one gated entirely through police.</w:t>
      </w:r>
    </w:p>
    <w:p w14:paraId="73727B4F" w14:textId="77777777" w:rsidR="002A6700" w:rsidRDefault="00F55323">
      <w:pPr>
        <w:pStyle w:val="Heading1"/>
        <w:pBdr>
          <w:bottom w:val="single" w:sz="6" w:space="4" w:color="FBB033"/>
        </w:pBdr>
        <w:spacing w:before="360" w:after="160"/>
      </w:pPr>
      <w:r>
        <w:rPr>
          <w:b/>
          <w:bCs/>
          <w:color w:val="5A4099"/>
          <w:sz w:val="28"/>
          <w:szCs w:val="28"/>
        </w:rPr>
        <w:t>Conclusion</w:t>
      </w:r>
    </w:p>
    <w:p w14:paraId="09F18D9F" w14:textId="77777777" w:rsidR="002A6700" w:rsidRDefault="00F55323">
      <w:pPr>
        <w:spacing w:after="160" w:line="276" w:lineRule="auto"/>
      </w:pPr>
      <w:r>
        <w:rPr>
          <w:color w:val="3A3A3A"/>
          <w:sz w:val="22"/>
          <w:szCs w:val="22"/>
        </w:rPr>
        <w:t xml:space="preserve">GWR strongly supports the direction of the Second Action Plan and the evidence-informed approach set out in this Consultation Paper. GWR's core message to the consultation is that regional and remote service delivery — and the First Nations, children's and workforce dimensions within it — must be built into the design of the Second Action Plan from the outset, rather than addressed as an afterthought to metropolitan-designed responses. Of particular concern is the extent to which regional FDV specialist services are currently </w:t>
      </w:r>
      <w:r>
        <w:rPr>
          <w:color w:val="3A3A3A"/>
          <w:sz w:val="22"/>
          <w:szCs w:val="22"/>
        </w:rPr>
        <w:lastRenderedPageBreak/>
        <w:t>relied upon as an unfunded stop-gap for acute mental health, serious mental illness, and aged care needs that fall outside their mandate; this cross-sector gap warrants dedicated attention in the Second Action Plan and in parallel health and aged care system reform. GWR would welcome the opportunity to contribute further to consultation processes, including through direct engagement with ANROWS and the Department of Social Services.</w:t>
      </w:r>
    </w:p>
    <w:p w14:paraId="12D2D36C" w14:textId="2F50512B" w:rsidR="002A6700" w:rsidRDefault="00F55323">
      <w:pPr>
        <w:spacing w:after="160" w:line="276" w:lineRule="auto"/>
      </w:pPr>
      <w:r>
        <w:rPr>
          <w:b/>
          <w:bCs/>
          <w:color w:val="3A3A3A"/>
          <w:sz w:val="22"/>
          <w:szCs w:val="22"/>
        </w:rPr>
        <w:t xml:space="preserve">Contact: </w:t>
      </w:r>
      <w:r w:rsidR="00974BED">
        <w:rPr>
          <w:b/>
          <w:bCs/>
          <w:color w:val="3A3A3A"/>
          <w:sz w:val="22"/>
          <w:szCs w:val="22"/>
        </w:rPr>
        <w:t>[redacted]</w:t>
      </w:r>
      <w:r>
        <w:rPr>
          <w:b/>
          <w:bCs/>
          <w:color w:val="3A3A3A"/>
          <w:sz w:val="22"/>
          <w:szCs w:val="22"/>
        </w:rPr>
        <w:t>, Goldfields Women's Refuge Inc.</w:t>
      </w:r>
    </w:p>
    <w:sectPr w:rsidR="002A6700">
      <w:pgSz w:w="11906" w:h="16838"/>
      <w:pgMar w:top="1080" w:right="1080" w:bottom="1080" w:left="108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8415FA3"/>
    <w:multiLevelType w:val="hybridMultilevel"/>
    <w:tmpl w:val="671C263E"/>
    <w:lvl w:ilvl="0" w:tplc="67FE0586">
      <w:start w:val="1"/>
      <w:numFmt w:val="decimal"/>
      <w:lvlText w:val="%1."/>
      <w:lvlJc w:val="left"/>
      <w:pPr>
        <w:ind w:left="431" w:hanging="360"/>
      </w:pPr>
    </w:lvl>
    <w:lvl w:ilvl="1" w:tplc="4EA69E1C">
      <w:numFmt w:val="decimal"/>
      <w:lvlText w:val=""/>
      <w:lvlJc w:val="left"/>
    </w:lvl>
    <w:lvl w:ilvl="2" w:tplc="445AAB04">
      <w:numFmt w:val="decimal"/>
      <w:lvlText w:val=""/>
      <w:lvlJc w:val="left"/>
    </w:lvl>
    <w:lvl w:ilvl="3" w:tplc="28DCD57C">
      <w:numFmt w:val="decimal"/>
      <w:lvlText w:val=""/>
      <w:lvlJc w:val="left"/>
    </w:lvl>
    <w:lvl w:ilvl="4" w:tplc="734461F6">
      <w:numFmt w:val="decimal"/>
      <w:lvlText w:val=""/>
      <w:lvlJc w:val="left"/>
    </w:lvl>
    <w:lvl w:ilvl="5" w:tplc="7CE6FC4A">
      <w:numFmt w:val="decimal"/>
      <w:lvlText w:val=""/>
      <w:lvlJc w:val="left"/>
    </w:lvl>
    <w:lvl w:ilvl="6" w:tplc="25F80086">
      <w:numFmt w:val="decimal"/>
      <w:lvlText w:val=""/>
      <w:lvlJc w:val="left"/>
    </w:lvl>
    <w:lvl w:ilvl="7" w:tplc="94D42806">
      <w:numFmt w:val="decimal"/>
      <w:lvlText w:val=""/>
      <w:lvlJc w:val="left"/>
    </w:lvl>
    <w:lvl w:ilvl="8" w:tplc="C2863D80">
      <w:numFmt w:val="decimal"/>
      <w:lvlText w:val=""/>
      <w:lvlJc w:val="left"/>
    </w:lvl>
  </w:abstractNum>
  <w:abstractNum w:abstractNumId="1" w15:restartNumberingAfterBreak="0">
    <w:nsid w:val="52B0605B"/>
    <w:multiLevelType w:val="hybridMultilevel"/>
    <w:tmpl w:val="D5FA52BE"/>
    <w:lvl w:ilvl="0" w:tplc="B9E8A18E">
      <w:start w:val="1"/>
      <w:numFmt w:val="bullet"/>
      <w:lvlText w:val="●"/>
      <w:lvlJc w:val="left"/>
      <w:pPr>
        <w:ind w:left="720" w:hanging="360"/>
      </w:pPr>
    </w:lvl>
    <w:lvl w:ilvl="1" w:tplc="74C2D004">
      <w:start w:val="1"/>
      <w:numFmt w:val="bullet"/>
      <w:lvlText w:val="○"/>
      <w:lvlJc w:val="left"/>
      <w:pPr>
        <w:ind w:left="1440" w:hanging="360"/>
      </w:pPr>
    </w:lvl>
    <w:lvl w:ilvl="2" w:tplc="A85C7184">
      <w:start w:val="1"/>
      <w:numFmt w:val="bullet"/>
      <w:lvlText w:val="■"/>
      <w:lvlJc w:val="left"/>
      <w:pPr>
        <w:ind w:left="2160" w:hanging="360"/>
      </w:pPr>
    </w:lvl>
    <w:lvl w:ilvl="3" w:tplc="3F143DE2">
      <w:start w:val="1"/>
      <w:numFmt w:val="bullet"/>
      <w:lvlText w:val="●"/>
      <w:lvlJc w:val="left"/>
      <w:pPr>
        <w:ind w:left="2880" w:hanging="360"/>
      </w:pPr>
    </w:lvl>
    <w:lvl w:ilvl="4" w:tplc="92D2F83C">
      <w:start w:val="1"/>
      <w:numFmt w:val="bullet"/>
      <w:lvlText w:val="○"/>
      <w:lvlJc w:val="left"/>
      <w:pPr>
        <w:ind w:left="3600" w:hanging="360"/>
      </w:pPr>
    </w:lvl>
    <w:lvl w:ilvl="5" w:tplc="BE80D054">
      <w:start w:val="1"/>
      <w:numFmt w:val="bullet"/>
      <w:lvlText w:val="■"/>
      <w:lvlJc w:val="left"/>
      <w:pPr>
        <w:ind w:left="4320" w:hanging="360"/>
      </w:pPr>
    </w:lvl>
    <w:lvl w:ilvl="6" w:tplc="A572B29C">
      <w:start w:val="1"/>
      <w:numFmt w:val="bullet"/>
      <w:lvlText w:val="●"/>
      <w:lvlJc w:val="left"/>
      <w:pPr>
        <w:ind w:left="5040" w:hanging="360"/>
      </w:pPr>
    </w:lvl>
    <w:lvl w:ilvl="7" w:tplc="BBBCAD92">
      <w:start w:val="1"/>
      <w:numFmt w:val="bullet"/>
      <w:lvlText w:val="●"/>
      <w:lvlJc w:val="left"/>
      <w:pPr>
        <w:ind w:left="5760" w:hanging="360"/>
      </w:pPr>
    </w:lvl>
    <w:lvl w:ilvl="8" w:tplc="4E0C7B90">
      <w:start w:val="1"/>
      <w:numFmt w:val="bullet"/>
      <w:lvlText w:val="●"/>
      <w:lvlJc w:val="left"/>
      <w:pPr>
        <w:ind w:left="6480" w:hanging="360"/>
      </w:pPr>
    </w:lvl>
  </w:abstractNum>
  <w:abstractNum w:abstractNumId="2" w15:restartNumberingAfterBreak="0">
    <w:nsid w:val="695F31C4"/>
    <w:multiLevelType w:val="hybridMultilevel"/>
    <w:tmpl w:val="BB4CF5F4"/>
    <w:lvl w:ilvl="0" w:tplc="16507482">
      <w:start w:val="1"/>
      <w:numFmt w:val="bullet"/>
      <w:lvlText w:val="•"/>
      <w:lvlJc w:val="left"/>
      <w:pPr>
        <w:ind w:left="431" w:hanging="259"/>
      </w:pPr>
    </w:lvl>
    <w:lvl w:ilvl="1" w:tplc="FCB20056">
      <w:numFmt w:val="decimal"/>
      <w:lvlText w:val=""/>
      <w:lvlJc w:val="left"/>
    </w:lvl>
    <w:lvl w:ilvl="2" w:tplc="602258A4">
      <w:numFmt w:val="decimal"/>
      <w:lvlText w:val=""/>
      <w:lvlJc w:val="left"/>
    </w:lvl>
    <w:lvl w:ilvl="3" w:tplc="0846DB4C">
      <w:numFmt w:val="decimal"/>
      <w:lvlText w:val=""/>
      <w:lvlJc w:val="left"/>
    </w:lvl>
    <w:lvl w:ilvl="4" w:tplc="8F1A3D66">
      <w:numFmt w:val="decimal"/>
      <w:lvlText w:val=""/>
      <w:lvlJc w:val="left"/>
    </w:lvl>
    <w:lvl w:ilvl="5" w:tplc="DB223760">
      <w:numFmt w:val="decimal"/>
      <w:lvlText w:val=""/>
      <w:lvlJc w:val="left"/>
    </w:lvl>
    <w:lvl w:ilvl="6" w:tplc="C1A8FD20">
      <w:numFmt w:val="decimal"/>
      <w:lvlText w:val=""/>
      <w:lvlJc w:val="left"/>
    </w:lvl>
    <w:lvl w:ilvl="7" w:tplc="69CC3492">
      <w:numFmt w:val="decimal"/>
      <w:lvlText w:val=""/>
      <w:lvlJc w:val="left"/>
    </w:lvl>
    <w:lvl w:ilvl="8" w:tplc="56BC04FC">
      <w:numFmt w:val="decimal"/>
      <w:lvlText w:val=""/>
      <w:lvlJc w:val="left"/>
    </w:lvl>
  </w:abstractNum>
  <w:num w:numId="1" w16cid:durableId="783038361">
    <w:abstractNumId w:val="1"/>
    <w:lvlOverride w:ilvl="0">
      <w:startOverride w:val="1"/>
    </w:lvlOverride>
  </w:num>
  <w:num w:numId="2" w16cid:durableId="1026638530">
    <w:abstractNumId w:val="2"/>
    <w:lvlOverride w:ilvl="0">
      <w:startOverride w:val="1"/>
    </w:lvlOverride>
  </w:num>
  <w:num w:numId="3" w16cid:durableId="925576049">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A6700"/>
    <w:rsid w:val="00050E03"/>
    <w:rsid w:val="002A6700"/>
    <w:rsid w:val="0040315B"/>
    <w:rsid w:val="007F70B2"/>
    <w:rsid w:val="00974BED"/>
    <w:rsid w:val="00F5532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0D659D"/>
  <w15:docId w15:val="{99CF040C-4473-464F-87F7-393D978788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customXml" Target="../customXml/item1.xml"/><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10" Type="http://schemas.openxmlformats.org/officeDocument/2006/relationships/customXml" Target="../customXml/item3.xml"/><Relationship Id="rId4" Type="http://schemas.openxmlformats.org/officeDocument/2006/relationships/webSettings" Target="webSettings.xml"/><Relationship Id="rId9"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B7776D50AC9C9429F45CBB78018DFD0" ma:contentTypeVersion="12" ma:contentTypeDescription="Create a new document." ma:contentTypeScope="" ma:versionID="192e16d54d8f8d8b186a1c50e658e80b">
  <xsd:schema xmlns:xsd="http://www.w3.org/2001/XMLSchema" xmlns:xs="http://www.w3.org/2001/XMLSchema" xmlns:p="http://schemas.microsoft.com/office/2006/metadata/properties" xmlns:ns2="998e874f-9f92-475f-aa86-16aa745540d3" xmlns:ns3="dd68a603-366f-42c7-8d1c-7821293e08bc" targetNamespace="http://schemas.microsoft.com/office/2006/metadata/properties" ma:root="true" ma:fieldsID="ac86a9c799595bd6f56260cf530be251" ns2:_="" ns3:_="">
    <xsd:import namespace="998e874f-9f92-475f-aa86-16aa745540d3"/>
    <xsd:import namespace="dd68a603-366f-42c7-8d1c-7821293e08b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Not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8e874f-9f92-475f-aa86-16aa745540d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b645b856-4cdd-4a87-aa29-9b4c24b6dbfa"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Notes" ma:index="18" nillable="true" ma:displayName="Notes" ma:format="Dropdown" ma:internalName="Notes">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d68a603-366f-42c7-8d1c-7821293e08bc"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a62ad170-5dd1-49f8-a2ff-c9ad3b912813}" ma:internalName="TaxCatchAll" ma:showField="CatchAllData" ma:web="dd68a603-366f-42c7-8d1c-7821293e08b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Notes xmlns="998e874f-9f92-475f-aa86-16aa745540d3" xsi:nil="true"/>
    <TaxCatchAll xmlns="dd68a603-366f-42c7-8d1c-7821293e08bc" xsi:nil="true"/>
    <lcf76f155ced4ddcb4097134ff3c332f xmlns="998e874f-9f92-475f-aa86-16aa745540d3">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86EFEC9B-9CF6-43A8-A358-A17B142A45F7}"/>
</file>

<file path=customXml/itemProps2.xml><?xml version="1.0" encoding="utf-8"?>
<ds:datastoreItem xmlns:ds="http://schemas.openxmlformats.org/officeDocument/2006/customXml" ds:itemID="{97979525-D69C-4DA9-9E85-ADAE1C365723}"/>
</file>

<file path=customXml/itemProps3.xml><?xml version="1.0" encoding="utf-8"?>
<ds:datastoreItem xmlns:ds="http://schemas.openxmlformats.org/officeDocument/2006/customXml" ds:itemID="{960F592C-DDEF-41A3-8B39-A465AF4CAA1C}"/>
</file>

<file path=docProps/app.xml><?xml version="1.0" encoding="utf-8"?>
<Properties xmlns="http://schemas.openxmlformats.org/officeDocument/2006/extended-properties" xmlns:vt="http://schemas.openxmlformats.org/officeDocument/2006/docPropsVTypes">
  <Template>Normal.dotm</Template>
  <TotalTime>2</TotalTime>
  <Pages>7</Pages>
  <Words>3342</Words>
  <Characters>19056</Characters>
  <Application>Microsoft Office Word</Application>
  <DocSecurity>4</DocSecurity>
  <Lines>158</Lines>
  <Paragraphs>44</Paragraphs>
  <ScaleCrop>false</ScaleCrop>
  <Company/>
  <LinksUpToDate>false</LinksUpToDate>
  <CharactersWithSpaces>22354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keywords>[SEC=OFFICIAL]</cp:keywords>
  <cp:lastModifiedBy>BROOME, Lily</cp:lastModifiedBy>
  <cp:revision>2</cp:revision>
  <dcterms:created xsi:type="dcterms:W3CDTF">2026-09-02T05:01:00Z</dcterms:created>
  <dcterms:modified xsi:type="dcterms:W3CDTF">2026-09-02T05:01:00Z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M_Caveats_Count">
    <vt:lpwstr>0</vt:lpwstr>
  </property>
  <property fmtid="{D5CDD505-2E9C-101B-9397-08002B2CF9AE}" pid="3" name="PM_Namespace">
    <vt:lpwstr>gov.au</vt:lpwstr>
  </property>
  <property fmtid="{D5CDD505-2E9C-101B-9397-08002B2CF9AE}" pid="4" name="PM_Version">
    <vt:lpwstr>2018.4</vt:lpwstr>
  </property>
  <property fmtid="{D5CDD505-2E9C-101B-9397-08002B2CF9AE}" pid="5" name="MSIP_Label_eb34d90b-fc41-464d-af60-f74d721d0790_Name">
    <vt:lpwstr>OFFICIAL</vt:lpwstr>
  </property>
  <property fmtid="{D5CDD505-2E9C-101B-9397-08002B2CF9AE}" pid="6" name="PM_Note">
    <vt:lpwstr/>
  </property>
  <property fmtid="{D5CDD505-2E9C-101B-9397-08002B2CF9AE}" pid="7" name="PMHMAC">
    <vt:lpwstr>v=2024.1;a=SHA256;h=4B7955BD6D224B17D5E2FD05E398E8A3C14D390B6D5B93E356F136A657E80D3A</vt:lpwstr>
  </property>
  <property fmtid="{D5CDD505-2E9C-101B-9397-08002B2CF9AE}" pid="8" name="PM_Qualifier">
    <vt:lpwstr/>
  </property>
  <property fmtid="{D5CDD505-2E9C-101B-9397-08002B2CF9AE}" pid="9" name="PM_SecurityClassification">
    <vt:lpwstr>OFFICIAL</vt:lpwstr>
  </property>
  <property fmtid="{D5CDD505-2E9C-101B-9397-08002B2CF9AE}" pid="10" name="PM_ProtectiveMarkingValue_Header">
    <vt:lpwstr>OFFICIAL</vt:lpwstr>
  </property>
  <property fmtid="{D5CDD505-2E9C-101B-9397-08002B2CF9AE}" pid="11" name="PM_OriginationTimeStamp">
    <vt:lpwstr>2026-08-11T05:58:54Z</vt:lpwstr>
  </property>
  <property fmtid="{D5CDD505-2E9C-101B-9397-08002B2CF9AE}" pid="12" name="PM_Markers">
    <vt:lpwstr/>
  </property>
  <property fmtid="{D5CDD505-2E9C-101B-9397-08002B2CF9AE}" pid="13" name="PM_DownTo">
    <vt:lpwstr/>
  </property>
  <property fmtid="{D5CDD505-2E9C-101B-9397-08002B2CF9AE}" pid="14" name="PM_DisplayValueSecClassificationWithQualifier">
    <vt:lpwstr>OFFICIAL</vt:lpwstr>
  </property>
  <property fmtid="{D5CDD505-2E9C-101B-9397-08002B2CF9AE}" pid="15" name="PM_Expires">
    <vt:lpwstr/>
  </property>
  <property fmtid="{D5CDD505-2E9C-101B-9397-08002B2CF9AE}" pid="16" name="PM_InsertionValue">
    <vt:lpwstr>OFFICIAL</vt:lpwstr>
  </property>
  <property fmtid="{D5CDD505-2E9C-101B-9397-08002B2CF9AE}" pid="17" name="PM_DowngradeTo">
    <vt:lpwstr/>
  </property>
  <property fmtid="{D5CDD505-2E9C-101B-9397-08002B2CF9AE}" pid="18" name="MSIP_Label_eb34d90b-fc41-464d-af60-f74d721d0790_SiteId">
    <vt:lpwstr>61e36dd1-ca6e-4d61-aa0a-2b4eb88317a3</vt:lpwstr>
  </property>
  <property fmtid="{D5CDD505-2E9C-101B-9397-08002B2CF9AE}" pid="19" name="MSIP_Label_eb34d90b-fc41-464d-af60-f74d721d0790_ContentBits">
    <vt:lpwstr>3</vt:lpwstr>
  </property>
  <property fmtid="{D5CDD505-2E9C-101B-9397-08002B2CF9AE}" pid="20" name="MSIP_Label_eb34d90b-fc41-464d-af60-f74d721d0790_Enabled">
    <vt:lpwstr>true</vt:lpwstr>
  </property>
  <property fmtid="{D5CDD505-2E9C-101B-9397-08002B2CF9AE}" pid="21" name="MSIP_Label_eb34d90b-fc41-464d-af60-f74d721d0790_SetDate">
    <vt:lpwstr>2026-08-11T05:58:54Z</vt:lpwstr>
  </property>
  <property fmtid="{D5CDD505-2E9C-101B-9397-08002B2CF9AE}" pid="22" name="MSIP_Label_eb34d90b-fc41-464d-af60-f74d721d0790_Method">
    <vt:lpwstr>Privileged</vt:lpwstr>
  </property>
  <property fmtid="{D5CDD505-2E9C-101B-9397-08002B2CF9AE}" pid="23" name="MSIP_Label_eb34d90b-fc41-464d-af60-f74d721d0790_ActionId">
    <vt:lpwstr>6a6f3248fa10492483601b1a8cdb3650</vt:lpwstr>
  </property>
  <property fmtid="{D5CDD505-2E9C-101B-9397-08002B2CF9AE}" pid="24" name="PM_Originator_Hash_SHA1">
    <vt:lpwstr>799AB92281F6126B7C0D7150BEA7C26A8CC03227</vt:lpwstr>
  </property>
  <property fmtid="{D5CDD505-2E9C-101B-9397-08002B2CF9AE}" pid="25" name="PM_Originating_FileId">
    <vt:lpwstr>42348F4297EA424AA8D2314B8A43735B</vt:lpwstr>
  </property>
  <property fmtid="{D5CDD505-2E9C-101B-9397-08002B2CF9AE}" pid="26" name="PM_ProtectiveMarkingValue_Footer">
    <vt:lpwstr>OFFICIAL</vt:lpwstr>
  </property>
  <property fmtid="{D5CDD505-2E9C-101B-9397-08002B2CF9AE}" pid="27" name="PM_Display">
    <vt:lpwstr>OFFICIAL</vt:lpwstr>
  </property>
  <property fmtid="{D5CDD505-2E9C-101B-9397-08002B2CF9AE}" pid="28" name="PM_OriginatorUserAccountName_SHA256">
    <vt:lpwstr>30EF5FAF0D78713600D9CF74F3CDAAA604D4B36AD615BF92A766B97E500523B5</vt:lpwstr>
  </property>
  <property fmtid="{D5CDD505-2E9C-101B-9397-08002B2CF9AE}" pid="29" name="PM_OriginatorDomainName_SHA256">
    <vt:lpwstr>E83A2A66C4061446A7E3732E8D44762184B6B377D962B96C83DC624302585857</vt:lpwstr>
  </property>
  <property fmtid="{D5CDD505-2E9C-101B-9397-08002B2CF9AE}" pid="30" name="PMUuid">
    <vt:lpwstr>v=2022.2;d=gov.au;g=46DD6D7C-8107-577B-BC6E-F348953B2E44</vt:lpwstr>
  </property>
  <property fmtid="{D5CDD505-2E9C-101B-9397-08002B2CF9AE}" pid="31" name="PM_Hash_Version">
    <vt:lpwstr>2024.1</vt:lpwstr>
  </property>
  <property fmtid="{D5CDD505-2E9C-101B-9397-08002B2CF9AE}" pid="32" name="PM_Hash_Salt_Prev">
    <vt:lpwstr>994F9A9BF8B1C413E5398A76CC3F814A</vt:lpwstr>
  </property>
  <property fmtid="{D5CDD505-2E9C-101B-9397-08002B2CF9AE}" pid="33" name="PM_Hash_Salt">
    <vt:lpwstr>218BCC4E97D6D80B4BA70FB432DD4152</vt:lpwstr>
  </property>
  <property fmtid="{D5CDD505-2E9C-101B-9397-08002B2CF9AE}" pid="34" name="PM_Hash_SHA1">
    <vt:lpwstr>B50933943704993D001A0E3C5AA3AE3EAED28785</vt:lpwstr>
  </property>
  <property fmtid="{D5CDD505-2E9C-101B-9397-08002B2CF9AE}" pid="35" name="ContentTypeId">
    <vt:lpwstr>0x010100FB7776D50AC9C9429F45CBB78018DFD0</vt:lpwstr>
  </property>
</Properties>
</file>